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073D3" w14:textId="77777777" w:rsidR="00053176" w:rsidRPr="00CF6F95" w:rsidRDefault="00053176" w:rsidP="00E43564">
      <w:pPr>
        <w:rPr>
          <w:rFonts w:asciiTheme="minorHAnsi" w:hAnsiTheme="minorHAnsi"/>
          <w:lang w:val="en-150"/>
        </w:rPr>
      </w:pPr>
    </w:p>
    <w:p w14:paraId="2A885B5E" w14:textId="77777777" w:rsidR="00053176" w:rsidRPr="00CF6F95" w:rsidRDefault="00053176" w:rsidP="00E43564">
      <w:pPr>
        <w:rPr>
          <w:rFonts w:asciiTheme="minorHAnsi" w:hAnsiTheme="minorHAnsi"/>
          <w:lang w:val="en-150"/>
        </w:rPr>
      </w:pPr>
    </w:p>
    <w:p w14:paraId="4C25E656" w14:textId="3FF32334" w:rsidR="00053176" w:rsidRPr="00CF6F95" w:rsidRDefault="00A11E70" w:rsidP="00A11E70">
      <w:pPr>
        <w:jc w:val="right"/>
        <w:rPr>
          <w:rFonts w:asciiTheme="minorHAnsi" w:hAnsiTheme="minorHAnsi"/>
          <w:b/>
          <w:bCs/>
          <w:i/>
          <w:iCs/>
          <w:color w:val="4F81BD" w:themeColor="accent1"/>
          <w:u w:val="single"/>
          <w:lang w:val="en-150"/>
        </w:rPr>
      </w:pPr>
      <w:r w:rsidRPr="00CF6F95">
        <w:rPr>
          <w:rFonts w:asciiTheme="minorHAnsi" w:hAnsiTheme="minorHAnsi"/>
          <w:b/>
          <w:bCs/>
          <w:i/>
          <w:iCs/>
          <w:color w:val="4F81BD" w:themeColor="accent1"/>
          <w:u w:val="single"/>
          <w:lang w:val="en-150"/>
        </w:rPr>
        <w:t xml:space="preserve">Unofficial </w:t>
      </w:r>
      <w:r w:rsidR="00B02B1F" w:rsidRPr="00CF6F95">
        <w:rPr>
          <w:rFonts w:asciiTheme="minorHAnsi" w:hAnsiTheme="minorHAnsi"/>
          <w:b/>
          <w:bCs/>
          <w:i/>
          <w:iCs/>
          <w:color w:val="4F81BD" w:themeColor="accent1"/>
          <w:u w:val="single"/>
          <w:lang w:val="en-150"/>
        </w:rPr>
        <w:t>translation</w:t>
      </w:r>
    </w:p>
    <w:p w14:paraId="379DD819" w14:textId="77777777" w:rsidR="00827F4F" w:rsidRPr="00CF6F95" w:rsidRDefault="00827F4F" w:rsidP="009360AE">
      <w:pPr>
        <w:spacing w:after="160" w:line="259" w:lineRule="auto"/>
        <w:rPr>
          <w:rFonts w:asciiTheme="minorHAnsi" w:eastAsia="Calibri" w:hAnsiTheme="minorHAnsi" w:cstheme="minorHAnsi"/>
          <w:sz w:val="22"/>
          <w:lang w:val="en-150"/>
        </w:rPr>
      </w:pPr>
      <w:bookmarkStart w:id="0" w:name="_Hlk198114876"/>
    </w:p>
    <w:p w14:paraId="3D77FA25" w14:textId="77777777" w:rsidR="00827F4F" w:rsidRPr="00CF6F95" w:rsidRDefault="00827F4F" w:rsidP="00827F4F">
      <w:pPr>
        <w:spacing w:after="160" w:line="259" w:lineRule="auto"/>
        <w:jc w:val="center"/>
        <w:rPr>
          <w:rFonts w:asciiTheme="minorHAnsi" w:eastAsia="Calibri" w:hAnsiTheme="minorHAnsi" w:cstheme="minorHAnsi"/>
          <w:sz w:val="22"/>
          <w:lang w:val="en-150"/>
        </w:rPr>
      </w:pPr>
    </w:p>
    <w:p w14:paraId="3EC426B9" w14:textId="77777777" w:rsidR="00827F4F" w:rsidRPr="00CF6F95" w:rsidRDefault="00827F4F" w:rsidP="00827F4F">
      <w:pPr>
        <w:spacing w:after="160" w:line="259" w:lineRule="auto"/>
        <w:jc w:val="center"/>
        <w:rPr>
          <w:rFonts w:asciiTheme="minorHAnsi" w:eastAsia="Calibri" w:hAnsiTheme="minorHAnsi" w:cstheme="minorHAnsi"/>
          <w:sz w:val="22"/>
          <w:lang w:val="en-150"/>
        </w:rPr>
      </w:pPr>
    </w:p>
    <w:p w14:paraId="3DD89E8E" w14:textId="0A871DE8" w:rsidR="009360AE" w:rsidRPr="00CF6F95" w:rsidRDefault="009360AE" w:rsidP="009360AE">
      <w:pPr>
        <w:spacing w:after="160" w:line="259" w:lineRule="auto"/>
        <w:jc w:val="center"/>
        <w:rPr>
          <w:rFonts w:asciiTheme="minorHAnsi" w:eastAsia="Calibri" w:hAnsiTheme="minorHAnsi" w:cstheme="minorHAnsi"/>
          <w:b/>
          <w:bCs/>
          <w:sz w:val="40"/>
          <w:szCs w:val="40"/>
          <w:lang w:val="en-150"/>
        </w:rPr>
      </w:pPr>
      <w:r w:rsidRPr="00CF6F95">
        <w:rPr>
          <w:rFonts w:asciiTheme="minorHAnsi" w:eastAsia="Calibri" w:hAnsiTheme="minorHAnsi" w:cstheme="minorHAnsi"/>
          <w:b/>
          <w:bCs/>
          <w:sz w:val="40"/>
          <w:szCs w:val="40"/>
          <w:lang w:val="en-150"/>
        </w:rPr>
        <w:t>REPORT</w:t>
      </w:r>
    </w:p>
    <w:p w14:paraId="15B44788" w14:textId="77777777" w:rsidR="009360AE" w:rsidRPr="00CF6F95" w:rsidRDefault="009360AE" w:rsidP="009360AE">
      <w:pPr>
        <w:spacing w:line="259" w:lineRule="auto"/>
        <w:jc w:val="center"/>
        <w:rPr>
          <w:rFonts w:asciiTheme="minorHAnsi" w:eastAsia="Calibri" w:hAnsiTheme="minorHAnsi" w:cstheme="minorHAnsi"/>
          <w:b/>
          <w:bCs/>
          <w:sz w:val="28"/>
          <w:szCs w:val="28"/>
          <w:lang w:val="en-150"/>
        </w:rPr>
      </w:pPr>
      <w:r w:rsidRPr="00CF6F95">
        <w:rPr>
          <w:rFonts w:asciiTheme="minorHAnsi" w:eastAsia="Calibri" w:hAnsiTheme="minorHAnsi" w:cstheme="minorHAnsi"/>
          <w:b/>
          <w:bCs/>
          <w:sz w:val="28"/>
          <w:szCs w:val="28"/>
          <w:lang w:val="en-150"/>
        </w:rPr>
        <w:t>submitted by the People’s Advocate Office to the UN Committee on the Elimination of Discrimination against Women (CEDAW), under the Convention on the Elimination of All Forms of Discrimination against Women, for its pre-session working group for the 93rd session</w:t>
      </w:r>
    </w:p>
    <w:p w14:paraId="7FE99BED" w14:textId="284FBA8C" w:rsidR="009360AE" w:rsidRPr="00CF6F95" w:rsidRDefault="009360AE" w:rsidP="009360AE">
      <w:pPr>
        <w:spacing w:line="259" w:lineRule="auto"/>
        <w:jc w:val="center"/>
        <w:rPr>
          <w:rFonts w:asciiTheme="minorHAnsi" w:eastAsia="Calibri" w:hAnsiTheme="minorHAnsi" w:cstheme="minorHAnsi"/>
          <w:b/>
          <w:bCs/>
          <w:sz w:val="28"/>
          <w:szCs w:val="28"/>
          <w:lang w:val="en-150"/>
        </w:rPr>
      </w:pPr>
      <w:r w:rsidRPr="00CF6F95">
        <w:rPr>
          <w:rFonts w:asciiTheme="minorHAnsi" w:eastAsia="Calibri" w:hAnsiTheme="minorHAnsi" w:cstheme="minorHAnsi"/>
          <w:b/>
          <w:bCs/>
          <w:sz w:val="28"/>
          <w:szCs w:val="28"/>
          <w:lang w:val="en-150"/>
        </w:rPr>
        <w:t xml:space="preserve"> (7–11 July 2025)</w:t>
      </w:r>
    </w:p>
    <w:p w14:paraId="20703256"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5B293F78"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156BF71B"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3CF4B0B3"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2EAF1C81"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0AF8D510"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6DCCF951"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7BADF34E"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6ECA6231"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7AC20DB1"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2ED3AF82"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5B250747"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0F6BE590"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2AE83AF4"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3A3894E4"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5DF6149E"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4658470D" w14:textId="77777777" w:rsidR="009360AE" w:rsidRPr="00CF6F95" w:rsidRDefault="009360AE" w:rsidP="009360AE">
      <w:pPr>
        <w:spacing w:after="160" w:line="259" w:lineRule="auto"/>
        <w:jc w:val="center"/>
        <w:rPr>
          <w:rFonts w:asciiTheme="minorHAnsi" w:eastAsia="Calibri" w:hAnsiTheme="minorHAnsi" w:cstheme="minorHAnsi"/>
          <w:sz w:val="22"/>
          <w:lang w:val="en-150"/>
        </w:rPr>
      </w:pPr>
    </w:p>
    <w:p w14:paraId="64E97C01" w14:textId="43AA9610" w:rsidR="00827F4F" w:rsidRPr="00CF6F95" w:rsidRDefault="009360AE" w:rsidP="009360AE">
      <w:pPr>
        <w:spacing w:after="160" w:line="259" w:lineRule="auto"/>
        <w:jc w:val="center"/>
        <w:rPr>
          <w:rFonts w:asciiTheme="minorHAnsi" w:eastAsia="Calibri" w:hAnsiTheme="minorHAnsi" w:cstheme="minorHAnsi"/>
          <w:sz w:val="22"/>
          <w:lang w:val="en-150"/>
        </w:rPr>
      </w:pPr>
      <w:r w:rsidRPr="00CF6F95">
        <w:rPr>
          <w:rFonts w:asciiTheme="minorHAnsi" w:eastAsia="Calibri" w:hAnsiTheme="minorHAnsi" w:cstheme="minorHAnsi"/>
          <w:sz w:val="22"/>
          <w:lang w:val="en-150"/>
        </w:rPr>
        <w:t>2025</w:t>
      </w:r>
    </w:p>
    <w:p w14:paraId="65964F64" w14:textId="0142CEA8" w:rsidR="00827F4F" w:rsidRPr="00CF6F95" w:rsidRDefault="00827F4F" w:rsidP="00827F4F">
      <w:pPr>
        <w:spacing w:after="160" w:line="259" w:lineRule="auto"/>
        <w:rPr>
          <w:rFonts w:asciiTheme="minorHAnsi" w:eastAsia="Calibri" w:hAnsiTheme="minorHAnsi" w:cstheme="minorHAnsi"/>
          <w:sz w:val="22"/>
          <w:lang w:val="en-150"/>
        </w:rPr>
      </w:pPr>
      <w:bookmarkStart w:id="1" w:name="_Hlk198155561"/>
      <w:bookmarkEnd w:id="0"/>
    </w:p>
    <w:bookmarkEnd w:id="1" w:displacedByCustomXml="next"/>
    <w:sdt>
      <w:sdtPr>
        <w:rPr>
          <w:rFonts w:asciiTheme="minorHAnsi" w:hAnsiTheme="minorHAnsi"/>
          <w:lang w:val="en-150"/>
        </w:rPr>
        <w:id w:val="84265433"/>
        <w:docPartObj>
          <w:docPartGallery w:val="Table of Contents"/>
          <w:docPartUnique/>
        </w:docPartObj>
      </w:sdtPr>
      <w:sdtEndPr>
        <w:rPr>
          <w:b/>
          <w:bCs/>
          <w:noProof/>
        </w:rPr>
      </w:sdtEndPr>
      <w:sdtContent>
        <w:p w14:paraId="527094A1" w14:textId="455151F0" w:rsidR="00827F4F" w:rsidRPr="00CF6F95" w:rsidRDefault="00B02B1F" w:rsidP="00827F4F">
          <w:pPr>
            <w:keepNext/>
            <w:keepLines/>
            <w:spacing w:before="240" w:line="259" w:lineRule="auto"/>
            <w:rPr>
              <w:rFonts w:asciiTheme="minorHAnsi" w:eastAsiaTheme="majorEastAsia" w:hAnsiTheme="minorHAnsi" w:cstheme="majorBidi"/>
              <w:color w:val="365F91" w:themeColor="accent1" w:themeShade="BF"/>
              <w:sz w:val="32"/>
              <w:szCs w:val="32"/>
              <w:lang w:val="en-150"/>
            </w:rPr>
          </w:pPr>
          <w:r w:rsidRPr="00CF6F95">
            <w:rPr>
              <w:rFonts w:asciiTheme="minorHAnsi" w:eastAsiaTheme="majorEastAsia" w:hAnsiTheme="minorHAnsi" w:cstheme="majorBidi"/>
              <w:color w:val="365F91" w:themeColor="accent1" w:themeShade="BF"/>
              <w:sz w:val="32"/>
              <w:szCs w:val="32"/>
              <w:lang w:val="en-150"/>
            </w:rPr>
            <w:t>CONTENTS</w:t>
          </w:r>
        </w:p>
        <w:p w14:paraId="57F7FE30" w14:textId="4A873F76" w:rsidR="00D51EAE" w:rsidRDefault="00827F4F">
          <w:pPr>
            <w:pStyle w:val="TOC1"/>
            <w:tabs>
              <w:tab w:val="right" w:leader="dot" w:pos="8755"/>
            </w:tabs>
            <w:rPr>
              <w:rFonts w:asciiTheme="minorHAnsi" w:eastAsiaTheme="minorEastAsia" w:hAnsiTheme="minorHAnsi"/>
              <w:noProof/>
              <w:sz w:val="22"/>
              <w:lang w:val="ro-MD" w:eastAsia="ro-MD"/>
            </w:rPr>
          </w:pPr>
          <w:r w:rsidRPr="00CF6F95">
            <w:rPr>
              <w:rFonts w:asciiTheme="minorHAnsi" w:hAnsiTheme="minorHAnsi"/>
              <w:lang w:val="en-150"/>
            </w:rPr>
            <w:fldChar w:fldCharType="begin"/>
          </w:r>
          <w:r w:rsidRPr="00CF6F95">
            <w:rPr>
              <w:rFonts w:asciiTheme="minorHAnsi" w:hAnsiTheme="minorHAnsi"/>
              <w:lang w:val="en-150"/>
            </w:rPr>
            <w:instrText xml:space="preserve"> TOC \o "1-3" \h \z \u </w:instrText>
          </w:r>
          <w:r w:rsidRPr="00CF6F95">
            <w:rPr>
              <w:rFonts w:asciiTheme="minorHAnsi" w:hAnsiTheme="minorHAnsi"/>
              <w:lang w:val="en-150"/>
            </w:rPr>
            <w:fldChar w:fldCharType="separate"/>
          </w:r>
          <w:hyperlink w:anchor="_Toc198488097" w:history="1">
            <w:r w:rsidR="00D51EAE" w:rsidRPr="0013784A">
              <w:rPr>
                <w:rStyle w:val="Hyperlink"/>
                <w:noProof/>
                <w:lang w:val="en-150"/>
              </w:rPr>
              <w:t>Abbreviations</w:t>
            </w:r>
            <w:r w:rsidR="00D51EAE">
              <w:rPr>
                <w:noProof/>
                <w:webHidden/>
              </w:rPr>
              <w:tab/>
            </w:r>
            <w:r w:rsidR="00D51EAE">
              <w:rPr>
                <w:noProof/>
                <w:webHidden/>
              </w:rPr>
              <w:fldChar w:fldCharType="begin"/>
            </w:r>
            <w:r w:rsidR="00D51EAE">
              <w:rPr>
                <w:noProof/>
                <w:webHidden/>
              </w:rPr>
              <w:instrText xml:space="preserve"> PAGEREF _Toc198488097 \h </w:instrText>
            </w:r>
            <w:r w:rsidR="00D51EAE">
              <w:rPr>
                <w:noProof/>
                <w:webHidden/>
              </w:rPr>
            </w:r>
            <w:r w:rsidR="00D51EAE">
              <w:rPr>
                <w:noProof/>
                <w:webHidden/>
              </w:rPr>
              <w:fldChar w:fldCharType="separate"/>
            </w:r>
            <w:r w:rsidR="00D51EAE">
              <w:rPr>
                <w:noProof/>
                <w:webHidden/>
              </w:rPr>
              <w:t>3</w:t>
            </w:r>
            <w:r w:rsidR="00D51EAE">
              <w:rPr>
                <w:noProof/>
                <w:webHidden/>
              </w:rPr>
              <w:fldChar w:fldCharType="end"/>
            </w:r>
          </w:hyperlink>
        </w:p>
        <w:p w14:paraId="5FDF4B6E" w14:textId="5A1D67B4" w:rsidR="00D51EAE" w:rsidRDefault="00D51EAE">
          <w:pPr>
            <w:pStyle w:val="TOC1"/>
            <w:tabs>
              <w:tab w:val="right" w:leader="dot" w:pos="8755"/>
            </w:tabs>
            <w:rPr>
              <w:rFonts w:asciiTheme="minorHAnsi" w:eastAsiaTheme="minorEastAsia" w:hAnsiTheme="minorHAnsi"/>
              <w:noProof/>
              <w:sz w:val="22"/>
              <w:lang w:val="ro-MD" w:eastAsia="ro-MD"/>
            </w:rPr>
          </w:pPr>
          <w:hyperlink w:anchor="_Toc198488098" w:history="1">
            <w:r w:rsidRPr="0013784A">
              <w:rPr>
                <w:rStyle w:val="Hyperlink"/>
                <w:noProof/>
                <w:lang w:val="en-150"/>
              </w:rPr>
              <w:t>Role of the People’s Advocate Office (Ombudsman Institution)</w:t>
            </w:r>
            <w:r>
              <w:rPr>
                <w:noProof/>
                <w:webHidden/>
              </w:rPr>
              <w:tab/>
            </w:r>
            <w:r>
              <w:rPr>
                <w:noProof/>
                <w:webHidden/>
              </w:rPr>
              <w:fldChar w:fldCharType="begin"/>
            </w:r>
            <w:r>
              <w:rPr>
                <w:noProof/>
                <w:webHidden/>
              </w:rPr>
              <w:instrText xml:space="preserve"> PAGEREF _Toc198488098 \h </w:instrText>
            </w:r>
            <w:r>
              <w:rPr>
                <w:noProof/>
                <w:webHidden/>
              </w:rPr>
            </w:r>
            <w:r>
              <w:rPr>
                <w:noProof/>
                <w:webHidden/>
              </w:rPr>
              <w:fldChar w:fldCharType="separate"/>
            </w:r>
            <w:r>
              <w:rPr>
                <w:noProof/>
                <w:webHidden/>
              </w:rPr>
              <w:t>4</w:t>
            </w:r>
            <w:r>
              <w:rPr>
                <w:noProof/>
                <w:webHidden/>
              </w:rPr>
              <w:fldChar w:fldCharType="end"/>
            </w:r>
          </w:hyperlink>
        </w:p>
        <w:p w14:paraId="145DAC8E" w14:textId="32DD59A3" w:rsidR="00D51EAE" w:rsidRDefault="00D51EAE">
          <w:pPr>
            <w:pStyle w:val="TOC1"/>
            <w:tabs>
              <w:tab w:val="right" w:leader="dot" w:pos="8755"/>
            </w:tabs>
            <w:rPr>
              <w:rFonts w:asciiTheme="minorHAnsi" w:eastAsiaTheme="minorEastAsia" w:hAnsiTheme="minorHAnsi"/>
              <w:noProof/>
              <w:sz w:val="22"/>
              <w:lang w:val="ro-MD" w:eastAsia="ro-MD"/>
            </w:rPr>
          </w:pPr>
          <w:hyperlink w:anchor="_Toc198488099" w:history="1">
            <w:r w:rsidRPr="0013784A">
              <w:rPr>
                <w:rStyle w:val="Hyperlink"/>
                <w:rFonts w:eastAsiaTheme="majorEastAsia" w:cstheme="majorBidi"/>
                <w:noProof/>
                <w:lang w:val="en-150"/>
              </w:rPr>
              <w:t>Introduction</w:t>
            </w:r>
            <w:r>
              <w:rPr>
                <w:noProof/>
                <w:webHidden/>
              </w:rPr>
              <w:tab/>
            </w:r>
            <w:r>
              <w:rPr>
                <w:noProof/>
                <w:webHidden/>
              </w:rPr>
              <w:fldChar w:fldCharType="begin"/>
            </w:r>
            <w:r>
              <w:rPr>
                <w:noProof/>
                <w:webHidden/>
              </w:rPr>
              <w:instrText xml:space="preserve"> PAGEREF _Toc198488099 \h </w:instrText>
            </w:r>
            <w:r>
              <w:rPr>
                <w:noProof/>
                <w:webHidden/>
              </w:rPr>
            </w:r>
            <w:r>
              <w:rPr>
                <w:noProof/>
                <w:webHidden/>
              </w:rPr>
              <w:fldChar w:fldCharType="separate"/>
            </w:r>
            <w:r>
              <w:rPr>
                <w:noProof/>
                <w:webHidden/>
              </w:rPr>
              <w:t>6</w:t>
            </w:r>
            <w:r>
              <w:rPr>
                <w:noProof/>
                <w:webHidden/>
              </w:rPr>
              <w:fldChar w:fldCharType="end"/>
            </w:r>
          </w:hyperlink>
        </w:p>
        <w:p w14:paraId="68B18525" w14:textId="42898C69" w:rsidR="00D51EAE" w:rsidRDefault="00D51EAE">
          <w:pPr>
            <w:pStyle w:val="TOC1"/>
            <w:tabs>
              <w:tab w:val="right" w:leader="dot" w:pos="8755"/>
            </w:tabs>
            <w:rPr>
              <w:rFonts w:asciiTheme="minorHAnsi" w:eastAsiaTheme="minorEastAsia" w:hAnsiTheme="minorHAnsi"/>
              <w:noProof/>
              <w:sz w:val="22"/>
              <w:lang w:val="ro-MD" w:eastAsia="ro-MD"/>
            </w:rPr>
          </w:pPr>
          <w:hyperlink w:anchor="_Toc198488100" w:history="1">
            <w:r w:rsidRPr="0013784A">
              <w:rPr>
                <w:rStyle w:val="Hyperlink"/>
                <w:noProof/>
                <w:lang w:val="en-150"/>
              </w:rPr>
              <w:t>Regulatory and public policy framework (Art. 2 and 3 of the Convention)</w:t>
            </w:r>
            <w:r>
              <w:rPr>
                <w:noProof/>
                <w:webHidden/>
              </w:rPr>
              <w:tab/>
            </w:r>
            <w:r>
              <w:rPr>
                <w:noProof/>
                <w:webHidden/>
              </w:rPr>
              <w:fldChar w:fldCharType="begin"/>
            </w:r>
            <w:r>
              <w:rPr>
                <w:noProof/>
                <w:webHidden/>
              </w:rPr>
              <w:instrText xml:space="preserve"> PAGEREF _Toc198488100 \h </w:instrText>
            </w:r>
            <w:r>
              <w:rPr>
                <w:noProof/>
                <w:webHidden/>
              </w:rPr>
            </w:r>
            <w:r>
              <w:rPr>
                <w:noProof/>
                <w:webHidden/>
              </w:rPr>
              <w:fldChar w:fldCharType="separate"/>
            </w:r>
            <w:r>
              <w:rPr>
                <w:noProof/>
                <w:webHidden/>
              </w:rPr>
              <w:t>7</w:t>
            </w:r>
            <w:r>
              <w:rPr>
                <w:noProof/>
                <w:webHidden/>
              </w:rPr>
              <w:fldChar w:fldCharType="end"/>
            </w:r>
          </w:hyperlink>
        </w:p>
        <w:p w14:paraId="7D4DDA2B" w14:textId="735807D5" w:rsidR="00D51EAE" w:rsidRDefault="00D51EAE">
          <w:pPr>
            <w:pStyle w:val="TOC1"/>
            <w:tabs>
              <w:tab w:val="right" w:leader="dot" w:pos="8755"/>
            </w:tabs>
            <w:rPr>
              <w:rFonts w:asciiTheme="minorHAnsi" w:eastAsiaTheme="minorEastAsia" w:hAnsiTheme="minorHAnsi"/>
              <w:noProof/>
              <w:sz w:val="22"/>
              <w:lang w:val="ro-MD" w:eastAsia="ro-MD"/>
            </w:rPr>
          </w:pPr>
          <w:hyperlink w:anchor="_Toc198488101" w:history="1">
            <w:r w:rsidRPr="0013784A">
              <w:rPr>
                <w:rStyle w:val="Hyperlink"/>
                <w:noProof/>
                <w:lang w:val="en-150"/>
              </w:rPr>
              <w:t>Women with disabilities</w:t>
            </w:r>
            <w:r>
              <w:rPr>
                <w:noProof/>
                <w:webHidden/>
              </w:rPr>
              <w:tab/>
            </w:r>
            <w:r>
              <w:rPr>
                <w:noProof/>
                <w:webHidden/>
              </w:rPr>
              <w:fldChar w:fldCharType="begin"/>
            </w:r>
            <w:r>
              <w:rPr>
                <w:noProof/>
                <w:webHidden/>
              </w:rPr>
              <w:instrText xml:space="preserve"> PAGEREF _Toc198488101 \h </w:instrText>
            </w:r>
            <w:r>
              <w:rPr>
                <w:noProof/>
                <w:webHidden/>
              </w:rPr>
            </w:r>
            <w:r>
              <w:rPr>
                <w:noProof/>
                <w:webHidden/>
              </w:rPr>
              <w:fldChar w:fldCharType="separate"/>
            </w:r>
            <w:r>
              <w:rPr>
                <w:noProof/>
                <w:webHidden/>
              </w:rPr>
              <w:t>8</w:t>
            </w:r>
            <w:r>
              <w:rPr>
                <w:noProof/>
                <w:webHidden/>
              </w:rPr>
              <w:fldChar w:fldCharType="end"/>
            </w:r>
          </w:hyperlink>
        </w:p>
        <w:p w14:paraId="2EB79BE2" w14:textId="6C0C3EF5" w:rsidR="00D51EAE" w:rsidRDefault="00D51EAE">
          <w:pPr>
            <w:pStyle w:val="TOC1"/>
            <w:tabs>
              <w:tab w:val="right" w:leader="dot" w:pos="8755"/>
            </w:tabs>
            <w:rPr>
              <w:rFonts w:asciiTheme="minorHAnsi" w:eastAsiaTheme="minorEastAsia" w:hAnsiTheme="minorHAnsi"/>
              <w:noProof/>
              <w:sz w:val="22"/>
              <w:lang w:val="ro-MD" w:eastAsia="ro-MD"/>
            </w:rPr>
          </w:pPr>
          <w:hyperlink w:anchor="_Toc198488102" w:history="1">
            <w:r w:rsidRPr="0013784A">
              <w:rPr>
                <w:rStyle w:val="Hyperlink"/>
                <w:noProof/>
                <w:lang w:val="en-150"/>
              </w:rPr>
              <w:t>Women - detained in prisons</w:t>
            </w:r>
            <w:r>
              <w:rPr>
                <w:noProof/>
                <w:webHidden/>
              </w:rPr>
              <w:tab/>
            </w:r>
            <w:r>
              <w:rPr>
                <w:noProof/>
                <w:webHidden/>
              </w:rPr>
              <w:fldChar w:fldCharType="begin"/>
            </w:r>
            <w:r>
              <w:rPr>
                <w:noProof/>
                <w:webHidden/>
              </w:rPr>
              <w:instrText xml:space="preserve"> PAGEREF _Toc198488102 \h </w:instrText>
            </w:r>
            <w:r>
              <w:rPr>
                <w:noProof/>
                <w:webHidden/>
              </w:rPr>
            </w:r>
            <w:r>
              <w:rPr>
                <w:noProof/>
                <w:webHidden/>
              </w:rPr>
              <w:fldChar w:fldCharType="separate"/>
            </w:r>
            <w:r>
              <w:rPr>
                <w:noProof/>
                <w:webHidden/>
              </w:rPr>
              <w:t>9</w:t>
            </w:r>
            <w:r>
              <w:rPr>
                <w:noProof/>
                <w:webHidden/>
              </w:rPr>
              <w:fldChar w:fldCharType="end"/>
            </w:r>
          </w:hyperlink>
        </w:p>
        <w:p w14:paraId="54E3F51B" w14:textId="7F32461A" w:rsidR="00D51EAE" w:rsidRDefault="00D51EAE">
          <w:pPr>
            <w:pStyle w:val="TOC1"/>
            <w:tabs>
              <w:tab w:val="right" w:leader="dot" w:pos="8755"/>
            </w:tabs>
            <w:rPr>
              <w:rFonts w:asciiTheme="minorHAnsi" w:eastAsiaTheme="minorEastAsia" w:hAnsiTheme="minorHAnsi"/>
              <w:noProof/>
              <w:sz w:val="22"/>
              <w:lang w:val="ro-MD" w:eastAsia="ro-MD"/>
            </w:rPr>
          </w:pPr>
          <w:hyperlink w:anchor="_Toc198488103" w:history="1">
            <w:r w:rsidRPr="0013784A">
              <w:rPr>
                <w:rStyle w:val="Hyperlink"/>
                <w:noProof/>
                <w:lang w:val="en-150"/>
              </w:rPr>
              <w:t>Violence, exclusion and multiple vulnerabilities of minors</w:t>
            </w:r>
            <w:r>
              <w:rPr>
                <w:noProof/>
                <w:webHidden/>
              </w:rPr>
              <w:tab/>
            </w:r>
            <w:r>
              <w:rPr>
                <w:noProof/>
                <w:webHidden/>
              </w:rPr>
              <w:fldChar w:fldCharType="begin"/>
            </w:r>
            <w:r>
              <w:rPr>
                <w:noProof/>
                <w:webHidden/>
              </w:rPr>
              <w:instrText xml:space="preserve"> PAGEREF _Toc198488103 \h </w:instrText>
            </w:r>
            <w:r>
              <w:rPr>
                <w:noProof/>
                <w:webHidden/>
              </w:rPr>
            </w:r>
            <w:r>
              <w:rPr>
                <w:noProof/>
                <w:webHidden/>
              </w:rPr>
              <w:fldChar w:fldCharType="separate"/>
            </w:r>
            <w:r>
              <w:rPr>
                <w:noProof/>
                <w:webHidden/>
              </w:rPr>
              <w:t>11</w:t>
            </w:r>
            <w:r>
              <w:rPr>
                <w:noProof/>
                <w:webHidden/>
              </w:rPr>
              <w:fldChar w:fldCharType="end"/>
            </w:r>
          </w:hyperlink>
        </w:p>
        <w:p w14:paraId="0A455B9E" w14:textId="483EFC01" w:rsidR="00827F4F" w:rsidRPr="00CF6F95" w:rsidRDefault="00827F4F" w:rsidP="00827F4F">
          <w:pPr>
            <w:rPr>
              <w:rFonts w:asciiTheme="minorHAnsi" w:hAnsiTheme="minorHAnsi"/>
              <w:lang w:val="en-150"/>
            </w:rPr>
          </w:pPr>
          <w:r w:rsidRPr="00CF6F95">
            <w:rPr>
              <w:rFonts w:asciiTheme="minorHAnsi" w:hAnsiTheme="minorHAnsi"/>
              <w:b/>
              <w:bCs/>
              <w:noProof/>
              <w:lang w:val="en-150"/>
            </w:rPr>
            <w:fldChar w:fldCharType="end"/>
          </w:r>
        </w:p>
      </w:sdtContent>
    </w:sdt>
    <w:p w14:paraId="21D867C9" w14:textId="77777777" w:rsidR="00827F4F" w:rsidRPr="00CF6F95" w:rsidRDefault="00827F4F" w:rsidP="00827F4F">
      <w:pPr>
        <w:spacing w:after="160" w:line="259" w:lineRule="auto"/>
        <w:rPr>
          <w:rFonts w:asciiTheme="minorHAnsi" w:eastAsia="Calibri" w:hAnsiTheme="minorHAnsi" w:cstheme="minorHAnsi"/>
          <w:sz w:val="22"/>
          <w:lang w:val="en-150"/>
        </w:rPr>
      </w:pPr>
    </w:p>
    <w:p w14:paraId="06124405" w14:textId="77777777" w:rsidR="00827F4F" w:rsidRPr="00CF6F95" w:rsidRDefault="00827F4F" w:rsidP="00827F4F">
      <w:pPr>
        <w:spacing w:after="160" w:line="259" w:lineRule="auto"/>
        <w:rPr>
          <w:rFonts w:asciiTheme="minorHAnsi" w:eastAsia="Calibri" w:hAnsiTheme="minorHAnsi" w:cstheme="minorHAnsi"/>
          <w:sz w:val="22"/>
          <w:lang w:val="en-150"/>
        </w:rPr>
      </w:pPr>
    </w:p>
    <w:p w14:paraId="05C81790" w14:textId="77777777" w:rsidR="00827F4F" w:rsidRPr="00CF6F95" w:rsidRDefault="00827F4F" w:rsidP="00827F4F">
      <w:pPr>
        <w:spacing w:after="160" w:line="259" w:lineRule="auto"/>
        <w:rPr>
          <w:rFonts w:asciiTheme="minorHAnsi" w:eastAsia="Calibri" w:hAnsiTheme="minorHAnsi" w:cstheme="minorHAnsi"/>
          <w:sz w:val="22"/>
          <w:lang w:val="en-150"/>
        </w:rPr>
      </w:pPr>
    </w:p>
    <w:p w14:paraId="683C9513" w14:textId="77777777" w:rsidR="00827F4F" w:rsidRPr="00CF6F95" w:rsidRDefault="00827F4F" w:rsidP="00827F4F">
      <w:pPr>
        <w:spacing w:after="200" w:line="276" w:lineRule="auto"/>
        <w:rPr>
          <w:rFonts w:asciiTheme="minorHAnsi" w:hAnsiTheme="minorHAnsi" w:cstheme="minorHAnsi"/>
          <w:sz w:val="22"/>
          <w:lang w:val="en-150"/>
        </w:rPr>
      </w:pPr>
      <w:r w:rsidRPr="00CF6F95">
        <w:rPr>
          <w:rFonts w:asciiTheme="minorHAnsi" w:hAnsiTheme="minorHAnsi" w:cstheme="minorHAnsi"/>
          <w:sz w:val="22"/>
          <w:lang w:val="en-150"/>
        </w:rPr>
        <w:br w:type="page"/>
      </w:r>
    </w:p>
    <w:p w14:paraId="55274F23" w14:textId="394D0DDE" w:rsidR="00B02B1F" w:rsidRPr="00CF6F95" w:rsidRDefault="009360AE" w:rsidP="000010CC">
      <w:pPr>
        <w:pStyle w:val="Heading1"/>
        <w:rPr>
          <w:rFonts w:asciiTheme="minorHAnsi" w:hAnsiTheme="minorHAnsi"/>
          <w:lang w:val="en-150"/>
        </w:rPr>
      </w:pPr>
      <w:bookmarkStart w:id="2" w:name="_Toc198488097"/>
      <w:r w:rsidRPr="00CF6F95">
        <w:rPr>
          <w:rFonts w:asciiTheme="minorHAnsi" w:hAnsiTheme="minorHAnsi"/>
          <w:lang w:val="en-150"/>
        </w:rPr>
        <w:lastRenderedPageBreak/>
        <w:t>Abbreviations</w:t>
      </w:r>
      <w:bookmarkEnd w:id="2"/>
    </w:p>
    <w:p w14:paraId="5C19CFC5" w14:textId="77777777" w:rsidR="000010CC" w:rsidRPr="00CF6F95" w:rsidRDefault="000010CC" w:rsidP="000010CC">
      <w:pPr>
        <w:rPr>
          <w:lang w:val="en-150"/>
        </w:rPr>
      </w:pPr>
    </w:p>
    <w:p w14:paraId="19D21E8D" w14:textId="43D727AB" w:rsidR="00B02B1F" w:rsidRPr="00CF6F95" w:rsidRDefault="00B02B1F" w:rsidP="009360AE">
      <w:pPr>
        <w:spacing w:after="200" w:line="276" w:lineRule="auto"/>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CEDAW – Convention on the Elimination of All Forms of Discrimination against Women </w:t>
      </w:r>
    </w:p>
    <w:p w14:paraId="3019AB8E" w14:textId="527F1666" w:rsidR="00674616" w:rsidRPr="00CF6F95" w:rsidRDefault="00674616" w:rsidP="009360AE">
      <w:pPr>
        <w:spacing w:after="200" w:line="276" w:lineRule="auto"/>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ILO – International </w:t>
      </w:r>
      <w:proofErr w:type="spellStart"/>
      <w:r w:rsidRPr="00CF6F95">
        <w:rPr>
          <w:rFonts w:asciiTheme="minorHAnsi" w:eastAsia="Calibri" w:hAnsiTheme="minorHAnsi" w:cstheme="minorHAnsi"/>
          <w:sz w:val="22"/>
          <w:lang w:val="en-150"/>
        </w:rPr>
        <w:t>Labor</w:t>
      </w:r>
      <w:proofErr w:type="spellEnd"/>
      <w:r w:rsidRPr="00CF6F95">
        <w:rPr>
          <w:rFonts w:asciiTheme="minorHAnsi" w:eastAsia="Calibri" w:hAnsiTheme="minorHAnsi" w:cstheme="minorHAnsi"/>
          <w:sz w:val="22"/>
          <w:lang w:val="en-150"/>
        </w:rPr>
        <w:t xml:space="preserve"> Organization</w:t>
      </w:r>
    </w:p>
    <w:p w14:paraId="5CADF048" w14:textId="120B952F" w:rsidR="00674616" w:rsidRPr="00CF6F95" w:rsidRDefault="00674616" w:rsidP="009360AE">
      <w:pPr>
        <w:spacing w:after="200" w:line="276" w:lineRule="auto"/>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GD – Government Decision </w:t>
      </w:r>
    </w:p>
    <w:p w14:paraId="5E36E8E5" w14:textId="38F651D3" w:rsidR="009360AE" w:rsidRPr="00CF6F95" w:rsidRDefault="009360AE" w:rsidP="009360AE">
      <w:pPr>
        <w:spacing w:after="200" w:line="276" w:lineRule="auto"/>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NHIC </w:t>
      </w:r>
      <w:r w:rsidR="00DE3CA8" w:rsidRPr="00CF6F95">
        <w:rPr>
          <w:rFonts w:asciiTheme="minorHAnsi" w:eastAsia="Calibri" w:hAnsiTheme="minorHAnsi" w:cstheme="minorHAnsi"/>
          <w:sz w:val="22"/>
          <w:lang w:val="en-150"/>
        </w:rPr>
        <w:t xml:space="preserve">– </w:t>
      </w:r>
      <w:r w:rsidRPr="00CF6F95">
        <w:rPr>
          <w:rFonts w:asciiTheme="minorHAnsi" w:eastAsia="Calibri" w:hAnsiTheme="minorHAnsi" w:cstheme="minorHAnsi"/>
          <w:sz w:val="22"/>
          <w:lang w:val="en-150"/>
        </w:rPr>
        <w:t>National Health Insurance Company</w:t>
      </w:r>
    </w:p>
    <w:p w14:paraId="1A521967" w14:textId="6CED15A7" w:rsidR="009360AE" w:rsidRPr="00CF6F95" w:rsidRDefault="009360AE" w:rsidP="009360AE">
      <w:pPr>
        <w:spacing w:after="200" w:line="276" w:lineRule="auto"/>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NHRI – </w:t>
      </w:r>
      <w:r w:rsidR="00B02B1F" w:rsidRPr="00CF6F95">
        <w:rPr>
          <w:rFonts w:asciiTheme="minorHAnsi" w:eastAsia="Calibri" w:hAnsiTheme="minorHAnsi" w:cstheme="minorHAnsi"/>
          <w:sz w:val="22"/>
          <w:lang w:val="en-150"/>
        </w:rPr>
        <w:t>National Human</w:t>
      </w:r>
      <w:r w:rsidRPr="00CF6F95">
        <w:rPr>
          <w:rFonts w:asciiTheme="minorHAnsi" w:eastAsia="Calibri" w:hAnsiTheme="minorHAnsi" w:cstheme="minorHAnsi"/>
          <w:sz w:val="22"/>
          <w:lang w:val="en-150"/>
        </w:rPr>
        <w:t xml:space="preserve"> Rights Institution </w:t>
      </w:r>
    </w:p>
    <w:p w14:paraId="112A092D" w14:textId="0D110C19" w:rsidR="009360AE" w:rsidRPr="00CF6F95" w:rsidRDefault="009360AE" w:rsidP="009360AE">
      <w:pPr>
        <w:spacing w:after="200" w:line="276" w:lineRule="auto"/>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NPM </w:t>
      </w:r>
      <w:r w:rsidR="00DE3CA8" w:rsidRPr="00CF6F95">
        <w:rPr>
          <w:rFonts w:asciiTheme="minorHAnsi" w:eastAsia="Calibri" w:hAnsiTheme="minorHAnsi" w:cstheme="minorHAnsi"/>
          <w:sz w:val="22"/>
          <w:lang w:val="en-150"/>
        </w:rPr>
        <w:t xml:space="preserve">– </w:t>
      </w:r>
      <w:r w:rsidRPr="00CF6F95">
        <w:rPr>
          <w:rFonts w:asciiTheme="minorHAnsi" w:eastAsia="Calibri" w:hAnsiTheme="minorHAnsi" w:cstheme="minorHAnsi"/>
          <w:sz w:val="22"/>
          <w:lang w:val="en-150"/>
        </w:rPr>
        <w:t>National Mechanism for the Prevention of Torture</w:t>
      </w:r>
    </w:p>
    <w:p w14:paraId="14AEAF2F" w14:textId="59AD9E9A" w:rsidR="009360AE" w:rsidRPr="00CF6F95" w:rsidRDefault="009360AE" w:rsidP="009360AE">
      <w:pPr>
        <w:spacing w:after="200" w:line="276" w:lineRule="auto"/>
        <w:rPr>
          <w:rFonts w:asciiTheme="minorHAnsi" w:eastAsia="Calibri" w:hAnsiTheme="minorHAnsi" w:cstheme="minorHAnsi"/>
          <w:sz w:val="22"/>
          <w:lang w:val="en-150"/>
        </w:rPr>
      </w:pPr>
      <w:r w:rsidRPr="00CF6F95">
        <w:rPr>
          <w:rFonts w:asciiTheme="minorHAnsi" w:eastAsia="Calibri" w:hAnsiTheme="minorHAnsi" w:cstheme="minorHAnsi"/>
          <w:sz w:val="22"/>
          <w:lang w:val="en-150"/>
        </w:rPr>
        <w:t>PAO – People’s Advocate Office</w:t>
      </w:r>
    </w:p>
    <w:p w14:paraId="40F1A315" w14:textId="6A2C054B" w:rsidR="00827F4F" w:rsidRPr="00CF6F95" w:rsidRDefault="009360AE" w:rsidP="009360AE">
      <w:pPr>
        <w:spacing w:after="200" w:line="276" w:lineRule="auto"/>
        <w:rPr>
          <w:rFonts w:asciiTheme="minorHAnsi" w:eastAsia="Calibri" w:hAnsiTheme="minorHAnsi" w:cstheme="minorHAnsi"/>
          <w:color w:val="365F91" w:themeColor="accent1" w:themeShade="BF"/>
          <w:sz w:val="22"/>
          <w:lang w:val="en-150"/>
        </w:rPr>
      </w:pPr>
      <w:r w:rsidRPr="00CF6F95">
        <w:rPr>
          <w:rFonts w:asciiTheme="minorHAnsi" w:eastAsia="Calibri" w:hAnsiTheme="minorHAnsi" w:cstheme="minorHAnsi"/>
          <w:sz w:val="22"/>
          <w:lang w:val="en-150"/>
        </w:rPr>
        <w:t xml:space="preserve">UNFPA </w:t>
      </w:r>
      <w:r w:rsidR="00DE3CA8" w:rsidRPr="00CF6F95">
        <w:rPr>
          <w:rFonts w:asciiTheme="minorHAnsi" w:eastAsia="Calibri" w:hAnsiTheme="minorHAnsi" w:cstheme="minorHAnsi"/>
          <w:sz w:val="22"/>
          <w:lang w:val="en-150"/>
        </w:rPr>
        <w:t xml:space="preserve">– </w:t>
      </w:r>
      <w:r w:rsidRPr="00CF6F95">
        <w:rPr>
          <w:rFonts w:asciiTheme="minorHAnsi" w:eastAsia="Calibri" w:hAnsiTheme="minorHAnsi" w:cstheme="minorHAnsi"/>
          <w:sz w:val="22"/>
          <w:lang w:val="en-150"/>
        </w:rPr>
        <w:t>United Nations Population Fund</w:t>
      </w:r>
      <w:r w:rsidR="00827F4F" w:rsidRPr="00CF6F95">
        <w:rPr>
          <w:rFonts w:asciiTheme="minorHAnsi" w:eastAsia="Calibri" w:hAnsiTheme="minorHAnsi" w:cstheme="minorHAnsi"/>
          <w:sz w:val="22"/>
          <w:lang w:val="en-150"/>
        </w:rPr>
        <w:br w:type="page"/>
      </w:r>
    </w:p>
    <w:p w14:paraId="6C3663B8" w14:textId="082DC957" w:rsidR="00416C57" w:rsidRDefault="00416C57" w:rsidP="00674616">
      <w:pPr>
        <w:pStyle w:val="Heading1"/>
        <w:rPr>
          <w:rFonts w:asciiTheme="minorHAnsi" w:hAnsiTheme="minorHAnsi"/>
          <w:lang w:val="en-150"/>
        </w:rPr>
      </w:pPr>
      <w:bookmarkStart w:id="3" w:name="_Toc198488098"/>
      <w:r w:rsidRPr="00CF6F95">
        <w:rPr>
          <w:rFonts w:asciiTheme="minorHAnsi" w:hAnsiTheme="minorHAnsi"/>
          <w:lang w:val="en-150"/>
        </w:rPr>
        <w:lastRenderedPageBreak/>
        <w:t>Role of the People’s Advocate Office (Ombudsman Institution)</w:t>
      </w:r>
      <w:bookmarkEnd w:id="3"/>
    </w:p>
    <w:p w14:paraId="5F91B365" w14:textId="77777777" w:rsidR="009A59C4" w:rsidRPr="009A59C4" w:rsidRDefault="009A59C4" w:rsidP="009A59C4">
      <w:pPr>
        <w:rPr>
          <w:lang w:val="en-150"/>
        </w:rPr>
      </w:pPr>
    </w:p>
    <w:p w14:paraId="0B1D6DC3" w14:textId="6D5F89D9" w:rsidR="00416C57" w:rsidRPr="00CF6F95" w:rsidRDefault="005100AD" w:rsidP="00416C57">
      <w:pPr>
        <w:spacing w:after="160"/>
        <w:jc w:val="both"/>
        <w:rPr>
          <w:rFonts w:asciiTheme="minorHAnsi" w:eastAsia="Calibri" w:hAnsiTheme="minorHAnsi" w:cstheme="minorHAnsi"/>
          <w:sz w:val="22"/>
          <w:lang w:val="en-150"/>
        </w:rPr>
      </w:pPr>
      <w:r w:rsidRPr="00CF6F95">
        <w:rPr>
          <w:rFonts w:asciiTheme="minorHAnsi" w:eastAsia="Calibri" w:hAnsiTheme="minorHAnsi" w:cstheme="minorHAnsi"/>
          <w:sz w:val="22"/>
          <w:lang w:val="en-150"/>
        </w:rPr>
        <w:t>The People's Advocate Office is the only National Human Rights Institution (NHRI) in the Republic of Moldova with a constitutional mandate, as established by Article 59</w:t>
      </w:r>
      <w:r w:rsidRPr="00CF6F95">
        <w:rPr>
          <w:rFonts w:asciiTheme="minorHAnsi" w:eastAsia="Calibri" w:hAnsiTheme="minorHAnsi" w:cstheme="minorHAnsi"/>
          <w:sz w:val="22"/>
          <w:vertAlign w:val="superscript"/>
          <w:lang w:val="en-150"/>
        </w:rPr>
        <w:t>1</w:t>
      </w:r>
      <w:r w:rsidRPr="00CF6F95">
        <w:rPr>
          <w:rFonts w:asciiTheme="minorHAnsi" w:eastAsia="Calibri" w:hAnsiTheme="minorHAnsi" w:cstheme="minorHAnsi"/>
          <w:sz w:val="22"/>
          <w:lang w:val="en-150"/>
        </w:rPr>
        <w:t xml:space="preserve"> of the Constitution. Its functioning is governed by Law No. 52/2014, which outlines its principles, guarantees of independence, and mandate execution. The institution consists of two ombudsmen, including one dedicated specifically to the protection of children's rights and freedoms</w:t>
      </w:r>
      <w:r w:rsidR="00416C57" w:rsidRPr="00CF6F95">
        <w:rPr>
          <w:rFonts w:asciiTheme="minorHAnsi" w:eastAsia="Calibri" w:hAnsiTheme="minorHAnsi" w:cstheme="minorHAnsi"/>
          <w:sz w:val="22"/>
          <w:lang w:val="en-150"/>
        </w:rPr>
        <w:t>.</w:t>
      </w:r>
    </w:p>
    <w:p w14:paraId="783A2E3E" w14:textId="4F210685" w:rsidR="00416C57" w:rsidRPr="00CF6F95" w:rsidRDefault="00416C57" w:rsidP="00416C57">
      <w:pPr>
        <w:spacing w:after="160"/>
        <w:jc w:val="both"/>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Complementarily, Chapter V </w:t>
      </w:r>
      <w:r w:rsidR="00036E26" w:rsidRPr="00CF6F95">
        <w:rPr>
          <w:rFonts w:asciiTheme="minorHAnsi" w:eastAsia="Calibri" w:hAnsiTheme="minorHAnsi" w:cstheme="minorHAnsi"/>
          <w:sz w:val="22"/>
          <w:lang w:val="en-150"/>
        </w:rPr>
        <w:t>of the law regulates the National Mechanism for the Prevention of Torture (NPM), aligned with the Optional Protocol to the Convention against Torture. The NPM operates through a Council within the PAO, composed of experts from civil society, and carries out preventive visits to places of deprivation of liberty, such as prisons and psychiatric hospitals.</w:t>
      </w:r>
    </w:p>
    <w:p w14:paraId="4713CDD8" w14:textId="5476234B" w:rsidR="00792DBA" w:rsidRPr="00CF6F95" w:rsidRDefault="00036E26" w:rsidP="00792DBA">
      <w:pPr>
        <w:spacing w:after="200" w:line="276" w:lineRule="auto"/>
        <w:jc w:val="both"/>
        <w:rPr>
          <w:rFonts w:asciiTheme="minorHAnsi" w:eastAsia="Calibri" w:hAnsiTheme="minorHAnsi" w:cstheme="minorHAnsi"/>
          <w:sz w:val="22"/>
          <w:lang w:val="en-150"/>
        </w:rPr>
      </w:pPr>
      <w:r w:rsidRPr="00CF6F95">
        <w:rPr>
          <w:rFonts w:asciiTheme="minorHAnsi" w:eastAsia="Calibri" w:hAnsiTheme="minorHAnsi" w:cstheme="minorHAnsi"/>
          <w:sz w:val="22"/>
          <w:lang w:val="en-150"/>
        </w:rPr>
        <w:t>Since 2023, the OAP holds “A” status accreditation from GANHRI, confirming full compliance with the Paris Principles. However, recommendations from the Sub-Committee on Accreditation remain unimplemented as of 2025</w:t>
      </w:r>
      <w:r w:rsidR="00421585" w:rsidRPr="00CF6F95">
        <w:rPr>
          <w:rFonts w:asciiTheme="minorHAnsi" w:eastAsia="Calibri" w:hAnsiTheme="minorHAnsi" w:cstheme="minorHAnsi"/>
          <w:sz w:val="22"/>
          <w:lang w:val="en-150"/>
        </w:rPr>
        <w:t>, as</w:t>
      </w:r>
      <w:r w:rsidR="002045E4" w:rsidRPr="00CF6F95">
        <w:rPr>
          <w:rFonts w:asciiTheme="minorHAnsi" w:eastAsia="Calibri" w:hAnsiTheme="minorHAnsi" w:cstheme="minorHAnsi"/>
          <w:sz w:val="22"/>
          <w:lang w:val="en-150"/>
        </w:rPr>
        <w:t>:</w:t>
      </w:r>
      <w:r w:rsidR="00CF6F95">
        <w:rPr>
          <w:rFonts w:asciiTheme="minorHAnsi" w:eastAsia="Calibri" w:hAnsiTheme="minorHAnsi" w:cstheme="minorHAnsi"/>
          <w:sz w:val="22"/>
          <w:lang w:val="en-US"/>
        </w:rPr>
        <w:t xml:space="preserve"> </w:t>
      </w:r>
      <w:r w:rsidR="002045E4" w:rsidRPr="00CF6F95">
        <w:rPr>
          <w:rFonts w:asciiTheme="minorHAnsi" w:eastAsia="Calibri" w:hAnsiTheme="minorHAnsi" w:cstheme="minorHAnsi"/>
          <w:b/>
          <w:bCs/>
          <w:sz w:val="22"/>
          <w:lang w:val="en-150"/>
        </w:rPr>
        <w:t>1)</w:t>
      </w:r>
      <w:r w:rsidR="00CF6F95">
        <w:rPr>
          <w:rFonts w:asciiTheme="minorHAnsi" w:eastAsia="Calibri" w:hAnsiTheme="minorHAnsi" w:cstheme="minorHAnsi"/>
          <w:b/>
          <w:bCs/>
          <w:sz w:val="22"/>
          <w:lang w:val="en-US"/>
        </w:rPr>
        <w:t xml:space="preserve"> </w:t>
      </w:r>
      <w:r w:rsidR="002045E4" w:rsidRPr="00CF6F95">
        <w:rPr>
          <w:rFonts w:asciiTheme="minorHAnsi" w:eastAsia="Calibri" w:hAnsiTheme="minorHAnsi" w:cstheme="minorHAnsi"/>
          <w:b/>
          <w:bCs/>
          <w:sz w:val="22"/>
          <w:lang w:val="en-150"/>
        </w:rPr>
        <w:t>Insertion of the aspects of ensuring pluralism and diversity in the constitutive law of the PAO; 2)</w:t>
      </w:r>
      <w:r w:rsidR="00CF6F95">
        <w:rPr>
          <w:rFonts w:asciiTheme="minorHAnsi" w:eastAsia="Calibri" w:hAnsiTheme="minorHAnsi" w:cstheme="minorHAnsi"/>
          <w:b/>
          <w:bCs/>
          <w:sz w:val="22"/>
          <w:lang w:val="en-US"/>
        </w:rPr>
        <w:t xml:space="preserve"> </w:t>
      </w:r>
      <w:r w:rsidR="002045E4" w:rsidRPr="00CF6F95">
        <w:rPr>
          <w:rFonts w:asciiTheme="minorHAnsi" w:eastAsia="Calibri" w:hAnsiTheme="minorHAnsi" w:cstheme="minorHAnsi"/>
          <w:b/>
          <w:bCs/>
          <w:sz w:val="22"/>
          <w:lang w:val="en-150"/>
        </w:rPr>
        <w:t>Adequate funding of the institution so that it can fulfill its mandated activities and be at the same comparable level of salaries for PAO officials as officials in other public institutions.</w:t>
      </w:r>
      <w:r w:rsidR="002045E4" w:rsidRPr="00CF6F95">
        <w:rPr>
          <w:rFonts w:asciiTheme="minorHAnsi" w:eastAsia="Calibri" w:hAnsiTheme="minorHAnsi" w:cstheme="minorHAnsi"/>
          <w:sz w:val="22"/>
          <w:lang w:val="en-150"/>
        </w:rPr>
        <w:t xml:space="preserve"> Although </w:t>
      </w:r>
      <w:r w:rsidR="008D6568" w:rsidRPr="00CF6F95">
        <w:rPr>
          <w:rFonts w:asciiTheme="minorHAnsi" w:eastAsia="Calibri" w:hAnsiTheme="minorHAnsi" w:cstheme="minorHAnsi"/>
          <w:sz w:val="22"/>
          <w:lang w:val="en-150"/>
        </w:rPr>
        <w:t>PAO</w:t>
      </w:r>
      <w:r w:rsidR="002045E4" w:rsidRPr="00CF6F95">
        <w:rPr>
          <w:rFonts w:asciiTheme="minorHAnsi" w:eastAsia="Calibri" w:hAnsiTheme="minorHAnsi" w:cstheme="minorHAnsi"/>
          <w:sz w:val="22"/>
          <w:lang w:val="en-150"/>
        </w:rPr>
        <w:t xml:space="preserve"> also has 72 staff, 46 persons (28 women and 18 men) are employed, </w:t>
      </w:r>
      <w:proofErr w:type="gramStart"/>
      <w:r w:rsidR="002045E4" w:rsidRPr="00CF6F95">
        <w:rPr>
          <w:rFonts w:asciiTheme="minorHAnsi" w:eastAsia="Calibri" w:hAnsiTheme="minorHAnsi" w:cstheme="minorHAnsi"/>
          <w:sz w:val="22"/>
          <w:lang w:val="en-150"/>
        </w:rPr>
        <w:t>i.e.</w:t>
      </w:r>
      <w:proofErr w:type="gramEnd"/>
      <w:r w:rsidR="002045E4" w:rsidRPr="00CF6F95">
        <w:rPr>
          <w:rFonts w:asciiTheme="minorHAnsi" w:eastAsia="Calibri" w:hAnsiTheme="minorHAnsi" w:cstheme="minorHAnsi"/>
          <w:sz w:val="22"/>
          <w:lang w:val="en-150"/>
        </w:rPr>
        <w:t xml:space="preserve"> only 63% of the posts are filled</w:t>
      </w:r>
      <w:r w:rsidR="008512A7" w:rsidRPr="00CF6F95">
        <w:rPr>
          <w:rFonts w:asciiTheme="minorHAnsi" w:eastAsia="Calibri" w:hAnsiTheme="minorHAnsi" w:cstheme="minorHAnsi"/>
          <w:sz w:val="22"/>
          <w:lang w:val="en-150"/>
        </w:rPr>
        <w:t xml:space="preserve"> due to financial constraints, low salaries, and limited budget</w:t>
      </w:r>
      <w:r w:rsidR="002045E4" w:rsidRPr="00CF6F95">
        <w:rPr>
          <w:rFonts w:asciiTheme="minorHAnsi" w:eastAsia="Calibri" w:hAnsiTheme="minorHAnsi" w:cstheme="minorHAnsi"/>
          <w:sz w:val="22"/>
          <w:lang w:val="en-150"/>
        </w:rPr>
        <w:t>. I</w:t>
      </w:r>
      <w:r w:rsidR="008512A7" w:rsidRPr="00CF6F95">
        <w:rPr>
          <w:rFonts w:asciiTheme="minorHAnsi" w:eastAsia="Calibri" w:hAnsiTheme="minorHAnsi" w:cstheme="minorHAnsi"/>
          <w:sz w:val="22"/>
          <w:lang w:val="en-150"/>
        </w:rPr>
        <w:t xml:space="preserve">n </w:t>
      </w:r>
      <w:r w:rsidR="002045E4" w:rsidRPr="00CF6F95">
        <w:rPr>
          <w:rFonts w:asciiTheme="minorHAnsi" w:eastAsia="Calibri" w:hAnsiTheme="minorHAnsi" w:cstheme="minorHAnsi"/>
          <w:sz w:val="22"/>
          <w:lang w:val="en-150"/>
        </w:rPr>
        <w:t xml:space="preserve">2024, more than 20% of the total budget of the institution was </w:t>
      </w:r>
      <w:r w:rsidR="00893C54" w:rsidRPr="00CF6F95">
        <w:rPr>
          <w:rFonts w:asciiTheme="minorHAnsi" w:eastAsia="Calibri" w:hAnsiTheme="minorHAnsi" w:cstheme="minorHAnsi"/>
          <w:sz w:val="22"/>
          <w:lang w:val="en-150"/>
        </w:rPr>
        <w:t>funded</w:t>
      </w:r>
      <w:r w:rsidR="002045E4" w:rsidRPr="00CF6F95">
        <w:rPr>
          <w:rFonts w:asciiTheme="minorHAnsi" w:eastAsia="Calibri" w:hAnsiTheme="minorHAnsi" w:cstheme="minorHAnsi"/>
          <w:sz w:val="22"/>
          <w:lang w:val="en-150"/>
        </w:rPr>
        <w:t xml:space="preserve"> from donors and partners, which is not enough anyway. </w:t>
      </w:r>
      <w:r w:rsidR="00406D16" w:rsidRPr="00CF6F95">
        <w:rPr>
          <w:rFonts w:asciiTheme="minorHAnsi" w:eastAsia="Calibri" w:hAnsiTheme="minorHAnsi" w:cstheme="minorHAnsi"/>
          <w:sz w:val="22"/>
          <w:lang w:val="en-150"/>
        </w:rPr>
        <w:t xml:space="preserve">These limitations hinder the </w:t>
      </w:r>
      <w:proofErr w:type="spellStart"/>
      <w:r w:rsidR="00406D16" w:rsidRPr="00CF6F95">
        <w:rPr>
          <w:rFonts w:asciiTheme="minorHAnsi" w:eastAsia="Calibri" w:hAnsiTheme="minorHAnsi" w:cstheme="minorHAnsi"/>
          <w:sz w:val="22"/>
          <w:lang w:val="en-150"/>
        </w:rPr>
        <w:t>NHRI's</w:t>
      </w:r>
      <w:proofErr w:type="spellEnd"/>
      <w:r w:rsidR="00406D16" w:rsidRPr="00CF6F95">
        <w:rPr>
          <w:rFonts w:asciiTheme="minorHAnsi" w:eastAsia="Calibri" w:hAnsiTheme="minorHAnsi" w:cstheme="minorHAnsi"/>
          <w:sz w:val="22"/>
          <w:lang w:val="en-150"/>
        </w:rPr>
        <w:t xml:space="preserve"> ability to fully carry out its mandate.</w:t>
      </w:r>
      <w:r w:rsidR="00CF6F95">
        <w:rPr>
          <w:rFonts w:asciiTheme="minorHAnsi" w:eastAsia="Calibri" w:hAnsiTheme="minorHAnsi" w:cstheme="minorHAnsi"/>
          <w:sz w:val="22"/>
          <w:lang w:val="en-US"/>
        </w:rPr>
        <w:t xml:space="preserve"> </w:t>
      </w:r>
      <w:r w:rsidR="002045E4" w:rsidRPr="00CF6F95">
        <w:rPr>
          <w:rFonts w:asciiTheme="minorHAnsi" w:eastAsia="Calibri" w:hAnsiTheme="minorHAnsi" w:cstheme="minorHAnsi"/>
          <w:b/>
          <w:bCs/>
          <w:sz w:val="22"/>
          <w:lang w:val="en-150"/>
        </w:rPr>
        <w:t>3)</w:t>
      </w:r>
      <w:r w:rsidR="00CF6F95">
        <w:rPr>
          <w:rFonts w:asciiTheme="minorHAnsi" w:eastAsia="Calibri" w:hAnsiTheme="minorHAnsi" w:cstheme="minorHAnsi"/>
          <w:b/>
          <w:bCs/>
          <w:sz w:val="22"/>
          <w:lang w:val="en-US"/>
        </w:rPr>
        <w:t xml:space="preserve"> </w:t>
      </w:r>
      <w:r w:rsidR="002045E4" w:rsidRPr="00CF6F95">
        <w:rPr>
          <w:rFonts w:asciiTheme="minorHAnsi" w:eastAsia="Calibri" w:hAnsiTheme="minorHAnsi" w:cstheme="minorHAnsi"/>
          <w:b/>
          <w:bCs/>
          <w:sz w:val="22"/>
          <w:lang w:val="en-150"/>
        </w:rPr>
        <w:t>Removal of provisions limiting the Ombudsman's immunity and return to previous provisions.</w:t>
      </w:r>
      <w:r w:rsidR="002045E4" w:rsidRPr="00CF6F95">
        <w:rPr>
          <w:rFonts w:asciiTheme="minorHAnsi" w:eastAsia="Calibri" w:hAnsiTheme="minorHAnsi" w:cstheme="minorHAnsi"/>
          <w:sz w:val="22"/>
          <w:lang w:val="en-150"/>
        </w:rPr>
        <w:t xml:space="preserve"> Although in the State's Periodic Report No. 7</w:t>
      </w:r>
      <w:r w:rsidR="002045E4" w:rsidRPr="00CF6F95">
        <w:rPr>
          <w:rStyle w:val="FootnoteReference"/>
          <w:rFonts w:asciiTheme="minorHAnsi" w:eastAsia="Calibri" w:hAnsiTheme="minorHAnsi" w:cstheme="minorHAnsi"/>
          <w:sz w:val="22"/>
          <w:lang w:val="en-150"/>
        </w:rPr>
        <w:footnoteReference w:id="1"/>
      </w:r>
      <w:r w:rsidR="002045E4" w:rsidRPr="00CF6F95">
        <w:rPr>
          <w:rFonts w:asciiTheme="minorHAnsi" w:eastAsia="Calibri" w:hAnsiTheme="minorHAnsi" w:cstheme="minorHAnsi"/>
          <w:sz w:val="22"/>
          <w:lang w:val="en-150"/>
        </w:rPr>
        <w:t xml:space="preserve">, in paragraph 59, the State mentions that in February 2023, the legal framework of the OAP was adapted to the latest international trends and standards, including by improving the selection, appointment and dismissal procedures, as well as by expanding the powers of the institution, the Sub-Committee </w:t>
      </w:r>
      <w:r w:rsidR="008D6568" w:rsidRPr="00CF6F95">
        <w:rPr>
          <w:rFonts w:asciiTheme="minorHAnsi" w:eastAsia="Calibri" w:hAnsiTheme="minorHAnsi" w:cstheme="minorHAnsi"/>
          <w:sz w:val="22"/>
          <w:lang w:val="en-150"/>
        </w:rPr>
        <w:t xml:space="preserve">on Accreditation </w:t>
      </w:r>
      <w:r w:rsidR="002045E4" w:rsidRPr="00CF6F95">
        <w:rPr>
          <w:rFonts w:asciiTheme="minorHAnsi" w:eastAsia="Calibri" w:hAnsiTheme="minorHAnsi" w:cstheme="minorHAnsi"/>
          <w:sz w:val="22"/>
          <w:lang w:val="en-150"/>
        </w:rPr>
        <w:t>expressed reservations about some of these changes.</w:t>
      </w:r>
    </w:p>
    <w:p w14:paraId="7D8AF309" w14:textId="3E8A832C" w:rsidR="00593D91" w:rsidRPr="00CF6F95" w:rsidRDefault="00593D91" w:rsidP="00792DBA">
      <w:pPr>
        <w:spacing w:after="200" w:line="276" w:lineRule="auto"/>
        <w:jc w:val="both"/>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Specifically, </w:t>
      </w:r>
      <w:r w:rsidR="005719F3" w:rsidRPr="00CF6F95">
        <w:rPr>
          <w:rFonts w:asciiTheme="minorHAnsi" w:eastAsia="Calibri" w:hAnsiTheme="minorHAnsi" w:cstheme="minorHAnsi"/>
          <w:sz w:val="22"/>
          <w:lang w:val="en-150"/>
        </w:rPr>
        <w:t>the removal of parliamentary consent for initiating criminal proceedings against the Ombudsman was seen by the Subcommittee as a threat to institutional independence. It recommended restoring the previous safeguards to better protect the Ombudsman from external pressure and procedural abuse.</w:t>
      </w:r>
    </w:p>
    <w:p w14:paraId="546B3E8D" w14:textId="590CB7A0" w:rsidR="00352478" w:rsidRPr="00CF6F95" w:rsidRDefault="00352478" w:rsidP="00792DBA">
      <w:pPr>
        <w:spacing w:after="200" w:line="276" w:lineRule="auto"/>
        <w:jc w:val="both"/>
        <w:rPr>
          <w:rFonts w:asciiTheme="minorHAnsi" w:eastAsia="Calibri" w:hAnsiTheme="minorHAnsi" w:cstheme="minorHAnsi"/>
          <w:sz w:val="22"/>
          <w:lang w:val="en-150"/>
        </w:rPr>
      </w:pPr>
      <w:r w:rsidRPr="00CF6F95">
        <w:rPr>
          <w:rFonts w:asciiTheme="minorHAnsi" w:eastAsia="Calibri" w:hAnsiTheme="minorHAnsi" w:cstheme="minorHAnsi"/>
          <w:sz w:val="22"/>
          <w:lang w:val="en-150"/>
        </w:rPr>
        <w:t xml:space="preserve">In addition to the challenges addressed, for the first time, the PAO was confronted with actions that can be characterized as attempts to interfere in </w:t>
      </w:r>
      <w:proofErr w:type="spellStart"/>
      <w:r w:rsidRPr="00CF6F95">
        <w:rPr>
          <w:rFonts w:asciiTheme="minorHAnsi" w:eastAsia="Calibri" w:hAnsiTheme="minorHAnsi" w:cstheme="minorHAnsi"/>
          <w:sz w:val="22"/>
          <w:lang w:val="en-150"/>
        </w:rPr>
        <w:t>NHRI's</w:t>
      </w:r>
      <w:proofErr w:type="spellEnd"/>
      <w:r w:rsidRPr="00CF6F95">
        <w:rPr>
          <w:rFonts w:asciiTheme="minorHAnsi" w:eastAsia="Calibri" w:hAnsiTheme="minorHAnsi" w:cstheme="minorHAnsi"/>
          <w:sz w:val="22"/>
          <w:lang w:val="en-150"/>
        </w:rPr>
        <w:t xml:space="preserve"> work. In March 2025, the Ombudsman condemned the General Prosecutor's attempts</w:t>
      </w:r>
      <w:r w:rsidRPr="00CF6F95">
        <w:rPr>
          <w:rStyle w:val="FootnoteReference"/>
          <w:rFonts w:asciiTheme="minorHAnsi" w:eastAsia="Calibri" w:hAnsiTheme="minorHAnsi" w:cstheme="minorHAnsi"/>
          <w:sz w:val="22"/>
          <w:lang w:val="en-150"/>
        </w:rPr>
        <w:footnoteReference w:id="2"/>
      </w:r>
      <w:r w:rsidRPr="00CF6F95">
        <w:rPr>
          <w:rFonts w:asciiTheme="minorHAnsi" w:eastAsia="Calibri" w:hAnsiTheme="minorHAnsi" w:cstheme="minorHAnsi"/>
          <w:sz w:val="22"/>
          <w:lang w:val="en-150"/>
        </w:rPr>
        <w:t xml:space="preserve"> to discredit PAO. His request to amend a special report, which highlights problems of both an individual and systemic nature, and includes </w:t>
      </w:r>
      <w:r w:rsidRPr="00CF6F95">
        <w:rPr>
          <w:rFonts w:asciiTheme="minorHAnsi" w:eastAsia="Calibri" w:hAnsiTheme="minorHAnsi" w:cstheme="minorHAnsi"/>
          <w:sz w:val="22"/>
          <w:lang w:val="en-150"/>
        </w:rPr>
        <w:lastRenderedPageBreak/>
        <w:t>recommendations to remedy them, raised serious concerns. Such a case also occurred in 2024</w:t>
      </w:r>
      <w:r w:rsidRPr="00CF6F95">
        <w:rPr>
          <w:rStyle w:val="FootnoteReference"/>
          <w:rFonts w:asciiTheme="minorHAnsi" w:eastAsia="Calibri" w:hAnsiTheme="minorHAnsi" w:cstheme="minorHAnsi"/>
          <w:sz w:val="22"/>
          <w:lang w:val="en-150"/>
        </w:rPr>
        <w:footnoteReference w:id="3"/>
      </w:r>
      <w:r w:rsidRPr="00CF6F95">
        <w:rPr>
          <w:rFonts w:asciiTheme="minorHAnsi" w:eastAsia="Calibri" w:hAnsiTheme="minorHAnsi" w:cstheme="minorHAnsi"/>
          <w:sz w:val="22"/>
          <w:lang w:val="en-150"/>
        </w:rPr>
        <w:t>, when following the dispatch of a special report with a set of recommendations, the Chief of the General Inspectorate of Police subsequently sent an official letter challenging certain findings of the report, requesting its amendment and the removal of public communications on the subject, threatening legal action in case of non-compliance.</w:t>
      </w:r>
    </w:p>
    <w:p w14:paraId="2E7CDFE8" w14:textId="7B022EE2" w:rsidR="00352478" w:rsidRPr="00CF6F95" w:rsidRDefault="00352478" w:rsidP="00792DBA">
      <w:pPr>
        <w:spacing w:after="200" w:line="276" w:lineRule="auto"/>
        <w:jc w:val="both"/>
        <w:rPr>
          <w:rFonts w:asciiTheme="minorHAnsi" w:eastAsia="Calibri" w:hAnsiTheme="minorHAnsi" w:cstheme="minorHAnsi"/>
          <w:sz w:val="22"/>
          <w:lang w:val="en-150"/>
        </w:rPr>
      </w:pPr>
      <w:r w:rsidRPr="00CF6F95">
        <w:rPr>
          <w:rFonts w:asciiTheme="minorHAnsi" w:eastAsia="Calibri" w:hAnsiTheme="minorHAnsi" w:cstheme="minorHAnsi"/>
          <w:sz w:val="22"/>
          <w:lang w:val="en-150"/>
        </w:rPr>
        <w:t>In order to mitigate and prevent such actions, the Ombudsman has submitted official letters with an appeal for support, both to national authorities, such as the Parliament, the Government, the Superior Council of Prosecutors, etc., as well as to regional and international organizations.</w:t>
      </w:r>
    </w:p>
    <w:p w14:paraId="0B8DED0A" w14:textId="0D8A3549" w:rsidR="00827F4F" w:rsidRDefault="00827F4F" w:rsidP="00827F4F">
      <w:pPr>
        <w:keepNext/>
        <w:keepLines/>
        <w:outlineLvl w:val="0"/>
        <w:rPr>
          <w:rFonts w:asciiTheme="minorHAnsi" w:eastAsiaTheme="majorEastAsia" w:hAnsiTheme="minorHAnsi" w:cstheme="majorBidi"/>
          <w:color w:val="365F91" w:themeColor="accent1" w:themeShade="BF"/>
          <w:sz w:val="32"/>
          <w:szCs w:val="32"/>
          <w:lang w:val="en-150"/>
        </w:rPr>
      </w:pPr>
      <w:r w:rsidRPr="00CF6F95">
        <w:rPr>
          <w:rFonts w:asciiTheme="minorHAnsi" w:eastAsiaTheme="majorEastAsia" w:hAnsiTheme="minorHAnsi" w:cstheme="majorBidi"/>
          <w:color w:val="365F91" w:themeColor="accent1" w:themeShade="BF"/>
          <w:sz w:val="32"/>
          <w:szCs w:val="32"/>
          <w:lang w:val="en-150"/>
        </w:rPr>
        <w:br w:type="page"/>
      </w:r>
      <w:bookmarkStart w:id="4" w:name="_Toc198488099"/>
      <w:r w:rsidRPr="00CF6F95">
        <w:rPr>
          <w:rFonts w:asciiTheme="minorHAnsi" w:eastAsiaTheme="majorEastAsia" w:hAnsiTheme="minorHAnsi" w:cstheme="majorBidi"/>
          <w:color w:val="365F91" w:themeColor="accent1" w:themeShade="BF"/>
          <w:sz w:val="32"/>
          <w:szCs w:val="32"/>
          <w:lang w:val="en-150"/>
        </w:rPr>
        <w:lastRenderedPageBreak/>
        <w:t>Introdu</w:t>
      </w:r>
      <w:r w:rsidR="00352478" w:rsidRPr="00CF6F95">
        <w:rPr>
          <w:rFonts w:asciiTheme="minorHAnsi" w:eastAsiaTheme="majorEastAsia" w:hAnsiTheme="minorHAnsi" w:cstheme="majorBidi"/>
          <w:color w:val="365F91" w:themeColor="accent1" w:themeShade="BF"/>
          <w:sz w:val="32"/>
          <w:szCs w:val="32"/>
          <w:lang w:val="en-150"/>
        </w:rPr>
        <w:t>ction</w:t>
      </w:r>
      <w:bookmarkEnd w:id="4"/>
    </w:p>
    <w:p w14:paraId="0A2AE8BF" w14:textId="77777777" w:rsidR="00007F1B" w:rsidRPr="00CF6F95" w:rsidRDefault="00007F1B" w:rsidP="00827F4F">
      <w:pPr>
        <w:keepNext/>
        <w:keepLines/>
        <w:outlineLvl w:val="0"/>
        <w:rPr>
          <w:rFonts w:asciiTheme="minorHAnsi" w:eastAsiaTheme="majorEastAsia" w:hAnsiTheme="minorHAnsi" w:cstheme="majorBidi"/>
          <w:color w:val="365F91" w:themeColor="accent1" w:themeShade="BF"/>
          <w:sz w:val="32"/>
          <w:szCs w:val="32"/>
          <w:lang w:val="en-150"/>
        </w:rPr>
      </w:pPr>
    </w:p>
    <w:p w14:paraId="0B7BF564" w14:textId="2D81A38B" w:rsidR="00352478" w:rsidRPr="00CF6F95" w:rsidRDefault="00352478" w:rsidP="00352478">
      <w:pPr>
        <w:jc w:val="both"/>
        <w:rPr>
          <w:rFonts w:asciiTheme="minorHAnsi" w:hAnsiTheme="minorHAnsi" w:cstheme="minorHAnsi"/>
          <w:sz w:val="22"/>
          <w:lang w:val="en-150"/>
        </w:rPr>
      </w:pPr>
      <w:r w:rsidRPr="00CF6F95">
        <w:rPr>
          <w:rFonts w:asciiTheme="minorHAnsi" w:hAnsiTheme="minorHAnsi" w:cstheme="minorHAnsi"/>
          <w:sz w:val="22"/>
          <w:lang w:val="en-150"/>
        </w:rPr>
        <w:t>The PAO submits its contribution to the UN Committee on the Elimination of Discrimination Against Women (CEDAW), under the Convention on the Elimination of All Forms of Discrimination Against Women, for its pre-sessional working group for its 93rd session from July 7 to July 11, 2025.</w:t>
      </w:r>
    </w:p>
    <w:p w14:paraId="616BD766" w14:textId="77777777" w:rsidR="00352478" w:rsidRPr="00CF6F95" w:rsidRDefault="00352478" w:rsidP="00352478">
      <w:pPr>
        <w:jc w:val="both"/>
        <w:rPr>
          <w:rFonts w:asciiTheme="minorHAnsi" w:hAnsiTheme="minorHAnsi" w:cstheme="minorHAnsi"/>
          <w:sz w:val="22"/>
          <w:lang w:val="en-150"/>
        </w:rPr>
      </w:pPr>
    </w:p>
    <w:p w14:paraId="61EEDDC9" w14:textId="0A961263" w:rsidR="00827F4F" w:rsidRPr="00CF6F95" w:rsidRDefault="00352478" w:rsidP="00827F4F">
      <w:pPr>
        <w:jc w:val="both"/>
        <w:rPr>
          <w:rFonts w:asciiTheme="minorHAnsi" w:hAnsiTheme="minorHAnsi" w:cstheme="minorHAnsi"/>
          <w:sz w:val="22"/>
          <w:lang w:val="en-150"/>
        </w:rPr>
      </w:pPr>
      <w:r w:rsidRPr="00CF6F95">
        <w:rPr>
          <w:rFonts w:asciiTheme="minorHAnsi" w:hAnsiTheme="minorHAnsi" w:cstheme="minorHAnsi"/>
          <w:sz w:val="22"/>
          <w:lang w:val="en-150"/>
        </w:rPr>
        <w:t xml:space="preserve">This report includes findings and recommendations resulting from the </w:t>
      </w:r>
      <w:proofErr w:type="spellStart"/>
      <w:r w:rsidRPr="00CF6F95">
        <w:rPr>
          <w:rFonts w:asciiTheme="minorHAnsi" w:hAnsiTheme="minorHAnsi" w:cstheme="minorHAnsi"/>
          <w:sz w:val="22"/>
          <w:lang w:val="en-150"/>
        </w:rPr>
        <w:t>PAO's</w:t>
      </w:r>
      <w:proofErr w:type="spellEnd"/>
      <w:r w:rsidRPr="00CF6F95">
        <w:rPr>
          <w:rFonts w:asciiTheme="minorHAnsi" w:hAnsiTheme="minorHAnsi" w:cstheme="minorHAnsi"/>
          <w:sz w:val="22"/>
          <w:lang w:val="en-150"/>
        </w:rPr>
        <w:t xml:space="preserve"> mandate activities, such as: monitoring (visits) in the field, investigation of individual complaints submitted to the PAO, </w:t>
      </w:r>
      <w:r w:rsidR="00136B8A" w:rsidRPr="00CF6F95">
        <w:rPr>
          <w:rFonts w:asciiTheme="minorHAnsi" w:hAnsiTheme="minorHAnsi" w:cstheme="minorHAnsi"/>
          <w:i/>
          <w:iCs/>
          <w:sz w:val="22"/>
          <w:lang w:val="en-150"/>
        </w:rPr>
        <w:t>ex officio</w:t>
      </w:r>
      <w:r w:rsidR="00136B8A" w:rsidRPr="00CF6F95">
        <w:rPr>
          <w:rFonts w:asciiTheme="minorHAnsi" w:hAnsiTheme="minorHAnsi" w:cstheme="minorHAnsi"/>
          <w:sz w:val="22"/>
          <w:lang w:val="en-150"/>
        </w:rPr>
        <w:t xml:space="preserve"> referrals </w:t>
      </w:r>
      <w:r w:rsidRPr="00CF6F95">
        <w:rPr>
          <w:rFonts w:asciiTheme="minorHAnsi" w:hAnsiTheme="minorHAnsi" w:cstheme="minorHAnsi"/>
          <w:sz w:val="22"/>
          <w:lang w:val="en-150"/>
        </w:rPr>
        <w:t>in the context of issues with major social impact or systemic problems, examination of legislation and public policies in the light of the standards set out in CEDAW. Thus, the report is systematized into specific themes by groups, with reference to the articles of the Convention, such as: the situation of women with disabilities, women in places of deprivation of liberty, refugee women, children exposed to violence, with a focus on girls. It is certain that the Ombudsman draws attention to the most pressing problems at national level in the context of CEDAW implementation and puts forward structural recommendations to improve the situation in this area.</w:t>
      </w:r>
    </w:p>
    <w:p w14:paraId="27402C31" w14:textId="77777777" w:rsidR="00352478" w:rsidRPr="00CF6F95" w:rsidRDefault="00352478" w:rsidP="00827F4F">
      <w:pPr>
        <w:jc w:val="both"/>
        <w:rPr>
          <w:rFonts w:asciiTheme="minorHAnsi" w:hAnsiTheme="minorHAnsi" w:cstheme="minorHAnsi"/>
          <w:sz w:val="22"/>
          <w:lang w:val="en-150"/>
        </w:rPr>
      </w:pPr>
    </w:p>
    <w:p w14:paraId="3829449D" w14:textId="1A9D5E7B" w:rsidR="00352478" w:rsidRPr="00CF6F95" w:rsidRDefault="00352478" w:rsidP="00827F4F">
      <w:pPr>
        <w:jc w:val="both"/>
        <w:rPr>
          <w:rFonts w:asciiTheme="minorHAnsi" w:hAnsiTheme="minorHAnsi" w:cstheme="minorHAnsi"/>
          <w:sz w:val="22"/>
          <w:lang w:val="en-150"/>
        </w:rPr>
      </w:pPr>
      <w:r w:rsidRPr="00CF6F95">
        <w:rPr>
          <w:rFonts w:asciiTheme="minorHAnsi" w:hAnsiTheme="minorHAnsi" w:cstheme="minorHAnsi"/>
          <w:sz w:val="22"/>
          <w:lang w:val="en-150"/>
        </w:rPr>
        <w:t xml:space="preserve">As mentioned, given the ability to review individual applications, the PAO is a quasi-judicial institution. Thus, according to internal statistical data </w:t>
      </w:r>
      <w:r w:rsidRPr="00CF6F95">
        <w:rPr>
          <w:rFonts w:asciiTheme="minorHAnsi" w:hAnsiTheme="minorHAnsi" w:cstheme="minorHAnsi"/>
          <w:b/>
          <w:bCs/>
          <w:sz w:val="22"/>
          <w:lang w:val="en-150"/>
        </w:rPr>
        <w:t>from 2024 to the current period 2025, out of the total number of applications in which the person declared gender, about 37.5% are filed by women.</w:t>
      </w:r>
      <w:r w:rsidRPr="00CF6F95">
        <w:rPr>
          <w:rFonts w:asciiTheme="minorHAnsi" w:hAnsiTheme="minorHAnsi" w:cstheme="minorHAnsi"/>
          <w:sz w:val="22"/>
          <w:lang w:val="en-150"/>
        </w:rPr>
        <w:t xml:space="preserve"> For the most part, women apply to the PAO regarding alleged violations related to access to justice, right to work, right to education, right to social assistance and social protection</w:t>
      </w:r>
    </w:p>
    <w:p w14:paraId="26880658" w14:textId="77777777" w:rsidR="00352478" w:rsidRPr="00CF6F95" w:rsidRDefault="00352478" w:rsidP="00827F4F">
      <w:pPr>
        <w:jc w:val="both"/>
        <w:rPr>
          <w:rFonts w:asciiTheme="minorHAnsi" w:hAnsiTheme="minorHAnsi" w:cstheme="minorHAnsi"/>
          <w:sz w:val="22"/>
          <w:lang w:val="en-150"/>
        </w:rPr>
      </w:pPr>
    </w:p>
    <w:p w14:paraId="781AD2E7" w14:textId="3A4C1A2F" w:rsidR="00352478" w:rsidRPr="00CF6F95" w:rsidRDefault="006E1727" w:rsidP="00827F4F">
      <w:pPr>
        <w:jc w:val="both"/>
        <w:rPr>
          <w:rFonts w:asciiTheme="minorHAnsi" w:hAnsiTheme="minorHAnsi" w:cstheme="minorHAnsi"/>
          <w:sz w:val="22"/>
          <w:lang w:val="en-150"/>
        </w:rPr>
      </w:pPr>
      <w:r w:rsidRPr="00CF6F95">
        <w:rPr>
          <w:rFonts w:asciiTheme="minorHAnsi" w:hAnsiTheme="minorHAnsi" w:cstheme="minorHAnsi"/>
          <w:sz w:val="22"/>
          <w:lang w:val="en-150"/>
        </w:rPr>
        <w:t xml:space="preserve">The data of the </w:t>
      </w:r>
      <w:r w:rsidRPr="00CF6F95">
        <w:rPr>
          <w:rFonts w:asciiTheme="minorHAnsi" w:hAnsiTheme="minorHAnsi" w:cstheme="minorHAnsi"/>
          <w:b/>
          <w:bCs/>
          <w:sz w:val="22"/>
          <w:lang w:val="en-150"/>
        </w:rPr>
        <w:t>Study on Perceptions of Human Rights in the Republic of Moldova prepared by the People's Advocate Office in 2023</w:t>
      </w:r>
      <w:r w:rsidR="00CA243C" w:rsidRPr="00CF6F95">
        <w:rPr>
          <w:rStyle w:val="FootnoteReference"/>
          <w:rFonts w:asciiTheme="minorHAnsi" w:hAnsiTheme="minorHAnsi" w:cstheme="minorHAnsi"/>
          <w:b/>
          <w:bCs/>
          <w:sz w:val="22"/>
          <w:lang w:val="en-150"/>
        </w:rPr>
        <w:footnoteReference w:id="4"/>
      </w:r>
      <w:r w:rsidRPr="00CF6F95">
        <w:rPr>
          <w:rFonts w:asciiTheme="minorHAnsi" w:hAnsiTheme="minorHAnsi" w:cstheme="minorHAnsi"/>
          <w:sz w:val="22"/>
          <w:lang w:val="en-150"/>
        </w:rPr>
        <w:t xml:space="preserve">, reflects that 60.4% of the respondents believe that women's rights are respected in the Republic of Moldova. In 2020, 58% shared this view, and in 2018 - 48.9%. There is a noticeable increase in the perception of respect for women's rights in Moldova. However, </w:t>
      </w:r>
      <w:r w:rsidRPr="00CF6F95">
        <w:rPr>
          <w:rFonts w:asciiTheme="minorHAnsi" w:hAnsiTheme="minorHAnsi" w:cstheme="minorHAnsi"/>
          <w:sz w:val="22"/>
          <w:u w:val="single"/>
          <w:lang w:val="en-150"/>
        </w:rPr>
        <w:t>the data show that the women surveyed in lower proportions believe that their rights are respected.</w:t>
      </w:r>
    </w:p>
    <w:p w14:paraId="0FB213B5" w14:textId="77777777" w:rsidR="005719F3" w:rsidRPr="00CF6F95" w:rsidRDefault="00CA243C" w:rsidP="00827F4F">
      <w:pPr>
        <w:jc w:val="both"/>
        <w:rPr>
          <w:rFonts w:asciiTheme="minorHAnsi" w:hAnsiTheme="minorHAnsi" w:cstheme="minorHAnsi"/>
          <w:sz w:val="22"/>
          <w:lang w:val="en-150"/>
        </w:rPr>
      </w:pPr>
      <w:r w:rsidRPr="00CF6F95">
        <w:rPr>
          <w:rFonts w:asciiTheme="minorHAnsi" w:hAnsiTheme="minorHAnsi" w:cstheme="minorHAnsi"/>
          <w:sz w:val="22"/>
          <w:lang w:val="en-150"/>
        </w:rPr>
        <w:t>In the context of women's enjoyment of certain rights, 57.3% of the respondents consider that women are ensured to a very or very great extent the right to health protection, 58.3% - the right to work, 41.9% - the right to a fair trial. In general, the majority of respondents, 74.6%, believe that women have the same opportunities for professional and personal fulfillment as men.</w:t>
      </w:r>
      <w:r w:rsidR="0058505C" w:rsidRPr="00CF6F95">
        <w:rPr>
          <w:rFonts w:asciiTheme="minorHAnsi" w:hAnsiTheme="minorHAnsi" w:cstheme="minorHAnsi"/>
          <w:sz w:val="22"/>
          <w:lang w:val="en-150"/>
        </w:rPr>
        <w:t xml:space="preserve"> </w:t>
      </w:r>
      <w:r w:rsidRPr="00CF6F95">
        <w:rPr>
          <w:rFonts w:asciiTheme="minorHAnsi" w:hAnsiTheme="minorHAnsi" w:cstheme="minorHAnsi"/>
          <w:sz w:val="22"/>
          <w:lang w:val="en-150"/>
        </w:rPr>
        <w:t xml:space="preserve">Although it is observed that the perception of the population is becoming more and more positive regarding the provision of women's rights from one period to another, </w:t>
      </w:r>
      <w:r w:rsidRPr="00CF6F95">
        <w:rPr>
          <w:rFonts w:asciiTheme="minorHAnsi" w:hAnsiTheme="minorHAnsi" w:cstheme="minorHAnsi"/>
          <w:b/>
          <w:bCs/>
          <w:sz w:val="22"/>
          <w:lang w:val="en-150"/>
        </w:rPr>
        <w:t>however, in the context of the field visits carried out in the period 2022 -2025 by the PAO</w:t>
      </w:r>
      <w:r w:rsidRPr="00CF6F95">
        <w:rPr>
          <w:rFonts w:asciiTheme="minorHAnsi" w:hAnsiTheme="minorHAnsi" w:cstheme="minorHAnsi"/>
          <w:sz w:val="22"/>
          <w:lang w:val="en-150"/>
        </w:rPr>
        <w:t>, a set of problems systematically faced by women and girls are observed, such as: early marriages among Roma ethnic groups affecting girls in particular and perpetuating cycles of social and educational exclusion; inequitable salaries of social workers (often women) reflecting a systemic undervaluation of the work provided; excessive duration of forensic psychological and psychiatric expertise delaying access to justice for women and girls victims of violence; inaccessible infrastructure for women with disabilities to public institutions; multiple cases of domestic violence.</w:t>
      </w:r>
      <w:r w:rsidR="00950308" w:rsidRPr="00CF6F95">
        <w:rPr>
          <w:rFonts w:asciiTheme="minorHAnsi" w:hAnsiTheme="minorHAnsi" w:cstheme="minorHAnsi"/>
          <w:sz w:val="22"/>
          <w:lang w:val="en-150"/>
        </w:rPr>
        <w:t xml:space="preserve"> </w:t>
      </w:r>
    </w:p>
    <w:p w14:paraId="5D2C9346" w14:textId="77777777" w:rsidR="005719F3" w:rsidRPr="00CF6F95" w:rsidRDefault="005719F3" w:rsidP="00827F4F">
      <w:pPr>
        <w:jc w:val="both"/>
        <w:rPr>
          <w:rFonts w:asciiTheme="minorHAnsi" w:hAnsiTheme="minorHAnsi" w:cstheme="minorHAnsi"/>
          <w:sz w:val="22"/>
          <w:lang w:val="en-150"/>
        </w:rPr>
      </w:pPr>
    </w:p>
    <w:p w14:paraId="7F4A1545" w14:textId="3DAAD14F" w:rsidR="006E1727" w:rsidRPr="00CF6F95" w:rsidRDefault="00950308" w:rsidP="00827F4F">
      <w:pPr>
        <w:jc w:val="both"/>
        <w:rPr>
          <w:rFonts w:asciiTheme="minorHAnsi" w:hAnsiTheme="minorHAnsi" w:cstheme="minorHAnsi"/>
          <w:sz w:val="22"/>
          <w:lang w:val="en-150"/>
        </w:rPr>
      </w:pPr>
      <w:r w:rsidRPr="00CF6F95">
        <w:rPr>
          <w:rFonts w:asciiTheme="minorHAnsi" w:hAnsiTheme="minorHAnsi" w:cstheme="minorHAnsi"/>
          <w:sz w:val="22"/>
          <w:lang w:val="en-150"/>
        </w:rPr>
        <w:lastRenderedPageBreak/>
        <w:t>Additionally, the Ombudsman highlights the restricted access and the lack of monitoring mechanisms in the Transnistrian region hinder the assessment of the real situation of women's rights, especially those of vulnerable women. This problem is exacerbated by the absence of an integrated national system of disaggregated data collection, affecting the capacity of institutions to act effectively and develop evidence-based policies. These issues will be addressed in detail in the report.</w:t>
      </w:r>
    </w:p>
    <w:p w14:paraId="7B72924D" w14:textId="14955C16" w:rsidR="00827F4F" w:rsidRPr="009A05B7" w:rsidRDefault="0058505C" w:rsidP="00136B8A">
      <w:pPr>
        <w:pStyle w:val="Heading1"/>
        <w:jc w:val="both"/>
        <w:rPr>
          <w:rFonts w:asciiTheme="minorHAnsi" w:hAnsiTheme="minorHAnsi"/>
          <w:lang w:val="en-150"/>
        </w:rPr>
      </w:pPr>
      <w:bookmarkStart w:id="5" w:name="_Toc198488100"/>
      <w:r w:rsidRPr="009A05B7">
        <w:rPr>
          <w:rFonts w:asciiTheme="minorHAnsi" w:hAnsiTheme="minorHAnsi"/>
          <w:lang w:val="en-150"/>
        </w:rPr>
        <w:t>Regulatory and public policy framework (Art. 2 and 3 of the Convention)</w:t>
      </w:r>
      <w:bookmarkEnd w:id="5"/>
    </w:p>
    <w:p w14:paraId="75639D9D" w14:textId="77777777" w:rsidR="00827F4F" w:rsidRPr="00CF6F95" w:rsidRDefault="00827F4F" w:rsidP="00827F4F">
      <w:pPr>
        <w:rPr>
          <w:rFonts w:asciiTheme="minorHAnsi" w:hAnsiTheme="minorHAnsi"/>
          <w:lang w:val="en-150"/>
        </w:rPr>
      </w:pPr>
    </w:p>
    <w:p w14:paraId="6538B1FA" w14:textId="619471F0" w:rsidR="0058505C" w:rsidRPr="00CF6F95" w:rsidRDefault="00136B8A" w:rsidP="00827F4F">
      <w:pPr>
        <w:spacing w:after="200"/>
        <w:jc w:val="both"/>
        <w:rPr>
          <w:rFonts w:asciiTheme="minorHAnsi" w:hAnsiTheme="minorHAnsi" w:cstheme="minorHAnsi"/>
          <w:sz w:val="22"/>
          <w:lang w:val="en-150"/>
        </w:rPr>
      </w:pPr>
      <w:r w:rsidRPr="00CF6F95">
        <w:rPr>
          <w:rFonts w:asciiTheme="minorHAnsi" w:hAnsiTheme="minorHAnsi" w:cstheme="minorHAnsi"/>
          <w:sz w:val="22"/>
          <w:lang w:val="en-150"/>
        </w:rPr>
        <w:t>The legislative framework ensures gender equality and prohibits discrimination against women, but the main challenge lies in effectively implementing these provisions to prevent and reduce discrimination in all its forms.</w:t>
      </w:r>
      <w:r w:rsidR="0058505C" w:rsidRPr="00CF6F95">
        <w:rPr>
          <w:rFonts w:asciiTheme="minorHAnsi" w:hAnsiTheme="minorHAnsi" w:cstheme="minorHAnsi"/>
          <w:sz w:val="22"/>
          <w:lang w:val="en-150"/>
        </w:rPr>
        <w:t xml:space="preserve"> According to the Study on Perceptions of Human Rights in the Republic of Moldova in 2023</w:t>
      </w:r>
      <w:r w:rsidR="0058505C" w:rsidRPr="00CF6F95">
        <w:rPr>
          <w:rStyle w:val="FootnoteReference"/>
          <w:rFonts w:asciiTheme="minorHAnsi" w:hAnsiTheme="minorHAnsi" w:cstheme="minorHAnsi"/>
          <w:sz w:val="22"/>
          <w:lang w:val="en-150"/>
        </w:rPr>
        <w:footnoteReference w:id="5"/>
      </w:r>
      <w:r w:rsidR="0058505C" w:rsidRPr="00CF6F95">
        <w:rPr>
          <w:rFonts w:asciiTheme="minorHAnsi" w:hAnsiTheme="minorHAnsi" w:cstheme="minorHAnsi"/>
          <w:sz w:val="22"/>
          <w:lang w:val="en-150"/>
        </w:rPr>
        <w:t>, mentioned above, of the people who faced violations of their rights, most frequently, at the level of 70 - 80% appealed to claim their rights to equality and non-discrimination and the right not to be discriminated against persons with disabilities.</w:t>
      </w:r>
    </w:p>
    <w:p w14:paraId="686A21B0" w14:textId="620FE943" w:rsidR="00500B32" w:rsidRPr="00CF6F95" w:rsidRDefault="0058505C" w:rsidP="00500B32">
      <w:pPr>
        <w:spacing w:after="200"/>
        <w:jc w:val="both"/>
        <w:rPr>
          <w:rFonts w:asciiTheme="minorHAnsi" w:hAnsiTheme="minorHAnsi" w:cstheme="minorHAnsi"/>
          <w:sz w:val="22"/>
          <w:lang w:val="en-150"/>
        </w:rPr>
      </w:pPr>
      <w:r w:rsidRPr="00CF6F95">
        <w:rPr>
          <w:rFonts w:asciiTheme="minorHAnsi" w:hAnsiTheme="minorHAnsi" w:cstheme="minorHAnsi"/>
          <w:sz w:val="22"/>
          <w:lang w:val="en-150"/>
        </w:rPr>
        <w:t xml:space="preserve">In combating the phenomenon, the state authorities have continued to adopt legislative measures relevant to the field of non-discrimination, among the most recent being: Law no. 180/2024 for the amendment of some normative acts (equal access to goods and services for women and men), which strengthened Law no. 5/2006 on ensuring equal opportunities between women and men; Law no. 440/2023 for the ratification of ILO Convention no. 190 on violence and harassment in the world of work, </w:t>
      </w:r>
      <w:r w:rsidR="005719F3" w:rsidRPr="00CF6F95">
        <w:rPr>
          <w:rFonts w:asciiTheme="minorHAnsi" w:hAnsiTheme="minorHAnsi" w:cstheme="minorHAnsi"/>
          <w:sz w:val="22"/>
          <w:lang w:val="en-150"/>
        </w:rPr>
        <w:t>(</w:t>
      </w:r>
      <w:r w:rsidRPr="00CF6F95">
        <w:rPr>
          <w:rFonts w:asciiTheme="minorHAnsi" w:hAnsiTheme="minorHAnsi" w:cstheme="minorHAnsi"/>
          <w:sz w:val="22"/>
          <w:lang w:val="en-150"/>
        </w:rPr>
        <w:t>entered into force on March 19, 2025</w:t>
      </w:r>
      <w:r w:rsidR="005719F3" w:rsidRPr="00CF6F95">
        <w:rPr>
          <w:rFonts w:asciiTheme="minorHAnsi" w:hAnsiTheme="minorHAnsi" w:cstheme="minorHAnsi"/>
          <w:sz w:val="22"/>
          <w:lang w:val="en-150"/>
        </w:rPr>
        <w:t>)</w:t>
      </w:r>
      <w:r w:rsidRPr="00CF6F95">
        <w:rPr>
          <w:rFonts w:asciiTheme="minorHAnsi" w:hAnsiTheme="minorHAnsi" w:cstheme="minorHAnsi"/>
          <w:sz w:val="22"/>
          <w:lang w:val="en-150"/>
        </w:rPr>
        <w:t xml:space="preserve">.  </w:t>
      </w:r>
      <w:r w:rsidR="005719F3" w:rsidRPr="00CF6F95">
        <w:rPr>
          <w:rFonts w:asciiTheme="minorHAnsi" w:hAnsiTheme="minorHAnsi" w:cstheme="minorHAnsi"/>
          <w:sz w:val="22"/>
          <w:lang w:val="en-150"/>
        </w:rPr>
        <w:t>Also,</w:t>
      </w:r>
      <w:r w:rsidRPr="00CF6F95">
        <w:rPr>
          <w:rFonts w:asciiTheme="minorHAnsi" w:hAnsiTheme="minorHAnsi" w:cstheme="minorHAnsi"/>
          <w:sz w:val="22"/>
          <w:lang w:val="en-150"/>
        </w:rPr>
        <w:t xml:space="preserve"> the ratification of some provisions of the European Social Charter (revised) by Law No. 185/2024 strengthened the protection of social rights, including the right to work. However, the Ombudsman points out that Article 4 was partially ratified, with only paragraph 2 being included, while paragraph 1, on the right to a wage sufficient for a decent living for both workers and their families, was omitted, despite the 2023 recommendations. In this regard, the Ombudsman recommends full ratification of Article 4 of the European Social Charter (revised).</w:t>
      </w:r>
    </w:p>
    <w:p w14:paraId="4CE77023" w14:textId="17350A1F" w:rsidR="000877D4" w:rsidRPr="00CF6F95" w:rsidRDefault="000877D4" w:rsidP="00500B32">
      <w:pPr>
        <w:spacing w:after="200"/>
        <w:jc w:val="both"/>
        <w:rPr>
          <w:rFonts w:asciiTheme="minorHAnsi" w:hAnsiTheme="minorHAnsi" w:cstheme="minorHAnsi"/>
          <w:sz w:val="22"/>
          <w:lang w:val="en-150"/>
        </w:rPr>
      </w:pPr>
      <w:proofErr w:type="gramStart"/>
      <w:r w:rsidRPr="00CF6F95">
        <w:rPr>
          <w:rFonts w:asciiTheme="minorHAnsi" w:hAnsiTheme="minorHAnsi" w:cstheme="minorHAnsi"/>
          <w:sz w:val="22"/>
          <w:lang w:val="en-150"/>
        </w:rPr>
        <w:t>Also</w:t>
      </w:r>
      <w:proofErr w:type="gramEnd"/>
      <w:r w:rsidRPr="00CF6F95">
        <w:rPr>
          <w:rFonts w:asciiTheme="minorHAnsi" w:hAnsiTheme="minorHAnsi" w:cstheme="minorHAnsi"/>
          <w:sz w:val="22"/>
          <w:lang w:val="en-150"/>
        </w:rPr>
        <w:t xml:space="preserve"> in the context of ensuring the right to work, the participation of women with family responsibilities in the </w:t>
      </w:r>
      <w:r w:rsidR="00C85B4D" w:rsidRPr="00CF6F95">
        <w:rPr>
          <w:rFonts w:asciiTheme="minorHAnsi" w:hAnsiTheme="minorHAnsi" w:cstheme="minorHAnsi"/>
          <w:sz w:val="22"/>
          <w:lang w:val="en-150"/>
        </w:rPr>
        <w:t>labour</w:t>
      </w:r>
      <w:r w:rsidRPr="00CF6F95">
        <w:rPr>
          <w:rFonts w:asciiTheme="minorHAnsi" w:hAnsiTheme="minorHAnsi" w:cstheme="minorHAnsi"/>
          <w:sz w:val="22"/>
          <w:lang w:val="en-150"/>
        </w:rPr>
        <w:t xml:space="preserve"> market has increased, supported by improved childcare services, more flexible childcare leave, and amendments to the </w:t>
      </w:r>
      <w:r w:rsidR="00C85B4D" w:rsidRPr="00CF6F95">
        <w:rPr>
          <w:rFonts w:asciiTheme="minorHAnsi" w:hAnsiTheme="minorHAnsi" w:cstheme="minorHAnsi"/>
          <w:sz w:val="22"/>
          <w:lang w:val="en-150"/>
        </w:rPr>
        <w:t>Labour</w:t>
      </w:r>
      <w:r w:rsidRPr="00CF6F95">
        <w:rPr>
          <w:rFonts w:asciiTheme="minorHAnsi" w:hAnsiTheme="minorHAnsi" w:cstheme="minorHAnsi"/>
          <w:sz w:val="22"/>
          <w:lang w:val="en-150"/>
        </w:rPr>
        <w:t xml:space="preserve"> Code introducing flexible work arrangements. Despite this progress, significant discrepancies persist between female-dominated fields (education, health, social work, journalism, arts) and male-dominated fields (agriculture, construction, science, technology, engineering, mathematics).</w:t>
      </w:r>
    </w:p>
    <w:p w14:paraId="2DE12546" w14:textId="036DE2AA" w:rsidR="0058505C" w:rsidRPr="00CF6F95" w:rsidRDefault="00500B32" w:rsidP="00827F4F">
      <w:pPr>
        <w:spacing w:after="200"/>
        <w:jc w:val="both"/>
        <w:rPr>
          <w:rFonts w:asciiTheme="minorHAnsi" w:hAnsiTheme="minorHAnsi" w:cstheme="minorHAnsi"/>
          <w:sz w:val="22"/>
          <w:lang w:val="en-150"/>
        </w:rPr>
      </w:pPr>
      <w:r w:rsidRPr="00CF6F95">
        <w:rPr>
          <w:rFonts w:asciiTheme="minorHAnsi" w:hAnsiTheme="minorHAnsi" w:cstheme="minorHAnsi"/>
          <w:b/>
          <w:bCs/>
          <w:sz w:val="22"/>
          <w:lang w:val="en-150"/>
        </w:rPr>
        <w:t>Violence against women.</w:t>
      </w:r>
      <w:r w:rsidRPr="00CF6F95">
        <w:rPr>
          <w:rFonts w:asciiTheme="minorHAnsi" w:hAnsiTheme="minorHAnsi" w:cstheme="minorHAnsi"/>
          <w:sz w:val="22"/>
          <w:lang w:val="en-150"/>
        </w:rPr>
        <w:t xml:space="preserve"> Analysis of data on crimes committed in a domestic context in 2024</w:t>
      </w:r>
      <w:r w:rsidR="001773E0" w:rsidRPr="00CF6F95">
        <w:rPr>
          <w:rStyle w:val="FootnoteReference"/>
          <w:rFonts w:asciiTheme="minorHAnsi" w:hAnsiTheme="minorHAnsi" w:cstheme="minorHAnsi"/>
          <w:sz w:val="22"/>
          <w:lang w:val="en-150"/>
        </w:rPr>
        <w:footnoteReference w:id="6"/>
      </w:r>
      <w:r w:rsidRPr="00CF6F95">
        <w:rPr>
          <w:rFonts w:asciiTheme="minorHAnsi" w:hAnsiTheme="minorHAnsi" w:cstheme="minorHAnsi"/>
          <w:sz w:val="22"/>
          <w:lang w:val="en-150"/>
        </w:rPr>
        <w:t xml:space="preserve"> reveals an alarming imbalance in the distribution of victims, with an overwhelming impact on women. Out of a total of 1575 persons affected by crimes categorized as: domestic violence, intentional homicide, rape, non-consensual sexual acts, failure to comply with the measures of the protection order for victims of domestic violence, more than 75% (1195 persons) are women. Alongside them, 217 child victims and 163 male victims were also identified. These figures clearly </w:t>
      </w:r>
      <w:r w:rsidRPr="00CF6F95">
        <w:rPr>
          <w:rFonts w:asciiTheme="minorHAnsi" w:hAnsiTheme="minorHAnsi" w:cstheme="minorHAnsi"/>
          <w:sz w:val="22"/>
          <w:lang w:val="en-150"/>
        </w:rPr>
        <w:lastRenderedPageBreak/>
        <w:t xml:space="preserve">highlight </w:t>
      </w:r>
      <w:proofErr w:type="gramStart"/>
      <w:r w:rsidRPr="00CF6F95">
        <w:rPr>
          <w:rFonts w:asciiTheme="minorHAnsi" w:hAnsiTheme="minorHAnsi" w:cstheme="minorHAnsi"/>
          <w:sz w:val="22"/>
          <w:lang w:val="en-150"/>
        </w:rPr>
        <w:t>that</w:t>
      </w:r>
      <w:r w:rsidR="005100AD" w:rsidRPr="00CF6F95">
        <w:rPr>
          <w:rFonts w:asciiTheme="minorHAnsi" w:hAnsiTheme="minorHAnsi" w:cstheme="minorHAnsi"/>
          <w:sz w:val="22"/>
          <w:lang w:val="en-150"/>
        </w:rPr>
        <w:t xml:space="preserve"> </w:t>
      </w:r>
      <w:r w:rsidRPr="00CF6F95">
        <w:rPr>
          <w:rFonts w:asciiTheme="minorHAnsi" w:hAnsiTheme="minorHAnsi" w:cstheme="minorHAnsi"/>
          <w:sz w:val="22"/>
          <w:lang w:val="en-150"/>
        </w:rPr>
        <w:t>women</w:t>
      </w:r>
      <w:proofErr w:type="gramEnd"/>
      <w:r w:rsidRPr="00CF6F95">
        <w:rPr>
          <w:rFonts w:asciiTheme="minorHAnsi" w:hAnsiTheme="minorHAnsi" w:cstheme="minorHAnsi"/>
          <w:sz w:val="22"/>
          <w:lang w:val="en-150"/>
        </w:rPr>
        <w:t xml:space="preserve"> continue to be the main victims of domestic violence, being disproportionately exposed to serious forms of physical, psychological or sexual abuse.</w:t>
      </w:r>
    </w:p>
    <w:p w14:paraId="11611771" w14:textId="5BE1CE56" w:rsidR="000877D4" w:rsidRPr="00CF6F95" w:rsidRDefault="000877D4" w:rsidP="001773E0">
      <w:pPr>
        <w:spacing w:after="200"/>
        <w:jc w:val="both"/>
        <w:rPr>
          <w:rFonts w:asciiTheme="minorHAnsi" w:hAnsiTheme="minorHAnsi" w:cstheme="minorHAnsi"/>
          <w:sz w:val="22"/>
          <w:lang w:val="en-150"/>
        </w:rPr>
      </w:pPr>
      <w:proofErr w:type="gramStart"/>
      <w:r w:rsidRPr="00CF6F95">
        <w:rPr>
          <w:rFonts w:asciiTheme="minorHAnsi" w:hAnsiTheme="minorHAnsi" w:cstheme="minorHAnsi"/>
          <w:sz w:val="22"/>
          <w:lang w:val="en-150"/>
        </w:rPr>
        <w:t>Also</w:t>
      </w:r>
      <w:proofErr w:type="gramEnd"/>
      <w:r w:rsidRPr="00CF6F95">
        <w:rPr>
          <w:rFonts w:asciiTheme="minorHAnsi" w:hAnsiTheme="minorHAnsi" w:cstheme="minorHAnsi"/>
          <w:sz w:val="22"/>
          <w:lang w:val="en-150"/>
        </w:rPr>
        <w:t xml:space="preserve"> in the context of preventing and combating violence against women, the People's Advocate welcomes the Government's approval of Draft Law No. 70 of 06.03.2025</w:t>
      </w:r>
      <w:r w:rsidRPr="00CF6F95">
        <w:rPr>
          <w:rStyle w:val="FootnoteReference"/>
          <w:rFonts w:asciiTheme="minorHAnsi" w:hAnsiTheme="minorHAnsi" w:cstheme="minorHAnsi"/>
          <w:sz w:val="22"/>
          <w:lang w:val="en-150"/>
        </w:rPr>
        <w:footnoteReference w:id="7"/>
      </w:r>
      <w:r w:rsidRPr="00CF6F95">
        <w:rPr>
          <w:rFonts w:asciiTheme="minorHAnsi" w:hAnsiTheme="minorHAnsi" w:cstheme="minorHAnsi"/>
          <w:sz w:val="22"/>
          <w:lang w:val="en-150"/>
        </w:rPr>
        <w:t>, aimed at strengthening protection against domestic and gender-based violence, in line with international standards, including the Istanbul Convention. Key measures include recognizing digital violence, extending restraining and protection orders, criminalizing forced marriage and stalking (including online), increasing penalties for sexual harassment</w:t>
      </w:r>
      <w:r w:rsidR="000D4782" w:rsidRPr="00CF6F95">
        <w:rPr>
          <w:rFonts w:asciiTheme="minorHAnsi" w:hAnsiTheme="minorHAnsi" w:cstheme="minorHAnsi"/>
          <w:sz w:val="22"/>
          <w:lang w:val="en-150"/>
        </w:rPr>
        <w:t xml:space="preserve"> etc.</w:t>
      </w:r>
    </w:p>
    <w:p w14:paraId="1C49072A" w14:textId="05C20B5D" w:rsidR="00827F4F" w:rsidRPr="00CF6F95" w:rsidRDefault="001773E0" w:rsidP="00BD7215">
      <w:pPr>
        <w:pStyle w:val="Heading1"/>
        <w:rPr>
          <w:rFonts w:asciiTheme="minorHAnsi" w:hAnsiTheme="minorHAnsi"/>
          <w:lang w:val="en-150"/>
        </w:rPr>
      </w:pPr>
      <w:bookmarkStart w:id="6" w:name="_Toc198488101"/>
      <w:r w:rsidRPr="00CF6F95">
        <w:rPr>
          <w:rFonts w:asciiTheme="minorHAnsi" w:hAnsiTheme="minorHAnsi"/>
          <w:lang w:val="en-150"/>
        </w:rPr>
        <w:t>Women with disabilities</w:t>
      </w:r>
      <w:bookmarkEnd w:id="6"/>
    </w:p>
    <w:p w14:paraId="003A97A0" w14:textId="77777777" w:rsidR="001773E0" w:rsidRPr="00CF6F95" w:rsidRDefault="001773E0" w:rsidP="00827F4F">
      <w:pPr>
        <w:rPr>
          <w:rFonts w:asciiTheme="minorHAnsi" w:hAnsiTheme="minorHAnsi"/>
          <w:lang w:val="en-150"/>
        </w:rPr>
      </w:pPr>
    </w:p>
    <w:p w14:paraId="0D0A1D2C" w14:textId="40DC6AF8" w:rsidR="00B4128D" w:rsidRPr="00CF6F95" w:rsidRDefault="00B4128D" w:rsidP="00827F4F">
      <w:pPr>
        <w:spacing w:after="200"/>
        <w:jc w:val="both"/>
        <w:rPr>
          <w:rFonts w:asciiTheme="minorHAnsi" w:hAnsiTheme="minorHAnsi" w:cstheme="minorHAnsi"/>
          <w:b/>
          <w:bCs/>
          <w:sz w:val="22"/>
          <w:lang w:val="en-150"/>
        </w:rPr>
      </w:pPr>
      <w:r w:rsidRPr="00CF6F95">
        <w:rPr>
          <w:rFonts w:asciiTheme="minorHAnsi" w:hAnsiTheme="minorHAnsi" w:cstheme="minorHAnsi"/>
          <w:b/>
          <w:bCs/>
          <w:sz w:val="22"/>
          <w:lang w:val="en-150"/>
        </w:rPr>
        <w:t xml:space="preserve">Women in psychiatric institutions. </w:t>
      </w:r>
      <w:r w:rsidRPr="00CF6F95">
        <w:rPr>
          <w:rFonts w:asciiTheme="minorHAnsi" w:hAnsiTheme="minorHAnsi" w:cstheme="minorHAnsi"/>
          <w:sz w:val="22"/>
          <w:lang w:val="en-150"/>
        </w:rPr>
        <w:t>In its Special Report on Violent Deaths at the Balti Psychiatric Hospital on September 10, 2022</w:t>
      </w:r>
      <w:r w:rsidRPr="00CF6F95">
        <w:rPr>
          <w:rStyle w:val="FootnoteReference"/>
          <w:rFonts w:asciiTheme="minorHAnsi" w:hAnsiTheme="minorHAnsi" w:cstheme="minorHAnsi"/>
          <w:sz w:val="22"/>
          <w:lang w:val="en-150"/>
        </w:rPr>
        <w:footnoteReference w:id="8"/>
      </w:r>
      <w:r w:rsidRPr="00CF6F95">
        <w:rPr>
          <w:rFonts w:asciiTheme="minorHAnsi" w:hAnsiTheme="minorHAnsi" w:cstheme="minorHAnsi"/>
          <w:sz w:val="22"/>
          <w:lang w:val="en-150"/>
        </w:rPr>
        <w:t xml:space="preserve"> , OAP found that a serious problem remains the lack of reasonable accommodation for patients admitted under rigorous restraint, where they are placed with voluntary patients, affecting safety and treatment. Also, the lack of formal criteria for the application of restraint leads to arbitrary decisions, exposing female inpatients in particular to disproportionate measures in the absence of gender-sensitive safeguards. However, the Ombudsman noted progress in this area: the approval of procedures on the management of violent patients, staff training and the installation of surveillance cameras, although these do not cover all sensitive areas and alarm buttons only work in one hospital.</w:t>
      </w:r>
    </w:p>
    <w:p w14:paraId="2399FBB1" w14:textId="437281E9" w:rsidR="00B4128D" w:rsidRPr="00CF6F95" w:rsidRDefault="00000DBB" w:rsidP="00827F4F">
      <w:pPr>
        <w:spacing w:after="200"/>
        <w:jc w:val="both"/>
        <w:rPr>
          <w:rFonts w:asciiTheme="minorHAnsi" w:hAnsiTheme="minorHAnsi" w:cstheme="minorHAnsi"/>
          <w:sz w:val="22"/>
          <w:lang w:val="en-150"/>
        </w:rPr>
      </w:pPr>
      <w:r w:rsidRPr="00CF6F95">
        <w:rPr>
          <w:rFonts w:asciiTheme="minorHAnsi" w:hAnsiTheme="minorHAnsi" w:cstheme="minorHAnsi"/>
          <w:b/>
          <w:bCs/>
          <w:sz w:val="22"/>
          <w:lang w:val="en-150"/>
        </w:rPr>
        <w:t xml:space="preserve">Health protection of women with disabilities. </w:t>
      </w:r>
      <w:r w:rsidRPr="00CF6F95">
        <w:rPr>
          <w:rFonts w:asciiTheme="minorHAnsi" w:hAnsiTheme="minorHAnsi" w:cstheme="minorHAnsi"/>
          <w:sz w:val="22"/>
          <w:lang w:val="en-150"/>
        </w:rPr>
        <w:t xml:space="preserve">The report on the practical realization of sexual and reproductive rights by women and girls in Temporary Placement </w:t>
      </w:r>
      <w:r w:rsidR="00C85B4D" w:rsidRPr="00CF6F95">
        <w:rPr>
          <w:rFonts w:asciiTheme="minorHAnsi" w:hAnsiTheme="minorHAnsi" w:cstheme="minorHAnsi"/>
          <w:sz w:val="22"/>
          <w:lang w:val="en-150"/>
        </w:rPr>
        <w:t>Cent</w:t>
      </w:r>
      <w:proofErr w:type="spellStart"/>
      <w:r w:rsidR="00C85B4D">
        <w:rPr>
          <w:rFonts w:asciiTheme="minorHAnsi" w:hAnsiTheme="minorHAnsi" w:cstheme="minorHAnsi"/>
          <w:sz w:val="22"/>
          <w:lang w:val="en-US"/>
        </w:rPr>
        <w:t>ers</w:t>
      </w:r>
      <w:proofErr w:type="spellEnd"/>
      <w:r w:rsidRPr="00CF6F95">
        <w:rPr>
          <w:rFonts w:asciiTheme="minorHAnsi" w:hAnsiTheme="minorHAnsi" w:cstheme="minorHAnsi"/>
          <w:sz w:val="22"/>
          <w:lang w:val="en-150"/>
        </w:rPr>
        <w:t xml:space="preserve"> for Persons with Disabilities (adults) and Psychiatric Hospitals in the Republic of Moldova in 2020</w:t>
      </w:r>
      <w:r w:rsidRPr="00CF6F95">
        <w:rPr>
          <w:rStyle w:val="FootnoteReference"/>
          <w:rFonts w:asciiTheme="minorHAnsi" w:hAnsiTheme="minorHAnsi" w:cstheme="minorHAnsi"/>
          <w:sz w:val="22"/>
          <w:lang w:val="en-150"/>
        </w:rPr>
        <w:footnoteReference w:id="9"/>
      </w:r>
      <w:r w:rsidRPr="00CF6F95">
        <w:rPr>
          <w:rFonts w:asciiTheme="minorHAnsi" w:hAnsiTheme="minorHAnsi" w:cstheme="minorHAnsi"/>
          <w:sz w:val="22"/>
          <w:lang w:val="en-150"/>
        </w:rPr>
        <w:t xml:space="preserve"> highlighted that in the placement </w:t>
      </w:r>
      <w:proofErr w:type="spellStart"/>
      <w:r w:rsidRPr="00CF6F95">
        <w:rPr>
          <w:rFonts w:asciiTheme="minorHAnsi" w:hAnsiTheme="minorHAnsi" w:cstheme="minorHAnsi"/>
          <w:sz w:val="22"/>
          <w:lang w:val="en-150"/>
        </w:rPr>
        <w:t>centers</w:t>
      </w:r>
      <w:proofErr w:type="spellEnd"/>
      <w:r w:rsidRPr="00CF6F95">
        <w:rPr>
          <w:rFonts w:asciiTheme="minorHAnsi" w:hAnsiTheme="minorHAnsi" w:cstheme="minorHAnsi"/>
          <w:sz w:val="22"/>
          <w:lang w:val="en-150"/>
        </w:rPr>
        <w:t xml:space="preserve"> and psychiatric hospitals, </w:t>
      </w:r>
      <w:r w:rsidR="005100AD" w:rsidRPr="00CF6F95">
        <w:rPr>
          <w:rFonts w:asciiTheme="minorHAnsi" w:hAnsiTheme="minorHAnsi" w:cstheme="minorHAnsi"/>
          <w:sz w:val="22"/>
          <w:lang w:val="en-150"/>
        </w:rPr>
        <w:t>disability is treated only medically, with women denied access to adapted information, contraception, trained doctors, and exposed to abuse and degrading treatment.</w:t>
      </w:r>
    </w:p>
    <w:p w14:paraId="3566E5BC" w14:textId="2BC57F33" w:rsidR="00000DBB" w:rsidRPr="00CF6F95" w:rsidRDefault="00000DBB" w:rsidP="00000DBB">
      <w:pPr>
        <w:spacing w:after="200" w:line="276" w:lineRule="auto"/>
        <w:jc w:val="both"/>
        <w:rPr>
          <w:rFonts w:asciiTheme="minorHAnsi" w:hAnsiTheme="minorHAnsi" w:cstheme="minorHAnsi"/>
          <w:sz w:val="22"/>
          <w:lang w:val="en-150"/>
        </w:rPr>
      </w:pPr>
      <w:r w:rsidRPr="00CF6F95">
        <w:rPr>
          <w:rFonts w:asciiTheme="minorHAnsi" w:hAnsiTheme="minorHAnsi" w:cstheme="minorHAnsi"/>
          <w:b/>
          <w:bCs/>
          <w:sz w:val="22"/>
          <w:lang w:val="en-150"/>
        </w:rPr>
        <w:t xml:space="preserve">Deinstitutionalization. </w:t>
      </w:r>
      <w:r w:rsidRPr="00CF6F95">
        <w:rPr>
          <w:rFonts w:asciiTheme="minorHAnsi" w:hAnsiTheme="minorHAnsi" w:cstheme="minorHAnsi"/>
          <w:sz w:val="22"/>
          <w:lang w:val="en-150"/>
        </w:rPr>
        <w:t>CEDAW Committee recommendations (2020) and the case of I.C. v. Republic of Moldova</w:t>
      </w:r>
      <w:r w:rsidRPr="00CF6F95">
        <w:rPr>
          <w:rStyle w:val="FootnoteReference"/>
          <w:rFonts w:asciiTheme="minorHAnsi" w:hAnsiTheme="minorHAnsi" w:cstheme="minorHAnsi"/>
          <w:sz w:val="22"/>
          <w:lang w:val="en-150"/>
        </w:rPr>
        <w:footnoteReference w:id="10"/>
      </w:r>
      <w:r w:rsidRPr="00CF6F95">
        <w:rPr>
          <w:rFonts w:asciiTheme="minorHAnsi" w:hAnsiTheme="minorHAnsi" w:cstheme="minorHAnsi"/>
          <w:sz w:val="22"/>
          <w:lang w:val="en-150"/>
        </w:rPr>
        <w:t xml:space="preserve"> (ECHR, 2025) confirmed systemic deficiencies in the protection of women with disabilities, including exposure to forced </w:t>
      </w:r>
      <w:r w:rsidR="00C85B4D" w:rsidRPr="00CF6F95">
        <w:rPr>
          <w:rFonts w:asciiTheme="minorHAnsi" w:hAnsiTheme="minorHAnsi" w:cstheme="minorHAnsi"/>
          <w:sz w:val="22"/>
          <w:lang w:val="en-150"/>
        </w:rPr>
        <w:t>labour</w:t>
      </w:r>
      <w:r w:rsidRPr="00CF6F95">
        <w:rPr>
          <w:rFonts w:asciiTheme="minorHAnsi" w:hAnsiTheme="minorHAnsi" w:cstheme="minorHAnsi"/>
          <w:sz w:val="22"/>
          <w:lang w:val="en-150"/>
        </w:rPr>
        <w:t xml:space="preserve">, sexual abuse, and lack of support in the deinstitutionalization process. In the case of I.C v. Republic of Moldova, the Court found violations of Art. 3,8,4 and 14 ECHR. As highlighted by international bodies, deinstitutionalization requires a systemic transformation that goes beyond the closure of institutions and provides individualized support services, inclusive services and effective monitoring mechanisms. In the absence of such a </w:t>
      </w:r>
      <w:r w:rsidRPr="00CF6F95">
        <w:rPr>
          <w:rFonts w:asciiTheme="minorHAnsi" w:hAnsiTheme="minorHAnsi" w:cstheme="minorHAnsi"/>
          <w:sz w:val="22"/>
          <w:lang w:val="en-150"/>
        </w:rPr>
        <w:lastRenderedPageBreak/>
        <w:t>framework, the result may be a new form of institutionalization, camouflaged by superficial changes that maintain - or even aggravate - the risk of abuse and exploitation.</w:t>
      </w:r>
    </w:p>
    <w:p w14:paraId="191ECE65" w14:textId="7ED45C75" w:rsidR="00BD7215" w:rsidRPr="00CF6F95" w:rsidRDefault="00040626" w:rsidP="00BD7215">
      <w:pPr>
        <w:spacing w:after="200" w:line="276" w:lineRule="auto"/>
        <w:jc w:val="both"/>
        <w:rPr>
          <w:rFonts w:asciiTheme="minorHAnsi" w:hAnsiTheme="minorHAnsi" w:cstheme="minorHAnsi"/>
          <w:sz w:val="22"/>
          <w:lang w:val="en-150"/>
        </w:rPr>
      </w:pPr>
      <w:r w:rsidRPr="00CF6F95">
        <w:rPr>
          <w:rFonts w:asciiTheme="minorHAnsi" w:hAnsiTheme="minorHAnsi" w:cstheme="minorHAnsi"/>
          <w:sz w:val="22"/>
          <w:lang w:val="en-150"/>
        </w:rPr>
        <w:t xml:space="preserve">The OAP has documented cases of forced </w:t>
      </w:r>
      <w:r w:rsidR="00C85B4D" w:rsidRPr="00CF6F95">
        <w:rPr>
          <w:rFonts w:asciiTheme="minorHAnsi" w:hAnsiTheme="minorHAnsi" w:cstheme="minorHAnsi"/>
          <w:sz w:val="22"/>
          <w:lang w:val="en-150"/>
        </w:rPr>
        <w:t>labour</w:t>
      </w:r>
      <w:r w:rsidRPr="00CF6F95">
        <w:rPr>
          <w:rFonts w:asciiTheme="minorHAnsi" w:hAnsiTheme="minorHAnsi" w:cstheme="minorHAnsi"/>
          <w:sz w:val="22"/>
          <w:lang w:val="en-150"/>
        </w:rPr>
        <w:t xml:space="preserve">, degrading treatment, and intimidation of women with disabilities, including at the </w:t>
      </w:r>
      <w:proofErr w:type="spellStart"/>
      <w:r w:rsidRPr="00CF6F95">
        <w:rPr>
          <w:rFonts w:asciiTheme="minorHAnsi" w:hAnsiTheme="minorHAnsi" w:cstheme="minorHAnsi"/>
          <w:sz w:val="22"/>
          <w:lang w:val="en-150"/>
        </w:rPr>
        <w:t>Bădiceni</w:t>
      </w:r>
      <w:proofErr w:type="spellEnd"/>
      <w:r w:rsidRPr="00CF6F95">
        <w:rPr>
          <w:rFonts w:asciiTheme="minorHAnsi" w:hAnsiTheme="minorHAnsi" w:cstheme="minorHAnsi"/>
          <w:sz w:val="22"/>
          <w:lang w:val="en-150"/>
        </w:rPr>
        <w:t xml:space="preserve"> Placement </w:t>
      </w:r>
      <w:proofErr w:type="spellStart"/>
      <w:r w:rsidRPr="00CF6F95">
        <w:rPr>
          <w:rFonts w:asciiTheme="minorHAnsi" w:hAnsiTheme="minorHAnsi" w:cstheme="minorHAnsi"/>
          <w:sz w:val="22"/>
          <w:lang w:val="en-150"/>
        </w:rPr>
        <w:t>Center</w:t>
      </w:r>
      <w:proofErr w:type="spellEnd"/>
      <w:r w:rsidRPr="00CF6F95">
        <w:rPr>
          <w:rFonts w:asciiTheme="minorHAnsi" w:hAnsiTheme="minorHAnsi" w:cstheme="minorHAnsi"/>
          <w:sz w:val="22"/>
          <w:lang w:val="en-150"/>
        </w:rPr>
        <w:t>, with the General Prosecutor’s Office notified. These violations are consistent with previous OAP findings and journalistic investigations</w:t>
      </w:r>
      <w:r w:rsidRPr="00CF6F95">
        <w:rPr>
          <w:rStyle w:val="FootnoteReference"/>
          <w:rFonts w:asciiTheme="minorHAnsi" w:hAnsiTheme="minorHAnsi" w:cstheme="minorHAnsi"/>
          <w:sz w:val="22"/>
          <w:lang w:val="en-150"/>
        </w:rPr>
        <w:footnoteReference w:id="11"/>
      </w:r>
      <w:r w:rsidRPr="00CF6F95">
        <w:rPr>
          <w:rFonts w:asciiTheme="minorHAnsi" w:hAnsiTheme="minorHAnsi" w:cstheme="minorHAnsi"/>
          <w:sz w:val="22"/>
          <w:lang w:val="en-150"/>
        </w:rPr>
        <w:t xml:space="preserve">. </w:t>
      </w:r>
    </w:p>
    <w:p w14:paraId="52FC33C6" w14:textId="77777777" w:rsidR="00421585" w:rsidRPr="00CF6F95" w:rsidRDefault="00421585" w:rsidP="00421585">
      <w:pPr>
        <w:spacing w:after="200"/>
        <w:jc w:val="both"/>
        <w:rPr>
          <w:rFonts w:asciiTheme="minorHAnsi" w:hAnsiTheme="minorHAnsi" w:cstheme="minorHAnsi"/>
          <w:sz w:val="22"/>
          <w:lang w:val="en-150"/>
        </w:rPr>
      </w:pPr>
      <w:r w:rsidRPr="00CF6F95">
        <w:rPr>
          <w:rFonts w:asciiTheme="minorHAnsi" w:hAnsiTheme="minorHAnsi" w:cstheme="minorHAnsi"/>
          <w:sz w:val="22"/>
          <w:lang w:val="en-150"/>
        </w:rPr>
        <w:t>Although regulated by Article 67 of the Civil Code, the institution of the authorized guardian cannot function due to missing government regulations. This lack of systemic protection, along with institutional neglect, increases the vulnerability of women with disabilities to abuse and exploitation.</w:t>
      </w:r>
    </w:p>
    <w:p w14:paraId="0B60D39B" w14:textId="00C9419A" w:rsidR="004A3F3A" w:rsidRPr="00CF6F95" w:rsidRDefault="004A3F3A" w:rsidP="00BD7215">
      <w:pPr>
        <w:spacing w:after="200"/>
        <w:jc w:val="both"/>
        <w:rPr>
          <w:rFonts w:asciiTheme="minorHAnsi" w:hAnsiTheme="minorHAnsi" w:cstheme="minorHAnsi"/>
          <w:sz w:val="22"/>
          <w:lang w:val="en-150"/>
        </w:rPr>
      </w:pPr>
      <w:r w:rsidRPr="00CF6F95">
        <w:rPr>
          <w:rFonts w:asciiTheme="minorHAnsi" w:hAnsiTheme="minorHAnsi" w:cstheme="minorHAnsi"/>
          <w:sz w:val="22"/>
          <w:lang w:val="en-150"/>
        </w:rPr>
        <w:t xml:space="preserve">To monitor the rights of persons with disabilities, PAO proposed an independent mechanism under Article 33(2) of the UN Convention on the Rights of Persons with Disabilities, in partnership with OHCHR and representative organizations of persons with disabilities. Therefore, OAP recommends the State authorities to take measures to ensure adequate funding and strengthen </w:t>
      </w:r>
      <w:proofErr w:type="spellStart"/>
      <w:r w:rsidRPr="00CF6F95">
        <w:rPr>
          <w:rFonts w:asciiTheme="minorHAnsi" w:hAnsiTheme="minorHAnsi" w:cstheme="minorHAnsi"/>
          <w:sz w:val="22"/>
          <w:lang w:val="en-150"/>
        </w:rPr>
        <w:t>PAO’s</w:t>
      </w:r>
      <w:proofErr w:type="spellEnd"/>
      <w:r w:rsidRPr="00CF6F95">
        <w:rPr>
          <w:rFonts w:asciiTheme="minorHAnsi" w:hAnsiTheme="minorHAnsi" w:cstheme="minorHAnsi"/>
          <w:sz w:val="22"/>
          <w:lang w:val="en-150"/>
        </w:rPr>
        <w:t xml:space="preserve"> capacity for its effective operation</w:t>
      </w:r>
    </w:p>
    <w:p w14:paraId="1C19FAC7" w14:textId="14AE2BB6" w:rsidR="00827F4F" w:rsidRPr="00CF6F95" w:rsidRDefault="00DC75A0" w:rsidP="00BD7215">
      <w:pPr>
        <w:pStyle w:val="Heading1"/>
        <w:rPr>
          <w:rFonts w:asciiTheme="minorHAnsi" w:hAnsiTheme="minorHAnsi"/>
          <w:lang w:val="en-150"/>
        </w:rPr>
      </w:pPr>
      <w:bookmarkStart w:id="7" w:name="_Toc198488102"/>
      <w:r w:rsidRPr="00CF6F95">
        <w:rPr>
          <w:rFonts w:asciiTheme="minorHAnsi" w:hAnsiTheme="minorHAnsi"/>
          <w:lang w:val="en-150"/>
        </w:rPr>
        <w:t>Women - detained in prisons</w:t>
      </w:r>
      <w:bookmarkEnd w:id="7"/>
    </w:p>
    <w:p w14:paraId="78CF96F1" w14:textId="77777777" w:rsidR="00BD7215" w:rsidRPr="00CF6F95" w:rsidRDefault="00BD7215" w:rsidP="00BD7215">
      <w:pPr>
        <w:rPr>
          <w:lang w:val="en-150"/>
        </w:rPr>
      </w:pPr>
    </w:p>
    <w:p w14:paraId="20DB19F3" w14:textId="37B1570F" w:rsidR="00DC75A0" w:rsidRPr="00CF6F95" w:rsidRDefault="00DC75A0" w:rsidP="00827F4F">
      <w:pPr>
        <w:spacing w:after="200"/>
        <w:jc w:val="both"/>
        <w:rPr>
          <w:rFonts w:asciiTheme="minorHAnsi" w:hAnsiTheme="minorHAnsi" w:cstheme="minorHAnsi"/>
          <w:b/>
          <w:bCs/>
          <w:sz w:val="22"/>
          <w:lang w:val="en-150"/>
        </w:rPr>
      </w:pPr>
      <w:r w:rsidRPr="00CF6F95">
        <w:rPr>
          <w:rFonts w:asciiTheme="minorHAnsi" w:hAnsiTheme="minorHAnsi" w:cstheme="minorHAnsi"/>
          <w:b/>
          <w:bCs/>
          <w:sz w:val="22"/>
          <w:lang w:val="en-150"/>
        </w:rPr>
        <w:t xml:space="preserve">Statistics. </w:t>
      </w:r>
      <w:r w:rsidRPr="00CF6F95">
        <w:rPr>
          <w:rFonts w:asciiTheme="minorHAnsi" w:hAnsiTheme="minorHAnsi" w:cstheme="minorHAnsi"/>
          <w:sz w:val="22"/>
          <w:lang w:val="en-150"/>
        </w:rPr>
        <w:t>As of February 15, 2025, there were 5,862 persons deprived of their liberty in Moldova's prisons, 305 of them women (5.2%). Compared to 2020 (5.8%), there is a slight decrease in the proportion of women in detention.</w:t>
      </w:r>
    </w:p>
    <w:p w14:paraId="7A69432F" w14:textId="0D48790D" w:rsidR="00DC75A0" w:rsidRPr="00CF6F95" w:rsidRDefault="00DC75A0" w:rsidP="00827F4F">
      <w:pPr>
        <w:spacing w:after="200"/>
        <w:jc w:val="both"/>
        <w:rPr>
          <w:rFonts w:asciiTheme="minorHAnsi" w:hAnsiTheme="minorHAnsi" w:cstheme="minorHAnsi"/>
          <w:b/>
          <w:bCs/>
          <w:sz w:val="22"/>
          <w:lang w:val="en-150"/>
        </w:rPr>
      </w:pPr>
      <w:r w:rsidRPr="00CF6F95">
        <w:rPr>
          <w:rFonts w:asciiTheme="minorHAnsi" w:hAnsiTheme="minorHAnsi" w:cstheme="minorHAnsi"/>
          <w:b/>
          <w:bCs/>
          <w:sz w:val="22"/>
          <w:lang w:val="en-150"/>
        </w:rPr>
        <w:t xml:space="preserve">Life imprisonment. </w:t>
      </w:r>
      <w:r w:rsidRPr="00CF6F95">
        <w:rPr>
          <w:rFonts w:asciiTheme="minorHAnsi" w:hAnsiTheme="minorHAnsi" w:cstheme="minorHAnsi"/>
          <w:sz w:val="22"/>
          <w:lang w:val="en-150"/>
        </w:rPr>
        <w:t xml:space="preserve">From September 7, 2024, women in the Republic of Moldova can be sentenced to life imprisonment for exceptionally serious crimes. The amendment was introduced by Law No. 136/2024, which removes the previous legal exception prohibiting the application of this punishment to women and minors, thus aligning the Criminal Code with the principle of equality before the law. However, the adjustment of the criminal legislation on life imprisonment for women should have been consulted in a broader and participatory format. </w:t>
      </w:r>
      <w:r w:rsidR="00145DA6" w:rsidRPr="00CF6F95">
        <w:rPr>
          <w:rFonts w:asciiTheme="minorHAnsi" w:hAnsiTheme="minorHAnsi" w:cstheme="minorHAnsi"/>
          <w:sz w:val="22"/>
          <w:lang w:val="en-150"/>
        </w:rPr>
        <w:t>Applying life imprisonment to women may undermine the humanist purpose of criminal sanctions and Moldova’s commitments to humane detention and women's protection. Current prison conditions—poor medical care, inaccessible infrastructure, limited family contact, and harmful living standards—highlight these concerns.</w:t>
      </w:r>
    </w:p>
    <w:p w14:paraId="3374C4DD" w14:textId="4B6C6506" w:rsidR="00DC75A0" w:rsidRPr="00CF6F95" w:rsidRDefault="00DC75A0" w:rsidP="00827F4F">
      <w:pPr>
        <w:spacing w:after="200"/>
        <w:jc w:val="both"/>
        <w:rPr>
          <w:rFonts w:asciiTheme="minorHAnsi" w:hAnsiTheme="minorHAnsi" w:cstheme="minorHAnsi"/>
          <w:sz w:val="22"/>
          <w:lang w:val="en-150"/>
        </w:rPr>
      </w:pPr>
      <w:r w:rsidRPr="00CF6F95">
        <w:rPr>
          <w:rFonts w:asciiTheme="minorHAnsi" w:hAnsiTheme="minorHAnsi" w:cstheme="minorHAnsi"/>
          <w:b/>
          <w:bCs/>
          <w:sz w:val="22"/>
          <w:lang w:val="en-150"/>
        </w:rPr>
        <w:t xml:space="preserve">Prison conditions. </w:t>
      </w:r>
      <w:r w:rsidRPr="00CF6F95">
        <w:rPr>
          <w:rFonts w:asciiTheme="minorHAnsi" w:hAnsiTheme="minorHAnsi" w:cstheme="minorHAnsi"/>
          <w:sz w:val="22"/>
          <w:lang w:val="en-150"/>
        </w:rPr>
        <w:t>The CEDAW Committee emphasized in its Concluding Observations in 2020</w:t>
      </w:r>
      <w:r w:rsidRPr="00CF6F95">
        <w:rPr>
          <w:rStyle w:val="FootnoteReference"/>
          <w:rFonts w:asciiTheme="minorHAnsi" w:hAnsiTheme="minorHAnsi" w:cstheme="minorHAnsi"/>
          <w:sz w:val="22"/>
          <w:lang w:val="en-150"/>
        </w:rPr>
        <w:footnoteReference w:id="12"/>
      </w:r>
      <w:r w:rsidRPr="00CF6F95">
        <w:rPr>
          <w:rFonts w:asciiTheme="minorHAnsi" w:hAnsiTheme="minorHAnsi" w:cstheme="minorHAnsi"/>
          <w:sz w:val="22"/>
          <w:lang w:val="en-150"/>
        </w:rPr>
        <w:t xml:space="preserve"> the need to improve detention conditions for women, in particular access to hygiene and health products. Although the new legislative proposals</w:t>
      </w:r>
      <w:r w:rsidRPr="00CF6F95">
        <w:rPr>
          <w:rStyle w:val="FootnoteReference"/>
          <w:rFonts w:asciiTheme="minorHAnsi" w:hAnsiTheme="minorHAnsi" w:cstheme="minorHAnsi"/>
          <w:sz w:val="22"/>
          <w:lang w:val="en-150"/>
        </w:rPr>
        <w:footnoteReference w:id="13"/>
      </w:r>
      <w:r w:rsidRPr="00CF6F95">
        <w:rPr>
          <w:rFonts w:asciiTheme="minorHAnsi" w:hAnsiTheme="minorHAnsi" w:cstheme="minorHAnsi"/>
          <w:sz w:val="22"/>
          <w:lang w:val="en-150"/>
        </w:rPr>
        <w:t xml:space="preserve"> bring improvements in nutrition, rules on </w:t>
      </w:r>
      <w:r w:rsidRPr="00CF6F95">
        <w:rPr>
          <w:rFonts w:asciiTheme="minorHAnsi" w:hAnsiTheme="minorHAnsi" w:cstheme="minorHAnsi"/>
          <w:sz w:val="22"/>
          <w:lang w:val="en-150"/>
        </w:rPr>
        <w:lastRenderedPageBreak/>
        <w:t>personal hygiene remain inadequate. Point 15</w:t>
      </w:r>
      <w:r w:rsidR="00343A96" w:rsidRPr="00CF6F95">
        <w:rPr>
          <w:rStyle w:val="FootnoteReference"/>
          <w:rFonts w:asciiTheme="minorHAnsi" w:hAnsiTheme="minorHAnsi" w:cstheme="minorHAnsi"/>
          <w:sz w:val="22"/>
          <w:lang w:val="en-150"/>
        </w:rPr>
        <w:footnoteReference w:id="14"/>
      </w:r>
      <w:r w:rsidRPr="00CF6F95">
        <w:rPr>
          <w:rFonts w:asciiTheme="minorHAnsi" w:hAnsiTheme="minorHAnsi" w:cstheme="minorHAnsi"/>
          <w:sz w:val="22"/>
          <w:lang w:val="en-150"/>
        </w:rPr>
        <w:t xml:space="preserve"> only provides for basic products in insufficient quantities. For example, the norm for intimate sanitary pads is only 10 per month, below the minimum needed to maintain dignity. In addition, it does not take into account the specific needs of women, such as pregnant or post-natal women, and the lack of essential products such as disinfectants or wet wipes makes the situation worse. Thus, the project ignores the physiological realities and specific needs of women deprived of their liberty, contrary to international recommendations.</w:t>
      </w:r>
    </w:p>
    <w:p w14:paraId="3AAA9344" w14:textId="36908202" w:rsidR="00827F4F" w:rsidRDefault="00BD7215" w:rsidP="00827F4F">
      <w:pPr>
        <w:rPr>
          <w:rFonts w:asciiTheme="minorHAnsi" w:eastAsiaTheme="majorEastAsia" w:hAnsiTheme="minorHAnsi" w:cstheme="majorBidi"/>
          <w:color w:val="365F91" w:themeColor="accent1" w:themeShade="BF"/>
          <w:sz w:val="32"/>
          <w:szCs w:val="32"/>
          <w:lang w:val="en-150"/>
        </w:rPr>
      </w:pPr>
      <w:r w:rsidRPr="00CF6F95">
        <w:rPr>
          <w:rFonts w:asciiTheme="minorHAnsi" w:eastAsiaTheme="majorEastAsia" w:hAnsiTheme="minorHAnsi" w:cstheme="majorBidi"/>
          <w:color w:val="365F91" w:themeColor="accent1" w:themeShade="BF"/>
          <w:sz w:val="32"/>
          <w:szCs w:val="32"/>
          <w:lang w:val="en-150"/>
        </w:rPr>
        <w:t>Refugee women</w:t>
      </w:r>
    </w:p>
    <w:p w14:paraId="60D84584" w14:textId="77777777" w:rsidR="00D51EAE" w:rsidRPr="00CF6F95" w:rsidRDefault="00D51EAE" w:rsidP="00827F4F">
      <w:pPr>
        <w:rPr>
          <w:rFonts w:asciiTheme="minorHAnsi" w:hAnsiTheme="minorHAnsi"/>
          <w:lang w:val="en-150"/>
        </w:rPr>
      </w:pPr>
    </w:p>
    <w:p w14:paraId="11E8FCC7" w14:textId="02BE4D3D" w:rsidR="006E4981" w:rsidRPr="00CF6F95" w:rsidRDefault="006E4981" w:rsidP="006E4981">
      <w:pPr>
        <w:jc w:val="both"/>
        <w:rPr>
          <w:rFonts w:asciiTheme="minorHAnsi" w:hAnsiTheme="minorHAnsi" w:cs="Calibri"/>
          <w:color w:val="000000"/>
          <w:sz w:val="22"/>
          <w:lang w:val="en-150"/>
        </w:rPr>
      </w:pPr>
      <w:r w:rsidRPr="00CF6F95">
        <w:rPr>
          <w:rFonts w:asciiTheme="minorHAnsi" w:hAnsiTheme="minorHAnsi" w:cs="Calibri"/>
          <w:color w:val="000000"/>
          <w:sz w:val="22"/>
          <w:lang w:val="en-150"/>
        </w:rPr>
        <w:t>To support the protection of displaced persons from Ukraine, the People's Advocate established an Advisory Council in March 2022</w:t>
      </w:r>
      <w:r w:rsidRPr="00CF6F95">
        <w:rPr>
          <w:rStyle w:val="FootnoteReference"/>
          <w:rFonts w:asciiTheme="minorHAnsi" w:hAnsiTheme="minorHAnsi" w:cs="Calibri"/>
          <w:color w:val="000000"/>
          <w:sz w:val="22"/>
          <w:lang w:val="en-150"/>
        </w:rPr>
        <w:footnoteReference w:id="15"/>
      </w:r>
      <w:r w:rsidRPr="00CF6F95">
        <w:rPr>
          <w:rFonts w:asciiTheme="minorHAnsi" w:hAnsiTheme="minorHAnsi" w:cs="Calibri"/>
          <w:color w:val="000000"/>
          <w:sz w:val="22"/>
          <w:lang w:val="en-150"/>
        </w:rPr>
        <w:t xml:space="preserve"> to provide expertise and assistance. Council reports revealed increased risks of gender-based violence and abuse in refugee </w:t>
      </w:r>
      <w:proofErr w:type="spellStart"/>
      <w:r w:rsidRPr="00CF6F95">
        <w:rPr>
          <w:rFonts w:asciiTheme="minorHAnsi" w:hAnsiTheme="minorHAnsi" w:cs="Calibri"/>
          <w:color w:val="000000"/>
          <w:sz w:val="22"/>
          <w:lang w:val="en-150"/>
        </w:rPr>
        <w:t>centers</w:t>
      </w:r>
      <w:proofErr w:type="spellEnd"/>
      <w:r w:rsidRPr="00CF6F95">
        <w:rPr>
          <w:rFonts w:asciiTheme="minorHAnsi" w:hAnsiTheme="minorHAnsi" w:cs="Calibri"/>
          <w:color w:val="000000"/>
          <w:sz w:val="22"/>
          <w:lang w:val="en-150"/>
        </w:rPr>
        <w:t xml:space="preserve"> due to inadequate supervision and untrained staff. Additionally, unequal access to services, ethnic segregation, and discriminatory attitudes </w:t>
      </w:r>
      <w:r w:rsidR="00D51EAE" w:rsidRPr="00CF6F95">
        <w:rPr>
          <w:rFonts w:asciiTheme="minorHAnsi" w:hAnsiTheme="minorHAnsi" w:cs="Calibri"/>
          <w:color w:val="000000"/>
          <w:sz w:val="22"/>
          <w:lang w:val="en-150"/>
        </w:rPr>
        <w:t>hinders</w:t>
      </w:r>
      <w:r w:rsidRPr="00CF6F95">
        <w:rPr>
          <w:rFonts w:asciiTheme="minorHAnsi" w:hAnsiTheme="minorHAnsi" w:cs="Calibri"/>
          <w:color w:val="000000"/>
          <w:sz w:val="22"/>
          <w:lang w:val="en-150"/>
        </w:rPr>
        <w:t xml:space="preserve"> the protection and integration of refugee women.</w:t>
      </w:r>
    </w:p>
    <w:p w14:paraId="12C3A0A7" w14:textId="47CAF78A" w:rsidR="00466304" w:rsidRPr="00CF6F95" w:rsidRDefault="00466304" w:rsidP="00466304">
      <w:pPr>
        <w:spacing w:before="100" w:beforeAutospacing="1" w:after="100" w:afterAutospacing="1"/>
        <w:jc w:val="both"/>
        <w:rPr>
          <w:rFonts w:asciiTheme="minorHAnsi" w:eastAsia="Times New Roman" w:hAnsiTheme="minorHAnsi" w:cstheme="minorHAnsi"/>
          <w:sz w:val="22"/>
          <w:lang w:val="en-150" w:eastAsia="ro-MD"/>
        </w:rPr>
      </w:pPr>
      <w:r w:rsidRPr="00CF6F95">
        <w:rPr>
          <w:rFonts w:asciiTheme="minorHAnsi" w:eastAsia="Times New Roman" w:hAnsiTheme="minorHAnsi" w:cstheme="minorHAnsi"/>
          <w:sz w:val="22"/>
          <w:lang w:val="en-150" w:eastAsia="ro-MD"/>
        </w:rPr>
        <w:t>According to data from the UN Refugee Agency (Moldova)</w:t>
      </w:r>
      <w:r w:rsidRPr="00CF6F95">
        <w:rPr>
          <w:rStyle w:val="FootnoteReference"/>
          <w:rFonts w:asciiTheme="minorHAnsi" w:eastAsia="Times New Roman" w:hAnsiTheme="minorHAnsi" w:cstheme="minorHAnsi"/>
          <w:sz w:val="22"/>
          <w:lang w:val="en-150" w:eastAsia="ro-MD"/>
        </w:rPr>
        <w:footnoteReference w:id="16"/>
      </w:r>
      <w:r w:rsidRPr="00CF6F95">
        <w:rPr>
          <w:rFonts w:asciiTheme="minorHAnsi" w:eastAsia="Times New Roman" w:hAnsiTheme="minorHAnsi" w:cstheme="minorHAnsi"/>
          <w:sz w:val="22"/>
          <w:lang w:val="en-150" w:eastAsia="ro-MD"/>
        </w:rPr>
        <w:t xml:space="preserve">, at the end of 2024, women accounted for 57.7% of the beneficiaries accommodated in </w:t>
      </w:r>
      <w:proofErr w:type="spellStart"/>
      <w:r w:rsidRPr="00CF6F95">
        <w:rPr>
          <w:rFonts w:asciiTheme="minorHAnsi" w:eastAsia="Times New Roman" w:hAnsiTheme="minorHAnsi" w:cstheme="minorHAnsi"/>
          <w:sz w:val="22"/>
          <w:lang w:val="en-150" w:eastAsia="ro-MD"/>
        </w:rPr>
        <w:t>centers</w:t>
      </w:r>
      <w:proofErr w:type="spellEnd"/>
      <w:r w:rsidRPr="00CF6F95">
        <w:rPr>
          <w:rFonts w:asciiTheme="minorHAnsi" w:eastAsia="Times New Roman" w:hAnsiTheme="minorHAnsi" w:cstheme="minorHAnsi"/>
          <w:sz w:val="22"/>
          <w:lang w:val="en-150" w:eastAsia="ro-MD"/>
        </w:rPr>
        <w:t xml:space="preserve"> for displaced persons. Between 2022 and 2024, they steadily constituted 60-62% of all refugees, with single mothers, pregnant women, elderly and disabled women being the most vulnerable.</w:t>
      </w:r>
    </w:p>
    <w:p w14:paraId="20F613A9" w14:textId="14170864" w:rsidR="00466304" w:rsidRPr="00CF6F95" w:rsidRDefault="00466304" w:rsidP="00B5233B">
      <w:pPr>
        <w:spacing w:before="100" w:beforeAutospacing="1" w:after="100" w:afterAutospacing="1"/>
        <w:jc w:val="both"/>
        <w:rPr>
          <w:rFonts w:asciiTheme="minorHAnsi" w:eastAsia="Times New Roman" w:hAnsiTheme="minorHAnsi" w:cstheme="minorHAnsi"/>
          <w:sz w:val="22"/>
          <w:lang w:val="en-150" w:eastAsia="ro-MD"/>
        </w:rPr>
      </w:pPr>
      <w:r w:rsidRPr="00CF6F95">
        <w:rPr>
          <w:rFonts w:asciiTheme="minorHAnsi" w:eastAsia="Times New Roman" w:hAnsiTheme="minorHAnsi" w:cstheme="minorHAnsi"/>
          <w:sz w:val="22"/>
          <w:lang w:val="en-150" w:eastAsia="ro-MD"/>
        </w:rPr>
        <w:t>According to the Thematic Report prepared by OAP on assessing the accessibility of essential health services for refugees in the Republic of Moldova</w:t>
      </w:r>
      <w:r w:rsidRPr="00CF6F95">
        <w:rPr>
          <w:rStyle w:val="FootnoteReference"/>
          <w:rFonts w:asciiTheme="minorHAnsi" w:eastAsia="Times New Roman" w:hAnsiTheme="minorHAnsi" w:cstheme="minorHAnsi"/>
          <w:sz w:val="22"/>
          <w:lang w:val="en-150" w:eastAsia="ro-MD"/>
        </w:rPr>
        <w:footnoteReference w:id="17"/>
      </w:r>
      <w:r w:rsidRPr="00CF6F95">
        <w:rPr>
          <w:rFonts w:asciiTheme="minorHAnsi" w:eastAsia="Times New Roman" w:hAnsiTheme="minorHAnsi" w:cstheme="minorHAnsi"/>
          <w:sz w:val="22"/>
          <w:lang w:val="en-150" w:eastAsia="ro-MD"/>
        </w:rPr>
        <w:t xml:space="preserve">, </w:t>
      </w:r>
      <w:r w:rsidR="00B5233B" w:rsidRPr="00CF6F95">
        <w:rPr>
          <w:rFonts w:asciiTheme="minorHAnsi" w:eastAsia="Times New Roman" w:hAnsiTheme="minorHAnsi" w:cstheme="minorHAnsi"/>
          <w:sz w:val="22"/>
          <w:lang w:val="en-150" w:eastAsia="ro-MD"/>
        </w:rPr>
        <w:t>refugee women have had partial access to health services, particularly sexual and reproductive care, through NHIC and UNFPA support. However, access remains limited due to legal uncertainties, bureaucracy, and lack of clear information, especially for women with disabilities or chronic illnesses.</w:t>
      </w:r>
    </w:p>
    <w:p w14:paraId="28132EFC" w14:textId="15B34BEE" w:rsidR="0090206B" w:rsidRPr="00CF6F95" w:rsidRDefault="00466304" w:rsidP="0090206B">
      <w:pPr>
        <w:spacing w:before="100" w:beforeAutospacing="1" w:after="100" w:afterAutospacing="1"/>
        <w:jc w:val="both"/>
        <w:rPr>
          <w:rFonts w:asciiTheme="minorHAnsi" w:eastAsia="Times New Roman" w:hAnsiTheme="minorHAnsi" w:cstheme="minorHAnsi"/>
          <w:sz w:val="22"/>
          <w:lang w:val="en-150" w:eastAsia="ro-MD"/>
        </w:rPr>
      </w:pPr>
      <w:r w:rsidRPr="00CF6F95">
        <w:rPr>
          <w:rFonts w:asciiTheme="minorHAnsi" w:eastAsia="Times New Roman" w:hAnsiTheme="minorHAnsi" w:cstheme="minorHAnsi"/>
          <w:sz w:val="22"/>
          <w:lang w:val="en-150" w:eastAsia="ro-MD"/>
        </w:rPr>
        <w:t>In terms of professional integration, a thematic report questionnaire</w:t>
      </w:r>
      <w:r w:rsidR="0090206B" w:rsidRPr="00CF6F95">
        <w:rPr>
          <w:rStyle w:val="FootnoteReference"/>
          <w:rFonts w:asciiTheme="minorHAnsi" w:eastAsia="Times New Roman" w:hAnsiTheme="minorHAnsi" w:cstheme="minorHAnsi"/>
          <w:sz w:val="22"/>
          <w:lang w:val="en-150" w:eastAsia="ro-MD"/>
        </w:rPr>
        <w:footnoteReference w:id="18"/>
      </w:r>
      <w:r w:rsidRPr="00CF6F95">
        <w:rPr>
          <w:rFonts w:asciiTheme="minorHAnsi" w:eastAsia="Times New Roman" w:hAnsiTheme="minorHAnsi" w:cstheme="minorHAnsi"/>
          <w:sz w:val="22"/>
          <w:lang w:val="en-150" w:eastAsia="ro-MD"/>
        </w:rPr>
        <w:t xml:space="preserve"> shows that 44.8% of refugee women consider low wages a major obstacle to employment and 15% cannot work because of caring responsibilities. Only 24% of respondents reported access to flexible working.</w:t>
      </w:r>
    </w:p>
    <w:p w14:paraId="0AB915E8" w14:textId="71B0AA26" w:rsidR="00B5233B" w:rsidRPr="00CF6F95" w:rsidRDefault="00B5233B" w:rsidP="005C4951">
      <w:pPr>
        <w:jc w:val="both"/>
        <w:rPr>
          <w:rFonts w:asciiTheme="minorHAnsi" w:eastAsia="Times New Roman" w:hAnsiTheme="minorHAnsi" w:cstheme="minorHAnsi"/>
          <w:sz w:val="22"/>
          <w:lang w:val="en-150" w:eastAsia="ro-MD"/>
        </w:rPr>
      </w:pPr>
      <w:r w:rsidRPr="00CF6F95">
        <w:rPr>
          <w:rFonts w:asciiTheme="minorHAnsi" w:eastAsia="Times New Roman" w:hAnsiTheme="minorHAnsi" w:cstheme="minorHAnsi"/>
          <w:sz w:val="22"/>
          <w:lang w:val="en-150" w:eastAsia="ro-MD"/>
        </w:rPr>
        <w:t>The People's Advocate highlights that refugee women face a triple intersectional disadvantage, influenced by gender, migration status and, in some cases, ethnicity.  Despite this, Moldova’s professional integration policies lack a gender-sensitive approach and fail to meet the complex needs of this group, contrary to CEDAW obligations.</w:t>
      </w:r>
    </w:p>
    <w:p w14:paraId="217C762F" w14:textId="77777777" w:rsidR="005C4951" w:rsidRPr="00CF6F95" w:rsidRDefault="005C4951" w:rsidP="005C4951">
      <w:pPr>
        <w:jc w:val="both"/>
        <w:rPr>
          <w:rFonts w:asciiTheme="minorHAnsi" w:eastAsia="Times New Roman" w:hAnsiTheme="minorHAnsi" w:cstheme="minorHAnsi"/>
          <w:sz w:val="22"/>
          <w:lang w:val="en-150" w:eastAsia="ro-MD"/>
        </w:rPr>
      </w:pPr>
    </w:p>
    <w:p w14:paraId="5FEB16C9" w14:textId="59A5C7F1" w:rsidR="00827F4F" w:rsidRPr="00CF6F95" w:rsidRDefault="0090206B" w:rsidP="00D51EAE">
      <w:pPr>
        <w:spacing w:after="200"/>
        <w:jc w:val="both"/>
        <w:rPr>
          <w:rFonts w:asciiTheme="minorHAnsi" w:eastAsia="Times New Roman" w:hAnsiTheme="minorHAnsi" w:cstheme="minorHAnsi"/>
          <w:sz w:val="22"/>
          <w:lang w:val="en-150" w:eastAsia="ro-MD"/>
        </w:rPr>
      </w:pPr>
      <w:r w:rsidRPr="00CF6F95">
        <w:rPr>
          <w:rFonts w:asciiTheme="minorHAnsi" w:eastAsia="Times New Roman" w:hAnsiTheme="minorHAnsi" w:cstheme="minorHAnsi"/>
          <w:sz w:val="22"/>
          <w:lang w:val="en-150" w:eastAsia="ro-MD"/>
        </w:rPr>
        <w:t xml:space="preserve">In this regard, the Ombudsman recommends the authorities to align all interventions on gender-based violence with existing national policies, including the National Program to Prevent and </w:t>
      </w:r>
      <w:r w:rsidRPr="00CF6F95">
        <w:rPr>
          <w:rFonts w:asciiTheme="minorHAnsi" w:eastAsia="Times New Roman" w:hAnsiTheme="minorHAnsi" w:cstheme="minorHAnsi"/>
          <w:sz w:val="22"/>
          <w:lang w:val="en-150" w:eastAsia="ro-MD"/>
        </w:rPr>
        <w:lastRenderedPageBreak/>
        <w:t>Combat Violence against Women and Domestic Violence for 2023-2027</w:t>
      </w:r>
      <w:r w:rsidRPr="00CF6F95">
        <w:rPr>
          <w:rStyle w:val="FootnoteReference"/>
          <w:rFonts w:asciiTheme="minorHAnsi" w:eastAsia="Times New Roman" w:hAnsiTheme="minorHAnsi" w:cstheme="minorHAnsi"/>
          <w:sz w:val="22"/>
          <w:lang w:val="en-150" w:eastAsia="ro-MD"/>
        </w:rPr>
        <w:footnoteReference w:id="19"/>
      </w:r>
      <w:r w:rsidRPr="00CF6F95">
        <w:rPr>
          <w:rFonts w:asciiTheme="minorHAnsi" w:eastAsia="Times New Roman" w:hAnsiTheme="minorHAnsi" w:cstheme="minorHAnsi"/>
          <w:sz w:val="22"/>
          <w:lang w:val="en-150" w:eastAsia="ro-MD"/>
        </w:rPr>
        <w:t xml:space="preserve">, and promote the inclusion of refugees in these mechanisms; awareness-raising initiatives on the risks of violence and sexual exploitation; gradual integration of refugees into national social protection systems and the </w:t>
      </w:r>
      <w:proofErr w:type="spellStart"/>
      <w:r w:rsidRPr="00CF6F95">
        <w:rPr>
          <w:rFonts w:asciiTheme="minorHAnsi" w:eastAsia="Times New Roman" w:hAnsiTheme="minorHAnsi" w:cstheme="minorHAnsi"/>
          <w:sz w:val="22"/>
          <w:lang w:val="en-150" w:eastAsia="ro-MD"/>
        </w:rPr>
        <w:t>labor</w:t>
      </w:r>
      <w:proofErr w:type="spellEnd"/>
      <w:r w:rsidRPr="00CF6F95">
        <w:rPr>
          <w:rFonts w:asciiTheme="minorHAnsi" w:eastAsia="Times New Roman" w:hAnsiTheme="minorHAnsi" w:cstheme="minorHAnsi"/>
          <w:sz w:val="22"/>
          <w:lang w:val="en-150" w:eastAsia="ro-MD"/>
        </w:rPr>
        <w:t xml:space="preserve"> market, through inter-institutional collaboration and expanding access to services and rights.</w:t>
      </w:r>
      <w:r w:rsidR="00B5233B" w:rsidRPr="00CF6F95">
        <w:rPr>
          <w:rFonts w:asciiTheme="minorHAnsi" w:hAnsiTheme="minorHAnsi"/>
          <w:sz w:val="22"/>
          <w:lang w:val="en-150"/>
        </w:rPr>
        <w:t xml:space="preserve"> These steps are essential to fulfill Moldova’s obligations under CEDAW, especially Articles 10–14</w:t>
      </w:r>
      <w:r w:rsidR="00B5233B" w:rsidRPr="00CF6F95">
        <w:rPr>
          <w:sz w:val="22"/>
          <w:lang w:val="en-150"/>
        </w:rPr>
        <w:t>.</w:t>
      </w:r>
    </w:p>
    <w:p w14:paraId="24D251DB" w14:textId="47F45DE4" w:rsidR="00B02B1F" w:rsidRDefault="00B02B1F" w:rsidP="000010CC">
      <w:pPr>
        <w:pStyle w:val="Heading1"/>
        <w:rPr>
          <w:rFonts w:asciiTheme="minorHAnsi" w:hAnsiTheme="minorHAnsi"/>
          <w:lang w:val="en-150"/>
        </w:rPr>
      </w:pPr>
      <w:bookmarkStart w:id="8" w:name="_Toc198488103"/>
      <w:r w:rsidRPr="00CF6F95">
        <w:rPr>
          <w:rFonts w:asciiTheme="minorHAnsi" w:hAnsiTheme="minorHAnsi"/>
          <w:lang w:val="en-150"/>
        </w:rPr>
        <w:t>Violence, exclusion and multiple vulnerabilities of minors</w:t>
      </w:r>
      <w:bookmarkEnd w:id="8"/>
    </w:p>
    <w:p w14:paraId="04C2CF8B" w14:textId="77777777" w:rsidR="00D51EAE" w:rsidRPr="00D51EAE" w:rsidRDefault="00D51EAE" w:rsidP="00D51EAE">
      <w:pPr>
        <w:rPr>
          <w:lang w:val="en-150"/>
        </w:rPr>
      </w:pPr>
    </w:p>
    <w:p w14:paraId="2679F226" w14:textId="08C1CA94" w:rsidR="00B02B1F" w:rsidRPr="00CF6F95" w:rsidRDefault="00B02B1F" w:rsidP="00B02B1F">
      <w:pPr>
        <w:spacing w:after="200"/>
        <w:jc w:val="both"/>
        <w:rPr>
          <w:rFonts w:asciiTheme="minorHAnsi" w:hAnsiTheme="minorHAnsi" w:cstheme="minorHAnsi"/>
          <w:sz w:val="22"/>
          <w:lang w:val="en-150"/>
        </w:rPr>
      </w:pPr>
      <w:r w:rsidRPr="00CF6F95">
        <w:rPr>
          <w:rFonts w:asciiTheme="minorHAnsi" w:hAnsiTheme="minorHAnsi" w:cstheme="minorHAnsi"/>
          <w:sz w:val="22"/>
          <w:lang w:val="en-150"/>
        </w:rPr>
        <w:t>According to the Annual Report on the Observance of Human Rights and Freedoms in the Republic of Moldova in 2024, the level of violence and exclusion among children remains alarming.</w:t>
      </w:r>
      <w:r w:rsidR="003666EF" w:rsidRPr="00CF6F95">
        <w:rPr>
          <w:lang w:val="en-150"/>
        </w:rPr>
        <w:t xml:space="preserve"> </w:t>
      </w:r>
      <w:r w:rsidR="003666EF" w:rsidRPr="00CF6F95">
        <w:rPr>
          <w:rFonts w:asciiTheme="minorHAnsi" w:hAnsiTheme="minorHAnsi" w:cstheme="minorHAnsi"/>
          <w:sz w:val="22"/>
          <w:lang w:val="en-150"/>
        </w:rPr>
        <w:t>The Violence against children survey (VACS)</w:t>
      </w:r>
      <w:r w:rsidR="003666EF" w:rsidRPr="00CF6F95">
        <w:rPr>
          <w:rStyle w:val="FootnoteReference"/>
          <w:rFonts w:asciiTheme="minorHAnsi" w:hAnsiTheme="minorHAnsi" w:cstheme="minorHAnsi"/>
          <w:sz w:val="22"/>
          <w:lang w:val="en-150"/>
        </w:rPr>
        <w:footnoteReference w:id="20"/>
      </w:r>
      <w:r w:rsidR="003666EF" w:rsidRPr="00CF6F95">
        <w:rPr>
          <w:rFonts w:asciiTheme="minorHAnsi" w:hAnsiTheme="minorHAnsi" w:cstheme="minorHAnsi"/>
          <w:sz w:val="22"/>
          <w:lang w:val="en-150"/>
        </w:rPr>
        <w:t xml:space="preserve"> 2019 showed 37% experienced violence by age 18, with 14.4% of girls and 5.3% of boys facing sexual abuse—often unreported due to fear or lack of support.</w:t>
      </w:r>
    </w:p>
    <w:p w14:paraId="2F4B5D71" w14:textId="28858233" w:rsidR="00B02B1F" w:rsidRPr="00CF6F95" w:rsidRDefault="00B02B1F" w:rsidP="00B02B1F">
      <w:pPr>
        <w:spacing w:after="200"/>
        <w:jc w:val="both"/>
        <w:rPr>
          <w:rFonts w:asciiTheme="minorHAnsi" w:hAnsiTheme="minorHAnsi" w:cstheme="minorHAnsi"/>
          <w:sz w:val="22"/>
          <w:lang w:val="en-150"/>
        </w:rPr>
      </w:pPr>
      <w:r w:rsidRPr="00CF6F95">
        <w:rPr>
          <w:rFonts w:asciiTheme="minorHAnsi" w:hAnsiTheme="minorHAnsi" w:cstheme="minorHAnsi"/>
          <w:sz w:val="22"/>
          <w:lang w:val="en-150"/>
        </w:rPr>
        <w:t xml:space="preserve">In 2024, 399 children (mostly girls) were victims of sexual offenses, and in almost half of the cases, the perpetrators came from close circle - father, mother's </w:t>
      </w:r>
      <w:r w:rsidR="00893C54" w:rsidRPr="00CF6F95">
        <w:rPr>
          <w:rFonts w:asciiTheme="minorHAnsi" w:hAnsiTheme="minorHAnsi" w:cstheme="minorHAnsi"/>
          <w:sz w:val="22"/>
          <w:lang w:val="en-150"/>
        </w:rPr>
        <w:t>partner</w:t>
      </w:r>
      <w:r w:rsidRPr="00CF6F95">
        <w:rPr>
          <w:rFonts w:asciiTheme="minorHAnsi" w:hAnsiTheme="minorHAnsi" w:cstheme="minorHAnsi"/>
          <w:sz w:val="22"/>
          <w:lang w:val="en-150"/>
        </w:rPr>
        <w:t xml:space="preserve"> or other people in the circle of trust. Online sexual abuse and exploitation is also on the rise, including cases where children were forced to send intimate images in exchange for goods or under threat.</w:t>
      </w:r>
    </w:p>
    <w:p w14:paraId="586F2519" w14:textId="794C9662" w:rsidR="00B02B1F" w:rsidRPr="00CF6F95" w:rsidRDefault="00B02B1F" w:rsidP="00B02B1F">
      <w:pPr>
        <w:spacing w:after="200"/>
        <w:jc w:val="both"/>
        <w:rPr>
          <w:rFonts w:asciiTheme="minorHAnsi" w:hAnsiTheme="minorHAnsi" w:cstheme="minorHAnsi"/>
          <w:sz w:val="22"/>
          <w:lang w:val="en-150"/>
        </w:rPr>
      </w:pPr>
      <w:r w:rsidRPr="00CF6F95">
        <w:rPr>
          <w:rFonts w:asciiTheme="minorHAnsi" w:hAnsiTheme="minorHAnsi" w:cstheme="minorHAnsi"/>
          <w:sz w:val="22"/>
          <w:lang w:val="en-150"/>
        </w:rPr>
        <w:t>At the same time, progress is being made in reducing the number of institutionalized children, in line with the National Agenda for Child Protection 2022-2026. However, challenges remain in providing alternative family-type care, especially for children with disabilities.</w:t>
      </w:r>
    </w:p>
    <w:p w14:paraId="5671C396" w14:textId="0830BFFA" w:rsidR="00B02B1F" w:rsidRPr="00CF6F95" w:rsidRDefault="00B02B1F" w:rsidP="00B02B1F">
      <w:pPr>
        <w:spacing w:after="200"/>
        <w:jc w:val="both"/>
        <w:rPr>
          <w:rFonts w:asciiTheme="minorHAnsi" w:hAnsiTheme="minorHAnsi" w:cstheme="minorHAnsi"/>
          <w:sz w:val="22"/>
          <w:lang w:val="en-150"/>
        </w:rPr>
      </w:pPr>
      <w:r w:rsidRPr="00CF6F95">
        <w:rPr>
          <w:rFonts w:asciiTheme="minorHAnsi" w:hAnsiTheme="minorHAnsi" w:cstheme="minorHAnsi"/>
          <w:sz w:val="22"/>
          <w:lang w:val="en-150"/>
        </w:rPr>
        <w:t xml:space="preserve">Another vulnerable group targeted in the report is Roma children, </w:t>
      </w:r>
      <w:r w:rsidR="003666EF" w:rsidRPr="00CF6F95">
        <w:rPr>
          <w:rFonts w:asciiTheme="minorHAnsi" w:hAnsiTheme="minorHAnsi"/>
          <w:sz w:val="22"/>
          <w:lang w:val="en-150"/>
        </w:rPr>
        <w:t>who face severe educational exclusion due to poverty, poor infrastructure, and discrimination. Roma girls are especially vulnerable to early marriage, school dropout, early pregnancy, and domestic violence</w:t>
      </w:r>
      <w:r w:rsidR="003666EF" w:rsidRPr="00CF6F95">
        <w:rPr>
          <w:lang w:val="en-150"/>
        </w:rPr>
        <w:t>.</w:t>
      </w:r>
    </w:p>
    <w:p w14:paraId="65692BDB" w14:textId="77777777" w:rsidR="00B02B1F" w:rsidRPr="00CF6F95" w:rsidRDefault="00B02B1F" w:rsidP="00B02B1F">
      <w:pPr>
        <w:spacing w:after="200" w:line="276" w:lineRule="auto"/>
        <w:jc w:val="both"/>
        <w:rPr>
          <w:rFonts w:asciiTheme="minorHAnsi" w:hAnsiTheme="minorHAnsi" w:cstheme="minorHAnsi"/>
          <w:sz w:val="22"/>
          <w:lang w:val="en-150"/>
        </w:rPr>
      </w:pPr>
      <w:r w:rsidRPr="00CF6F95">
        <w:rPr>
          <w:rFonts w:asciiTheme="minorHAnsi" w:hAnsiTheme="minorHAnsi" w:cstheme="minorHAnsi"/>
          <w:sz w:val="22"/>
          <w:lang w:val="en-150"/>
        </w:rPr>
        <w:t>These realities highlight the urgent need for integrated public policies that are sensitive to the multiple vulnerabilities of children from marginalized groups. Thus, the Ombudsman for the Rights of the Child has come up with several recommendations, such as the Ministry of Education and Research to strengthen the initial and continuous training of teachers in preventing and combating violence against children, including bullying; to develop their capacities in recognizing and intervening in cases of sexual abuse; and to revise the school curriculum to integrate comprehensive sexuality education and provide the necessary training for its effective implementation.</w:t>
      </w:r>
    </w:p>
    <w:p w14:paraId="16190E65" w14:textId="77777777" w:rsidR="00827F4F" w:rsidRPr="00CF6F95" w:rsidRDefault="00827F4F" w:rsidP="00827F4F">
      <w:pPr>
        <w:spacing w:after="200" w:line="276" w:lineRule="auto"/>
        <w:jc w:val="both"/>
        <w:rPr>
          <w:rFonts w:asciiTheme="minorHAnsi" w:hAnsiTheme="minorHAnsi" w:cstheme="minorHAnsi"/>
          <w:sz w:val="22"/>
          <w:lang w:val="en-150"/>
        </w:rPr>
      </w:pPr>
    </w:p>
    <w:p w14:paraId="5A49ECB1" w14:textId="77777777" w:rsidR="00827F4F" w:rsidRPr="00CF6F95" w:rsidRDefault="00827F4F" w:rsidP="00827F4F">
      <w:pPr>
        <w:spacing w:after="200" w:line="276" w:lineRule="auto"/>
        <w:rPr>
          <w:rFonts w:asciiTheme="minorHAnsi" w:eastAsiaTheme="majorEastAsia" w:hAnsiTheme="minorHAnsi" w:cstheme="minorHAnsi"/>
          <w:color w:val="365F91" w:themeColor="accent1" w:themeShade="BF"/>
          <w:sz w:val="22"/>
          <w:lang w:val="en-150"/>
        </w:rPr>
      </w:pPr>
    </w:p>
    <w:p w14:paraId="0087B34C" w14:textId="1E7E64A8" w:rsidR="00E43564" w:rsidRPr="00CF6F95" w:rsidRDefault="00E43564" w:rsidP="002653A0">
      <w:pPr>
        <w:rPr>
          <w:rFonts w:asciiTheme="minorHAnsi" w:hAnsiTheme="minorHAnsi"/>
          <w:lang w:val="en-150"/>
        </w:rPr>
      </w:pPr>
    </w:p>
    <w:sectPr w:rsidR="00E43564" w:rsidRPr="00CF6F95" w:rsidSect="00A13B4F">
      <w:headerReference w:type="default" r:id="rId7"/>
      <w:footerReference w:type="default" r:id="rId8"/>
      <w:headerReference w:type="first" r:id="rId9"/>
      <w:footerReference w:type="first" r:id="rId10"/>
      <w:pgSz w:w="11906" w:h="16838"/>
      <w:pgMar w:top="1666" w:right="1440" w:bottom="1440" w:left="1701" w:header="0" w:footer="21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513BB" w14:textId="77777777" w:rsidR="00721913" w:rsidRDefault="00721913" w:rsidP="00E52E9A">
      <w:r>
        <w:separator/>
      </w:r>
    </w:p>
  </w:endnote>
  <w:endnote w:type="continuationSeparator" w:id="0">
    <w:p w14:paraId="7A16BE6C" w14:textId="77777777" w:rsidR="00721913" w:rsidRDefault="00721913" w:rsidP="00E5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215D4" w14:textId="0662EC0C" w:rsidR="00A13B4F" w:rsidRDefault="00827F4F">
    <w:pPr>
      <w:pStyle w:val="Footer"/>
    </w:pPr>
    <w:r>
      <w:rPr>
        <w:noProof/>
        <w:lang w:eastAsia="ru-RU"/>
      </w:rPr>
      <mc:AlternateContent>
        <mc:Choice Requires="wps">
          <w:drawing>
            <wp:anchor distT="0" distB="0" distL="114300" distR="114300" simplePos="0" relativeHeight="251660800" behindDoc="0" locked="0" layoutInCell="1" allowOverlap="1" wp14:anchorId="4F5B1969" wp14:editId="0E73AA8F">
              <wp:simplePos x="0" y="0"/>
              <wp:positionH relativeFrom="page">
                <wp:posOffset>1080135</wp:posOffset>
              </wp:positionH>
              <wp:positionV relativeFrom="page">
                <wp:posOffset>9397365</wp:posOffset>
              </wp:positionV>
              <wp:extent cx="1679575" cy="725170"/>
              <wp:effectExtent l="3810" t="0" r="2540" b="254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21D5B1" w14:textId="77777777" w:rsidR="00A13B4F" w:rsidRPr="00B5155A" w:rsidRDefault="00A13B4F" w:rsidP="00E43564">
                          <w:pPr>
                            <w:pStyle w:val="Avocatulpoporuluitextfooter"/>
                          </w:pPr>
                          <w: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B1969" id="_x0000_t202" coordsize="21600,21600" o:spt="202" path="m,l,21600r21600,l21600,xe">
              <v:stroke joinstyle="miter"/>
              <v:path gradientshapeok="t" o:connecttype="rect"/>
            </v:shapetype>
            <v:shape id="Text Box 5" o:spid="_x0000_s1026" type="#_x0000_t202" style="position:absolute;margin-left:85.05pt;margin-top:739.95pt;width:132.25pt;height:57.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" stroked="f">
              <v:textbox inset="0,0,0,0">
                <w:txbxContent>
                  <w:p w14:paraId="5521D5B1" w14:textId="77777777" w:rsidR="00A13B4F" w:rsidRPr="00B5155A" w:rsidRDefault="00A13B4F" w:rsidP="00E43564">
                    <w:pPr>
                      <w:pStyle w:val="Avocatulpoporuluitextfooter"/>
                    </w:pPr>
                    <w:r>
                      <w:t>ombudsman.md</w:t>
                    </w:r>
                  </w:p>
                </w:txbxContent>
              </v:textbox>
              <w10:wrap anchorx="page" anchory="page"/>
            </v:shape>
          </w:pict>
        </mc:Fallback>
      </mc:AlternateContent>
    </w:r>
    <w:r>
      <w:rPr>
        <w:noProof/>
        <w:lang w:eastAsia="ru-RU"/>
      </w:rPr>
      <mc:AlternateContent>
        <mc:Choice Requires="wps">
          <w:drawing>
            <wp:anchor distT="0" distB="0" distL="114300" distR="114300" simplePos="0" relativeHeight="251659776" behindDoc="0" locked="0" layoutInCell="1" allowOverlap="1" wp14:anchorId="74EAB253" wp14:editId="20F85635">
              <wp:simplePos x="0" y="0"/>
              <wp:positionH relativeFrom="page">
                <wp:posOffset>5616575</wp:posOffset>
              </wp:positionH>
              <wp:positionV relativeFrom="page">
                <wp:posOffset>9397365</wp:posOffset>
              </wp:positionV>
              <wp:extent cx="1679575" cy="725170"/>
              <wp:effectExtent l="0" t="0" r="0" b="254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882735"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1854E589"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0BF684FA" w14:textId="77777777" w:rsidR="002653A0" w:rsidRDefault="002653A0" w:rsidP="002653A0">
                          <w:pPr>
                            <w:rPr>
                              <w:rStyle w:val="Avocatulpoporuluitextfooter0"/>
                            </w:rPr>
                          </w:pPr>
                          <w:r w:rsidRPr="002653A0">
                            <w:rPr>
                              <w:rStyle w:val="Avocatulpoporuluitextfooter0"/>
                            </w:rPr>
                            <w:t>Republic of Moldova</w:t>
                          </w:r>
                        </w:p>
                        <w:p w14:paraId="0B5813E2" w14:textId="77777777" w:rsidR="002653A0" w:rsidRPr="00CF4AD1" w:rsidRDefault="002653A0" w:rsidP="002653A0">
                          <w:pPr>
                            <w:rPr>
                              <w:rFonts w:cs="Arial"/>
                              <w:sz w:val="16"/>
                              <w:szCs w:val="16"/>
                              <w:lang w:val="en-US"/>
                            </w:rPr>
                          </w:pPr>
                        </w:p>
                        <w:p w14:paraId="4CFF8D42" w14:textId="77777777" w:rsidR="002653A0" w:rsidRPr="00B5155A" w:rsidRDefault="002653A0" w:rsidP="002653A0">
                          <w:pPr>
                            <w:pStyle w:val="Avocatulpoporuluitextfooter"/>
                          </w:pPr>
                          <w:r w:rsidRPr="00B5155A">
                            <w:t xml:space="preserve">ombudsman@ombudsman.md </w:t>
                          </w:r>
                          <w:r>
                            <w:br/>
                          </w:r>
                          <w:r w:rsidRPr="00B5155A">
                            <w:t>+373 22 234 800</w:t>
                          </w:r>
                        </w:p>
                        <w:p w14:paraId="02DAF3BF" w14:textId="77777777" w:rsidR="00A13B4F" w:rsidRPr="002653A0" w:rsidRDefault="00A13B4F" w:rsidP="002653A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EAB253" id="Text Box 4" o:spid="_x0000_s1027" type="#_x0000_t202" style="position:absolute;margin-left:442.25pt;margin-top:739.95pt;width:132.25pt;height:57.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" stroked="f">
              <v:textbox inset="0,0,0,0">
                <w:txbxContent>
                  <w:p w14:paraId="0E882735"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1854E589"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0BF684FA" w14:textId="77777777" w:rsidR="002653A0" w:rsidRDefault="002653A0" w:rsidP="002653A0">
                    <w:pPr>
                      <w:rPr>
                        <w:rStyle w:val="Avocatulpoporuluitextfooter0"/>
                      </w:rPr>
                    </w:pPr>
                    <w:r w:rsidRPr="002653A0">
                      <w:rPr>
                        <w:rStyle w:val="Avocatulpoporuluitextfooter0"/>
                      </w:rPr>
                      <w:t>Republic of Moldova</w:t>
                    </w:r>
                  </w:p>
                  <w:p w14:paraId="0B5813E2" w14:textId="77777777" w:rsidR="002653A0" w:rsidRPr="00CF4AD1" w:rsidRDefault="002653A0" w:rsidP="002653A0">
                    <w:pPr>
                      <w:rPr>
                        <w:rFonts w:cs="Arial"/>
                        <w:sz w:val="16"/>
                        <w:szCs w:val="16"/>
                        <w:lang w:val="en-US"/>
                      </w:rPr>
                    </w:pPr>
                  </w:p>
                  <w:p w14:paraId="4CFF8D42" w14:textId="77777777" w:rsidR="002653A0" w:rsidRPr="00B5155A" w:rsidRDefault="002653A0" w:rsidP="002653A0">
                    <w:pPr>
                      <w:pStyle w:val="Avocatulpoporuluitextfooter"/>
                    </w:pPr>
                    <w:r w:rsidRPr="00B5155A">
                      <w:t xml:space="preserve">ombudsman@ombudsman.md </w:t>
                    </w:r>
                    <w:r>
                      <w:br/>
                    </w:r>
                    <w:r w:rsidRPr="00B5155A">
                      <w:t>+373 22 234 800</w:t>
                    </w:r>
                  </w:p>
                  <w:p w14:paraId="02DAF3BF" w14:textId="77777777" w:rsidR="00A13B4F" w:rsidRPr="002653A0" w:rsidRDefault="00A13B4F" w:rsidP="002653A0"/>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1881" w14:textId="3FBB01A9" w:rsidR="00A13B4F" w:rsidRDefault="00827F4F">
    <w:pPr>
      <w:pStyle w:val="Footer"/>
    </w:pPr>
    <w:r>
      <w:rPr>
        <w:noProof/>
        <w:lang w:eastAsia="ru-RU"/>
      </w:rPr>
      <mc:AlternateContent>
        <mc:Choice Requires="wps">
          <w:drawing>
            <wp:anchor distT="0" distB="0" distL="114300" distR="114300" simplePos="0" relativeHeight="251658752" behindDoc="0" locked="0" layoutInCell="1" allowOverlap="1" wp14:anchorId="48E1572C" wp14:editId="196E8397">
              <wp:simplePos x="0" y="0"/>
              <wp:positionH relativeFrom="page">
                <wp:posOffset>1080135</wp:posOffset>
              </wp:positionH>
              <wp:positionV relativeFrom="page">
                <wp:posOffset>9397365</wp:posOffset>
              </wp:positionV>
              <wp:extent cx="1679575" cy="725170"/>
              <wp:effectExtent l="3810" t="0" r="2540" b="254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A0AE75" w14:textId="77777777" w:rsidR="00A13B4F" w:rsidRPr="00B5155A" w:rsidRDefault="00A13B4F" w:rsidP="00B5155A">
                          <w:pPr>
                            <w:pStyle w:val="Avocatulpoporuluitextfooter"/>
                          </w:pPr>
                          <w:r>
                            <w:t>ombudsman.md</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1572C" id="_x0000_t202" coordsize="21600,21600" o:spt="202" path="m,l,21600r21600,l21600,xe">
              <v:stroke joinstyle="miter"/>
              <v:path gradientshapeok="t" o:connecttype="rect"/>
            </v:shapetype>
            <v:shape id="Text Box 3" o:spid="_x0000_s1028" type="#_x0000_t202" style="position:absolute;margin-left:85.05pt;margin-top:739.95pt;width:132.25pt;height:57.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" stroked="f">
              <v:textbox inset="0,0,0,0">
                <w:txbxContent>
                  <w:p w14:paraId="4DA0AE75" w14:textId="77777777" w:rsidR="00A13B4F" w:rsidRPr="00B5155A" w:rsidRDefault="00A13B4F" w:rsidP="00B5155A">
                    <w:pPr>
                      <w:pStyle w:val="Avocatulpoporuluitextfooter"/>
                    </w:pPr>
                    <w:r>
                      <w:t>ombudsman.md</w:t>
                    </w:r>
                  </w:p>
                </w:txbxContent>
              </v:textbox>
              <w10:wrap anchorx="page" anchory="page"/>
            </v:shape>
          </w:pict>
        </mc:Fallback>
      </mc:AlternateContent>
    </w:r>
    <w:r>
      <w:rPr>
        <w:noProof/>
        <w:lang w:eastAsia="ru-RU"/>
      </w:rPr>
      <mc:AlternateContent>
        <mc:Choice Requires="wps">
          <w:drawing>
            <wp:anchor distT="0" distB="0" distL="114300" distR="114300" simplePos="0" relativeHeight="251657728" behindDoc="0" locked="0" layoutInCell="1" allowOverlap="1" wp14:anchorId="07DA19F1" wp14:editId="462C69A4">
              <wp:simplePos x="0" y="0"/>
              <wp:positionH relativeFrom="page">
                <wp:posOffset>5616575</wp:posOffset>
              </wp:positionH>
              <wp:positionV relativeFrom="page">
                <wp:posOffset>9397365</wp:posOffset>
              </wp:positionV>
              <wp:extent cx="1679575" cy="725170"/>
              <wp:effectExtent l="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2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B5E07E"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487235C3"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60855A92" w14:textId="77777777" w:rsidR="002653A0" w:rsidRDefault="002653A0" w:rsidP="002653A0">
                          <w:pPr>
                            <w:rPr>
                              <w:rStyle w:val="Avocatulpoporuluitextfooter0"/>
                            </w:rPr>
                          </w:pPr>
                          <w:r w:rsidRPr="002653A0">
                            <w:rPr>
                              <w:rStyle w:val="Avocatulpoporuluitextfooter0"/>
                            </w:rPr>
                            <w:t>Republic of Moldova</w:t>
                          </w:r>
                        </w:p>
                        <w:p w14:paraId="76F07FFB" w14:textId="77777777" w:rsidR="00A13B4F" w:rsidRPr="00CF4AD1" w:rsidRDefault="00A13B4F" w:rsidP="00B5155A">
                          <w:pPr>
                            <w:rPr>
                              <w:rFonts w:cs="Arial"/>
                              <w:sz w:val="16"/>
                              <w:szCs w:val="16"/>
                              <w:lang w:val="en-US"/>
                            </w:rPr>
                          </w:pPr>
                        </w:p>
                        <w:p w14:paraId="036AC470" w14:textId="77777777" w:rsidR="00A13B4F" w:rsidRPr="00B5155A" w:rsidRDefault="00A13B4F" w:rsidP="00B5155A">
                          <w:pPr>
                            <w:pStyle w:val="Avocatulpoporuluitextfooter"/>
                          </w:pPr>
                          <w:r w:rsidRPr="00B5155A">
                            <w:t xml:space="preserve">ombudsman@ombudsman.md </w:t>
                          </w:r>
                          <w:r>
                            <w:br/>
                          </w:r>
                          <w:r w:rsidRPr="00B5155A">
                            <w:t>+373 22 234 800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A19F1" id="Text Box 2" o:spid="_x0000_s1029" type="#_x0000_t202" style="position:absolute;margin-left:442.25pt;margin-top:739.95pt;width:132.25pt;height:57.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" stroked="f">
              <v:textbox inset="0,0,0,0">
                <w:txbxContent>
                  <w:p w14:paraId="5CB5E07E" w14:textId="77777777" w:rsidR="002653A0" w:rsidRPr="002653A0" w:rsidRDefault="002653A0" w:rsidP="002653A0">
                    <w:pPr>
                      <w:rPr>
                        <w:rStyle w:val="Avocatulpoporuluitextfooter0"/>
                      </w:rPr>
                    </w:pPr>
                    <w:r w:rsidRPr="002653A0">
                      <w:rPr>
                        <w:rStyle w:val="Avocatulpoporuluitextfooterbold0"/>
                        <w:lang w:val="en-US"/>
                      </w:rPr>
                      <w:t>People's Advocate O</w:t>
                    </w:r>
                    <w:r>
                      <w:rPr>
                        <w:rStyle w:val="Avocatulpoporuluitextfooterbold0"/>
                        <w:lang w:val="en-US"/>
                      </w:rPr>
                      <w:t>ffice</w:t>
                    </w:r>
                    <w:r w:rsidRPr="00B5155A">
                      <w:rPr>
                        <w:rFonts w:cs="Arial"/>
                        <w:sz w:val="14"/>
                        <w:szCs w:val="14"/>
                        <w:lang w:val="ro-RO"/>
                      </w:rPr>
                      <w:br/>
                    </w:r>
                    <w:r w:rsidRPr="002653A0">
                      <w:rPr>
                        <w:rStyle w:val="Avocatulpoporuluitextfooter0"/>
                      </w:rPr>
                      <w:t>11/3 Calea Ieșilor str</w:t>
                    </w:r>
                  </w:p>
                  <w:p w14:paraId="487235C3" w14:textId="77777777" w:rsidR="002653A0" w:rsidRPr="002653A0" w:rsidRDefault="002653A0" w:rsidP="002653A0">
                    <w:pPr>
                      <w:rPr>
                        <w:rStyle w:val="Avocatulpoporuluitextfooter0"/>
                      </w:rPr>
                    </w:pPr>
                    <w:r w:rsidRPr="002653A0">
                      <w:rPr>
                        <w:rStyle w:val="Avocatulpoporuluitextfooter0"/>
                      </w:rPr>
                      <w:t>Chisinau municipality</w:t>
                    </w:r>
                    <w:r>
                      <w:rPr>
                        <w:rStyle w:val="Avocatulpoporuluitextfooter0"/>
                      </w:rPr>
                      <w:t>,</w:t>
                    </w:r>
                    <w:r w:rsidRPr="002653A0">
                      <w:rPr>
                        <w:rStyle w:val="Avocatulpoporuluitextfooter0"/>
                      </w:rPr>
                      <w:t xml:space="preserve"> MD-2069</w:t>
                    </w:r>
                  </w:p>
                  <w:p w14:paraId="60855A92" w14:textId="77777777" w:rsidR="002653A0" w:rsidRDefault="002653A0" w:rsidP="002653A0">
                    <w:pPr>
                      <w:rPr>
                        <w:rStyle w:val="Avocatulpoporuluitextfooter0"/>
                      </w:rPr>
                    </w:pPr>
                    <w:r w:rsidRPr="002653A0">
                      <w:rPr>
                        <w:rStyle w:val="Avocatulpoporuluitextfooter0"/>
                      </w:rPr>
                      <w:t>Republic of Moldova</w:t>
                    </w:r>
                  </w:p>
                  <w:p w14:paraId="76F07FFB" w14:textId="77777777" w:rsidR="00A13B4F" w:rsidRPr="00CF4AD1" w:rsidRDefault="00A13B4F" w:rsidP="00B5155A">
                    <w:pPr>
                      <w:rPr>
                        <w:rFonts w:cs="Arial"/>
                        <w:sz w:val="16"/>
                        <w:szCs w:val="16"/>
                        <w:lang w:val="en-US"/>
                      </w:rPr>
                    </w:pPr>
                  </w:p>
                  <w:p w14:paraId="036AC470" w14:textId="77777777" w:rsidR="00A13B4F" w:rsidRPr="00B5155A" w:rsidRDefault="00A13B4F" w:rsidP="00B5155A">
                    <w:pPr>
                      <w:pStyle w:val="Avocatulpoporuluitextfooter"/>
                    </w:pPr>
                    <w:r w:rsidRPr="00B5155A">
                      <w:t xml:space="preserve">ombudsman@ombudsman.md </w:t>
                    </w:r>
                    <w:r>
                      <w:br/>
                    </w:r>
                    <w:r w:rsidRPr="00B5155A">
                      <w:t>+373 22 234 800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BE58C" w14:textId="77777777" w:rsidR="00721913" w:rsidRDefault="00721913" w:rsidP="00E52E9A">
      <w:r>
        <w:separator/>
      </w:r>
    </w:p>
  </w:footnote>
  <w:footnote w:type="continuationSeparator" w:id="0">
    <w:p w14:paraId="26521D97" w14:textId="77777777" w:rsidR="00721913" w:rsidRDefault="00721913" w:rsidP="00E52E9A">
      <w:r>
        <w:continuationSeparator/>
      </w:r>
    </w:p>
  </w:footnote>
  <w:footnote w:id="1">
    <w:p w14:paraId="68F3682B" w14:textId="1C80EF88" w:rsidR="002045E4" w:rsidRPr="002045E4" w:rsidRDefault="002045E4">
      <w:pPr>
        <w:pStyle w:val="FootnoteText"/>
        <w:rPr>
          <w:lang w:val="ro-RO"/>
        </w:rPr>
      </w:pPr>
      <w:r>
        <w:rPr>
          <w:rStyle w:val="FootnoteReference"/>
        </w:rPr>
        <w:footnoteRef/>
      </w:r>
      <w:hyperlink r:id="rId1" w:history="1">
        <w:r w:rsidRPr="00092DC0">
          <w:rPr>
            <w:rStyle w:val="Hyperlink"/>
            <w:rFonts w:asciiTheme="minorHAnsi" w:hAnsiTheme="minorHAnsi" w:cstheme="minorHAnsi"/>
          </w:rPr>
          <w:t>https://tbinternet.ohchr.org/_layouts/15/treatybodyexternal/Download.aspx?symbolno=CEDAW%2FC%2FMDA%2F7&amp;Lang=en</w:t>
        </w:r>
      </w:hyperlink>
    </w:p>
  </w:footnote>
  <w:footnote w:id="2">
    <w:p w14:paraId="7D4886DC" w14:textId="5C834EC3" w:rsidR="00352478" w:rsidRPr="00C43DE7" w:rsidRDefault="00352478" w:rsidP="00C43DE7">
      <w:pPr>
        <w:pStyle w:val="FootnoteText"/>
        <w:rPr>
          <w:rFonts w:asciiTheme="minorHAnsi" w:hAnsiTheme="minorHAnsi"/>
          <w:lang w:val="ro-RO"/>
        </w:rPr>
      </w:pPr>
      <w:r w:rsidRPr="00C43DE7">
        <w:rPr>
          <w:rStyle w:val="FootnoteReference"/>
          <w:rFonts w:asciiTheme="minorHAnsi" w:hAnsiTheme="minorHAnsi"/>
        </w:rPr>
        <w:footnoteRef/>
      </w:r>
      <w:r w:rsidRPr="00C43DE7">
        <w:rPr>
          <w:rFonts w:asciiTheme="minorHAnsi" w:hAnsiTheme="minorHAnsi"/>
        </w:rPr>
        <w:t xml:space="preserve"> </w:t>
      </w:r>
      <w:hyperlink r:id="rId2" w:history="1">
        <w:r w:rsidRPr="00C43DE7">
          <w:rPr>
            <w:rStyle w:val="Hyperlink"/>
            <w:rFonts w:asciiTheme="minorHAnsi" w:hAnsiTheme="minorHAnsi"/>
          </w:rPr>
          <w:t>https://ombudsman.md/avocatul-poporului-ceslav-panico-condamna-acuzatiile-si-limbajul-utilizat-de-procurorul-general-in-raport-cu-institutia-ombudsmanului/</w:t>
        </w:r>
      </w:hyperlink>
      <w:r w:rsidRPr="00C43DE7">
        <w:rPr>
          <w:rStyle w:val="Hyperlink"/>
          <w:rFonts w:asciiTheme="minorHAnsi" w:hAnsiTheme="minorHAnsi"/>
          <w:lang w:val="ro-RO"/>
        </w:rPr>
        <w:t xml:space="preserve"> </w:t>
      </w:r>
    </w:p>
  </w:footnote>
  <w:footnote w:id="3">
    <w:p w14:paraId="2AD8CB68" w14:textId="19A604E4" w:rsidR="00352478" w:rsidRPr="00352478" w:rsidRDefault="00352478" w:rsidP="00C43DE7">
      <w:pPr>
        <w:pStyle w:val="FootnoteText"/>
        <w:rPr>
          <w:lang w:val="ro-RO"/>
        </w:rPr>
      </w:pPr>
      <w:r w:rsidRPr="00C43DE7">
        <w:rPr>
          <w:rStyle w:val="FootnoteReference"/>
          <w:rFonts w:asciiTheme="minorHAnsi" w:hAnsiTheme="minorHAnsi"/>
        </w:rPr>
        <w:footnoteRef/>
      </w:r>
      <w:r w:rsidRPr="00C43DE7">
        <w:rPr>
          <w:rFonts w:asciiTheme="minorHAnsi" w:hAnsiTheme="minorHAnsi"/>
        </w:rPr>
        <w:t xml:space="preserve"> </w:t>
      </w:r>
      <w:hyperlink r:id="rId3" w:history="1">
        <w:r w:rsidRPr="00C43DE7">
          <w:rPr>
            <w:rStyle w:val="Hyperlink"/>
            <w:rFonts w:asciiTheme="minorHAnsi" w:hAnsiTheme="minorHAnsi"/>
          </w:rPr>
          <w:t>https://ombudsman.md/reactia-avocatului-poporului-privind-imixtiunea-in-activitatea-sa-si-subminarea-garantiilor-de-independenta/</w:t>
        </w:r>
      </w:hyperlink>
    </w:p>
  </w:footnote>
  <w:footnote w:id="4">
    <w:p w14:paraId="0CF5CC42" w14:textId="1B6F2611" w:rsidR="00CA243C" w:rsidRPr="00CA243C" w:rsidRDefault="00CA243C">
      <w:pPr>
        <w:pStyle w:val="FootnoteText"/>
        <w:rPr>
          <w:lang w:val="ro-RO"/>
        </w:rPr>
      </w:pPr>
      <w:r>
        <w:rPr>
          <w:rStyle w:val="FootnoteReference"/>
        </w:rPr>
        <w:footnoteRef/>
      </w:r>
      <w:r>
        <w:t xml:space="preserve"> </w:t>
      </w:r>
      <w:hyperlink r:id="rId4" w:history="1">
        <w:r w:rsidRPr="00C24041">
          <w:rPr>
            <w:rStyle w:val="Hyperlink"/>
            <w:rFonts w:asciiTheme="minorHAnsi" w:hAnsiTheme="minorHAnsi" w:cstheme="minorHAnsi"/>
            <w:lang w:val="ro-RO"/>
          </w:rPr>
          <w:t>https://ombudsman.md/studiu-perceptii-asupra-drepturilor-omului-in-republica-molodva-in-2023/</w:t>
        </w:r>
      </w:hyperlink>
    </w:p>
  </w:footnote>
  <w:footnote w:id="5">
    <w:p w14:paraId="2888FC16" w14:textId="30D4C7B9" w:rsidR="0058505C" w:rsidRPr="0058505C" w:rsidRDefault="0058505C">
      <w:pPr>
        <w:pStyle w:val="FootnoteText"/>
        <w:rPr>
          <w:lang w:val="en-US"/>
        </w:rPr>
      </w:pPr>
      <w:r>
        <w:rPr>
          <w:rStyle w:val="FootnoteReference"/>
        </w:rPr>
        <w:footnoteRef/>
      </w:r>
      <w:r>
        <w:t xml:space="preserve"> </w:t>
      </w:r>
      <w:hyperlink r:id="rId5" w:history="1">
        <w:r w:rsidRPr="00C24041">
          <w:rPr>
            <w:rStyle w:val="Hyperlink"/>
            <w:rFonts w:asciiTheme="minorHAnsi" w:hAnsiTheme="minorHAnsi" w:cstheme="minorHAnsi"/>
            <w:lang w:val="ro-RO"/>
          </w:rPr>
          <w:t>https://ombudsman.md/studiu-perceptii-asupra-drepturilor-omului-in-republica-molodva-in-2023/</w:t>
        </w:r>
      </w:hyperlink>
    </w:p>
  </w:footnote>
  <w:footnote w:id="6">
    <w:p w14:paraId="6E82940B" w14:textId="388BAA1A" w:rsidR="001773E0" w:rsidRPr="001773E0" w:rsidRDefault="001773E0">
      <w:pPr>
        <w:pStyle w:val="FootnoteText"/>
        <w:rPr>
          <w:lang w:val="en-US"/>
        </w:rPr>
      </w:pPr>
      <w:r>
        <w:rPr>
          <w:rStyle w:val="FootnoteReference"/>
        </w:rPr>
        <w:footnoteRef/>
      </w:r>
      <w:r>
        <w:t xml:space="preserve"> </w:t>
      </w:r>
      <w:hyperlink r:id="rId6" w:history="1">
        <w:r w:rsidRPr="00512FC5">
          <w:rPr>
            <w:rStyle w:val="Hyperlink"/>
            <w:rFonts w:asciiTheme="minorHAnsi" w:hAnsiTheme="minorHAnsi" w:cstheme="minorHAnsi"/>
            <w:lang w:val="ro-RO"/>
          </w:rPr>
          <w:t>https://anpcv.gov.md/sites/default/files/2025-04/scvd_nota_12_luni_2024_8.pdf</w:t>
        </w:r>
      </w:hyperlink>
      <w:r>
        <w:rPr>
          <w:rStyle w:val="Hyperlink"/>
          <w:rFonts w:asciiTheme="minorHAnsi" w:hAnsiTheme="minorHAnsi" w:cstheme="minorHAnsi"/>
          <w:lang w:val="ro-RO"/>
        </w:rPr>
        <w:t xml:space="preserve"> </w:t>
      </w:r>
    </w:p>
  </w:footnote>
  <w:footnote w:id="7">
    <w:p w14:paraId="399361F3" w14:textId="77777777" w:rsidR="000877D4" w:rsidRPr="001773E0" w:rsidRDefault="000877D4" w:rsidP="000877D4">
      <w:pPr>
        <w:pStyle w:val="FootnoteText"/>
        <w:rPr>
          <w:lang w:val="en-US"/>
        </w:rPr>
      </w:pPr>
      <w:r>
        <w:rPr>
          <w:rStyle w:val="FootnoteReference"/>
        </w:rPr>
        <w:footnoteRef/>
      </w:r>
      <w:r>
        <w:t xml:space="preserve"> </w:t>
      </w:r>
      <w:hyperlink r:id="rId7" w:history="1">
        <w:r w:rsidRPr="00512FC5">
          <w:rPr>
            <w:rStyle w:val="Hyperlink"/>
            <w:rFonts w:asciiTheme="minorHAnsi" w:hAnsiTheme="minorHAnsi"/>
            <w:lang w:val="ro-RO"/>
          </w:rPr>
          <w:t>https://justice.gov.md/ro/content/guvernul-sprijina-consolidarea-cadrului-legal-pentru-protectia-victimelor-violentei-familie</w:t>
        </w:r>
      </w:hyperlink>
      <w:r>
        <w:rPr>
          <w:rStyle w:val="Hyperlink"/>
          <w:rFonts w:asciiTheme="minorHAnsi" w:hAnsiTheme="minorHAnsi"/>
          <w:lang w:val="ro-RO"/>
        </w:rPr>
        <w:t xml:space="preserve"> </w:t>
      </w:r>
    </w:p>
  </w:footnote>
  <w:footnote w:id="8">
    <w:p w14:paraId="6300742C" w14:textId="241D6D72" w:rsidR="00B4128D" w:rsidRPr="00B4128D" w:rsidRDefault="00B4128D">
      <w:pPr>
        <w:pStyle w:val="FootnoteText"/>
        <w:rPr>
          <w:lang w:val="en-US"/>
        </w:rPr>
      </w:pPr>
      <w:r>
        <w:rPr>
          <w:rStyle w:val="FootnoteReference"/>
        </w:rPr>
        <w:footnoteRef/>
      </w:r>
      <w:r>
        <w:t xml:space="preserve"> </w:t>
      </w:r>
      <w:hyperlink r:id="rId8" w:history="1">
        <w:r w:rsidRPr="00C24041">
          <w:rPr>
            <w:rStyle w:val="Hyperlink"/>
            <w:rFonts w:asciiTheme="minorHAnsi" w:hAnsiTheme="minorHAnsi"/>
            <w:lang w:val="ro-RO"/>
          </w:rPr>
          <w:t>https://ombudsman.md/post-document/deces-violent-la-spitalul-de-psihiatrie-balti-2/</w:t>
        </w:r>
      </w:hyperlink>
      <w:r>
        <w:rPr>
          <w:rStyle w:val="Hyperlink"/>
          <w:rFonts w:asciiTheme="minorHAnsi" w:hAnsiTheme="minorHAnsi"/>
          <w:lang w:val="ro-RO"/>
        </w:rPr>
        <w:t xml:space="preserve"> </w:t>
      </w:r>
    </w:p>
  </w:footnote>
  <w:footnote w:id="9">
    <w:p w14:paraId="1ABB546A" w14:textId="3E4E4C7D" w:rsidR="00000DBB" w:rsidRPr="00000DBB" w:rsidRDefault="00000DBB">
      <w:pPr>
        <w:pStyle w:val="FootnoteText"/>
        <w:rPr>
          <w:lang w:val="en-US"/>
        </w:rPr>
      </w:pPr>
      <w:r>
        <w:rPr>
          <w:rStyle w:val="FootnoteReference"/>
        </w:rPr>
        <w:footnoteRef/>
      </w:r>
      <w:r>
        <w:t xml:space="preserve"> </w:t>
      </w:r>
      <w:hyperlink r:id="rId9" w:history="1">
        <w:r w:rsidRPr="00C24041">
          <w:rPr>
            <w:rStyle w:val="Hyperlink"/>
            <w:rFonts w:asciiTheme="minorHAnsi" w:hAnsiTheme="minorHAnsi"/>
            <w:lang w:val="ro-RO"/>
          </w:rPr>
          <w:t>https://idom.md/wp-content/uploads/2021/02/raport-reprorights-wwd-md_dis-2.pdf</w:t>
        </w:r>
      </w:hyperlink>
      <w:r>
        <w:rPr>
          <w:rStyle w:val="Hyperlink"/>
          <w:rFonts w:asciiTheme="minorHAnsi" w:hAnsiTheme="minorHAnsi"/>
          <w:lang w:val="ro-RO"/>
        </w:rPr>
        <w:t xml:space="preserve"> </w:t>
      </w:r>
    </w:p>
  </w:footnote>
  <w:footnote w:id="10">
    <w:p w14:paraId="396F079D" w14:textId="20109478" w:rsidR="00000DBB" w:rsidRPr="00000DBB" w:rsidRDefault="00000DBB">
      <w:pPr>
        <w:pStyle w:val="FootnoteText"/>
        <w:rPr>
          <w:lang w:val="en-US"/>
        </w:rPr>
      </w:pPr>
      <w:r>
        <w:rPr>
          <w:rStyle w:val="FootnoteReference"/>
        </w:rPr>
        <w:footnoteRef/>
      </w:r>
      <w:hyperlink r:id="rId10" w:anchor="{%22documentcollectionid2%22:[%22GRANDCHAMBER%22,%22CHAMBER%22],%22itemid%22:[%22001-241986%22]}" w:history="1">
        <w:r w:rsidR="00040626" w:rsidRPr="00092DC0">
          <w:rPr>
            <w:rStyle w:val="Hyperlink"/>
            <w:rFonts w:asciiTheme="minorHAnsi" w:hAnsiTheme="minorHAnsi"/>
            <w:lang w:val="ro-MD"/>
          </w:rPr>
          <w:t>https://hudoc.echr.coe.int/?fbclid=IwY2xjawKIM_tleHRuA2FlbQIxMABicmlkETFMRnJKUDVlQ044OEduTFF3AR512wPYf3vaZfhWFX6S_o9sAJqxHapZyeXGwq1cqw93N4NvMzTQ6GiUCra2Mw_aem_SY2sccZeDfQz9t4JhOBN_g#{%22documentcollectionid2%22:[%22GRANDCHAMBER%22,%22CHAMBER%22],%22itemid%22:[%22001-241986%22]}</w:t>
        </w:r>
      </w:hyperlink>
    </w:p>
  </w:footnote>
  <w:footnote w:id="11">
    <w:p w14:paraId="11FD62D3" w14:textId="2F76C7AC" w:rsidR="00040626" w:rsidRPr="00040626" w:rsidRDefault="00040626">
      <w:pPr>
        <w:pStyle w:val="FootnoteText"/>
        <w:rPr>
          <w:lang w:val="en-US"/>
        </w:rPr>
      </w:pPr>
      <w:r>
        <w:rPr>
          <w:rStyle w:val="FootnoteReference"/>
        </w:rPr>
        <w:footnoteRef/>
      </w:r>
      <w:r>
        <w:t xml:space="preserve"> </w:t>
      </w:r>
      <w:hyperlink r:id="rId11" w:history="1">
        <w:r w:rsidRPr="00BD7215">
          <w:rPr>
            <w:rStyle w:val="Hyperlink"/>
            <w:rFonts w:asciiTheme="minorHAnsi" w:hAnsiTheme="minorHAnsi"/>
          </w:rPr>
          <w:t>https://www.zdg.md/importante/video-beneficiarii-abuzului-batuti-cu-polonicul-in-cap-exploatati-prin-munca-pana-la-deces-si-abuzati-sexual-in-schimbul-tigarilor/?fbclid=IwY2xjawKIPsdleHRuA2FlbQIxMABicmlkETFMRnJKUDVlQ044OEduTFF3AR512wPYf3vaZfhWFX6S_o9sAJqxHapZyeXGwq1cqw93N4NvMzTQ6GiUCra2Mw_aem_SY2sccZeDfQz9t4JhOBN_g</w:t>
        </w:r>
      </w:hyperlink>
    </w:p>
  </w:footnote>
  <w:footnote w:id="12">
    <w:p w14:paraId="63A72E60" w14:textId="313E6937" w:rsidR="00DC75A0" w:rsidRPr="00DC75A0" w:rsidRDefault="00DC75A0">
      <w:pPr>
        <w:pStyle w:val="FootnoteText"/>
        <w:rPr>
          <w:lang w:val="en-US"/>
        </w:rPr>
      </w:pPr>
      <w:r>
        <w:rPr>
          <w:rStyle w:val="FootnoteReference"/>
        </w:rPr>
        <w:footnoteRef/>
      </w:r>
      <w:r>
        <w:t xml:space="preserve"> </w:t>
      </w:r>
      <w:hyperlink r:id="rId12" w:history="1">
        <w:r w:rsidRPr="00512FC5">
          <w:rPr>
            <w:rStyle w:val="Hyperlink"/>
            <w:rFonts w:asciiTheme="minorHAnsi" w:hAnsiTheme="minorHAnsi"/>
            <w:lang w:val="ro-RO"/>
          </w:rPr>
          <w:t>https://www.ohchr.org/en/documents/concluding-observations/committee-elimination-discrimination-against-women-concluding-2</w:t>
        </w:r>
      </w:hyperlink>
      <w:r>
        <w:rPr>
          <w:rStyle w:val="Hyperlink"/>
          <w:rFonts w:asciiTheme="minorHAnsi" w:hAnsiTheme="minorHAnsi"/>
          <w:lang w:val="ro-RO"/>
        </w:rPr>
        <w:t xml:space="preserve"> </w:t>
      </w:r>
    </w:p>
  </w:footnote>
  <w:footnote w:id="13">
    <w:p w14:paraId="3325ABFE" w14:textId="370FF8BE" w:rsidR="00DC75A0" w:rsidRPr="00DC75A0" w:rsidRDefault="00DC75A0" w:rsidP="002F3E70">
      <w:pPr>
        <w:pStyle w:val="FootnoteText"/>
        <w:jc w:val="both"/>
        <w:rPr>
          <w:rFonts w:asciiTheme="minorHAnsi" w:hAnsiTheme="minorHAnsi"/>
          <w:lang w:val="en-US"/>
        </w:rPr>
      </w:pPr>
      <w:r w:rsidRPr="00DC75A0">
        <w:rPr>
          <w:rStyle w:val="FootnoteReference"/>
          <w:rFonts w:asciiTheme="minorHAnsi" w:hAnsiTheme="minorHAnsi"/>
        </w:rPr>
        <w:footnoteRef/>
      </w:r>
      <w:r w:rsidRPr="00DC75A0">
        <w:rPr>
          <w:rFonts w:asciiTheme="minorHAnsi" w:hAnsiTheme="minorHAnsi"/>
        </w:rPr>
        <w:t xml:space="preserve"> </w:t>
      </w:r>
      <w:proofErr w:type="spellStart"/>
      <w:r w:rsidRPr="00DC75A0">
        <w:rPr>
          <w:rFonts w:asciiTheme="minorHAnsi" w:hAnsiTheme="minorHAnsi"/>
        </w:rPr>
        <w:t>Draft</w:t>
      </w:r>
      <w:proofErr w:type="spellEnd"/>
      <w:r w:rsidRPr="00DC75A0">
        <w:rPr>
          <w:rFonts w:asciiTheme="minorHAnsi" w:hAnsiTheme="minorHAnsi"/>
        </w:rPr>
        <w:t xml:space="preserve"> </w:t>
      </w:r>
      <w:r w:rsidR="002F3E70">
        <w:rPr>
          <w:rFonts w:asciiTheme="minorHAnsi" w:hAnsiTheme="minorHAnsi"/>
          <w:lang w:val="en-US"/>
        </w:rPr>
        <w:t>GD</w:t>
      </w:r>
      <w:r w:rsidRPr="00DC75A0">
        <w:rPr>
          <w:rFonts w:asciiTheme="minorHAnsi" w:hAnsiTheme="minorHAnsi"/>
        </w:rPr>
        <w:t xml:space="preserve"> </w:t>
      </w:r>
      <w:proofErr w:type="spellStart"/>
      <w:r w:rsidRPr="00DC75A0">
        <w:rPr>
          <w:rFonts w:asciiTheme="minorHAnsi" w:hAnsiTheme="minorHAnsi"/>
        </w:rPr>
        <w:t>no</w:t>
      </w:r>
      <w:proofErr w:type="spellEnd"/>
      <w:r w:rsidRPr="00DC75A0">
        <w:rPr>
          <w:rFonts w:asciiTheme="minorHAnsi" w:hAnsiTheme="minorHAnsi"/>
        </w:rPr>
        <w:t xml:space="preserve">. HG228/2024 </w:t>
      </w:r>
      <w:proofErr w:type="spellStart"/>
      <w:r w:rsidRPr="00DC75A0">
        <w:rPr>
          <w:rFonts w:asciiTheme="minorHAnsi" w:hAnsiTheme="minorHAnsi"/>
        </w:rPr>
        <w:t>of</w:t>
      </w:r>
      <w:proofErr w:type="spellEnd"/>
      <w:r w:rsidRPr="00DC75A0">
        <w:rPr>
          <w:rFonts w:asciiTheme="minorHAnsi" w:hAnsiTheme="minorHAnsi"/>
        </w:rPr>
        <w:t xml:space="preserve"> 26.03.2024 </w:t>
      </w:r>
      <w:proofErr w:type="spellStart"/>
      <w:r w:rsidRPr="00DC75A0">
        <w:rPr>
          <w:rFonts w:asciiTheme="minorHAnsi" w:hAnsiTheme="minorHAnsi"/>
        </w:rPr>
        <w:t>on</w:t>
      </w:r>
      <w:proofErr w:type="spellEnd"/>
      <w:r w:rsidRPr="00DC75A0">
        <w:rPr>
          <w:rFonts w:asciiTheme="minorHAnsi" w:hAnsiTheme="minorHAnsi"/>
        </w:rPr>
        <w:t xml:space="preserve"> </w:t>
      </w:r>
      <w:proofErr w:type="spellStart"/>
      <w:r w:rsidRPr="00DC75A0">
        <w:rPr>
          <w:rFonts w:asciiTheme="minorHAnsi" w:hAnsiTheme="minorHAnsi"/>
        </w:rPr>
        <w:t>the</w:t>
      </w:r>
      <w:proofErr w:type="spellEnd"/>
      <w:r w:rsidRPr="00DC75A0">
        <w:rPr>
          <w:rFonts w:asciiTheme="minorHAnsi" w:hAnsiTheme="minorHAnsi"/>
        </w:rPr>
        <w:t xml:space="preserve"> </w:t>
      </w:r>
      <w:proofErr w:type="spellStart"/>
      <w:r w:rsidRPr="00DC75A0">
        <w:rPr>
          <w:rFonts w:asciiTheme="minorHAnsi" w:hAnsiTheme="minorHAnsi"/>
        </w:rPr>
        <w:t>approval</w:t>
      </w:r>
      <w:proofErr w:type="spellEnd"/>
      <w:r w:rsidRPr="00DC75A0">
        <w:rPr>
          <w:rFonts w:asciiTheme="minorHAnsi" w:hAnsiTheme="minorHAnsi"/>
        </w:rPr>
        <w:t xml:space="preserve"> </w:t>
      </w:r>
      <w:proofErr w:type="spellStart"/>
      <w:r w:rsidRPr="00DC75A0">
        <w:rPr>
          <w:rFonts w:asciiTheme="minorHAnsi" w:hAnsiTheme="minorHAnsi"/>
        </w:rPr>
        <w:t>of</w:t>
      </w:r>
      <w:proofErr w:type="spellEnd"/>
      <w:r w:rsidRPr="00DC75A0">
        <w:rPr>
          <w:rFonts w:asciiTheme="minorHAnsi" w:hAnsiTheme="minorHAnsi"/>
        </w:rPr>
        <w:t xml:space="preserve"> </w:t>
      </w:r>
      <w:proofErr w:type="spellStart"/>
      <w:r w:rsidRPr="00DC75A0">
        <w:rPr>
          <w:rFonts w:asciiTheme="minorHAnsi" w:hAnsiTheme="minorHAnsi"/>
        </w:rPr>
        <w:t>the</w:t>
      </w:r>
      <w:proofErr w:type="spellEnd"/>
      <w:r w:rsidRPr="00DC75A0">
        <w:rPr>
          <w:rFonts w:asciiTheme="minorHAnsi" w:hAnsiTheme="minorHAnsi"/>
        </w:rPr>
        <w:t xml:space="preserve"> </w:t>
      </w:r>
      <w:proofErr w:type="spellStart"/>
      <w:r w:rsidRPr="00DC75A0">
        <w:rPr>
          <w:rFonts w:asciiTheme="minorHAnsi" w:hAnsiTheme="minorHAnsi"/>
        </w:rPr>
        <w:t>minimum</w:t>
      </w:r>
      <w:proofErr w:type="spellEnd"/>
      <w:r w:rsidRPr="00DC75A0">
        <w:rPr>
          <w:rFonts w:asciiTheme="minorHAnsi" w:hAnsiTheme="minorHAnsi"/>
        </w:rPr>
        <w:t xml:space="preserve"> </w:t>
      </w:r>
      <w:proofErr w:type="spellStart"/>
      <w:r w:rsidRPr="00DC75A0">
        <w:rPr>
          <w:rFonts w:asciiTheme="minorHAnsi" w:hAnsiTheme="minorHAnsi"/>
        </w:rPr>
        <w:t>food</w:t>
      </w:r>
      <w:proofErr w:type="spellEnd"/>
      <w:r w:rsidRPr="00DC75A0">
        <w:rPr>
          <w:rFonts w:asciiTheme="minorHAnsi" w:hAnsiTheme="minorHAnsi"/>
        </w:rPr>
        <w:t xml:space="preserve"> </w:t>
      </w:r>
      <w:proofErr w:type="spellStart"/>
      <w:r w:rsidRPr="00DC75A0">
        <w:rPr>
          <w:rFonts w:asciiTheme="minorHAnsi" w:hAnsiTheme="minorHAnsi"/>
        </w:rPr>
        <w:t>standards</w:t>
      </w:r>
      <w:proofErr w:type="spellEnd"/>
      <w:r w:rsidRPr="00DC75A0">
        <w:rPr>
          <w:rFonts w:asciiTheme="minorHAnsi" w:hAnsiTheme="minorHAnsi"/>
        </w:rPr>
        <w:t xml:space="preserve">, </w:t>
      </w:r>
      <w:proofErr w:type="spellStart"/>
      <w:r w:rsidRPr="00DC75A0">
        <w:rPr>
          <w:rFonts w:asciiTheme="minorHAnsi" w:hAnsiTheme="minorHAnsi"/>
        </w:rPr>
        <w:t>food</w:t>
      </w:r>
      <w:proofErr w:type="spellEnd"/>
      <w:r w:rsidRPr="00DC75A0">
        <w:rPr>
          <w:rFonts w:asciiTheme="minorHAnsi" w:hAnsiTheme="minorHAnsi"/>
        </w:rPr>
        <w:t xml:space="preserve"> </w:t>
      </w:r>
      <w:proofErr w:type="spellStart"/>
      <w:r w:rsidRPr="00DC75A0">
        <w:rPr>
          <w:rFonts w:asciiTheme="minorHAnsi" w:hAnsiTheme="minorHAnsi"/>
        </w:rPr>
        <w:t>substitution</w:t>
      </w:r>
      <w:proofErr w:type="spellEnd"/>
      <w:r w:rsidRPr="00DC75A0">
        <w:rPr>
          <w:rFonts w:asciiTheme="minorHAnsi" w:hAnsiTheme="minorHAnsi"/>
        </w:rPr>
        <w:t xml:space="preserve"> </w:t>
      </w:r>
      <w:proofErr w:type="spellStart"/>
      <w:r w:rsidRPr="00DC75A0">
        <w:rPr>
          <w:rFonts w:asciiTheme="minorHAnsi" w:hAnsiTheme="minorHAnsi"/>
        </w:rPr>
        <w:t>and</w:t>
      </w:r>
      <w:proofErr w:type="spellEnd"/>
      <w:r w:rsidRPr="00DC75A0">
        <w:rPr>
          <w:rFonts w:asciiTheme="minorHAnsi" w:hAnsiTheme="minorHAnsi"/>
        </w:rPr>
        <w:t xml:space="preserve"> </w:t>
      </w:r>
      <w:proofErr w:type="spellStart"/>
      <w:r w:rsidRPr="00DC75A0">
        <w:rPr>
          <w:rFonts w:asciiTheme="minorHAnsi" w:hAnsiTheme="minorHAnsi"/>
        </w:rPr>
        <w:t>provision</w:t>
      </w:r>
      <w:proofErr w:type="spellEnd"/>
      <w:r w:rsidRPr="00DC75A0">
        <w:rPr>
          <w:rFonts w:asciiTheme="minorHAnsi" w:hAnsiTheme="minorHAnsi"/>
        </w:rPr>
        <w:t xml:space="preserve"> </w:t>
      </w:r>
      <w:proofErr w:type="spellStart"/>
      <w:r w:rsidRPr="00DC75A0">
        <w:rPr>
          <w:rFonts w:asciiTheme="minorHAnsi" w:hAnsiTheme="minorHAnsi"/>
        </w:rPr>
        <w:t>of</w:t>
      </w:r>
      <w:proofErr w:type="spellEnd"/>
      <w:r w:rsidRPr="00DC75A0">
        <w:rPr>
          <w:rFonts w:asciiTheme="minorHAnsi" w:hAnsiTheme="minorHAnsi"/>
        </w:rPr>
        <w:t xml:space="preserve"> </w:t>
      </w:r>
      <w:proofErr w:type="spellStart"/>
      <w:r w:rsidRPr="00DC75A0">
        <w:rPr>
          <w:rFonts w:asciiTheme="minorHAnsi" w:hAnsiTheme="minorHAnsi"/>
        </w:rPr>
        <w:t>basic</w:t>
      </w:r>
      <w:proofErr w:type="spellEnd"/>
      <w:r w:rsidRPr="00DC75A0">
        <w:rPr>
          <w:rFonts w:asciiTheme="minorHAnsi" w:hAnsiTheme="minorHAnsi"/>
        </w:rPr>
        <w:t xml:space="preserve"> </w:t>
      </w:r>
      <w:proofErr w:type="spellStart"/>
      <w:r w:rsidRPr="00DC75A0">
        <w:rPr>
          <w:rFonts w:asciiTheme="minorHAnsi" w:hAnsiTheme="minorHAnsi"/>
        </w:rPr>
        <w:t>hygiene</w:t>
      </w:r>
      <w:proofErr w:type="spellEnd"/>
      <w:r w:rsidRPr="00DC75A0">
        <w:rPr>
          <w:rFonts w:asciiTheme="minorHAnsi" w:hAnsiTheme="minorHAnsi"/>
        </w:rPr>
        <w:t xml:space="preserve"> </w:t>
      </w:r>
      <w:proofErr w:type="spellStart"/>
      <w:r w:rsidRPr="00DC75A0">
        <w:rPr>
          <w:rFonts w:asciiTheme="minorHAnsi" w:hAnsiTheme="minorHAnsi"/>
        </w:rPr>
        <w:t>items</w:t>
      </w:r>
      <w:proofErr w:type="spellEnd"/>
      <w:r w:rsidRPr="00DC75A0">
        <w:rPr>
          <w:rFonts w:asciiTheme="minorHAnsi" w:hAnsiTheme="minorHAnsi"/>
        </w:rPr>
        <w:t xml:space="preserve"> </w:t>
      </w:r>
      <w:proofErr w:type="spellStart"/>
      <w:r w:rsidRPr="00DC75A0">
        <w:rPr>
          <w:rFonts w:asciiTheme="minorHAnsi" w:hAnsiTheme="minorHAnsi"/>
        </w:rPr>
        <w:t>for</w:t>
      </w:r>
      <w:proofErr w:type="spellEnd"/>
      <w:r w:rsidRPr="00DC75A0">
        <w:rPr>
          <w:rFonts w:asciiTheme="minorHAnsi" w:hAnsiTheme="minorHAnsi"/>
        </w:rPr>
        <w:t xml:space="preserve"> </w:t>
      </w:r>
      <w:proofErr w:type="spellStart"/>
      <w:r w:rsidRPr="00DC75A0">
        <w:rPr>
          <w:rFonts w:asciiTheme="minorHAnsi" w:hAnsiTheme="minorHAnsi"/>
        </w:rPr>
        <w:t>prisoners</w:t>
      </w:r>
      <w:proofErr w:type="spellEnd"/>
      <w:r w:rsidRPr="00DC75A0">
        <w:rPr>
          <w:rFonts w:asciiTheme="minorHAnsi" w:hAnsiTheme="minorHAnsi"/>
        </w:rPr>
        <w:t xml:space="preserve"> </w:t>
      </w:r>
      <w:proofErr w:type="spellStart"/>
      <w:r w:rsidRPr="00DC75A0">
        <w:rPr>
          <w:rFonts w:asciiTheme="minorHAnsi" w:hAnsiTheme="minorHAnsi"/>
        </w:rPr>
        <w:t>in</w:t>
      </w:r>
      <w:proofErr w:type="spellEnd"/>
      <w:r w:rsidRPr="00DC75A0">
        <w:rPr>
          <w:rFonts w:asciiTheme="minorHAnsi" w:hAnsiTheme="minorHAnsi"/>
        </w:rPr>
        <w:t xml:space="preserve"> </w:t>
      </w:r>
      <w:proofErr w:type="spellStart"/>
      <w:r w:rsidRPr="00DC75A0">
        <w:rPr>
          <w:rFonts w:asciiTheme="minorHAnsi" w:hAnsiTheme="minorHAnsi"/>
        </w:rPr>
        <w:t>penitentiary</w:t>
      </w:r>
      <w:proofErr w:type="spellEnd"/>
      <w:r w:rsidRPr="00DC75A0">
        <w:rPr>
          <w:rFonts w:asciiTheme="minorHAnsi" w:hAnsiTheme="minorHAnsi"/>
        </w:rPr>
        <w:t xml:space="preserve"> </w:t>
      </w:r>
      <w:proofErr w:type="spellStart"/>
      <w:r w:rsidRPr="00DC75A0">
        <w:rPr>
          <w:rFonts w:asciiTheme="minorHAnsi" w:hAnsiTheme="minorHAnsi"/>
        </w:rPr>
        <w:t>institutions</w:t>
      </w:r>
      <w:proofErr w:type="spellEnd"/>
      <w:r w:rsidRPr="00DC75A0">
        <w:rPr>
          <w:rFonts w:asciiTheme="minorHAnsi" w:hAnsiTheme="minorHAnsi"/>
        </w:rPr>
        <w:t>.</w:t>
      </w:r>
    </w:p>
  </w:footnote>
  <w:footnote w:id="14">
    <w:p w14:paraId="014DA273" w14:textId="11DAC75A" w:rsidR="00343A96" w:rsidRPr="00343A96" w:rsidRDefault="00343A96">
      <w:pPr>
        <w:pStyle w:val="FootnoteText"/>
        <w:rPr>
          <w:rFonts w:asciiTheme="minorHAnsi" w:hAnsiTheme="minorHAnsi"/>
          <w:lang w:val="en-US"/>
        </w:rPr>
      </w:pPr>
      <w:r w:rsidRPr="00343A96">
        <w:rPr>
          <w:rStyle w:val="FootnoteReference"/>
          <w:rFonts w:asciiTheme="minorHAnsi" w:hAnsiTheme="minorHAnsi"/>
        </w:rPr>
        <w:footnoteRef/>
      </w:r>
      <w:r w:rsidRPr="00343A96">
        <w:rPr>
          <w:rFonts w:asciiTheme="minorHAnsi" w:hAnsiTheme="minorHAnsi"/>
        </w:rPr>
        <w:t xml:space="preserve"> </w:t>
      </w:r>
      <w:proofErr w:type="spellStart"/>
      <w:r w:rsidRPr="00343A96">
        <w:rPr>
          <w:rFonts w:asciiTheme="minorHAnsi" w:hAnsiTheme="minorHAnsi"/>
          <w:i/>
          <w:iCs/>
        </w:rPr>
        <w:t>Ibidem</w:t>
      </w:r>
      <w:proofErr w:type="spellEnd"/>
      <w:r w:rsidRPr="00343A96">
        <w:rPr>
          <w:rFonts w:asciiTheme="minorHAnsi" w:hAnsiTheme="minorHAnsi"/>
        </w:rPr>
        <w:t xml:space="preserve">, </w:t>
      </w:r>
      <w:proofErr w:type="spellStart"/>
      <w:r w:rsidRPr="00343A96">
        <w:rPr>
          <w:rFonts w:asciiTheme="minorHAnsi" w:hAnsiTheme="minorHAnsi"/>
        </w:rPr>
        <w:t>Annex</w:t>
      </w:r>
      <w:proofErr w:type="spellEnd"/>
      <w:r w:rsidRPr="00343A96">
        <w:rPr>
          <w:rFonts w:asciiTheme="minorHAnsi" w:hAnsiTheme="minorHAnsi"/>
        </w:rPr>
        <w:t xml:space="preserve"> </w:t>
      </w:r>
      <w:proofErr w:type="spellStart"/>
      <w:r w:rsidRPr="00343A96">
        <w:rPr>
          <w:rFonts w:asciiTheme="minorHAnsi" w:hAnsiTheme="minorHAnsi"/>
        </w:rPr>
        <w:t>no</w:t>
      </w:r>
      <w:proofErr w:type="spellEnd"/>
      <w:r w:rsidRPr="00343A96">
        <w:rPr>
          <w:rFonts w:asciiTheme="minorHAnsi" w:hAnsiTheme="minorHAnsi"/>
        </w:rPr>
        <w:t xml:space="preserve">. 2 </w:t>
      </w:r>
      <w:proofErr w:type="spellStart"/>
      <w:r w:rsidRPr="00343A96">
        <w:rPr>
          <w:rFonts w:asciiTheme="minorHAnsi" w:hAnsiTheme="minorHAnsi"/>
        </w:rPr>
        <w:t>to</w:t>
      </w:r>
      <w:proofErr w:type="spellEnd"/>
      <w:r w:rsidRPr="00343A96">
        <w:rPr>
          <w:rFonts w:asciiTheme="minorHAnsi" w:hAnsiTheme="minorHAnsi"/>
        </w:rPr>
        <w:t xml:space="preserve"> GD </w:t>
      </w:r>
      <w:proofErr w:type="spellStart"/>
      <w:r w:rsidRPr="00343A96">
        <w:rPr>
          <w:rFonts w:asciiTheme="minorHAnsi" w:hAnsiTheme="minorHAnsi"/>
        </w:rPr>
        <w:t>no</w:t>
      </w:r>
      <w:proofErr w:type="spellEnd"/>
      <w:r w:rsidRPr="00343A96">
        <w:rPr>
          <w:rFonts w:asciiTheme="minorHAnsi" w:hAnsiTheme="minorHAnsi"/>
        </w:rPr>
        <w:t xml:space="preserve">. 228/2024 </w:t>
      </w:r>
      <w:proofErr w:type="spellStart"/>
      <w:r w:rsidRPr="00343A96">
        <w:rPr>
          <w:rFonts w:asciiTheme="minorHAnsi" w:hAnsiTheme="minorHAnsi"/>
        </w:rPr>
        <w:t>Norms</w:t>
      </w:r>
      <w:proofErr w:type="spellEnd"/>
      <w:r w:rsidRPr="00343A96">
        <w:rPr>
          <w:rFonts w:asciiTheme="minorHAnsi" w:hAnsiTheme="minorHAnsi"/>
        </w:rPr>
        <w:t xml:space="preserve"> </w:t>
      </w:r>
      <w:proofErr w:type="spellStart"/>
      <w:r w:rsidRPr="00343A96">
        <w:rPr>
          <w:rFonts w:asciiTheme="minorHAnsi" w:hAnsiTheme="minorHAnsi"/>
        </w:rPr>
        <w:t>for</w:t>
      </w:r>
      <w:proofErr w:type="spellEnd"/>
      <w:r w:rsidRPr="00343A96">
        <w:rPr>
          <w:rFonts w:asciiTheme="minorHAnsi" w:hAnsiTheme="minorHAnsi"/>
        </w:rPr>
        <w:t xml:space="preserve"> </w:t>
      </w:r>
      <w:proofErr w:type="spellStart"/>
      <w:r w:rsidRPr="00343A96">
        <w:rPr>
          <w:rFonts w:asciiTheme="minorHAnsi" w:hAnsiTheme="minorHAnsi"/>
        </w:rPr>
        <w:t>providing</w:t>
      </w:r>
      <w:proofErr w:type="spellEnd"/>
      <w:r w:rsidRPr="00343A96">
        <w:rPr>
          <w:rFonts w:asciiTheme="minorHAnsi" w:hAnsiTheme="minorHAnsi"/>
        </w:rPr>
        <w:t xml:space="preserve"> </w:t>
      </w:r>
      <w:proofErr w:type="spellStart"/>
      <w:r w:rsidRPr="00343A96">
        <w:rPr>
          <w:rFonts w:asciiTheme="minorHAnsi" w:hAnsiTheme="minorHAnsi"/>
        </w:rPr>
        <w:t>prisoners</w:t>
      </w:r>
      <w:proofErr w:type="spellEnd"/>
      <w:r w:rsidRPr="00343A96">
        <w:rPr>
          <w:rFonts w:asciiTheme="minorHAnsi" w:hAnsiTheme="minorHAnsi"/>
        </w:rPr>
        <w:t xml:space="preserve"> </w:t>
      </w:r>
      <w:proofErr w:type="spellStart"/>
      <w:r w:rsidRPr="00343A96">
        <w:rPr>
          <w:rFonts w:asciiTheme="minorHAnsi" w:hAnsiTheme="minorHAnsi"/>
        </w:rPr>
        <w:t>with</w:t>
      </w:r>
      <w:proofErr w:type="spellEnd"/>
      <w:r w:rsidRPr="00343A96">
        <w:rPr>
          <w:rFonts w:asciiTheme="minorHAnsi" w:hAnsiTheme="minorHAnsi"/>
        </w:rPr>
        <w:t xml:space="preserve"> </w:t>
      </w:r>
      <w:proofErr w:type="spellStart"/>
      <w:r w:rsidRPr="00343A96">
        <w:rPr>
          <w:rFonts w:asciiTheme="minorHAnsi" w:hAnsiTheme="minorHAnsi"/>
        </w:rPr>
        <w:t>essential</w:t>
      </w:r>
      <w:proofErr w:type="spellEnd"/>
      <w:r w:rsidRPr="00343A96">
        <w:rPr>
          <w:rFonts w:asciiTheme="minorHAnsi" w:hAnsiTheme="minorHAnsi"/>
        </w:rPr>
        <w:t xml:space="preserve"> </w:t>
      </w:r>
      <w:proofErr w:type="spellStart"/>
      <w:r w:rsidRPr="00343A96">
        <w:rPr>
          <w:rFonts w:asciiTheme="minorHAnsi" w:hAnsiTheme="minorHAnsi"/>
        </w:rPr>
        <w:t>hygiene</w:t>
      </w:r>
      <w:proofErr w:type="spellEnd"/>
      <w:r w:rsidRPr="00343A96">
        <w:rPr>
          <w:rFonts w:asciiTheme="minorHAnsi" w:hAnsiTheme="minorHAnsi"/>
        </w:rPr>
        <w:t xml:space="preserve"> </w:t>
      </w:r>
      <w:proofErr w:type="spellStart"/>
      <w:r w:rsidRPr="00343A96">
        <w:rPr>
          <w:rFonts w:asciiTheme="minorHAnsi" w:hAnsiTheme="minorHAnsi"/>
        </w:rPr>
        <w:t>items</w:t>
      </w:r>
      <w:proofErr w:type="spellEnd"/>
      <w:r w:rsidRPr="00343A96">
        <w:rPr>
          <w:rFonts w:asciiTheme="minorHAnsi" w:hAnsiTheme="minorHAnsi"/>
        </w:rPr>
        <w:t>.</w:t>
      </w:r>
      <w:r w:rsidRPr="00343A96">
        <w:rPr>
          <w:rFonts w:asciiTheme="minorHAnsi" w:hAnsiTheme="minorHAnsi"/>
          <w:lang w:val="en-US"/>
        </w:rPr>
        <w:t xml:space="preserve"> </w:t>
      </w:r>
    </w:p>
  </w:footnote>
  <w:footnote w:id="15">
    <w:p w14:paraId="05165F86" w14:textId="4B54A2F6" w:rsidR="006E4981" w:rsidRPr="006E4981" w:rsidRDefault="006E4981">
      <w:pPr>
        <w:pStyle w:val="FootnoteText"/>
        <w:rPr>
          <w:lang w:val="en-US"/>
        </w:rPr>
      </w:pPr>
      <w:r>
        <w:rPr>
          <w:rStyle w:val="FootnoteReference"/>
        </w:rPr>
        <w:footnoteRef/>
      </w:r>
      <w:r>
        <w:t xml:space="preserve"> </w:t>
      </w:r>
      <w:hyperlink r:id="rId13" w:history="1">
        <w:r w:rsidRPr="00512FC5">
          <w:rPr>
            <w:rStyle w:val="Hyperlink"/>
            <w:rFonts w:asciiTheme="minorHAnsi" w:hAnsiTheme="minorHAnsi"/>
            <w:lang w:val="ro-RO"/>
          </w:rPr>
          <w:t>https://ombudsman.md/despre-noi/consiliul-consultativ-pe-refugiati/</w:t>
        </w:r>
      </w:hyperlink>
    </w:p>
  </w:footnote>
  <w:footnote w:id="16">
    <w:p w14:paraId="0D2B2958" w14:textId="3F5E7AC2" w:rsidR="00466304" w:rsidRPr="00466304" w:rsidRDefault="00466304">
      <w:pPr>
        <w:pStyle w:val="FootnoteText"/>
        <w:rPr>
          <w:lang w:val="en-US"/>
        </w:rPr>
      </w:pPr>
      <w:r>
        <w:rPr>
          <w:rStyle w:val="FootnoteReference"/>
        </w:rPr>
        <w:footnoteRef/>
      </w:r>
      <w:hyperlink r:id="rId14" w:history="1">
        <w:r w:rsidRPr="00512FC5">
          <w:rPr>
            <w:rStyle w:val="Hyperlink"/>
            <w:rFonts w:asciiTheme="minorHAnsi" w:hAnsiTheme="minorHAnsi"/>
          </w:rPr>
          <w:t>https://app.powerbi.com/view?r=eyJrIjoiNTBlODc2MTgtMWI4Ni00Y2NmLWJkMjgtMGM0Nzk5NmJkOTIzIiwidCI6ImU1YzM3OTgxLTY2NjQtNDEzNC04YTBjLTY1NDNkMmFmODBiZSIsImMiOjh9</w:t>
        </w:r>
      </w:hyperlink>
      <w:r>
        <w:rPr>
          <w:rStyle w:val="Hyperlink"/>
          <w:rFonts w:asciiTheme="minorHAnsi" w:hAnsiTheme="minorHAnsi"/>
          <w:lang w:val="en-US"/>
        </w:rPr>
        <w:t xml:space="preserve"> </w:t>
      </w:r>
    </w:p>
  </w:footnote>
  <w:footnote w:id="17">
    <w:p w14:paraId="73797655" w14:textId="712DD786" w:rsidR="00466304" w:rsidRPr="00466304" w:rsidRDefault="00466304">
      <w:pPr>
        <w:pStyle w:val="FootnoteText"/>
        <w:rPr>
          <w:lang w:val="en-US"/>
        </w:rPr>
      </w:pPr>
      <w:r>
        <w:rPr>
          <w:rStyle w:val="FootnoteReference"/>
        </w:rPr>
        <w:footnoteRef/>
      </w:r>
      <w:r>
        <w:t xml:space="preserve"> </w:t>
      </w:r>
      <w:hyperlink r:id="rId15" w:history="1">
        <w:r w:rsidRPr="00512FC5">
          <w:rPr>
            <w:rStyle w:val="Hyperlink"/>
            <w:rFonts w:asciiTheme="minorHAnsi" w:hAnsiTheme="minorHAnsi"/>
            <w:lang w:val="ro-RO"/>
          </w:rPr>
          <w:t>https://ombudsman.md/post-document/raportul-avocatului-poporului-privind-evaluarea-accesibilitatii-serviciilor-esentiale-de-sanata-2/</w:t>
        </w:r>
      </w:hyperlink>
      <w:r>
        <w:rPr>
          <w:rStyle w:val="Hyperlink"/>
          <w:rFonts w:asciiTheme="minorHAnsi" w:hAnsiTheme="minorHAnsi"/>
          <w:lang w:val="ro-RO"/>
        </w:rPr>
        <w:t xml:space="preserve"> </w:t>
      </w:r>
    </w:p>
  </w:footnote>
  <w:footnote w:id="18">
    <w:p w14:paraId="0809EED6" w14:textId="0112251B" w:rsidR="0090206B" w:rsidRPr="0090206B" w:rsidRDefault="0090206B">
      <w:pPr>
        <w:pStyle w:val="FootnoteText"/>
        <w:rPr>
          <w:lang w:val="en-US"/>
        </w:rPr>
      </w:pPr>
      <w:r>
        <w:rPr>
          <w:rStyle w:val="FootnoteReference"/>
        </w:rPr>
        <w:footnoteRef/>
      </w:r>
      <w:r>
        <w:t xml:space="preserve"> </w:t>
      </w:r>
      <w:hyperlink r:id="rId16" w:history="1">
        <w:r w:rsidRPr="00C24041">
          <w:rPr>
            <w:rStyle w:val="Hyperlink"/>
            <w:rFonts w:asciiTheme="minorHAnsi" w:hAnsiTheme="minorHAnsi"/>
            <w:lang w:val="ro-RO"/>
          </w:rPr>
          <w:t>https://ombudsman.md/post-document/raport-privind-monitorizarea-respectarii-drepturilor-persoanelor-refugiate-in-contextul-conflictului-armat-din-ucraina-pentru-perioada-ianuarie-iunie-2024-2/</w:t>
        </w:r>
      </w:hyperlink>
      <w:r>
        <w:rPr>
          <w:rStyle w:val="Hyperlink"/>
          <w:rFonts w:asciiTheme="minorHAnsi" w:hAnsiTheme="minorHAnsi"/>
          <w:lang w:val="ro-RO"/>
        </w:rPr>
        <w:t xml:space="preserve"> </w:t>
      </w:r>
    </w:p>
  </w:footnote>
  <w:footnote w:id="19">
    <w:p w14:paraId="0955AFAB" w14:textId="2D35912D" w:rsidR="0090206B" w:rsidRPr="0090206B" w:rsidRDefault="0090206B">
      <w:pPr>
        <w:pStyle w:val="FootnoteText"/>
        <w:rPr>
          <w:lang w:val="en-US"/>
        </w:rPr>
      </w:pPr>
      <w:r>
        <w:rPr>
          <w:rStyle w:val="FootnoteReference"/>
        </w:rPr>
        <w:footnoteRef/>
      </w:r>
      <w:r>
        <w:t xml:space="preserve"> </w:t>
      </w:r>
      <w:hyperlink r:id="rId17" w:history="1">
        <w:r w:rsidRPr="00C24041">
          <w:rPr>
            <w:rStyle w:val="Hyperlink"/>
            <w:rFonts w:asciiTheme="minorHAnsi" w:hAnsiTheme="minorHAnsi"/>
            <w:lang w:val="ro-RO"/>
          </w:rPr>
          <w:t>https://social.gov.md/wp-content/uploads/2023/03/Programul-VFF-si-VF_-15.03.2023_final.pdf</w:t>
        </w:r>
      </w:hyperlink>
    </w:p>
  </w:footnote>
  <w:footnote w:id="20">
    <w:p w14:paraId="1DC2A555" w14:textId="77777777" w:rsidR="003666EF" w:rsidRPr="00B02B1F" w:rsidRDefault="003666EF" w:rsidP="003666EF">
      <w:pPr>
        <w:pStyle w:val="FootnoteText"/>
        <w:rPr>
          <w:lang w:val="en-US"/>
        </w:rPr>
      </w:pPr>
      <w:r>
        <w:rPr>
          <w:rStyle w:val="FootnoteReference"/>
        </w:rPr>
        <w:footnoteRef/>
      </w:r>
      <w:r>
        <w:t xml:space="preserve"> </w:t>
      </w:r>
      <w:hyperlink r:id="rId18" w:history="1">
        <w:r w:rsidRPr="00C24041">
          <w:rPr>
            <w:rStyle w:val="Hyperlink"/>
            <w:rFonts w:asciiTheme="minorHAnsi" w:hAnsiTheme="minorHAnsi"/>
            <w:lang w:val="ro-RO"/>
          </w:rPr>
          <w:t>https://www.togetherforgirls.org/en/resources/moldova-vacs-report-2020</w:t>
        </w:r>
      </w:hyperlink>
      <w:r>
        <w:rPr>
          <w:rStyle w:val="Hyperlink"/>
          <w:rFonts w:asciiTheme="minorHAnsi" w:hAnsiTheme="minorHAnsi"/>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484296"/>
      <w:docPartObj>
        <w:docPartGallery w:val="Page Numbers (Top of Page)"/>
        <w:docPartUnique/>
      </w:docPartObj>
    </w:sdtPr>
    <w:sdtEndPr>
      <w:rPr>
        <w:noProof/>
      </w:rPr>
    </w:sdtEndPr>
    <w:sdtContent>
      <w:p w14:paraId="0261BB3C" w14:textId="77777777" w:rsidR="00CD48E2" w:rsidRDefault="00CD48E2">
        <w:pPr>
          <w:pStyle w:val="Header"/>
          <w:rPr>
            <w:lang w:val="ro-RO"/>
          </w:rPr>
        </w:pPr>
      </w:p>
      <w:p w14:paraId="7A58A07F" w14:textId="77777777" w:rsidR="00CD48E2" w:rsidRDefault="00CD48E2">
        <w:pPr>
          <w:pStyle w:val="Header"/>
          <w:rPr>
            <w:lang w:val="ro-RO"/>
          </w:rPr>
        </w:pPr>
      </w:p>
      <w:p w14:paraId="35120EB8" w14:textId="77777777" w:rsidR="00CD48E2" w:rsidRDefault="00B113F1">
        <w:pPr>
          <w:pStyle w:val="Header"/>
          <w:rPr>
            <w:lang w:val="ro-RO"/>
          </w:rPr>
        </w:pPr>
        <w:r>
          <w:rPr>
            <w:noProof/>
            <w:lang w:eastAsia="ru-RU"/>
          </w:rPr>
          <w:drawing>
            <wp:anchor distT="0" distB="0" distL="114300" distR="114300" simplePos="0" relativeHeight="251654656" behindDoc="1" locked="0" layoutInCell="1" allowOverlap="1" wp14:anchorId="01AD545B" wp14:editId="7189D270">
              <wp:simplePos x="0" y="0"/>
              <wp:positionH relativeFrom="page">
                <wp:posOffset>6615430</wp:posOffset>
              </wp:positionH>
              <wp:positionV relativeFrom="page">
                <wp:posOffset>429260</wp:posOffset>
              </wp:positionV>
              <wp:extent cx="397510" cy="397510"/>
              <wp:effectExtent l="0" t="0" r="0" b="0"/>
              <wp:wrapTight wrapText="bothSides">
                <wp:wrapPolygon edited="0">
                  <wp:start x="7246" y="2070"/>
                  <wp:lineTo x="2070" y="5176"/>
                  <wp:lineTo x="1035" y="10351"/>
                  <wp:lineTo x="3105" y="16562"/>
                  <wp:lineTo x="18633" y="16562"/>
                  <wp:lineTo x="20703" y="11387"/>
                  <wp:lineTo x="18633" y="5176"/>
                  <wp:lineTo x="14492" y="2070"/>
                  <wp:lineTo x="7246" y="2070"/>
                </wp:wrapPolygon>
              </wp:wrapTight>
              <wp:docPr id="5" name="Рисунок 3" descr="AP_symbol_blue on_tra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symbol_blue on_trasparent.png"/>
                      <pic:cNvPicPr/>
                    </pic:nvPicPr>
                    <pic:blipFill>
                      <a:blip r:embed="rId1"/>
                      <a:stretch>
                        <a:fillRect/>
                      </a:stretch>
                    </pic:blipFill>
                    <pic:spPr>
                      <a:xfrm>
                        <a:off x="0" y="0"/>
                        <a:ext cx="397510" cy="397510"/>
                      </a:xfrm>
                      <a:prstGeom prst="rect">
                        <a:avLst/>
                      </a:prstGeom>
                    </pic:spPr>
                  </pic:pic>
                </a:graphicData>
              </a:graphic>
            </wp:anchor>
          </w:drawing>
        </w:r>
      </w:p>
      <w:p w14:paraId="10CB6683" w14:textId="77777777" w:rsidR="00CD48E2" w:rsidRDefault="00CD48E2">
        <w:pPr>
          <w:pStyle w:val="Header"/>
          <w:rPr>
            <w:rStyle w:val="Avocatulpoporuluitextfooterbold0"/>
            <w:lang w:val="ro-RO"/>
          </w:rPr>
        </w:pPr>
      </w:p>
      <w:p w14:paraId="662875DF" w14:textId="77777777" w:rsidR="00CF4AD1" w:rsidRDefault="00B113F1">
        <w:pPr>
          <w:pStyle w:val="Header"/>
        </w:pPr>
        <w:r w:rsidRPr="00B113F1">
          <w:rPr>
            <w:rStyle w:val="Avocatulpoporuluinumrdepagin0"/>
          </w:rPr>
          <w:br/>
        </w:r>
        <w:r w:rsidR="00B8043E" w:rsidRPr="00B113F1">
          <w:rPr>
            <w:rStyle w:val="Avocatulpoporuluinumrdepagin0"/>
          </w:rPr>
          <w:fldChar w:fldCharType="begin"/>
        </w:r>
        <w:r w:rsidR="00CF4AD1" w:rsidRPr="00B113F1">
          <w:rPr>
            <w:rStyle w:val="Avocatulpoporuluinumrdepagin0"/>
          </w:rPr>
          <w:instrText xml:space="preserve"> PAGE   \* MERGEFORMAT </w:instrText>
        </w:r>
        <w:r w:rsidR="00B8043E" w:rsidRPr="00B113F1">
          <w:rPr>
            <w:rStyle w:val="Avocatulpoporuluinumrdepagin0"/>
          </w:rPr>
          <w:fldChar w:fldCharType="separate"/>
        </w:r>
        <w:r w:rsidR="00CF6630">
          <w:rPr>
            <w:rStyle w:val="Avocatulpoporuluinumrdepagin0"/>
            <w:noProof/>
          </w:rPr>
          <w:t>2</w:t>
        </w:r>
        <w:r w:rsidR="00B8043E" w:rsidRPr="00B113F1">
          <w:rPr>
            <w:rStyle w:val="Avocatulpoporuluinumrdepagin0"/>
          </w:rPr>
          <w:fldChar w:fldCharType="end"/>
        </w:r>
      </w:p>
    </w:sdtContent>
  </w:sdt>
  <w:p w14:paraId="393ED463" w14:textId="77777777" w:rsidR="00A13B4F" w:rsidRDefault="00A13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1C143" w14:textId="77777777" w:rsidR="00A13B4F" w:rsidRDefault="00A13B4F">
    <w:pPr>
      <w:pStyle w:val="Header"/>
    </w:pPr>
    <w:r>
      <w:rPr>
        <w:noProof/>
        <w:lang w:eastAsia="ru-RU"/>
      </w:rPr>
      <w:drawing>
        <wp:anchor distT="0" distB="0" distL="114300" distR="114300" simplePos="0" relativeHeight="251656704" behindDoc="1" locked="0" layoutInCell="1" allowOverlap="1" wp14:anchorId="6AC80A8B" wp14:editId="17496205">
          <wp:simplePos x="0" y="0"/>
          <wp:positionH relativeFrom="page">
            <wp:posOffset>1510748</wp:posOffset>
          </wp:positionH>
          <wp:positionV relativeFrom="page">
            <wp:posOffset>206734</wp:posOffset>
          </wp:positionV>
          <wp:extent cx="1949448" cy="975698"/>
          <wp:effectExtent l="0" t="0" r="0" b="0"/>
          <wp:wrapTight wrapText="bothSides">
            <wp:wrapPolygon edited="0">
              <wp:start x="5066" y="5482"/>
              <wp:lineTo x="3166" y="7591"/>
              <wp:lineTo x="2955" y="12230"/>
              <wp:lineTo x="4222" y="12230"/>
              <wp:lineTo x="3588" y="14339"/>
              <wp:lineTo x="4222" y="15604"/>
              <wp:lineTo x="8865" y="15604"/>
              <wp:lineTo x="10132" y="15604"/>
              <wp:lineTo x="17519" y="15604"/>
              <wp:lineTo x="18997" y="15182"/>
              <wp:lineTo x="18997" y="8435"/>
              <wp:lineTo x="16253" y="5904"/>
              <wp:lineTo x="10132" y="5482"/>
              <wp:lineTo x="5066" y="5482"/>
            </wp:wrapPolygon>
          </wp:wrapTight>
          <wp:docPr id="3" name="Рисунок 2" descr="AP_logo_orizontal_blue_on_trasparent_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_logo_orizontal_blue_on_trasparent_RO.png"/>
                  <pic:cNvPicPr/>
                </pic:nvPicPr>
                <pic:blipFill>
                  <a:blip r:embed="rId1"/>
                  <a:stretch>
                    <a:fillRect/>
                  </a:stretch>
                </pic:blipFill>
                <pic:spPr>
                  <a:xfrm>
                    <a:off x="0" y="0"/>
                    <a:ext cx="1949448" cy="975698"/>
                  </a:xfrm>
                  <a:prstGeom prst="rect">
                    <a:avLst/>
                  </a:prstGeom>
                </pic:spPr>
              </pic:pic>
            </a:graphicData>
          </a:graphic>
        </wp:anchor>
      </w:drawing>
    </w:r>
    <w:r w:rsidR="00594C6D" w:rsidRPr="00594C6D">
      <w:rPr>
        <w:noProof/>
        <w:lang w:eastAsia="ru-RU"/>
      </w:rPr>
      <w:drawing>
        <wp:anchor distT="0" distB="0" distL="114300" distR="114300" simplePos="0" relativeHeight="251662848" behindDoc="1" locked="0" layoutInCell="1" allowOverlap="1" wp14:anchorId="75422677" wp14:editId="05CA9C78">
          <wp:simplePos x="0" y="0"/>
          <wp:positionH relativeFrom="page">
            <wp:posOffset>1076573</wp:posOffset>
          </wp:positionH>
          <wp:positionV relativeFrom="page">
            <wp:posOffset>453224</wp:posOffset>
          </wp:positionV>
          <wp:extent cx="435776" cy="524786"/>
          <wp:effectExtent l="19050" t="0" r="6350" b="0"/>
          <wp:wrapTight wrapText="bothSides">
            <wp:wrapPolygon edited="0">
              <wp:start x="-953" y="0"/>
              <wp:lineTo x="-953" y="21156"/>
              <wp:lineTo x="21918" y="21156"/>
              <wp:lineTo x="21918" y="0"/>
              <wp:lineTo x="-953" y="0"/>
            </wp:wrapPolygon>
          </wp:wrapTight>
          <wp:docPr id="1" name="Рисунок 1" descr="stema_RM_alb_neg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ema_RM_alb_negru.png"/>
                  <pic:cNvPicPr/>
                </pic:nvPicPr>
                <pic:blipFill>
                  <a:blip r:embed="rId2"/>
                  <a:stretch>
                    <a:fillRect/>
                  </a:stretch>
                </pic:blipFill>
                <pic:spPr>
                  <a:xfrm>
                    <a:off x="0" y="0"/>
                    <a:ext cx="431800" cy="52514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F4F"/>
    <w:rsid w:val="00000DBB"/>
    <w:rsid w:val="000010CC"/>
    <w:rsid w:val="00007F1B"/>
    <w:rsid w:val="00026FA3"/>
    <w:rsid w:val="00036E26"/>
    <w:rsid w:val="00040626"/>
    <w:rsid w:val="00053176"/>
    <w:rsid w:val="000877D4"/>
    <w:rsid w:val="000D4782"/>
    <w:rsid w:val="00106668"/>
    <w:rsid w:val="00136B8A"/>
    <w:rsid w:val="00145DA6"/>
    <w:rsid w:val="001468FE"/>
    <w:rsid w:val="001773E0"/>
    <w:rsid w:val="001E015D"/>
    <w:rsid w:val="002045E4"/>
    <w:rsid w:val="002653A0"/>
    <w:rsid w:val="00286C90"/>
    <w:rsid w:val="002C4763"/>
    <w:rsid w:val="002E6E63"/>
    <w:rsid w:val="002F3E70"/>
    <w:rsid w:val="003137C6"/>
    <w:rsid w:val="00343A96"/>
    <w:rsid w:val="00352478"/>
    <w:rsid w:val="003666EF"/>
    <w:rsid w:val="003B351E"/>
    <w:rsid w:val="00406D16"/>
    <w:rsid w:val="00416C57"/>
    <w:rsid w:val="00421585"/>
    <w:rsid w:val="00466304"/>
    <w:rsid w:val="004A3F3A"/>
    <w:rsid w:val="00500B32"/>
    <w:rsid w:val="005100AD"/>
    <w:rsid w:val="005719F3"/>
    <w:rsid w:val="0058505C"/>
    <w:rsid w:val="00593D91"/>
    <w:rsid w:val="00594C6D"/>
    <w:rsid w:val="005C4951"/>
    <w:rsid w:val="00674616"/>
    <w:rsid w:val="006E1727"/>
    <w:rsid w:val="006E4981"/>
    <w:rsid w:val="006F49CB"/>
    <w:rsid w:val="006F7FA6"/>
    <w:rsid w:val="00714738"/>
    <w:rsid w:val="00721913"/>
    <w:rsid w:val="00741FAE"/>
    <w:rsid w:val="00784A7C"/>
    <w:rsid w:val="00792DBA"/>
    <w:rsid w:val="00827F4F"/>
    <w:rsid w:val="00841E86"/>
    <w:rsid w:val="008512A7"/>
    <w:rsid w:val="00893C54"/>
    <w:rsid w:val="008D6568"/>
    <w:rsid w:val="0090206B"/>
    <w:rsid w:val="009360AE"/>
    <w:rsid w:val="00940E66"/>
    <w:rsid w:val="00950308"/>
    <w:rsid w:val="009A05B7"/>
    <w:rsid w:val="009A59C4"/>
    <w:rsid w:val="00A11E70"/>
    <w:rsid w:val="00A13B4F"/>
    <w:rsid w:val="00A13B86"/>
    <w:rsid w:val="00B02B1F"/>
    <w:rsid w:val="00B113F1"/>
    <w:rsid w:val="00B4128D"/>
    <w:rsid w:val="00B5155A"/>
    <w:rsid w:val="00B5233B"/>
    <w:rsid w:val="00B552E7"/>
    <w:rsid w:val="00B8043E"/>
    <w:rsid w:val="00BC66BD"/>
    <w:rsid w:val="00BD7215"/>
    <w:rsid w:val="00BE6E54"/>
    <w:rsid w:val="00C3307B"/>
    <w:rsid w:val="00C43DE7"/>
    <w:rsid w:val="00C85B4D"/>
    <w:rsid w:val="00CA243C"/>
    <w:rsid w:val="00CD48E2"/>
    <w:rsid w:val="00CF4AD1"/>
    <w:rsid w:val="00CF6630"/>
    <w:rsid w:val="00CF6F95"/>
    <w:rsid w:val="00D51EAE"/>
    <w:rsid w:val="00D65FD8"/>
    <w:rsid w:val="00D84BEC"/>
    <w:rsid w:val="00DC2331"/>
    <w:rsid w:val="00DC75A0"/>
    <w:rsid w:val="00DE3CA8"/>
    <w:rsid w:val="00E43564"/>
    <w:rsid w:val="00E52E9A"/>
    <w:rsid w:val="00F00013"/>
    <w:rsid w:val="00FA55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CF2A6"/>
  <w15:docId w15:val="{BEAD479F-815D-4629-AFE6-EA2F12FFA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vocatul poporului text simplu"/>
    <w:qFormat/>
    <w:rsid w:val="00E43564"/>
    <w:pPr>
      <w:spacing w:after="0" w:line="240" w:lineRule="auto"/>
    </w:pPr>
    <w:rPr>
      <w:rFonts w:ascii="Arial" w:hAnsi="Arial"/>
      <w:sz w:val="20"/>
    </w:rPr>
  </w:style>
  <w:style w:type="paragraph" w:styleId="Heading1">
    <w:name w:val="heading 1"/>
    <w:basedOn w:val="Normal"/>
    <w:next w:val="Normal"/>
    <w:link w:val="Heading1Char"/>
    <w:uiPriority w:val="9"/>
    <w:qFormat/>
    <w:rsid w:val="00B02B1F"/>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2E9A"/>
    <w:pPr>
      <w:tabs>
        <w:tab w:val="center" w:pos="4513"/>
        <w:tab w:val="right" w:pos="9026"/>
      </w:tabs>
    </w:pPr>
  </w:style>
  <w:style w:type="character" w:customStyle="1" w:styleId="HeaderChar">
    <w:name w:val="Header Char"/>
    <w:basedOn w:val="DefaultParagraphFont"/>
    <w:link w:val="Header"/>
    <w:uiPriority w:val="99"/>
    <w:rsid w:val="00E52E9A"/>
  </w:style>
  <w:style w:type="paragraph" w:styleId="Footer">
    <w:name w:val="footer"/>
    <w:basedOn w:val="Normal"/>
    <w:link w:val="FooterChar"/>
    <w:uiPriority w:val="99"/>
    <w:unhideWhenUsed/>
    <w:rsid w:val="00E52E9A"/>
    <w:pPr>
      <w:tabs>
        <w:tab w:val="center" w:pos="4513"/>
        <w:tab w:val="right" w:pos="9026"/>
      </w:tabs>
    </w:pPr>
  </w:style>
  <w:style w:type="character" w:customStyle="1" w:styleId="FooterChar">
    <w:name w:val="Footer Char"/>
    <w:basedOn w:val="DefaultParagraphFont"/>
    <w:link w:val="Footer"/>
    <w:uiPriority w:val="99"/>
    <w:rsid w:val="00E52E9A"/>
  </w:style>
  <w:style w:type="paragraph" w:styleId="BalloonText">
    <w:name w:val="Balloon Text"/>
    <w:basedOn w:val="Normal"/>
    <w:link w:val="BalloonTextChar"/>
    <w:uiPriority w:val="99"/>
    <w:semiHidden/>
    <w:unhideWhenUsed/>
    <w:rsid w:val="00E52E9A"/>
    <w:rPr>
      <w:rFonts w:ascii="Tahoma" w:hAnsi="Tahoma" w:cs="Tahoma"/>
      <w:sz w:val="16"/>
      <w:szCs w:val="16"/>
    </w:rPr>
  </w:style>
  <w:style w:type="character" w:customStyle="1" w:styleId="BalloonTextChar">
    <w:name w:val="Balloon Text Char"/>
    <w:basedOn w:val="DefaultParagraphFont"/>
    <w:link w:val="BalloonText"/>
    <w:uiPriority w:val="99"/>
    <w:semiHidden/>
    <w:rsid w:val="00E52E9A"/>
    <w:rPr>
      <w:rFonts w:ascii="Tahoma" w:hAnsi="Tahoma" w:cs="Tahoma"/>
      <w:sz w:val="16"/>
      <w:szCs w:val="16"/>
    </w:rPr>
  </w:style>
  <w:style w:type="paragraph" w:customStyle="1" w:styleId="Avocatulpoporuluitextfooter">
    <w:name w:val="Avocatul poporului text footer"/>
    <w:basedOn w:val="Normal"/>
    <w:link w:val="Avocatulpoporuluitextfooter0"/>
    <w:qFormat/>
    <w:rsid w:val="00B5155A"/>
    <w:rPr>
      <w:rFonts w:cs="Arial"/>
      <w:color w:val="2C77BC"/>
      <w:sz w:val="14"/>
      <w:szCs w:val="14"/>
      <w:lang w:val="ro-RO"/>
    </w:rPr>
  </w:style>
  <w:style w:type="paragraph" w:customStyle="1" w:styleId="Avocatulpoporuluitextfooterbold">
    <w:name w:val="Avocatul poporului text footer bold"/>
    <w:basedOn w:val="Normal"/>
    <w:link w:val="Avocatulpoporuluitextfooterbold0"/>
    <w:qFormat/>
    <w:rsid w:val="00B5155A"/>
    <w:rPr>
      <w:b/>
      <w:color w:val="2C77BC"/>
      <w:sz w:val="14"/>
    </w:rPr>
  </w:style>
  <w:style w:type="character" w:customStyle="1" w:styleId="Avocatulpoporuluitextfooter0">
    <w:name w:val="Avocatul poporului text footer Знак"/>
    <w:basedOn w:val="DefaultParagraphFont"/>
    <w:link w:val="Avocatulpoporuluitextfooter"/>
    <w:rsid w:val="00B5155A"/>
    <w:rPr>
      <w:rFonts w:ascii="Arial" w:hAnsi="Arial" w:cs="Arial"/>
      <w:color w:val="2C77BC"/>
      <w:sz w:val="14"/>
      <w:szCs w:val="14"/>
      <w:lang w:val="ro-RO"/>
    </w:rPr>
  </w:style>
  <w:style w:type="character" w:customStyle="1" w:styleId="Avocatulpoporuluitextfooterbold0">
    <w:name w:val="Avocatul poporului text footer bold Знак"/>
    <w:basedOn w:val="DefaultParagraphFont"/>
    <w:link w:val="Avocatulpoporuluitextfooterbold"/>
    <w:rsid w:val="00B5155A"/>
    <w:rPr>
      <w:rFonts w:ascii="Arial" w:hAnsi="Arial"/>
      <w:b/>
      <w:color w:val="2C77BC"/>
      <w:sz w:val="14"/>
    </w:rPr>
  </w:style>
  <w:style w:type="paragraph" w:customStyle="1" w:styleId="Avocatulpoporuluinumrdepagin">
    <w:name w:val="Avocatul poporului număr de pagină"/>
    <w:basedOn w:val="Header"/>
    <w:link w:val="Avocatulpoporuluinumrdepagin0"/>
    <w:qFormat/>
    <w:rsid w:val="00B113F1"/>
    <w:rPr>
      <w:b/>
      <w:color w:val="2C77BC"/>
      <w:sz w:val="16"/>
    </w:rPr>
  </w:style>
  <w:style w:type="character" w:customStyle="1" w:styleId="Avocatulpoporuluinumrdepagin0">
    <w:name w:val="Avocatul poporului număr de pagină Знак"/>
    <w:basedOn w:val="HeaderChar"/>
    <w:link w:val="Avocatulpoporuluinumrdepagin"/>
    <w:rsid w:val="00B113F1"/>
    <w:rPr>
      <w:rFonts w:ascii="Arial" w:hAnsi="Arial"/>
      <w:b/>
      <w:color w:val="2C77BC"/>
      <w:sz w:val="16"/>
    </w:rPr>
  </w:style>
  <w:style w:type="paragraph" w:styleId="NoSpacing">
    <w:name w:val="No Spacing"/>
    <w:uiPriority w:val="1"/>
    <w:qFormat/>
    <w:rsid w:val="00827F4F"/>
    <w:pPr>
      <w:spacing w:after="0" w:line="240" w:lineRule="auto"/>
    </w:pPr>
    <w:rPr>
      <w:rFonts w:ascii="Arial" w:hAnsi="Arial"/>
      <w:sz w:val="20"/>
    </w:rPr>
  </w:style>
  <w:style w:type="paragraph" w:styleId="FootnoteText">
    <w:name w:val="footnote text"/>
    <w:basedOn w:val="Normal"/>
    <w:link w:val="FootnoteTextChar"/>
    <w:uiPriority w:val="99"/>
    <w:semiHidden/>
    <w:unhideWhenUsed/>
    <w:rsid w:val="00827F4F"/>
    <w:rPr>
      <w:szCs w:val="20"/>
    </w:rPr>
  </w:style>
  <w:style w:type="character" w:customStyle="1" w:styleId="FootnoteTextChar">
    <w:name w:val="Footnote Text Char"/>
    <w:basedOn w:val="DefaultParagraphFont"/>
    <w:link w:val="FootnoteText"/>
    <w:uiPriority w:val="99"/>
    <w:semiHidden/>
    <w:rsid w:val="00827F4F"/>
    <w:rPr>
      <w:rFonts w:ascii="Arial" w:hAnsi="Arial"/>
      <w:sz w:val="20"/>
      <w:szCs w:val="20"/>
    </w:rPr>
  </w:style>
  <w:style w:type="character" w:styleId="FootnoteReference">
    <w:name w:val="footnote reference"/>
    <w:basedOn w:val="DefaultParagraphFont"/>
    <w:uiPriority w:val="99"/>
    <w:semiHidden/>
    <w:unhideWhenUsed/>
    <w:rsid w:val="00827F4F"/>
    <w:rPr>
      <w:vertAlign w:val="superscript"/>
    </w:rPr>
  </w:style>
  <w:style w:type="character" w:styleId="Hyperlink">
    <w:name w:val="Hyperlink"/>
    <w:basedOn w:val="DefaultParagraphFont"/>
    <w:uiPriority w:val="99"/>
    <w:unhideWhenUsed/>
    <w:rsid w:val="00827F4F"/>
    <w:rPr>
      <w:color w:val="0000FF" w:themeColor="hyperlink"/>
      <w:u w:val="single"/>
    </w:rPr>
  </w:style>
  <w:style w:type="character" w:styleId="UnresolvedMention">
    <w:name w:val="Unresolved Mention"/>
    <w:basedOn w:val="DefaultParagraphFont"/>
    <w:uiPriority w:val="99"/>
    <w:semiHidden/>
    <w:unhideWhenUsed/>
    <w:rsid w:val="002045E4"/>
    <w:rPr>
      <w:color w:val="605E5C"/>
      <w:shd w:val="clear" w:color="auto" w:fill="E1DFDD"/>
    </w:rPr>
  </w:style>
  <w:style w:type="paragraph" w:styleId="TOC1">
    <w:name w:val="toc 1"/>
    <w:basedOn w:val="Normal"/>
    <w:next w:val="Normal"/>
    <w:autoRedefine/>
    <w:uiPriority w:val="39"/>
    <w:unhideWhenUsed/>
    <w:rsid w:val="00B02B1F"/>
    <w:pPr>
      <w:spacing w:after="100"/>
    </w:pPr>
  </w:style>
  <w:style w:type="character" w:customStyle="1" w:styleId="Heading1Char">
    <w:name w:val="Heading 1 Char"/>
    <w:basedOn w:val="DefaultParagraphFont"/>
    <w:link w:val="Heading1"/>
    <w:uiPriority w:val="9"/>
    <w:rsid w:val="00B02B1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496950">
      <w:bodyDiv w:val="1"/>
      <w:marLeft w:val="0"/>
      <w:marRight w:val="0"/>
      <w:marTop w:val="0"/>
      <w:marBottom w:val="0"/>
      <w:divBdr>
        <w:top w:val="none" w:sz="0" w:space="0" w:color="auto"/>
        <w:left w:val="none" w:sz="0" w:space="0" w:color="auto"/>
        <w:bottom w:val="none" w:sz="0" w:space="0" w:color="auto"/>
        <w:right w:val="none" w:sz="0" w:space="0" w:color="auto"/>
      </w:divBdr>
    </w:div>
    <w:div w:id="626088517">
      <w:bodyDiv w:val="1"/>
      <w:marLeft w:val="0"/>
      <w:marRight w:val="0"/>
      <w:marTop w:val="0"/>
      <w:marBottom w:val="0"/>
      <w:divBdr>
        <w:top w:val="none" w:sz="0" w:space="0" w:color="auto"/>
        <w:left w:val="none" w:sz="0" w:space="0" w:color="auto"/>
        <w:bottom w:val="none" w:sz="0" w:space="0" w:color="auto"/>
        <w:right w:val="none" w:sz="0" w:space="0" w:color="auto"/>
      </w:divBdr>
    </w:div>
    <w:div w:id="729841172">
      <w:bodyDiv w:val="1"/>
      <w:marLeft w:val="0"/>
      <w:marRight w:val="0"/>
      <w:marTop w:val="0"/>
      <w:marBottom w:val="0"/>
      <w:divBdr>
        <w:top w:val="none" w:sz="0" w:space="0" w:color="auto"/>
        <w:left w:val="none" w:sz="0" w:space="0" w:color="auto"/>
        <w:bottom w:val="none" w:sz="0" w:space="0" w:color="auto"/>
        <w:right w:val="none" w:sz="0" w:space="0" w:color="auto"/>
      </w:divBdr>
    </w:div>
    <w:div w:id="1099790674">
      <w:bodyDiv w:val="1"/>
      <w:marLeft w:val="0"/>
      <w:marRight w:val="0"/>
      <w:marTop w:val="0"/>
      <w:marBottom w:val="0"/>
      <w:divBdr>
        <w:top w:val="none" w:sz="0" w:space="0" w:color="auto"/>
        <w:left w:val="none" w:sz="0" w:space="0" w:color="auto"/>
        <w:bottom w:val="none" w:sz="0" w:space="0" w:color="auto"/>
        <w:right w:val="none" w:sz="0" w:space="0" w:color="auto"/>
      </w:divBdr>
    </w:div>
    <w:div w:id="1139878718">
      <w:bodyDiv w:val="1"/>
      <w:marLeft w:val="0"/>
      <w:marRight w:val="0"/>
      <w:marTop w:val="0"/>
      <w:marBottom w:val="0"/>
      <w:divBdr>
        <w:top w:val="none" w:sz="0" w:space="0" w:color="auto"/>
        <w:left w:val="none" w:sz="0" w:space="0" w:color="auto"/>
        <w:bottom w:val="none" w:sz="0" w:space="0" w:color="auto"/>
        <w:right w:val="none" w:sz="0" w:space="0" w:color="auto"/>
      </w:divBdr>
      <w:divsChild>
        <w:div w:id="672879463">
          <w:marLeft w:val="0"/>
          <w:marRight w:val="0"/>
          <w:marTop w:val="0"/>
          <w:marBottom w:val="0"/>
          <w:divBdr>
            <w:top w:val="none" w:sz="0" w:space="0" w:color="auto"/>
            <w:left w:val="none" w:sz="0" w:space="0" w:color="auto"/>
            <w:bottom w:val="none" w:sz="0" w:space="0" w:color="auto"/>
            <w:right w:val="none" w:sz="0" w:space="0" w:color="auto"/>
          </w:divBdr>
          <w:divsChild>
            <w:div w:id="2026053532">
              <w:marLeft w:val="0"/>
              <w:marRight w:val="0"/>
              <w:marTop w:val="0"/>
              <w:marBottom w:val="0"/>
              <w:divBdr>
                <w:top w:val="none" w:sz="0" w:space="0" w:color="auto"/>
                <w:left w:val="none" w:sz="0" w:space="0" w:color="auto"/>
                <w:bottom w:val="none" w:sz="0" w:space="0" w:color="auto"/>
                <w:right w:val="none" w:sz="0" w:space="0" w:color="auto"/>
              </w:divBdr>
              <w:divsChild>
                <w:div w:id="66921134">
                  <w:marLeft w:val="0"/>
                  <w:marRight w:val="0"/>
                  <w:marTop w:val="0"/>
                  <w:marBottom w:val="0"/>
                  <w:divBdr>
                    <w:top w:val="none" w:sz="0" w:space="0" w:color="auto"/>
                    <w:left w:val="none" w:sz="0" w:space="0" w:color="auto"/>
                    <w:bottom w:val="none" w:sz="0" w:space="0" w:color="auto"/>
                    <w:right w:val="none" w:sz="0" w:space="0" w:color="auto"/>
                  </w:divBdr>
                  <w:divsChild>
                    <w:div w:id="403453682">
                      <w:marLeft w:val="0"/>
                      <w:marRight w:val="0"/>
                      <w:marTop w:val="0"/>
                      <w:marBottom w:val="0"/>
                      <w:divBdr>
                        <w:top w:val="none" w:sz="0" w:space="0" w:color="auto"/>
                        <w:left w:val="none" w:sz="0" w:space="0" w:color="auto"/>
                        <w:bottom w:val="none" w:sz="0" w:space="0" w:color="auto"/>
                        <w:right w:val="none" w:sz="0" w:space="0" w:color="auto"/>
                      </w:divBdr>
                      <w:divsChild>
                        <w:div w:id="1019770453">
                          <w:marLeft w:val="0"/>
                          <w:marRight w:val="0"/>
                          <w:marTop w:val="0"/>
                          <w:marBottom w:val="0"/>
                          <w:divBdr>
                            <w:top w:val="none" w:sz="0" w:space="0" w:color="auto"/>
                            <w:left w:val="none" w:sz="0" w:space="0" w:color="auto"/>
                            <w:bottom w:val="none" w:sz="0" w:space="0" w:color="auto"/>
                            <w:right w:val="none" w:sz="0" w:space="0" w:color="auto"/>
                          </w:divBdr>
                          <w:divsChild>
                            <w:div w:id="1300259918">
                              <w:marLeft w:val="0"/>
                              <w:marRight w:val="0"/>
                              <w:marTop w:val="0"/>
                              <w:marBottom w:val="0"/>
                              <w:divBdr>
                                <w:top w:val="none" w:sz="0" w:space="0" w:color="auto"/>
                                <w:left w:val="none" w:sz="0" w:space="0" w:color="auto"/>
                                <w:bottom w:val="none" w:sz="0" w:space="0" w:color="auto"/>
                                <w:right w:val="none" w:sz="0" w:space="0" w:color="auto"/>
                              </w:divBdr>
                              <w:divsChild>
                                <w:div w:id="1893342142">
                                  <w:marLeft w:val="0"/>
                                  <w:marRight w:val="0"/>
                                  <w:marTop w:val="0"/>
                                  <w:marBottom w:val="0"/>
                                  <w:divBdr>
                                    <w:top w:val="none" w:sz="0" w:space="0" w:color="auto"/>
                                    <w:left w:val="none" w:sz="0" w:space="0" w:color="auto"/>
                                    <w:bottom w:val="none" w:sz="0" w:space="0" w:color="auto"/>
                                    <w:right w:val="none" w:sz="0" w:space="0" w:color="auto"/>
                                  </w:divBdr>
                                  <w:divsChild>
                                    <w:div w:id="166123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7843">
                          <w:marLeft w:val="0"/>
                          <w:marRight w:val="0"/>
                          <w:marTop w:val="0"/>
                          <w:marBottom w:val="0"/>
                          <w:divBdr>
                            <w:top w:val="none" w:sz="0" w:space="0" w:color="auto"/>
                            <w:left w:val="none" w:sz="0" w:space="0" w:color="auto"/>
                            <w:bottom w:val="none" w:sz="0" w:space="0" w:color="auto"/>
                            <w:right w:val="none" w:sz="0" w:space="0" w:color="auto"/>
                          </w:divBdr>
                          <w:divsChild>
                            <w:div w:id="1180120189">
                              <w:marLeft w:val="0"/>
                              <w:marRight w:val="0"/>
                              <w:marTop w:val="0"/>
                              <w:marBottom w:val="0"/>
                              <w:divBdr>
                                <w:top w:val="none" w:sz="0" w:space="0" w:color="auto"/>
                                <w:left w:val="none" w:sz="0" w:space="0" w:color="auto"/>
                                <w:bottom w:val="none" w:sz="0" w:space="0" w:color="auto"/>
                                <w:right w:val="none" w:sz="0" w:space="0" w:color="auto"/>
                              </w:divBdr>
                              <w:divsChild>
                                <w:div w:id="10529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690876">
      <w:bodyDiv w:val="1"/>
      <w:marLeft w:val="0"/>
      <w:marRight w:val="0"/>
      <w:marTop w:val="0"/>
      <w:marBottom w:val="0"/>
      <w:divBdr>
        <w:top w:val="none" w:sz="0" w:space="0" w:color="auto"/>
        <w:left w:val="none" w:sz="0" w:space="0" w:color="auto"/>
        <w:bottom w:val="none" w:sz="0" w:space="0" w:color="auto"/>
        <w:right w:val="none" w:sz="0" w:space="0" w:color="auto"/>
      </w:divBdr>
    </w:div>
    <w:div w:id="1229069234">
      <w:bodyDiv w:val="1"/>
      <w:marLeft w:val="0"/>
      <w:marRight w:val="0"/>
      <w:marTop w:val="0"/>
      <w:marBottom w:val="0"/>
      <w:divBdr>
        <w:top w:val="none" w:sz="0" w:space="0" w:color="auto"/>
        <w:left w:val="none" w:sz="0" w:space="0" w:color="auto"/>
        <w:bottom w:val="none" w:sz="0" w:space="0" w:color="auto"/>
        <w:right w:val="none" w:sz="0" w:space="0" w:color="auto"/>
      </w:divBdr>
      <w:divsChild>
        <w:div w:id="1558012560">
          <w:marLeft w:val="0"/>
          <w:marRight w:val="0"/>
          <w:marTop w:val="0"/>
          <w:marBottom w:val="0"/>
          <w:divBdr>
            <w:top w:val="none" w:sz="0" w:space="0" w:color="auto"/>
            <w:left w:val="none" w:sz="0" w:space="0" w:color="auto"/>
            <w:bottom w:val="none" w:sz="0" w:space="0" w:color="auto"/>
            <w:right w:val="none" w:sz="0" w:space="0" w:color="auto"/>
          </w:divBdr>
          <w:divsChild>
            <w:div w:id="963582156">
              <w:marLeft w:val="0"/>
              <w:marRight w:val="0"/>
              <w:marTop w:val="0"/>
              <w:marBottom w:val="0"/>
              <w:divBdr>
                <w:top w:val="none" w:sz="0" w:space="0" w:color="auto"/>
                <w:left w:val="none" w:sz="0" w:space="0" w:color="auto"/>
                <w:bottom w:val="none" w:sz="0" w:space="0" w:color="auto"/>
                <w:right w:val="none" w:sz="0" w:space="0" w:color="auto"/>
              </w:divBdr>
              <w:divsChild>
                <w:div w:id="1487209847">
                  <w:marLeft w:val="0"/>
                  <w:marRight w:val="0"/>
                  <w:marTop w:val="0"/>
                  <w:marBottom w:val="0"/>
                  <w:divBdr>
                    <w:top w:val="none" w:sz="0" w:space="0" w:color="auto"/>
                    <w:left w:val="none" w:sz="0" w:space="0" w:color="auto"/>
                    <w:bottom w:val="none" w:sz="0" w:space="0" w:color="auto"/>
                    <w:right w:val="none" w:sz="0" w:space="0" w:color="auto"/>
                  </w:divBdr>
                  <w:divsChild>
                    <w:div w:id="1572304563">
                      <w:marLeft w:val="0"/>
                      <w:marRight w:val="0"/>
                      <w:marTop w:val="0"/>
                      <w:marBottom w:val="0"/>
                      <w:divBdr>
                        <w:top w:val="none" w:sz="0" w:space="0" w:color="auto"/>
                        <w:left w:val="none" w:sz="0" w:space="0" w:color="auto"/>
                        <w:bottom w:val="none" w:sz="0" w:space="0" w:color="auto"/>
                        <w:right w:val="none" w:sz="0" w:space="0" w:color="auto"/>
                      </w:divBdr>
                      <w:divsChild>
                        <w:div w:id="523903093">
                          <w:marLeft w:val="0"/>
                          <w:marRight w:val="0"/>
                          <w:marTop w:val="0"/>
                          <w:marBottom w:val="0"/>
                          <w:divBdr>
                            <w:top w:val="none" w:sz="0" w:space="0" w:color="auto"/>
                            <w:left w:val="none" w:sz="0" w:space="0" w:color="auto"/>
                            <w:bottom w:val="none" w:sz="0" w:space="0" w:color="auto"/>
                            <w:right w:val="none" w:sz="0" w:space="0" w:color="auto"/>
                          </w:divBdr>
                          <w:divsChild>
                            <w:div w:id="784689801">
                              <w:marLeft w:val="0"/>
                              <w:marRight w:val="0"/>
                              <w:marTop w:val="0"/>
                              <w:marBottom w:val="0"/>
                              <w:divBdr>
                                <w:top w:val="none" w:sz="0" w:space="0" w:color="auto"/>
                                <w:left w:val="none" w:sz="0" w:space="0" w:color="auto"/>
                                <w:bottom w:val="none" w:sz="0" w:space="0" w:color="auto"/>
                                <w:right w:val="none" w:sz="0" w:space="0" w:color="auto"/>
                              </w:divBdr>
                              <w:divsChild>
                                <w:div w:id="9573308">
                                  <w:marLeft w:val="0"/>
                                  <w:marRight w:val="0"/>
                                  <w:marTop w:val="0"/>
                                  <w:marBottom w:val="0"/>
                                  <w:divBdr>
                                    <w:top w:val="none" w:sz="0" w:space="0" w:color="auto"/>
                                    <w:left w:val="none" w:sz="0" w:space="0" w:color="auto"/>
                                    <w:bottom w:val="none" w:sz="0" w:space="0" w:color="auto"/>
                                    <w:right w:val="none" w:sz="0" w:space="0" w:color="auto"/>
                                  </w:divBdr>
                                  <w:divsChild>
                                    <w:div w:id="113109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422654">
                          <w:marLeft w:val="0"/>
                          <w:marRight w:val="0"/>
                          <w:marTop w:val="0"/>
                          <w:marBottom w:val="0"/>
                          <w:divBdr>
                            <w:top w:val="none" w:sz="0" w:space="0" w:color="auto"/>
                            <w:left w:val="none" w:sz="0" w:space="0" w:color="auto"/>
                            <w:bottom w:val="none" w:sz="0" w:space="0" w:color="auto"/>
                            <w:right w:val="none" w:sz="0" w:space="0" w:color="auto"/>
                          </w:divBdr>
                          <w:divsChild>
                            <w:div w:id="565333839">
                              <w:marLeft w:val="0"/>
                              <w:marRight w:val="0"/>
                              <w:marTop w:val="0"/>
                              <w:marBottom w:val="0"/>
                              <w:divBdr>
                                <w:top w:val="none" w:sz="0" w:space="0" w:color="auto"/>
                                <w:left w:val="none" w:sz="0" w:space="0" w:color="auto"/>
                                <w:bottom w:val="none" w:sz="0" w:space="0" w:color="auto"/>
                                <w:right w:val="none" w:sz="0" w:space="0" w:color="auto"/>
                              </w:divBdr>
                              <w:divsChild>
                                <w:div w:id="98586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423005">
      <w:bodyDiv w:val="1"/>
      <w:marLeft w:val="0"/>
      <w:marRight w:val="0"/>
      <w:marTop w:val="0"/>
      <w:marBottom w:val="0"/>
      <w:divBdr>
        <w:top w:val="none" w:sz="0" w:space="0" w:color="auto"/>
        <w:left w:val="none" w:sz="0" w:space="0" w:color="auto"/>
        <w:bottom w:val="none" w:sz="0" w:space="0" w:color="auto"/>
        <w:right w:val="none" w:sz="0" w:space="0" w:color="auto"/>
      </w:divBdr>
    </w:div>
    <w:div w:id="1679236102">
      <w:bodyDiv w:val="1"/>
      <w:marLeft w:val="0"/>
      <w:marRight w:val="0"/>
      <w:marTop w:val="0"/>
      <w:marBottom w:val="0"/>
      <w:divBdr>
        <w:top w:val="none" w:sz="0" w:space="0" w:color="auto"/>
        <w:left w:val="none" w:sz="0" w:space="0" w:color="auto"/>
        <w:bottom w:val="none" w:sz="0" w:space="0" w:color="auto"/>
        <w:right w:val="none" w:sz="0" w:space="0" w:color="auto"/>
      </w:divBdr>
    </w:div>
    <w:div w:id="1700156318">
      <w:bodyDiv w:val="1"/>
      <w:marLeft w:val="0"/>
      <w:marRight w:val="0"/>
      <w:marTop w:val="0"/>
      <w:marBottom w:val="0"/>
      <w:divBdr>
        <w:top w:val="none" w:sz="0" w:space="0" w:color="auto"/>
        <w:left w:val="none" w:sz="0" w:space="0" w:color="auto"/>
        <w:bottom w:val="none" w:sz="0" w:space="0" w:color="auto"/>
        <w:right w:val="none" w:sz="0" w:space="0" w:color="auto"/>
      </w:divBdr>
    </w:div>
    <w:div w:id="194537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ombudsman.md/post-document/deces-violent-la-spitalul-de-psihiatrie-balti-2/" TargetMode="External"/><Relationship Id="rId13" Type="http://schemas.openxmlformats.org/officeDocument/2006/relationships/hyperlink" Target="https://ombudsman.md/despre-noi/consiliul-consultativ-pe-refugiati/" TargetMode="External"/><Relationship Id="rId18" Type="http://schemas.openxmlformats.org/officeDocument/2006/relationships/hyperlink" Target="https://www.togetherforgirls.org/en/resources/moldova-vacs-report-2020" TargetMode="External"/><Relationship Id="rId3" Type="http://schemas.openxmlformats.org/officeDocument/2006/relationships/hyperlink" Target="https://ombudsman.md/reactia-avocatului-poporului-privind-imixtiunea-in-activitatea-sa-si-subminarea-garantiilor-de-independenta/" TargetMode="External"/><Relationship Id="rId7" Type="http://schemas.openxmlformats.org/officeDocument/2006/relationships/hyperlink" Target="https://justice.gov.md/ro/content/guvernul-sprijina-consolidarea-cadrului-legal-pentru-protectia-victimelor-violentei-familie" TargetMode="External"/><Relationship Id="rId12" Type="http://schemas.openxmlformats.org/officeDocument/2006/relationships/hyperlink" Target="https://www.ohchr.org/en/documents/concluding-observations/committee-elimination-discrimination-against-women-concluding-2" TargetMode="External"/><Relationship Id="rId17" Type="http://schemas.openxmlformats.org/officeDocument/2006/relationships/hyperlink" Target="https://social.gov.md/wp-content/uploads/2023/03/Programul-VFF-si-VF_-15.03.2023_final.pdf" TargetMode="External"/><Relationship Id="rId2" Type="http://schemas.openxmlformats.org/officeDocument/2006/relationships/hyperlink" Target="https://ombudsman.md/avocatul-poporului-ceslav-panico-condamna-acuzatiile-si-limbajul-utilizat-de-procurorul-general-in-raport-cu-institutia-ombudsmanului/" TargetMode="External"/><Relationship Id="rId16" Type="http://schemas.openxmlformats.org/officeDocument/2006/relationships/hyperlink" Target="https://ombudsman.md/post-document/raport-privind-monitorizarea-respectarii-drepturilor-persoanelor-refugiate-in-contextul-conflictului-armat-din-ucraina-pentru-perioada-ianuarie-iunie-2024-2/" TargetMode="External"/><Relationship Id="rId1" Type="http://schemas.openxmlformats.org/officeDocument/2006/relationships/hyperlink" Target="https://tbinternet.ohchr.org/_layouts/15/treatybodyexternal/Download.aspx?symbolno=CEDAW%2FC%2FMDA%2F7&amp;Lang=en" TargetMode="External"/><Relationship Id="rId6" Type="http://schemas.openxmlformats.org/officeDocument/2006/relationships/hyperlink" Target="https://anpcv.gov.md/sites/default/files/2025-04/scvd_nota_12_luni_2024_8.pdf" TargetMode="External"/><Relationship Id="rId11" Type="http://schemas.openxmlformats.org/officeDocument/2006/relationships/hyperlink" Target="https://www.zdg.md/importante/video-beneficiarii-abuzului-batuti-cu-polonicul-in-cap-exploatati-prin-munca-pana-la-deces-si-abuzati-sexual-in-schimbul-tigarilor/?fbclid=IwY2xjawKIPsdleHRuA2FlbQIxMABicmlkETFMRnJKUDVlQ044OEduTFF3AR512wPYf3vaZfhWFX6S_o9sAJqxHapZyeXGwq1cqw93N4NvMzTQ6GiUCra2Mw_aem_SY2sccZeDfQz9t4JhOBN_g" TargetMode="External"/><Relationship Id="rId5" Type="http://schemas.openxmlformats.org/officeDocument/2006/relationships/hyperlink" Target="https://ombudsman.md/studiu-perceptii-asupra-drepturilor-omului-in-republica-molodva-in-2023/" TargetMode="External"/><Relationship Id="rId15" Type="http://schemas.openxmlformats.org/officeDocument/2006/relationships/hyperlink" Target="https://ombudsman.md/post-document/raportul-avocatului-poporului-privind-evaluarea-accesibilitatii-serviciilor-esentiale-de-sanata-2/" TargetMode="External"/><Relationship Id="rId10" Type="http://schemas.openxmlformats.org/officeDocument/2006/relationships/hyperlink" Target="https://hudoc.echr.coe.int/?fbclid=IwY2xjawKIM_tleHRuA2FlbQIxMABicmlkETFMRnJKUDVlQ044OEduTFF3AR512wPYf3vaZfhWFX6S_o9sAJqxHapZyeXGwq1cqw93N4NvMzTQ6GiUCra2Mw_aem_SY2sccZeDfQz9t4JhOBN_g" TargetMode="External"/><Relationship Id="rId4" Type="http://schemas.openxmlformats.org/officeDocument/2006/relationships/hyperlink" Target="https://ombudsman.md/studiu-perceptii-asupra-drepturilor-omului-in-republica-molodva-in-2023/" TargetMode="External"/><Relationship Id="rId9" Type="http://schemas.openxmlformats.org/officeDocument/2006/relationships/hyperlink" Target="https://idom.md/wp-content/uploads/2021/02/raport-reprorights-wwd-md_dis-2.pdf" TargetMode="External"/><Relationship Id="rId14" Type="http://schemas.openxmlformats.org/officeDocument/2006/relationships/hyperlink" Target="https://app.powerbi.com/view?r=eyJrIjoiNTBlODc2MTgtMWI4Ni00Y2NmLWJkMjgtMGM0Nzk5NmJkOTIzIiwidCI6ImU1YzM3OTgxLTY2NjQtNDEzNC04YTBjLTY1NDNkMmFmODBiZSIsImMiOjh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Iuliana\antet%20OAP\7_antet_cu%20stema\AP_foaie_cu%20antet_color_template\AP_foaie_cu_antet_template_color_EN.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1548B-0BDA-4385-AF74-5E3AC84F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AP_foaie_cu_antet_template_color_EN.DOTX</Template>
  <TotalTime>11</TotalTime>
  <Pages>11</Pages>
  <Words>3289</Words>
  <Characters>19079</Characters>
  <Application>Microsoft Office Word</Application>
  <DocSecurity>0</DocSecurity>
  <Lines>158</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iuliana cozma</cp:lastModifiedBy>
  <cp:revision>12</cp:revision>
  <cp:lastPrinted>2023-10-03T12:41:00Z</cp:lastPrinted>
  <dcterms:created xsi:type="dcterms:W3CDTF">2025-05-18T16:00:00Z</dcterms:created>
  <dcterms:modified xsi:type="dcterms:W3CDTF">2025-05-18T16:15:00Z</dcterms:modified>
</cp:coreProperties>
</file>