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FCDA6" w14:textId="5A5E50FF" w:rsidR="0093291D" w:rsidRPr="00877EA6" w:rsidRDefault="00AA36A1">
      <w:pPr>
        <w:pStyle w:val="Heading1"/>
        <w:jc w:val="center"/>
        <w:rPr>
          <w:rFonts w:ascii="Calibri" w:hAnsi="Calibri" w:cs="Calibri"/>
          <w:color w:val="auto"/>
          <w:sz w:val="28"/>
          <w:szCs w:val="28"/>
          <w:lang w:val="en-GB"/>
        </w:rPr>
      </w:pPr>
      <w:r w:rsidRPr="00877EA6">
        <w:rPr>
          <w:rFonts w:ascii="Calibri" w:hAnsi="Calibri" w:cs="Calibri"/>
          <w:color w:val="auto"/>
          <w:sz w:val="28"/>
          <w:szCs w:val="28"/>
          <w:lang w:val="en-GB"/>
        </w:rPr>
        <w:t xml:space="preserve">Alternative Report on Guinea-Bissau for the CEDAW Committee Session </w:t>
      </w:r>
    </w:p>
    <w:p w14:paraId="49C11DB7" w14:textId="77777777" w:rsidR="0093291D" w:rsidRPr="00877EA6" w:rsidRDefault="00AA36A1">
      <w:pPr>
        <w:jc w:val="center"/>
        <w:rPr>
          <w:rFonts w:ascii="Calibri" w:hAnsi="Calibri" w:cs="Calibri"/>
          <w:b/>
          <w:sz w:val="32"/>
          <w:szCs w:val="32"/>
          <w:lang w:val="en-GB"/>
        </w:rPr>
      </w:pPr>
      <w:r w:rsidRPr="00877EA6">
        <w:rPr>
          <w:rFonts w:ascii="Calibri" w:hAnsi="Calibri" w:cs="Calibri"/>
          <w:b/>
          <w:sz w:val="32"/>
          <w:szCs w:val="32"/>
          <w:lang w:val="en-GB"/>
        </w:rPr>
        <w:t xml:space="preserve">Lack of legal protection for women victims of violence: lack of access to justice, institutional weaknesses and a culture of impunity </w:t>
      </w:r>
    </w:p>
    <w:p w14:paraId="109DC91B" w14:textId="77777777" w:rsidR="0093291D" w:rsidRPr="00877EA6" w:rsidRDefault="0093291D">
      <w:pPr>
        <w:jc w:val="center"/>
        <w:rPr>
          <w:rFonts w:ascii="Calibri" w:hAnsi="Calibri" w:cs="Calibri"/>
          <w:b/>
          <w:lang w:val="en-GB"/>
        </w:rPr>
      </w:pPr>
    </w:p>
    <w:p w14:paraId="1038B933" w14:textId="77777777" w:rsidR="0093291D" w:rsidRPr="00877EA6" w:rsidRDefault="00AA36A1">
      <w:pPr>
        <w:jc w:val="center"/>
        <w:rPr>
          <w:rFonts w:ascii="Calibri" w:hAnsi="Calibri" w:cs="Calibri"/>
          <w:b/>
          <w:lang w:val="en-GB"/>
        </w:rPr>
      </w:pPr>
      <w:r w:rsidRPr="00877EA6">
        <w:rPr>
          <w:rFonts w:ascii="Calibri" w:hAnsi="Calibri" w:cs="Calibri"/>
          <w:b/>
          <w:lang w:val="en-GB"/>
        </w:rPr>
        <w:t xml:space="preserve">May 19, 2025 </w:t>
      </w:r>
    </w:p>
    <w:p w14:paraId="6B258954" w14:textId="77777777" w:rsidR="0093291D" w:rsidRPr="00877EA6" w:rsidRDefault="0093291D">
      <w:pPr>
        <w:jc w:val="both"/>
        <w:rPr>
          <w:rFonts w:ascii="Calibri" w:eastAsia="Times New Roman" w:hAnsi="Calibri" w:cs="Calibri"/>
          <w:sz w:val="24"/>
          <w:szCs w:val="24"/>
          <w:lang w:val="en-GB"/>
        </w:rPr>
      </w:pPr>
      <w:bookmarkStart w:id="0" w:name="_heading=h.bgowjkrxpb30" w:colFirst="0" w:colLast="0"/>
      <w:bookmarkEnd w:id="0"/>
    </w:p>
    <w:p w14:paraId="1A125760" w14:textId="77777777" w:rsidR="0093291D" w:rsidRPr="00877EA6" w:rsidRDefault="00AA36A1">
      <w:pPr>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We thank the Committee on the Elimination of Discrimination against Women for this opportunity to address them during the second Guinea-Bissau Review. The focus of this report is the lack of legal protection for women victims of violence in the country, with emphasis on the lack of access to justice, institutional weaknesses and a culture of impunity. </w:t>
      </w:r>
    </w:p>
    <w:p w14:paraId="4CAEBB17" w14:textId="77777777" w:rsidR="0093291D" w:rsidRPr="00877EA6" w:rsidRDefault="00AA36A1">
      <w:pPr>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Our key recommendations to the Committee are respectfully noted at the end of each topic and highlighted within a box, as well as suggestions for questions to be asked to the State during the review.</w:t>
      </w:r>
    </w:p>
    <w:p w14:paraId="17D50454" w14:textId="77777777" w:rsidR="0093291D" w:rsidRPr="00877EA6" w:rsidRDefault="0093291D">
      <w:pPr>
        <w:jc w:val="both"/>
        <w:rPr>
          <w:rFonts w:ascii="Calibri" w:eastAsia="Times New Roman" w:hAnsi="Calibri" w:cs="Calibri"/>
          <w:sz w:val="24"/>
          <w:szCs w:val="24"/>
          <w:lang w:val="en-GB"/>
        </w:rPr>
      </w:pPr>
    </w:p>
    <w:p w14:paraId="6213BCB7" w14:textId="77777777" w:rsidR="0093291D" w:rsidRPr="00877EA6" w:rsidRDefault="00AA36A1">
      <w:pPr>
        <w:pStyle w:val="Heading3"/>
        <w:rPr>
          <w:rFonts w:ascii="Calibri" w:hAnsi="Calibri" w:cs="Calibri"/>
          <w:color w:val="auto"/>
          <w:lang w:val="en-GB"/>
        </w:rPr>
      </w:pPr>
      <w:bookmarkStart w:id="1" w:name="_heading=h.kjlb62qfguc3" w:colFirst="0" w:colLast="0"/>
      <w:bookmarkEnd w:id="1"/>
      <w:r w:rsidRPr="00877EA6">
        <w:rPr>
          <w:rFonts w:ascii="Calibri" w:hAnsi="Calibri" w:cs="Calibri"/>
          <w:color w:val="auto"/>
          <w:lang w:val="en-GB"/>
        </w:rPr>
        <w:t xml:space="preserve">Methodology </w:t>
      </w:r>
    </w:p>
    <w:p w14:paraId="2A3BAD25" w14:textId="7FDA285B"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This Alternative Report was prepared by the organizations listed below, based on a Workshop promoted by the </w:t>
      </w:r>
      <w:r w:rsidR="00877EA6" w:rsidRPr="00877EA6">
        <w:rPr>
          <w:rFonts w:ascii="Calibri" w:eastAsia="Times New Roman" w:hAnsi="Calibri" w:cs="Calibri"/>
          <w:sz w:val="24"/>
          <w:szCs w:val="24"/>
          <w:lang w:val="en-GB"/>
        </w:rPr>
        <w:t>Office of the</w:t>
      </w:r>
      <w:r w:rsidRPr="00877EA6">
        <w:rPr>
          <w:rFonts w:ascii="Calibri" w:eastAsia="Times New Roman" w:hAnsi="Calibri" w:cs="Calibri"/>
          <w:sz w:val="24"/>
          <w:szCs w:val="24"/>
          <w:lang w:val="en-GB"/>
        </w:rPr>
        <w:t xml:space="preserve"> High Commissioner for Human Rights in Bissau/Guinea-Bissau, within the framework of the project "</w:t>
      </w:r>
      <w:r w:rsidR="00877EA6" w:rsidRPr="00877EA6">
        <w:rPr>
          <w:rFonts w:ascii="Calibri" w:eastAsia="Times New Roman" w:hAnsi="Calibri" w:cs="Calibri"/>
          <w:sz w:val="24"/>
          <w:szCs w:val="24"/>
          <w:lang w:val="en-GB"/>
        </w:rPr>
        <w:t>Enhancing</w:t>
      </w:r>
      <w:r w:rsidRPr="00877EA6">
        <w:rPr>
          <w:rFonts w:ascii="Calibri" w:eastAsia="Times New Roman" w:hAnsi="Calibri" w:cs="Calibri"/>
          <w:sz w:val="24"/>
          <w:szCs w:val="24"/>
          <w:lang w:val="en-GB"/>
        </w:rPr>
        <w:t xml:space="preserve"> the Human Rights Protection System in Guinea-Bissau", financed by the Peacebuilding Fund and implemented by </w:t>
      </w:r>
      <w:r w:rsidR="00877EA6" w:rsidRPr="00877EA6">
        <w:rPr>
          <w:rFonts w:ascii="Calibri" w:eastAsia="Times New Roman" w:hAnsi="Calibri" w:cs="Calibri"/>
          <w:sz w:val="24"/>
          <w:szCs w:val="24"/>
          <w:lang w:val="en-GB"/>
        </w:rPr>
        <w:t>OHCHR,</w:t>
      </w:r>
      <w:r w:rsidRPr="00877EA6">
        <w:rPr>
          <w:rFonts w:ascii="Calibri" w:eastAsia="Times New Roman" w:hAnsi="Calibri" w:cs="Calibri"/>
          <w:sz w:val="24"/>
          <w:szCs w:val="24"/>
          <w:lang w:val="en-GB"/>
        </w:rPr>
        <w:t xml:space="preserve"> UNDP</w:t>
      </w:r>
      <w:r w:rsidR="00877EA6" w:rsidRPr="00877EA6">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 and UNICEF. The workshop, held between May 7 and 9, 2025, involved 19 local organizations and networks an</w:t>
      </w:r>
      <w:r w:rsidR="00877EA6" w:rsidRPr="00877EA6">
        <w:rPr>
          <w:rFonts w:ascii="Calibri" w:eastAsia="Times New Roman" w:hAnsi="Calibri" w:cs="Calibri"/>
          <w:sz w:val="24"/>
          <w:szCs w:val="24"/>
          <w:lang w:val="en-GB"/>
        </w:rPr>
        <w:t>d</w:t>
      </w:r>
      <w:r w:rsidRPr="00877EA6">
        <w:rPr>
          <w:rFonts w:ascii="Calibri" w:eastAsia="Times New Roman" w:hAnsi="Calibri" w:cs="Calibri"/>
          <w:sz w:val="24"/>
          <w:szCs w:val="24"/>
          <w:lang w:val="en-GB"/>
        </w:rPr>
        <w:t xml:space="preserve"> its main objective </w:t>
      </w:r>
      <w:r w:rsidR="00877EA6" w:rsidRPr="00877EA6">
        <w:rPr>
          <w:rFonts w:ascii="Calibri" w:eastAsia="Times New Roman" w:hAnsi="Calibri" w:cs="Calibri"/>
          <w:sz w:val="24"/>
          <w:szCs w:val="24"/>
          <w:lang w:val="en-GB"/>
        </w:rPr>
        <w:t xml:space="preserve">was </w:t>
      </w:r>
      <w:r w:rsidRPr="00877EA6">
        <w:rPr>
          <w:rFonts w:ascii="Calibri" w:eastAsia="Times New Roman" w:hAnsi="Calibri" w:cs="Calibri"/>
          <w:sz w:val="24"/>
          <w:szCs w:val="24"/>
          <w:lang w:val="en-GB"/>
        </w:rPr>
        <w:t xml:space="preserve">to strengthen the capacity of civil society organizations in the country to effectively influence the CEDAW Committee, contributing to the process of periodic review of the State. </w:t>
      </w:r>
    </w:p>
    <w:p w14:paraId="4E6E3729"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information presented here was widely discussed by the participating organisations </w:t>
      </w:r>
      <w:proofErr w:type="gramStart"/>
      <w:r w:rsidRPr="00877EA6">
        <w:rPr>
          <w:rFonts w:ascii="Calibri" w:eastAsia="Times New Roman" w:hAnsi="Calibri" w:cs="Calibri"/>
          <w:sz w:val="24"/>
          <w:szCs w:val="24"/>
          <w:lang w:val="en-GB"/>
        </w:rPr>
        <w:t>in order to</w:t>
      </w:r>
      <w:proofErr w:type="gramEnd"/>
      <w:r w:rsidRPr="00877EA6">
        <w:rPr>
          <w:rFonts w:ascii="Calibri" w:eastAsia="Times New Roman" w:hAnsi="Calibri" w:cs="Calibri"/>
          <w:sz w:val="24"/>
          <w:szCs w:val="24"/>
          <w:lang w:val="en-GB"/>
        </w:rPr>
        <w:t xml:space="preserve"> choose the best way to address each of the themes, as well as the priority issues. In addition, they are based on the daily work of organizations in </w:t>
      </w:r>
      <w:proofErr w:type="spellStart"/>
      <w:r w:rsidRPr="00877EA6">
        <w:rPr>
          <w:rFonts w:ascii="Calibri" w:eastAsia="Times New Roman" w:hAnsi="Calibri" w:cs="Calibri"/>
          <w:sz w:val="24"/>
          <w:szCs w:val="24"/>
          <w:lang w:val="en-GB"/>
        </w:rPr>
        <w:t>favor</w:t>
      </w:r>
      <w:proofErr w:type="spellEnd"/>
      <w:r w:rsidRPr="00877EA6">
        <w:rPr>
          <w:rFonts w:ascii="Calibri" w:eastAsia="Times New Roman" w:hAnsi="Calibri" w:cs="Calibri"/>
          <w:sz w:val="24"/>
          <w:szCs w:val="24"/>
          <w:lang w:val="en-GB"/>
        </w:rPr>
        <w:t xml:space="preserve"> of the rights of women and girls in the country, in their reports, research and complaints. </w:t>
      </w:r>
    </w:p>
    <w:p w14:paraId="75470E1C" w14:textId="77777777" w:rsidR="0093291D" w:rsidRPr="00877EA6" w:rsidRDefault="0093291D">
      <w:pPr>
        <w:rPr>
          <w:rFonts w:ascii="Calibri" w:hAnsi="Calibri" w:cs="Calibri"/>
          <w:b/>
          <w:lang w:val="en-GB"/>
        </w:rPr>
      </w:pPr>
    </w:p>
    <w:p w14:paraId="41F54FCB" w14:textId="77777777" w:rsidR="0093291D" w:rsidRPr="00877EA6" w:rsidRDefault="00AA36A1">
      <w:pPr>
        <w:pStyle w:val="Heading3"/>
        <w:rPr>
          <w:rFonts w:ascii="Calibri" w:hAnsi="Calibri" w:cs="Calibri"/>
          <w:color w:val="auto"/>
          <w:lang w:val="en-GB"/>
        </w:rPr>
      </w:pPr>
      <w:bookmarkStart w:id="2" w:name="_heading=h.rq57w8itb391" w:colFirst="0" w:colLast="0"/>
      <w:bookmarkEnd w:id="2"/>
      <w:r w:rsidRPr="00877EA6">
        <w:rPr>
          <w:rFonts w:ascii="Calibri" w:hAnsi="Calibri" w:cs="Calibri"/>
          <w:color w:val="auto"/>
          <w:lang w:val="en-GB"/>
        </w:rPr>
        <w:lastRenderedPageBreak/>
        <w:t xml:space="preserve">Signatory organizations </w:t>
      </w:r>
    </w:p>
    <w:p w14:paraId="7B02EFE4" w14:textId="6CD95595" w:rsidR="0093291D" w:rsidRPr="00877EA6" w:rsidRDefault="00AA36A1">
      <w:pPr>
        <w:spacing w:before="240" w:after="240" w:line="288" w:lineRule="auto"/>
        <w:jc w:val="both"/>
        <w:rPr>
          <w:rFonts w:ascii="Calibri" w:eastAsia="Times New Roman" w:hAnsi="Calibri" w:cs="Calibri"/>
          <w:b/>
          <w:sz w:val="24"/>
          <w:szCs w:val="24"/>
          <w:lang w:val="en-GB"/>
        </w:rPr>
      </w:pPr>
      <w:bookmarkStart w:id="3" w:name="_heading=h.qu50skt4ry8i" w:colFirst="0" w:colLast="0"/>
      <w:bookmarkEnd w:id="3"/>
      <w:r w:rsidRPr="00877EA6">
        <w:rPr>
          <w:rFonts w:ascii="Calibri" w:eastAsia="Times New Roman" w:hAnsi="Calibri" w:cs="Calibri"/>
          <w:b/>
          <w:sz w:val="24"/>
          <w:szCs w:val="24"/>
          <w:lang w:val="en-GB"/>
        </w:rPr>
        <w:t xml:space="preserve">YOUTH ASSOCIATION FOR THE PROMOTION AND DEFENSE OF HUMAN RIGHTS (AJPDH):  </w:t>
      </w:r>
      <w:r w:rsidRPr="00877EA6">
        <w:rPr>
          <w:rFonts w:ascii="Calibri" w:eastAsia="Times New Roman" w:hAnsi="Calibri" w:cs="Calibri"/>
          <w:sz w:val="24"/>
          <w:szCs w:val="24"/>
          <w:lang w:val="en-GB"/>
        </w:rPr>
        <w:t xml:space="preserve">The AJPDH is a Guinean, non-governmental and non-profit youth organization dedicated to the promotion and </w:t>
      </w:r>
      <w:r w:rsidR="00877EA6" w:rsidRPr="00877EA6">
        <w:rPr>
          <w:rFonts w:ascii="Calibri" w:eastAsia="Times New Roman" w:hAnsi="Calibri" w:cs="Calibri"/>
          <w:sz w:val="24"/>
          <w:szCs w:val="24"/>
          <w:lang w:val="en-GB"/>
        </w:rPr>
        <w:t>defence</w:t>
      </w:r>
      <w:r w:rsidRPr="00877EA6">
        <w:rPr>
          <w:rFonts w:ascii="Calibri" w:eastAsia="Times New Roman" w:hAnsi="Calibri" w:cs="Calibri"/>
          <w:sz w:val="24"/>
          <w:szCs w:val="24"/>
          <w:lang w:val="en-GB"/>
        </w:rPr>
        <w:t xml:space="preserve"> of human rights, with a special focus on youth. It operates throughout the national territory through awareness-raising, training and advocacy actions, promoting values such as justice, freedom, equality and civic participation. The association fights gender-based violence, including early marriage and female genital mutilation, defends the rights of people with disabilities and promotes social inclusion. It also intervenes in the areas of citizenship, education, environment, volunteering and children's rights. The AJPDH trains young leaders and collaborates with national and international partners to strengthen its mission and contribute to the development of Guinea-Bissau. </w:t>
      </w:r>
    </w:p>
    <w:p w14:paraId="3AB9F32B" w14:textId="196E34BB" w:rsidR="0093291D" w:rsidRPr="00877EA6" w:rsidRDefault="00AA36A1">
      <w:pPr>
        <w:spacing w:before="240" w:after="240" w:line="288" w:lineRule="auto"/>
        <w:jc w:val="both"/>
        <w:rPr>
          <w:rFonts w:ascii="Calibri" w:eastAsia="Times New Roman" w:hAnsi="Calibri" w:cs="Calibri"/>
          <w:sz w:val="24"/>
          <w:szCs w:val="24"/>
          <w:lang w:val="en-GB"/>
        </w:rPr>
      </w:pPr>
      <w:bookmarkStart w:id="4" w:name="_heading=h.5o0us938tpk1" w:colFirst="0" w:colLast="0"/>
      <w:bookmarkEnd w:id="4"/>
      <w:r w:rsidRPr="00877EA6">
        <w:rPr>
          <w:rFonts w:ascii="Calibri" w:eastAsia="Times New Roman" w:hAnsi="Calibri" w:cs="Calibri"/>
          <w:b/>
          <w:sz w:val="24"/>
          <w:szCs w:val="24"/>
          <w:lang w:val="en-GB"/>
        </w:rPr>
        <w:t xml:space="preserve">GUINEAN ASSOCIATION OF WOMEN JURISTS (AGMJ): </w:t>
      </w:r>
      <w:r w:rsidRPr="00877EA6">
        <w:rPr>
          <w:rFonts w:ascii="Calibri" w:eastAsia="Times New Roman" w:hAnsi="Calibri" w:cs="Calibri"/>
          <w:sz w:val="24"/>
          <w:szCs w:val="24"/>
          <w:lang w:val="en-GB"/>
        </w:rPr>
        <w:t xml:space="preserve">is a civil society organization composed of women lawyers and legal professionals from Guinea-Bissau, dedicated to the promotion of women's rights, gender equality and access to justice. The AGMJ works on several fronts, such as defending </w:t>
      </w:r>
      <w:r w:rsidR="00C16A30" w:rsidRPr="00877EA6">
        <w:rPr>
          <w:rFonts w:ascii="Calibri" w:eastAsia="Times New Roman" w:hAnsi="Calibri" w:cs="Calibri"/>
          <w:sz w:val="24"/>
          <w:szCs w:val="24"/>
          <w:lang w:val="en-GB"/>
        </w:rPr>
        <w:t>constitutionalising</w:t>
      </w:r>
      <w:r w:rsidRPr="00877EA6">
        <w:rPr>
          <w:rFonts w:ascii="Calibri" w:eastAsia="Times New Roman" w:hAnsi="Calibri" w:cs="Calibri"/>
          <w:sz w:val="24"/>
          <w:szCs w:val="24"/>
          <w:lang w:val="en-GB"/>
        </w:rPr>
        <w:t xml:space="preserve"> gender equality, protecting women's rights in marriage, work and access to land, as well as the fight against harmful practices such as female genital mutilation. She has actively participated in legislative processes, promoted debates on gender justice and integrated international networks, such as the International Federation of Women in Legal Careers. </w:t>
      </w:r>
    </w:p>
    <w:p w14:paraId="0AB27D7C" w14:textId="77777777" w:rsidR="0093291D" w:rsidRPr="00877EA6" w:rsidRDefault="00AA36A1">
      <w:pPr>
        <w:spacing w:before="240" w:after="240" w:line="288" w:lineRule="auto"/>
        <w:jc w:val="both"/>
        <w:rPr>
          <w:rFonts w:ascii="Calibri" w:eastAsia="Times New Roman" w:hAnsi="Calibri" w:cs="Calibri"/>
          <w:sz w:val="24"/>
          <w:szCs w:val="24"/>
          <w:lang w:val="en-GB"/>
        </w:rPr>
      </w:pPr>
      <w:bookmarkStart w:id="5" w:name="_heading=h.ugb69fvg4b7b" w:colFirst="0" w:colLast="0"/>
      <w:bookmarkEnd w:id="5"/>
      <w:r w:rsidRPr="00877EA6">
        <w:rPr>
          <w:rFonts w:ascii="Calibri" w:eastAsia="Times New Roman" w:hAnsi="Calibri" w:cs="Calibri"/>
          <w:b/>
          <w:sz w:val="24"/>
          <w:szCs w:val="24"/>
          <w:lang w:val="en-GB"/>
        </w:rPr>
        <w:t>GUINEA-BISSAU HUMAN RIGHTS DEFENDERS NETWORK / RDDH-GB:</w:t>
      </w:r>
      <w:r w:rsidRPr="00877EA6">
        <w:rPr>
          <w:rFonts w:ascii="Calibri" w:eastAsia="Times New Roman" w:hAnsi="Calibri" w:cs="Calibri"/>
          <w:sz w:val="24"/>
          <w:szCs w:val="24"/>
          <w:lang w:val="en-GB"/>
        </w:rPr>
        <w:t xml:space="preserve"> Founded in 2013, the RDDH-GB is a civil society organization that aims to promote and defend the rights of human rights defenders in the country. With administrative, financial, and patrimonial autonomy, the network works to train defenders, monitor the human rights situation, and support defenders in vulnerable situations. In addition, she is a member of the West African Network of Human Rights Defenders (WAHRDN) and works in accordance with international standards for the protection of human rights defenders.  </w:t>
      </w:r>
    </w:p>
    <w:p w14:paraId="7C84AEBF" w14:textId="77777777" w:rsidR="0093291D" w:rsidRPr="00877EA6" w:rsidRDefault="00AA36A1">
      <w:pPr>
        <w:spacing w:before="240" w:after="240" w:line="288" w:lineRule="auto"/>
        <w:jc w:val="both"/>
        <w:rPr>
          <w:rFonts w:ascii="Calibri" w:eastAsia="Times New Roman" w:hAnsi="Calibri" w:cs="Calibri"/>
          <w:b/>
          <w:sz w:val="24"/>
          <w:szCs w:val="24"/>
          <w:lang w:val="en-GB"/>
        </w:rPr>
      </w:pPr>
      <w:bookmarkStart w:id="6" w:name="_heading=h.dmrubsjka5ft" w:colFirst="0" w:colLast="0"/>
      <w:bookmarkEnd w:id="6"/>
      <w:r w:rsidRPr="00877EA6">
        <w:rPr>
          <w:rFonts w:ascii="Calibri" w:eastAsia="Times New Roman" w:hAnsi="Calibri" w:cs="Calibri"/>
          <w:b/>
          <w:sz w:val="24"/>
          <w:szCs w:val="24"/>
          <w:lang w:val="en-GB"/>
        </w:rPr>
        <w:t xml:space="preserve">NATIONAL NETWORK OF WOMEN WITH DISABILITIES:  </w:t>
      </w:r>
      <w:r w:rsidRPr="00877EA6">
        <w:rPr>
          <w:rFonts w:ascii="Calibri" w:eastAsia="Times New Roman" w:hAnsi="Calibri" w:cs="Calibri"/>
          <w:sz w:val="24"/>
          <w:szCs w:val="24"/>
          <w:lang w:val="en-GB"/>
        </w:rPr>
        <w:t xml:space="preserve">This network is made up of women with disabilities who seek to promote the inclusion and rights of women with disabilities in the country. The network works to raise awareness about the issues faced by these women, to promote their full and effective participation in society, and to advocate for public policies that guarantee their rights, including access to education, health, employment, and political participation. </w:t>
      </w:r>
    </w:p>
    <w:p w14:paraId="0930D824" w14:textId="77777777" w:rsidR="0093291D" w:rsidRPr="00877EA6" w:rsidRDefault="00AA36A1">
      <w:pPr>
        <w:spacing w:before="240" w:after="240" w:line="288" w:lineRule="auto"/>
        <w:jc w:val="both"/>
        <w:rPr>
          <w:rFonts w:ascii="Calibri" w:eastAsia="Times New Roman" w:hAnsi="Calibri" w:cs="Calibri"/>
          <w:sz w:val="24"/>
          <w:szCs w:val="24"/>
          <w:lang w:val="en-GB"/>
        </w:rPr>
      </w:pPr>
      <w:bookmarkStart w:id="7" w:name="_heading=h.6y1amvq3tnfo" w:colFirst="0" w:colLast="0"/>
      <w:bookmarkEnd w:id="7"/>
      <w:r w:rsidRPr="00877EA6">
        <w:rPr>
          <w:rFonts w:ascii="Calibri" w:eastAsia="Times New Roman" w:hAnsi="Calibri" w:cs="Calibri"/>
          <w:b/>
          <w:sz w:val="24"/>
          <w:szCs w:val="24"/>
          <w:lang w:val="en-GB"/>
        </w:rPr>
        <w:t>NATIONAL NETWORK FOR THE FIGHT AGAINST GENDER-BASED VIOLENCE AND CHILDREN IN GUINEA-BISSAU (RENLUV – GC/GB):</w:t>
      </w:r>
      <w:r w:rsidRPr="00877EA6">
        <w:rPr>
          <w:rFonts w:ascii="Calibri" w:eastAsia="Times New Roman" w:hAnsi="Calibri" w:cs="Calibri"/>
          <w:sz w:val="24"/>
          <w:szCs w:val="24"/>
          <w:lang w:val="en-GB"/>
        </w:rPr>
        <w:t xml:space="preserve">  is a network of non-governmental organizations that works against gender-based violence and promotes access to justice </w:t>
      </w:r>
      <w:r w:rsidRPr="00877EA6">
        <w:rPr>
          <w:rFonts w:ascii="Calibri" w:eastAsia="Times New Roman" w:hAnsi="Calibri" w:cs="Calibri"/>
          <w:sz w:val="24"/>
          <w:szCs w:val="24"/>
          <w:lang w:val="en-GB"/>
        </w:rPr>
        <w:lastRenderedPageBreak/>
        <w:t>in Guinea-Bissau. The network works to raise awareness, training, advocate, prevent, protect and monitor gender-based violence and child violence, in addition to offering support to victims and promoting public policies aimed at gender equality and child protection.</w:t>
      </w:r>
    </w:p>
    <w:p w14:paraId="0EE2AB97" w14:textId="77777777" w:rsidR="0093291D" w:rsidRPr="00877EA6" w:rsidRDefault="00AA36A1">
      <w:pPr>
        <w:pStyle w:val="Heading1"/>
        <w:jc w:val="both"/>
        <w:rPr>
          <w:rFonts w:ascii="Calibri" w:hAnsi="Calibri" w:cs="Calibri"/>
          <w:b/>
          <w:color w:val="auto"/>
          <w:lang w:val="en-GB"/>
        </w:rPr>
      </w:pPr>
      <w:bookmarkStart w:id="8" w:name="_heading=h.3h4bmctjeu50" w:colFirst="0" w:colLast="0"/>
      <w:bookmarkEnd w:id="8"/>
      <w:r w:rsidRPr="00877EA6">
        <w:rPr>
          <w:rFonts w:ascii="Calibri" w:hAnsi="Calibri" w:cs="Calibri"/>
          <w:b/>
          <w:color w:val="auto"/>
          <w:lang w:val="en-GB"/>
        </w:rPr>
        <w:t xml:space="preserve">Lack of legal protection for women victims of violence </w:t>
      </w:r>
    </w:p>
    <w:p w14:paraId="28DD7056"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scenario presented by the signatory organizations in the Report on "Different forms of gender-based violence against women and girls in Guinea-Bissau" recurrently shows and in relation to all forms of violence, a picture of lack of legal protection, lack of access to justice and impunity, associated with different factors: </w:t>
      </w:r>
    </w:p>
    <w:p w14:paraId="522B5AB9" w14:textId="77777777" w:rsidR="0093291D" w:rsidRPr="00877EA6" w:rsidRDefault="00AA36A1">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public police and justice services are concentrated in the </w:t>
      </w:r>
      <w:proofErr w:type="gramStart"/>
      <w:r w:rsidRPr="00877EA6">
        <w:rPr>
          <w:rFonts w:ascii="Calibri" w:eastAsia="Times New Roman" w:hAnsi="Calibri" w:cs="Calibri"/>
          <w:sz w:val="24"/>
          <w:szCs w:val="24"/>
          <w:lang w:val="en-GB"/>
        </w:rPr>
        <w:t>capital;</w:t>
      </w:r>
      <w:proofErr w:type="gramEnd"/>
      <w:r w:rsidRPr="00877EA6">
        <w:rPr>
          <w:rFonts w:ascii="Calibri" w:eastAsia="Times New Roman" w:hAnsi="Calibri" w:cs="Calibri"/>
          <w:sz w:val="24"/>
          <w:szCs w:val="24"/>
          <w:lang w:val="en-GB"/>
        </w:rPr>
        <w:t xml:space="preserve"> </w:t>
      </w:r>
    </w:p>
    <w:p w14:paraId="64444FFC" w14:textId="1EFF7CC7" w:rsidR="0093291D" w:rsidRPr="00877EA6" w:rsidRDefault="00AA36A1">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naturalization of the different types of violence against women and girls and their wide social acceptance also affect public agents, who often act in collusion with aggressors, corroborate the private nature of violence to the detriment of its social nature of public order, reinforce and legitimize social and cultural practices based on gender stereotypes,  submission and inferiority of women, act with violence and stigmatization in relation to the women who denounce, and, in this way, legitimize violence and practice institutional violence; </w:t>
      </w:r>
    </w:p>
    <w:p w14:paraId="2BBD5C27" w14:textId="77777777" w:rsidR="0093291D" w:rsidRPr="00877EA6" w:rsidRDefault="00AA36A1">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Lack of preparation of agents of the security forces and the justice system to welcome victims and effectively comply with legislation that criminalizes different forms of </w:t>
      </w:r>
      <w:proofErr w:type="gramStart"/>
      <w:r w:rsidRPr="00877EA6">
        <w:rPr>
          <w:rFonts w:ascii="Calibri" w:eastAsia="Times New Roman" w:hAnsi="Calibri" w:cs="Calibri"/>
          <w:sz w:val="24"/>
          <w:szCs w:val="24"/>
          <w:lang w:val="en-GB"/>
        </w:rPr>
        <w:t>violence;</w:t>
      </w:r>
      <w:proofErr w:type="gramEnd"/>
      <w:r w:rsidRPr="00877EA6">
        <w:rPr>
          <w:rFonts w:ascii="Calibri" w:eastAsia="Times New Roman" w:hAnsi="Calibri" w:cs="Calibri"/>
          <w:sz w:val="24"/>
          <w:szCs w:val="24"/>
          <w:lang w:val="en-GB"/>
        </w:rPr>
        <w:t xml:space="preserve"> </w:t>
      </w:r>
    </w:p>
    <w:p w14:paraId="1A850356" w14:textId="77777777" w:rsidR="0093291D" w:rsidRPr="00877EA6" w:rsidRDefault="00AA36A1">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Lack of effective diligence in the investigation and punishment of aggressors and unjustified delay in judicial </w:t>
      </w:r>
      <w:proofErr w:type="gramStart"/>
      <w:r w:rsidRPr="00877EA6">
        <w:rPr>
          <w:rFonts w:ascii="Calibri" w:eastAsia="Times New Roman" w:hAnsi="Calibri" w:cs="Calibri"/>
          <w:sz w:val="24"/>
          <w:szCs w:val="24"/>
          <w:lang w:val="en-GB"/>
        </w:rPr>
        <w:t>proceedings;</w:t>
      </w:r>
      <w:proofErr w:type="gramEnd"/>
      <w:r w:rsidRPr="00877EA6">
        <w:rPr>
          <w:rFonts w:ascii="Calibri" w:eastAsia="Times New Roman" w:hAnsi="Calibri" w:cs="Calibri"/>
          <w:sz w:val="24"/>
          <w:szCs w:val="24"/>
          <w:lang w:val="en-GB"/>
        </w:rPr>
        <w:t xml:space="preserve">  </w:t>
      </w:r>
    </w:p>
    <w:p w14:paraId="7BDDB26F" w14:textId="77777777" w:rsidR="0093291D" w:rsidRPr="00877EA6" w:rsidRDefault="00AA36A1">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Low rates of reporting compared to high rates of violence and low case processing, among others.  </w:t>
      </w:r>
    </w:p>
    <w:p w14:paraId="0313555F"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These elements explain the widespread perception in society and among social organizations that work in the area that in Guinea-Bissau </w:t>
      </w:r>
      <w:r w:rsidRPr="00877EA6">
        <w:rPr>
          <w:rFonts w:ascii="Calibri" w:eastAsia="Times New Roman" w:hAnsi="Calibri" w:cs="Calibri"/>
          <w:b/>
          <w:sz w:val="24"/>
          <w:szCs w:val="24"/>
          <w:lang w:val="en-GB"/>
        </w:rPr>
        <w:t>the justice system does not work for women victims of violence</w:t>
      </w:r>
      <w:r w:rsidRPr="00877EA6">
        <w:rPr>
          <w:rFonts w:ascii="Calibri" w:eastAsia="Times New Roman" w:hAnsi="Calibri" w:cs="Calibri"/>
          <w:sz w:val="24"/>
          <w:szCs w:val="24"/>
          <w:lang w:val="en-GB"/>
        </w:rPr>
        <w:t xml:space="preserve">. </w:t>
      </w:r>
    </w:p>
    <w:p w14:paraId="17BED988" w14:textId="634EA0EB"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Thus, in addition to the lack of dissemination of the content of the laws that combat gender violence in the country and the resistance found within society itself, expressed in different ways, it is essential to recognize that the application of these laws encounters obstacles within the very institutions that should, with greater </w:t>
      </w:r>
      <w:r w:rsidRPr="00877EA6">
        <w:rPr>
          <w:rFonts w:ascii="Calibri" w:eastAsia="Times New Roman" w:hAnsi="Calibri" w:cs="Calibri"/>
          <w:sz w:val="24"/>
          <w:szCs w:val="24"/>
          <w:lang w:val="en-GB"/>
        </w:rPr>
        <w:lastRenderedPageBreak/>
        <w:t xml:space="preserve">responsibility, ensure the application of the legislation, in this case:  agents of the security forces and the justice system. </w:t>
      </w:r>
    </w:p>
    <w:p w14:paraId="0FABFCD8"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Regarding Access to Justice, the CEDAW Committee has previously expressed concern about the limitations faced by women in Guinea-Bissau to access justice and claim their rights, including those guaranteed by the Convention, due to institutional barriers, lack of legal knowledge, and low visibility of CEDAW in the country. On that occasion, she recommended that the State eliminate all obstacles that hinder women's access to the judicial system and adopt specific measures to expand legal education and knowledge of rights by women. </w:t>
      </w:r>
    </w:p>
    <w:p w14:paraId="540FAB0E" w14:textId="33D31A75"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addition, the Committee urged the State to integrate the Convention and legislation related to gender equality into legal training curricula, covering judges, prosecutors, lawyers, police officers, civil servants, and community leaders, with the aim of creating an institutional culture committed to equality and non-discrimination. And it recommended wide dissemination of CEDAW, including in Creole and other local languages, to ensure that the </w:t>
      </w:r>
      <w:r w:rsidR="0025793E" w:rsidRPr="00877EA6">
        <w:rPr>
          <w:rFonts w:ascii="Calibri" w:eastAsia="Times New Roman" w:hAnsi="Calibri" w:cs="Calibri"/>
          <w:sz w:val="24"/>
          <w:szCs w:val="24"/>
          <w:lang w:val="en-GB"/>
        </w:rPr>
        <w:t>public</w:t>
      </w:r>
      <w:r w:rsidRPr="00877EA6">
        <w:rPr>
          <w:rFonts w:ascii="Calibri" w:eastAsia="Times New Roman" w:hAnsi="Calibri" w:cs="Calibri"/>
          <w:sz w:val="24"/>
          <w:szCs w:val="24"/>
          <w:lang w:val="en-GB"/>
        </w:rPr>
        <w:t xml:space="preserve">, especially women, know their rights. </w:t>
      </w:r>
    </w:p>
    <w:p w14:paraId="782227F3" w14:textId="2EDB52DE"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w:t>
      </w:r>
      <w:r w:rsidR="0025793E" w:rsidRPr="00877EA6">
        <w:rPr>
          <w:rFonts w:ascii="Calibri" w:eastAsia="Times New Roman" w:hAnsi="Calibri" w:cs="Calibri"/>
          <w:sz w:val="24"/>
          <w:szCs w:val="24"/>
          <w:lang w:val="en-GB"/>
        </w:rPr>
        <w:t>analysing</w:t>
      </w:r>
      <w:r w:rsidRPr="00877EA6">
        <w:rPr>
          <w:rFonts w:ascii="Calibri" w:eastAsia="Times New Roman" w:hAnsi="Calibri" w:cs="Calibri"/>
          <w:sz w:val="24"/>
          <w:szCs w:val="24"/>
          <w:lang w:val="en-GB"/>
        </w:rPr>
        <w:t xml:space="preserve"> violence against women, the Committee emphasized the need to </w:t>
      </w:r>
      <w:r w:rsidRPr="00877EA6">
        <w:rPr>
          <w:rFonts w:ascii="Calibri" w:eastAsia="Times New Roman" w:hAnsi="Calibri" w:cs="Calibri"/>
          <w:b/>
          <w:sz w:val="24"/>
          <w:szCs w:val="24"/>
          <w:lang w:val="en-GB"/>
        </w:rPr>
        <w:t>train professionals in the justice system and public security forces</w:t>
      </w:r>
      <w:r w:rsidRPr="00877EA6">
        <w:rPr>
          <w:rFonts w:ascii="Calibri" w:eastAsia="Times New Roman" w:hAnsi="Calibri" w:cs="Calibri"/>
          <w:sz w:val="24"/>
          <w:szCs w:val="24"/>
          <w:lang w:val="en-GB"/>
        </w:rPr>
        <w:t xml:space="preserve"> — such as judges, police officers, social workers, and health professionals — to act effectively, quickly, and sensitively on gender issues. This includes </w:t>
      </w:r>
      <w:r w:rsidRPr="00877EA6">
        <w:rPr>
          <w:rFonts w:ascii="Calibri" w:eastAsia="Times New Roman" w:hAnsi="Calibri" w:cs="Calibri"/>
          <w:b/>
          <w:sz w:val="24"/>
          <w:szCs w:val="24"/>
          <w:lang w:val="en-GB"/>
        </w:rPr>
        <w:t>properly investigating cases, prosecuting and punishing perpetrators</w:t>
      </w:r>
      <w:r w:rsidRPr="00877EA6">
        <w:rPr>
          <w:rFonts w:ascii="Calibri" w:eastAsia="Times New Roman" w:hAnsi="Calibri" w:cs="Calibri"/>
          <w:sz w:val="24"/>
          <w:szCs w:val="24"/>
          <w:lang w:val="en-GB"/>
        </w:rPr>
        <w:t xml:space="preserve">, as well as </w:t>
      </w:r>
      <w:r w:rsidRPr="00877EA6">
        <w:rPr>
          <w:rFonts w:ascii="Calibri" w:eastAsia="Times New Roman" w:hAnsi="Calibri" w:cs="Calibri"/>
          <w:b/>
          <w:sz w:val="24"/>
          <w:szCs w:val="24"/>
          <w:lang w:val="en-GB"/>
        </w:rPr>
        <w:t>ensuring legal, medical and psychological support for victims</w:t>
      </w:r>
      <w:r w:rsidRPr="00877EA6">
        <w:rPr>
          <w:rFonts w:ascii="Calibri" w:eastAsia="Times New Roman" w:hAnsi="Calibri" w:cs="Calibri"/>
          <w:sz w:val="24"/>
          <w:szCs w:val="24"/>
          <w:lang w:val="en-GB"/>
        </w:rPr>
        <w:t>. It also recommended that the State provide detailed information on policies, laws and programs implemented, as well as data on the prevalence and response to the various forms of violence against women.</w:t>
      </w:r>
    </w:p>
    <w:p w14:paraId="51639CBF" w14:textId="044244EE" w:rsidR="0093291D" w:rsidRPr="00877EA6" w:rsidRDefault="001B030A">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In the National Report on the Implementation of the Beijing Declaration and Platform for Action, prepared by the Ministry of Women, Family and Social Solidarity, the State recognizes that "</w:t>
      </w:r>
      <w:r w:rsidRPr="00877EA6">
        <w:rPr>
          <w:rFonts w:ascii="Calibri" w:eastAsia="Times New Roman" w:hAnsi="Calibri" w:cs="Calibri"/>
          <w:i/>
          <w:sz w:val="24"/>
          <w:szCs w:val="24"/>
          <w:lang w:val="en-GB"/>
        </w:rPr>
        <w:t>impunity and lack of trust in judicial institutions make it difficult to report and effectively deal with cases of violence</w:t>
      </w:r>
      <w:r w:rsidRPr="00877EA6">
        <w:rPr>
          <w:rFonts w:ascii="Calibri" w:eastAsia="Times New Roman" w:hAnsi="Calibri" w:cs="Calibri"/>
          <w:sz w:val="24"/>
          <w:szCs w:val="24"/>
          <w:lang w:val="en-GB"/>
        </w:rPr>
        <w:t>" (para. 42).</w:t>
      </w:r>
    </w:p>
    <w:p w14:paraId="758134CF" w14:textId="77777777" w:rsidR="0093291D" w:rsidRPr="00877EA6" w:rsidRDefault="00AA36A1">
      <w:pPr>
        <w:spacing w:before="240" w:after="240" w:line="288" w:lineRule="auto"/>
        <w:jc w:val="both"/>
        <w:rPr>
          <w:rFonts w:ascii="Calibri" w:eastAsia="Times New Roman" w:hAnsi="Calibri" w:cs="Calibri"/>
          <w:b/>
          <w:sz w:val="24"/>
          <w:szCs w:val="24"/>
          <w:lang w:val="en-GB"/>
        </w:rPr>
      </w:pPr>
      <w:r w:rsidRPr="00877EA6">
        <w:rPr>
          <w:rFonts w:ascii="Calibri" w:eastAsia="Times New Roman" w:hAnsi="Calibri" w:cs="Calibri"/>
          <w:sz w:val="24"/>
          <w:szCs w:val="24"/>
          <w:lang w:val="en-GB"/>
        </w:rPr>
        <w:t xml:space="preserve">This is not a new topic when it comes to confronting GBV. The Convention on the Elimination of All Forms of Discrimination against Women (CEDAW) recognizes access to justice as an essential component of human rights and sets out guidelines that Member States must follow to ensure gender equality in the justice system. Among these guidelines, </w:t>
      </w:r>
      <w:r w:rsidRPr="00877EA6">
        <w:rPr>
          <w:rFonts w:ascii="Calibri" w:eastAsia="Times New Roman" w:hAnsi="Calibri" w:cs="Calibri"/>
          <w:b/>
          <w:sz w:val="24"/>
          <w:szCs w:val="24"/>
          <w:lang w:val="en-GB"/>
        </w:rPr>
        <w:t>the need for justice to be applied impartially, without any form of discrimination, ensuring that women and men are treated equally before the law, stands out</w:t>
      </w:r>
      <w:r w:rsidRPr="00877EA6">
        <w:rPr>
          <w:rFonts w:ascii="Calibri" w:eastAsia="Times New Roman" w:hAnsi="Calibri" w:cs="Calibri"/>
          <w:sz w:val="24"/>
          <w:szCs w:val="24"/>
          <w:lang w:val="en-GB"/>
        </w:rPr>
        <w:t xml:space="preserve">. The Convention also reinforces that it is </w:t>
      </w:r>
      <w:r w:rsidRPr="00877EA6">
        <w:rPr>
          <w:rFonts w:ascii="Calibri" w:eastAsia="Times New Roman" w:hAnsi="Calibri" w:cs="Calibri"/>
          <w:b/>
          <w:sz w:val="24"/>
          <w:szCs w:val="24"/>
          <w:lang w:val="en-GB"/>
        </w:rPr>
        <w:t xml:space="preserve">the responsibility of States to ensure that all women can access judicial mechanisms that are effective, accessible and adapted to their realities. </w:t>
      </w:r>
    </w:p>
    <w:p w14:paraId="78D3D8D7"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lastRenderedPageBreak/>
        <w:t xml:space="preserve">Another relevant aspect is the promotion of women's participation in all instances of the justice system, including positions such as magistrates, judges, lawyers, and other legal functions, which contributes to a more representative and equitable justice. </w:t>
      </w:r>
    </w:p>
    <w:p w14:paraId="7232A2D1"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addition, CEDAW requires States to adopt concrete measures to address gender-based violence, through effective investigations, punishment of perpetrators and protection of victims, covering situations such as domestic violence, sexual abuse, female genital mutilation and forced marriages. </w:t>
      </w:r>
    </w:p>
    <w:p w14:paraId="1B9D2FBA"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Complementing these guidelines, the CEDAW Committee, through General Recommendation No. 33 of 2015, reinforces the importance of expanding the reach of justice, especially in remote regions, ensuring that all women have real and effective access to their rights. The Committee also warns about the negative impacts of gender stereotypes, which often hinder or prevent women's access to justice, being even more harmful in cases of gender-based violence. Therefore, it is recommended that States promote awareness campaigns and training programs aimed at eliminating these stereotypes within the judicial system.</w:t>
      </w:r>
    </w:p>
    <w:p w14:paraId="783CB986"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Indeed, in emblematic cases of violence against women brought to the international level, this has been a central aspect. As an example, in the analysis of the Maria da Penha case against Brazil, the Inter-American Commission on Human Rights identified a </w:t>
      </w:r>
      <w:r w:rsidRPr="00877EA6">
        <w:rPr>
          <w:rFonts w:ascii="Calibri" w:eastAsia="Times New Roman" w:hAnsi="Calibri" w:cs="Calibri"/>
          <w:b/>
          <w:sz w:val="24"/>
          <w:szCs w:val="24"/>
          <w:lang w:val="en-GB"/>
        </w:rPr>
        <w:t>state tolerance of domestic violence</w:t>
      </w:r>
      <w:r w:rsidRPr="00877EA6">
        <w:rPr>
          <w:rFonts w:ascii="Calibri" w:eastAsia="Times New Roman" w:hAnsi="Calibri" w:cs="Calibri"/>
          <w:sz w:val="24"/>
          <w:szCs w:val="24"/>
          <w:lang w:val="en-GB"/>
        </w:rPr>
        <w:t xml:space="preserve">, evidenced by </w:t>
      </w:r>
      <w:r w:rsidRPr="00877EA6">
        <w:rPr>
          <w:rFonts w:ascii="Calibri" w:eastAsia="Times New Roman" w:hAnsi="Calibri" w:cs="Calibri"/>
          <w:b/>
          <w:sz w:val="24"/>
          <w:szCs w:val="24"/>
          <w:lang w:val="en-GB"/>
        </w:rPr>
        <w:t>systematic negligence</w:t>
      </w:r>
      <w:r w:rsidRPr="00877EA6">
        <w:rPr>
          <w:rFonts w:ascii="Calibri" w:eastAsia="Times New Roman" w:hAnsi="Calibri" w:cs="Calibri"/>
          <w:sz w:val="24"/>
          <w:szCs w:val="24"/>
          <w:lang w:val="en-GB"/>
        </w:rPr>
        <w:t xml:space="preserve"> and </w:t>
      </w:r>
      <w:r w:rsidRPr="00877EA6">
        <w:rPr>
          <w:rFonts w:ascii="Calibri" w:eastAsia="Times New Roman" w:hAnsi="Calibri" w:cs="Calibri"/>
          <w:b/>
          <w:sz w:val="24"/>
          <w:szCs w:val="24"/>
          <w:lang w:val="en-GB"/>
        </w:rPr>
        <w:t>prolonged inertia</w:t>
      </w:r>
      <w:r w:rsidRPr="00877EA6">
        <w:rPr>
          <w:rFonts w:ascii="Calibri" w:eastAsia="Times New Roman" w:hAnsi="Calibri" w:cs="Calibri"/>
          <w:sz w:val="24"/>
          <w:szCs w:val="24"/>
          <w:lang w:val="en-GB"/>
        </w:rPr>
        <w:t xml:space="preserve"> of the authorities in the face of complaints, especially by the security forces and the justice system. He characterized this action as part of a </w:t>
      </w:r>
      <w:r w:rsidRPr="00877EA6">
        <w:rPr>
          <w:rFonts w:ascii="Calibri" w:eastAsia="Times New Roman" w:hAnsi="Calibri" w:cs="Calibri"/>
          <w:b/>
          <w:sz w:val="24"/>
          <w:szCs w:val="24"/>
          <w:lang w:val="en-GB"/>
        </w:rPr>
        <w:t>discriminatory pattern</w:t>
      </w:r>
      <w:r w:rsidRPr="00877EA6">
        <w:rPr>
          <w:rFonts w:ascii="Calibri" w:eastAsia="Times New Roman" w:hAnsi="Calibri" w:cs="Calibri"/>
          <w:sz w:val="24"/>
          <w:szCs w:val="24"/>
          <w:lang w:val="en-GB"/>
        </w:rPr>
        <w:t xml:space="preserve">, in which cases of gender violence were treated with less seriousness and diligence. </w:t>
      </w:r>
    </w:p>
    <w:p w14:paraId="4CA64A68"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addition, he pointed to the existence of </w:t>
      </w:r>
      <w:r w:rsidRPr="00877EA6">
        <w:rPr>
          <w:rFonts w:ascii="Calibri" w:eastAsia="Times New Roman" w:hAnsi="Calibri" w:cs="Calibri"/>
          <w:b/>
          <w:sz w:val="24"/>
          <w:szCs w:val="24"/>
          <w:lang w:val="en-GB"/>
        </w:rPr>
        <w:t>chronic impunity</w:t>
      </w:r>
      <w:r w:rsidRPr="00877EA6">
        <w:rPr>
          <w:rFonts w:ascii="Calibri" w:eastAsia="Times New Roman" w:hAnsi="Calibri" w:cs="Calibri"/>
          <w:sz w:val="24"/>
          <w:szCs w:val="24"/>
          <w:lang w:val="en-GB"/>
        </w:rPr>
        <w:t xml:space="preserve">, considered not only as an institutional failure, but as a concrete form of gender-based </w:t>
      </w:r>
      <w:r w:rsidRPr="00877EA6">
        <w:rPr>
          <w:rFonts w:ascii="Calibri" w:eastAsia="Times New Roman" w:hAnsi="Calibri" w:cs="Calibri"/>
          <w:b/>
          <w:sz w:val="24"/>
          <w:szCs w:val="24"/>
          <w:lang w:val="en-GB"/>
        </w:rPr>
        <w:t>discrimination</w:t>
      </w:r>
      <w:r w:rsidRPr="00877EA6">
        <w:rPr>
          <w:rFonts w:ascii="Calibri" w:eastAsia="Times New Roman" w:hAnsi="Calibri" w:cs="Calibri"/>
          <w:sz w:val="24"/>
          <w:szCs w:val="24"/>
          <w:lang w:val="en-GB"/>
        </w:rPr>
        <w:t xml:space="preserve">. The Commission also criticized the </w:t>
      </w:r>
      <w:r w:rsidRPr="00877EA6">
        <w:rPr>
          <w:rFonts w:ascii="Calibri" w:eastAsia="Times New Roman" w:hAnsi="Calibri" w:cs="Calibri"/>
          <w:b/>
          <w:sz w:val="24"/>
          <w:szCs w:val="24"/>
          <w:lang w:val="en-GB"/>
        </w:rPr>
        <w:t>unwarranted delay</w:t>
      </w:r>
      <w:r w:rsidRPr="00877EA6">
        <w:rPr>
          <w:rFonts w:ascii="Calibri" w:eastAsia="Times New Roman" w:hAnsi="Calibri" w:cs="Calibri"/>
          <w:sz w:val="24"/>
          <w:szCs w:val="24"/>
          <w:lang w:val="en-GB"/>
        </w:rPr>
        <w:t xml:space="preserve"> in judicial proceedings and the </w:t>
      </w:r>
      <w:r w:rsidRPr="00877EA6">
        <w:rPr>
          <w:rFonts w:ascii="Calibri" w:eastAsia="Times New Roman" w:hAnsi="Calibri" w:cs="Calibri"/>
          <w:b/>
          <w:sz w:val="24"/>
          <w:szCs w:val="24"/>
          <w:lang w:val="en-GB"/>
        </w:rPr>
        <w:t>lack of effective diligence</w:t>
      </w:r>
      <w:r w:rsidRPr="00877EA6">
        <w:rPr>
          <w:rFonts w:ascii="Calibri" w:eastAsia="Times New Roman" w:hAnsi="Calibri" w:cs="Calibri"/>
          <w:sz w:val="24"/>
          <w:szCs w:val="24"/>
          <w:lang w:val="en-GB"/>
        </w:rPr>
        <w:t xml:space="preserve"> in investigating and punishing the perpetrators, stating that this state omission violated the duty to protect and guarantee the human rights of women. </w:t>
      </w:r>
    </w:p>
    <w:p w14:paraId="22815405" w14:textId="68D1E371" w:rsidR="0093291D" w:rsidRPr="00877EA6" w:rsidRDefault="0025793E">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Like</w:t>
      </w:r>
      <w:r w:rsidR="00AA36A1" w:rsidRPr="00877EA6">
        <w:rPr>
          <w:rFonts w:ascii="Calibri" w:eastAsia="Times New Roman" w:hAnsi="Calibri" w:cs="Calibri"/>
          <w:sz w:val="24"/>
          <w:szCs w:val="24"/>
          <w:lang w:val="en-GB"/>
        </w:rPr>
        <w:t xml:space="preserve"> what occurs in other countries that face a very serious context of violence against women, the performance of the Security and Justice System is a crucial aspect for the effective implementation of legislation, considered a social achievement and centrally referred to by the State in its report. </w:t>
      </w:r>
    </w:p>
    <w:p w14:paraId="56810E4B" w14:textId="000174C5"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Faced with the structural challenges faced by the judicial system in Guinea-Bissau, the United Nations Development Programme (UNDP), in collaboration with the Ministry of Justice and Human Rights, conducted a gender audit with the aim of identifying inequalities, barriers and opportunities related to women's participation and access to </w:t>
      </w:r>
      <w:r w:rsidRPr="00877EA6">
        <w:rPr>
          <w:rFonts w:ascii="Calibri" w:eastAsia="Times New Roman" w:hAnsi="Calibri" w:cs="Calibri"/>
          <w:sz w:val="24"/>
          <w:szCs w:val="24"/>
          <w:lang w:val="en-GB"/>
        </w:rPr>
        <w:lastRenderedPageBreak/>
        <w:t xml:space="preserve">justice. The initiative aimed to assess how the country's legal and political commitments on gender equality are being implemented, </w:t>
      </w:r>
      <w:r w:rsidR="0025793E" w:rsidRPr="00877EA6">
        <w:rPr>
          <w:rFonts w:ascii="Calibri" w:eastAsia="Times New Roman" w:hAnsi="Calibri" w:cs="Calibri"/>
          <w:sz w:val="24"/>
          <w:szCs w:val="24"/>
          <w:lang w:val="en-GB"/>
        </w:rPr>
        <w:t>analysing</w:t>
      </w:r>
      <w:r w:rsidRPr="00877EA6">
        <w:rPr>
          <w:rFonts w:ascii="Calibri" w:eastAsia="Times New Roman" w:hAnsi="Calibri" w:cs="Calibri"/>
          <w:sz w:val="24"/>
          <w:szCs w:val="24"/>
          <w:lang w:val="en-GB"/>
        </w:rPr>
        <w:t xml:space="preserve"> institutional performance </w:t>
      </w:r>
      <w:proofErr w:type="gramStart"/>
      <w:r w:rsidRPr="00877EA6">
        <w:rPr>
          <w:rFonts w:ascii="Calibri" w:eastAsia="Times New Roman" w:hAnsi="Calibri" w:cs="Calibri"/>
          <w:sz w:val="24"/>
          <w:szCs w:val="24"/>
          <w:lang w:val="en-GB"/>
        </w:rPr>
        <w:t>in light of</w:t>
      </w:r>
      <w:proofErr w:type="gramEnd"/>
      <w:r w:rsidRPr="00877EA6">
        <w:rPr>
          <w:rFonts w:ascii="Calibri" w:eastAsia="Times New Roman" w:hAnsi="Calibri" w:cs="Calibri"/>
          <w:sz w:val="24"/>
          <w:szCs w:val="24"/>
          <w:lang w:val="en-GB"/>
        </w:rPr>
        <w:t xml:space="preserve"> national and international obligations. </w:t>
      </w:r>
    </w:p>
    <w:p w14:paraId="300E4237"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process sought to understand what has already been done, how it has been carried out and what are the existing gaps, </w:t>
      </w:r>
      <w:proofErr w:type="gramStart"/>
      <w:r w:rsidRPr="00877EA6">
        <w:rPr>
          <w:rFonts w:ascii="Calibri" w:eastAsia="Times New Roman" w:hAnsi="Calibri" w:cs="Calibri"/>
          <w:sz w:val="24"/>
          <w:szCs w:val="24"/>
          <w:lang w:val="en-GB"/>
        </w:rPr>
        <w:t>in order to</w:t>
      </w:r>
      <w:proofErr w:type="gramEnd"/>
      <w:r w:rsidRPr="00877EA6">
        <w:rPr>
          <w:rFonts w:ascii="Calibri" w:eastAsia="Times New Roman" w:hAnsi="Calibri" w:cs="Calibri"/>
          <w:sz w:val="24"/>
          <w:szCs w:val="24"/>
          <w:lang w:val="en-GB"/>
        </w:rPr>
        <w:t xml:space="preserve"> develop an action plan aimed at promoting gender equality in the justice system. The audit focused on examining the role of the judiciary in promoting the principles of equality and non-discrimination, with particular attention to the representation of women in decision-making positions and ensuring access to justice for women and girls, especially victims of gender-based violence. </w:t>
      </w:r>
    </w:p>
    <w:p w14:paraId="2E0F1232" w14:textId="5E0D9BE2"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study identified discriminatory practices and obstacles that hinder the full exercise of women's rights, in addition to mapping specific needs and areas with potential for structural change. Aspects such as gender parity among professionals in the sector, the existence of an inclusive institutional environment, the effectiveness of policies to support gender equality, the degree of awareness on the subject, and the socio-cultural factors that influence the functioning of justice were also </w:t>
      </w:r>
      <w:r w:rsidR="0025793E" w:rsidRPr="00877EA6">
        <w:rPr>
          <w:rFonts w:ascii="Calibri" w:eastAsia="Times New Roman" w:hAnsi="Calibri" w:cs="Calibri"/>
          <w:sz w:val="24"/>
          <w:szCs w:val="24"/>
          <w:lang w:val="en-GB"/>
        </w:rPr>
        <w:t>analysed</w:t>
      </w:r>
      <w:r w:rsidRPr="00877EA6">
        <w:rPr>
          <w:rFonts w:ascii="Calibri" w:eastAsia="Times New Roman" w:hAnsi="Calibri" w:cs="Calibri"/>
          <w:sz w:val="24"/>
          <w:szCs w:val="24"/>
          <w:lang w:val="en-GB"/>
        </w:rPr>
        <w:t>.</w:t>
      </w:r>
    </w:p>
    <w:p w14:paraId="1339D651"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This audit represented a pioneering initiative in the country and was seen as an important milestone in strengthening a fairer and more inclusive judicial system. It provided an opportunity to engage decision-makers and institutional actors in reflections on existing capacities and persistent gender challenges. </w:t>
      </w:r>
    </w:p>
    <w:p w14:paraId="2CDFA636"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The results and recommendations resulting from the process offer valuable subsidies to guide public policies, actions by civil society and international partners, with the aim of ensuring equal access to justice for all women and girls. In addition, the data collected can serve as a reference to monitor future progress and inspire similar audits in other strategic sectors, aligned with national gender equality priorities. </w:t>
      </w:r>
    </w:p>
    <w:p w14:paraId="1AF835B8" w14:textId="77777777" w:rsidR="0093291D" w:rsidRPr="00877EA6" w:rsidRDefault="00AA36A1">
      <w:pPr>
        <w:spacing w:before="240" w:after="240" w:line="288" w:lineRule="auto"/>
        <w:jc w:val="both"/>
        <w:rPr>
          <w:rFonts w:ascii="Calibri" w:eastAsia="Times New Roman" w:hAnsi="Calibri" w:cs="Calibri"/>
          <w:sz w:val="24"/>
          <w:szCs w:val="24"/>
          <w:highlight w:val="white"/>
          <w:lang w:val="en-GB"/>
        </w:rPr>
      </w:pPr>
      <w:r w:rsidRPr="00877EA6">
        <w:rPr>
          <w:rFonts w:ascii="Calibri" w:eastAsia="Times New Roman" w:hAnsi="Calibri" w:cs="Calibri"/>
          <w:sz w:val="24"/>
          <w:szCs w:val="24"/>
          <w:lang w:val="en-GB"/>
        </w:rPr>
        <w:t>As a premise, the Report indicates at the outset that "</w:t>
      </w:r>
      <w:r w:rsidRPr="00877EA6">
        <w:rPr>
          <w:rFonts w:ascii="Calibri" w:eastAsia="Times New Roman" w:hAnsi="Calibri" w:cs="Calibri"/>
          <w:i/>
          <w:sz w:val="24"/>
          <w:szCs w:val="24"/>
          <w:highlight w:val="white"/>
          <w:lang w:val="en-GB"/>
        </w:rPr>
        <w:t>In a democratic society, the judicial system is the guardian of equitable access to justice and fair application of the law for all citizens. [...] However, the realization of gender equality as a fundamental human right and a principle of social justice is often undermined by systemic biases and structural inequalities that infiltrate the very functioning of the judicial system</w:t>
      </w:r>
      <w:r w:rsidRPr="00877EA6">
        <w:rPr>
          <w:rFonts w:ascii="Calibri" w:eastAsia="Times New Roman" w:hAnsi="Calibri" w:cs="Calibri"/>
          <w:sz w:val="24"/>
          <w:szCs w:val="24"/>
          <w:highlight w:val="white"/>
          <w:lang w:val="en-GB"/>
        </w:rPr>
        <w:t xml:space="preserve">." Due to its thematic relevance, relevance and precision, a brief diagnosis of the country's Justice System contained in the study is included below: </w:t>
      </w:r>
    </w:p>
    <w:tbl>
      <w:tblPr>
        <w:tblStyle w:val="a"/>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92132C" w:rsidRPr="00877EA6" w14:paraId="31233DBE" w14:textId="77777777">
        <w:tc>
          <w:tcPr>
            <w:tcW w:w="8494" w:type="dxa"/>
          </w:tcPr>
          <w:p w14:paraId="3F318DFD" w14:textId="77777777" w:rsidR="0093291D" w:rsidRPr="00877EA6" w:rsidRDefault="00AA36A1">
            <w:pPr>
              <w:pStyle w:val="Heading3"/>
              <w:spacing w:before="120" w:after="120" w:line="288" w:lineRule="auto"/>
              <w:jc w:val="center"/>
              <w:rPr>
                <w:rFonts w:ascii="Calibri" w:eastAsia="Times New Roman" w:hAnsi="Calibri" w:cs="Calibri"/>
                <w:b/>
                <w:color w:val="auto"/>
                <w:lang w:val="en-GB"/>
              </w:rPr>
            </w:pPr>
            <w:r w:rsidRPr="00877EA6">
              <w:rPr>
                <w:rFonts w:ascii="Calibri" w:eastAsia="Times New Roman" w:hAnsi="Calibri" w:cs="Calibri"/>
                <w:b/>
                <w:color w:val="auto"/>
                <w:lang w:val="en-GB"/>
              </w:rPr>
              <w:lastRenderedPageBreak/>
              <w:t>Report of the Gender Audit of the Judicial System in Guinea-Bissau</w:t>
            </w:r>
          </w:p>
          <w:p w14:paraId="6B20FAF3" w14:textId="77777777" w:rsidR="0093291D" w:rsidRPr="00877EA6" w:rsidRDefault="00AA36A1">
            <w:pPr>
              <w:pStyle w:val="Heading3"/>
              <w:spacing w:before="120" w:after="120" w:line="288" w:lineRule="auto"/>
              <w:jc w:val="center"/>
              <w:rPr>
                <w:rFonts w:ascii="Calibri" w:eastAsia="Times New Roman" w:hAnsi="Calibri" w:cs="Calibri"/>
                <w:b/>
                <w:color w:val="auto"/>
                <w:u w:val="single"/>
                <w:lang w:val="en-GB"/>
              </w:rPr>
            </w:pPr>
            <w:r w:rsidRPr="00877EA6">
              <w:rPr>
                <w:rFonts w:ascii="Calibri" w:eastAsia="Times New Roman" w:hAnsi="Calibri" w:cs="Calibri"/>
                <w:b/>
                <w:color w:val="auto"/>
                <w:u w:val="single"/>
                <w:lang w:val="en-GB"/>
              </w:rPr>
              <w:t>Gender Responsive Justice in Guinea-Bissau</w:t>
            </w:r>
          </w:p>
          <w:p w14:paraId="6B482686" w14:textId="77777777" w:rsidR="0093291D" w:rsidRPr="00877EA6" w:rsidRDefault="0093291D">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p>
          <w:p w14:paraId="49FAD266" w14:textId="1CD03B72" w:rsidR="0093291D" w:rsidRPr="00877EA6" w:rsidRDefault="00AA36A1">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Guinea-Bissau</w:t>
            </w:r>
            <w:r w:rsidR="00AA6385">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judicial system has been affected by </w:t>
            </w:r>
            <w:r w:rsidR="0025793E" w:rsidRPr="00877EA6">
              <w:rPr>
                <w:rFonts w:ascii="Calibri" w:eastAsia="Times New Roman" w:hAnsi="Calibri" w:cs="Calibri"/>
                <w:sz w:val="24"/>
                <w:szCs w:val="24"/>
                <w:lang w:val="en-GB"/>
              </w:rPr>
              <w:t>several</w:t>
            </w:r>
            <w:r w:rsidRPr="00877EA6">
              <w:rPr>
                <w:rFonts w:ascii="Calibri" w:eastAsia="Times New Roman" w:hAnsi="Calibri" w:cs="Calibri"/>
                <w:sz w:val="24"/>
                <w:szCs w:val="24"/>
                <w:lang w:val="en-GB"/>
              </w:rPr>
              <w:t xml:space="preserve"> historical and structural challenges, which contribute to gender disparities. Since its independence in 1974, the country has been plagued by political instability, conflicts, and recurring crises. The judicial system, weakened by a lack of resources, corruption and political interference, has struggled to ensure equitable justice for all. The lack of a functional, independent and credible justice system has resulted in a widespread sense of impunity, particularly in cases of gender-based violence.</w:t>
            </w:r>
          </w:p>
          <w:p w14:paraId="3666664D" w14:textId="1305866F" w:rsidR="0093291D" w:rsidRPr="00877EA6" w:rsidRDefault="00AA36A1">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While recognizing and encouraging the country</w:t>
            </w:r>
            <w:r w:rsidR="0025793E">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important advances in gender equality and justice, including the adoption of important legislation, the United Nations, through its different bodies for the protection and promotion of human rights, has warned of the persistence of serious challenges and violations that put people's dignity and well-being at risk.  especially women and girls. Both the United Nations </w:t>
            </w:r>
            <w:r w:rsidR="00AA6385" w:rsidRPr="00877EA6">
              <w:rPr>
                <w:rFonts w:ascii="Calibri" w:eastAsia="Times New Roman" w:hAnsi="Calibri" w:cs="Calibri"/>
                <w:sz w:val="24"/>
                <w:szCs w:val="24"/>
                <w:lang w:val="en-GB"/>
              </w:rPr>
              <w:t>reports,</w:t>
            </w:r>
            <w:r w:rsidRPr="00877EA6">
              <w:rPr>
                <w:rFonts w:ascii="Calibri" w:eastAsia="Times New Roman" w:hAnsi="Calibri" w:cs="Calibri"/>
                <w:sz w:val="24"/>
                <w:szCs w:val="24"/>
                <w:lang w:val="en-GB"/>
              </w:rPr>
              <w:t xml:space="preserve"> and national study reports conducted by the Government and civil society actors are unanimous in painting a worrying picture of the situation in the country. </w:t>
            </w:r>
          </w:p>
          <w:p w14:paraId="116F6A3F" w14:textId="57476551" w:rsidR="0093291D" w:rsidRPr="00877EA6" w:rsidRDefault="00AA36A1">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Disruptions to the implementation of justice reforms and policies have weakened the justice system, </w:t>
            </w:r>
            <w:r w:rsidR="00AA6385" w:rsidRPr="00877EA6">
              <w:rPr>
                <w:rFonts w:ascii="Calibri" w:eastAsia="Times New Roman" w:hAnsi="Calibri" w:cs="Calibri"/>
                <w:sz w:val="24"/>
                <w:szCs w:val="24"/>
                <w:lang w:val="en-GB"/>
              </w:rPr>
              <w:t>fuelling</w:t>
            </w:r>
            <w:r w:rsidRPr="00877EA6">
              <w:rPr>
                <w:rFonts w:ascii="Calibri" w:eastAsia="Times New Roman" w:hAnsi="Calibri" w:cs="Calibri"/>
                <w:sz w:val="24"/>
                <w:szCs w:val="24"/>
                <w:lang w:val="en-GB"/>
              </w:rPr>
              <w:t xml:space="preserve"> concerns about a culture of impunity and undermining the credibility of the sector. Insufficient investment in justice, political influence in the courts and corruption erode the independence and credibility of the system. </w:t>
            </w:r>
            <w:proofErr w:type="gramStart"/>
            <w:r w:rsidRPr="00877EA6">
              <w:rPr>
                <w:rFonts w:ascii="Calibri" w:eastAsia="Times New Roman" w:hAnsi="Calibri" w:cs="Calibri"/>
                <w:sz w:val="24"/>
                <w:szCs w:val="24"/>
                <w:lang w:val="en-GB"/>
              </w:rPr>
              <w:t>The majority of</w:t>
            </w:r>
            <w:proofErr w:type="gramEnd"/>
            <w:r w:rsidRPr="00877EA6">
              <w:rPr>
                <w:rFonts w:ascii="Calibri" w:eastAsia="Times New Roman" w:hAnsi="Calibri" w:cs="Calibri"/>
                <w:sz w:val="24"/>
                <w:szCs w:val="24"/>
                <w:lang w:val="en-GB"/>
              </w:rPr>
              <w:t xml:space="preserve"> the population, especially in rural areas and women, face </w:t>
            </w:r>
            <w:proofErr w:type="gramStart"/>
            <w:r w:rsidRPr="00877EA6">
              <w:rPr>
                <w:rFonts w:ascii="Calibri" w:eastAsia="Times New Roman" w:hAnsi="Calibri" w:cs="Calibri"/>
                <w:sz w:val="24"/>
                <w:szCs w:val="24"/>
                <w:lang w:val="en-GB"/>
              </w:rPr>
              <w:t>particular obstacles</w:t>
            </w:r>
            <w:proofErr w:type="gramEnd"/>
            <w:r w:rsidRPr="00877EA6">
              <w:rPr>
                <w:rFonts w:ascii="Calibri" w:eastAsia="Times New Roman" w:hAnsi="Calibri" w:cs="Calibri"/>
                <w:sz w:val="24"/>
                <w:szCs w:val="24"/>
                <w:lang w:val="en-GB"/>
              </w:rPr>
              <w:t xml:space="preserve"> to accessing justice, whether because of geographical distance, exorbitant court fees or lack of access to lawyers and basic legal services, including information. In addition, the slowness of justice weighs negatively on the general evaluation of justice and the population's access to it.</w:t>
            </w:r>
          </w:p>
          <w:p w14:paraId="7A4BB74B" w14:textId="77777777" w:rsidR="0093291D" w:rsidRPr="00877EA6" w:rsidRDefault="00AA36A1">
            <w:pPr>
              <w:tabs>
                <w:tab w:val="left" w:pos="426"/>
              </w:tabs>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The issue of gender equality is a critical challenge. Violence against women, including domestic violence, harassment and sexual violence, female genital mutilation and forced marriage, are persistent problems. Despite the expression of these cases at the national level, and their increase in some cases, as indicated by the data from the last MICS 2018/19</w:t>
            </w:r>
            <w:r w:rsidRPr="00877EA6">
              <w:rPr>
                <w:rFonts w:ascii="Calibri" w:eastAsia="Times New Roman" w:hAnsi="Calibri" w:cs="Calibri"/>
                <w:sz w:val="24"/>
                <w:szCs w:val="24"/>
                <w:vertAlign w:val="superscript"/>
                <w:lang w:val="en-GB"/>
              </w:rPr>
              <w:footnoteReference w:id="1"/>
            </w:r>
            <w:r w:rsidRPr="00877EA6">
              <w:rPr>
                <w:rFonts w:ascii="Calibri" w:eastAsia="Times New Roman" w:hAnsi="Calibri" w:cs="Calibri"/>
                <w:sz w:val="24"/>
                <w:szCs w:val="24"/>
                <w:lang w:val="en-GB"/>
              </w:rPr>
              <w:t>, very few cases reach the judicial system and even fewer cases that find effective resolution. Among the concerns raised by the CEDAW Committee regarding the gender situation in the country is the issue of ensuring equal access to justice. CEDAW's concerns regarding gender-responsive justice can be summarised as follows:</w:t>
            </w:r>
          </w:p>
          <w:p w14:paraId="45C3B23B" w14:textId="77777777" w:rsidR="0093291D" w:rsidRPr="00877EA6" w:rsidRDefault="00AA36A1">
            <w:pPr>
              <w:numPr>
                <w:ilvl w:val="0"/>
                <w:numId w:val="4"/>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lastRenderedPageBreak/>
              <w:t>Access to justice:</w:t>
            </w:r>
            <w:r w:rsidRPr="00877EA6">
              <w:rPr>
                <w:rFonts w:ascii="Calibri" w:eastAsia="Times New Roman" w:hAnsi="Calibri" w:cs="Calibri"/>
                <w:sz w:val="24"/>
                <w:szCs w:val="24"/>
                <w:lang w:val="en-GB"/>
              </w:rPr>
              <w:t xml:space="preserve"> The great distance between the courts and the population, the high cost of court fees, the lack of knowledge about rights and laws, and the difficulty of obtaining free legal aid, low representation of women in the judiciary, make it difficult for women to access justice.</w:t>
            </w:r>
          </w:p>
          <w:p w14:paraId="7F99502E" w14:textId="77777777" w:rsidR="0093291D" w:rsidRPr="00877EA6" w:rsidRDefault="00AA36A1">
            <w:pPr>
              <w:numPr>
                <w:ilvl w:val="0"/>
                <w:numId w:val="4"/>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Culture of impunity:</w:t>
            </w:r>
            <w:r w:rsidRPr="00877EA6">
              <w:rPr>
                <w:rFonts w:ascii="Calibri" w:eastAsia="Times New Roman" w:hAnsi="Calibri" w:cs="Calibri"/>
                <w:sz w:val="24"/>
                <w:szCs w:val="24"/>
                <w:lang w:val="en-GB"/>
              </w:rPr>
              <w:t xml:space="preserve"> Impunity in cases of violence against women, the lack of effective mechanisms for investigating and punishing aggressors, and the scarcity of public policies to support victims are factors that perpetuate discrimination.</w:t>
            </w:r>
          </w:p>
          <w:p w14:paraId="37A5F13E" w14:textId="427DC9E7" w:rsidR="0093291D" w:rsidRPr="00877EA6" w:rsidRDefault="00AA36A1">
            <w:pPr>
              <w:numPr>
                <w:ilvl w:val="0"/>
                <w:numId w:val="4"/>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Influence of traditional practices:</w:t>
            </w:r>
            <w:r w:rsidRPr="00877EA6">
              <w:rPr>
                <w:rFonts w:ascii="Calibri" w:eastAsia="Times New Roman" w:hAnsi="Calibri" w:cs="Calibri"/>
                <w:sz w:val="24"/>
                <w:szCs w:val="24"/>
                <w:lang w:val="en-GB"/>
              </w:rPr>
              <w:t xml:space="preserve"> Customs such as </w:t>
            </w:r>
            <w:r w:rsidR="00C57D4C">
              <w:rPr>
                <w:rFonts w:ascii="Calibri" w:eastAsia="Times New Roman" w:hAnsi="Calibri" w:cs="Calibri"/>
                <w:sz w:val="24"/>
                <w:szCs w:val="24"/>
                <w:lang w:val="en-GB"/>
              </w:rPr>
              <w:t>child</w:t>
            </w:r>
            <w:r w:rsidRPr="00877EA6">
              <w:rPr>
                <w:rFonts w:ascii="Calibri" w:eastAsia="Times New Roman" w:hAnsi="Calibri" w:cs="Calibri"/>
                <w:sz w:val="24"/>
                <w:szCs w:val="24"/>
                <w:lang w:val="en-GB"/>
              </w:rPr>
              <w:t xml:space="preserve"> marriage</w:t>
            </w:r>
            <w:r w:rsidR="00C57D4C">
              <w:rPr>
                <w:rFonts w:ascii="Calibri" w:eastAsia="Times New Roman" w:hAnsi="Calibri" w:cs="Calibri"/>
                <w:sz w:val="24"/>
                <w:szCs w:val="24"/>
                <w:lang w:val="en-GB"/>
              </w:rPr>
              <w:t xml:space="preserve"> and</w:t>
            </w:r>
            <w:r w:rsidRPr="00877EA6">
              <w:rPr>
                <w:rFonts w:ascii="Calibri" w:eastAsia="Times New Roman" w:hAnsi="Calibri" w:cs="Calibri"/>
                <w:sz w:val="24"/>
                <w:szCs w:val="24"/>
                <w:lang w:val="en-GB"/>
              </w:rPr>
              <w:t xml:space="preserve"> female genital mutilation continue to negatively affect women and undermine progress towards gender equality.</w:t>
            </w:r>
          </w:p>
          <w:p w14:paraId="7424AD2A" w14:textId="23FFA071" w:rsidR="0093291D" w:rsidRPr="00877EA6" w:rsidRDefault="00AA36A1">
            <w:pPr>
              <w:numPr>
                <w:ilvl w:val="0"/>
                <w:numId w:val="4"/>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Economic inequalities:</w:t>
            </w:r>
            <w:r w:rsidRPr="00877EA6">
              <w:rPr>
                <w:rFonts w:ascii="Calibri" w:eastAsia="Times New Roman" w:hAnsi="Calibri" w:cs="Calibri"/>
                <w:sz w:val="24"/>
                <w:szCs w:val="24"/>
                <w:lang w:val="en-GB"/>
              </w:rPr>
              <w:t xml:space="preserve"> Inequality in ownership, limited employment opportunities for women, lack of access to credit and land, and devalued domestic work perpetuate social disparities and limit women</w:t>
            </w:r>
            <w:r w:rsidR="00C57D4C">
              <w:rPr>
                <w:rFonts w:ascii="Calibri" w:eastAsia="Times New Roman" w:hAnsi="Calibri" w:cs="Calibri"/>
                <w:sz w:val="24"/>
                <w:szCs w:val="24"/>
                <w:lang w:val="en-GB"/>
              </w:rPr>
              <w:t>’</w:t>
            </w:r>
            <w:r w:rsidRPr="00877EA6">
              <w:rPr>
                <w:rFonts w:ascii="Calibri" w:eastAsia="Times New Roman" w:hAnsi="Calibri" w:cs="Calibri"/>
                <w:sz w:val="24"/>
                <w:szCs w:val="24"/>
                <w:lang w:val="en-GB"/>
              </w:rPr>
              <w:t>s potential.</w:t>
            </w:r>
          </w:p>
          <w:p w14:paraId="3E1415B3" w14:textId="77777777" w:rsidR="0093291D" w:rsidRPr="00877EA6" w:rsidRDefault="00AA36A1">
            <w:pPr>
              <w:numPr>
                <w:ilvl w:val="0"/>
                <w:numId w:val="4"/>
              </w:numPr>
              <w:spacing w:before="120" w:after="120" w:line="288" w:lineRule="auto"/>
              <w:ind w:left="284" w:hanging="284"/>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Institutional fragility:</w:t>
            </w:r>
            <w:r w:rsidRPr="00877EA6">
              <w:rPr>
                <w:rFonts w:ascii="Calibri" w:eastAsia="Times New Roman" w:hAnsi="Calibri" w:cs="Calibri"/>
                <w:sz w:val="24"/>
                <w:szCs w:val="24"/>
                <w:lang w:val="en-GB"/>
              </w:rPr>
              <w:t xml:space="preserve"> The fragility of judicial and police institutions, lack of resources, low investment in capacity-building programmes, corruption and the impact of political instability contribute to gender imbalance in the justice system and hinder the promotion of gender equality.</w:t>
            </w:r>
          </w:p>
          <w:p w14:paraId="23914E2B" w14:textId="058E16FD" w:rsidR="0093291D" w:rsidRPr="00877EA6" w:rsidRDefault="00AA36A1">
            <w:pPr>
              <w:tabs>
                <w:tab w:val="left" w:pos="426"/>
              </w:tabs>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The CEDAW Committee</w:t>
            </w:r>
            <w:r w:rsidR="00C57D4C">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recommendations point to the urgency of establishing effective mechanisms to confront gender-based violence and ensure that women have adequate legal support at all levels. </w:t>
            </w:r>
          </w:p>
          <w:p w14:paraId="18708ECE" w14:textId="77777777" w:rsidR="0093291D" w:rsidRPr="00877EA6" w:rsidRDefault="0093291D">
            <w:pPr>
              <w:rPr>
                <w:rFonts w:ascii="Calibri" w:eastAsia="Times New Roman" w:hAnsi="Calibri" w:cs="Calibri"/>
                <w:sz w:val="24"/>
                <w:szCs w:val="24"/>
                <w:lang w:val="en-GB"/>
              </w:rPr>
            </w:pPr>
          </w:p>
        </w:tc>
      </w:tr>
    </w:tbl>
    <w:p w14:paraId="358C906B" w14:textId="77777777" w:rsidR="0093291D" w:rsidRPr="00877EA6" w:rsidRDefault="0093291D">
      <w:pPr>
        <w:rPr>
          <w:rFonts w:ascii="Calibri" w:eastAsia="Times New Roman" w:hAnsi="Calibri" w:cs="Calibri"/>
          <w:sz w:val="24"/>
          <w:szCs w:val="24"/>
          <w:highlight w:val="white"/>
          <w:lang w:val="en-GB"/>
        </w:rPr>
      </w:pPr>
    </w:p>
    <w:p w14:paraId="6C8D1F27" w14:textId="77777777" w:rsidR="0093291D" w:rsidRPr="00877EA6" w:rsidRDefault="00AA36A1">
      <w:pPr>
        <w:jc w:val="both"/>
        <w:rPr>
          <w:rFonts w:ascii="Calibri" w:eastAsia="Times New Roman" w:hAnsi="Calibri" w:cs="Calibri"/>
          <w:sz w:val="24"/>
          <w:szCs w:val="24"/>
          <w:lang w:val="en-GB"/>
        </w:rPr>
      </w:pPr>
      <w:r w:rsidRPr="00877EA6">
        <w:rPr>
          <w:rFonts w:ascii="Calibri" w:eastAsia="Times New Roman" w:hAnsi="Calibri" w:cs="Calibri"/>
          <w:sz w:val="24"/>
          <w:szCs w:val="24"/>
          <w:highlight w:val="white"/>
          <w:lang w:val="en-GB"/>
        </w:rPr>
        <w:t xml:space="preserve">The following are the recommendations contained at the end of the Gender Audit Report </w:t>
      </w:r>
      <w:r w:rsidRPr="00877EA6">
        <w:rPr>
          <w:rFonts w:ascii="Calibri" w:eastAsia="Times New Roman" w:hAnsi="Calibri" w:cs="Calibri"/>
          <w:sz w:val="24"/>
          <w:szCs w:val="24"/>
          <w:lang w:val="en-GB"/>
        </w:rPr>
        <w:t xml:space="preserve">on the Justice System in Guinea-Bissau, all pertinent and necessary, in the view of the signatory organizations: </w:t>
      </w:r>
    </w:p>
    <w:tbl>
      <w:tblPr>
        <w:tblStyle w:val="a0"/>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92132C" w:rsidRPr="00877EA6" w14:paraId="180522F9" w14:textId="77777777">
        <w:tc>
          <w:tcPr>
            <w:tcW w:w="8494" w:type="dxa"/>
          </w:tcPr>
          <w:p w14:paraId="7CF1038A" w14:textId="77777777" w:rsidR="0093291D" w:rsidRPr="00877EA6" w:rsidRDefault="00AA36A1">
            <w:pPr>
              <w:pStyle w:val="Heading2"/>
              <w:spacing w:before="120" w:after="120" w:line="288" w:lineRule="auto"/>
              <w:rPr>
                <w:rFonts w:ascii="Calibri" w:eastAsia="Times New Roman" w:hAnsi="Calibri" w:cs="Calibri"/>
                <w:b/>
                <w:color w:val="auto"/>
                <w:sz w:val="28"/>
                <w:szCs w:val="28"/>
                <w:lang w:val="en-GB"/>
              </w:rPr>
            </w:pPr>
            <w:bookmarkStart w:id="9" w:name="_heading=h.rdltvlrtry2f" w:colFirst="0" w:colLast="0"/>
            <w:bookmarkEnd w:id="9"/>
            <w:r w:rsidRPr="00877EA6">
              <w:rPr>
                <w:rFonts w:ascii="Calibri" w:eastAsia="Times New Roman" w:hAnsi="Calibri" w:cs="Calibri"/>
                <w:b/>
                <w:color w:val="auto"/>
                <w:sz w:val="28"/>
                <w:szCs w:val="28"/>
                <w:lang w:val="en-GB"/>
              </w:rPr>
              <w:lastRenderedPageBreak/>
              <w:t xml:space="preserve">Report of the Gender Audit of the Judicial System in Guinea-Bissau </w:t>
            </w:r>
          </w:p>
          <w:p w14:paraId="4521C662" w14:textId="77777777" w:rsidR="0093291D" w:rsidRPr="00877EA6" w:rsidRDefault="00AA36A1">
            <w:pPr>
              <w:pStyle w:val="Heading2"/>
              <w:spacing w:before="120" w:after="120" w:line="288" w:lineRule="auto"/>
              <w:jc w:val="center"/>
              <w:rPr>
                <w:rFonts w:ascii="Calibri" w:eastAsia="Times New Roman" w:hAnsi="Calibri" w:cs="Calibri"/>
                <w:b/>
                <w:color w:val="auto"/>
                <w:sz w:val="24"/>
                <w:szCs w:val="24"/>
                <w:u w:val="single"/>
                <w:lang w:val="en-GB"/>
              </w:rPr>
            </w:pPr>
            <w:r w:rsidRPr="00877EA6">
              <w:rPr>
                <w:rFonts w:ascii="Calibri" w:eastAsia="Times New Roman" w:hAnsi="Calibri" w:cs="Calibri"/>
                <w:b/>
                <w:color w:val="auto"/>
                <w:sz w:val="24"/>
                <w:szCs w:val="24"/>
                <w:u w:val="single"/>
                <w:lang w:val="en-GB"/>
              </w:rPr>
              <w:t>Perspectives and Recommendations for the Promotion of Gender Equality in the Judiciary: Moving towards a more equal future</w:t>
            </w:r>
          </w:p>
          <w:p w14:paraId="3BC4842E" w14:textId="77777777" w:rsidR="0093291D" w:rsidRPr="00877EA6" w:rsidRDefault="0093291D">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p>
          <w:p w14:paraId="7D0FA5BC" w14:textId="77777777" w:rsidR="0093291D" w:rsidRPr="00877EA6" w:rsidRDefault="00AA36A1">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To achieve a more equal future and ensure gender justice in Guinea-Bissau's judicial system, it is essential to foster a range of policies and practices that promote gender equity. This involves not only </w:t>
            </w:r>
            <w:r w:rsidRPr="00877EA6">
              <w:rPr>
                <w:rFonts w:ascii="Calibri" w:eastAsia="Times New Roman" w:hAnsi="Calibri" w:cs="Calibri"/>
                <w:b/>
                <w:sz w:val="24"/>
                <w:szCs w:val="24"/>
                <w:lang w:val="en-GB"/>
              </w:rPr>
              <w:t>ensuring the fair representation of women in leadership positions</w:t>
            </w:r>
            <w:r w:rsidRPr="00877EA6">
              <w:rPr>
                <w:rFonts w:ascii="Calibri" w:eastAsia="Times New Roman" w:hAnsi="Calibri" w:cs="Calibri"/>
                <w:sz w:val="24"/>
                <w:szCs w:val="24"/>
                <w:lang w:val="en-GB"/>
              </w:rPr>
              <w:t xml:space="preserve"> within the justice system, but also </w:t>
            </w:r>
            <w:r w:rsidRPr="00877EA6">
              <w:rPr>
                <w:rFonts w:ascii="Calibri" w:eastAsia="Times New Roman" w:hAnsi="Calibri" w:cs="Calibri"/>
                <w:b/>
                <w:sz w:val="24"/>
                <w:szCs w:val="24"/>
                <w:lang w:val="en-GB"/>
              </w:rPr>
              <w:t>fostering the development and implementation of extensive training programs</w:t>
            </w:r>
            <w:r w:rsidRPr="00877EA6">
              <w:rPr>
                <w:rFonts w:ascii="Calibri" w:eastAsia="Times New Roman" w:hAnsi="Calibri" w:cs="Calibri"/>
                <w:sz w:val="24"/>
                <w:szCs w:val="24"/>
                <w:lang w:val="en-GB"/>
              </w:rPr>
              <w:t xml:space="preserve"> focused on raising awareness of gender issues and combating entrenched bias.</w:t>
            </w:r>
          </w:p>
          <w:p w14:paraId="5C561302" w14:textId="2BBF8078" w:rsidR="0093291D" w:rsidRPr="00877EA6" w:rsidRDefault="00AA36A1">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It is also crucial </w:t>
            </w:r>
            <w:r w:rsidRPr="00877EA6">
              <w:rPr>
                <w:rFonts w:ascii="Calibri" w:eastAsia="Times New Roman" w:hAnsi="Calibri" w:cs="Calibri"/>
                <w:b/>
                <w:sz w:val="24"/>
                <w:szCs w:val="24"/>
                <w:lang w:val="en-GB"/>
              </w:rPr>
              <w:t>to strengthen existing gender laws and policies</w:t>
            </w:r>
            <w:r w:rsidRPr="00877EA6">
              <w:rPr>
                <w:rFonts w:ascii="Calibri" w:eastAsia="Times New Roman" w:hAnsi="Calibri" w:cs="Calibri"/>
                <w:sz w:val="24"/>
                <w:szCs w:val="24"/>
                <w:lang w:val="en-GB"/>
              </w:rPr>
              <w:t xml:space="preserve">, ensuring their effective and efficient enforcement, </w:t>
            </w:r>
            <w:r w:rsidRPr="00877EA6">
              <w:rPr>
                <w:rFonts w:ascii="Calibri" w:eastAsia="Times New Roman" w:hAnsi="Calibri" w:cs="Calibri"/>
                <w:b/>
                <w:sz w:val="24"/>
                <w:szCs w:val="24"/>
                <w:lang w:val="en-GB"/>
              </w:rPr>
              <w:t>to strengthen political leadership and technical gender capacities</w:t>
            </w:r>
            <w:r w:rsidRPr="00877EA6">
              <w:rPr>
                <w:rFonts w:ascii="Calibri" w:eastAsia="Times New Roman" w:hAnsi="Calibri" w:cs="Calibri"/>
                <w:sz w:val="24"/>
                <w:szCs w:val="24"/>
                <w:lang w:val="en-GB"/>
              </w:rPr>
              <w:t xml:space="preserve">, and </w:t>
            </w:r>
            <w:r w:rsidRPr="00877EA6">
              <w:rPr>
                <w:rFonts w:ascii="Calibri" w:eastAsia="Times New Roman" w:hAnsi="Calibri" w:cs="Calibri"/>
                <w:b/>
                <w:sz w:val="24"/>
                <w:szCs w:val="24"/>
                <w:lang w:val="en-GB"/>
              </w:rPr>
              <w:t>to create strict monitoring and accountability mechanisms</w:t>
            </w:r>
            <w:r w:rsidRPr="00877EA6">
              <w:rPr>
                <w:rFonts w:ascii="Calibri" w:eastAsia="Times New Roman" w:hAnsi="Calibri" w:cs="Calibri"/>
                <w:sz w:val="24"/>
                <w:szCs w:val="24"/>
                <w:lang w:val="en-GB"/>
              </w:rPr>
              <w:t xml:space="preserve"> to ensure their continued effectiveness. In </w:t>
            </w:r>
            <w:r w:rsidR="00C57D4C" w:rsidRPr="00877EA6">
              <w:rPr>
                <w:rFonts w:ascii="Calibri" w:eastAsia="Times New Roman" w:hAnsi="Calibri" w:cs="Calibri"/>
                <w:sz w:val="24"/>
                <w:szCs w:val="24"/>
                <w:lang w:val="en-GB"/>
              </w:rPr>
              <w:t>addition, women’s</w:t>
            </w:r>
            <w:r w:rsidRPr="00877EA6">
              <w:rPr>
                <w:rFonts w:ascii="Calibri" w:eastAsia="Times New Roman" w:hAnsi="Calibri" w:cs="Calibri"/>
                <w:sz w:val="24"/>
                <w:szCs w:val="24"/>
                <w:lang w:val="en-GB"/>
              </w:rPr>
              <w:t xml:space="preserve"> </w:t>
            </w:r>
            <w:r w:rsidRPr="00877EA6">
              <w:rPr>
                <w:rFonts w:ascii="Calibri" w:eastAsia="Times New Roman" w:hAnsi="Calibri" w:cs="Calibri"/>
                <w:b/>
                <w:sz w:val="24"/>
                <w:szCs w:val="24"/>
                <w:lang w:val="en-GB"/>
              </w:rPr>
              <w:t>access to justice must be expanded and facilitated</w:t>
            </w:r>
            <w:r w:rsidRPr="00877EA6">
              <w:rPr>
                <w:rFonts w:ascii="Calibri" w:eastAsia="Times New Roman" w:hAnsi="Calibri" w:cs="Calibri"/>
                <w:sz w:val="24"/>
                <w:szCs w:val="24"/>
                <w:lang w:val="en-GB"/>
              </w:rPr>
              <w:t>, ensuring that they are adequately represented and supported in all cases of gender-based violence, with the necessary support (human, technical, social and financial) to overcome these adversities.</w:t>
            </w:r>
          </w:p>
          <w:p w14:paraId="6D241B5A" w14:textId="77777777" w:rsidR="0093291D" w:rsidRPr="00877EA6" w:rsidRDefault="00AA36A1">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Finally, the importance of </w:t>
            </w:r>
            <w:r w:rsidRPr="00877EA6">
              <w:rPr>
                <w:rFonts w:ascii="Calibri" w:eastAsia="Times New Roman" w:hAnsi="Calibri" w:cs="Calibri"/>
                <w:b/>
                <w:sz w:val="24"/>
                <w:szCs w:val="24"/>
                <w:lang w:val="en-GB"/>
              </w:rPr>
              <w:t>financial and technical support for civil society organisations</w:t>
            </w:r>
            <w:r w:rsidRPr="00877EA6">
              <w:rPr>
                <w:rFonts w:ascii="Calibri" w:eastAsia="Times New Roman" w:hAnsi="Calibri" w:cs="Calibri"/>
                <w:sz w:val="24"/>
                <w:szCs w:val="24"/>
                <w:lang w:val="en-GB"/>
              </w:rPr>
              <w:t xml:space="preserve"> dedicated to the fight for women's rights should not be underestimated. These entities are crucial for continued progress in promoting gender equity in Guinea-Bissau's judicial system, and adequate support for these organizations is essential for the continuity of their valuable mission. Only through these extensive efforts and systematic collaboration can progress be made towards a justice system that is truly equal and fair for all.</w:t>
            </w:r>
          </w:p>
          <w:p w14:paraId="1D3A2D8E" w14:textId="77777777" w:rsidR="0093291D" w:rsidRPr="00877EA6" w:rsidRDefault="00AA36A1">
            <w:pPr>
              <w:pBdr>
                <w:top w:val="nil"/>
                <w:left w:val="nil"/>
                <w:bottom w:val="nil"/>
                <w:right w:val="nil"/>
                <w:between w:val="nil"/>
              </w:pBdr>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In summary, and in line with the findings and conclusions of the audit, to ensure a fairer and more gender-responsive justice system, it is essential to implement the following strategies: </w:t>
            </w:r>
          </w:p>
          <w:p w14:paraId="5BF25CC1" w14:textId="7ED7E8BF"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Promote Women</w:t>
            </w:r>
            <w:r w:rsidR="003D65B3">
              <w:rPr>
                <w:rFonts w:ascii="Calibri" w:eastAsia="Times New Roman" w:hAnsi="Calibri" w:cs="Calibri"/>
                <w:b/>
                <w:sz w:val="24"/>
                <w:szCs w:val="24"/>
                <w:lang w:val="en-GB"/>
              </w:rPr>
              <w:t>’</w:t>
            </w:r>
            <w:r w:rsidRPr="00877EA6">
              <w:rPr>
                <w:rFonts w:ascii="Calibri" w:eastAsia="Times New Roman" w:hAnsi="Calibri" w:cs="Calibri"/>
                <w:b/>
                <w:sz w:val="24"/>
                <w:szCs w:val="24"/>
                <w:lang w:val="en-GB"/>
              </w:rPr>
              <w:t>s Representation:</w:t>
            </w:r>
            <w:r w:rsidRPr="00877EA6">
              <w:rPr>
                <w:rFonts w:ascii="Calibri" w:eastAsia="Times New Roman" w:hAnsi="Calibri" w:cs="Calibri"/>
                <w:sz w:val="24"/>
                <w:szCs w:val="24"/>
                <w:lang w:val="en-GB"/>
              </w:rPr>
              <w:t xml:space="preserve"> Implement measures to increase the number of women in leadership positions, promoting the access and advancement of women in the judicial system.</w:t>
            </w:r>
          </w:p>
          <w:p w14:paraId="7BDD2C7B" w14:textId="5FB157EC"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Empower and Raise Awareness:</w:t>
            </w:r>
            <w:r w:rsidRPr="00877EA6">
              <w:rPr>
                <w:rFonts w:ascii="Calibri" w:eastAsia="Times New Roman" w:hAnsi="Calibri" w:cs="Calibri"/>
                <w:sz w:val="24"/>
                <w:szCs w:val="24"/>
                <w:lang w:val="en-GB"/>
              </w:rPr>
              <w:t xml:space="preserve"> Empower magistrates and legal practitioners on gender issues, including gender-based violence, women</w:t>
            </w:r>
            <w:r w:rsidR="003D65B3">
              <w:rPr>
                <w:rFonts w:ascii="Calibri" w:eastAsia="Times New Roman" w:hAnsi="Calibri" w:cs="Calibri"/>
                <w:sz w:val="24"/>
                <w:szCs w:val="24"/>
                <w:lang w:val="en-GB"/>
              </w:rPr>
              <w:t>’</w:t>
            </w:r>
            <w:r w:rsidRPr="00877EA6">
              <w:rPr>
                <w:rFonts w:ascii="Calibri" w:eastAsia="Times New Roman" w:hAnsi="Calibri" w:cs="Calibri"/>
                <w:sz w:val="24"/>
                <w:szCs w:val="24"/>
                <w:lang w:val="en-GB"/>
              </w:rPr>
              <w:t>s rights, and gender-responsive justice mechanisms.</w:t>
            </w:r>
          </w:p>
          <w:p w14:paraId="6F0058C0" w14:textId="77777777"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Revision of Criteria for Gender Mainstreaming:</w:t>
            </w:r>
            <w:r w:rsidRPr="00877EA6">
              <w:rPr>
                <w:rFonts w:ascii="Calibri" w:eastAsia="Times New Roman" w:hAnsi="Calibri" w:cs="Calibri"/>
                <w:sz w:val="24"/>
                <w:szCs w:val="24"/>
                <w:lang w:val="en-GB"/>
              </w:rPr>
              <w:t xml:space="preserve"> Revise merit and seniority criteria to ensure that they are not used to perpetuate discrimination against women.</w:t>
            </w:r>
          </w:p>
          <w:p w14:paraId="7B59B781" w14:textId="77777777"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lastRenderedPageBreak/>
              <w:t>Create Balance Policies:</w:t>
            </w:r>
            <w:r w:rsidRPr="00877EA6">
              <w:rPr>
                <w:rFonts w:ascii="Calibri" w:eastAsia="Times New Roman" w:hAnsi="Calibri" w:cs="Calibri"/>
                <w:sz w:val="24"/>
                <w:szCs w:val="24"/>
                <w:lang w:val="en-GB"/>
              </w:rPr>
              <w:t xml:space="preserve"> Implement flexible work policies and parental leave options to support women and men at work and in their personal lives.</w:t>
            </w:r>
          </w:p>
          <w:p w14:paraId="3BE1D683" w14:textId="77777777"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Promote Continuity:</w:t>
            </w:r>
            <w:r w:rsidRPr="00877EA6">
              <w:rPr>
                <w:rFonts w:ascii="Calibri" w:eastAsia="Times New Roman" w:hAnsi="Calibri" w:cs="Calibri"/>
                <w:sz w:val="24"/>
                <w:szCs w:val="24"/>
                <w:lang w:val="en-GB"/>
              </w:rPr>
              <w:t xml:space="preserve"> Ensure that policy changes do not impede the implementation of gender equality policies.</w:t>
            </w:r>
          </w:p>
          <w:p w14:paraId="61EF22CC" w14:textId="77777777"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Strengthen Awareness:</w:t>
            </w:r>
            <w:r w:rsidRPr="00877EA6">
              <w:rPr>
                <w:rFonts w:ascii="Calibri" w:eastAsia="Times New Roman" w:hAnsi="Calibri" w:cs="Calibri"/>
                <w:sz w:val="24"/>
                <w:szCs w:val="24"/>
                <w:lang w:val="en-GB"/>
              </w:rPr>
              <w:t xml:space="preserve"> Disseminate information and promote awareness of the principles of gender equality among judicial system officials, the community, and the general population.</w:t>
            </w:r>
          </w:p>
          <w:p w14:paraId="2E16E9B1" w14:textId="77777777"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Build the capacities of traditional leaders:</w:t>
            </w:r>
            <w:r w:rsidRPr="00877EA6">
              <w:rPr>
                <w:rFonts w:ascii="Calibri" w:eastAsia="Times New Roman" w:hAnsi="Calibri" w:cs="Calibri"/>
                <w:sz w:val="24"/>
                <w:szCs w:val="24"/>
                <w:lang w:val="en-GB"/>
              </w:rPr>
              <w:t xml:space="preserve"> Create capacity building programs for traditional and religious leaders on gender equality and women's rights. </w:t>
            </w:r>
          </w:p>
          <w:p w14:paraId="400FEF43" w14:textId="77777777"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Fight impunity:</w:t>
            </w:r>
            <w:r w:rsidRPr="00877EA6">
              <w:rPr>
                <w:rFonts w:ascii="Calibri" w:eastAsia="Times New Roman" w:hAnsi="Calibri" w:cs="Calibri"/>
                <w:sz w:val="24"/>
                <w:szCs w:val="24"/>
                <w:lang w:val="en-GB"/>
              </w:rPr>
              <w:t xml:space="preserve"> Develop effective monitoring and punishment mechanisms for crimes of violence against women, ensure support for victims, and create specialized units to deal with cases of domestic violence.</w:t>
            </w:r>
          </w:p>
          <w:p w14:paraId="3E5AAD83" w14:textId="77777777"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Combat traditional discriminatory practices against women:</w:t>
            </w:r>
            <w:r w:rsidRPr="00877EA6">
              <w:rPr>
                <w:rFonts w:ascii="Calibri" w:eastAsia="Times New Roman" w:hAnsi="Calibri" w:cs="Calibri"/>
                <w:sz w:val="24"/>
                <w:szCs w:val="24"/>
                <w:lang w:val="en-GB"/>
              </w:rPr>
              <w:t xml:space="preserve"> Create education and awareness-raising programs to modify cultural practices that discriminate against women, combat forced marriage and female genital mutilation, and strengthen mechanisms to support victims.</w:t>
            </w:r>
          </w:p>
          <w:p w14:paraId="37BF6211" w14:textId="77777777" w:rsidR="0093291D" w:rsidRPr="00877EA6" w:rsidRDefault="00AA36A1">
            <w:pPr>
              <w:numPr>
                <w:ilvl w:val="0"/>
                <w:numId w:val="3"/>
              </w:numPr>
              <w:shd w:val="clear" w:color="auto" w:fill="FFFFFF"/>
              <w:spacing w:before="120" w:after="120" w:line="288" w:lineRule="auto"/>
              <w:ind w:left="0" w:firstLine="567"/>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Promote economic equal opportunity:</w:t>
            </w:r>
            <w:r w:rsidRPr="00877EA6">
              <w:rPr>
                <w:rFonts w:ascii="Calibri" w:eastAsia="Times New Roman" w:hAnsi="Calibri" w:cs="Calibri"/>
                <w:sz w:val="24"/>
                <w:szCs w:val="24"/>
                <w:lang w:val="en-GB"/>
              </w:rPr>
              <w:t xml:space="preserve"> Implement public policies to promote equal opportunities and access to economic resources for women, including access to land, credit, and vocational training.</w:t>
            </w:r>
          </w:p>
          <w:p w14:paraId="4421FA18" w14:textId="77777777" w:rsidR="0093291D" w:rsidRPr="00877EA6" w:rsidRDefault="00AA36A1">
            <w:pP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In short, the implementation of effective policies, the creation of a fairer work environment, and the continuous training of professionals are essential. Investment in awareness-raising campaigns and inter-institutional partnerships will ensure significant progress in protecting women's rights and strengthening justice in Guinea-Bissau.</w:t>
            </w:r>
          </w:p>
          <w:p w14:paraId="66845557" w14:textId="77777777" w:rsidR="0093291D" w:rsidRPr="00877EA6" w:rsidRDefault="00AA36A1">
            <w:pP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However, this whole set of strategies will only be fruitful and bring gender-transformative results if they take place in a context of </w:t>
            </w:r>
            <w:r w:rsidRPr="00877EA6">
              <w:rPr>
                <w:rFonts w:ascii="Calibri" w:eastAsia="Times New Roman" w:hAnsi="Calibri" w:cs="Calibri"/>
                <w:b/>
                <w:sz w:val="24"/>
                <w:szCs w:val="24"/>
                <w:lang w:val="en-GB"/>
              </w:rPr>
              <w:t>good governance of the justice system in relation to gender equality commitments.</w:t>
            </w:r>
            <w:r w:rsidRPr="00877EA6">
              <w:rPr>
                <w:rFonts w:ascii="Calibri" w:eastAsia="Times New Roman" w:hAnsi="Calibri" w:cs="Calibri"/>
                <w:sz w:val="24"/>
                <w:szCs w:val="24"/>
                <w:lang w:val="en-GB"/>
              </w:rPr>
              <w:t xml:space="preserve"> This necessarily implies greater attention to the issues of </w:t>
            </w:r>
            <w:r w:rsidRPr="00877EA6">
              <w:rPr>
                <w:rFonts w:ascii="Calibri" w:eastAsia="Times New Roman" w:hAnsi="Calibri" w:cs="Calibri"/>
                <w:b/>
                <w:sz w:val="24"/>
                <w:szCs w:val="24"/>
                <w:lang w:val="en-GB"/>
              </w:rPr>
              <w:t xml:space="preserve"> </w:t>
            </w:r>
            <w:r w:rsidRPr="00877EA6">
              <w:rPr>
                <w:rFonts w:ascii="Calibri" w:eastAsia="Times New Roman" w:hAnsi="Calibri" w:cs="Calibri"/>
                <w:i/>
                <w:sz w:val="24"/>
                <w:szCs w:val="24"/>
                <w:lang w:val="en-GB"/>
              </w:rPr>
              <w:t xml:space="preserve"> </w:t>
            </w:r>
            <w:r w:rsidRPr="00877EA6">
              <w:rPr>
                <w:rFonts w:ascii="Calibri" w:eastAsia="Times New Roman" w:hAnsi="Calibri" w:cs="Calibri"/>
                <w:sz w:val="24"/>
                <w:szCs w:val="24"/>
                <w:lang w:val="en-GB"/>
              </w:rPr>
              <w:t>compliance and</w:t>
            </w:r>
            <w:r w:rsidRPr="00877EA6">
              <w:rPr>
                <w:rFonts w:ascii="Calibri" w:eastAsia="Times New Roman" w:hAnsi="Calibri" w:cs="Calibri"/>
                <w:i/>
                <w:sz w:val="24"/>
                <w:szCs w:val="24"/>
                <w:lang w:val="en-GB"/>
              </w:rPr>
              <w:t xml:space="preserve"> accountability </w:t>
            </w:r>
            <w:r w:rsidRPr="00877EA6">
              <w:rPr>
                <w:rFonts w:ascii="Calibri" w:eastAsia="Times New Roman" w:hAnsi="Calibri" w:cs="Calibri"/>
                <w:sz w:val="24"/>
                <w:szCs w:val="24"/>
                <w:lang w:val="en-GB"/>
              </w:rPr>
              <w:t xml:space="preserve">of the entire system and its actors. </w:t>
            </w:r>
            <w:r w:rsidRPr="00877EA6">
              <w:rPr>
                <w:rFonts w:ascii="Calibri" w:eastAsia="Times New Roman" w:hAnsi="Calibri" w:cs="Calibri"/>
                <w:b/>
                <w:sz w:val="24"/>
                <w:szCs w:val="24"/>
                <w:u w:val="single"/>
                <w:lang w:val="en-GB"/>
              </w:rPr>
              <w:t>The intrinsic and symbiotic relationship between these three is fundamental to the promotion of gender equality: compliance with gender equality laws and standards is essential to ensure accountability, while monitoring and accountability for deviations creates an incentive for the actors of the system to comply with laws and policies.</w:t>
            </w:r>
            <w:r w:rsidRPr="00877EA6">
              <w:rPr>
                <w:rFonts w:ascii="Calibri" w:eastAsia="Times New Roman" w:hAnsi="Calibri" w:cs="Calibri"/>
                <w:sz w:val="24"/>
                <w:szCs w:val="24"/>
                <w:lang w:val="en-GB"/>
              </w:rPr>
              <w:t xml:space="preserve"> In this way, we will be working to ensure that laws are clear, consistent, and easily accessible to all, facilitating their effective implementation, while ensuring that perpetrators of gender-based violence and discrimination are held accountable for their actions. As a result, we will have an increase in the confidence of women and </w:t>
            </w:r>
            <w:r w:rsidRPr="00877EA6">
              <w:rPr>
                <w:rFonts w:ascii="Calibri" w:eastAsia="Times New Roman" w:hAnsi="Calibri" w:cs="Calibri"/>
                <w:sz w:val="24"/>
                <w:szCs w:val="24"/>
                <w:lang w:val="en-GB"/>
              </w:rPr>
              <w:lastRenderedPageBreak/>
              <w:t xml:space="preserve">people in the justice system, in the certainty that their rights will be defended in law, that perpetrators will be punished in line with existing legislation. </w:t>
            </w:r>
          </w:p>
          <w:p w14:paraId="7DCAD6A6" w14:textId="158479EC" w:rsidR="0093291D" w:rsidRPr="00877EA6" w:rsidRDefault="00AA36A1">
            <w:pP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 xml:space="preserve"> Capacity building</w:t>
            </w:r>
            <w:r w:rsidRPr="00877EA6">
              <w:rPr>
                <w:rFonts w:ascii="Calibri" w:eastAsia="Times New Roman" w:hAnsi="Calibri" w:cs="Calibri"/>
                <w:sz w:val="24"/>
                <w:szCs w:val="24"/>
                <w:lang w:val="en-GB"/>
              </w:rPr>
              <w:t xml:space="preserve"> of magistrates, legal practitioners and research agents on gender issues; Investment  in resources for the justice system (gender specialists, construction, rehabilitation and operation of facilities, hiring observing the principle of parity, adequate budget, etc.); and, </w:t>
            </w:r>
            <w:r w:rsidRPr="00877EA6">
              <w:rPr>
                <w:rFonts w:ascii="Calibri" w:eastAsia="Times New Roman" w:hAnsi="Calibri" w:cs="Calibri"/>
                <w:b/>
                <w:sz w:val="24"/>
                <w:szCs w:val="24"/>
                <w:lang w:val="en-GB"/>
              </w:rPr>
              <w:t>Monitoring</w:t>
            </w:r>
            <w:r w:rsidRPr="00877EA6">
              <w:rPr>
                <w:rFonts w:ascii="Calibri" w:eastAsia="Times New Roman" w:hAnsi="Calibri" w:cs="Calibri"/>
                <w:sz w:val="24"/>
                <w:szCs w:val="24"/>
                <w:lang w:val="en-GB"/>
              </w:rPr>
              <w:t xml:space="preserve"> (robust monitoring system, with gender statistics and disaggregated data, which allows for the assessment of compliance with gender laws and the implementation of gender policies) are essential elements of such good gender-responsive governance.</w:t>
            </w:r>
          </w:p>
          <w:p w14:paraId="69999BA8" w14:textId="60241171" w:rsidR="0093291D" w:rsidRPr="00877EA6" w:rsidRDefault="00AA36A1">
            <w:pPr>
              <w:pBdr>
                <w:top w:val="nil"/>
                <w:left w:val="nil"/>
                <w:bottom w:val="nil"/>
                <w:right w:val="nil"/>
                <w:between w:val="nil"/>
              </w:pBdr>
              <w:shd w:val="clear" w:color="auto" w:fill="FFFFFF"/>
              <w:spacing w:before="120" w:after="12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In short, the lack of compliance and accountability is a risk to the pursuit of the goal of gender justice and equality in Guinea-Bissau. For the justice system to be effective, fair, and gender-sensitive, it is necessary to ensure that laws are implemented consistently and that the system's actors are held accountable for their actions and/or omissions. It is crucial to act to transform Guinea-Bissau</w:t>
            </w:r>
            <w:r w:rsidR="003D65B3">
              <w:rPr>
                <w:rFonts w:ascii="Calibri" w:eastAsia="Times New Roman" w:hAnsi="Calibri" w:cs="Calibri"/>
                <w:sz w:val="24"/>
                <w:szCs w:val="24"/>
                <w:lang w:val="en-GB"/>
              </w:rPr>
              <w:t>’</w:t>
            </w:r>
            <w:r w:rsidRPr="00877EA6">
              <w:rPr>
                <w:rFonts w:ascii="Calibri" w:eastAsia="Times New Roman" w:hAnsi="Calibri" w:cs="Calibri"/>
                <w:sz w:val="24"/>
                <w:szCs w:val="24"/>
                <w:lang w:val="en-GB"/>
              </w:rPr>
              <w:t>s judicial system into a fairer and more equitable environment for all its citizens. The gender audit serves as a starting point for dialogue and concrete actions that promote gender equality and ensure that justice is accessible and sensitive to women's needs.</w:t>
            </w:r>
          </w:p>
          <w:p w14:paraId="44F577E3" w14:textId="77777777" w:rsidR="0093291D" w:rsidRPr="00877EA6" w:rsidRDefault="0093291D">
            <w:pPr>
              <w:pStyle w:val="Heading2"/>
              <w:rPr>
                <w:rFonts w:ascii="Calibri" w:eastAsia="Times New Roman" w:hAnsi="Calibri" w:cs="Calibri"/>
                <w:b/>
                <w:color w:val="auto"/>
                <w:sz w:val="24"/>
                <w:szCs w:val="24"/>
                <w:lang w:val="en-GB"/>
              </w:rPr>
            </w:pPr>
          </w:p>
        </w:tc>
      </w:tr>
    </w:tbl>
    <w:p w14:paraId="6E315D02"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lastRenderedPageBreak/>
        <w:t xml:space="preserve">Recently, in November 2024, </w:t>
      </w:r>
      <w:r w:rsidRPr="00877EA6">
        <w:rPr>
          <w:rFonts w:ascii="Calibri" w:eastAsia="Times New Roman" w:hAnsi="Calibri" w:cs="Calibri"/>
          <w:b/>
          <w:sz w:val="24"/>
          <w:szCs w:val="24"/>
          <w:u w:val="single"/>
          <w:lang w:val="en-GB"/>
        </w:rPr>
        <w:t xml:space="preserve">the UN Special Rapporteur on Trafficking in Persons, </w:t>
      </w:r>
      <w:r w:rsidRPr="00877EA6">
        <w:rPr>
          <w:rFonts w:ascii="Calibri" w:eastAsia="Times New Roman" w:hAnsi="Calibri" w:cs="Calibri"/>
          <w:sz w:val="24"/>
          <w:szCs w:val="24"/>
          <w:lang w:val="en-GB"/>
        </w:rPr>
        <w:t xml:space="preserve">Siobhán Mullally, visited the country, where she highlighted the persistent challenges in the effective implementation of the rules that criminalize violence against women and children in the country, due to factors such as impunity for perpetrators, the social normalization of violence, and the limited capacity of judicial and protection institutions. </w:t>
      </w:r>
    </w:p>
    <w:p w14:paraId="76CA1447" w14:textId="77777777"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Among the preliminary recommendations presented at the end of the visit, a group of them is directly related to "Access to justice, effective investigations and the rule of law". They were: </w:t>
      </w:r>
    </w:p>
    <w:p w14:paraId="4178E00E" w14:textId="004C6441"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b/>
          <w:sz w:val="24"/>
          <w:szCs w:val="24"/>
          <w:lang w:val="en-GB"/>
        </w:rPr>
        <w:t xml:space="preserve">Strengthen the independence of the judiciary and safeguard the independence of </w:t>
      </w:r>
      <w:r w:rsidR="00463AB3" w:rsidRPr="00877EA6">
        <w:rPr>
          <w:rFonts w:ascii="Calibri" w:eastAsia="Times New Roman" w:hAnsi="Calibri" w:cs="Calibri"/>
          <w:b/>
          <w:sz w:val="24"/>
          <w:szCs w:val="24"/>
          <w:lang w:val="en-GB"/>
        </w:rPr>
        <w:t>lawyers</w:t>
      </w:r>
      <w:r w:rsidR="00463AB3" w:rsidRPr="00877EA6">
        <w:rPr>
          <w:rFonts w:ascii="Calibri" w:eastAsia="Times New Roman" w:hAnsi="Calibri" w:cs="Calibri"/>
          <w:sz w:val="24"/>
          <w:szCs w:val="24"/>
          <w:lang w:val="en-GB"/>
        </w:rPr>
        <w:t>.</w:t>
      </w:r>
    </w:p>
    <w:p w14:paraId="55384117" w14:textId="0489B802"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Ensure effective investigations and prosecutions by strengthening the administration of justice and actions to combat corruption that contributes to impunity for the serious crime and serious violation of human rights that is trafficking in </w:t>
      </w:r>
      <w:r w:rsidR="00463AB3" w:rsidRPr="00877EA6">
        <w:rPr>
          <w:rFonts w:ascii="Calibri" w:eastAsia="Times New Roman" w:hAnsi="Calibri" w:cs="Calibri"/>
          <w:sz w:val="24"/>
          <w:szCs w:val="24"/>
          <w:lang w:val="en-GB"/>
        </w:rPr>
        <w:t>persons.</w:t>
      </w:r>
    </w:p>
    <w:p w14:paraId="6A25FE8C" w14:textId="60D20796"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Take effective measures to combat impunity for religious leaders involved in child trafficking, through effective investigations and access to justice for child victims and their </w:t>
      </w:r>
      <w:r w:rsidR="00463AB3" w:rsidRPr="00877EA6">
        <w:rPr>
          <w:rFonts w:ascii="Calibri" w:eastAsia="Times New Roman" w:hAnsi="Calibri" w:cs="Calibri"/>
          <w:sz w:val="24"/>
          <w:szCs w:val="24"/>
          <w:lang w:val="en-GB"/>
        </w:rPr>
        <w:t>families.</w:t>
      </w:r>
    </w:p>
    <w:p w14:paraId="4EA32FFA" w14:textId="04C1174D"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lastRenderedPageBreak/>
        <w:t xml:space="preserve">Ensure investigations of trafficking for the purpose of sexual exploitation that are sensitive to gender and children, prioritizing the rights, safety and dignity of </w:t>
      </w:r>
      <w:r w:rsidR="00463AB3" w:rsidRPr="00877EA6">
        <w:rPr>
          <w:rFonts w:ascii="Calibri" w:eastAsia="Times New Roman" w:hAnsi="Calibri" w:cs="Calibri"/>
          <w:sz w:val="24"/>
          <w:szCs w:val="24"/>
          <w:lang w:val="en-GB"/>
        </w:rPr>
        <w:t>victims.</w:t>
      </w:r>
    </w:p>
    <w:p w14:paraId="657471F8" w14:textId="7F9E794A"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Strengthen capacity for rights-based forensic medical examinations to support effective human trafficking investigations, and development of best practice </w:t>
      </w:r>
      <w:r w:rsidR="00463AB3" w:rsidRPr="00877EA6">
        <w:rPr>
          <w:rFonts w:ascii="Calibri" w:eastAsia="Times New Roman" w:hAnsi="Calibri" w:cs="Calibri"/>
          <w:sz w:val="24"/>
          <w:szCs w:val="24"/>
          <w:lang w:val="en-GB"/>
        </w:rPr>
        <w:t>guidelines.</w:t>
      </w:r>
    </w:p>
    <w:p w14:paraId="3F45235E" w14:textId="7F5B80FA"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Continue to expand the Access to Justice (CAJ) initiative and strengthen, through sustainable funding, the Bar Association's initiative on free access to legal aid, especially in rural </w:t>
      </w:r>
      <w:r w:rsidR="00463AB3" w:rsidRPr="00877EA6">
        <w:rPr>
          <w:rFonts w:ascii="Calibri" w:eastAsia="Times New Roman" w:hAnsi="Calibri" w:cs="Calibri"/>
          <w:sz w:val="24"/>
          <w:szCs w:val="24"/>
          <w:lang w:val="en-GB"/>
        </w:rPr>
        <w:t>areas.</w:t>
      </w:r>
    </w:p>
    <w:p w14:paraId="5A6A92AE" w14:textId="07786684"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Expand and strengthen the Mobile Courts programme to ensure access to justice also in rural </w:t>
      </w:r>
      <w:r w:rsidR="00463AB3" w:rsidRPr="00877EA6">
        <w:rPr>
          <w:rFonts w:ascii="Calibri" w:eastAsia="Times New Roman" w:hAnsi="Calibri" w:cs="Calibri"/>
          <w:sz w:val="24"/>
          <w:szCs w:val="24"/>
          <w:lang w:val="en-GB"/>
        </w:rPr>
        <w:t>areas.</w:t>
      </w:r>
    </w:p>
    <w:p w14:paraId="458A0CA1" w14:textId="22331BF2"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Establish and develop awareness-raising programs among at-risk groups, especially in rural areas, on access to justice and mechanisms available to report cases of trafficking and any form of exploitation, in particular gender-based violence and exploitation of </w:t>
      </w:r>
      <w:r w:rsidR="00463AB3" w:rsidRPr="00877EA6">
        <w:rPr>
          <w:rFonts w:ascii="Calibri" w:eastAsia="Times New Roman" w:hAnsi="Calibri" w:cs="Calibri"/>
          <w:sz w:val="24"/>
          <w:szCs w:val="24"/>
          <w:lang w:val="en-GB"/>
        </w:rPr>
        <w:t>girls.</w:t>
      </w:r>
      <w:r w:rsidRPr="00877EA6">
        <w:rPr>
          <w:rFonts w:ascii="Calibri" w:eastAsia="Times New Roman" w:hAnsi="Calibri" w:cs="Calibri"/>
          <w:sz w:val="24"/>
          <w:szCs w:val="24"/>
          <w:lang w:val="en-GB"/>
        </w:rPr>
        <w:t xml:space="preserve"> </w:t>
      </w:r>
    </w:p>
    <w:p w14:paraId="5C135A26" w14:textId="0B39F10B"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Establish competency-based admission for law enforcement agencies and establish mandatory training on gender responsive policy mainstreaming to better respond to the needs of women and girls who are or could be victims of exploitation and abuse, and to counter discriminatory and stigmatizing attitudes of law enforcement actors towards women and girls, especially in the context of sexual exploitation</w:t>
      </w:r>
      <w:r w:rsidR="00B27CF2">
        <w:rPr>
          <w:rFonts w:ascii="Calibri" w:eastAsia="Times New Roman" w:hAnsi="Calibri" w:cs="Calibri"/>
          <w:sz w:val="24"/>
          <w:szCs w:val="24"/>
          <w:lang w:val="en-GB"/>
        </w:rPr>
        <w:t>.</w:t>
      </w:r>
    </w:p>
    <w:p w14:paraId="6D763F97" w14:textId="50E196BB"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Expand the presence and capacity of the judicial police (human resources, infrastructure and equipment), especially in the regions, and increase the capacity to investigate cases of trafficking in persons to ensure the progression of cases in the justice system, in order to ensure effective access to redress for victims of trafficking and prosecution of traffickers, in line with international obligations; investigate and prosecute allegations of corruption in law enforcement and justice mechanisms</w:t>
      </w:r>
      <w:r w:rsidR="00B27CF2">
        <w:rPr>
          <w:rFonts w:ascii="Calibri" w:eastAsia="Times New Roman" w:hAnsi="Calibri" w:cs="Calibri"/>
          <w:sz w:val="24"/>
          <w:szCs w:val="24"/>
          <w:lang w:val="en-GB"/>
        </w:rPr>
        <w:t>.</w:t>
      </w:r>
    </w:p>
    <w:p w14:paraId="6C727140" w14:textId="0033EF87"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Strengthen capacity to investigate and prosecute technology-facilitated trafficking and the use of digital evidence in investigations and prosecutions</w:t>
      </w:r>
      <w:r w:rsidR="00B27CF2">
        <w:rPr>
          <w:rFonts w:ascii="Calibri" w:eastAsia="Times New Roman" w:hAnsi="Calibri" w:cs="Calibri"/>
          <w:sz w:val="24"/>
          <w:szCs w:val="24"/>
          <w:lang w:val="en-GB"/>
        </w:rPr>
        <w:t>.</w:t>
      </w:r>
    </w:p>
    <w:p w14:paraId="7D6F8594" w14:textId="2CF5025A"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Strengthen access to justice for children, through the implementation of child-friendly justice </w:t>
      </w:r>
      <w:r w:rsidR="00B27CF2" w:rsidRPr="00877EA6">
        <w:rPr>
          <w:rFonts w:ascii="Calibri" w:eastAsia="Times New Roman" w:hAnsi="Calibri" w:cs="Calibri"/>
          <w:sz w:val="24"/>
          <w:szCs w:val="24"/>
          <w:lang w:val="en-GB"/>
        </w:rPr>
        <w:t>measures.</w:t>
      </w:r>
    </w:p>
    <w:p w14:paraId="3A647D2C" w14:textId="04E85C24"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lastRenderedPageBreak/>
        <w:t xml:space="preserve">Ensure gender-sensitive and trauma-informed investigations and criminal justice procedures, including in court proceedings, by providing expert assistance to victims and witnesses in trafficking </w:t>
      </w:r>
      <w:r w:rsidR="00B27CF2" w:rsidRPr="00877EA6">
        <w:rPr>
          <w:rFonts w:ascii="Calibri" w:eastAsia="Times New Roman" w:hAnsi="Calibri" w:cs="Calibri"/>
          <w:sz w:val="24"/>
          <w:szCs w:val="24"/>
          <w:lang w:val="en-GB"/>
        </w:rPr>
        <w:t>cases.</w:t>
      </w:r>
    </w:p>
    <w:p w14:paraId="3C22C4F2" w14:textId="77777777" w:rsidR="0093291D" w:rsidRPr="00877EA6" w:rsidRDefault="00AA36A1">
      <w:pPr>
        <w:numPr>
          <w:ilvl w:val="0"/>
          <w:numId w:val="1"/>
        </w:numPr>
        <w:tabs>
          <w:tab w:val="left" w:pos="1276"/>
        </w:tabs>
        <w:spacing w:before="240" w:after="240" w:line="288" w:lineRule="auto"/>
        <w:ind w:left="1418" w:firstLine="0"/>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 xml:space="preserve">Provide human rights-based training on trafficking in persons to all actors in the justice sector, including on the </w:t>
      </w:r>
      <w:r w:rsidRPr="00877EA6">
        <w:rPr>
          <w:rFonts w:ascii="Calibri" w:eastAsia="Times New Roman" w:hAnsi="Calibri" w:cs="Calibri"/>
          <w:b/>
          <w:sz w:val="24"/>
          <w:szCs w:val="24"/>
          <w:lang w:val="en-GB"/>
        </w:rPr>
        <w:t>principle of non-punishment</w:t>
      </w:r>
      <w:r w:rsidRPr="00877EA6">
        <w:rPr>
          <w:rFonts w:ascii="Calibri" w:eastAsia="Times New Roman" w:hAnsi="Calibri" w:cs="Calibri"/>
          <w:sz w:val="24"/>
          <w:szCs w:val="24"/>
          <w:lang w:val="en-GB"/>
        </w:rPr>
        <w:t xml:space="preserve"> and the right to effective reparations for trafficked persons. </w:t>
      </w:r>
    </w:p>
    <w:p w14:paraId="62DC5B77" w14:textId="2B1305CA" w:rsidR="0093291D" w:rsidRPr="00877EA6" w:rsidRDefault="00AA36A1">
      <w:pPr>
        <w:spacing w:before="240" w:after="240" w:line="288" w:lineRule="auto"/>
        <w:jc w:val="both"/>
        <w:rPr>
          <w:rFonts w:ascii="Calibri" w:eastAsia="Times New Roman" w:hAnsi="Calibri" w:cs="Calibri"/>
          <w:sz w:val="24"/>
          <w:szCs w:val="24"/>
          <w:lang w:val="en-GB"/>
        </w:rPr>
      </w:pPr>
      <w:r w:rsidRPr="00877EA6">
        <w:rPr>
          <w:rFonts w:ascii="Calibri" w:eastAsia="Times New Roman" w:hAnsi="Calibri" w:cs="Calibri"/>
          <w:sz w:val="24"/>
          <w:szCs w:val="24"/>
          <w:lang w:val="en-GB"/>
        </w:rPr>
        <w:t>It is noteworthy that the Rapporteur</w:t>
      </w:r>
      <w:r w:rsidR="00B27CF2">
        <w:rPr>
          <w:rFonts w:ascii="Calibri" w:eastAsia="Times New Roman" w:hAnsi="Calibri" w:cs="Calibri"/>
          <w:sz w:val="24"/>
          <w:szCs w:val="24"/>
          <w:lang w:val="en-GB"/>
        </w:rPr>
        <w:t>’</w:t>
      </w:r>
      <w:r w:rsidRPr="00877EA6">
        <w:rPr>
          <w:rFonts w:ascii="Calibri" w:eastAsia="Times New Roman" w:hAnsi="Calibri" w:cs="Calibri"/>
          <w:sz w:val="24"/>
          <w:szCs w:val="24"/>
          <w:lang w:val="en-GB"/>
        </w:rPr>
        <w:t xml:space="preserve">s analysis of the fragility of child protection systems and the direct relationship between widespread impunity and the existence of human trafficking applies to other forms of violence. </w:t>
      </w:r>
    </w:p>
    <w:p w14:paraId="3AADDE84" w14:textId="77777777" w:rsidR="0093291D" w:rsidRPr="00877EA6" w:rsidRDefault="0093291D">
      <w:pPr>
        <w:rPr>
          <w:rFonts w:ascii="Calibri" w:hAnsi="Calibri" w:cs="Calibri"/>
          <w:lang w:val="en-GB"/>
        </w:rPr>
      </w:pPr>
    </w:p>
    <w:p w14:paraId="3B3E3237" w14:textId="77777777" w:rsidR="0093291D" w:rsidRPr="00877EA6" w:rsidRDefault="0093291D">
      <w:pPr>
        <w:rPr>
          <w:rFonts w:ascii="Calibri" w:hAnsi="Calibri" w:cs="Calibri"/>
          <w:lang w:val="en-GB"/>
        </w:rPr>
      </w:pPr>
    </w:p>
    <w:p w14:paraId="5C192DAA" w14:textId="09D563B2" w:rsidR="0093291D" w:rsidRPr="00877EA6" w:rsidRDefault="0093291D">
      <w:pPr>
        <w:rPr>
          <w:rFonts w:ascii="Calibri" w:hAnsi="Calibri" w:cs="Calibri"/>
          <w:lang w:val="en-GB"/>
        </w:rPr>
      </w:pPr>
    </w:p>
    <w:sectPr w:rsidR="0093291D" w:rsidRPr="00877EA6">
      <w:foot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E3938" w14:textId="77777777" w:rsidR="00D320E7" w:rsidRDefault="00D320E7">
      <w:pPr>
        <w:spacing w:after="0" w:line="240" w:lineRule="auto"/>
      </w:pPr>
      <w:r>
        <w:separator/>
      </w:r>
    </w:p>
  </w:endnote>
  <w:endnote w:type="continuationSeparator" w:id="0">
    <w:p w14:paraId="00643574" w14:textId="77777777" w:rsidR="00D320E7" w:rsidRDefault="00D32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5CD929A-A3F3-4E2F-B12D-849071CB8C04}"/>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889485DE-FBAE-41FC-8658-A7203969E50F}"/>
    <w:embedBold r:id="rId3" w:fontKey="{41BB13A8-3DE6-4821-B693-2A18129CD846}"/>
    <w:embedItalic r:id="rId4" w:fontKey="{A6234C24-5D0E-4003-B8E5-04DCBF53BAFE}"/>
  </w:font>
  <w:font w:name="Aptos Display">
    <w:charset w:val="00"/>
    <w:family w:val="swiss"/>
    <w:pitch w:val="variable"/>
    <w:sig w:usb0="20000287" w:usb1="00000003" w:usb2="00000000" w:usb3="00000000" w:csb0="0000019F" w:csb1="00000000"/>
    <w:embedRegular r:id="rId5" w:fontKey="{C1925F3E-12FF-49EA-9CDA-8FDCB9F40EF2}"/>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B46ECF93-87FE-4346-840B-8269191852DF}"/>
    <w:embedBold r:id="rId7" w:fontKey="{5CADCBCB-DC8E-4AE0-A534-740475E32122}"/>
    <w:embedItalic r:id="rId8" w:fontKey="{791E5123-6858-4A7B-8BCC-7321E200500C}"/>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19F22" w14:textId="77777777" w:rsidR="0093291D" w:rsidRDefault="00AA36A1">
    <w:pPr>
      <w:pBdr>
        <w:top w:val="nil"/>
        <w:left w:val="nil"/>
        <w:bottom w:val="nil"/>
        <w:right w:val="nil"/>
        <w:between w:val="nil"/>
      </w:pBdr>
      <w:tabs>
        <w:tab w:val="center" w:pos="4252"/>
        <w:tab w:val="right" w:pos="8504"/>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2132C">
      <w:rPr>
        <w:noProof/>
        <w:color w:val="000000"/>
      </w:rPr>
      <w:t>1</w:t>
    </w:r>
    <w:r>
      <w:rPr>
        <w:color w:val="000000"/>
      </w:rPr>
      <w:fldChar w:fldCharType="end"/>
    </w:r>
  </w:p>
  <w:p w14:paraId="6C429AD0" w14:textId="77777777" w:rsidR="0093291D" w:rsidRDefault="0093291D">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6F99" w14:textId="77777777" w:rsidR="00D320E7" w:rsidRDefault="00D320E7">
      <w:pPr>
        <w:spacing w:after="0" w:line="240" w:lineRule="auto"/>
      </w:pPr>
      <w:r>
        <w:separator/>
      </w:r>
    </w:p>
  </w:footnote>
  <w:footnote w:type="continuationSeparator" w:id="0">
    <w:p w14:paraId="0FB20F88" w14:textId="77777777" w:rsidR="00D320E7" w:rsidRDefault="00D320E7">
      <w:pPr>
        <w:spacing w:after="0" w:line="240" w:lineRule="auto"/>
      </w:pPr>
      <w:r>
        <w:continuationSeparator/>
      </w:r>
    </w:p>
  </w:footnote>
  <w:footnote w:id="1">
    <w:p w14:paraId="2B8385ED" w14:textId="77777777" w:rsidR="0093291D" w:rsidRPr="00766CDA" w:rsidRDefault="00AA36A1">
      <w:pPr>
        <w:pBdr>
          <w:top w:val="nil"/>
          <w:left w:val="nil"/>
          <w:bottom w:val="nil"/>
          <w:right w:val="nil"/>
          <w:between w:val="nil"/>
        </w:pBdr>
        <w:spacing w:after="0" w:line="240" w:lineRule="auto"/>
        <w:jc w:val="both"/>
        <w:rPr>
          <w:rFonts w:ascii="Calibri" w:hAnsi="Calibri" w:cs="Calibri"/>
          <w:color w:val="000000"/>
          <w:sz w:val="20"/>
          <w:szCs w:val="20"/>
          <w:lang w:val="en-US"/>
        </w:rPr>
      </w:pPr>
      <w:r w:rsidRPr="00E16B9F">
        <w:rPr>
          <w:rFonts w:ascii="Calibri" w:hAnsi="Calibri" w:cs="Calibri"/>
          <w:sz w:val="20"/>
          <w:szCs w:val="20"/>
          <w:vertAlign w:val="superscript"/>
        </w:rPr>
        <w:footnoteRef/>
      </w:r>
      <w:r w:rsidRPr="00766CDA">
        <w:rPr>
          <w:rFonts w:ascii="Calibri" w:hAnsi="Calibri" w:cs="Calibri"/>
          <w:color w:val="000000"/>
          <w:sz w:val="20"/>
          <w:szCs w:val="20"/>
          <w:lang w:val="en-US"/>
        </w:rPr>
        <w:t xml:space="preserve"> The term "latest MICS 2018/19" refers to the most recent edition of the </w:t>
      </w:r>
      <w:r w:rsidRPr="00766CDA">
        <w:rPr>
          <w:rFonts w:ascii="Calibri" w:hAnsi="Calibri" w:cs="Calibri"/>
          <w:i/>
          <w:color w:val="000000"/>
          <w:sz w:val="20"/>
          <w:szCs w:val="20"/>
          <w:lang w:val="en-US"/>
        </w:rPr>
        <w:t>Multiple Indicator Cluster Survey</w:t>
      </w:r>
      <w:r w:rsidRPr="00766CDA">
        <w:rPr>
          <w:rFonts w:ascii="Calibri" w:hAnsi="Calibri" w:cs="Calibri"/>
          <w:color w:val="000000"/>
          <w:sz w:val="20"/>
          <w:szCs w:val="20"/>
          <w:lang w:val="en-US"/>
        </w:rPr>
        <w:t xml:space="preserve"> (MICS) in Guinea-Bissau, conducted by Statistics Portugal between 2018 and 2019. The MICS is an international survey conducted with the support of UNICEF, which collects data at the national level </w:t>
      </w:r>
      <w:proofErr w:type="gramStart"/>
      <w:r w:rsidRPr="00766CDA">
        <w:rPr>
          <w:rFonts w:ascii="Calibri" w:hAnsi="Calibri" w:cs="Calibri"/>
          <w:color w:val="000000"/>
          <w:sz w:val="20"/>
          <w:szCs w:val="20"/>
          <w:lang w:val="en-US"/>
        </w:rPr>
        <w:t>on the situation of</w:t>
      </w:r>
      <w:proofErr w:type="gramEnd"/>
      <w:r w:rsidRPr="00766CDA">
        <w:rPr>
          <w:rFonts w:ascii="Calibri" w:hAnsi="Calibri" w:cs="Calibri"/>
          <w:color w:val="000000"/>
          <w:sz w:val="20"/>
          <w:szCs w:val="20"/>
          <w:lang w:val="en-US"/>
        </w:rPr>
        <w:t xml:space="preserve"> children and women in various areas, such as health, education, nutrition, protection and water/sanitation.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7BF8"/>
    <w:multiLevelType w:val="multilevel"/>
    <w:tmpl w:val="51A6B3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13627BC"/>
    <w:multiLevelType w:val="multilevel"/>
    <w:tmpl w:val="1674C7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E21577E"/>
    <w:multiLevelType w:val="multilevel"/>
    <w:tmpl w:val="8F10FAB0"/>
    <w:lvl w:ilvl="0">
      <w:start w:val="1"/>
      <w:numFmt w:val="decimal"/>
      <w:pStyle w:val="TOC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C427244"/>
    <w:multiLevelType w:val="multilevel"/>
    <w:tmpl w:val="BD3EA8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2F76453"/>
    <w:multiLevelType w:val="multilevel"/>
    <w:tmpl w:val="05F624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37331667">
    <w:abstractNumId w:val="3"/>
  </w:num>
  <w:num w:numId="2" w16cid:durableId="774444175">
    <w:abstractNumId w:val="4"/>
  </w:num>
  <w:num w:numId="3" w16cid:durableId="506486705">
    <w:abstractNumId w:val="0"/>
  </w:num>
  <w:num w:numId="4" w16cid:durableId="1178302519">
    <w:abstractNumId w:val="1"/>
  </w:num>
  <w:num w:numId="5" w16cid:durableId="1826848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91D"/>
    <w:rsid w:val="0006684E"/>
    <w:rsid w:val="001B030A"/>
    <w:rsid w:val="001F5861"/>
    <w:rsid w:val="002031F8"/>
    <w:rsid w:val="0025793E"/>
    <w:rsid w:val="00366457"/>
    <w:rsid w:val="003D65B3"/>
    <w:rsid w:val="00463AB3"/>
    <w:rsid w:val="00766CDA"/>
    <w:rsid w:val="00877EA6"/>
    <w:rsid w:val="0092132C"/>
    <w:rsid w:val="0093291D"/>
    <w:rsid w:val="009D0DC6"/>
    <w:rsid w:val="00A364DE"/>
    <w:rsid w:val="00AA36A1"/>
    <w:rsid w:val="00AA6385"/>
    <w:rsid w:val="00B27CF2"/>
    <w:rsid w:val="00C16A30"/>
    <w:rsid w:val="00C57D4C"/>
    <w:rsid w:val="00D320E7"/>
    <w:rsid w:val="00E16B9F"/>
    <w:rsid w:val="00FE5B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D0266"/>
  <w15:docId w15:val="{67B6ECEE-5D03-469B-B112-1DFB3040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pt-B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253"/>
    <w:rPr>
      <w:lang w:eastAsia="pt-BR"/>
    </w:rPr>
  </w:style>
  <w:style w:type="paragraph" w:styleId="Heading1">
    <w:name w:val="heading 1"/>
    <w:basedOn w:val="Normal"/>
    <w:next w:val="Normal"/>
    <w:link w:val="Heading1Char"/>
    <w:uiPriority w:val="9"/>
    <w:qFormat/>
    <w:rsid w:val="001452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52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52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52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52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52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2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2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2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52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452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52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52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52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52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52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52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52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5253"/>
    <w:rPr>
      <w:rFonts w:eastAsiaTheme="majorEastAsia" w:cstheme="majorBidi"/>
      <w:color w:val="272727" w:themeColor="text1" w:themeTint="D8"/>
    </w:rPr>
  </w:style>
  <w:style w:type="character" w:customStyle="1" w:styleId="TitleChar">
    <w:name w:val="Title Char"/>
    <w:basedOn w:val="DefaultParagraphFont"/>
    <w:link w:val="Title"/>
    <w:uiPriority w:val="10"/>
    <w:rsid w:val="001452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1452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5253"/>
    <w:pPr>
      <w:spacing w:before="160"/>
      <w:jc w:val="center"/>
    </w:pPr>
    <w:rPr>
      <w:i/>
      <w:iCs/>
      <w:color w:val="404040" w:themeColor="text1" w:themeTint="BF"/>
    </w:rPr>
  </w:style>
  <w:style w:type="character" w:customStyle="1" w:styleId="QuoteChar">
    <w:name w:val="Quote Char"/>
    <w:basedOn w:val="DefaultParagraphFont"/>
    <w:link w:val="Quote"/>
    <w:uiPriority w:val="29"/>
    <w:rsid w:val="00145253"/>
    <w:rPr>
      <w:i/>
      <w:iCs/>
      <w:color w:val="404040" w:themeColor="text1" w:themeTint="BF"/>
    </w:rPr>
  </w:style>
  <w:style w:type="paragraph" w:styleId="ListParagraph">
    <w:name w:val="List Paragraph"/>
    <w:basedOn w:val="Normal"/>
    <w:uiPriority w:val="34"/>
    <w:qFormat/>
    <w:rsid w:val="00145253"/>
    <w:pPr>
      <w:ind w:left="720"/>
      <w:contextualSpacing/>
    </w:pPr>
  </w:style>
  <w:style w:type="character" w:styleId="IntenseEmphasis">
    <w:name w:val="Intense Emphasis"/>
    <w:basedOn w:val="DefaultParagraphFont"/>
    <w:uiPriority w:val="21"/>
    <w:qFormat/>
    <w:rsid w:val="00145253"/>
    <w:rPr>
      <w:i/>
      <w:iCs/>
      <w:color w:val="0F4761" w:themeColor="accent1" w:themeShade="BF"/>
    </w:rPr>
  </w:style>
  <w:style w:type="paragraph" w:styleId="IntenseQuote">
    <w:name w:val="Intense Quote"/>
    <w:basedOn w:val="Normal"/>
    <w:next w:val="Normal"/>
    <w:link w:val="IntenseQuoteChar"/>
    <w:uiPriority w:val="30"/>
    <w:qFormat/>
    <w:rsid w:val="001452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5253"/>
    <w:rPr>
      <w:i/>
      <w:iCs/>
      <w:color w:val="0F4761" w:themeColor="accent1" w:themeShade="BF"/>
    </w:rPr>
  </w:style>
  <w:style w:type="character" w:styleId="IntenseReference">
    <w:name w:val="Intense Reference"/>
    <w:basedOn w:val="DefaultParagraphFont"/>
    <w:uiPriority w:val="32"/>
    <w:qFormat/>
    <w:rsid w:val="00145253"/>
    <w:rPr>
      <w:b/>
      <w:bCs/>
      <w:smallCaps/>
      <w:color w:val="0F4761" w:themeColor="accent1" w:themeShade="BF"/>
      <w:spacing w:val="5"/>
    </w:rPr>
  </w:style>
  <w:style w:type="table" w:styleId="TableGrid">
    <w:name w:val="Table Grid"/>
    <w:basedOn w:val="TableNormal"/>
    <w:uiPriority w:val="39"/>
    <w:rsid w:val="00145253"/>
    <w:pPr>
      <w:spacing w:after="0" w:line="240" w:lineRule="auto"/>
    </w:pPr>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13438"/>
    <w:pPr>
      <w:spacing w:before="240" w:after="0"/>
      <w:outlineLvl w:val="9"/>
    </w:pPr>
    <w:rPr>
      <w:sz w:val="32"/>
      <w:szCs w:val="32"/>
    </w:rPr>
  </w:style>
  <w:style w:type="paragraph" w:styleId="TOC1">
    <w:name w:val="toc 1"/>
    <w:basedOn w:val="Normal"/>
    <w:next w:val="Normal"/>
    <w:autoRedefine/>
    <w:uiPriority w:val="39"/>
    <w:unhideWhenUsed/>
    <w:rsid w:val="00874343"/>
    <w:pPr>
      <w:numPr>
        <w:numId w:val="5"/>
      </w:numPr>
      <w:tabs>
        <w:tab w:val="right" w:leader="dot" w:pos="8494"/>
      </w:tabs>
      <w:spacing w:after="100"/>
    </w:pPr>
  </w:style>
  <w:style w:type="paragraph" w:styleId="TOC2">
    <w:name w:val="toc 2"/>
    <w:basedOn w:val="Normal"/>
    <w:next w:val="Normal"/>
    <w:autoRedefine/>
    <w:uiPriority w:val="39"/>
    <w:unhideWhenUsed/>
    <w:rsid w:val="00313438"/>
    <w:pPr>
      <w:spacing w:after="100"/>
      <w:ind w:left="220"/>
    </w:pPr>
  </w:style>
  <w:style w:type="paragraph" w:styleId="TOC3">
    <w:name w:val="toc 3"/>
    <w:basedOn w:val="Normal"/>
    <w:next w:val="Normal"/>
    <w:autoRedefine/>
    <w:uiPriority w:val="39"/>
    <w:unhideWhenUsed/>
    <w:rsid w:val="00313438"/>
    <w:pPr>
      <w:spacing w:after="100"/>
      <w:ind w:left="440"/>
    </w:pPr>
  </w:style>
  <w:style w:type="character" w:styleId="Hyperlink">
    <w:name w:val="Hyperlink"/>
    <w:basedOn w:val="DefaultParagraphFont"/>
    <w:uiPriority w:val="99"/>
    <w:unhideWhenUsed/>
    <w:rsid w:val="00313438"/>
    <w:rPr>
      <w:color w:val="467886" w:themeColor="hyperlink"/>
      <w:u w:val="single"/>
    </w:rPr>
  </w:style>
  <w:style w:type="paragraph" w:styleId="FootnoteText">
    <w:name w:val="footnote text"/>
    <w:basedOn w:val="Normal"/>
    <w:link w:val="FootnoteTextChar"/>
    <w:uiPriority w:val="99"/>
    <w:semiHidden/>
    <w:unhideWhenUsed/>
    <w:rsid w:val="00EC74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7443"/>
    <w:rPr>
      <w:rFonts w:ascii="Aptos" w:eastAsia="Aptos" w:hAnsi="Aptos" w:cs="Aptos"/>
      <w:kern w:val="0"/>
      <w:sz w:val="20"/>
      <w:szCs w:val="20"/>
      <w:lang w:eastAsia="pt-BR"/>
    </w:rPr>
  </w:style>
  <w:style w:type="character" w:styleId="FootnoteReference">
    <w:name w:val="footnote reference"/>
    <w:basedOn w:val="DefaultParagraphFont"/>
    <w:uiPriority w:val="99"/>
    <w:semiHidden/>
    <w:unhideWhenUsed/>
    <w:rsid w:val="00EC7443"/>
    <w:rPr>
      <w:vertAlign w:val="superscript"/>
    </w:rPr>
  </w:style>
  <w:style w:type="character" w:customStyle="1" w:styleId="bold">
    <w:name w:val="bold"/>
    <w:basedOn w:val="DefaultParagraphFont"/>
    <w:rsid w:val="0050184F"/>
  </w:style>
  <w:style w:type="character" w:customStyle="1" w:styleId="ng-star-inserted">
    <w:name w:val="ng-star-inserted"/>
    <w:basedOn w:val="DefaultParagraphFont"/>
    <w:rsid w:val="0050184F"/>
  </w:style>
  <w:style w:type="character" w:styleId="UnresolvedMention">
    <w:name w:val="Unresolved Mention"/>
    <w:basedOn w:val="DefaultParagraphFont"/>
    <w:uiPriority w:val="99"/>
    <w:semiHidden/>
    <w:unhideWhenUsed/>
    <w:rsid w:val="00891225"/>
    <w:rPr>
      <w:color w:val="605E5C"/>
      <w:shd w:val="clear" w:color="auto" w:fill="E1DFDD"/>
    </w:rPr>
  </w:style>
  <w:style w:type="paragraph" w:customStyle="1" w:styleId="SingleTxtG">
    <w:name w:val="_ Single Txt_G"/>
    <w:basedOn w:val="Normal"/>
    <w:link w:val="SingleTxtGChar"/>
    <w:qFormat/>
    <w:rsid w:val="00FB567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en-GB" w:eastAsia="en-US"/>
    </w:rPr>
  </w:style>
  <w:style w:type="character" w:customStyle="1" w:styleId="SingleTxtGChar">
    <w:name w:val="_ Single Txt_G Char"/>
    <w:link w:val="SingleTxtG"/>
    <w:locked/>
    <w:rsid w:val="00FB567B"/>
    <w:rPr>
      <w:rFonts w:ascii="Times New Roman" w:hAnsi="Times New Roman" w:cs="Times New Roman"/>
      <w:kern w:val="0"/>
      <w:sz w:val="20"/>
      <w:szCs w:val="20"/>
      <w:lang w:val="en-GB"/>
    </w:rPr>
  </w:style>
  <w:style w:type="character" w:styleId="FollowedHyperlink">
    <w:name w:val="FollowedHyperlink"/>
    <w:basedOn w:val="DefaultParagraphFont"/>
    <w:uiPriority w:val="99"/>
    <w:semiHidden/>
    <w:unhideWhenUsed/>
    <w:rsid w:val="003D7D3A"/>
    <w:rPr>
      <w:color w:val="96607D" w:themeColor="followedHyperlink"/>
      <w:u w:val="single"/>
    </w:rPr>
  </w:style>
  <w:style w:type="paragraph" w:styleId="NormalWeb">
    <w:name w:val="Normal (Web)"/>
    <w:basedOn w:val="Normal"/>
    <w:uiPriority w:val="99"/>
    <w:unhideWhenUsed/>
    <w:rsid w:val="00844B08"/>
    <w:rPr>
      <w:rFonts w:ascii="Times New Roman" w:hAnsi="Times New Roman" w:cs="Times New Roman"/>
      <w:sz w:val="24"/>
      <w:szCs w:val="24"/>
    </w:rPr>
  </w:style>
  <w:style w:type="paragraph" w:styleId="Header">
    <w:name w:val="header"/>
    <w:basedOn w:val="Normal"/>
    <w:link w:val="HeaderChar"/>
    <w:uiPriority w:val="99"/>
    <w:unhideWhenUsed/>
    <w:rsid w:val="00874343"/>
    <w:pPr>
      <w:tabs>
        <w:tab w:val="center" w:pos="4252"/>
        <w:tab w:val="right" w:pos="8504"/>
      </w:tabs>
      <w:spacing w:after="0" w:line="240" w:lineRule="auto"/>
    </w:pPr>
  </w:style>
  <w:style w:type="character" w:customStyle="1" w:styleId="HeaderChar">
    <w:name w:val="Header Char"/>
    <w:basedOn w:val="DefaultParagraphFont"/>
    <w:link w:val="Header"/>
    <w:uiPriority w:val="99"/>
    <w:rsid w:val="00874343"/>
    <w:rPr>
      <w:rFonts w:ascii="Aptos" w:eastAsia="Aptos" w:hAnsi="Aptos" w:cs="Aptos"/>
      <w:kern w:val="0"/>
      <w:lang w:eastAsia="pt-BR"/>
    </w:rPr>
  </w:style>
  <w:style w:type="paragraph" w:styleId="Footer">
    <w:name w:val="footer"/>
    <w:basedOn w:val="Normal"/>
    <w:link w:val="FooterChar"/>
    <w:uiPriority w:val="99"/>
    <w:unhideWhenUsed/>
    <w:rsid w:val="00874343"/>
    <w:pPr>
      <w:tabs>
        <w:tab w:val="center" w:pos="4252"/>
        <w:tab w:val="right" w:pos="8504"/>
      </w:tabs>
      <w:spacing w:after="0" w:line="240" w:lineRule="auto"/>
    </w:pPr>
  </w:style>
  <w:style w:type="character" w:customStyle="1" w:styleId="FooterChar">
    <w:name w:val="Footer Char"/>
    <w:basedOn w:val="DefaultParagraphFont"/>
    <w:link w:val="Footer"/>
    <w:uiPriority w:val="99"/>
    <w:rsid w:val="00874343"/>
    <w:rPr>
      <w:rFonts w:ascii="Aptos" w:eastAsia="Aptos" w:hAnsi="Aptos" w:cs="Aptos"/>
      <w:kern w:val="0"/>
      <w:lang w:eastAsia="pt-BR"/>
    </w:rPr>
  </w:style>
  <w:style w:type="character" w:styleId="Strong">
    <w:name w:val="Strong"/>
    <w:uiPriority w:val="22"/>
    <w:qFormat/>
    <w:rsid w:val="007F4BE7"/>
    <w:rPr>
      <w:b/>
      <w:bCs/>
    </w:rPr>
  </w:style>
  <w:style w:type="paragraph" w:customStyle="1" w:styleId="paragraph">
    <w:name w:val="paragraph"/>
    <w:basedOn w:val="Normal"/>
    <w:rsid w:val="007F4BE7"/>
    <w:pPr>
      <w:spacing w:before="100" w:beforeAutospacing="1" w:after="100" w:afterAutospacing="1" w:line="276" w:lineRule="auto"/>
    </w:pPr>
    <w:rPr>
      <w:rFonts w:ascii="Times New Roman" w:eastAsia="Times New Roman" w:hAnsi="Times New Roman" w:cs="Times New Roman"/>
      <w:sz w:val="24"/>
      <w:szCs w:val="24"/>
      <w:lang w:val="pt-PT" w:eastAsia="en-US"/>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PlaceholderText">
    <w:name w:val="Placeholder Text"/>
    <w:basedOn w:val="DefaultParagraphFont"/>
    <w:uiPriority w:val="99"/>
    <w:semiHidden/>
    <w:rsid w:val="00766CD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de2318d-8e4e-494a-847f-5c3f28cc443f" xsi:nil="true"/>
    <lcf76f155ced4ddcb4097134ff3c332f xmlns="4b06b7a2-15d8-41e1-b69f-2a7a935cbf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8MB1tiAUsC2G9q6cvEnzCKV3yA==">CgMxLjAyDmguaDFoYmk5dHMyaHVtMg5oLmJnb3dqa3J4cGIzMDIOaC5ramxiNjJxZmd1YzMyDmgucnE1N3c4aXRiMzkxMg5oLnF1NTBza3Q0cnk4aTIOaC41bzB1czkzOHRwazEyDmgudWdiNjlmdmc0YjdiMg5oLmRtcnVic2prYTVmdDIOaC42eTFhbXZxM3RuZm8yDmguM2g0Ym1jdGpldTUwMg5oLnJkbHR2bHJ0cnkyZjgAciExcnBad2hBQ1V2NVZXb2xVRlMzRVRtV2NmbDB0SHhrXzM=</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0AE0FB7D0F340C44AA3D14A37F6D1C9A" ma:contentTypeVersion="13" ma:contentTypeDescription="Create a new document." ma:contentTypeScope="" ma:versionID="c3ceb0f2a1b75d66c42f3c2107bb19bd">
  <xsd:schema xmlns:xsd="http://www.w3.org/2001/XMLSchema" xmlns:xs="http://www.w3.org/2001/XMLSchema" xmlns:p="http://schemas.microsoft.com/office/2006/metadata/properties" xmlns:ns2="4b06b7a2-15d8-41e1-b69f-2a7a935cbfc0" xmlns:ns3="2de2318d-8e4e-494a-847f-5c3f28cc443f" targetNamespace="http://schemas.microsoft.com/office/2006/metadata/properties" ma:root="true" ma:fieldsID="95b0dd6266dcc803d01c19ef30c92a74" ns2:_="" ns3:_="">
    <xsd:import namespace="4b06b7a2-15d8-41e1-b69f-2a7a935cbfc0"/>
    <xsd:import namespace="2de2318d-8e4e-494a-847f-5c3f28cc44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06b7a2-15d8-41e1-b69f-2a7a935cbf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e2318d-8e4e-494a-847f-5c3f28cc443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dc3b979-226e-488b-8588-e31f7699c11c}" ma:internalName="TaxCatchAll" ma:showField="CatchAllData" ma:web="2de2318d-8e4e-494a-847f-5c3f28cc4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864658-63E8-4946-9A23-25D7E63A988D}">
  <ds:schemaRefs>
    <ds:schemaRef ds:uri="http://schemas.microsoft.com/office/2006/metadata/properties"/>
    <ds:schemaRef ds:uri="http://schemas.microsoft.com/office/infopath/2007/PartnerControls"/>
    <ds:schemaRef ds:uri="2de2318d-8e4e-494a-847f-5c3f28cc443f"/>
    <ds:schemaRef ds:uri="4b06b7a2-15d8-41e1-b69f-2a7a935cbfc0"/>
  </ds:schemaRefs>
</ds:datastoreItem>
</file>

<file path=customXml/itemProps2.xml><?xml version="1.0" encoding="utf-8"?>
<ds:datastoreItem xmlns:ds="http://schemas.openxmlformats.org/officeDocument/2006/customXml" ds:itemID="{5D681BFB-75A4-42DA-B30A-0E66AEFAD8D7}">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482D1F6-8641-4E93-8F06-A9048A3A4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06b7a2-15d8-41e1-b69f-2a7a935cbfc0"/>
    <ds:schemaRef ds:uri="2de2318d-8e4e-494a-847f-5c3f28cc4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6</TotalTime>
  <Pages>13</Pages>
  <Words>4520</Words>
  <Characters>25178</Characters>
  <Application>Microsoft Office Word</Application>
  <DocSecurity>0</DocSecurity>
  <Lines>1144</Lines>
  <Paragraphs>241</Paragraphs>
  <ScaleCrop>false</ScaleCrop>
  <Company/>
  <LinksUpToDate>false</LinksUpToDate>
  <CharactersWithSpaces>29457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Camila Gomes de Lima</dc:creator>
  <cp:lastModifiedBy>Camilla Silva Floeistrup</cp:lastModifiedBy>
  <cp:revision>10</cp:revision>
  <dcterms:created xsi:type="dcterms:W3CDTF">2025-05-19T20:57:00Z</dcterms:created>
  <dcterms:modified xsi:type="dcterms:W3CDTF">2025-05-19T21:03:00Z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0x0101000AE0FB7D0F340C44AA3D14A37F6D1C9A</vt:lpwstr>
  </property>
</Properties>
</file>