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2C8C0A" w14:textId="5F2C9230" w:rsidR="008F26D1" w:rsidRPr="008F26D1" w:rsidRDefault="008F26D1" w:rsidP="008F26D1">
      <w:pPr>
        <w:bidi w:val="0"/>
        <w:jc w:val="center"/>
        <w:rPr>
          <w:rFonts w:asciiTheme="majorBidi" w:hAnsiTheme="majorBidi" w:cstheme="majorBidi"/>
          <w:b/>
          <w:bCs/>
          <w:color w:val="5B9BD5" w:themeColor="accent5"/>
          <w:sz w:val="28"/>
          <w:szCs w:val="28"/>
        </w:rPr>
      </w:pPr>
      <w:r w:rsidRPr="008F26D1">
        <w:rPr>
          <w:rFonts w:asciiTheme="majorBidi" w:hAnsiTheme="majorBidi" w:cstheme="majorBidi"/>
          <w:b/>
          <w:bCs/>
          <w:color w:val="5B9BD5" w:themeColor="accent5"/>
          <w:sz w:val="28"/>
          <w:szCs w:val="28"/>
        </w:rPr>
        <w:t>Report submitted to the Committee on the Rights of the Child regarding Egypt</w:t>
      </w:r>
    </w:p>
    <w:p w14:paraId="27238D82" w14:textId="4BD22AC7" w:rsidR="008F26D1" w:rsidRPr="008F26D1" w:rsidRDefault="008F26D1" w:rsidP="008F26D1">
      <w:pPr>
        <w:bidi w:val="0"/>
        <w:jc w:val="center"/>
        <w:rPr>
          <w:rFonts w:asciiTheme="majorBidi" w:hAnsiTheme="majorBidi" w:cstheme="majorBidi"/>
          <w:b/>
          <w:bCs/>
          <w:color w:val="ED7D31" w:themeColor="accent2"/>
          <w:sz w:val="28"/>
          <w:szCs w:val="28"/>
        </w:rPr>
      </w:pPr>
      <w:r w:rsidRPr="008F26D1">
        <w:rPr>
          <w:rFonts w:asciiTheme="majorBidi" w:hAnsiTheme="majorBidi" w:cstheme="majorBidi"/>
          <w:b/>
          <w:bCs/>
          <w:color w:val="ED7D31" w:themeColor="accent2"/>
          <w:sz w:val="28"/>
          <w:szCs w:val="28"/>
        </w:rPr>
        <w:t>Partners for Transparency</w:t>
      </w:r>
    </w:p>
    <w:p w14:paraId="5C34B64A" w14:textId="77D08CA7" w:rsidR="00FE4625" w:rsidRDefault="008F26D1" w:rsidP="008F26D1">
      <w:pPr>
        <w:bidi w:val="0"/>
        <w:jc w:val="both"/>
        <w:rPr>
          <w:rFonts w:asciiTheme="majorBidi" w:hAnsiTheme="majorBidi" w:cstheme="majorBidi"/>
          <w:sz w:val="28"/>
          <w:szCs w:val="28"/>
        </w:rPr>
      </w:pPr>
      <w:r w:rsidRPr="008F26D1">
        <w:rPr>
          <w:rFonts w:asciiTheme="majorBidi" w:hAnsiTheme="majorBidi" w:cstheme="majorBidi"/>
          <w:sz w:val="28"/>
          <w:szCs w:val="28"/>
        </w:rPr>
        <w:t>Partners for Transparency has prepared this report to include additional, updated information attached to the report submitted by the Foundation in July 2023. Partners for Transparency, in addition to the additional information referred to, focuses on the Arab Republic of Egypt’s implementation of specific provisions of the Convention on the Rights of the Child, which Egypt ratified in 1990</w:t>
      </w:r>
      <w:r>
        <w:rPr>
          <w:rFonts w:asciiTheme="majorBidi" w:hAnsiTheme="majorBidi" w:cstheme="majorBidi"/>
          <w:sz w:val="28"/>
          <w:szCs w:val="28"/>
        </w:rPr>
        <w:t>, and an a</w:t>
      </w:r>
      <w:r w:rsidRPr="008F26D1">
        <w:rPr>
          <w:rFonts w:asciiTheme="majorBidi" w:hAnsiTheme="majorBidi" w:cstheme="majorBidi"/>
          <w:sz w:val="28"/>
          <w:szCs w:val="28"/>
        </w:rPr>
        <w:t xml:space="preserve">nalysis </w:t>
      </w:r>
      <w:r>
        <w:rPr>
          <w:rFonts w:asciiTheme="majorBidi" w:hAnsiTheme="majorBidi" w:cstheme="majorBidi"/>
          <w:sz w:val="28"/>
          <w:szCs w:val="28"/>
        </w:rPr>
        <w:t>of th</w:t>
      </w:r>
      <w:r w:rsidRPr="008F26D1">
        <w:rPr>
          <w:rFonts w:asciiTheme="majorBidi" w:hAnsiTheme="majorBidi" w:cstheme="majorBidi"/>
          <w:sz w:val="28"/>
          <w:szCs w:val="28"/>
        </w:rPr>
        <w:t xml:space="preserve">e measures and efforts that Egypt has taken to implement the agreement, in addition to the challenges that Egypt still faces while trying to implement. </w:t>
      </w:r>
      <w:r>
        <w:rPr>
          <w:rFonts w:asciiTheme="majorBidi" w:hAnsiTheme="majorBidi" w:cstheme="majorBidi"/>
          <w:sz w:val="28"/>
          <w:szCs w:val="28"/>
        </w:rPr>
        <w:t>Partners</w:t>
      </w:r>
      <w:r w:rsidRPr="008F26D1">
        <w:rPr>
          <w:rFonts w:asciiTheme="majorBidi" w:hAnsiTheme="majorBidi" w:cstheme="majorBidi"/>
          <w:sz w:val="28"/>
          <w:szCs w:val="28"/>
        </w:rPr>
        <w:t xml:space="preserve"> sees a package of legislation and laws that Egypt is preparing to adopt that will serve the child and implement the provisions of the agreement, including the draft child law and the draft labor law, which includes provisions prohibiting the employment of children in hazardous work before reaching the legal age, in addition to the draft personal status law. However, the Egyptian government still has a long way to go in advancing and implementing children’s rights, and the Egyptian government must still make further efforts to confront the fundamental challenges and phenomena that threaten the enjoyment by a broad spectrum of children in Egypt of their human rights stipulated in the Convention, in particular </w:t>
      </w:r>
      <w:r w:rsidR="000958C5" w:rsidRPr="008F26D1">
        <w:rPr>
          <w:rFonts w:asciiTheme="majorBidi" w:hAnsiTheme="majorBidi" w:cstheme="majorBidi"/>
          <w:sz w:val="28"/>
          <w:szCs w:val="28"/>
        </w:rPr>
        <w:t>the</w:t>
      </w:r>
      <w:r w:rsidRPr="008F26D1">
        <w:rPr>
          <w:rFonts w:asciiTheme="majorBidi" w:hAnsiTheme="majorBidi" w:cstheme="majorBidi"/>
          <w:sz w:val="28"/>
          <w:szCs w:val="28"/>
        </w:rPr>
        <w:t xml:space="preserve"> phenomenon of child labor and female circumcision. The report mainly focuses on non-discrimination between children and children with disabilities, protection of children from violence, social and economic assistance to children, education of children and early marriage of children.</w:t>
      </w:r>
    </w:p>
    <w:p w14:paraId="3BA15A40" w14:textId="77777777" w:rsidR="000958C5" w:rsidRPr="00431FA1" w:rsidRDefault="000958C5" w:rsidP="000958C5">
      <w:pPr>
        <w:jc w:val="right"/>
        <w:rPr>
          <w:rFonts w:asciiTheme="majorBidi" w:hAnsiTheme="majorBidi" w:cstheme="majorBidi"/>
          <w:b/>
          <w:bCs/>
          <w:color w:val="4472C4" w:themeColor="accent1"/>
          <w:sz w:val="28"/>
          <w:szCs w:val="28"/>
          <w:u w:val="single"/>
        </w:rPr>
      </w:pPr>
      <w:r w:rsidRPr="00431FA1">
        <w:rPr>
          <w:rFonts w:asciiTheme="majorBidi" w:hAnsiTheme="majorBidi" w:cstheme="majorBidi"/>
          <w:b/>
          <w:bCs/>
          <w:color w:val="4472C4" w:themeColor="accent1"/>
          <w:sz w:val="28"/>
          <w:szCs w:val="28"/>
          <w:u w:val="single"/>
        </w:rPr>
        <w:t>First: Protection from violence</w:t>
      </w:r>
    </w:p>
    <w:p w14:paraId="38100EB6" w14:textId="08FF5DD0" w:rsidR="000958C5" w:rsidRPr="000958C5" w:rsidRDefault="000958C5" w:rsidP="000958C5">
      <w:pPr>
        <w:bidi w:val="0"/>
        <w:jc w:val="both"/>
        <w:rPr>
          <w:rFonts w:asciiTheme="majorBidi" w:hAnsiTheme="majorBidi" w:cstheme="majorBidi"/>
          <w:sz w:val="28"/>
          <w:szCs w:val="28"/>
        </w:rPr>
      </w:pPr>
      <w:r w:rsidRPr="000958C5">
        <w:rPr>
          <w:rFonts w:asciiTheme="majorBidi" w:hAnsiTheme="majorBidi" w:cstheme="majorBidi"/>
          <w:sz w:val="28"/>
          <w:szCs w:val="28"/>
        </w:rPr>
        <w:t xml:space="preserve">By reviewing the comprehensive report submitted by the Egyptian government to the Committee on the Rights of the Child, we find that Egypt reviewed the legislative and constitutional measures that were taken to enhance the protection of children from violence in all its forms and eliminate all harmful practices to which children are exposed. Egypt has also made great efforts to adopt laws and political measures that would </w:t>
      </w:r>
      <w:r w:rsidRPr="000958C5">
        <w:rPr>
          <w:rFonts w:asciiTheme="majorBidi" w:hAnsiTheme="majorBidi" w:cstheme="majorBidi"/>
          <w:sz w:val="28"/>
          <w:szCs w:val="28"/>
        </w:rPr>
        <w:lastRenderedPageBreak/>
        <w:t>guarantee children better protection from violence in all its forms, which has contributed to a significant decline in rates of violence against children. The Egyptian government has also expanded the scope of social protection programs and safety nets to increase coverage of the most vulnerable groups and They are headed by children, in addition to forming multiple child protection committees at the governorate and neighborhood levels, which are subject to the Ministry of Local Development</w:t>
      </w:r>
      <w:r w:rsidRPr="000958C5">
        <w:rPr>
          <w:rFonts w:asciiTheme="majorBidi" w:hAnsiTheme="majorBidi" w:cs="Times New Roman"/>
          <w:sz w:val="28"/>
          <w:szCs w:val="28"/>
          <w:rtl/>
        </w:rPr>
        <w:t>.</w:t>
      </w:r>
      <w:r w:rsidR="00431FA1">
        <w:rPr>
          <w:rStyle w:val="FootnoteReference"/>
          <w:rFonts w:asciiTheme="majorBidi" w:hAnsiTheme="majorBidi" w:cs="Times New Roman"/>
          <w:sz w:val="28"/>
          <w:szCs w:val="28"/>
          <w:rtl/>
        </w:rPr>
        <w:footnoteReference w:id="1"/>
      </w:r>
    </w:p>
    <w:p w14:paraId="074F5213" w14:textId="3217FE36" w:rsidR="000958C5" w:rsidRDefault="000958C5" w:rsidP="000958C5">
      <w:pPr>
        <w:bidi w:val="0"/>
        <w:jc w:val="both"/>
        <w:rPr>
          <w:rFonts w:asciiTheme="majorBidi" w:hAnsiTheme="majorBidi" w:cstheme="majorBidi"/>
          <w:sz w:val="28"/>
          <w:szCs w:val="28"/>
        </w:rPr>
      </w:pPr>
      <w:r w:rsidRPr="000958C5">
        <w:rPr>
          <w:rFonts w:asciiTheme="majorBidi" w:hAnsiTheme="majorBidi" w:cstheme="majorBidi"/>
          <w:sz w:val="28"/>
          <w:szCs w:val="28"/>
        </w:rPr>
        <w:t>In a related context, the Egyptian government took measures to implement legislation and plans aimed at banning female genital mutilation as a form of violence, as the Egyptian legislator not only criminalized this practice in 2008, or Parliament approved more stringent penalties in 2016. The 2016 amendments to the Penal Code stipulate Imprisonment sentences of five to seven years for those who practice female genital mutilation, and up to 15 years if the case results in permanent disability or death. Under the amendments, anyone who accompanies girls to undergo female genital mutilation will face imprisonment for a period ranging between one and three years</w:t>
      </w:r>
      <w:r w:rsidR="00431FA1">
        <w:rPr>
          <w:rStyle w:val="FootnoteReference"/>
          <w:rFonts w:asciiTheme="majorBidi" w:hAnsiTheme="majorBidi" w:cstheme="majorBidi"/>
          <w:sz w:val="28"/>
          <w:szCs w:val="28"/>
        </w:rPr>
        <w:footnoteReference w:id="2"/>
      </w:r>
      <w:r w:rsidRPr="000958C5">
        <w:rPr>
          <w:rFonts w:asciiTheme="majorBidi" w:hAnsiTheme="majorBidi" w:cstheme="majorBidi"/>
          <w:sz w:val="28"/>
          <w:szCs w:val="28"/>
        </w:rPr>
        <w:t>. In 2021, the Egyptian Parliament approved amendments that increase the maximum and minimum prison sentences imposed for female genital mutilation crimes. The amendments also stipulate that medical professional (i.e. doctors and nurses) who perform genital mutilation could face a prison sentence of between 10 and 15 years</w:t>
      </w:r>
      <w:r w:rsidR="00431FA1">
        <w:rPr>
          <w:rStyle w:val="FootnoteReference"/>
          <w:rFonts w:asciiTheme="majorBidi" w:hAnsiTheme="majorBidi" w:cstheme="majorBidi"/>
          <w:sz w:val="28"/>
          <w:szCs w:val="28"/>
        </w:rPr>
        <w:footnoteReference w:id="3"/>
      </w:r>
      <w:r w:rsidRPr="000958C5">
        <w:rPr>
          <w:rFonts w:asciiTheme="majorBidi" w:hAnsiTheme="majorBidi" w:cstheme="majorBidi"/>
          <w:sz w:val="28"/>
          <w:szCs w:val="28"/>
        </w:rPr>
        <w:t>.</w:t>
      </w:r>
    </w:p>
    <w:p w14:paraId="4250A068" w14:textId="02851229" w:rsidR="000958C5" w:rsidRDefault="00D74318" w:rsidP="000958C5">
      <w:pPr>
        <w:bidi w:val="0"/>
        <w:jc w:val="both"/>
        <w:rPr>
          <w:rFonts w:asciiTheme="majorBidi" w:hAnsiTheme="majorBidi" w:cstheme="majorBidi"/>
          <w:sz w:val="28"/>
          <w:szCs w:val="28"/>
        </w:rPr>
      </w:pPr>
      <w:r w:rsidRPr="00D74318">
        <w:rPr>
          <w:rFonts w:asciiTheme="majorBidi" w:hAnsiTheme="majorBidi" w:cstheme="majorBidi"/>
          <w:sz w:val="28"/>
          <w:szCs w:val="28"/>
        </w:rPr>
        <w:t>However, despite this, governmental and non-governmental reports documented the presence of indicators of violence against children from which society continues to suffer. The most important indicators of violence against children, according to the health survey conducted by the Central Agency for Public Mobilization and Statistics 2021, the results of which were published in December 2022, was the exposure of female children to violence</w:t>
      </w:r>
      <w:r>
        <w:rPr>
          <w:rFonts w:asciiTheme="majorBidi" w:hAnsiTheme="majorBidi" w:cstheme="majorBidi"/>
          <w:sz w:val="28"/>
          <w:szCs w:val="28"/>
        </w:rPr>
        <w:t xml:space="preserve"> m</w:t>
      </w:r>
      <w:r w:rsidRPr="00D74318">
        <w:rPr>
          <w:rFonts w:asciiTheme="majorBidi" w:hAnsiTheme="majorBidi" w:cstheme="majorBidi"/>
          <w:sz w:val="28"/>
          <w:szCs w:val="28"/>
        </w:rPr>
        <w:t xml:space="preserve">ore than males, the percentage of females being exposed to violence in the countryside rises to 14%, compared to 8% among males. About 29% of female children who have not yet completed primary school are exposed to violence, compared to 13% of males at the same age. In addition, girls are particularly exposed to physical violence in the form of genital mutilation, as the rate of circumcision among girls aged (0-17 years) reached about 12% in 2021, compared to 18% in 2014. The rate of circumcision among girls in the age group (0-17 years) in the countryside is also rising and will reach 14% in </w:t>
      </w:r>
      <w:r w:rsidRPr="00D74318">
        <w:rPr>
          <w:rFonts w:asciiTheme="majorBidi" w:hAnsiTheme="majorBidi" w:cstheme="majorBidi"/>
          <w:sz w:val="28"/>
          <w:szCs w:val="28"/>
        </w:rPr>
        <w:lastRenderedPageBreak/>
        <w:t>2021, compared to 8% in urban areas</w:t>
      </w:r>
      <w:r w:rsidR="006375FF">
        <w:rPr>
          <w:rStyle w:val="FootnoteReference"/>
          <w:rFonts w:asciiTheme="majorBidi" w:hAnsiTheme="majorBidi" w:cstheme="majorBidi"/>
          <w:sz w:val="28"/>
          <w:szCs w:val="28"/>
        </w:rPr>
        <w:footnoteReference w:id="4"/>
      </w:r>
      <w:r w:rsidRPr="00D74318">
        <w:rPr>
          <w:rFonts w:asciiTheme="majorBidi" w:hAnsiTheme="majorBidi" w:cstheme="majorBidi"/>
          <w:sz w:val="28"/>
          <w:szCs w:val="28"/>
        </w:rPr>
        <w:t>. According to the 2021 Egyptian Family Health Survey, 86% of married Egyptian women between the ages of 15 and 49 have been subjected to female genital mutilation, 74% of them at the hands of doctors. Although there has been a positive change in women’s attitudes regarding circumcision, the percentage of mothers who intend to circumcise their daughters in the future has decreased to only 13%, according to the Egyptian Family Survey 2021, compared to about 35% (Demographic and Health Survey 2014). However, there is still widespread support for combating the practice of female genital mutilation in Egypt</w:t>
      </w:r>
      <w:r w:rsidR="006375FF">
        <w:rPr>
          <w:rStyle w:val="FootnoteReference"/>
          <w:rFonts w:asciiTheme="majorBidi" w:hAnsiTheme="majorBidi" w:cstheme="majorBidi"/>
          <w:sz w:val="28"/>
          <w:szCs w:val="28"/>
        </w:rPr>
        <w:footnoteReference w:id="5"/>
      </w:r>
      <w:r w:rsidRPr="00D74318">
        <w:rPr>
          <w:rFonts w:asciiTheme="majorBidi" w:hAnsiTheme="majorBidi" w:cstheme="majorBidi"/>
          <w:sz w:val="28"/>
          <w:szCs w:val="28"/>
        </w:rPr>
        <w:t>.</w:t>
      </w:r>
    </w:p>
    <w:p w14:paraId="1357F9AB" w14:textId="77777777" w:rsidR="003208D1" w:rsidRPr="00431FA1" w:rsidRDefault="003208D1" w:rsidP="003208D1">
      <w:pPr>
        <w:bidi w:val="0"/>
        <w:jc w:val="both"/>
        <w:rPr>
          <w:rFonts w:asciiTheme="majorBidi" w:hAnsiTheme="majorBidi" w:cstheme="majorBidi"/>
          <w:b/>
          <w:bCs/>
          <w:color w:val="4472C4" w:themeColor="accent1"/>
          <w:sz w:val="28"/>
          <w:szCs w:val="28"/>
          <w:u w:val="single"/>
        </w:rPr>
      </w:pPr>
      <w:r w:rsidRPr="00431FA1">
        <w:rPr>
          <w:rFonts w:asciiTheme="majorBidi" w:hAnsiTheme="majorBidi" w:cstheme="majorBidi"/>
          <w:b/>
          <w:bCs/>
          <w:color w:val="4472C4" w:themeColor="accent1"/>
          <w:sz w:val="28"/>
          <w:szCs w:val="28"/>
          <w:u w:val="single"/>
        </w:rPr>
        <w:t>Second: Children with disabilities</w:t>
      </w:r>
    </w:p>
    <w:p w14:paraId="5BB3A5A7" w14:textId="37FFE19C" w:rsidR="00D74318" w:rsidRDefault="003208D1" w:rsidP="003208D1">
      <w:pPr>
        <w:bidi w:val="0"/>
        <w:jc w:val="both"/>
        <w:rPr>
          <w:rFonts w:asciiTheme="majorBidi" w:hAnsiTheme="majorBidi" w:cstheme="majorBidi"/>
          <w:sz w:val="28"/>
          <w:szCs w:val="28"/>
        </w:rPr>
      </w:pPr>
      <w:r w:rsidRPr="003208D1">
        <w:rPr>
          <w:rFonts w:asciiTheme="majorBidi" w:hAnsiTheme="majorBidi" w:cstheme="majorBidi"/>
          <w:sz w:val="28"/>
          <w:szCs w:val="28"/>
        </w:rPr>
        <w:t xml:space="preserve">The Egyptian Constitution in 2014, amended in 2019, obligated the state in Article 80 of the Constitution to protect and promote the rights of children with disabilities, their rehabilitation and integration into society, to prepare public facilities and the environment surrounding them, and to achieve the best interest of the child in all measures taken regarding him. The Egyptian Child Law also allocated in its sixth chapter Articles 75 to 86 to provide for ensuring the care of children with disabilities, in addition to working to rehabilitate them. Likewise, Chapter Six of the executive regulations of the Children’s Law was allocated for the same purpose. In a related context, </w:t>
      </w:r>
      <w:r>
        <w:rPr>
          <w:rFonts w:asciiTheme="majorBidi" w:hAnsiTheme="majorBidi" w:cstheme="majorBidi"/>
          <w:sz w:val="28"/>
          <w:szCs w:val="28"/>
        </w:rPr>
        <w:t>Partners for Transparency</w:t>
      </w:r>
      <w:r w:rsidRPr="003208D1">
        <w:rPr>
          <w:rFonts w:asciiTheme="majorBidi" w:hAnsiTheme="majorBidi" w:cstheme="majorBidi"/>
          <w:sz w:val="28"/>
          <w:szCs w:val="28"/>
        </w:rPr>
        <w:t xml:space="preserve"> estimates that in February 2024, the President of the Republic will allocate about 10 billion pounds to the Differently capable</w:t>
      </w:r>
      <w:r>
        <w:rPr>
          <w:rFonts w:asciiTheme="majorBidi" w:hAnsiTheme="majorBidi" w:cstheme="majorBidi"/>
          <w:sz w:val="28"/>
          <w:szCs w:val="28"/>
        </w:rPr>
        <w:t xml:space="preserve"> </w:t>
      </w:r>
      <w:r w:rsidRPr="003208D1">
        <w:rPr>
          <w:rFonts w:asciiTheme="majorBidi" w:hAnsiTheme="majorBidi" w:cstheme="majorBidi"/>
          <w:sz w:val="28"/>
          <w:szCs w:val="28"/>
        </w:rPr>
        <w:t>Fund</w:t>
      </w:r>
      <w:r>
        <w:rPr>
          <w:rFonts w:asciiTheme="majorBidi" w:hAnsiTheme="majorBidi" w:cstheme="majorBidi"/>
          <w:sz w:val="28"/>
          <w:szCs w:val="28"/>
        </w:rPr>
        <w:t xml:space="preserve"> (Qaderoon bekhtlaf)</w:t>
      </w:r>
      <w:r w:rsidRPr="003208D1">
        <w:rPr>
          <w:rFonts w:asciiTheme="majorBidi" w:hAnsiTheme="majorBidi" w:cstheme="majorBidi"/>
          <w:sz w:val="28"/>
          <w:szCs w:val="28"/>
        </w:rPr>
        <w:t xml:space="preserve">, which is the fund concerned with the rights of children with disabilities. </w:t>
      </w:r>
      <w:r>
        <w:rPr>
          <w:rFonts w:asciiTheme="majorBidi" w:hAnsiTheme="majorBidi" w:cstheme="majorBidi"/>
          <w:sz w:val="28"/>
          <w:szCs w:val="28"/>
        </w:rPr>
        <w:t>Partners</w:t>
      </w:r>
      <w:r w:rsidRPr="003208D1">
        <w:rPr>
          <w:rFonts w:asciiTheme="majorBidi" w:hAnsiTheme="majorBidi" w:cstheme="majorBidi"/>
          <w:sz w:val="28"/>
          <w:szCs w:val="28"/>
        </w:rPr>
        <w:t xml:space="preserve"> notes that these resources will represent a major boost for the benefit of children with disabilities</w:t>
      </w:r>
      <w:r w:rsidR="006375FF">
        <w:rPr>
          <w:rStyle w:val="FootnoteReference"/>
          <w:rFonts w:asciiTheme="majorBidi" w:hAnsiTheme="majorBidi" w:cstheme="majorBidi"/>
          <w:sz w:val="28"/>
          <w:szCs w:val="28"/>
        </w:rPr>
        <w:footnoteReference w:id="6"/>
      </w:r>
      <w:r w:rsidRPr="003208D1">
        <w:rPr>
          <w:rFonts w:asciiTheme="majorBidi" w:hAnsiTheme="majorBidi" w:cstheme="majorBidi"/>
          <w:sz w:val="28"/>
          <w:szCs w:val="28"/>
        </w:rPr>
        <w:t>, and in the context of enhancing health care for children with disabilities, The General Authority for Health Insurance decided to include children under the age of six years in the health insurance system, after the health insurance system did not include children before the age of entry into basic education, which constituted a challenge for children with disabilities to obtain health care</w:t>
      </w:r>
      <w:r w:rsidR="006375FF">
        <w:rPr>
          <w:rStyle w:val="FootnoteReference"/>
          <w:rFonts w:asciiTheme="majorBidi" w:hAnsiTheme="majorBidi" w:cstheme="majorBidi"/>
          <w:sz w:val="28"/>
          <w:szCs w:val="28"/>
        </w:rPr>
        <w:footnoteReference w:id="7"/>
      </w:r>
      <w:r w:rsidRPr="003208D1">
        <w:rPr>
          <w:rFonts w:asciiTheme="majorBidi" w:hAnsiTheme="majorBidi" w:cstheme="majorBidi"/>
          <w:sz w:val="28"/>
          <w:szCs w:val="28"/>
        </w:rPr>
        <w:t xml:space="preserve">. In February 2023, the Ministry of Social Solidarity introduced integrated services cards for eligible persons with disabilities according to specific colors, where each color indicates the percentage and degree of disability. The usual blue color has been </w:t>
      </w:r>
      <w:r w:rsidRPr="003208D1">
        <w:rPr>
          <w:rFonts w:asciiTheme="majorBidi" w:hAnsiTheme="majorBidi" w:cstheme="majorBidi"/>
          <w:sz w:val="28"/>
          <w:szCs w:val="28"/>
        </w:rPr>
        <w:lastRenderedPageBreak/>
        <w:t>designated for severe disabilities, green for moderate disabilities, and purple for mild disabilities.</w:t>
      </w:r>
    </w:p>
    <w:p w14:paraId="35F53E28" w14:textId="411A5D36" w:rsidR="003208D1" w:rsidRDefault="003208D1" w:rsidP="003208D1">
      <w:pPr>
        <w:bidi w:val="0"/>
        <w:jc w:val="both"/>
        <w:rPr>
          <w:rFonts w:asciiTheme="majorBidi" w:hAnsiTheme="majorBidi" w:cstheme="majorBidi"/>
          <w:sz w:val="28"/>
          <w:szCs w:val="28"/>
        </w:rPr>
      </w:pPr>
      <w:r w:rsidRPr="003208D1">
        <w:rPr>
          <w:rFonts w:asciiTheme="majorBidi" w:hAnsiTheme="majorBidi" w:cstheme="majorBidi"/>
          <w:sz w:val="28"/>
          <w:szCs w:val="28"/>
        </w:rPr>
        <w:t>It is noteworthy that the disability proof card provides many advantages to a person with a disability</w:t>
      </w:r>
      <w:r>
        <w:rPr>
          <w:rFonts w:asciiTheme="majorBidi" w:hAnsiTheme="majorBidi" w:cstheme="majorBidi"/>
          <w:sz w:val="28"/>
          <w:szCs w:val="28"/>
        </w:rPr>
        <w:t>, s</w:t>
      </w:r>
      <w:r w:rsidRPr="003208D1">
        <w:rPr>
          <w:rFonts w:asciiTheme="majorBidi" w:hAnsiTheme="majorBidi" w:cstheme="majorBidi"/>
          <w:sz w:val="28"/>
          <w:szCs w:val="28"/>
        </w:rPr>
        <w:t xml:space="preserve">uch as enabling the holder to combine two pensions, integration into schools and universities, appointment at a rate of 5% of the number of employees, exemption from taxes and customs duties on cars, in addition to obtaining suitable government housing, customs exemption on prosthetic devices, and reductions in means of transportation and communication and </w:t>
      </w:r>
      <w:r>
        <w:rPr>
          <w:rFonts w:asciiTheme="majorBidi" w:hAnsiTheme="majorBidi" w:cstheme="majorBidi"/>
          <w:sz w:val="28"/>
          <w:szCs w:val="28"/>
        </w:rPr>
        <w:t>d</w:t>
      </w:r>
      <w:r w:rsidRPr="003208D1">
        <w:rPr>
          <w:rFonts w:asciiTheme="majorBidi" w:hAnsiTheme="majorBidi" w:cstheme="majorBidi"/>
          <w:sz w:val="28"/>
          <w:szCs w:val="28"/>
        </w:rPr>
        <w:t>ealing with the bearer in front of all government agencies is that he is disabled, free examination in hospitals, discounts on subscriptions to youth centers and sports clubs, and free entry. All previous procedures are consistent with Article 23 of the agreement.</w:t>
      </w:r>
      <w:r>
        <w:rPr>
          <w:rFonts w:asciiTheme="majorBidi" w:hAnsiTheme="majorBidi" w:cstheme="majorBidi"/>
          <w:sz w:val="28"/>
          <w:szCs w:val="28"/>
        </w:rPr>
        <w:t xml:space="preserve"> </w:t>
      </w:r>
      <w:r w:rsidRPr="003208D1">
        <w:rPr>
          <w:rFonts w:asciiTheme="majorBidi" w:hAnsiTheme="majorBidi" w:cstheme="majorBidi"/>
          <w:sz w:val="28"/>
          <w:szCs w:val="28"/>
        </w:rPr>
        <w:t>Despite this, there have been complaints about the persistence of phenomena such as social stigma and discrimination against persons with disabilities, in addition to the continuing obstacles that prevent their full integration into education. Partners also has concerns about the lack of inclusion of children with disabilities in Law No. 11 of 2019 regarding the establishment of the National Council for Persons with Disabilities, which is the council entrusted with developing plans and policies related to this category, including children.</w:t>
      </w:r>
    </w:p>
    <w:p w14:paraId="0FF32B98" w14:textId="77777777" w:rsidR="00DC763F" w:rsidRPr="00431FA1" w:rsidRDefault="00DC763F" w:rsidP="00DC763F">
      <w:pPr>
        <w:bidi w:val="0"/>
        <w:jc w:val="both"/>
        <w:rPr>
          <w:rFonts w:asciiTheme="majorBidi" w:hAnsiTheme="majorBidi" w:cstheme="majorBidi"/>
          <w:b/>
          <w:bCs/>
          <w:color w:val="4472C4" w:themeColor="accent1"/>
          <w:sz w:val="28"/>
          <w:szCs w:val="28"/>
          <w:u w:val="single"/>
        </w:rPr>
      </w:pPr>
      <w:r w:rsidRPr="00431FA1">
        <w:rPr>
          <w:rFonts w:asciiTheme="majorBidi" w:hAnsiTheme="majorBidi" w:cstheme="majorBidi"/>
          <w:b/>
          <w:bCs/>
          <w:color w:val="4472C4" w:themeColor="accent1"/>
          <w:sz w:val="28"/>
          <w:szCs w:val="28"/>
          <w:u w:val="single"/>
        </w:rPr>
        <w:t>Third: Social and economic assistance for children</w:t>
      </w:r>
    </w:p>
    <w:p w14:paraId="7EDC25D4" w14:textId="4AC719D1" w:rsidR="00DC763F" w:rsidRPr="00DC763F" w:rsidRDefault="00DC763F" w:rsidP="00DC763F">
      <w:pPr>
        <w:bidi w:val="0"/>
        <w:jc w:val="both"/>
        <w:rPr>
          <w:rFonts w:asciiTheme="majorBidi" w:hAnsiTheme="majorBidi" w:cstheme="majorBidi"/>
          <w:sz w:val="28"/>
          <w:szCs w:val="28"/>
        </w:rPr>
      </w:pPr>
      <w:r w:rsidRPr="00DC763F">
        <w:rPr>
          <w:rFonts w:asciiTheme="majorBidi" w:hAnsiTheme="majorBidi" w:cstheme="majorBidi"/>
          <w:sz w:val="28"/>
          <w:szCs w:val="28"/>
        </w:rPr>
        <w:t>Under Article 26 of the Convention on the Rights of the Child, governments must provide financial and other forms of support to help children in poor families. The Ministry of Social Solidarity estimates that there are about 9.3 million poor families in Egypt, which means the need to allocate more support to children living in these families. In this context, Partners notes the role played by the Ministry of Social Solidarity, especially what it provides for the benefit of some children from vulnerable groups, as the Ministry of Solidarity provides a child pension granted to children under 18 years of age. The value is determined according to the number of children in each family, in addition to a monthly scholarship for each child benefiting from the pension on the condition that they attend basic to intermediate education, with a maximum of 200 pounds per month in a maximum time period of eight months from October to May of each academic year. The beneficiaries of this pension are orphaned children or children of unknown parentage. In addition to the woman’s children if she gets married, is imprisoned, or dies</w:t>
      </w:r>
      <w:r>
        <w:rPr>
          <w:rFonts w:asciiTheme="majorBidi" w:hAnsiTheme="majorBidi" w:cstheme="majorBidi"/>
          <w:sz w:val="28"/>
          <w:szCs w:val="28"/>
        </w:rPr>
        <w:t>, and f</w:t>
      </w:r>
      <w:r w:rsidRPr="00DC763F">
        <w:rPr>
          <w:rFonts w:asciiTheme="majorBidi" w:hAnsiTheme="majorBidi" w:cstheme="majorBidi"/>
          <w:sz w:val="28"/>
          <w:szCs w:val="28"/>
        </w:rPr>
        <w:t>inally, the children of the family’s breadwinner who has been imprisoned for a period of no less than three years</w:t>
      </w:r>
      <w:r w:rsidRPr="00DC763F">
        <w:rPr>
          <w:rFonts w:asciiTheme="majorBidi" w:hAnsiTheme="majorBidi" w:cs="Times New Roman"/>
          <w:sz w:val="28"/>
          <w:szCs w:val="28"/>
          <w:rtl/>
        </w:rPr>
        <w:t>.</w:t>
      </w:r>
    </w:p>
    <w:p w14:paraId="6C9B6D38" w14:textId="400C9A31" w:rsidR="00DC763F" w:rsidRDefault="00DC763F" w:rsidP="00DC763F">
      <w:pPr>
        <w:bidi w:val="0"/>
        <w:jc w:val="both"/>
        <w:rPr>
          <w:rFonts w:asciiTheme="majorBidi" w:hAnsiTheme="majorBidi" w:cstheme="majorBidi"/>
          <w:sz w:val="28"/>
          <w:szCs w:val="28"/>
        </w:rPr>
      </w:pPr>
      <w:r w:rsidRPr="00DC763F">
        <w:rPr>
          <w:rFonts w:asciiTheme="majorBidi" w:hAnsiTheme="majorBidi" w:cstheme="majorBidi"/>
          <w:sz w:val="28"/>
          <w:szCs w:val="28"/>
        </w:rPr>
        <w:lastRenderedPageBreak/>
        <w:t>In the same context, it includes the new draft child law, which includes amendments related to social protection for children from poor groups</w:t>
      </w:r>
      <w:r w:rsidR="006375FF">
        <w:rPr>
          <w:rStyle w:val="FootnoteReference"/>
          <w:rFonts w:asciiTheme="majorBidi" w:hAnsiTheme="majorBidi" w:cstheme="majorBidi"/>
          <w:sz w:val="28"/>
          <w:szCs w:val="28"/>
        </w:rPr>
        <w:footnoteReference w:id="8"/>
      </w:r>
      <w:r w:rsidRPr="00DC763F">
        <w:rPr>
          <w:rFonts w:asciiTheme="majorBidi" w:hAnsiTheme="majorBidi" w:cstheme="majorBidi"/>
          <w:sz w:val="28"/>
          <w:szCs w:val="28"/>
        </w:rPr>
        <w:t>. In the current session, a group of joint committees in the House of Representatives are also discussing the draft law on social security and cash support, which aims, among other things, to encourage the family benefiting from cash support to invest in the health of its children during the first thousand days of the children’s lives and during the early childhood stage, and women's reproductive health, in addition to ensuring the education of children and supporting their presence in the educational process. These measures support the implementation of Article 26 of the Convention and are consistent with Article 17 of the Egyptian Constitution.</w:t>
      </w:r>
    </w:p>
    <w:p w14:paraId="26CA934A" w14:textId="77777777" w:rsidR="00873EB1" w:rsidRPr="00431FA1" w:rsidRDefault="00873EB1" w:rsidP="00873EB1">
      <w:pPr>
        <w:bidi w:val="0"/>
        <w:jc w:val="both"/>
        <w:rPr>
          <w:rFonts w:asciiTheme="majorBidi" w:hAnsiTheme="majorBidi" w:cstheme="majorBidi"/>
          <w:b/>
          <w:bCs/>
          <w:color w:val="4472C4" w:themeColor="accent1"/>
          <w:sz w:val="28"/>
          <w:szCs w:val="28"/>
          <w:u w:val="single"/>
        </w:rPr>
      </w:pPr>
      <w:r w:rsidRPr="00431FA1">
        <w:rPr>
          <w:rFonts w:asciiTheme="majorBidi" w:hAnsiTheme="majorBidi" w:cstheme="majorBidi"/>
          <w:b/>
          <w:bCs/>
          <w:color w:val="4472C4" w:themeColor="accent1"/>
          <w:sz w:val="28"/>
          <w:szCs w:val="28"/>
          <w:u w:val="single"/>
        </w:rPr>
        <w:t>Fourth: Teaching children</w:t>
      </w:r>
    </w:p>
    <w:p w14:paraId="44813ED8" w14:textId="4FC08BD6" w:rsidR="00873EB1" w:rsidRDefault="00873EB1" w:rsidP="00873EB1">
      <w:pPr>
        <w:bidi w:val="0"/>
        <w:jc w:val="both"/>
        <w:rPr>
          <w:rFonts w:asciiTheme="majorBidi" w:hAnsiTheme="majorBidi" w:cs="Times New Roman"/>
          <w:sz w:val="28"/>
          <w:szCs w:val="28"/>
        </w:rPr>
      </w:pPr>
      <w:r>
        <w:rPr>
          <w:rFonts w:asciiTheme="majorBidi" w:hAnsiTheme="majorBidi" w:cstheme="majorBidi"/>
          <w:sz w:val="28"/>
          <w:szCs w:val="28"/>
        </w:rPr>
        <w:t>Partners for Transparency</w:t>
      </w:r>
      <w:r w:rsidRPr="00873EB1">
        <w:rPr>
          <w:rFonts w:asciiTheme="majorBidi" w:hAnsiTheme="majorBidi" w:cstheme="majorBidi"/>
          <w:sz w:val="28"/>
          <w:szCs w:val="28"/>
        </w:rPr>
        <w:t xml:space="preserve"> noted that ensuring education for all children is a constitutional right in the Arab Republic of Egypt. According to Article 19 of the amended Egyptian Constitution of 2019, education is a right for every citizen, and it is compulsory until the end of secondary school or its equivalent, and the state guarantees its free education at its various stages in its educational institutions</w:t>
      </w:r>
      <w:r>
        <w:rPr>
          <w:rFonts w:asciiTheme="majorBidi" w:hAnsiTheme="majorBidi" w:cstheme="majorBidi"/>
          <w:sz w:val="28"/>
          <w:szCs w:val="28"/>
        </w:rPr>
        <w:t xml:space="preserve"> </w:t>
      </w:r>
      <w:r w:rsidRPr="00873EB1">
        <w:rPr>
          <w:rFonts w:asciiTheme="majorBidi" w:hAnsiTheme="majorBidi" w:cstheme="majorBidi"/>
          <w:sz w:val="28"/>
          <w:szCs w:val="28"/>
        </w:rPr>
        <w:t>according to the law. The state is committed to allocating a percentage of government spending to education of no less than 4% of the gross national product, which will gradually increase until it is consistent with international rates. Partners praises the increase in spending on education from 193.7 billion pounds in the 2021/2022 budget to 229.9 billion pounds in the 2023/2024 budget, with a growth rate of 19%, However, partners note that this spending increases in terms of the declared value only, or what is called the nominal value, and not in the real value,</w:t>
      </w:r>
      <w:r w:rsidRPr="00873EB1">
        <w:t xml:space="preserve"> </w:t>
      </w:r>
      <w:r>
        <w:rPr>
          <w:rFonts w:asciiTheme="majorBidi" w:hAnsiTheme="majorBidi" w:cstheme="majorBidi"/>
          <w:sz w:val="28"/>
          <w:szCs w:val="28"/>
        </w:rPr>
        <w:t>as the</w:t>
      </w:r>
      <w:r w:rsidRPr="00873EB1">
        <w:rPr>
          <w:rFonts w:asciiTheme="majorBidi" w:hAnsiTheme="majorBidi" w:cstheme="majorBidi"/>
          <w:sz w:val="28"/>
          <w:szCs w:val="28"/>
        </w:rPr>
        <w:t xml:space="preserve"> Ministry of Finance is expanding the concept of spending on education to include what is spent on any educational activities by all ministries and their affiliated departments and other public bodies such as service or economic bodies or even scientific and research centers, in addition to spending by public sector companies and the public business sector owned by the state on education. The Ministry also considers the education sector's share of debt repayment among education spending.</w:t>
      </w:r>
    </w:p>
    <w:p w14:paraId="0EE3F70B" w14:textId="4CBAFF7D" w:rsidR="00873EB1" w:rsidRDefault="00873EB1" w:rsidP="00873EB1">
      <w:pPr>
        <w:bidi w:val="0"/>
        <w:jc w:val="both"/>
        <w:rPr>
          <w:rFonts w:asciiTheme="majorBidi" w:hAnsiTheme="majorBidi" w:cstheme="majorBidi"/>
          <w:sz w:val="28"/>
          <w:szCs w:val="28"/>
        </w:rPr>
      </w:pPr>
      <w:r w:rsidRPr="00873EB1">
        <w:rPr>
          <w:rFonts w:asciiTheme="majorBidi" w:hAnsiTheme="majorBidi" w:cstheme="majorBidi"/>
          <w:sz w:val="28"/>
          <w:szCs w:val="28"/>
        </w:rPr>
        <w:t xml:space="preserve">Partners for Transparency also views positively what the National Human Rights Strategy targeted in the second subtopic of the axis on economic and social rights, as the National Human Rights Strategy aimed to expand the establishment of schools for all educational levels in all regions and develop the technological infrastructure. Within the framework </w:t>
      </w:r>
      <w:r w:rsidRPr="00873EB1">
        <w:rPr>
          <w:rFonts w:asciiTheme="majorBidi" w:hAnsiTheme="majorBidi" w:cstheme="majorBidi"/>
          <w:sz w:val="28"/>
          <w:szCs w:val="28"/>
        </w:rPr>
        <w:lastRenderedPageBreak/>
        <w:t>of working to achieve this result, Partners notes that the economic and social development plan has allocated $4.2 billion to create, develop and expand 8,400 classrooms for all educational levels. However, Egypt is still suffering, according to official data, from a deficit in the number of classrooms. The current classroom deficit is estimated at about 117 classrooms that must be built in about five years, according to World Bank estimates in October 2022.</w:t>
      </w:r>
    </w:p>
    <w:p w14:paraId="5FBAAD33" w14:textId="62306F7E" w:rsidR="00873EB1" w:rsidRDefault="00873EB1" w:rsidP="00873EB1">
      <w:pPr>
        <w:bidi w:val="0"/>
        <w:jc w:val="both"/>
        <w:rPr>
          <w:rFonts w:asciiTheme="majorBidi" w:hAnsiTheme="majorBidi" w:cstheme="majorBidi"/>
          <w:sz w:val="28"/>
          <w:szCs w:val="28"/>
        </w:rPr>
      </w:pPr>
      <w:r w:rsidRPr="00873EB1">
        <w:rPr>
          <w:rFonts w:asciiTheme="majorBidi" w:hAnsiTheme="majorBidi" w:cstheme="majorBidi"/>
          <w:sz w:val="28"/>
          <w:szCs w:val="28"/>
        </w:rPr>
        <w:t xml:space="preserve">In a related context, Partners for Transparency noted that in order to fill the deficit in the number of teachers, it launched the presidential initiative to appoint 150,000 teachers over a five-year period, representing the appointment of 30,000 annually starting from the early education stage (kindergarten) until the first three grades in </w:t>
      </w:r>
      <w:r>
        <w:rPr>
          <w:rFonts w:asciiTheme="majorBidi" w:hAnsiTheme="majorBidi" w:cstheme="majorBidi"/>
          <w:sz w:val="28"/>
          <w:szCs w:val="28"/>
        </w:rPr>
        <w:t xml:space="preserve">primary </w:t>
      </w:r>
      <w:r w:rsidRPr="00873EB1">
        <w:rPr>
          <w:rFonts w:asciiTheme="majorBidi" w:hAnsiTheme="majorBidi" w:cstheme="majorBidi"/>
          <w:sz w:val="28"/>
          <w:szCs w:val="28"/>
        </w:rPr>
        <w:t xml:space="preserve">education. The launch of this initiative comes to reduce the deficit in the number of teachers in Egypt relative to the number of students, as the teacher deficit has reached about 323 thousand teachers, according to the latest official statistics. This number increases by between 25 and 30 thousand teachers annually, given that the majority of teachers are of high age and are retiring, in addition to the annual increase in the number of students, which, according to the statements of the current Minister of Education, has reached 800 thousand annually. The appointment of teachers included issuing two training programs for teachers who passed the exams. The first was an educational rehabilitation program for active learning, lasting 4 days, and the second program was for training, physical and mental fitness, and aimed to train teachers to bear the physical burdens during presentation and explanation in the classroom. In the context of working to reduce dropout from the educational process, Partners noted that despite the attempts of the Ministry of Education to reduce school dropout, according to data issued by the Central Agency for Public Mobilization and Statistics in its report on pre-university education issued in January 2023, </w:t>
      </w:r>
      <w:r w:rsidR="007A4540">
        <w:rPr>
          <w:rFonts w:asciiTheme="majorBidi" w:hAnsiTheme="majorBidi" w:cstheme="majorBidi"/>
          <w:sz w:val="28"/>
          <w:szCs w:val="28"/>
        </w:rPr>
        <w:t>as the</w:t>
      </w:r>
      <w:r w:rsidR="007A4540" w:rsidRPr="007A4540">
        <w:rPr>
          <w:rFonts w:asciiTheme="majorBidi" w:hAnsiTheme="majorBidi" w:cstheme="majorBidi"/>
          <w:sz w:val="28"/>
          <w:szCs w:val="28"/>
        </w:rPr>
        <w:t xml:space="preserve"> total number of dropouts from education in the primary and preparatory levels reached 68,831 male and female students.</w:t>
      </w:r>
      <w:r w:rsidR="007A4540">
        <w:rPr>
          <w:rFonts w:asciiTheme="majorBidi" w:hAnsiTheme="majorBidi" w:cstheme="majorBidi"/>
          <w:sz w:val="28"/>
          <w:szCs w:val="28"/>
        </w:rPr>
        <w:t xml:space="preserve"> </w:t>
      </w:r>
      <w:r w:rsidRPr="00873EB1">
        <w:rPr>
          <w:rFonts w:asciiTheme="majorBidi" w:hAnsiTheme="majorBidi" w:cstheme="majorBidi"/>
          <w:sz w:val="28"/>
          <w:szCs w:val="28"/>
        </w:rPr>
        <w:t xml:space="preserve">The report indicated that the number of students who dropped out of primary education reached 25,380 students, including 14,797 male students and about 10,401 female students, while about 43,351 students dropped out of middle school, including 16,631 male students and 26,720 female students. Partners praises what the Ministry of Social Solidarity is trying to do to reduce school dropout, especially in rural areas, where the Ministry is considering linking solidarity and dignity programs with education so </w:t>
      </w:r>
      <w:r w:rsidR="007A4540" w:rsidRPr="007A4540">
        <w:rPr>
          <w:rFonts w:asciiTheme="majorBidi" w:hAnsiTheme="majorBidi" w:cstheme="majorBidi"/>
          <w:sz w:val="28"/>
          <w:szCs w:val="28"/>
        </w:rPr>
        <w:t>that some families are given tuition fees, food and meals, and children are included in health insurance on the condition that they have children in education and on the condition that they pass every educational stage and that they are not pushed by the families to exit the educational process.</w:t>
      </w:r>
      <w:r w:rsidR="007A4540">
        <w:rPr>
          <w:rFonts w:asciiTheme="majorBidi" w:hAnsiTheme="majorBidi" w:cstheme="majorBidi"/>
          <w:sz w:val="28"/>
          <w:szCs w:val="28"/>
        </w:rPr>
        <w:t xml:space="preserve"> Partners</w:t>
      </w:r>
      <w:r w:rsidRPr="00873EB1">
        <w:rPr>
          <w:rFonts w:asciiTheme="majorBidi" w:hAnsiTheme="majorBidi" w:cstheme="majorBidi"/>
          <w:sz w:val="28"/>
          <w:szCs w:val="28"/>
        </w:rPr>
        <w:t xml:space="preserve"> also praises what the Ministry of Education announced, that the Ministry’s strategic plan (2024-2029) is centered on the </w:t>
      </w:r>
      <w:r w:rsidRPr="00873EB1">
        <w:rPr>
          <w:rFonts w:asciiTheme="majorBidi" w:hAnsiTheme="majorBidi" w:cstheme="majorBidi"/>
          <w:sz w:val="28"/>
          <w:szCs w:val="28"/>
        </w:rPr>
        <w:lastRenderedPageBreak/>
        <w:t xml:space="preserve">child as the basis of the educational process through high-quality education in accordance with international standards. In the context of making education available to all, including the integration of persons with disabilities into the educational process, Partners noted that the Egyptian government has included what is known as inclusive education in Egypt’s Vision 2023 in order to achieve the fourth goal of the Sustainable Development Goals. This step aims to integrate students with mild disabilities into regular classes. </w:t>
      </w:r>
      <w:r w:rsidR="007A4540">
        <w:rPr>
          <w:rFonts w:asciiTheme="majorBidi" w:hAnsiTheme="majorBidi" w:cstheme="majorBidi"/>
          <w:sz w:val="28"/>
          <w:szCs w:val="28"/>
        </w:rPr>
        <w:t>P</w:t>
      </w:r>
      <w:r w:rsidR="007A4540" w:rsidRPr="007A4540">
        <w:rPr>
          <w:rFonts w:asciiTheme="majorBidi" w:hAnsiTheme="majorBidi" w:cstheme="majorBidi"/>
          <w:sz w:val="28"/>
          <w:szCs w:val="28"/>
        </w:rPr>
        <w:t>artners also included inclusive education for children with disabilities as a key element in the national strategy for pre-university education, which extends until 2030.</w:t>
      </w:r>
    </w:p>
    <w:p w14:paraId="1E93C686" w14:textId="47974A1A" w:rsidR="00275005" w:rsidRPr="00431FA1" w:rsidRDefault="00275005" w:rsidP="00275005">
      <w:pPr>
        <w:bidi w:val="0"/>
        <w:jc w:val="both"/>
        <w:rPr>
          <w:rFonts w:asciiTheme="majorBidi" w:hAnsiTheme="majorBidi" w:cstheme="majorBidi"/>
          <w:b/>
          <w:bCs/>
          <w:color w:val="4472C4" w:themeColor="accent1"/>
          <w:sz w:val="28"/>
          <w:szCs w:val="28"/>
          <w:u w:val="single"/>
        </w:rPr>
      </w:pPr>
      <w:r w:rsidRPr="00431FA1">
        <w:rPr>
          <w:rFonts w:asciiTheme="majorBidi" w:hAnsiTheme="majorBidi" w:cstheme="majorBidi"/>
          <w:b/>
          <w:bCs/>
          <w:color w:val="4472C4" w:themeColor="accent1"/>
          <w:sz w:val="28"/>
          <w:szCs w:val="28"/>
          <w:u w:val="single"/>
        </w:rPr>
        <w:t>Fifth: Early marriage (marriage of minors)</w:t>
      </w:r>
    </w:p>
    <w:p w14:paraId="2633B8EE" w14:textId="123C2534" w:rsidR="00275005" w:rsidRPr="00275005" w:rsidRDefault="00275005" w:rsidP="00275005">
      <w:pPr>
        <w:bidi w:val="0"/>
        <w:jc w:val="both"/>
        <w:rPr>
          <w:rFonts w:asciiTheme="majorBidi" w:hAnsiTheme="majorBidi" w:cstheme="majorBidi"/>
          <w:sz w:val="28"/>
          <w:szCs w:val="28"/>
        </w:rPr>
      </w:pPr>
      <w:r w:rsidRPr="00275005">
        <w:rPr>
          <w:rFonts w:asciiTheme="majorBidi" w:hAnsiTheme="majorBidi" w:cstheme="majorBidi"/>
          <w:sz w:val="28"/>
          <w:szCs w:val="28"/>
        </w:rPr>
        <w:t xml:space="preserve">The Civil Status Law prohibits the prohibition of notarizing marriage contracts for those of both sexes who have not yet reached eighteen full Gregorian years. It also punishes with imprisonment or a fine anyone who expresses before the competent authority with the intention of proving that one of the spouses has reached the legally specified age for concluding a marriage contract, incorrect statements if the marriage contract is concluded on the basis of </w:t>
      </w:r>
      <w:r>
        <w:rPr>
          <w:rFonts w:asciiTheme="majorBidi" w:hAnsiTheme="majorBidi" w:cstheme="majorBidi"/>
          <w:sz w:val="28"/>
          <w:szCs w:val="28"/>
        </w:rPr>
        <w:t>t</w:t>
      </w:r>
      <w:r w:rsidRPr="00275005">
        <w:rPr>
          <w:rFonts w:asciiTheme="majorBidi" w:hAnsiTheme="majorBidi" w:cstheme="majorBidi"/>
          <w:sz w:val="28"/>
          <w:szCs w:val="28"/>
        </w:rPr>
        <w:t>hese statements or papers, and the same penalty shall be imposed on any person to whom the law has given the authority to regulate the marriage contract (</w:t>
      </w:r>
      <w:r>
        <w:rPr>
          <w:rFonts w:asciiTheme="majorBidi" w:hAnsiTheme="majorBidi" w:cstheme="majorBidi"/>
          <w:sz w:val="28"/>
          <w:szCs w:val="28"/>
        </w:rPr>
        <w:t>Ma</w:t>
      </w:r>
      <w:r w:rsidR="00F72991">
        <w:rPr>
          <w:rFonts w:asciiTheme="majorBidi" w:hAnsiTheme="majorBidi" w:cstheme="majorBidi"/>
          <w:sz w:val="28"/>
          <w:szCs w:val="28"/>
        </w:rPr>
        <w:t>zoun</w:t>
      </w:r>
      <w:r w:rsidRPr="00275005">
        <w:rPr>
          <w:rFonts w:asciiTheme="majorBidi" w:hAnsiTheme="majorBidi" w:cstheme="majorBidi"/>
          <w:sz w:val="28"/>
          <w:szCs w:val="28"/>
        </w:rPr>
        <w:t>) and he knows that one of the parties to it has not reached the age specified in the law.</w:t>
      </w:r>
    </w:p>
    <w:p w14:paraId="294A496B" w14:textId="04B25A16" w:rsidR="00275005" w:rsidRPr="00275005" w:rsidRDefault="00275005" w:rsidP="00275005">
      <w:pPr>
        <w:bidi w:val="0"/>
        <w:jc w:val="both"/>
        <w:rPr>
          <w:rFonts w:asciiTheme="majorBidi" w:hAnsiTheme="majorBidi" w:cstheme="majorBidi"/>
          <w:sz w:val="28"/>
          <w:szCs w:val="28"/>
        </w:rPr>
      </w:pPr>
      <w:r w:rsidRPr="00275005">
        <w:rPr>
          <w:rFonts w:asciiTheme="majorBidi" w:hAnsiTheme="majorBidi" w:cstheme="majorBidi"/>
          <w:sz w:val="28"/>
          <w:szCs w:val="28"/>
        </w:rPr>
        <w:t>On April 12, 2022, the Egyptian Council of Ministers approved a draft law criminalizing the marriage of underage girls in Egypt. The bill penalizes the parents of the bride and groom who are minors, the official who conducts such a marriage, and any adult over the age of 18 who marries a minor. The main goal of the draft law is to eliminate the phenomenon of underage marriage in order to preserve the health of minors, especially females</w:t>
      </w:r>
      <w:r w:rsidR="006375FF">
        <w:rPr>
          <w:rStyle w:val="FootnoteReference"/>
          <w:rFonts w:asciiTheme="majorBidi" w:hAnsiTheme="majorBidi" w:cstheme="majorBidi"/>
          <w:sz w:val="28"/>
          <w:szCs w:val="28"/>
        </w:rPr>
        <w:footnoteReference w:id="9"/>
      </w:r>
      <w:r w:rsidRPr="00275005">
        <w:rPr>
          <w:rFonts w:asciiTheme="majorBidi" w:hAnsiTheme="majorBidi" w:cstheme="majorBidi"/>
          <w:sz w:val="28"/>
          <w:szCs w:val="28"/>
        </w:rPr>
        <w:t>.</w:t>
      </w:r>
    </w:p>
    <w:p w14:paraId="21EF683D" w14:textId="61E0489B" w:rsidR="00275005" w:rsidRPr="00275005" w:rsidRDefault="00275005" w:rsidP="00275005">
      <w:pPr>
        <w:bidi w:val="0"/>
        <w:jc w:val="both"/>
        <w:rPr>
          <w:rFonts w:asciiTheme="majorBidi" w:hAnsiTheme="majorBidi" w:cstheme="majorBidi"/>
          <w:sz w:val="28"/>
          <w:szCs w:val="28"/>
        </w:rPr>
      </w:pPr>
      <w:r w:rsidRPr="00275005">
        <w:rPr>
          <w:rFonts w:asciiTheme="majorBidi" w:hAnsiTheme="majorBidi" w:cstheme="majorBidi"/>
          <w:sz w:val="28"/>
          <w:szCs w:val="28"/>
        </w:rPr>
        <w:t>Partners believes that the adoption of the draft law is also consistent with the target result No. (6.h) in the first sub-paragraph on women’s rights of the third axis of the National Human Rights Strategy, which aimed to “issue a law preventing child marriage and strengthen measures to prevent forced and temporary marriage.” Partners noted that the draft law was discussed in a joint committee of the Constitutional and Legislative Affairs Committee, the offices of the Social Solidarity, Family and Persons with Disabilities Committees, and the Human Rights Committee. However, the law was not referred to a vote in the plenary session of the House of Representatives until the third session ended</w:t>
      </w:r>
      <w:r w:rsidR="006375FF">
        <w:rPr>
          <w:rStyle w:val="FootnoteReference"/>
          <w:rFonts w:asciiTheme="majorBidi" w:hAnsiTheme="majorBidi" w:cstheme="majorBidi"/>
          <w:sz w:val="28"/>
          <w:szCs w:val="28"/>
        </w:rPr>
        <w:footnoteReference w:id="10"/>
      </w:r>
      <w:r w:rsidRPr="00275005">
        <w:rPr>
          <w:rFonts w:asciiTheme="majorBidi" w:hAnsiTheme="majorBidi" w:cstheme="majorBidi"/>
          <w:sz w:val="28"/>
          <w:szCs w:val="28"/>
        </w:rPr>
        <w:t xml:space="preserve">. </w:t>
      </w:r>
      <w:r w:rsidRPr="00275005">
        <w:rPr>
          <w:rFonts w:asciiTheme="majorBidi" w:hAnsiTheme="majorBidi" w:cstheme="majorBidi"/>
          <w:sz w:val="28"/>
          <w:szCs w:val="28"/>
        </w:rPr>
        <w:lastRenderedPageBreak/>
        <w:t>The law affirmed the criminalization of the marriage of children who have not reached the age of 18, in addition to prohibiting the documentation of marriage contracts except in specific cases and by a decision of the judge of temporary matters in the family court, and this applies only to crimes of rape and indecent assault, after a final judgment of conviction is issued. In accordance with the principles and provisions of the Convention on the Rights of the Child, to which Egypt acceded pursuant to Presidential Decree No. 260 of 1990 issued on May 24, 1990 and published in the Official Gazette No. 7 on February 14, 1991.</w:t>
      </w:r>
    </w:p>
    <w:p w14:paraId="589AD55C" w14:textId="787EA1E1" w:rsidR="007A4540" w:rsidRDefault="00275005" w:rsidP="00275005">
      <w:pPr>
        <w:bidi w:val="0"/>
        <w:jc w:val="both"/>
        <w:rPr>
          <w:rFonts w:asciiTheme="majorBidi" w:hAnsiTheme="majorBidi" w:cstheme="majorBidi"/>
          <w:sz w:val="28"/>
          <w:szCs w:val="28"/>
        </w:rPr>
      </w:pPr>
      <w:r w:rsidRPr="00275005">
        <w:rPr>
          <w:rFonts w:asciiTheme="majorBidi" w:hAnsiTheme="majorBidi" w:cstheme="majorBidi"/>
          <w:sz w:val="28"/>
          <w:szCs w:val="28"/>
        </w:rPr>
        <w:t>It is worth noting that Egypt had expressed its reservations about the second paragraph of Article 21 regarding child marriage when it joined the African Charter on the Rights and Welfare of the Child, but Egypt soon lifted its reservations about this article in accordance with Presidential Decree No. 75 of 2015 approving the withdrawal of the Arab Republic of Egypt’s reservation about Article 21(2) of the African Charter on the Rights and Welfare of the Child.</w:t>
      </w:r>
    </w:p>
    <w:p w14:paraId="2B5A60AD" w14:textId="725E9D0E" w:rsidR="00F72991" w:rsidRPr="00F72991" w:rsidRDefault="00F72991" w:rsidP="00F72991">
      <w:pPr>
        <w:bidi w:val="0"/>
        <w:jc w:val="both"/>
        <w:rPr>
          <w:rFonts w:asciiTheme="majorBidi" w:hAnsiTheme="majorBidi" w:cstheme="majorBidi"/>
          <w:sz w:val="28"/>
          <w:szCs w:val="28"/>
        </w:rPr>
      </w:pPr>
      <w:r w:rsidRPr="00F72991">
        <w:rPr>
          <w:rFonts w:asciiTheme="majorBidi" w:hAnsiTheme="majorBidi" w:cstheme="majorBidi"/>
          <w:sz w:val="28"/>
          <w:szCs w:val="28"/>
        </w:rPr>
        <w:t>The draft law also stipulates that a marriage contract may not be notarized for anyone who has not reached eighteen years of age, and the contract may not be ratified. The draft law also allows interested parties to submit a request on a petition to the President of the Family Court, in his capacity as a judge for temporary matters, to authorize the notarization of a marriage contract from She has not reached eighteen years of age for the crimes stipulated in Articles Nos. (267), (268), and (269) of the Penal Code, relating to crimes of rape and indecent assault, after a final judgment of conviction has been issued. The draft law also obliges the authorized or delegated notary to notify the Public Prosecution of the incidents of a common-law marriage in which one of the parties is a child who has not exceeded 18 years of age at the time of marriage, and shall be punished by imprisonment for a period of not less than one year, and a fine of not less than fifty thousand pounds, and not more than two hundred thousand pounds, each Whoever marries or gives in marriage to a male or female, neither of whom has reached eighteen years of age at the time of marriage. The court shall judge the convict if he is authorized, notarized, or a guardian of the child by removal, and if he is a guardian over him by reason of guardianship</w:t>
      </w:r>
      <w:r w:rsidR="006375FF">
        <w:rPr>
          <w:rStyle w:val="FootnoteReference"/>
          <w:rFonts w:asciiTheme="majorBidi" w:hAnsiTheme="majorBidi" w:cstheme="majorBidi"/>
          <w:sz w:val="28"/>
          <w:szCs w:val="28"/>
        </w:rPr>
        <w:footnoteReference w:id="11"/>
      </w:r>
      <w:r w:rsidRPr="00F72991">
        <w:rPr>
          <w:rFonts w:asciiTheme="majorBidi" w:hAnsiTheme="majorBidi" w:cstheme="majorBidi"/>
          <w:sz w:val="28"/>
          <w:szCs w:val="28"/>
        </w:rPr>
        <w:t xml:space="preserve">. The penalty shall be imprisonment for a period of not less than six months, and a fine of not less than twenty thousand pounds and not more than fifty thousand pounds, in addition to the dismissal of every authorized or delegated notary who violates </w:t>
      </w:r>
      <w:r w:rsidRPr="00F72991">
        <w:rPr>
          <w:rFonts w:asciiTheme="majorBidi" w:hAnsiTheme="majorBidi" w:cstheme="majorBidi"/>
          <w:sz w:val="28"/>
          <w:szCs w:val="28"/>
        </w:rPr>
        <w:lastRenderedPageBreak/>
        <w:t>the provisions of Article (2) of this law, regarding notification of incidents of customary marriage that is One side is a child</w:t>
      </w:r>
      <w:r w:rsidRPr="00F72991">
        <w:rPr>
          <w:rFonts w:asciiTheme="majorBidi" w:hAnsiTheme="majorBidi" w:cs="Times New Roman"/>
          <w:sz w:val="28"/>
          <w:szCs w:val="28"/>
          <w:rtl/>
        </w:rPr>
        <w:t>.</w:t>
      </w:r>
    </w:p>
    <w:p w14:paraId="6803A1F4" w14:textId="5EEBB862" w:rsidR="00F72991" w:rsidRDefault="00F72991" w:rsidP="00F72991">
      <w:pPr>
        <w:bidi w:val="0"/>
        <w:jc w:val="both"/>
        <w:rPr>
          <w:rFonts w:asciiTheme="majorBidi" w:hAnsiTheme="majorBidi" w:cstheme="majorBidi"/>
          <w:sz w:val="28"/>
          <w:szCs w:val="28"/>
        </w:rPr>
      </w:pPr>
      <w:r w:rsidRPr="00F72991">
        <w:rPr>
          <w:rFonts w:asciiTheme="majorBidi" w:hAnsiTheme="majorBidi" w:cstheme="majorBidi"/>
          <w:sz w:val="28"/>
          <w:szCs w:val="28"/>
        </w:rPr>
        <w:t xml:space="preserve">Although Partners believes that this amendment is consistent with one of the targeted results in the first sub-paragraph on women’s rights, </w:t>
      </w:r>
      <w:r w:rsidR="006F5AB4">
        <w:rPr>
          <w:rFonts w:asciiTheme="majorBidi" w:hAnsiTheme="majorBidi" w:cstheme="majorBidi"/>
          <w:sz w:val="28"/>
          <w:szCs w:val="28"/>
        </w:rPr>
        <w:t>i</w:t>
      </w:r>
      <w:r w:rsidR="006F5AB4" w:rsidRPr="006F5AB4">
        <w:rPr>
          <w:rFonts w:asciiTheme="majorBidi" w:hAnsiTheme="majorBidi" w:cstheme="majorBidi"/>
          <w:sz w:val="28"/>
          <w:szCs w:val="28"/>
        </w:rPr>
        <w:t>n the third axis of the National Human Rights Strategy, approval of this law is also consistent with Egypt’s obligations that it has ratified under international treaties and which it reaffirmed in the National Human Rights Strategy, including Article 16 (2) of the Convention on the Elimination of All Forms of Discrimination against Women, which It stipulates that the engagement or marriage of a child shall have no legal effect, and all necessary measures shall be taken, including legislation, to set a minimum age for marriage and to make the registration of marriage in an official registry mandatory, in addition to the third paragraph of Article 24 of the Convention on the Rights of the Child, which urges states to take all Effective and appropriate measures to eliminate traditional practices that harm children</w:t>
      </w:r>
      <w:r w:rsidR="006375FF">
        <w:rPr>
          <w:rStyle w:val="FootnoteReference"/>
          <w:rFonts w:asciiTheme="majorBidi" w:hAnsiTheme="majorBidi" w:cstheme="majorBidi"/>
          <w:sz w:val="28"/>
          <w:szCs w:val="28"/>
        </w:rPr>
        <w:footnoteReference w:id="12"/>
      </w:r>
      <w:r w:rsidR="006F5AB4" w:rsidRPr="006F5AB4">
        <w:rPr>
          <w:rFonts w:asciiTheme="majorBidi" w:hAnsiTheme="majorBidi" w:cstheme="majorBidi"/>
          <w:sz w:val="28"/>
          <w:szCs w:val="28"/>
        </w:rPr>
        <w:t>.</w:t>
      </w:r>
      <w:r w:rsidRPr="00F72991">
        <w:rPr>
          <w:rFonts w:asciiTheme="majorBidi" w:hAnsiTheme="majorBidi" w:cstheme="majorBidi"/>
          <w:sz w:val="28"/>
          <w:szCs w:val="28"/>
        </w:rPr>
        <w:t xml:space="preserve"> However, by reviewing the United Nations website for treaties, Egypt is still a state that is not a party to the Convention on Consent to Marriage and the Minimum Age of Marriage, which was adopted by the General Assembly on December 10, 1962, which requires the rapid ratification of this Convention so that the constitutional framework is integrated with the international framework stipulating the prohibition of </w:t>
      </w:r>
      <w:r w:rsidR="006F5AB4">
        <w:rPr>
          <w:rFonts w:asciiTheme="majorBidi" w:hAnsiTheme="majorBidi" w:cstheme="majorBidi"/>
          <w:sz w:val="28"/>
          <w:szCs w:val="28"/>
        </w:rPr>
        <w:t>c</w:t>
      </w:r>
      <w:r w:rsidRPr="00F72991">
        <w:rPr>
          <w:rFonts w:asciiTheme="majorBidi" w:hAnsiTheme="majorBidi" w:cstheme="majorBidi"/>
          <w:sz w:val="28"/>
          <w:szCs w:val="28"/>
        </w:rPr>
        <w:t>hild marriage in Egypt</w:t>
      </w:r>
      <w:r w:rsidR="006375FF">
        <w:rPr>
          <w:rStyle w:val="FootnoteReference"/>
          <w:rFonts w:asciiTheme="majorBidi" w:hAnsiTheme="majorBidi" w:cstheme="majorBidi"/>
          <w:sz w:val="28"/>
          <w:szCs w:val="28"/>
        </w:rPr>
        <w:footnoteReference w:id="13"/>
      </w:r>
      <w:r w:rsidRPr="00F72991">
        <w:rPr>
          <w:rFonts w:asciiTheme="majorBidi" w:hAnsiTheme="majorBidi" w:cstheme="majorBidi"/>
          <w:sz w:val="28"/>
          <w:szCs w:val="28"/>
        </w:rPr>
        <w:t>. There is also a need to speed up the issuance of the law, especially in light of reliable data indicating the continuation of the phenomenon of child marriage, as data with a high degree of confidence indicate that more than 8 million women were married 18 years ago in Egypt. It is also reported that girls living in poor rural families are at greater risk of child marriage. Partners also has concerns about stopping the implementation of the National Strategy to Prevent Early Marriage, which aimed to reduce child marriage rates by 50%</w:t>
      </w:r>
      <w:r w:rsidR="006375FF">
        <w:rPr>
          <w:rStyle w:val="FootnoteReference"/>
          <w:rFonts w:asciiTheme="majorBidi" w:hAnsiTheme="majorBidi" w:cstheme="majorBidi"/>
          <w:sz w:val="28"/>
          <w:szCs w:val="28"/>
        </w:rPr>
        <w:footnoteReference w:id="14"/>
      </w:r>
      <w:r w:rsidRPr="00F72991">
        <w:rPr>
          <w:rFonts w:asciiTheme="majorBidi" w:hAnsiTheme="majorBidi" w:cstheme="majorBidi"/>
          <w:sz w:val="28"/>
          <w:szCs w:val="28"/>
        </w:rPr>
        <w:t>.</w:t>
      </w:r>
    </w:p>
    <w:p w14:paraId="258555FA" w14:textId="76EFC10B" w:rsidR="006F5AB4" w:rsidRDefault="006F5AB4" w:rsidP="006F5AB4">
      <w:pPr>
        <w:bidi w:val="0"/>
        <w:jc w:val="both"/>
        <w:rPr>
          <w:rFonts w:asciiTheme="majorBidi" w:hAnsiTheme="majorBidi" w:cstheme="majorBidi"/>
          <w:sz w:val="28"/>
          <w:szCs w:val="28"/>
        </w:rPr>
      </w:pPr>
      <w:r w:rsidRPr="006F5AB4">
        <w:rPr>
          <w:rFonts w:asciiTheme="majorBidi" w:hAnsiTheme="majorBidi" w:cstheme="majorBidi"/>
          <w:sz w:val="28"/>
          <w:szCs w:val="28"/>
        </w:rPr>
        <w:t xml:space="preserve">The National Council for Childhood and Motherhood and child protection units in the governorates monitored attempts at child marriage. In May 2022, the Council announced the prevention of 23 cases of child marriage in several governorates during Eid al-Fitr, in cooperation with the Public Prosecution, the Ministry of Interior, and child protection committees in the governorates, and in July 2022, the Ministry of Social Solidarity </w:t>
      </w:r>
      <w:r w:rsidRPr="006F5AB4">
        <w:rPr>
          <w:rFonts w:asciiTheme="majorBidi" w:hAnsiTheme="majorBidi" w:cstheme="majorBidi"/>
          <w:sz w:val="28"/>
          <w:szCs w:val="28"/>
        </w:rPr>
        <w:lastRenderedPageBreak/>
        <w:t>launched a</w:t>
      </w:r>
      <w:r w:rsidR="00A42AFB">
        <w:rPr>
          <w:rFonts w:asciiTheme="majorBidi" w:hAnsiTheme="majorBidi" w:cstheme="majorBidi"/>
          <w:sz w:val="28"/>
          <w:szCs w:val="28"/>
        </w:rPr>
        <w:t xml:space="preserve"> campaign</w:t>
      </w:r>
      <w:r w:rsidRPr="006F5AB4">
        <w:rPr>
          <w:rFonts w:asciiTheme="majorBidi" w:hAnsiTheme="majorBidi" w:cstheme="majorBidi"/>
          <w:sz w:val="28"/>
          <w:szCs w:val="28"/>
        </w:rPr>
        <w:t xml:space="preserve"> </w:t>
      </w:r>
      <w:r w:rsidR="00A42AFB" w:rsidRPr="00A42AFB">
        <w:rPr>
          <w:rFonts w:asciiTheme="majorBidi" w:hAnsiTheme="majorBidi" w:cstheme="majorBidi"/>
          <w:sz w:val="28"/>
          <w:szCs w:val="28"/>
        </w:rPr>
        <w:t xml:space="preserve">“Marriage before the age of 18 loses </w:t>
      </w:r>
      <w:r w:rsidR="00A42AFB">
        <w:rPr>
          <w:rFonts w:asciiTheme="majorBidi" w:hAnsiTheme="majorBidi" w:cstheme="majorBidi"/>
          <w:sz w:val="28"/>
          <w:szCs w:val="28"/>
        </w:rPr>
        <w:t>her</w:t>
      </w:r>
      <w:r w:rsidR="00A42AFB" w:rsidRPr="00A42AFB">
        <w:rPr>
          <w:rFonts w:asciiTheme="majorBidi" w:hAnsiTheme="majorBidi" w:cstheme="majorBidi"/>
          <w:sz w:val="28"/>
          <w:szCs w:val="28"/>
        </w:rPr>
        <w:t xml:space="preserve"> rights”</w:t>
      </w:r>
      <w:r w:rsidR="00A42AFB">
        <w:rPr>
          <w:rFonts w:asciiTheme="majorBidi" w:hAnsiTheme="majorBidi" w:cstheme="majorBidi"/>
          <w:sz w:val="28"/>
          <w:szCs w:val="28"/>
        </w:rPr>
        <w:t xml:space="preserve">, </w:t>
      </w:r>
      <w:r w:rsidRPr="006F5AB4">
        <w:rPr>
          <w:rFonts w:asciiTheme="majorBidi" w:hAnsiTheme="majorBidi" w:cstheme="majorBidi"/>
          <w:sz w:val="28"/>
          <w:szCs w:val="28"/>
        </w:rPr>
        <w:t>to raise awareness about the consequences of child marriage</w:t>
      </w:r>
      <w:r w:rsidR="002B40F0">
        <w:rPr>
          <w:rStyle w:val="FootnoteReference"/>
          <w:rFonts w:asciiTheme="majorBidi" w:hAnsiTheme="majorBidi" w:cstheme="majorBidi"/>
          <w:sz w:val="28"/>
          <w:szCs w:val="28"/>
        </w:rPr>
        <w:footnoteReference w:id="15"/>
      </w:r>
      <w:r w:rsidRPr="006F5AB4">
        <w:rPr>
          <w:rFonts w:asciiTheme="majorBidi" w:hAnsiTheme="majorBidi" w:cstheme="majorBidi"/>
          <w:sz w:val="28"/>
          <w:szCs w:val="28"/>
        </w:rPr>
        <w:t>. However, the phenomenon of child marriage is still a problem that the Egyptian government is trying hard to eliminate, as the Human Development Report revealed that there are 111,000 females in Egypt who were married before the legal age, and that 11% of females in the age group 15 to 19 years are married, in addition to the fact that there are about 5,472 girls under the age of 18 are married. According to official government reports, there are 117,000 children between the ages of 10 and 17 who are married</w:t>
      </w:r>
      <w:r w:rsidR="002B40F0">
        <w:rPr>
          <w:rStyle w:val="FootnoteReference"/>
          <w:rFonts w:asciiTheme="majorBidi" w:hAnsiTheme="majorBidi" w:cstheme="majorBidi"/>
          <w:sz w:val="28"/>
          <w:szCs w:val="28"/>
        </w:rPr>
        <w:footnoteReference w:id="16"/>
      </w:r>
      <w:r w:rsidRPr="006F5AB4">
        <w:rPr>
          <w:rFonts w:asciiTheme="majorBidi" w:hAnsiTheme="majorBidi" w:cstheme="majorBidi"/>
          <w:sz w:val="28"/>
          <w:szCs w:val="28"/>
        </w:rPr>
        <w:t>. The phenomenon of early marriage, especially for girls, results in dropping out of education and some health problems that girls who marry at a young age are exposed to</w:t>
      </w:r>
      <w:r w:rsidR="002B40F0">
        <w:rPr>
          <w:rStyle w:val="FootnoteReference"/>
          <w:rFonts w:asciiTheme="majorBidi" w:hAnsiTheme="majorBidi" w:cstheme="majorBidi"/>
          <w:sz w:val="28"/>
          <w:szCs w:val="28"/>
        </w:rPr>
        <w:footnoteReference w:id="17"/>
      </w:r>
      <w:r w:rsidRPr="006F5AB4">
        <w:rPr>
          <w:rFonts w:asciiTheme="majorBidi" w:hAnsiTheme="majorBidi" w:cstheme="majorBidi"/>
          <w:sz w:val="28"/>
          <w:szCs w:val="28"/>
        </w:rPr>
        <w:t>.</w:t>
      </w:r>
    </w:p>
    <w:p w14:paraId="312171E6" w14:textId="77777777" w:rsidR="00A42AFB" w:rsidRPr="00431FA1" w:rsidRDefault="00A42AFB" w:rsidP="00A42AFB">
      <w:pPr>
        <w:bidi w:val="0"/>
        <w:jc w:val="both"/>
        <w:rPr>
          <w:rFonts w:asciiTheme="majorBidi" w:hAnsiTheme="majorBidi" w:cstheme="majorBidi"/>
          <w:b/>
          <w:bCs/>
          <w:color w:val="4472C4" w:themeColor="accent1"/>
          <w:sz w:val="28"/>
          <w:szCs w:val="28"/>
          <w:u w:val="single"/>
        </w:rPr>
      </w:pPr>
      <w:r w:rsidRPr="00431FA1">
        <w:rPr>
          <w:rFonts w:asciiTheme="majorBidi" w:hAnsiTheme="majorBidi" w:cstheme="majorBidi"/>
          <w:b/>
          <w:bCs/>
          <w:color w:val="4472C4" w:themeColor="accent1"/>
          <w:sz w:val="28"/>
          <w:szCs w:val="28"/>
          <w:u w:val="single"/>
        </w:rPr>
        <w:t>Sixth: Child trafficking</w:t>
      </w:r>
    </w:p>
    <w:p w14:paraId="144383FF" w14:textId="74E8A1C9" w:rsidR="00A42AFB" w:rsidRDefault="00A42AFB" w:rsidP="00A42AFB">
      <w:pPr>
        <w:bidi w:val="0"/>
        <w:jc w:val="both"/>
        <w:rPr>
          <w:rFonts w:asciiTheme="majorBidi" w:hAnsiTheme="majorBidi" w:cstheme="majorBidi"/>
          <w:sz w:val="28"/>
          <w:szCs w:val="28"/>
        </w:rPr>
      </w:pPr>
      <w:r w:rsidRPr="00A42AFB">
        <w:rPr>
          <w:rFonts w:asciiTheme="majorBidi" w:hAnsiTheme="majorBidi" w:cstheme="majorBidi"/>
          <w:sz w:val="28"/>
          <w:szCs w:val="28"/>
        </w:rPr>
        <w:t>Egypt issued the National Strategy to Combat Human Trafficking 2022-2026. The second general goal included supporting development as a basis for combating human trafficking</w:t>
      </w:r>
      <w:r w:rsidR="002B40F0">
        <w:rPr>
          <w:rStyle w:val="FootnoteReference"/>
          <w:rFonts w:asciiTheme="majorBidi" w:hAnsiTheme="majorBidi" w:cstheme="majorBidi"/>
          <w:sz w:val="28"/>
          <w:szCs w:val="28"/>
        </w:rPr>
        <w:footnoteReference w:id="18"/>
      </w:r>
      <w:r w:rsidRPr="00A42AFB">
        <w:rPr>
          <w:rFonts w:asciiTheme="majorBidi" w:hAnsiTheme="majorBidi" w:cstheme="majorBidi"/>
          <w:sz w:val="28"/>
          <w:szCs w:val="28"/>
        </w:rPr>
        <w:t>. The strategy included sub-goals to protect children from human trafficking, in addition to establishing hotlines to facilitate children’s access to mechanisms for reporting human trafficking practices. However, Partners views with concern the government’s monitoring of 138 potential child trafficking victims through the National Council for Childhood and Motherhood’s hotline in 2022, which means that these practices are still continuing in practice</w:t>
      </w:r>
      <w:r w:rsidR="002B40F0">
        <w:rPr>
          <w:rStyle w:val="FootnoteReference"/>
          <w:rFonts w:asciiTheme="majorBidi" w:hAnsiTheme="majorBidi" w:cstheme="majorBidi"/>
          <w:sz w:val="28"/>
          <w:szCs w:val="28"/>
        </w:rPr>
        <w:footnoteReference w:id="19"/>
      </w:r>
      <w:r w:rsidRPr="00A42AFB">
        <w:rPr>
          <w:rFonts w:asciiTheme="majorBidi" w:hAnsiTheme="majorBidi" w:cstheme="majorBidi"/>
          <w:sz w:val="28"/>
          <w:szCs w:val="28"/>
        </w:rPr>
        <w:t>. It is also unclear what role the national referral mechanism for victims of human trafficking plays to identify potential child victims at risk of being trafficked. Partners also reviewed reports indicating that child traffickers exploit Egyptian children in sex trafficking and forced begging in Europe. Traffickers subject Egyptian adults to forced labor in construction, agriculture, domestic work, and low-wage service jobs in the region</w:t>
      </w:r>
      <w:r w:rsidR="002B40F0">
        <w:rPr>
          <w:rStyle w:val="FootnoteReference"/>
          <w:rFonts w:asciiTheme="majorBidi" w:hAnsiTheme="majorBidi" w:cstheme="majorBidi"/>
          <w:sz w:val="28"/>
          <w:szCs w:val="28"/>
        </w:rPr>
        <w:footnoteReference w:id="20"/>
      </w:r>
      <w:r w:rsidRPr="00A42AFB">
        <w:rPr>
          <w:rFonts w:asciiTheme="majorBidi" w:hAnsiTheme="majorBidi" w:cstheme="majorBidi"/>
          <w:sz w:val="28"/>
          <w:szCs w:val="28"/>
        </w:rPr>
        <w:t>.</w:t>
      </w:r>
    </w:p>
    <w:p w14:paraId="4D6A09D6" w14:textId="77777777" w:rsidR="002B40F0" w:rsidRDefault="002B40F0" w:rsidP="002B40F0">
      <w:pPr>
        <w:bidi w:val="0"/>
        <w:jc w:val="both"/>
        <w:rPr>
          <w:rFonts w:asciiTheme="majorBidi" w:hAnsiTheme="majorBidi" w:cstheme="majorBidi"/>
          <w:sz w:val="28"/>
          <w:szCs w:val="28"/>
        </w:rPr>
      </w:pPr>
    </w:p>
    <w:p w14:paraId="6E256B53" w14:textId="77777777" w:rsidR="002B40F0" w:rsidRDefault="002B40F0" w:rsidP="002B40F0">
      <w:pPr>
        <w:bidi w:val="0"/>
        <w:jc w:val="both"/>
        <w:rPr>
          <w:rFonts w:asciiTheme="majorBidi" w:hAnsiTheme="majorBidi" w:cstheme="majorBidi"/>
          <w:sz w:val="28"/>
          <w:szCs w:val="28"/>
        </w:rPr>
      </w:pPr>
    </w:p>
    <w:p w14:paraId="1D9C5888" w14:textId="77777777" w:rsidR="00431FA1" w:rsidRPr="00431FA1" w:rsidRDefault="00431FA1" w:rsidP="00431FA1">
      <w:pPr>
        <w:bidi w:val="0"/>
        <w:jc w:val="both"/>
        <w:rPr>
          <w:rFonts w:asciiTheme="majorBidi" w:hAnsiTheme="majorBidi" w:cstheme="majorBidi"/>
          <w:b/>
          <w:bCs/>
          <w:color w:val="4472C4" w:themeColor="accent1"/>
          <w:sz w:val="28"/>
          <w:szCs w:val="28"/>
          <w:u w:val="single"/>
        </w:rPr>
      </w:pPr>
      <w:r w:rsidRPr="00431FA1">
        <w:rPr>
          <w:rFonts w:asciiTheme="majorBidi" w:hAnsiTheme="majorBidi" w:cstheme="majorBidi"/>
          <w:b/>
          <w:bCs/>
          <w:color w:val="4472C4" w:themeColor="accent1"/>
          <w:sz w:val="28"/>
          <w:szCs w:val="28"/>
          <w:u w:val="single"/>
        </w:rPr>
        <w:lastRenderedPageBreak/>
        <w:t>Recommendations</w:t>
      </w:r>
    </w:p>
    <w:p w14:paraId="11FD16A0" w14:textId="77777777" w:rsidR="00431FA1" w:rsidRPr="00431FA1" w:rsidRDefault="00431FA1" w:rsidP="00431FA1">
      <w:pPr>
        <w:pStyle w:val="ListParagraph"/>
        <w:numPr>
          <w:ilvl w:val="0"/>
          <w:numId w:val="16"/>
        </w:numPr>
        <w:bidi w:val="0"/>
        <w:jc w:val="both"/>
        <w:rPr>
          <w:rFonts w:asciiTheme="majorBidi" w:hAnsiTheme="majorBidi" w:cstheme="majorBidi"/>
          <w:sz w:val="28"/>
          <w:szCs w:val="28"/>
        </w:rPr>
      </w:pPr>
      <w:r w:rsidRPr="00431FA1">
        <w:rPr>
          <w:rFonts w:asciiTheme="majorBidi" w:hAnsiTheme="majorBidi" w:cstheme="majorBidi"/>
          <w:sz w:val="28"/>
          <w:szCs w:val="28"/>
        </w:rPr>
        <w:t>We encourage the Egyptian government to expand the scope of children benefiting from the child pension and increase the financial allocations available for this pension</w:t>
      </w:r>
      <w:r w:rsidRPr="00431FA1">
        <w:rPr>
          <w:rFonts w:asciiTheme="majorBidi" w:hAnsiTheme="majorBidi" w:cs="Times New Roman"/>
          <w:sz w:val="28"/>
          <w:szCs w:val="28"/>
          <w:rtl/>
        </w:rPr>
        <w:t>.</w:t>
      </w:r>
    </w:p>
    <w:p w14:paraId="3559BAF6" w14:textId="77777777" w:rsidR="00431FA1" w:rsidRPr="00431FA1" w:rsidRDefault="00431FA1" w:rsidP="00431FA1">
      <w:pPr>
        <w:pStyle w:val="ListParagraph"/>
        <w:numPr>
          <w:ilvl w:val="0"/>
          <w:numId w:val="16"/>
        </w:numPr>
        <w:bidi w:val="0"/>
        <w:jc w:val="both"/>
        <w:rPr>
          <w:rFonts w:asciiTheme="majorBidi" w:hAnsiTheme="majorBidi" w:cstheme="majorBidi"/>
          <w:sz w:val="28"/>
          <w:szCs w:val="28"/>
        </w:rPr>
      </w:pPr>
      <w:r w:rsidRPr="00431FA1">
        <w:rPr>
          <w:rFonts w:asciiTheme="majorBidi" w:hAnsiTheme="majorBidi" w:cstheme="majorBidi"/>
          <w:sz w:val="28"/>
          <w:szCs w:val="28"/>
        </w:rPr>
        <w:t>Consider increasing penalties for people who engage in bullying practices against people with disabilities</w:t>
      </w:r>
      <w:r w:rsidRPr="00431FA1">
        <w:rPr>
          <w:rFonts w:asciiTheme="majorBidi" w:hAnsiTheme="majorBidi" w:cs="Times New Roman"/>
          <w:sz w:val="28"/>
          <w:szCs w:val="28"/>
          <w:rtl/>
        </w:rPr>
        <w:t>.</w:t>
      </w:r>
    </w:p>
    <w:p w14:paraId="4E664A1B" w14:textId="77777777" w:rsidR="00431FA1" w:rsidRPr="00431FA1" w:rsidRDefault="00431FA1" w:rsidP="00431FA1">
      <w:pPr>
        <w:pStyle w:val="ListParagraph"/>
        <w:numPr>
          <w:ilvl w:val="0"/>
          <w:numId w:val="16"/>
        </w:numPr>
        <w:bidi w:val="0"/>
        <w:jc w:val="both"/>
        <w:rPr>
          <w:rFonts w:asciiTheme="majorBidi" w:hAnsiTheme="majorBidi" w:cstheme="majorBidi"/>
          <w:sz w:val="28"/>
          <w:szCs w:val="28"/>
        </w:rPr>
      </w:pPr>
      <w:r w:rsidRPr="00431FA1">
        <w:rPr>
          <w:rFonts w:asciiTheme="majorBidi" w:hAnsiTheme="majorBidi" w:cstheme="majorBidi"/>
          <w:sz w:val="28"/>
          <w:szCs w:val="28"/>
        </w:rPr>
        <w:t>Speeding up the adoption of the Social Security and Cash Support Law, which aims, among other things, to encourage families benefiting from cash support to invest in the health of their children during the first thousand days of their lives</w:t>
      </w:r>
      <w:r w:rsidRPr="00431FA1">
        <w:rPr>
          <w:rFonts w:asciiTheme="majorBidi" w:hAnsiTheme="majorBidi" w:cs="Times New Roman"/>
          <w:sz w:val="28"/>
          <w:szCs w:val="28"/>
          <w:rtl/>
        </w:rPr>
        <w:t>;</w:t>
      </w:r>
    </w:p>
    <w:p w14:paraId="4535C660" w14:textId="77777777" w:rsidR="00431FA1" w:rsidRPr="00431FA1" w:rsidRDefault="00431FA1" w:rsidP="00431FA1">
      <w:pPr>
        <w:pStyle w:val="ListParagraph"/>
        <w:numPr>
          <w:ilvl w:val="0"/>
          <w:numId w:val="16"/>
        </w:numPr>
        <w:bidi w:val="0"/>
        <w:jc w:val="both"/>
        <w:rPr>
          <w:rFonts w:asciiTheme="majorBidi" w:hAnsiTheme="majorBidi" w:cstheme="majorBidi"/>
          <w:sz w:val="28"/>
          <w:szCs w:val="28"/>
        </w:rPr>
      </w:pPr>
      <w:r w:rsidRPr="00431FA1">
        <w:rPr>
          <w:rFonts w:asciiTheme="majorBidi" w:hAnsiTheme="majorBidi" w:cstheme="majorBidi"/>
          <w:sz w:val="28"/>
          <w:szCs w:val="28"/>
        </w:rPr>
        <w:t>Initiating the amendment of the law establishing the National Council for Persons with Disabilities, provided that the amendments include an explicit provision for the inclusion of children with disabilities in the provisions of the law</w:t>
      </w:r>
      <w:r w:rsidRPr="00431FA1">
        <w:rPr>
          <w:rFonts w:asciiTheme="majorBidi" w:hAnsiTheme="majorBidi" w:cs="Times New Roman"/>
          <w:sz w:val="28"/>
          <w:szCs w:val="28"/>
          <w:rtl/>
        </w:rPr>
        <w:t>;</w:t>
      </w:r>
    </w:p>
    <w:p w14:paraId="3B081F2D" w14:textId="77777777" w:rsidR="00431FA1" w:rsidRPr="00431FA1" w:rsidRDefault="00431FA1" w:rsidP="00431FA1">
      <w:pPr>
        <w:pStyle w:val="ListParagraph"/>
        <w:numPr>
          <w:ilvl w:val="0"/>
          <w:numId w:val="16"/>
        </w:numPr>
        <w:bidi w:val="0"/>
        <w:jc w:val="both"/>
        <w:rPr>
          <w:rFonts w:asciiTheme="majorBidi" w:hAnsiTheme="majorBidi" w:cstheme="majorBidi"/>
          <w:sz w:val="28"/>
          <w:szCs w:val="28"/>
        </w:rPr>
      </w:pPr>
      <w:r w:rsidRPr="00431FA1">
        <w:rPr>
          <w:rFonts w:asciiTheme="majorBidi" w:hAnsiTheme="majorBidi" w:cstheme="majorBidi"/>
          <w:sz w:val="28"/>
          <w:szCs w:val="28"/>
        </w:rPr>
        <w:t>Consider expanding the establishment of schools for all educational levels in all regions and developing the technological infrastructure in educational institutions in accordance with the targeted results of the National Human Rights Strategy</w:t>
      </w:r>
      <w:r w:rsidRPr="00431FA1">
        <w:rPr>
          <w:rFonts w:asciiTheme="majorBidi" w:hAnsiTheme="majorBidi" w:cs="Times New Roman"/>
          <w:sz w:val="28"/>
          <w:szCs w:val="28"/>
          <w:rtl/>
        </w:rPr>
        <w:t>;</w:t>
      </w:r>
    </w:p>
    <w:p w14:paraId="41A0D412" w14:textId="77777777" w:rsidR="00431FA1" w:rsidRPr="00431FA1" w:rsidRDefault="00431FA1" w:rsidP="00431FA1">
      <w:pPr>
        <w:pStyle w:val="ListParagraph"/>
        <w:numPr>
          <w:ilvl w:val="0"/>
          <w:numId w:val="16"/>
        </w:numPr>
        <w:bidi w:val="0"/>
        <w:jc w:val="both"/>
        <w:rPr>
          <w:rFonts w:asciiTheme="majorBidi" w:hAnsiTheme="majorBidi" w:cstheme="majorBidi"/>
          <w:sz w:val="28"/>
          <w:szCs w:val="28"/>
        </w:rPr>
      </w:pPr>
      <w:r w:rsidRPr="00431FA1">
        <w:rPr>
          <w:rFonts w:asciiTheme="majorBidi" w:hAnsiTheme="majorBidi" w:cstheme="majorBidi"/>
          <w:sz w:val="28"/>
          <w:szCs w:val="28"/>
        </w:rPr>
        <w:t>Launching more initiatives to cover the deficit in the number of teachers in Egyptian schools, while increasing the salaries and wages of these teachers and providing additional incentives that will enable them to fully integrate into the educational process</w:t>
      </w:r>
      <w:r w:rsidRPr="00431FA1">
        <w:rPr>
          <w:rFonts w:asciiTheme="majorBidi" w:hAnsiTheme="majorBidi" w:cs="Times New Roman"/>
          <w:sz w:val="28"/>
          <w:szCs w:val="28"/>
          <w:rtl/>
        </w:rPr>
        <w:t>;</w:t>
      </w:r>
    </w:p>
    <w:p w14:paraId="51F47E65" w14:textId="77777777" w:rsidR="00431FA1" w:rsidRPr="00431FA1" w:rsidRDefault="00431FA1" w:rsidP="00431FA1">
      <w:pPr>
        <w:pStyle w:val="ListParagraph"/>
        <w:numPr>
          <w:ilvl w:val="0"/>
          <w:numId w:val="16"/>
        </w:numPr>
        <w:bidi w:val="0"/>
        <w:jc w:val="both"/>
        <w:rPr>
          <w:rFonts w:asciiTheme="majorBidi" w:hAnsiTheme="majorBidi" w:cstheme="majorBidi"/>
          <w:sz w:val="28"/>
          <w:szCs w:val="28"/>
        </w:rPr>
      </w:pPr>
      <w:r w:rsidRPr="00431FA1">
        <w:rPr>
          <w:rFonts w:asciiTheme="majorBidi" w:hAnsiTheme="majorBidi" w:cstheme="majorBidi"/>
          <w:sz w:val="28"/>
          <w:szCs w:val="28"/>
        </w:rPr>
        <w:t>Speeding up the issuance of the draft law to prevent the marriage of underage girls, which was referred from the Council of Ministers to the House of Representatives, while intensifying awareness campaigns in areas where cases of underage marriage are widespread, in parallel with focusing on development operations and increasing economic support for families and paying attention to education in them, in order to improve the families’ living standards and close the justifications for them to marry girls</w:t>
      </w:r>
      <w:r w:rsidRPr="00431FA1">
        <w:rPr>
          <w:rFonts w:asciiTheme="majorBidi" w:hAnsiTheme="majorBidi" w:cs="Times New Roman"/>
          <w:sz w:val="28"/>
          <w:szCs w:val="28"/>
          <w:rtl/>
        </w:rPr>
        <w:t>;</w:t>
      </w:r>
    </w:p>
    <w:p w14:paraId="77074B3A" w14:textId="2BA1C9F3" w:rsidR="00A42AFB" w:rsidRPr="00431FA1" w:rsidRDefault="00431FA1" w:rsidP="00431FA1">
      <w:pPr>
        <w:pStyle w:val="ListParagraph"/>
        <w:numPr>
          <w:ilvl w:val="0"/>
          <w:numId w:val="16"/>
        </w:numPr>
        <w:bidi w:val="0"/>
        <w:jc w:val="both"/>
        <w:rPr>
          <w:rFonts w:asciiTheme="majorBidi" w:hAnsiTheme="majorBidi" w:cstheme="majorBidi"/>
          <w:sz w:val="28"/>
          <w:szCs w:val="28"/>
        </w:rPr>
      </w:pPr>
      <w:r w:rsidRPr="00431FA1">
        <w:rPr>
          <w:rFonts w:asciiTheme="majorBidi" w:hAnsiTheme="majorBidi" w:cstheme="majorBidi"/>
          <w:sz w:val="28"/>
          <w:szCs w:val="28"/>
        </w:rPr>
        <w:t>Establish mechanisms that make it easier for children to report concerns about human trafficking practices.</w:t>
      </w:r>
    </w:p>
    <w:p w14:paraId="35FEC730" w14:textId="77777777" w:rsidR="00873EB1" w:rsidRPr="008F26D1" w:rsidRDefault="00873EB1" w:rsidP="00873EB1">
      <w:pPr>
        <w:bidi w:val="0"/>
        <w:jc w:val="both"/>
        <w:rPr>
          <w:rFonts w:asciiTheme="majorBidi" w:hAnsiTheme="majorBidi" w:cstheme="majorBidi"/>
          <w:sz w:val="28"/>
          <w:szCs w:val="28"/>
        </w:rPr>
      </w:pPr>
    </w:p>
    <w:sectPr w:rsidR="00873EB1" w:rsidRPr="008F26D1" w:rsidSect="00163ED6">
      <w:footerReference w:type="default" r:id="rId8"/>
      <w:headerReference w:type="first" r:id="rId9"/>
      <w:footerReference w:type="first" r:id="rId10"/>
      <w:pgSz w:w="12240" w:h="15840"/>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211F9E" w14:textId="77777777" w:rsidR="001B5132" w:rsidRDefault="001B5132" w:rsidP="0076180A">
      <w:pPr>
        <w:spacing w:after="0" w:line="240" w:lineRule="auto"/>
      </w:pPr>
      <w:r>
        <w:separator/>
      </w:r>
    </w:p>
  </w:endnote>
  <w:endnote w:type="continuationSeparator" w:id="0">
    <w:p w14:paraId="77D7368D" w14:textId="77777777" w:rsidR="001B5132" w:rsidRDefault="001B5132" w:rsidP="007618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01F8F" w14:textId="77777777" w:rsidR="00D869E9" w:rsidRPr="00D869E9" w:rsidRDefault="00D869E9" w:rsidP="00D869E9">
    <w:pPr>
      <w:pStyle w:val="a0"/>
      <w:tabs>
        <w:tab w:val="clear" w:pos="4680"/>
        <w:tab w:val="clear" w:pos="9360"/>
        <w:tab w:val="center" w:pos="4153"/>
        <w:tab w:val="right" w:pos="8306"/>
      </w:tabs>
      <w:rPr>
        <w:b/>
        <w:bCs/>
        <w:sz w:val="24"/>
        <w:szCs w:val="24"/>
      </w:rPr>
    </w:pPr>
    <w:r w:rsidRPr="00D87309">
      <w:rPr>
        <w:b/>
        <w:bCs/>
        <w:sz w:val="24"/>
        <w:szCs w:val="24"/>
      </w:rPr>
      <w:t xml:space="preserve">P. </w:t>
    </w:r>
    <w:r w:rsidR="00440E3B" w:rsidRPr="00D87309">
      <w:rPr>
        <w:b/>
        <w:bCs/>
        <w:sz w:val="24"/>
        <w:szCs w:val="24"/>
      </w:rPr>
      <w:fldChar w:fldCharType="begin"/>
    </w:r>
    <w:r w:rsidRPr="00D87309">
      <w:rPr>
        <w:b/>
        <w:bCs/>
        <w:sz w:val="24"/>
        <w:szCs w:val="24"/>
      </w:rPr>
      <w:instrText>PAGE   \* MERGEFORMAT</w:instrText>
    </w:r>
    <w:r w:rsidR="00440E3B" w:rsidRPr="00D87309">
      <w:rPr>
        <w:b/>
        <w:bCs/>
        <w:sz w:val="24"/>
        <w:szCs w:val="24"/>
      </w:rPr>
      <w:fldChar w:fldCharType="separate"/>
    </w:r>
    <w:r w:rsidR="006042B5" w:rsidRPr="006042B5">
      <w:rPr>
        <w:rFonts w:cs="Calibri"/>
        <w:b/>
        <w:bCs/>
        <w:noProof/>
        <w:sz w:val="24"/>
        <w:szCs w:val="24"/>
        <w:rtl/>
        <w:lang w:val="ar-SA"/>
      </w:rPr>
      <w:t>2</w:t>
    </w:r>
    <w:r w:rsidR="00440E3B" w:rsidRPr="00D87309">
      <w:rPr>
        <w:b/>
        <w:bCs/>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974" w:type="dxa"/>
      <w:tblInd w:w="106" w:type="dxa"/>
      <w:tblBorders>
        <w:insideV w:val="single" w:sz="12" w:space="0" w:color="000000"/>
      </w:tblBorders>
      <w:tblLook w:val="04A0" w:firstRow="1" w:lastRow="0" w:firstColumn="1" w:lastColumn="0" w:noHBand="0" w:noVBand="1"/>
    </w:tblPr>
    <w:tblGrid>
      <w:gridCol w:w="1842"/>
      <w:gridCol w:w="1843"/>
      <w:gridCol w:w="1843"/>
      <w:gridCol w:w="1843"/>
      <w:gridCol w:w="2603"/>
    </w:tblGrid>
    <w:tr w:rsidR="00D869E9" w:rsidRPr="00B026C1" w14:paraId="740774A9" w14:textId="77777777" w:rsidTr="00B026C1">
      <w:trPr>
        <w:trHeight w:val="510"/>
      </w:trPr>
      <w:tc>
        <w:tcPr>
          <w:tcW w:w="9974" w:type="dxa"/>
          <w:gridSpan w:val="5"/>
          <w:tcBorders>
            <w:bottom w:val="nil"/>
          </w:tcBorders>
          <w:vAlign w:val="center"/>
        </w:tcPr>
        <w:p w14:paraId="66ED27A1" w14:textId="77777777" w:rsidR="00D869E9" w:rsidRPr="006042B5" w:rsidRDefault="001A50DF" w:rsidP="00B026C1">
          <w:pPr>
            <w:spacing w:after="0" w:line="240" w:lineRule="auto"/>
            <w:suppressOverlap/>
            <w:jc w:val="both"/>
            <w:rPr>
              <w:rFonts w:ascii="Times New Roman" w:hAnsi="Times New Roman" w:cs="Times New Roman"/>
              <w:b/>
              <w:bCs/>
              <w:color w:val="E48527"/>
              <w:sz w:val="32"/>
              <w:szCs w:val="32"/>
            </w:rPr>
          </w:pPr>
          <w:r w:rsidRPr="006042B5">
            <w:rPr>
              <w:rFonts w:ascii="Times New Roman" w:hAnsi="Times New Roman" w:cs="Times New Roman"/>
              <w:b/>
              <w:bCs/>
              <w:noProof/>
              <w:color w:val="E48527"/>
              <w:sz w:val="28"/>
              <w:szCs w:val="28"/>
            </w:rPr>
            <mc:AlternateContent>
              <mc:Choice Requires="wps">
                <w:drawing>
                  <wp:anchor distT="0" distB="0" distL="114300" distR="114300" simplePos="0" relativeHeight="251657728" behindDoc="0" locked="0" layoutInCell="1" allowOverlap="1" wp14:anchorId="1EBFAD97" wp14:editId="3A732C82">
                    <wp:simplePos x="0" y="0"/>
                    <wp:positionH relativeFrom="column">
                      <wp:posOffset>-864870</wp:posOffset>
                    </wp:positionH>
                    <wp:positionV relativeFrom="paragraph">
                      <wp:posOffset>12065</wp:posOffset>
                    </wp:positionV>
                    <wp:extent cx="7919720" cy="0"/>
                    <wp:effectExtent l="11430" t="12065" r="12700" b="16510"/>
                    <wp:wrapNone/>
                    <wp:docPr id="2"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1972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C39ADA0" id="_x0000_t32" coordsize="21600,21600" o:spt="32" o:oned="t" path="m,l21600,21600e" filled="f">
                    <v:path arrowok="t" fillok="f" o:connecttype="none"/>
                    <o:lock v:ext="edit" shapetype="t"/>
                  </v:shapetype>
                  <v:shape id="AutoShape 15" o:spid="_x0000_s1026" type="#_x0000_t32" style="position:absolute;margin-left:-68.1pt;margin-top:.95pt;width:623.6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4YOIAIAAD0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" strokeweight="1.5pt"/>
                </w:pict>
              </mc:Fallback>
            </mc:AlternateContent>
          </w:r>
          <w:r w:rsidR="00D869E9" w:rsidRPr="006042B5">
            <w:rPr>
              <w:rFonts w:ascii="Times New Roman" w:hAnsi="Times New Roman" w:cs="Times New Roman"/>
              <w:b/>
              <w:bCs/>
              <w:color w:val="E48527"/>
              <w:sz w:val="28"/>
              <w:szCs w:val="28"/>
            </w:rPr>
            <w:t>A</w:t>
          </w:r>
          <w:r w:rsidR="00D869E9" w:rsidRPr="006042B5">
            <w:rPr>
              <w:rFonts w:ascii="Times New Roman" w:hAnsi="Times New Roman" w:cs="Times New Roman"/>
              <w:b/>
              <w:bCs/>
              <w:color w:val="E48527"/>
              <w:sz w:val="32"/>
              <w:szCs w:val="32"/>
            </w:rPr>
            <w:t>.</w:t>
          </w:r>
        </w:p>
        <w:p w14:paraId="331627F3" w14:textId="77777777" w:rsidR="00D869E9" w:rsidRPr="006042B5" w:rsidRDefault="00D869E9" w:rsidP="007E19CB">
          <w:pPr>
            <w:spacing w:after="0" w:line="240" w:lineRule="auto"/>
            <w:suppressOverlap/>
            <w:jc w:val="both"/>
            <w:rPr>
              <w:rStyle w:val="apple-style-span"/>
              <w:rFonts w:ascii="Times New Roman" w:hAnsi="Times New Roman" w:cs="Times New Roman"/>
              <w:b/>
              <w:bCs/>
              <w:color w:val="006B86"/>
              <w:sz w:val="20"/>
              <w:szCs w:val="20"/>
            </w:rPr>
          </w:pPr>
          <w:r w:rsidRPr="006042B5">
            <w:rPr>
              <w:rFonts w:ascii="Times New Roman" w:hAnsi="Times New Roman" w:cs="Times New Roman"/>
              <w:b/>
              <w:bCs/>
              <w:color w:val="006B86"/>
              <w:sz w:val="20"/>
              <w:szCs w:val="20"/>
            </w:rPr>
            <w:t>1</w:t>
          </w:r>
          <w:r w:rsidR="007E19CB" w:rsidRPr="006042B5">
            <w:rPr>
              <w:rFonts w:ascii="Times New Roman" w:hAnsi="Times New Roman" w:cs="Times New Roman"/>
              <w:b/>
              <w:bCs/>
              <w:color w:val="006B86"/>
              <w:sz w:val="20"/>
              <w:szCs w:val="20"/>
            </w:rPr>
            <w:t>32</w:t>
          </w:r>
          <w:r w:rsidRPr="006042B5">
            <w:rPr>
              <w:rFonts w:ascii="Times New Roman" w:hAnsi="Times New Roman" w:cs="Times New Roman"/>
              <w:b/>
              <w:bCs/>
              <w:color w:val="006B86"/>
              <w:sz w:val="20"/>
              <w:szCs w:val="20"/>
            </w:rPr>
            <w:t xml:space="preserve"> Misr Helwan El-Zyrae Road , El Matbaa</w:t>
          </w:r>
          <w:r w:rsidRPr="006042B5">
            <w:rPr>
              <w:rFonts w:ascii="Times New Roman" w:hAnsi="Times New Roman" w:cs="Times New Roman" w:hint="cs"/>
              <w:b/>
              <w:bCs/>
              <w:color w:val="006B86"/>
              <w:sz w:val="20"/>
              <w:szCs w:val="20"/>
              <w:rtl/>
            </w:rPr>
            <w:t xml:space="preserve"> </w:t>
          </w:r>
          <w:r w:rsidRPr="006042B5">
            <w:rPr>
              <w:rFonts w:ascii="Times New Roman" w:hAnsi="Times New Roman" w:cs="Times New Roman"/>
              <w:b/>
              <w:bCs/>
              <w:color w:val="006B86"/>
              <w:sz w:val="20"/>
              <w:szCs w:val="20"/>
            </w:rPr>
            <w:t>Sq, H</w:t>
          </w:r>
          <w:r w:rsidR="007E19CB" w:rsidRPr="006042B5">
            <w:rPr>
              <w:rFonts w:ascii="Times New Roman" w:hAnsi="Times New Roman" w:cs="Times New Roman"/>
              <w:b/>
              <w:bCs/>
              <w:color w:val="006B86"/>
              <w:sz w:val="20"/>
              <w:szCs w:val="20"/>
            </w:rPr>
            <w:t>.</w:t>
          </w:r>
          <w:r w:rsidRPr="006042B5">
            <w:rPr>
              <w:rFonts w:ascii="Times New Roman" w:hAnsi="Times New Roman" w:cs="Times New Roman"/>
              <w:b/>
              <w:bCs/>
              <w:color w:val="006B86"/>
              <w:sz w:val="20"/>
              <w:szCs w:val="20"/>
            </w:rPr>
            <w:t xml:space="preserve">El Maadi, </w:t>
          </w:r>
          <w:r w:rsidR="007E19CB" w:rsidRPr="006042B5">
            <w:rPr>
              <w:rFonts w:ascii="Times New Roman" w:hAnsi="Times New Roman" w:cs="Times New Roman"/>
              <w:b/>
              <w:bCs/>
              <w:color w:val="006B86"/>
              <w:sz w:val="20"/>
              <w:szCs w:val="20"/>
            </w:rPr>
            <w:t>3</w:t>
          </w:r>
          <w:r w:rsidRPr="006042B5">
            <w:rPr>
              <w:rFonts w:ascii="Times New Roman" w:hAnsi="Times New Roman" w:cs="Times New Roman"/>
              <w:b/>
              <w:bCs/>
              <w:color w:val="006B86"/>
              <w:sz w:val="20"/>
              <w:szCs w:val="20"/>
              <w:vertAlign w:val="superscript"/>
            </w:rPr>
            <w:t>th</w:t>
          </w:r>
          <w:r w:rsidRPr="006042B5">
            <w:rPr>
              <w:rFonts w:ascii="Times New Roman" w:hAnsi="Times New Roman" w:cs="Times New Roman"/>
              <w:b/>
              <w:bCs/>
              <w:color w:val="006B86"/>
              <w:sz w:val="20"/>
              <w:szCs w:val="20"/>
            </w:rPr>
            <w:t xml:space="preserve"> Floor, No 112 , Cairo, Egypt </w:t>
          </w:r>
        </w:p>
      </w:tc>
    </w:tr>
    <w:tr w:rsidR="00D869E9" w:rsidRPr="00B026C1" w14:paraId="69C33E2A" w14:textId="77777777" w:rsidTr="00B026C1">
      <w:trPr>
        <w:trHeight w:val="510"/>
      </w:trPr>
      <w:tc>
        <w:tcPr>
          <w:tcW w:w="1842" w:type="dxa"/>
          <w:tcBorders>
            <w:bottom w:val="nil"/>
            <w:right w:val="single" w:sz="12" w:space="0" w:color="auto"/>
          </w:tcBorders>
          <w:vAlign w:val="center"/>
        </w:tcPr>
        <w:p w14:paraId="5D135A00" w14:textId="77777777" w:rsidR="00D869E9" w:rsidRPr="006042B5" w:rsidRDefault="00D869E9"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M</w:t>
          </w:r>
          <w:r w:rsidRPr="006042B5">
            <w:rPr>
              <w:rStyle w:val="apple-style-span"/>
              <w:rFonts w:ascii="Times New Roman" w:hAnsi="Times New Roman" w:cs="Times New Roman"/>
              <w:b/>
              <w:bCs/>
              <w:color w:val="E48527"/>
              <w:sz w:val="32"/>
              <w:szCs w:val="32"/>
            </w:rPr>
            <w:t>.</w:t>
          </w:r>
        </w:p>
        <w:p w14:paraId="4A708D56"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18"/>
              <w:szCs w:val="18"/>
              <w:rtl/>
              <w:lang w:bidi="ar-EG"/>
            </w:rPr>
          </w:pPr>
          <w:r w:rsidRPr="006042B5">
            <w:rPr>
              <w:rStyle w:val="apple-style-span"/>
              <w:rFonts w:ascii="Times New Roman" w:hAnsi="Times New Roman" w:cs="Times New Roman"/>
              <w:b/>
              <w:bCs/>
              <w:color w:val="006B86"/>
              <w:sz w:val="18"/>
              <w:szCs w:val="18"/>
            </w:rPr>
            <w:t xml:space="preserve"> </w:t>
          </w:r>
          <w:r w:rsidRPr="006042B5">
            <w:rPr>
              <w:rStyle w:val="apple-style-span"/>
              <w:b/>
              <w:bCs/>
              <w:color w:val="006B86"/>
              <w:sz w:val="18"/>
              <w:szCs w:val="18"/>
            </w:rPr>
            <w:t>+ 20 1018554781</w:t>
          </w:r>
        </w:p>
      </w:tc>
      <w:tc>
        <w:tcPr>
          <w:tcW w:w="1843" w:type="dxa"/>
          <w:tcBorders>
            <w:left w:val="single" w:sz="12" w:space="0" w:color="auto"/>
            <w:bottom w:val="nil"/>
            <w:right w:val="single" w:sz="12" w:space="0" w:color="auto"/>
          </w:tcBorders>
          <w:vAlign w:val="center"/>
        </w:tcPr>
        <w:p w14:paraId="5AEB0631" w14:textId="77777777" w:rsidR="00D869E9" w:rsidRPr="006042B5" w:rsidRDefault="00D869E9"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T</w:t>
          </w:r>
          <w:r w:rsidRPr="006042B5">
            <w:rPr>
              <w:rStyle w:val="apple-style-span"/>
              <w:rFonts w:ascii="Times New Roman" w:hAnsi="Times New Roman" w:cs="Times New Roman"/>
              <w:b/>
              <w:bCs/>
              <w:color w:val="E48527"/>
              <w:sz w:val="32"/>
              <w:szCs w:val="32"/>
            </w:rPr>
            <w:t>.</w:t>
          </w:r>
          <w:r w:rsidRPr="006042B5">
            <w:rPr>
              <w:rStyle w:val="apple-style-span"/>
              <w:rFonts w:ascii="Times New Roman" w:hAnsi="Times New Roman" w:cs="Times New Roman"/>
              <w:b/>
              <w:bCs/>
              <w:color w:val="E48527"/>
              <w:sz w:val="28"/>
              <w:szCs w:val="28"/>
            </w:rPr>
            <w:t>F</w:t>
          </w:r>
        </w:p>
        <w:p w14:paraId="05595980"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 (20) (2)253 44 704</w:t>
          </w:r>
        </w:p>
      </w:tc>
      <w:tc>
        <w:tcPr>
          <w:tcW w:w="1843" w:type="dxa"/>
          <w:tcBorders>
            <w:left w:val="single" w:sz="12" w:space="0" w:color="auto"/>
            <w:bottom w:val="nil"/>
            <w:right w:val="single" w:sz="12" w:space="0" w:color="auto"/>
          </w:tcBorders>
          <w:vAlign w:val="center"/>
        </w:tcPr>
        <w:p w14:paraId="4FCB32DB" w14:textId="77777777" w:rsidR="00D869E9" w:rsidRPr="006042B5" w:rsidRDefault="00D869E9"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T</w:t>
          </w:r>
          <w:r w:rsidRPr="006042B5">
            <w:rPr>
              <w:rStyle w:val="apple-style-span"/>
              <w:rFonts w:ascii="Times New Roman" w:hAnsi="Times New Roman" w:cs="Times New Roman"/>
              <w:b/>
              <w:bCs/>
              <w:color w:val="E48527"/>
              <w:sz w:val="32"/>
              <w:szCs w:val="32"/>
            </w:rPr>
            <w:t>.</w:t>
          </w:r>
        </w:p>
        <w:p w14:paraId="416ACD9B"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+(20) (2)253 44 705</w:t>
          </w:r>
        </w:p>
      </w:tc>
      <w:tc>
        <w:tcPr>
          <w:tcW w:w="1843" w:type="dxa"/>
          <w:tcBorders>
            <w:left w:val="single" w:sz="12" w:space="0" w:color="auto"/>
            <w:bottom w:val="nil"/>
            <w:right w:val="single" w:sz="12" w:space="0" w:color="auto"/>
          </w:tcBorders>
          <w:vAlign w:val="center"/>
        </w:tcPr>
        <w:p w14:paraId="395E892D" w14:textId="77777777" w:rsidR="00D869E9" w:rsidRPr="006042B5" w:rsidRDefault="00D869E9" w:rsidP="00B026C1">
          <w:pPr>
            <w:spacing w:after="0" w:line="240" w:lineRule="auto"/>
            <w:suppressOverlap/>
            <w:rPr>
              <w:rFonts w:ascii="Times New Roman" w:hAnsi="Times New Roman" w:cs="Times New Roman"/>
              <w:b/>
              <w:bCs/>
              <w:color w:val="E48527"/>
              <w:sz w:val="32"/>
              <w:szCs w:val="32"/>
            </w:rPr>
          </w:pPr>
          <w:r w:rsidRPr="006042B5">
            <w:rPr>
              <w:rFonts w:ascii="Times New Roman" w:hAnsi="Times New Roman" w:cs="Times New Roman"/>
              <w:b/>
              <w:bCs/>
              <w:color w:val="E48527"/>
              <w:sz w:val="28"/>
              <w:szCs w:val="28"/>
            </w:rPr>
            <w:t>E</w:t>
          </w:r>
          <w:r w:rsidRPr="006042B5">
            <w:rPr>
              <w:rFonts w:ascii="Times New Roman" w:hAnsi="Times New Roman" w:cs="Times New Roman"/>
              <w:b/>
              <w:bCs/>
              <w:color w:val="E48527"/>
              <w:sz w:val="32"/>
              <w:szCs w:val="32"/>
            </w:rPr>
            <w:t>.</w:t>
          </w:r>
        </w:p>
        <w:p w14:paraId="7AC16354"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rFonts w:ascii="Times New Roman" w:hAnsi="Times New Roman" w:cs="Times New Roman"/>
              <w:b/>
              <w:bCs/>
              <w:color w:val="006B86"/>
              <w:sz w:val="20"/>
              <w:szCs w:val="20"/>
            </w:rPr>
            <w:t xml:space="preserve"> </w:t>
          </w:r>
          <w:r w:rsidRPr="006042B5">
            <w:rPr>
              <w:rStyle w:val="apple-style-span"/>
              <w:b/>
              <w:bCs/>
              <w:color w:val="006B86"/>
              <w:sz w:val="18"/>
              <w:szCs w:val="18"/>
            </w:rPr>
            <w:t>info@pfort.org</w:t>
          </w:r>
        </w:p>
      </w:tc>
      <w:tc>
        <w:tcPr>
          <w:tcW w:w="1843" w:type="dxa"/>
          <w:tcBorders>
            <w:left w:val="single" w:sz="12" w:space="0" w:color="auto"/>
            <w:bottom w:val="nil"/>
          </w:tcBorders>
          <w:vAlign w:val="center"/>
        </w:tcPr>
        <w:p w14:paraId="680C8181" w14:textId="77777777" w:rsidR="00D869E9" w:rsidRPr="006042B5" w:rsidRDefault="00D869E9" w:rsidP="00B026C1">
          <w:pPr>
            <w:spacing w:after="0" w:line="240" w:lineRule="auto"/>
            <w:suppressOverlap/>
            <w:rPr>
              <w:rFonts w:ascii="Times New Roman" w:hAnsi="Times New Roman" w:cs="Times New Roman"/>
              <w:b/>
              <w:bCs/>
              <w:color w:val="E48527"/>
              <w:sz w:val="32"/>
              <w:szCs w:val="32"/>
            </w:rPr>
          </w:pPr>
          <w:r w:rsidRPr="006042B5">
            <w:rPr>
              <w:rFonts w:ascii="Times New Roman" w:hAnsi="Times New Roman" w:cs="Times New Roman"/>
              <w:b/>
              <w:bCs/>
              <w:color w:val="E48527"/>
              <w:sz w:val="28"/>
              <w:szCs w:val="28"/>
            </w:rPr>
            <w:t>W</w:t>
          </w:r>
          <w:r w:rsidRPr="006042B5">
            <w:rPr>
              <w:rFonts w:ascii="Times New Roman" w:hAnsi="Times New Roman" w:cs="Times New Roman"/>
              <w:b/>
              <w:bCs/>
              <w:color w:val="E48527"/>
              <w:sz w:val="32"/>
              <w:szCs w:val="32"/>
            </w:rPr>
            <w:t>.</w:t>
          </w:r>
        </w:p>
        <w:p w14:paraId="42D11299"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www.pfort.org</w:t>
          </w:r>
          <w:r w:rsidRPr="006042B5">
            <w:rPr>
              <w:rFonts w:ascii="Times New Roman" w:hAnsi="Times New Roman" w:cs="Times New Roman"/>
              <w:b/>
              <w:bCs/>
              <w:color w:val="006B86"/>
              <w:sz w:val="20"/>
              <w:szCs w:val="20"/>
            </w:rPr>
            <w:t> </w:t>
          </w:r>
        </w:p>
      </w:tc>
    </w:tr>
  </w:tbl>
  <w:p w14:paraId="0234AF26" w14:textId="77777777" w:rsidR="00D869E9" w:rsidRDefault="00D869E9">
    <w:pPr>
      <w:pStyle w:val="a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497D54" w14:textId="77777777" w:rsidR="001B5132" w:rsidRDefault="001B5132" w:rsidP="0076180A">
      <w:pPr>
        <w:spacing w:after="0" w:line="240" w:lineRule="auto"/>
      </w:pPr>
      <w:r>
        <w:separator/>
      </w:r>
    </w:p>
  </w:footnote>
  <w:footnote w:type="continuationSeparator" w:id="0">
    <w:p w14:paraId="6F0B48B1" w14:textId="77777777" w:rsidR="001B5132" w:rsidRDefault="001B5132" w:rsidP="0076180A">
      <w:pPr>
        <w:spacing w:after="0" w:line="240" w:lineRule="auto"/>
      </w:pPr>
      <w:r>
        <w:continuationSeparator/>
      </w:r>
    </w:p>
  </w:footnote>
  <w:footnote w:id="1">
    <w:p w14:paraId="47BEBC1E" w14:textId="33A2CB18" w:rsidR="00431FA1" w:rsidRDefault="00431FA1" w:rsidP="00431FA1">
      <w:pPr>
        <w:pStyle w:val="FootnoteText"/>
        <w:bidi w:val="0"/>
      </w:pPr>
      <w:r>
        <w:rPr>
          <w:rStyle w:val="FootnoteReference"/>
        </w:rPr>
        <w:footnoteRef/>
      </w:r>
      <w:r>
        <w:rPr>
          <w:rtl/>
        </w:rPr>
        <w:t xml:space="preserve"> </w:t>
      </w:r>
      <w:r w:rsidRPr="00431FA1">
        <w:t xml:space="preserve">Violence against children globally and locally...An analytical reading, Strategic Forum for Public Policy and Development Studies (Deraya), at the following link: </w:t>
      </w:r>
      <w:hyperlink r:id="rId1" w:history="1">
        <w:r w:rsidRPr="00200AFA">
          <w:rPr>
            <w:rStyle w:val="Hyperlink"/>
          </w:rPr>
          <w:t>https://tinyurl.com/4pf3eptf</w:t>
        </w:r>
      </w:hyperlink>
      <w:r>
        <w:t xml:space="preserve"> </w:t>
      </w:r>
    </w:p>
  </w:footnote>
  <w:footnote w:id="2">
    <w:p w14:paraId="6DDA9309" w14:textId="1FB331EC" w:rsidR="00431FA1" w:rsidRDefault="00431FA1" w:rsidP="00431FA1">
      <w:pPr>
        <w:pStyle w:val="FootnoteText"/>
        <w:bidi w:val="0"/>
      </w:pPr>
      <w:r>
        <w:rPr>
          <w:rStyle w:val="FootnoteReference"/>
        </w:rPr>
        <w:footnoteRef/>
      </w:r>
      <w:r>
        <w:rPr>
          <w:rtl/>
        </w:rPr>
        <w:t xml:space="preserve"> </w:t>
      </w:r>
      <w:r w:rsidRPr="00431FA1">
        <w:t xml:space="preserve">Law No. 78 of 2016 amending some provisions of the Penal Code to increase the penalty for female circumcision, Human Rights Studies, 2016, link, </w:t>
      </w:r>
      <w:hyperlink r:id="rId2" w:history="1">
        <w:r w:rsidRPr="00200AFA">
          <w:rPr>
            <w:rStyle w:val="Hyperlink"/>
          </w:rPr>
          <w:t>https://bit.ly/49Df7qZ</w:t>
        </w:r>
      </w:hyperlink>
      <w:r>
        <w:t xml:space="preserve"> </w:t>
      </w:r>
    </w:p>
  </w:footnote>
  <w:footnote w:id="3">
    <w:p w14:paraId="5D80349C" w14:textId="1CC594AD" w:rsidR="00431FA1" w:rsidRDefault="00431FA1" w:rsidP="00431FA1">
      <w:pPr>
        <w:pStyle w:val="FootnoteText"/>
        <w:bidi w:val="0"/>
      </w:pPr>
      <w:r>
        <w:rPr>
          <w:rStyle w:val="FootnoteReference"/>
        </w:rPr>
        <w:footnoteRef/>
      </w:r>
      <w:r>
        <w:rPr>
          <w:rtl/>
        </w:rPr>
        <w:t xml:space="preserve"> </w:t>
      </w:r>
      <w:r w:rsidRPr="00431FA1">
        <w:t xml:space="preserve">Female genital mutilation, UNFPA, link, </w:t>
      </w:r>
      <w:hyperlink r:id="rId3" w:history="1">
        <w:r w:rsidRPr="00200AFA">
          <w:rPr>
            <w:rStyle w:val="Hyperlink"/>
          </w:rPr>
          <w:t>https://egypt.unfpa.org/en/node/22544</w:t>
        </w:r>
      </w:hyperlink>
      <w:r>
        <w:t xml:space="preserve"> </w:t>
      </w:r>
    </w:p>
  </w:footnote>
  <w:footnote w:id="4">
    <w:p w14:paraId="51783131" w14:textId="05E8608C" w:rsidR="006375FF" w:rsidRDefault="006375FF" w:rsidP="006375FF">
      <w:pPr>
        <w:pStyle w:val="FootnoteText"/>
        <w:bidi w:val="0"/>
      </w:pPr>
      <w:r>
        <w:rPr>
          <w:rStyle w:val="FootnoteReference"/>
        </w:rPr>
        <w:footnoteRef/>
      </w:r>
      <w:r>
        <w:rPr>
          <w:rtl/>
        </w:rPr>
        <w:t xml:space="preserve"> </w:t>
      </w:r>
      <w:r w:rsidRPr="006375FF">
        <w:t xml:space="preserve">Respecting, Protecting and Fulfilling Children’s Rights, UNICEF, Jan 2023, link, </w:t>
      </w:r>
      <w:hyperlink r:id="rId4" w:history="1">
        <w:r w:rsidRPr="00200AFA">
          <w:rPr>
            <w:rStyle w:val="Hyperlink"/>
          </w:rPr>
          <w:t>https://www.unicef.org/egypt/media/10221/file/UNICEF%20%E2%80%93%20Government%20of%20Egypt%20Country%20Programme%202023%20-%202027.pdf</w:t>
        </w:r>
      </w:hyperlink>
      <w:r>
        <w:t xml:space="preserve"> </w:t>
      </w:r>
    </w:p>
  </w:footnote>
  <w:footnote w:id="5">
    <w:p w14:paraId="46165662" w14:textId="13BED207" w:rsidR="006375FF" w:rsidRDefault="006375FF" w:rsidP="006375FF">
      <w:pPr>
        <w:pStyle w:val="FootnoteText"/>
        <w:bidi w:val="0"/>
      </w:pPr>
      <w:r>
        <w:rPr>
          <w:rStyle w:val="FootnoteReference"/>
        </w:rPr>
        <w:footnoteRef/>
      </w:r>
      <w:r>
        <w:rPr>
          <w:rtl/>
        </w:rPr>
        <w:t xml:space="preserve"> </w:t>
      </w:r>
      <w:r w:rsidRPr="006375FF">
        <w:t xml:space="preserve">Female genital mutilation, UNFPA, link, </w:t>
      </w:r>
      <w:hyperlink r:id="rId5" w:history="1">
        <w:r w:rsidRPr="00200AFA">
          <w:rPr>
            <w:rStyle w:val="Hyperlink"/>
          </w:rPr>
          <w:t>https://egypt.unfpa.org/en/node/22544</w:t>
        </w:r>
      </w:hyperlink>
      <w:r>
        <w:t xml:space="preserve"> </w:t>
      </w:r>
    </w:p>
  </w:footnote>
  <w:footnote w:id="6">
    <w:p w14:paraId="15110AE6" w14:textId="508C2492" w:rsidR="006375FF" w:rsidRDefault="006375FF" w:rsidP="006375FF">
      <w:pPr>
        <w:pStyle w:val="FootnoteText"/>
        <w:bidi w:val="0"/>
      </w:pPr>
      <w:r>
        <w:rPr>
          <w:rStyle w:val="FootnoteReference"/>
        </w:rPr>
        <w:footnoteRef/>
      </w:r>
      <w:r>
        <w:rPr>
          <w:rtl/>
        </w:rPr>
        <w:t xml:space="preserve"> </w:t>
      </w:r>
      <w:r w:rsidRPr="006375FF">
        <w:t xml:space="preserve">President Sisi directs the government to allocate 10 billion pounds to the “Able to Difference” Fund, Asharq Al-Awsat, </w:t>
      </w:r>
      <w:hyperlink r:id="rId6" w:history="1">
        <w:r w:rsidRPr="00200AFA">
          <w:rPr>
            <w:rStyle w:val="Hyperlink"/>
          </w:rPr>
          <w:t>https://www.mena.org.eg/news/dbcall/table/webnews/id/10602206</w:t>
        </w:r>
      </w:hyperlink>
      <w:r>
        <w:t xml:space="preserve"> </w:t>
      </w:r>
    </w:p>
  </w:footnote>
  <w:footnote w:id="7">
    <w:p w14:paraId="6E7EE9A6" w14:textId="21CEAACF" w:rsidR="006375FF" w:rsidRDefault="006375FF" w:rsidP="006375FF">
      <w:pPr>
        <w:pStyle w:val="FootnoteText"/>
        <w:bidi w:val="0"/>
      </w:pPr>
      <w:r>
        <w:rPr>
          <w:rStyle w:val="FootnoteReference"/>
        </w:rPr>
        <w:footnoteRef/>
      </w:r>
      <w:r>
        <w:rPr>
          <w:rtl/>
        </w:rPr>
        <w:t xml:space="preserve"> </w:t>
      </w:r>
      <w:r w:rsidRPr="006375FF">
        <w:t xml:space="preserve">Initial report submitted by Egypt under article 35 of the Convention, due in 2010, </w:t>
      </w:r>
      <w:hyperlink r:id="rId7" w:history="1">
        <w:r w:rsidRPr="00200AFA">
          <w:rPr>
            <w:rStyle w:val="Hyperlink"/>
          </w:rPr>
          <w:t>https://tinyurl.com/yc43mdtv</w:t>
        </w:r>
      </w:hyperlink>
      <w:r>
        <w:t xml:space="preserve"> </w:t>
      </w:r>
    </w:p>
  </w:footnote>
  <w:footnote w:id="8">
    <w:p w14:paraId="3E841F12" w14:textId="6778AC9B" w:rsidR="006375FF" w:rsidRDefault="006375FF" w:rsidP="006375FF">
      <w:pPr>
        <w:pStyle w:val="FootnoteText"/>
        <w:bidi w:val="0"/>
      </w:pPr>
      <w:r>
        <w:rPr>
          <w:rStyle w:val="FootnoteReference"/>
        </w:rPr>
        <w:footnoteRef/>
      </w:r>
      <w:r>
        <w:rPr>
          <w:rtl/>
        </w:rPr>
        <w:t xml:space="preserve"> </w:t>
      </w:r>
      <w:r w:rsidRPr="006375FF">
        <w:t xml:space="preserve">Two Years after the Launch of the NHRS... What Has been Achieved So Far? </w:t>
      </w:r>
      <w:hyperlink r:id="rId8" w:history="1">
        <w:r w:rsidRPr="00200AFA">
          <w:rPr>
            <w:rStyle w:val="Hyperlink"/>
          </w:rPr>
          <w:t>https://maatpeace.org/wp-content/uploads/2023/09/Two-Years-After-the-Launch-of-the-NHRS.pdf</w:t>
        </w:r>
      </w:hyperlink>
      <w:r>
        <w:t xml:space="preserve"> </w:t>
      </w:r>
    </w:p>
  </w:footnote>
  <w:footnote w:id="9">
    <w:p w14:paraId="4936BA62" w14:textId="370556D7" w:rsidR="006375FF" w:rsidRDefault="006375FF" w:rsidP="006375FF">
      <w:pPr>
        <w:pStyle w:val="FootnoteText"/>
        <w:bidi w:val="0"/>
      </w:pPr>
      <w:r>
        <w:rPr>
          <w:rStyle w:val="FootnoteReference"/>
        </w:rPr>
        <w:footnoteRef/>
      </w:r>
      <w:r>
        <w:rPr>
          <w:rtl/>
        </w:rPr>
        <w:t xml:space="preserve"> </w:t>
      </w:r>
      <w:r w:rsidRPr="006375FF">
        <w:t xml:space="preserve">Egypt: Cabinet Approves Draft Law on Criminalizing Underage Marriage, Library of Congress, 4 May 2022, link, </w:t>
      </w:r>
      <w:hyperlink r:id="rId9" w:history="1">
        <w:r w:rsidRPr="00200AFA">
          <w:rPr>
            <w:rStyle w:val="Hyperlink"/>
          </w:rPr>
          <w:t>https://2u.pw/iHPrMn4</w:t>
        </w:r>
      </w:hyperlink>
      <w:r>
        <w:t xml:space="preserve"> </w:t>
      </w:r>
    </w:p>
  </w:footnote>
  <w:footnote w:id="10">
    <w:p w14:paraId="744E582B" w14:textId="73B0D1EC" w:rsidR="006375FF" w:rsidRDefault="006375FF" w:rsidP="006375FF">
      <w:pPr>
        <w:pStyle w:val="FootnoteText"/>
        <w:bidi w:val="0"/>
      </w:pPr>
      <w:r>
        <w:rPr>
          <w:rStyle w:val="FootnoteReference"/>
        </w:rPr>
        <w:footnoteRef/>
      </w:r>
      <w:r>
        <w:rPr>
          <w:rtl/>
        </w:rPr>
        <w:t xml:space="preserve"> </w:t>
      </w:r>
      <w:r>
        <w:t>Ibid</w:t>
      </w:r>
    </w:p>
  </w:footnote>
  <w:footnote w:id="11">
    <w:p w14:paraId="32BC27AF" w14:textId="3AD6525E" w:rsidR="006375FF" w:rsidRDefault="006375FF" w:rsidP="006375FF">
      <w:pPr>
        <w:pStyle w:val="FootnoteText"/>
        <w:bidi w:val="0"/>
      </w:pPr>
      <w:r>
        <w:rPr>
          <w:rStyle w:val="FootnoteReference"/>
        </w:rPr>
        <w:footnoteRef/>
      </w:r>
      <w:r>
        <w:rPr>
          <w:rtl/>
        </w:rPr>
        <w:t xml:space="preserve"> </w:t>
      </w:r>
      <w:r w:rsidRPr="006375FF">
        <w:t xml:space="preserve">Egyptian Cabinet approves draft law prohibiting underage marriage, </w:t>
      </w:r>
      <w:hyperlink r:id="rId10" w:history="1">
        <w:r w:rsidRPr="00200AFA">
          <w:rPr>
            <w:rStyle w:val="Hyperlink"/>
          </w:rPr>
          <w:t>https://www.dailynewsegypt.com/2022/04/12/egyptian-cabinet-approves-draft-law-prohibiting-underage-marriage/</w:t>
        </w:r>
      </w:hyperlink>
      <w:r>
        <w:t xml:space="preserve"> </w:t>
      </w:r>
    </w:p>
  </w:footnote>
  <w:footnote w:id="12">
    <w:p w14:paraId="2CB57EC2" w14:textId="13C6C929" w:rsidR="006375FF" w:rsidRDefault="006375FF" w:rsidP="006375FF">
      <w:pPr>
        <w:pStyle w:val="FootnoteText"/>
        <w:bidi w:val="0"/>
      </w:pPr>
      <w:r>
        <w:rPr>
          <w:rStyle w:val="FootnoteReference"/>
        </w:rPr>
        <w:footnoteRef/>
      </w:r>
      <w:r>
        <w:rPr>
          <w:rtl/>
        </w:rPr>
        <w:t xml:space="preserve"> </w:t>
      </w:r>
      <w:r w:rsidRPr="006375FF">
        <w:t xml:space="preserve">Early Child Marriage of Underage Girls, National Population Council, Plan International, </w:t>
      </w:r>
      <w:hyperlink r:id="rId11" w:history="1">
        <w:r w:rsidRPr="00200AFA">
          <w:rPr>
            <w:rStyle w:val="Hyperlink"/>
          </w:rPr>
          <w:t>http://tinyurl.com/2s49rph4</w:t>
        </w:r>
      </w:hyperlink>
      <w:r>
        <w:t xml:space="preserve"> </w:t>
      </w:r>
    </w:p>
  </w:footnote>
  <w:footnote w:id="13">
    <w:p w14:paraId="4CC404DB" w14:textId="480FAE78" w:rsidR="006375FF" w:rsidRDefault="006375FF" w:rsidP="006375FF">
      <w:pPr>
        <w:pStyle w:val="FootnoteText"/>
        <w:bidi w:val="0"/>
      </w:pPr>
      <w:r>
        <w:rPr>
          <w:rStyle w:val="FootnoteReference"/>
        </w:rPr>
        <w:footnoteRef/>
      </w:r>
      <w:r>
        <w:rPr>
          <w:rtl/>
        </w:rPr>
        <w:t xml:space="preserve"> </w:t>
      </w:r>
      <w:r w:rsidRPr="006375FF">
        <w:t>Convention on Consent to Marriage, Minimum Age for Marriage and Registration of Marriages, Available at the following link:</w:t>
      </w:r>
      <w:r>
        <w:t xml:space="preserve"> </w:t>
      </w:r>
      <w:hyperlink r:id="rId12" w:history="1">
        <w:r w:rsidRPr="00200AFA">
          <w:rPr>
            <w:rStyle w:val="Hyperlink"/>
          </w:rPr>
          <w:t>http://tinyurl.com/2kndjwhp</w:t>
        </w:r>
      </w:hyperlink>
      <w:r>
        <w:t xml:space="preserve"> </w:t>
      </w:r>
    </w:p>
  </w:footnote>
  <w:footnote w:id="14">
    <w:p w14:paraId="140D7753" w14:textId="36917418" w:rsidR="006375FF" w:rsidRDefault="006375FF" w:rsidP="006375FF">
      <w:pPr>
        <w:pStyle w:val="FootnoteText"/>
        <w:bidi w:val="0"/>
      </w:pPr>
      <w:r>
        <w:rPr>
          <w:rStyle w:val="FootnoteReference"/>
        </w:rPr>
        <w:footnoteRef/>
      </w:r>
      <w:r>
        <w:rPr>
          <w:rtl/>
        </w:rPr>
        <w:t xml:space="preserve"> </w:t>
      </w:r>
      <w:r w:rsidRPr="006375FF">
        <w:t xml:space="preserve">Egypt case study Review of Technology-Based Interventions to Address Child Marriage and Female Genital, PAGE 3, Mutilation, </w:t>
      </w:r>
      <w:hyperlink r:id="rId13" w:history="1">
        <w:r w:rsidRPr="00200AFA">
          <w:rPr>
            <w:rStyle w:val="Hyperlink"/>
          </w:rPr>
          <w:t>https://www.unicef.org/media/137571/file/Tech-based-Interventions-Adress-Harmful-Practices-2023-Egypt-v2.pdf</w:t>
        </w:r>
      </w:hyperlink>
      <w:r>
        <w:t xml:space="preserve"> </w:t>
      </w:r>
    </w:p>
  </w:footnote>
  <w:footnote w:id="15">
    <w:p w14:paraId="126ABDAC" w14:textId="5AB7B171" w:rsidR="002B40F0" w:rsidRDefault="002B40F0" w:rsidP="002B40F0">
      <w:pPr>
        <w:pStyle w:val="FootnoteText"/>
        <w:bidi w:val="0"/>
      </w:pPr>
      <w:r>
        <w:rPr>
          <w:rStyle w:val="FootnoteReference"/>
        </w:rPr>
        <w:footnoteRef/>
      </w:r>
      <w:r>
        <w:rPr>
          <w:rtl/>
        </w:rPr>
        <w:t xml:space="preserve"> </w:t>
      </w:r>
      <w:r w:rsidRPr="002B40F0">
        <w:rPr>
          <w:rFonts w:cs="Arial"/>
          <w:rtl/>
        </w:rPr>
        <w:t>2022</w:t>
      </w:r>
      <w:r w:rsidRPr="002B40F0">
        <w:t xml:space="preserve"> Country Reports on Human Rights Practices: Egypt, Bureau of Democracy, Human Rights, and Labor, 2023, link, </w:t>
      </w:r>
      <w:hyperlink r:id="rId14" w:history="1">
        <w:r w:rsidRPr="00200AFA">
          <w:rPr>
            <w:rStyle w:val="Hyperlink"/>
          </w:rPr>
          <w:t>https://www.state.gov/reports/2022-country-reports-on-human-rights-practices/egypt/</w:t>
        </w:r>
      </w:hyperlink>
      <w:r>
        <w:t xml:space="preserve"> </w:t>
      </w:r>
    </w:p>
  </w:footnote>
  <w:footnote w:id="16">
    <w:p w14:paraId="5C99DB8D" w14:textId="352C2BB0" w:rsidR="002B40F0" w:rsidRDefault="002B40F0" w:rsidP="002B40F0">
      <w:pPr>
        <w:pStyle w:val="FootnoteText"/>
        <w:bidi w:val="0"/>
      </w:pPr>
      <w:r>
        <w:rPr>
          <w:rStyle w:val="FootnoteReference"/>
        </w:rPr>
        <w:footnoteRef/>
      </w:r>
      <w:r>
        <w:rPr>
          <w:rtl/>
        </w:rPr>
        <w:t xml:space="preserve"> </w:t>
      </w:r>
      <w:r w:rsidRPr="002B40F0">
        <w:t xml:space="preserve">Will Egypt’s new law prohibiting underage marriage see the light of day?, Daily News Egypt, 16 Apr 2022, link, </w:t>
      </w:r>
      <w:hyperlink r:id="rId15" w:history="1">
        <w:r w:rsidRPr="00200AFA">
          <w:rPr>
            <w:rStyle w:val="Hyperlink"/>
          </w:rPr>
          <w:t>https://www.dailynewsegypt.com/2022/04/14/will-egypts-new-law-prohibiting-underage-marriage-see-the-light-of-day/</w:t>
        </w:r>
      </w:hyperlink>
      <w:r>
        <w:t xml:space="preserve"> </w:t>
      </w:r>
    </w:p>
  </w:footnote>
  <w:footnote w:id="17">
    <w:p w14:paraId="66CDAF0A" w14:textId="2B22BCB8" w:rsidR="002B40F0" w:rsidRDefault="002B40F0" w:rsidP="002B40F0">
      <w:pPr>
        <w:pStyle w:val="FootnoteText"/>
        <w:bidi w:val="0"/>
      </w:pPr>
      <w:r>
        <w:rPr>
          <w:rStyle w:val="FootnoteReference"/>
        </w:rPr>
        <w:footnoteRef/>
      </w:r>
      <w:r>
        <w:rPr>
          <w:rtl/>
        </w:rPr>
        <w:t xml:space="preserve"> </w:t>
      </w:r>
      <w:r w:rsidRPr="002B40F0">
        <w:t xml:space="preserve">In numbers...frightening statistics on the dangers of underage marriage and the state takes urgent measures, Sada El Balad website, June 2022, link, </w:t>
      </w:r>
      <w:hyperlink r:id="rId16" w:history="1">
        <w:r w:rsidRPr="00200AFA">
          <w:rPr>
            <w:rStyle w:val="Hyperlink"/>
          </w:rPr>
          <w:t>https://www.elbalad.news/5315541</w:t>
        </w:r>
      </w:hyperlink>
      <w:r>
        <w:t xml:space="preserve"> </w:t>
      </w:r>
    </w:p>
  </w:footnote>
  <w:footnote w:id="18">
    <w:p w14:paraId="330AFD07" w14:textId="145C15A4" w:rsidR="002B40F0" w:rsidRDefault="002B40F0" w:rsidP="002B40F0">
      <w:pPr>
        <w:pStyle w:val="FootnoteText"/>
        <w:bidi w:val="0"/>
      </w:pPr>
      <w:r>
        <w:rPr>
          <w:rStyle w:val="FootnoteReference"/>
        </w:rPr>
        <w:footnoteRef/>
      </w:r>
      <w:r>
        <w:rPr>
          <w:rtl/>
        </w:rPr>
        <w:t xml:space="preserve"> </w:t>
      </w:r>
      <w:r w:rsidRPr="002B40F0">
        <w:t xml:space="preserve">National Strategy to Combat Human Trafficking 2022-2026, </w:t>
      </w:r>
      <w:hyperlink r:id="rId17" w:history="1">
        <w:r w:rsidRPr="00200AFA">
          <w:rPr>
            <w:rStyle w:val="Hyperlink"/>
          </w:rPr>
          <w:t>https://drive.google.com/file/d/1hst-zCiKIGeYbHRsOOaiiocgverQ5PlE/view</w:t>
        </w:r>
      </w:hyperlink>
      <w:r>
        <w:t xml:space="preserve"> </w:t>
      </w:r>
    </w:p>
  </w:footnote>
  <w:footnote w:id="19">
    <w:p w14:paraId="7AD74245" w14:textId="13ABB9DB" w:rsidR="002B40F0" w:rsidRDefault="002B40F0" w:rsidP="002B40F0">
      <w:pPr>
        <w:pStyle w:val="FootnoteText"/>
        <w:bidi w:val="0"/>
      </w:pPr>
      <w:r>
        <w:rPr>
          <w:rStyle w:val="FootnoteReference"/>
        </w:rPr>
        <w:footnoteRef/>
      </w:r>
      <w:r>
        <w:rPr>
          <w:rtl/>
        </w:rPr>
        <w:t xml:space="preserve"> </w:t>
      </w:r>
      <w:r w:rsidRPr="002B40F0">
        <w:rPr>
          <w:rFonts w:cs="Arial"/>
          <w:rtl/>
        </w:rPr>
        <w:t>2023</w:t>
      </w:r>
      <w:r w:rsidRPr="002B40F0">
        <w:t xml:space="preserve"> Trafficking in Persons Report: Egypt, </w:t>
      </w:r>
      <w:hyperlink r:id="rId18" w:history="1">
        <w:r w:rsidRPr="00200AFA">
          <w:rPr>
            <w:rStyle w:val="Hyperlink"/>
          </w:rPr>
          <w:t>https://eg.usembassy.gov/2023-tip-report-release/</w:t>
        </w:r>
      </w:hyperlink>
      <w:r>
        <w:t xml:space="preserve"> </w:t>
      </w:r>
    </w:p>
  </w:footnote>
  <w:footnote w:id="20">
    <w:p w14:paraId="1B938D77" w14:textId="3B9D4146" w:rsidR="002B40F0" w:rsidRDefault="002B40F0" w:rsidP="002B40F0">
      <w:pPr>
        <w:pStyle w:val="FootnoteText"/>
        <w:bidi w:val="0"/>
      </w:pPr>
      <w:r>
        <w:rPr>
          <w:rStyle w:val="FootnoteReference"/>
        </w:rPr>
        <w:footnoteRef/>
      </w:r>
      <w:r>
        <w:rPr>
          <w:rtl/>
        </w:rPr>
        <w:t xml:space="preserve"> </w:t>
      </w:r>
      <w: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E1E0A" w14:textId="25A8BE78" w:rsidR="00D869E9" w:rsidRDefault="001A50DF" w:rsidP="00843EB1">
    <w:pPr>
      <w:pStyle w:val="a"/>
      <w:bidi w:val="0"/>
    </w:pPr>
    <w:r w:rsidRPr="004C074D">
      <w:rPr>
        <w:noProof/>
      </w:rPr>
      <w:drawing>
        <wp:inline distT="0" distB="0" distL="0" distR="0" wp14:anchorId="3DC5D088" wp14:editId="68DDC446">
          <wp:extent cx="1210444" cy="1257300"/>
          <wp:effectExtent l="0" t="0" r="889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D:\Image\PforT\Final Logo PFT.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10444" cy="12573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00000885"/>
    <w:lvl w:ilvl="0">
      <w:numFmt w:val="bullet"/>
      <w:lvlText w:val="-"/>
      <w:lvlJc w:val="left"/>
      <w:pPr>
        <w:ind w:hanging="360"/>
      </w:pPr>
      <w:rPr>
        <w:rFonts w:ascii="Calibri" w:hAnsi="Calibri"/>
        <w:b w:val="0"/>
        <w:sz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1CA405D2"/>
    <w:multiLevelType w:val="hybridMultilevel"/>
    <w:tmpl w:val="EE3890E2"/>
    <w:lvl w:ilvl="0" w:tplc="D504972A">
      <w:start w:val="1"/>
      <w:numFmt w:val="decimal"/>
      <w:lvlText w:val="%1."/>
      <w:lvlJc w:val="left"/>
      <w:pPr>
        <w:ind w:left="720" w:hanging="360"/>
      </w:pPr>
      <w:rPr>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567E1D"/>
    <w:multiLevelType w:val="hybridMultilevel"/>
    <w:tmpl w:val="83105EAC"/>
    <w:lvl w:ilvl="0" w:tplc="1E760E6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1F0076"/>
    <w:multiLevelType w:val="hybridMultilevel"/>
    <w:tmpl w:val="C6E86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53264B"/>
    <w:multiLevelType w:val="hybridMultilevel"/>
    <w:tmpl w:val="009E1262"/>
    <w:lvl w:ilvl="0" w:tplc="E73C8F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FA43E62"/>
    <w:multiLevelType w:val="hybridMultilevel"/>
    <w:tmpl w:val="029210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458553DA"/>
    <w:multiLevelType w:val="hybridMultilevel"/>
    <w:tmpl w:val="46C68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94475DE"/>
    <w:multiLevelType w:val="hybridMultilevel"/>
    <w:tmpl w:val="2AFC4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A8F108F"/>
    <w:multiLevelType w:val="hybridMultilevel"/>
    <w:tmpl w:val="8E5CF6FA"/>
    <w:lvl w:ilvl="0" w:tplc="A5D463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931319"/>
    <w:multiLevelType w:val="hybridMultilevel"/>
    <w:tmpl w:val="818C7558"/>
    <w:lvl w:ilvl="0" w:tplc="953457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03A5ABC"/>
    <w:multiLevelType w:val="hybridMultilevel"/>
    <w:tmpl w:val="4650DEE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6DC02817"/>
    <w:multiLevelType w:val="hybridMultilevel"/>
    <w:tmpl w:val="69F8E4D8"/>
    <w:lvl w:ilvl="0" w:tplc="C97E67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22F3981"/>
    <w:multiLevelType w:val="hybridMultilevel"/>
    <w:tmpl w:val="6C686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3A25F9B"/>
    <w:multiLevelType w:val="hybridMultilevel"/>
    <w:tmpl w:val="06264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5BD1577"/>
    <w:multiLevelType w:val="hybridMultilevel"/>
    <w:tmpl w:val="79402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BB05405"/>
    <w:multiLevelType w:val="hybridMultilevel"/>
    <w:tmpl w:val="7986A284"/>
    <w:lvl w:ilvl="0" w:tplc="415025CA">
      <w:start w:val="1"/>
      <w:numFmt w:val="decimal"/>
      <w:lvlText w:val="%1."/>
      <w:lvlJc w:val="left"/>
      <w:pPr>
        <w:ind w:left="720" w:hanging="360"/>
      </w:pPr>
      <w:rPr>
        <w:b w:val="0"/>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56928596">
    <w:abstractNumId w:val="11"/>
  </w:num>
  <w:num w:numId="2" w16cid:durableId="1564830694">
    <w:abstractNumId w:val="10"/>
  </w:num>
  <w:num w:numId="3" w16cid:durableId="821847035">
    <w:abstractNumId w:val="9"/>
  </w:num>
  <w:num w:numId="4" w16cid:durableId="1786651327">
    <w:abstractNumId w:val="8"/>
  </w:num>
  <w:num w:numId="5" w16cid:durableId="703755125">
    <w:abstractNumId w:val="4"/>
  </w:num>
  <w:num w:numId="6" w16cid:durableId="1150172686">
    <w:abstractNumId w:val="13"/>
  </w:num>
  <w:num w:numId="7" w16cid:durableId="969937408">
    <w:abstractNumId w:val="7"/>
  </w:num>
  <w:num w:numId="8" w16cid:durableId="1850636940">
    <w:abstractNumId w:val="14"/>
  </w:num>
  <w:num w:numId="9" w16cid:durableId="827210143">
    <w:abstractNumId w:val="12"/>
  </w:num>
  <w:num w:numId="10" w16cid:durableId="1261912857">
    <w:abstractNumId w:val="0"/>
  </w:num>
  <w:num w:numId="11" w16cid:durableId="1341855940">
    <w:abstractNumId w:val="2"/>
  </w:num>
  <w:num w:numId="12" w16cid:durableId="401370839">
    <w:abstractNumId w:val="15"/>
  </w:num>
  <w:num w:numId="13" w16cid:durableId="1242714898">
    <w:abstractNumId w:val="1"/>
  </w:num>
  <w:num w:numId="14" w16cid:durableId="351801461">
    <w:abstractNumId w:val="3"/>
  </w:num>
  <w:num w:numId="15" w16cid:durableId="38096425">
    <w:abstractNumId w:val="6"/>
  </w:num>
  <w:num w:numId="16" w16cid:durableId="19917154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19CB"/>
    <w:rsid w:val="0000309C"/>
    <w:rsid w:val="000222F1"/>
    <w:rsid w:val="0002265A"/>
    <w:rsid w:val="0002639C"/>
    <w:rsid w:val="000269F3"/>
    <w:rsid w:val="00040996"/>
    <w:rsid w:val="000418E5"/>
    <w:rsid w:val="00041C4C"/>
    <w:rsid w:val="00044A34"/>
    <w:rsid w:val="00046F64"/>
    <w:rsid w:val="000730E0"/>
    <w:rsid w:val="00076D62"/>
    <w:rsid w:val="000819A1"/>
    <w:rsid w:val="0008337C"/>
    <w:rsid w:val="00094789"/>
    <w:rsid w:val="000958C5"/>
    <w:rsid w:val="00097DE3"/>
    <w:rsid w:val="000A2523"/>
    <w:rsid w:val="000A7F20"/>
    <w:rsid w:val="000B2BE9"/>
    <w:rsid w:val="000C1C23"/>
    <w:rsid w:val="000D6E31"/>
    <w:rsid w:val="000E0510"/>
    <w:rsid w:val="000E1BCD"/>
    <w:rsid w:val="000E4983"/>
    <w:rsid w:val="000E5E6E"/>
    <w:rsid w:val="0010170F"/>
    <w:rsid w:val="00101815"/>
    <w:rsid w:val="001052C8"/>
    <w:rsid w:val="00106234"/>
    <w:rsid w:val="00106E04"/>
    <w:rsid w:val="001223E9"/>
    <w:rsid w:val="00122994"/>
    <w:rsid w:val="00127444"/>
    <w:rsid w:val="00130D79"/>
    <w:rsid w:val="001436B5"/>
    <w:rsid w:val="00145640"/>
    <w:rsid w:val="00145F87"/>
    <w:rsid w:val="00151E2D"/>
    <w:rsid w:val="00154356"/>
    <w:rsid w:val="00163ED6"/>
    <w:rsid w:val="001702AC"/>
    <w:rsid w:val="00172BEC"/>
    <w:rsid w:val="00174497"/>
    <w:rsid w:val="00180D0A"/>
    <w:rsid w:val="001A50DF"/>
    <w:rsid w:val="001A7B9B"/>
    <w:rsid w:val="001B5132"/>
    <w:rsid w:val="001C50C7"/>
    <w:rsid w:val="001C5F7D"/>
    <w:rsid w:val="001C64AB"/>
    <w:rsid w:val="001E031D"/>
    <w:rsid w:val="001E3072"/>
    <w:rsid w:val="001E3D67"/>
    <w:rsid w:val="001F28D8"/>
    <w:rsid w:val="001F7509"/>
    <w:rsid w:val="00207EDE"/>
    <w:rsid w:val="002300D0"/>
    <w:rsid w:val="002404DF"/>
    <w:rsid w:val="002527B0"/>
    <w:rsid w:val="00261BB8"/>
    <w:rsid w:val="0026446F"/>
    <w:rsid w:val="0027284F"/>
    <w:rsid w:val="00275005"/>
    <w:rsid w:val="002963F9"/>
    <w:rsid w:val="002A7ECB"/>
    <w:rsid w:val="002B113A"/>
    <w:rsid w:val="002B192D"/>
    <w:rsid w:val="002B40F0"/>
    <w:rsid w:val="002B7E09"/>
    <w:rsid w:val="002D5A5F"/>
    <w:rsid w:val="002E2E4A"/>
    <w:rsid w:val="002E3893"/>
    <w:rsid w:val="002E3FF3"/>
    <w:rsid w:val="002F0060"/>
    <w:rsid w:val="002F0247"/>
    <w:rsid w:val="00306323"/>
    <w:rsid w:val="003064CC"/>
    <w:rsid w:val="00313A74"/>
    <w:rsid w:val="00316378"/>
    <w:rsid w:val="003208D1"/>
    <w:rsid w:val="003335AC"/>
    <w:rsid w:val="00350DA4"/>
    <w:rsid w:val="00354CA6"/>
    <w:rsid w:val="0036319E"/>
    <w:rsid w:val="003643D3"/>
    <w:rsid w:val="003709EB"/>
    <w:rsid w:val="00381DE5"/>
    <w:rsid w:val="00391539"/>
    <w:rsid w:val="00397BA6"/>
    <w:rsid w:val="003A348C"/>
    <w:rsid w:val="003A6979"/>
    <w:rsid w:val="003B03BD"/>
    <w:rsid w:val="003B07A3"/>
    <w:rsid w:val="003B299B"/>
    <w:rsid w:val="003D00E1"/>
    <w:rsid w:val="003D744E"/>
    <w:rsid w:val="003E1406"/>
    <w:rsid w:val="003F09CF"/>
    <w:rsid w:val="003F3A77"/>
    <w:rsid w:val="003F3D81"/>
    <w:rsid w:val="003F665D"/>
    <w:rsid w:val="00412A4A"/>
    <w:rsid w:val="00423E95"/>
    <w:rsid w:val="0042587A"/>
    <w:rsid w:val="004277C9"/>
    <w:rsid w:val="00431FA1"/>
    <w:rsid w:val="00432973"/>
    <w:rsid w:val="00436E3A"/>
    <w:rsid w:val="00440E3B"/>
    <w:rsid w:val="004566E0"/>
    <w:rsid w:val="00475168"/>
    <w:rsid w:val="00480FD7"/>
    <w:rsid w:val="004B0307"/>
    <w:rsid w:val="004B17BD"/>
    <w:rsid w:val="004B4B2E"/>
    <w:rsid w:val="004D2E62"/>
    <w:rsid w:val="004E1496"/>
    <w:rsid w:val="004E33FF"/>
    <w:rsid w:val="004F0D5B"/>
    <w:rsid w:val="004F3717"/>
    <w:rsid w:val="0050628F"/>
    <w:rsid w:val="00512DB7"/>
    <w:rsid w:val="00515656"/>
    <w:rsid w:val="00517683"/>
    <w:rsid w:val="00525437"/>
    <w:rsid w:val="005303EB"/>
    <w:rsid w:val="0054502C"/>
    <w:rsid w:val="00547A12"/>
    <w:rsid w:val="00551BD4"/>
    <w:rsid w:val="00567D23"/>
    <w:rsid w:val="005709FF"/>
    <w:rsid w:val="0057403E"/>
    <w:rsid w:val="00574E1D"/>
    <w:rsid w:val="00584B38"/>
    <w:rsid w:val="00586711"/>
    <w:rsid w:val="00592EBC"/>
    <w:rsid w:val="00597304"/>
    <w:rsid w:val="005A053C"/>
    <w:rsid w:val="005B3917"/>
    <w:rsid w:val="005B3D57"/>
    <w:rsid w:val="005B4974"/>
    <w:rsid w:val="005C000A"/>
    <w:rsid w:val="005C0581"/>
    <w:rsid w:val="005C1217"/>
    <w:rsid w:val="005D6CE9"/>
    <w:rsid w:val="005E0957"/>
    <w:rsid w:val="005F646D"/>
    <w:rsid w:val="005F655B"/>
    <w:rsid w:val="005F72FA"/>
    <w:rsid w:val="006042B5"/>
    <w:rsid w:val="00612BE9"/>
    <w:rsid w:val="0062180F"/>
    <w:rsid w:val="00621DAA"/>
    <w:rsid w:val="00623AAD"/>
    <w:rsid w:val="00634D25"/>
    <w:rsid w:val="00634DE0"/>
    <w:rsid w:val="006375FF"/>
    <w:rsid w:val="00660BA3"/>
    <w:rsid w:val="00674FE9"/>
    <w:rsid w:val="00693A85"/>
    <w:rsid w:val="006A54D1"/>
    <w:rsid w:val="006B25F3"/>
    <w:rsid w:val="006C58D1"/>
    <w:rsid w:val="006C5F85"/>
    <w:rsid w:val="006D0C99"/>
    <w:rsid w:val="006E67C2"/>
    <w:rsid w:val="006E774C"/>
    <w:rsid w:val="006F5A2D"/>
    <w:rsid w:val="006F5AB4"/>
    <w:rsid w:val="00721452"/>
    <w:rsid w:val="00722FA1"/>
    <w:rsid w:val="00723593"/>
    <w:rsid w:val="00733B24"/>
    <w:rsid w:val="00744C2D"/>
    <w:rsid w:val="0075128C"/>
    <w:rsid w:val="007531AB"/>
    <w:rsid w:val="0076180A"/>
    <w:rsid w:val="007652DF"/>
    <w:rsid w:val="007772A7"/>
    <w:rsid w:val="00791A3C"/>
    <w:rsid w:val="007A13EE"/>
    <w:rsid w:val="007A4540"/>
    <w:rsid w:val="007A790B"/>
    <w:rsid w:val="007C0349"/>
    <w:rsid w:val="007C6E67"/>
    <w:rsid w:val="007C7D03"/>
    <w:rsid w:val="007D160B"/>
    <w:rsid w:val="007D5969"/>
    <w:rsid w:val="007E19CB"/>
    <w:rsid w:val="00800762"/>
    <w:rsid w:val="00800B20"/>
    <w:rsid w:val="00810AC5"/>
    <w:rsid w:val="00817784"/>
    <w:rsid w:val="00825D92"/>
    <w:rsid w:val="00832D3B"/>
    <w:rsid w:val="008358ED"/>
    <w:rsid w:val="0084116D"/>
    <w:rsid w:val="00843EB1"/>
    <w:rsid w:val="00852187"/>
    <w:rsid w:val="00871D8A"/>
    <w:rsid w:val="00873EB1"/>
    <w:rsid w:val="00884DDB"/>
    <w:rsid w:val="008A4DF0"/>
    <w:rsid w:val="008C0963"/>
    <w:rsid w:val="008D0D74"/>
    <w:rsid w:val="008D48B7"/>
    <w:rsid w:val="008E6262"/>
    <w:rsid w:val="008F16E2"/>
    <w:rsid w:val="008F1E89"/>
    <w:rsid w:val="008F26D1"/>
    <w:rsid w:val="00902B44"/>
    <w:rsid w:val="009078EA"/>
    <w:rsid w:val="0091165B"/>
    <w:rsid w:val="00914735"/>
    <w:rsid w:val="009235D4"/>
    <w:rsid w:val="00925AEB"/>
    <w:rsid w:val="00931CD6"/>
    <w:rsid w:val="009347AC"/>
    <w:rsid w:val="00951739"/>
    <w:rsid w:val="0095372F"/>
    <w:rsid w:val="00955810"/>
    <w:rsid w:val="009571AF"/>
    <w:rsid w:val="009658C0"/>
    <w:rsid w:val="0096745E"/>
    <w:rsid w:val="0097565B"/>
    <w:rsid w:val="009760EC"/>
    <w:rsid w:val="009844BD"/>
    <w:rsid w:val="009907BE"/>
    <w:rsid w:val="00992754"/>
    <w:rsid w:val="009C38E1"/>
    <w:rsid w:val="009D2189"/>
    <w:rsid w:val="009E162E"/>
    <w:rsid w:val="009E4B4B"/>
    <w:rsid w:val="009F2167"/>
    <w:rsid w:val="00A11D50"/>
    <w:rsid w:val="00A12DF8"/>
    <w:rsid w:val="00A21E4F"/>
    <w:rsid w:val="00A312EC"/>
    <w:rsid w:val="00A362EE"/>
    <w:rsid w:val="00A36A7F"/>
    <w:rsid w:val="00A42AFB"/>
    <w:rsid w:val="00A42CFA"/>
    <w:rsid w:val="00A46196"/>
    <w:rsid w:val="00A53BAC"/>
    <w:rsid w:val="00A71392"/>
    <w:rsid w:val="00A7639C"/>
    <w:rsid w:val="00A82C91"/>
    <w:rsid w:val="00AA1D01"/>
    <w:rsid w:val="00AC26A7"/>
    <w:rsid w:val="00AC414B"/>
    <w:rsid w:val="00AC7A72"/>
    <w:rsid w:val="00AD4150"/>
    <w:rsid w:val="00AE20E2"/>
    <w:rsid w:val="00AF1398"/>
    <w:rsid w:val="00AF55C9"/>
    <w:rsid w:val="00AF7F37"/>
    <w:rsid w:val="00B026C1"/>
    <w:rsid w:val="00B1114F"/>
    <w:rsid w:val="00B12D6B"/>
    <w:rsid w:val="00B132A3"/>
    <w:rsid w:val="00B35444"/>
    <w:rsid w:val="00B37AE4"/>
    <w:rsid w:val="00B478F5"/>
    <w:rsid w:val="00B525E6"/>
    <w:rsid w:val="00B60CEB"/>
    <w:rsid w:val="00BB00CE"/>
    <w:rsid w:val="00BB3873"/>
    <w:rsid w:val="00BD06ED"/>
    <w:rsid w:val="00BD6BA0"/>
    <w:rsid w:val="00BF5BE5"/>
    <w:rsid w:val="00C014FB"/>
    <w:rsid w:val="00C05380"/>
    <w:rsid w:val="00C06B6E"/>
    <w:rsid w:val="00C12227"/>
    <w:rsid w:val="00C16E82"/>
    <w:rsid w:val="00C307F8"/>
    <w:rsid w:val="00C3123B"/>
    <w:rsid w:val="00C44A06"/>
    <w:rsid w:val="00C544A7"/>
    <w:rsid w:val="00C62673"/>
    <w:rsid w:val="00C66D57"/>
    <w:rsid w:val="00C72DFD"/>
    <w:rsid w:val="00C769F0"/>
    <w:rsid w:val="00C850F9"/>
    <w:rsid w:val="00C908BD"/>
    <w:rsid w:val="00CA17E2"/>
    <w:rsid w:val="00CC66BC"/>
    <w:rsid w:val="00CD109E"/>
    <w:rsid w:val="00CE0CCF"/>
    <w:rsid w:val="00CE0F36"/>
    <w:rsid w:val="00CF60A1"/>
    <w:rsid w:val="00CF78E0"/>
    <w:rsid w:val="00D157B9"/>
    <w:rsid w:val="00D22E70"/>
    <w:rsid w:val="00D3021C"/>
    <w:rsid w:val="00D30669"/>
    <w:rsid w:val="00D348B0"/>
    <w:rsid w:val="00D36472"/>
    <w:rsid w:val="00D371DB"/>
    <w:rsid w:val="00D47FF8"/>
    <w:rsid w:val="00D57E28"/>
    <w:rsid w:val="00D6643F"/>
    <w:rsid w:val="00D71417"/>
    <w:rsid w:val="00D736C4"/>
    <w:rsid w:val="00D74318"/>
    <w:rsid w:val="00D750C4"/>
    <w:rsid w:val="00D7557D"/>
    <w:rsid w:val="00D7722A"/>
    <w:rsid w:val="00D826D3"/>
    <w:rsid w:val="00D869E9"/>
    <w:rsid w:val="00D86EB3"/>
    <w:rsid w:val="00D91286"/>
    <w:rsid w:val="00D91836"/>
    <w:rsid w:val="00D959F4"/>
    <w:rsid w:val="00DB0CAF"/>
    <w:rsid w:val="00DB2C5D"/>
    <w:rsid w:val="00DB3EAE"/>
    <w:rsid w:val="00DC40DF"/>
    <w:rsid w:val="00DC50FD"/>
    <w:rsid w:val="00DC763F"/>
    <w:rsid w:val="00DD2C33"/>
    <w:rsid w:val="00DD30F9"/>
    <w:rsid w:val="00DE176D"/>
    <w:rsid w:val="00DE3458"/>
    <w:rsid w:val="00DE52E3"/>
    <w:rsid w:val="00DF2A45"/>
    <w:rsid w:val="00DF42F3"/>
    <w:rsid w:val="00E01C54"/>
    <w:rsid w:val="00E03D71"/>
    <w:rsid w:val="00E15920"/>
    <w:rsid w:val="00E26840"/>
    <w:rsid w:val="00E301D9"/>
    <w:rsid w:val="00E46063"/>
    <w:rsid w:val="00E61847"/>
    <w:rsid w:val="00E64EB7"/>
    <w:rsid w:val="00E77729"/>
    <w:rsid w:val="00E83AF0"/>
    <w:rsid w:val="00E9046A"/>
    <w:rsid w:val="00E93DBA"/>
    <w:rsid w:val="00E93E75"/>
    <w:rsid w:val="00E95632"/>
    <w:rsid w:val="00EB3291"/>
    <w:rsid w:val="00EC09E7"/>
    <w:rsid w:val="00EC0FB7"/>
    <w:rsid w:val="00EC6051"/>
    <w:rsid w:val="00ED1C5B"/>
    <w:rsid w:val="00EE3BAC"/>
    <w:rsid w:val="00EE45B1"/>
    <w:rsid w:val="00EF6266"/>
    <w:rsid w:val="00F03F26"/>
    <w:rsid w:val="00F12712"/>
    <w:rsid w:val="00F26C31"/>
    <w:rsid w:val="00F43D8D"/>
    <w:rsid w:val="00F54E60"/>
    <w:rsid w:val="00F576D4"/>
    <w:rsid w:val="00F64F2E"/>
    <w:rsid w:val="00F72991"/>
    <w:rsid w:val="00F748AE"/>
    <w:rsid w:val="00F8006E"/>
    <w:rsid w:val="00F811AF"/>
    <w:rsid w:val="00F85392"/>
    <w:rsid w:val="00F97674"/>
    <w:rsid w:val="00F97806"/>
    <w:rsid w:val="00FB2704"/>
    <w:rsid w:val="00FB3DD9"/>
    <w:rsid w:val="00FB584C"/>
    <w:rsid w:val="00FC0F4A"/>
    <w:rsid w:val="00FD2FA8"/>
    <w:rsid w:val="00FD7C38"/>
    <w:rsid w:val="00FE4625"/>
    <w:rsid w:val="00FE502F"/>
    <w:rsid w:val="00FF0DB2"/>
    <w:rsid w:val="00FF7E8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1F58D2"/>
  <w15:chartTrackingRefBased/>
  <w15:docId w15:val="{A8D19F8E-A95E-455D-9F0A-4FAD41C9C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CD6"/>
    <w:pPr>
      <w:bidi/>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رأس صفحة"/>
    <w:basedOn w:val="Normal"/>
    <w:link w:val="Char"/>
    <w:uiPriority w:val="99"/>
    <w:unhideWhenUsed/>
    <w:rsid w:val="0076180A"/>
    <w:pPr>
      <w:tabs>
        <w:tab w:val="center" w:pos="4680"/>
        <w:tab w:val="right" w:pos="9360"/>
      </w:tabs>
      <w:spacing w:after="0" w:line="240" w:lineRule="auto"/>
    </w:pPr>
    <w:rPr>
      <w:rFonts w:ascii="Calibri" w:eastAsia="Times New Roman" w:hAnsi="Calibri" w:cs="Arial"/>
    </w:rPr>
  </w:style>
  <w:style w:type="character" w:customStyle="1" w:styleId="Char">
    <w:name w:val="رأس صفحة Char"/>
    <w:basedOn w:val="DefaultParagraphFont"/>
    <w:link w:val="a"/>
    <w:uiPriority w:val="99"/>
    <w:rsid w:val="0076180A"/>
  </w:style>
  <w:style w:type="paragraph" w:customStyle="1" w:styleId="a0">
    <w:name w:val="تذييل صفحة"/>
    <w:basedOn w:val="Normal"/>
    <w:link w:val="Char0"/>
    <w:uiPriority w:val="99"/>
    <w:unhideWhenUsed/>
    <w:rsid w:val="0076180A"/>
    <w:pPr>
      <w:tabs>
        <w:tab w:val="center" w:pos="4680"/>
        <w:tab w:val="right" w:pos="9360"/>
      </w:tabs>
      <w:spacing w:after="0" w:line="240" w:lineRule="auto"/>
    </w:pPr>
    <w:rPr>
      <w:rFonts w:ascii="Calibri" w:eastAsia="Times New Roman" w:hAnsi="Calibri" w:cs="Arial"/>
    </w:rPr>
  </w:style>
  <w:style w:type="character" w:customStyle="1" w:styleId="Char0">
    <w:name w:val="تذييل صفحة Char"/>
    <w:basedOn w:val="DefaultParagraphFont"/>
    <w:link w:val="a0"/>
    <w:uiPriority w:val="99"/>
    <w:rsid w:val="0076180A"/>
  </w:style>
  <w:style w:type="paragraph" w:styleId="BalloonText">
    <w:name w:val="Balloon Text"/>
    <w:basedOn w:val="Normal"/>
    <w:link w:val="BalloonTextChar"/>
    <w:uiPriority w:val="99"/>
    <w:semiHidden/>
    <w:unhideWhenUsed/>
    <w:rsid w:val="0076180A"/>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76180A"/>
    <w:rPr>
      <w:rFonts w:ascii="Tahoma" w:hAnsi="Tahoma" w:cs="Tahoma"/>
      <w:sz w:val="16"/>
      <w:szCs w:val="16"/>
    </w:rPr>
  </w:style>
  <w:style w:type="character" w:customStyle="1" w:styleId="apple-style-span">
    <w:name w:val="apple-style-span"/>
    <w:basedOn w:val="DefaultParagraphFont"/>
    <w:rsid w:val="00AD4150"/>
  </w:style>
  <w:style w:type="table" w:styleId="TableGrid">
    <w:name w:val="Table Grid"/>
    <w:basedOn w:val="TableNormal"/>
    <w:uiPriority w:val="59"/>
    <w:rsid w:val="00AD41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link w:val="ListParagraphChar"/>
    <w:uiPriority w:val="34"/>
    <w:qFormat/>
    <w:rsid w:val="00D869E9"/>
    <w:pPr>
      <w:ind w:left="720"/>
      <w:contextualSpacing/>
    </w:pPr>
    <w:rPr>
      <w:rFonts w:ascii="Calibri" w:eastAsia="Times New Roman" w:hAnsi="Calibri" w:cs="Arial"/>
    </w:rPr>
  </w:style>
  <w:style w:type="paragraph" w:styleId="NormalWeb">
    <w:name w:val="Normal (Web)"/>
    <w:basedOn w:val="Normal"/>
    <w:uiPriority w:val="99"/>
    <w:unhideWhenUsed/>
    <w:rsid w:val="00D869E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D7C38"/>
  </w:style>
  <w:style w:type="character" w:customStyle="1" w:styleId="c20">
    <w:name w:val="c20"/>
    <w:basedOn w:val="DefaultParagraphFont"/>
    <w:rsid w:val="00FD7C38"/>
  </w:style>
  <w:style w:type="character" w:customStyle="1" w:styleId="c2">
    <w:name w:val="c2"/>
    <w:basedOn w:val="DefaultParagraphFont"/>
    <w:rsid w:val="00FD7C38"/>
  </w:style>
  <w:style w:type="table" w:customStyle="1" w:styleId="-11">
    <w:name w:val="تظليل فاتح - تمييز 11"/>
    <w:basedOn w:val="TableNormal"/>
    <w:uiPriority w:val="60"/>
    <w:rsid w:val="004B4B2E"/>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Hyperlink">
    <w:name w:val="Hyperlink"/>
    <w:basedOn w:val="DefaultParagraphFont"/>
    <w:uiPriority w:val="99"/>
    <w:unhideWhenUsed/>
    <w:rsid w:val="00D36472"/>
    <w:rPr>
      <w:color w:val="0000FF"/>
      <w:u w:val="single"/>
    </w:rPr>
  </w:style>
  <w:style w:type="paragraph" w:styleId="Footer">
    <w:name w:val="footer"/>
    <w:basedOn w:val="Normal"/>
    <w:link w:val="FooterChar"/>
    <w:uiPriority w:val="99"/>
    <w:unhideWhenUsed/>
    <w:rsid w:val="007E19CB"/>
    <w:pPr>
      <w:tabs>
        <w:tab w:val="center" w:pos="4680"/>
        <w:tab w:val="right" w:pos="9360"/>
      </w:tabs>
      <w:spacing w:after="0" w:line="240" w:lineRule="auto"/>
    </w:pPr>
    <w:rPr>
      <w:rFonts w:ascii="Calibri" w:eastAsia="Times New Roman" w:hAnsi="Calibri" w:cs="Arial"/>
    </w:rPr>
  </w:style>
  <w:style w:type="character" w:customStyle="1" w:styleId="FooterChar">
    <w:name w:val="Footer Char"/>
    <w:basedOn w:val="DefaultParagraphFont"/>
    <w:link w:val="Footer"/>
    <w:uiPriority w:val="99"/>
    <w:rsid w:val="007E19CB"/>
    <w:rPr>
      <w:rFonts w:eastAsia="Times New Roman"/>
      <w:sz w:val="22"/>
      <w:szCs w:val="22"/>
    </w:rPr>
  </w:style>
  <w:style w:type="paragraph" w:styleId="Header">
    <w:name w:val="header"/>
    <w:basedOn w:val="Normal"/>
    <w:link w:val="HeaderChar"/>
    <w:uiPriority w:val="99"/>
    <w:unhideWhenUsed/>
    <w:rsid w:val="000269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69F3"/>
    <w:rPr>
      <w:rFonts w:asciiTheme="minorHAnsi" w:eastAsiaTheme="minorHAnsi" w:hAnsiTheme="minorHAnsi" w:cstheme="minorBidi"/>
      <w:sz w:val="22"/>
      <w:szCs w:val="22"/>
    </w:rPr>
  </w:style>
  <w:style w:type="paragraph" w:styleId="BodyText">
    <w:name w:val="Body Text"/>
    <w:basedOn w:val="Normal"/>
    <w:link w:val="BodyTextChar"/>
    <w:uiPriority w:val="1"/>
    <w:qFormat/>
    <w:rsid w:val="00DE52E3"/>
    <w:pPr>
      <w:widowControl w:val="0"/>
      <w:autoSpaceDE w:val="0"/>
      <w:autoSpaceDN w:val="0"/>
      <w:adjustRightInd w:val="0"/>
      <w:spacing w:after="0" w:line="240" w:lineRule="auto"/>
      <w:ind w:left="112"/>
    </w:pPr>
    <w:rPr>
      <w:rFonts w:ascii="Calibri" w:eastAsiaTheme="minorEastAsia" w:hAnsi="Calibri" w:cs="Calibri"/>
    </w:rPr>
  </w:style>
  <w:style w:type="character" w:customStyle="1" w:styleId="BodyTextChar">
    <w:name w:val="Body Text Char"/>
    <w:basedOn w:val="DefaultParagraphFont"/>
    <w:link w:val="BodyText"/>
    <w:uiPriority w:val="1"/>
    <w:rsid w:val="00DE52E3"/>
    <w:rPr>
      <w:rFonts w:eastAsiaTheme="minorEastAsia" w:cs="Calibri"/>
      <w:sz w:val="22"/>
      <w:szCs w:val="22"/>
    </w:rPr>
  </w:style>
  <w:style w:type="paragraph" w:styleId="FootnoteText">
    <w:name w:val="footnote text"/>
    <w:basedOn w:val="Normal"/>
    <w:link w:val="FootnoteTextChar"/>
    <w:uiPriority w:val="99"/>
    <w:semiHidden/>
    <w:unhideWhenUsed/>
    <w:rsid w:val="00843EB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43EB1"/>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843EB1"/>
    <w:rPr>
      <w:vertAlign w:val="superscript"/>
    </w:rPr>
  </w:style>
  <w:style w:type="character" w:styleId="UnresolvedMention">
    <w:name w:val="Unresolved Mention"/>
    <w:basedOn w:val="DefaultParagraphFont"/>
    <w:uiPriority w:val="99"/>
    <w:semiHidden/>
    <w:unhideWhenUsed/>
    <w:rsid w:val="00350DA4"/>
    <w:rPr>
      <w:color w:val="605E5C"/>
      <w:shd w:val="clear" w:color="auto" w:fill="E1DFDD"/>
    </w:rPr>
  </w:style>
  <w:style w:type="character" w:customStyle="1" w:styleId="ListParagraphChar">
    <w:name w:val="List Paragraph Char"/>
    <w:link w:val="ListParagraph"/>
    <w:uiPriority w:val="34"/>
    <w:rsid w:val="00931CD6"/>
    <w:rPr>
      <w:rFonts w:eastAsia="Times New Roman"/>
      <w:sz w:val="22"/>
      <w:szCs w:val="22"/>
    </w:rPr>
  </w:style>
  <w:style w:type="character" w:styleId="Strong">
    <w:name w:val="Strong"/>
    <w:basedOn w:val="DefaultParagraphFont"/>
    <w:uiPriority w:val="22"/>
    <w:qFormat/>
    <w:rsid w:val="00931CD6"/>
    <w:rPr>
      <w:b/>
      <w:bCs/>
    </w:rPr>
  </w:style>
  <w:style w:type="character" w:customStyle="1" w:styleId="field">
    <w:name w:val="field"/>
    <w:basedOn w:val="DefaultParagraphFont"/>
    <w:rsid w:val="00931C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788739">
      <w:bodyDiv w:val="1"/>
      <w:marLeft w:val="0"/>
      <w:marRight w:val="0"/>
      <w:marTop w:val="0"/>
      <w:marBottom w:val="0"/>
      <w:divBdr>
        <w:top w:val="none" w:sz="0" w:space="0" w:color="auto"/>
        <w:left w:val="none" w:sz="0" w:space="0" w:color="auto"/>
        <w:bottom w:val="none" w:sz="0" w:space="0" w:color="auto"/>
        <w:right w:val="none" w:sz="0" w:space="0" w:color="auto"/>
      </w:divBdr>
    </w:div>
    <w:div w:id="949825870">
      <w:bodyDiv w:val="1"/>
      <w:marLeft w:val="0"/>
      <w:marRight w:val="0"/>
      <w:marTop w:val="0"/>
      <w:marBottom w:val="0"/>
      <w:divBdr>
        <w:top w:val="none" w:sz="0" w:space="0" w:color="auto"/>
        <w:left w:val="none" w:sz="0" w:space="0" w:color="auto"/>
        <w:bottom w:val="none" w:sz="0" w:space="0" w:color="auto"/>
        <w:right w:val="none" w:sz="0" w:space="0" w:color="auto"/>
      </w:divBdr>
    </w:div>
    <w:div w:id="1866601062">
      <w:bodyDiv w:val="1"/>
      <w:marLeft w:val="0"/>
      <w:marRight w:val="0"/>
      <w:marTop w:val="0"/>
      <w:marBottom w:val="0"/>
      <w:divBdr>
        <w:top w:val="none" w:sz="0" w:space="0" w:color="auto"/>
        <w:left w:val="none" w:sz="0" w:space="0" w:color="auto"/>
        <w:bottom w:val="none" w:sz="0" w:space="0" w:color="auto"/>
        <w:right w:val="none" w:sz="0" w:space="0" w:color="auto"/>
      </w:divBdr>
    </w:div>
    <w:div w:id="2090302886">
      <w:bodyDiv w:val="1"/>
      <w:marLeft w:val="0"/>
      <w:marRight w:val="0"/>
      <w:marTop w:val="0"/>
      <w:marBottom w:val="0"/>
      <w:divBdr>
        <w:top w:val="none" w:sz="0" w:space="0" w:color="auto"/>
        <w:left w:val="none" w:sz="0" w:space="0" w:color="auto"/>
        <w:bottom w:val="none" w:sz="0" w:space="0" w:color="auto"/>
        <w:right w:val="none" w:sz="0" w:space="0" w:color="auto"/>
      </w:divBdr>
      <w:divsChild>
        <w:div w:id="3482069">
          <w:marLeft w:val="0"/>
          <w:marRight w:val="0"/>
          <w:marTop w:val="0"/>
          <w:marBottom w:val="0"/>
          <w:divBdr>
            <w:top w:val="none" w:sz="0" w:space="0" w:color="auto"/>
            <w:left w:val="none" w:sz="0" w:space="0" w:color="auto"/>
            <w:bottom w:val="none" w:sz="0" w:space="0" w:color="auto"/>
            <w:right w:val="none" w:sz="0" w:space="0" w:color="auto"/>
          </w:divBdr>
          <w:divsChild>
            <w:div w:id="1811358571">
              <w:marLeft w:val="0"/>
              <w:marRight w:val="0"/>
              <w:marTop w:val="0"/>
              <w:marBottom w:val="0"/>
              <w:divBdr>
                <w:top w:val="none" w:sz="0" w:space="0" w:color="auto"/>
                <w:left w:val="none" w:sz="0" w:space="0" w:color="auto"/>
                <w:bottom w:val="none" w:sz="0" w:space="0" w:color="auto"/>
                <w:right w:val="none" w:sz="0" w:space="0" w:color="auto"/>
              </w:divBdr>
            </w:div>
            <w:div w:id="309676624">
              <w:marLeft w:val="0"/>
              <w:marRight w:val="0"/>
              <w:marTop w:val="0"/>
              <w:marBottom w:val="0"/>
              <w:divBdr>
                <w:top w:val="none" w:sz="0" w:space="0" w:color="auto"/>
                <w:left w:val="none" w:sz="0" w:space="0" w:color="auto"/>
                <w:bottom w:val="none" w:sz="0" w:space="0" w:color="auto"/>
                <w:right w:val="none" w:sz="0" w:space="0" w:color="auto"/>
              </w:divBdr>
              <w:divsChild>
                <w:div w:id="1000738127">
                  <w:marLeft w:val="0"/>
                  <w:marRight w:val="0"/>
                  <w:marTop w:val="0"/>
                  <w:marBottom w:val="0"/>
                  <w:divBdr>
                    <w:top w:val="none" w:sz="0" w:space="0" w:color="auto"/>
                    <w:left w:val="none" w:sz="0" w:space="0" w:color="auto"/>
                    <w:bottom w:val="none" w:sz="0" w:space="0" w:color="auto"/>
                    <w:right w:val="none" w:sz="0" w:space="0" w:color="auto"/>
                  </w:divBdr>
                  <w:divsChild>
                    <w:div w:id="257719813">
                      <w:marLeft w:val="0"/>
                      <w:marRight w:val="0"/>
                      <w:marTop w:val="0"/>
                      <w:marBottom w:val="0"/>
                      <w:divBdr>
                        <w:top w:val="none" w:sz="0" w:space="0" w:color="auto"/>
                        <w:left w:val="none" w:sz="0" w:space="0" w:color="auto"/>
                        <w:bottom w:val="none" w:sz="0" w:space="0" w:color="auto"/>
                        <w:right w:val="none" w:sz="0" w:space="0" w:color="auto"/>
                      </w:divBdr>
                      <w:divsChild>
                        <w:div w:id="1534272534">
                          <w:marLeft w:val="0"/>
                          <w:marRight w:val="0"/>
                          <w:marTop w:val="180"/>
                          <w:marBottom w:val="0"/>
                          <w:divBdr>
                            <w:top w:val="none" w:sz="0" w:space="0" w:color="auto"/>
                            <w:left w:val="none" w:sz="0" w:space="0" w:color="auto"/>
                            <w:bottom w:val="none" w:sz="0" w:space="0" w:color="auto"/>
                            <w:right w:val="none" w:sz="0" w:space="0" w:color="auto"/>
                          </w:divBdr>
                          <w:divsChild>
                            <w:div w:id="1206135050">
                              <w:marLeft w:val="0"/>
                              <w:marRight w:val="0"/>
                              <w:marTop w:val="0"/>
                              <w:marBottom w:val="0"/>
                              <w:divBdr>
                                <w:top w:val="none" w:sz="0" w:space="0" w:color="auto"/>
                                <w:left w:val="none" w:sz="0" w:space="0" w:color="auto"/>
                                <w:bottom w:val="none" w:sz="0" w:space="0" w:color="auto"/>
                                <w:right w:val="none" w:sz="0" w:space="0" w:color="auto"/>
                              </w:divBdr>
                            </w:div>
                            <w:div w:id="1868642337">
                              <w:marLeft w:val="0"/>
                              <w:marRight w:val="0"/>
                              <w:marTop w:val="0"/>
                              <w:marBottom w:val="0"/>
                              <w:divBdr>
                                <w:top w:val="none" w:sz="0" w:space="0" w:color="auto"/>
                                <w:left w:val="none" w:sz="0" w:space="0" w:color="auto"/>
                                <w:bottom w:val="none" w:sz="0" w:space="0" w:color="auto"/>
                                <w:right w:val="none" w:sz="0" w:space="0" w:color="auto"/>
                              </w:divBdr>
                            </w:div>
                          </w:divsChild>
                        </w:div>
                        <w:div w:id="1826359060">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 w:id="510529691">
          <w:marLeft w:val="0"/>
          <w:marRight w:val="0"/>
          <w:marTop w:val="0"/>
          <w:marBottom w:val="240"/>
          <w:divBdr>
            <w:top w:val="none" w:sz="0" w:space="0" w:color="auto"/>
            <w:left w:val="none" w:sz="0" w:space="0" w:color="auto"/>
            <w:bottom w:val="none" w:sz="0" w:space="0" w:color="auto"/>
            <w:right w:val="none" w:sz="0" w:space="0" w:color="auto"/>
          </w:divBdr>
          <w:divsChild>
            <w:div w:id="185994699">
              <w:marLeft w:val="0"/>
              <w:marRight w:val="0"/>
              <w:marTop w:val="0"/>
              <w:marBottom w:val="360"/>
              <w:divBdr>
                <w:top w:val="none" w:sz="0" w:space="0" w:color="auto"/>
                <w:left w:val="none" w:sz="0" w:space="0" w:color="auto"/>
                <w:bottom w:val="single" w:sz="6" w:space="6" w:color="E6E6E6"/>
                <w:right w:val="none" w:sz="0" w:space="0" w:color="auto"/>
              </w:divBdr>
              <w:divsChild>
                <w:div w:id="2022589237">
                  <w:marLeft w:val="0"/>
                  <w:marRight w:val="0"/>
                  <w:marTop w:val="0"/>
                  <w:marBottom w:val="100"/>
                  <w:divBdr>
                    <w:top w:val="none" w:sz="0" w:space="0" w:color="auto"/>
                    <w:left w:val="none" w:sz="0" w:space="0" w:color="auto"/>
                    <w:bottom w:val="none" w:sz="0" w:space="0" w:color="auto"/>
                    <w:right w:val="none" w:sz="0" w:space="0" w:color="auto"/>
                  </w:divBdr>
                </w:div>
                <w:div w:id="1630473117">
                  <w:marLeft w:val="0"/>
                  <w:marRight w:val="0"/>
                  <w:marTop w:val="0"/>
                  <w:marBottom w:val="0"/>
                  <w:divBdr>
                    <w:top w:val="none" w:sz="0" w:space="0" w:color="auto"/>
                    <w:left w:val="none" w:sz="0" w:space="0" w:color="auto"/>
                    <w:bottom w:val="none" w:sz="0" w:space="0" w:color="auto"/>
                    <w:right w:val="none" w:sz="0" w:space="0" w:color="auto"/>
                  </w:divBdr>
                  <w:divsChild>
                    <w:div w:id="1633830726">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1068848714">
          <w:marLeft w:val="0"/>
          <w:marRight w:val="0"/>
          <w:marTop w:val="0"/>
          <w:marBottom w:val="0"/>
          <w:divBdr>
            <w:top w:val="none" w:sz="0" w:space="0" w:color="auto"/>
            <w:left w:val="none" w:sz="0" w:space="0" w:color="auto"/>
            <w:bottom w:val="none" w:sz="0" w:space="0" w:color="auto"/>
            <w:right w:val="none" w:sz="0" w:space="0" w:color="auto"/>
          </w:divBdr>
          <w:divsChild>
            <w:div w:id="963922590">
              <w:marLeft w:val="0"/>
              <w:marRight w:val="1410"/>
              <w:marTop w:val="0"/>
              <w:marBottom w:val="0"/>
              <w:divBdr>
                <w:top w:val="none" w:sz="0" w:space="0" w:color="auto"/>
                <w:left w:val="none" w:sz="0" w:space="0" w:color="auto"/>
                <w:bottom w:val="none" w:sz="0" w:space="0" w:color="auto"/>
                <w:right w:val="none" w:sz="0" w:space="0" w:color="auto"/>
              </w:divBdr>
              <w:divsChild>
                <w:div w:id="26207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maatpeace.org/wp-content/uploads/2023/09/Two-Years-After-the-Launch-of-the-NHRS.pdf" TargetMode="External"/><Relationship Id="rId13" Type="http://schemas.openxmlformats.org/officeDocument/2006/relationships/hyperlink" Target="https://www.unicef.org/media/137571/file/Tech-based-Interventions-Adress-Harmful-Practices-2023-Egypt-v2.pdf" TargetMode="External"/><Relationship Id="rId18" Type="http://schemas.openxmlformats.org/officeDocument/2006/relationships/hyperlink" Target="https://eg.usembassy.gov/2023-tip-report-release/" TargetMode="External"/><Relationship Id="rId3" Type="http://schemas.openxmlformats.org/officeDocument/2006/relationships/hyperlink" Target="https://egypt.unfpa.org/en/node/22544" TargetMode="External"/><Relationship Id="rId7" Type="http://schemas.openxmlformats.org/officeDocument/2006/relationships/hyperlink" Target="https://tinyurl.com/yc43mdtv" TargetMode="External"/><Relationship Id="rId12" Type="http://schemas.openxmlformats.org/officeDocument/2006/relationships/hyperlink" Target="http://tinyurl.com/2kndjwhp" TargetMode="External"/><Relationship Id="rId17" Type="http://schemas.openxmlformats.org/officeDocument/2006/relationships/hyperlink" Target="https://drive.google.com/file/d/1hst-zCiKIGeYbHRsOOaiiocgverQ5PlE/view" TargetMode="External"/><Relationship Id="rId2" Type="http://schemas.openxmlformats.org/officeDocument/2006/relationships/hyperlink" Target="https://bit.ly/49Df7qZ" TargetMode="External"/><Relationship Id="rId16" Type="http://schemas.openxmlformats.org/officeDocument/2006/relationships/hyperlink" Target="https://www.elbalad.news/5315541" TargetMode="External"/><Relationship Id="rId1" Type="http://schemas.openxmlformats.org/officeDocument/2006/relationships/hyperlink" Target="https://tinyurl.com/4pf3eptf" TargetMode="External"/><Relationship Id="rId6" Type="http://schemas.openxmlformats.org/officeDocument/2006/relationships/hyperlink" Target="https://www.mena.org.eg/news/dbcall/table/webnews/id/10602206" TargetMode="External"/><Relationship Id="rId11" Type="http://schemas.openxmlformats.org/officeDocument/2006/relationships/hyperlink" Target="http://tinyurl.com/2s49rph4" TargetMode="External"/><Relationship Id="rId5" Type="http://schemas.openxmlformats.org/officeDocument/2006/relationships/hyperlink" Target="https://egypt.unfpa.org/en/node/22544" TargetMode="External"/><Relationship Id="rId15" Type="http://schemas.openxmlformats.org/officeDocument/2006/relationships/hyperlink" Target="https://www.dailynewsegypt.com/2022/04/14/will-egypts-new-law-prohibiting-underage-marriage-see-the-light-of-day/" TargetMode="External"/><Relationship Id="rId10" Type="http://schemas.openxmlformats.org/officeDocument/2006/relationships/hyperlink" Target="https://www.dailynewsegypt.com/2022/04/12/egyptian-cabinet-approves-draft-law-prohibiting-underage-marriage/" TargetMode="External"/><Relationship Id="rId4" Type="http://schemas.openxmlformats.org/officeDocument/2006/relationships/hyperlink" Target="https://www.unicef.org/egypt/media/10221/file/UNICEF%20%E2%80%93%20Government%20of%20Egypt%20Country%20Programme%202023%20-%202027.pdf" TargetMode="External"/><Relationship Id="rId9" Type="http://schemas.openxmlformats.org/officeDocument/2006/relationships/hyperlink" Target="https://2u.pw/iHPrMn4" TargetMode="External"/><Relationship Id="rId14" Type="http://schemas.openxmlformats.org/officeDocument/2006/relationships/hyperlink" Target="https://www.state.gov/reports/2022-country-reports-on-human-rights-practices/egyp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E:\merna\&#1588;&#1585;&#1603;&#1575;&#1569;\Temp.dotx"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4AB007-3AAF-478B-B994-4937CF3E9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Temp.dotx</Template>
  <TotalTime>1</TotalTime>
  <Pages>11</Pages>
  <Words>4055</Words>
  <Characters>23115</Characters>
  <Application>Microsoft Office Word</Application>
  <DocSecurity>0</DocSecurity>
  <Lines>192</Lines>
  <Paragraphs>54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Kimo Store</dc:creator>
  <cp:keywords/>
  <cp:lastModifiedBy>James Boit</cp:lastModifiedBy>
  <cp:revision>2</cp:revision>
  <cp:lastPrinted>2015-08-01T10:34:00Z</cp:lastPrinted>
  <dcterms:created xsi:type="dcterms:W3CDTF">2024-04-21T11:08:00Z</dcterms:created>
  <dcterms:modified xsi:type="dcterms:W3CDTF">2024-04-21T11:08:00Z</dcterms:modified>
</cp:coreProperties>
</file>