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56660" w14:textId="77777777" w:rsidR="00C45F8D" w:rsidRPr="00CA22F5" w:rsidRDefault="00C45F8D" w:rsidP="00C45F8D">
      <w:pPr>
        <w:tabs>
          <w:tab w:val="right" w:pos="9026"/>
        </w:tabs>
        <w:spacing w:after="40"/>
      </w:pPr>
      <w:r>
        <w:rPr>
          <w:rFonts w:eastAsia="Calibri Light"/>
          <w:spacing w:val="80"/>
          <w:sz w:val="15"/>
          <w:szCs w:val="15"/>
        </w:rPr>
        <w:t>UNITED NATIONS</w:t>
      </w:r>
      <w:r>
        <w:rPr>
          <w:rFonts w:eastAsia="Calibri Light"/>
          <w:sz w:val="15"/>
          <w:szCs w:val="15"/>
        </w:rPr>
        <w:tab/>
      </w:r>
      <w:r>
        <w:rPr>
          <w:rFonts w:eastAsia="Calibri Light"/>
          <w:spacing w:val="60"/>
          <w:sz w:val="15"/>
          <w:szCs w:val="15"/>
        </w:rPr>
        <w:t>101ST SESSION</w:t>
      </w:r>
    </w:p>
    <w:p w14:paraId="3865423F" w14:textId="77777777" w:rsidR="00C45F8D" w:rsidRPr="00CA22F5" w:rsidRDefault="00C45F8D" w:rsidP="00C45F8D">
      <w:pPr>
        <w:tabs>
          <w:tab w:val="right" w:pos="9026"/>
        </w:tabs>
        <w:spacing w:after="40"/>
      </w:pPr>
      <w:r>
        <w:rPr>
          <w:rFonts w:eastAsia="Calibri Light"/>
          <w:spacing w:val="40"/>
          <w:sz w:val="15"/>
          <w:szCs w:val="15"/>
        </w:rPr>
        <w:t>COMMITTEE ON THE RIGHTS OF THE CHILD</w:t>
      </w:r>
      <w:r>
        <w:rPr>
          <w:rFonts w:eastAsia="Calibri Light"/>
          <w:sz w:val="15"/>
          <w:szCs w:val="15"/>
        </w:rPr>
        <w:tab/>
      </w:r>
      <w:r>
        <w:rPr>
          <w:rFonts w:eastAsia="Calibri Light"/>
          <w:spacing w:val="60"/>
          <w:sz w:val="15"/>
          <w:szCs w:val="15"/>
        </w:rPr>
        <w:t>MAY 2026</w:t>
      </w:r>
    </w:p>
    <w:p w14:paraId="1FAB4EC5" w14:textId="77777777" w:rsidR="00C45F8D" w:rsidRPr="00CA22F5" w:rsidRDefault="00C45F8D" w:rsidP="00C45F8D">
      <w:pPr>
        <w:tabs>
          <w:tab w:val="right" w:pos="9026"/>
        </w:tabs>
        <w:spacing w:after="40"/>
        <w:rPr>
          <w:color w:val="F6F6F6"/>
        </w:rPr>
      </w:pPr>
      <w:r>
        <w:rPr>
          <w:rFonts w:eastAsia="Calibri Light"/>
          <w:spacing w:val="80"/>
          <w:sz w:val="15"/>
          <w:szCs w:val="15"/>
        </w:rPr>
        <w:t>DENMARK REVIEW 2026</w:t>
      </w:r>
      <w:r>
        <w:rPr>
          <w:rFonts w:eastAsia="Calibri Light"/>
          <w:sz w:val="15"/>
          <w:szCs w:val="15"/>
        </w:rPr>
        <w:tab/>
      </w:r>
      <w:r>
        <w:rPr>
          <w:rFonts w:eastAsia="Calibri Light"/>
          <w:color w:val="262626" w:themeColor="text1" w:themeTint="D9"/>
          <w:spacing w:val="60"/>
          <w:sz w:val="15"/>
          <w:szCs w:val="15"/>
        </w:rPr>
        <w:t>GENEVA</w:t>
      </w:r>
    </w:p>
    <w:p w14:paraId="09F993EB" w14:textId="50CAE999" w:rsidR="00C45F8D" w:rsidRPr="003A22CF" w:rsidRDefault="000E02BB" w:rsidP="003A22CF">
      <w:pPr>
        <w:spacing w:before="1800" w:after="200"/>
        <w:rPr>
          <w:color w:val="262626" w:themeColor="text1" w:themeTint="D9"/>
          <w:sz w:val="21"/>
          <w:szCs w:val="21"/>
        </w:rPr>
      </w:pPr>
      <w:r>
        <w:rPr>
          <w:rFonts w:eastAsia="Calibri Light"/>
          <w:color w:val="262626" w:themeColor="text1" w:themeTint="D9"/>
          <w:spacing w:val="240"/>
          <w:sz w:val="18"/>
          <w:szCs w:val="18"/>
        </w:rPr>
        <w:t>SHADOW REPORT CRC</w:t>
      </w:r>
    </w:p>
    <w:p w14:paraId="46AC4243" w14:textId="191A3855" w:rsidR="00C45F8D" w:rsidRPr="008C3499" w:rsidRDefault="008C3499" w:rsidP="008C3499">
      <w:pPr>
        <w:pStyle w:val="ListParagraph"/>
        <w:rPr>
          <w:rFonts w:ascii="Calibri Light" w:hAnsi="Calibri Light" w:cs="Calibri Light"/>
          <w:sz w:val="96"/>
          <w:szCs w:val="96"/>
        </w:rPr>
      </w:pPr>
      <w:r>
        <w:rPr>
          <w:rFonts w:ascii="Calibri Light" w:hAnsi="Calibri Light" w:cs="Calibri Light"/>
          <w:sz w:val="96"/>
          <w:szCs w:val="96"/>
        </w:rPr>
        <w:t>Systemic Failures to Protect Children in Family Law Cases Involving Violence and Sexual Abuse</w:t>
      </w:r>
    </w:p>
    <w:p w14:paraId="38D82DF4" w14:textId="14B2080B" w:rsidR="00C45F8D" w:rsidRPr="00CA22F5" w:rsidRDefault="00C45F8D" w:rsidP="00C45F8D">
      <w:pPr>
        <w:ind w:right="3800"/>
        <w:rPr>
          <w:rFonts w:eastAsia="Calibri Light"/>
          <w:color w:val="7A8490"/>
          <w:spacing w:val="8"/>
          <w:sz w:val="24"/>
          <w:szCs w:val="24"/>
        </w:rPr>
      </w:pPr>
    </w:p>
    <w:p w14:paraId="5867ADD3" w14:textId="77777777" w:rsidR="00C45F8D" w:rsidRPr="00CA22F5" w:rsidRDefault="00C45F8D" w:rsidP="00C45F8D">
      <w:pPr>
        <w:ind w:right="3800"/>
        <w:rPr>
          <w:rFonts w:eastAsia="Calibri Light"/>
          <w:color w:val="7A8490"/>
          <w:spacing w:val="8"/>
          <w:sz w:val="24"/>
          <w:szCs w:val="24"/>
        </w:rPr>
      </w:pPr>
    </w:p>
    <w:p w14:paraId="1C845CBC" w14:textId="77777777" w:rsidR="00C45F8D" w:rsidRPr="00CA22F5" w:rsidRDefault="00C45F8D" w:rsidP="00C45F8D">
      <w:pPr>
        <w:ind w:right="3800"/>
        <w:rPr>
          <w:color w:val="262626" w:themeColor="text1" w:themeTint="D9"/>
        </w:rPr>
      </w:pPr>
      <w:r>
        <w:rPr>
          <w:rFonts w:eastAsia="Calibri Light"/>
          <w:color w:val="262626" w:themeColor="text1" w:themeTint="D9"/>
          <w:spacing w:val="8"/>
          <w:sz w:val="24"/>
          <w:szCs w:val="24"/>
        </w:rPr>
        <w:t>Denmark's treatment of foreign-national mothers and their children in domestic violence cases</w:t>
      </w:r>
    </w:p>
    <w:p w14:paraId="1CE64D0D" w14:textId="77777777" w:rsidR="00C45F8D" w:rsidRPr="00CA22F5" w:rsidRDefault="00C45F8D" w:rsidP="00C45F8D">
      <w:pPr>
        <w:ind w:right="3800"/>
        <w:rPr>
          <w:color w:val="262626" w:themeColor="text1" w:themeTint="D9"/>
        </w:rPr>
      </w:pPr>
    </w:p>
    <w:p w14:paraId="4A269A67" w14:textId="77777777" w:rsidR="00C45F8D" w:rsidRPr="00CA22F5" w:rsidRDefault="00C45F8D" w:rsidP="00C45F8D">
      <w:pPr>
        <w:ind w:right="3800"/>
        <w:rPr>
          <w:color w:val="262626" w:themeColor="text1" w:themeTint="D9"/>
        </w:rPr>
      </w:pPr>
    </w:p>
    <w:p w14:paraId="45FE417A" w14:textId="77777777" w:rsidR="00C45F8D" w:rsidRPr="00CA22F5" w:rsidRDefault="00C45F8D" w:rsidP="00C45F8D">
      <w:pPr>
        <w:ind w:right="3800"/>
        <w:rPr>
          <w:color w:val="262626" w:themeColor="text1" w:themeTint="D9"/>
        </w:rPr>
      </w:pPr>
    </w:p>
    <w:p w14:paraId="4622B9EA" w14:textId="77777777" w:rsidR="00C45F8D" w:rsidRPr="00CA22F5" w:rsidRDefault="00C45F8D" w:rsidP="00C45F8D">
      <w:pPr>
        <w:pBdr>
          <w:bottom w:val="single" w:sz="2" w:space="0" w:color="2F3F4D"/>
        </w:pBdr>
        <w:spacing w:after="180"/>
      </w:pPr>
    </w:p>
    <w:p w14:paraId="3D43229F" w14:textId="77777777" w:rsidR="00C45F8D" w:rsidRPr="00CA22F5" w:rsidRDefault="00C45F8D" w:rsidP="00C45F8D">
      <w:pPr>
        <w:pBdr>
          <w:bottom w:val="single" w:sz="2" w:space="0" w:color="2F3F4D"/>
        </w:pBdr>
        <w:spacing w:after="180"/>
      </w:pPr>
    </w:p>
    <w:p w14:paraId="5393F4B8" w14:textId="77777777" w:rsidR="00C45F8D" w:rsidRPr="00CA22F5" w:rsidRDefault="00C45F8D" w:rsidP="00C45F8D">
      <w:pPr>
        <w:pBdr>
          <w:bottom w:val="single" w:sz="2" w:space="0" w:color="2F3F4D"/>
        </w:pBdr>
        <w:spacing w:after="180"/>
      </w:pPr>
    </w:p>
    <w:p w14:paraId="6E201134" w14:textId="77777777" w:rsidR="00C45F8D" w:rsidRPr="00CA22F5" w:rsidRDefault="00C45F8D" w:rsidP="00C45F8D">
      <w:pPr>
        <w:pBdr>
          <w:bottom w:val="single" w:sz="2" w:space="0" w:color="2F3F4D"/>
        </w:pBdr>
        <w:spacing w:after="180"/>
      </w:pPr>
    </w:p>
    <w:tbl>
      <w:tblPr>
        <w:tblpPr w:leftFromText="180" w:rightFromText="180" w:vertAnchor="text" w:horzAnchor="margin" w:tblpY="261"/>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3826"/>
      </w:tblGrid>
      <w:tr w:rsidR="00C45F8D" w:rsidRPr="00CA22F5" w14:paraId="7C0B8A20" w14:textId="77777777" w:rsidTr="000E02BB">
        <w:tc>
          <w:tcPr>
            <w:tcW w:w="5200" w:type="dxa"/>
            <w:tcMar>
              <w:top w:w="0" w:type="dxa"/>
              <w:left w:w="0" w:type="dxa"/>
              <w:bottom w:w="0" w:type="dxa"/>
              <w:right w:w="0" w:type="dxa"/>
            </w:tcMar>
            <w:vAlign w:val="bottom"/>
          </w:tcPr>
          <w:p w14:paraId="5F40FA57" w14:textId="77777777" w:rsidR="00C45F8D" w:rsidRPr="008C3499" w:rsidRDefault="00C45F8D" w:rsidP="00854134">
            <w:pPr>
              <w:spacing w:after="80"/>
              <w:rPr>
                <w:color w:val="262626" w:themeColor="text1" w:themeTint="D9"/>
              </w:rPr>
            </w:pPr>
            <w:r>
              <w:rPr>
                <w:b/>
                <w:bCs/>
                <w:color w:val="262626" w:themeColor="text1" w:themeTint="D9"/>
                <w:spacing w:val="200"/>
                <w:sz w:val="24"/>
                <w:szCs w:val="24"/>
              </w:rPr>
              <w:t>IM VALID</w:t>
            </w:r>
          </w:p>
          <w:p w14:paraId="5AD0BE96" w14:textId="77777777" w:rsidR="00C45F8D" w:rsidRPr="008C3499" w:rsidRDefault="00C45F8D" w:rsidP="00854134">
            <w:pPr>
              <w:rPr>
                <w:rFonts w:eastAsia="Calibri Light"/>
                <w:color w:val="262626" w:themeColor="text1" w:themeTint="D9"/>
                <w:spacing w:val="20"/>
                <w:sz w:val="15"/>
                <w:szCs w:val="15"/>
              </w:rPr>
            </w:pPr>
            <w:r>
              <w:rPr>
                <w:rFonts w:eastAsia="Calibri Light"/>
                <w:color w:val="262626" w:themeColor="text1" w:themeTint="D9"/>
                <w:spacing w:val="20"/>
                <w:sz w:val="15"/>
                <w:szCs w:val="15"/>
              </w:rPr>
              <w:t>Immigrant Mothers Victims of Abuse Living in Denmark</w:t>
            </w:r>
          </w:p>
          <w:p w14:paraId="152C5850" w14:textId="77777777" w:rsidR="00C45F8D" w:rsidRPr="008C3499" w:rsidRDefault="00C45F8D" w:rsidP="00854134">
            <w:pPr>
              <w:rPr>
                <w:color w:val="262626" w:themeColor="text1" w:themeTint="D9"/>
              </w:rPr>
            </w:pPr>
            <w:r>
              <w:rPr>
                <w:rFonts w:eastAsia="Calibri Light"/>
                <w:color w:val="262626" w:themeColor="text1" w:themeTint="D9"/>
                <w:spacing w:val="20"/>
                <w:sz w:val="15"/>
                <w:szCs w:val="15"/>
              </w:rPr>
              <w:t>Contact: mcs.studio@me.com</w:t>
            </w:r>
          </w:p>
        </w:tc>
        <w:tc>
          <w:tcPr>
            <w:tcW w:w="3826" w:type="dxa"/>
            <w:tcMar>
              <w:top w:w="0" w:type="dxa"/>
              <w:left w:w="0" w:type="dxa"/>
              <w:bottom w:w="0" w:type="dxa"/>
              <w:right w:w="0" w:type="dxa"/>
            </w:tcMar>
            <w:vAlign w:val="bottom"/>
          </w:tcPr>
          <w:p w14:paraId="6144A40A" w14:textId="77777777" w:rsidR="00C45F8D" w:rsidRPr="008C3499" w:rsidRDefault="00C45F8D" w:rsidP="00854134">
            <w:pPr>
              <w:spacing w:after="44"/>
              <w:jc w:val="right"/>
              <w:rPr>
                <w:color w:val="262626" w:themeColor="text1" w:themeTint="D9"/>
              </w:rPr>
            </w:pPr>
            <w:r>
              <w:rPr>
                <w:rFonts w:eastAsia="Calibri Light"/>
                <w:color w:val="262626" w:themeColor="text1" w:themeTint="D9"/>
                <w:spacing w:val="60"/>
                <w:sz w:val="15"/>
                <w:szCs w:val="15"/>
              </w:rPr>
              <w:t>March 2026</w:t>
            </w:r>
          </w:p>
          <w:p w14:paraId="21560F91" w14:textId="77777777" w:rsidR="00C45F8D" w:rsidRPr="008C3499" w:rsidRDefault="00C45F8D" w:rsidP="00854134">
            <w:pPr>
              <w:spacing w:after="44"/>
              <w:jc w:val="right"/>
              <w:rPr>
                <w:color w:val="262626" w:themeColor="text1" w:themeTint="D9"/>
              </w:rPr>
            </w:pPr>
            <w:r>
              <w:rPr>
                <w:rFonts w:eastAsia="Calibri Light"/>
                <w:color w:val="262626" w:themeColor="text1" w:themeTint="D9"/>
                <w:spacing w:val="10"/>
                <w:sz w:val="14"/>
                <w:szCs w:val="14"/>
              </w:rPr>
              <w:t>Arts. 2  ·  3  ·  9  ·  12  ·  19  ·  34  ·  39</w:t>
            </w:r>
          </w:p>
          <w:p w14:paraId="7D9FF1C8" w14:textId="77777777" w:rsidR="00C45F8D" w:rsidRPr="008C3499" w:rsidRDefault="00C45F8D" w:rsidP="00854134">
            <w:pPr>
              <w:jc w:val="right"/>
              <w:rPr>
                <w:color w:val="262626" w:themeColor="text1" w:themeTint="D9"/>
              </w:rPr>
            </w:pPr>
            <w:r>
              <w:rPr>
                <w:rFonts w:eastAsia="Calibri Light"/>
                <w:color w:val="262626" w:themeColor="text1" w:themeTint="D9"/>
                <w:spacing w:val="10"/>
                <w:sz w:val="15"/>
                <w:szCs w:val="15"/>
              </w:rPr>
              <w:t>Convention on the Rights of the Child</w:t>
            </w:r>
          </w:p>
        </w:tc>
      </w:tr>
    </w:tbl>
    <w:p w14:paraId="23F3674A" w14:textId="77777777" w:rsidR="00FF2197" w:rsidRPr="0069164A" w:rsidRDefault="00876342">
      <w:pPr>
        <w:pBdr>
          <w:bottom w:val="single" w:sz="6" w:space="4" w:color="2C5282"/>
        </w:pBdr>
        <w:spacing w:before="360" w:after="160"/>
        <w:rPr>
          <w:color w:val="3A3A3A" w:themeColor="background2" w:themeShade="40"/>
        </w:rPr>
      </w:pPr>
      <w:r>
        <w:rPr>
          <w:b/>
          <w:bCs/>
          <w:color w:val="3A3A3A" w:themeColor="background2" w:themeShade="40"/>
          <w:sz w:val="28"/>
          <w:szCs w:val="28"/>
        </w:rPr>
        <w:lastRenderedPageBreak/>
        <w:t>1.  Introduction</w:t>
      </w:r>
    </w:p>
    <w:p w14:paraId="4BCE4EAF" w14:textId="77A17833" w:rsidR="00FF2197" w:rsidRPr="00112C06" w:rsidRDefault="00876342">
      <w:pPr>
        <w:spacing w:after="160"/>
        <w:jc w:val="both"/>
      </w:pPr>
      <w:r>
        <w:rPr>
          <w:color w:val="000000"/>
        </w:rPr>
        <w:t>This report is submitted to the UN Committee on the Rights of the Child (the Committee) by IM VALID Immigrant Mothers Victims of Abuse Living in Denmark in advance of Denmark's review at the 101st session in May 2026. IM VALID is a national network of foreign-national and migrant mothers who have experienced domestic violence in Denmark and have encountered systemic failures in Danish family law, child protection, and immigration proceedings.</w:t>
      </w:r>
    </w:p>
    <w:p w14:paraId="44AD7062" w14:textId="77777777" w:rsidR="00FF2197" w:rsidRPr="00112C06" w:rsidRDefault="00876342">
      <w:pPr>
        <w:spacing w:after="80"/>
        <w:jc w:val="both"/>
      </w:pPr>
      <w:r>
        <w:rPr>
          <w:color w:val="000000"/>
        </w:rPr>
        <w:t>This submission concerns the protection of children in Danish family law and child protection proceedings involving domestic violence and coercive control, with specific focus on cases where the protective parent is a foreign-national or migrant mother. The report documents a systemic pattern in which:</w:t>
      </w:r>
    </w:p>
    <w:p w14:paraId="4CBD2D27" w14:textId="77777777" w:rsidR="00FF2197" w:rsidRPr="00112C06" w:rsidRDefault="00876342">
      <w:pPr>
        <w:pStyle w:val="ListParagraph"/>
        <w:numPr>
          <w:ilvl w:val="0"/>
          <w:numId w:val="2"/>
        </w:numPr>
        <w:spacing w:before="40" w:after="40"/>
        <w:jc w:val="both"/>
      </w:pPr>
      <w:r>
        <w:rPr>
          <w:color w:val="000000"/>
        </w:rPr>
        <w:t>Violence against foreign-national mothers is treated as a parental conflict rather than as a child protection matter;</w:t>
      </w:r>
    </w:p>
    <w:p w14:paraId="107A0AEF" w14:textId="77777777" w:rsidR="00FF2197" w:rsidRPr="00112C06" w:rsidRDefault="00876342">
      <w:pPr>
        <w:pStyle w:val="ListParagraph"/>
        <w:numPr>
          <w:ilvl w:val="0"/>
          <w:numId w:val="2"/>
        </w:numPr>
        <w:spacing w:before="40" w:after="40"/>
        <w:jc w:val="both"/>
      </w:pPr>
      <w:r>
        <w:rPr>
          <w:color w:val="000000"/>
        </w:rPr>
        <w:t>The nationality, immigration status, and language barriers of the foreign-national mother function as structural disadvantages at every stage of legal proceedings;</w:t>
      </w:r>
    </w:p>
    <w:p w14:paraId="35023D87" w14:textId="77777777" w:rsidR="00FF2197" w:rsidRPr="00112C06" w:rsidRDefault="00876342">
      <w:pPr>
        <w:pStyle w:val="ListParagraph"/>
        <w:numPr>
          <w:ilvl w:val="0"/>
          <w:numId w:val="2"/>
        </w:numPr>
        <w:spacing w:before="40" w:after="40"/>
        <w:jc w:val="both"/>
      </w:pPr>
      <w:r>
        <w:rPr>
          <w:color w:val="000000"/>
        </w:rPr>
        <w:t>The best interests of the child, as required by Article 3 CRC, are formally cited but substantively subordinated to a presumption of contact with the Danish-national perpetrating parent;</w:t>
      </w:r>
    </w:p>
    <w:p w14:paraId="31FF418E" w14:textId="77777777" w:rsidR="00FF2197" w:rsidRPr="00112C06" w:rsidRDefault="00876342">
      <w:pPr>
        <w:pStyle w:val="ListParagraph"/>
        <w:numPr>
          <w:ilvl w:val="0"/>
          <w:numId w:val="2"/>
        </w:numPr>
        <w:spacing w:before="40" w:after="40"/>
        <w:jc w:val="both"/>
      </w:pPr>
      <w:r>
        <w:rPr>
          <w:color w:val="000000"/>
        </w:rPr>
        <w:t>Children who witness or are exposed to domestic violence are not classified as victims of violence under Danish law, and receive no independent child protection response.</w:t>
      </w:r>
    </w:p>
    <w:p w14:paraId="2882B270" w14:textId="77777777" w:rsidR="00FF2197" w:rsidRPr="00112C06" w:rsidRDefault="00876342">
      <w:pPr>
        <w:spacing w:before="120" w:after="160"/>
        <w:jc w:val="both"/>
      </w:pPr>
      <w:r>
        <w:rPr>
          <w:color w:val="000000"/>
        </w:rPr>
        <w:t>The findings presented are based on documented cases within the IM VALID network, corroborated by findings of the Council of Europe GREVIO monitoring body (2017 and 2024), the European Parliament Committee on Petitions (2013), the 2024 EU Gender-Based Violence Survey the most comprehensive EU-wide prevalence study ever conducted and the 2005 Børnerådet supplementary report to this Committee.</w:t>
      </w:r>
    </w:p>
    <w:p w14:paraId="390441F6" w14:textId="77777777" w:rsidR="00FF2197" w:rsidRPr="00112C06" w:rsidRDefault="00876342">
      <w:pPr>
        <w:spacing w:after="160"/>
        <w:jc w:val="both"/>
      </w:pPr>
      <w:r>
        <w:rPr>
          <w:color w:val="000000"/>
        </w:rPr>
        <w:t>This report addresses Denmark's obligations under Articles 2, 3, 8, 9, 11, 12, 19, 24, 34, and 39 of the Convention on the Rights of the Child. It should be read alongside other alternative reports submitted for Denmark's 2026 review. The Committee is respectfully informed that survivors within the IM VALID network have filed petitions before the European Court of Human Rights and the Inter-American Commission on Human Rights, and that those cases have been accepted for review by both bodies.</w:t>
      </w:r>
    </w:p>
    <w:p w14:paraId="73635AF2" w14:textId="77777777" w:rsidR="00FF2197" w:rsidRPr="0069164A" w:rsidRDefault="00876342">
      <w:pPr>
        <w:pBdr>
          <w:bottom w:val="single" w:sz="6" w:space="4" w:color="2C5282"/>
        </w:pBdr>
        <w:spacing w:before="360" w:after="160"/>
        <w:rPr>
          <w:color w:val="3A3A3A" w:themeColor="background2" w:themeShade="40"/>
        </w:rPr>
      </w:pPr>
      <w:r>
        <w:rPr>
          <w:b/>
          <w:bCs/>
          <w:color w:val="3A3A3A" w:themeColor="background2" w:themeShade="40"/>
          <w:sz w:val="28"/>
          <w:szCs w:val="28"/>
        </w:rPr>
        <w:t>2.  International Context: A Pattern Denmark Has Failed to Address</w:t>
      </w:r>
    </w:p>
    <w:p w14:paraId="45A4FB49" w14:textId="77777777" w:rsidR="00FF2197" w:rsidRPr="00112C06" w:rsidRDefault="00876342">
      <w:pPr>
        <w:spacing w:after="160"/>
        <w:jc w:val="both"/>
      </w:pPr>
      <w:r>
        <w:rPr>
          <w:color w:val="000000"/>
        </w:rPr>
        <w:t>The structural failures documented in this report are not new findings. They have been identified and formally documented by international bodies over more than a decade. Denmark has failed to implement the recommendations issued.</w:t>
      </w:r>
    </w:p>
    <w:p w14:paraId="654905A5" w14:textId="77777777" w:rsidR="00FF2197" w:rsidRPr="00112C06" w:rsidRDefault="00876342">
      <w:pPr>
        <w:spacing w:before="280" w:after="120"/>
      </w:pPr>
      <w:r>
        <w:rPr>
          <w:b/>
          <w:bCs/>
          <w:color w:val="000000"/>
          <w:sz w:val="24"/>
          <w:szCs w:val="24"/>
        </w:rPr>
        <w:t>2.1  European Parliament, Committee on Petitions (2013)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65C5DF52" w14:textId="77777777">
        <w:tc>
          <w:tcPr>
            <w:tcW w:w="9026" w:type="dxa"/>
            <w:tcBorders>
              <w:left w:val="single" w:sz="12" w:space="0" w:color="2C5282"/>
            </w:tcBorders>
            <w:shd w:val="clear" w:color="auto" w:fill="F7F9FC"/>
            <w:tcMar>
              <w:top w:w="120" w:type="dxa"/>
              <w:left w:w="240" w:type="dxa"/>
              <w:bottom w:w="120" w:type="dxa"/>
              <w:right w:w="200" w:type="dxa"/>
            </w:tcMar>
          </w:tcPr>
          <w:p w14:paraId="3D6A7AE2" w14:textId="77777777" w:rsidR="00FF2197" w:rsidRPr="0069164A" w:rsidRDefault="00876342">
            <w:pPr>
              <w:spacing w:before="40" w:after="60"/>
              <w:jc w:val="both"/>
              <w:rPr>
                <w:rFonts w:ascii="Roboto" w:hAnsi="Roboto"/>
              </w:rPr>
            </w:pPr>
            <w:r>
              <w:rPr>
                <w:rFonts w:ascii="Roboto" w:hAnsi="Roboto"/>
                <w:b/>
                <w:bCs/>
                <w:color w:val="000000"/>
                <w:sz w:val="20"/>
                <w:szCs w:val="20"/>
              </w:rPr>
              <w:t>European Parliament, Committee on Petitions — Fact-Finding Visit to Denmark, 20–21 June 2013</w:t>
            </w:r>
          </w:p>
          <w:p w14:paraId="38F9182D" w14:textId="77777777" w:rsidR="00FF2197" w:rsidRPr="00D01479" w:rsidRDefault="00876342">
            <w:pPr>
              <w:spacing w:before="40" w:after="60"/>
              <w:jc w:val="both"/>
            </w:pPr>
            <w:r>
              <w:rPr>
                <w:color w:val="000000"/>
                <w:sz w:val="20"/>
                <w:szCs w:val="20"/>
              </w:rPr>
              <w:t>The Committee urged Denmark to: guarantee equal treatment of Danish and foreign parents and children; establish independent review mechanisms in cases involving violence and abuse; review custody and contact practices to ensure compliance with human rights obligations; and improve coordination between authorities and international cooperation.</w:t>
            </w:r>
          </w:p>
          <w:p w14:paraId="47215BA7" w14:textId="77777777" w:rsidR="00FF2197" w:rsidRPr="00112C06" w:rsidRDefault="00876342">
            <w:pPr>
              <w:spacing w:before="40" w:after="60"/>
              <w:jc w:val="both"/>
            </w:pPr>
            <w:r>
              <w:rPr>
                <w:rFonts w:ascii="Roboto" w:hAnsi="Roboto"/>
                <w:b/>
                <w:bCs/>
                <w:color w:val="000000"/>
                <w:sz w:val="20"/>
                <w:szCs w:val="20"/>
              </w:rPr>
              <w:t>None of these recommendations were implemented by the Danish state</w:t>
            </w:r>
            <w:r>
              <w:rPr>
                <w:b/>
                <w:bCs/>
                <w:color w:val="000000"/>
                <w:sz w:val="20"/>
                <w:szCs w:val="20"/>
              </w:rPr>
              <w:t>.</w:t>
            </w:r>
          </w:p>
        </w:tc>
      </w:tr>
    </w:tbl>
    <w:p w14:paraId="73153BD4" w14:textId="77777777" w:rsidR="00FF2197" w:rsidRPr="0069164A" w:rsidRDefault="00876342">
      <w:pPr>
        <w:spacing w:before="280" w:after="120"/>
        <w:rPr>
          <w:color w:val="3A3A3A" w:themeColor="background2" w:themeShade="40"/>
        </w:rPr>
      </w:pPr>
      <w:r>
        <w:rPr>
          <w:b/>
          <w:bCs/>
          <w:color w:val="3A3A3A" w:themeColor="background2" w:themeShade="40"/>
          <w:sz w:val="24"/>
          <w:szCs w:val="24"/>
        </w:rPr>
        <w:t>2.2  GREVIO Baseline Report (2017)</w:t>
      </w:r>
    </w:p>
    <w:p w14:paraId="10A53B90" w14:textId="77777777" w:rsidR="00FF2197" w:rsidRPr="00112C06" w:rsidRDefault="00876342">
      <w:pPr>
        <w:spacing w:before="80" w:after="160"/>
        <w:jc w:val="both"/>
      </w:pPr>
      <w:r>
        <w:rPr>
          <w:color w:val="000000"/>
        </w:rPr>
        <w:lastRenderedPageBreak/>
        <w:t>The Council of Europe GREVIO monitoring body, in its 2017 Baseline Evaluation Report on Denmark, found structural failures directly relevant to this submission:</w:t>
      </w:r>
    </w:p>
    <w:p w14:paraId="2DEACD6B" w14:textId="77777777" w:rsidR="00FF2197" w:rsidRPr="00112C06" w:rsidRDefault="00876342">
      <w:pPr>
        <w:pStyle w:val="ListParagraph"/>
        <w:numPr>
          <w:ilvl w:val="0"/>
          <w:numId w:val="2"/>
        </w:numPr>
        <w:spacing w:before="40" w:after="40"/>
        <w:jc w:val="both"/>
      </w:pPr>
      <w:r>
        <w:rPr>
          <w:color w:val="000000"/>
        </w:rPr>
        <w:t>Domestic violence was not systematically taken into account in custody and visitation decisions, contrary to Article 31(1) of the Istanbul Convention;</w:t>
      </w:r>
    </w:p>
    <w:p w14:paraId="23D74E00" w14:textId="77777777" w:rsidR="00FF2197" w:rsidRPr="00112C06" w:rsidRDefault="00876342">
      <w:pPr>
        <w:pStyle w:val="ListParagraph"/>
        <w:numPr>
          <w:ilvl w:val="0"/>
          <w:numId w:val="2"/>
        </w:numPr>
        <w:spacing w:before="40" w:after="40"/>
        <w:jc w:val="both"/>
      </w:pPr>
      <w:r>
        <w:rPr>
          <w:color w:val="000000"/>
        </w:rPr>
        <w:t>Enforcement decisions were made without examining why a protective parent refused handover — mothers were effectively punished for attempting to protect children from violence;</w:t>
      </w:r>
    </w:p>
    <w:p w14:paraId="15D81E75" w14:textId="77777777" w:rsidR="00FF2197" w:rsidRPr="00112C06" w:rsidRDefault="00876342">
      <w:pPr>
        <w:pStyle w:val="ListParagraph"/>
        <w:numPr>
          <w:ilvl w:val="0"/>
          <w:numId w:val="2"/>
        </w:numPr>
        <w:spacing w:before="40" w:after="40"/>
        <w:jc w:val="both"/>
      </w:pPr>
      <w:r>
        <w:rPr>
          <w:color w:val="000000"/>
        </w:rPr>
        <w:t>Mothers raising violence concerns were classified as 'uncooperative' and unfit parents;</w:t>
      </w:r>
    </w:p>
    <w:p w14:paraId="1F153AC9" w14:textId="77777777" w:rsidR="00FF2197" w:rsidRPr="00112C06" w:rsidRDefault="00876342">
      <w:pPr>
        <w:pStyle w:val="ListParagraph"/>
        <w:numPr>
          <w:ilvl w:val="0"/>
          <w:numId w:val="2"/>
        </w:numPr>
        <w:spacing w:before="40" w:after="40"/>
        <w:jc w:val="both"/>
      </w:pPr>
      <w:r>
        <w:rPr>
          <w:color w:val="000000"/>
        </w:rPr>
        <w:t>No systematic screening for violence or risk assessment existed prior to custody and visitation decisions;</w:t>
      </w:r>
    </w:p>
    <w:p w14:paraId="0C7CE10D" w14:textId="7CF5F73C" w:rsidR="00FF2197" w:rsidRPr="00112C06" w:rsidRDefault="00876342">
      <w:pPr>
        <w:pStyle w:val="ListParagraph"/>
        <w:numPr>
          <w:ilvl w:val="0"/>
          <w:numId w:val="2"/>
        </w:numPr>
        <w:spacing w:before="40" w:after="40"/>
        <w:jc w:val="both"/>
      </w:pPr>
      <w:r>
        <w:rPr>
          <w:color w:val="000000"/>
        </w:rPr>
        <w:t>Children witnessing violence were recognized as equally affected as direct victims a standard Denmark's family law system did not reflect.</w:t>
      </w:r>
    </w:p>
    <w:p w14:paraId="2DD273C2" w14:textId="77777777" w:rsidR="00FF2197" w:rsidRPr="0069164A" w:rsidRDefault="00876342">
      <w:pPr>
        <w:spacing w:before="280" w:after="120"/>
        <w:rPr>
          <w:color w:val="3A3A3A" w:themeColor="background2" w:themeShade="40"/>
        </w:rPr>
      </w:pPr>
      <w:r>
        <w:rPr>
          <w:b/>
          <w:bCs/>
          <w:color w:val="3A3A3A" w:themeColor="background2" w:themeShade="40"/>
          <w:sz w:val="24"/>
          <w:szCs w:val="24"/>
        </w:rPr>
        <w:t>2.3  GREVIO Thematic Evaluation (2024)</w:t>
      </w:r>
    </w:p>
    <w:p w14:paraId="7DAFB09D" w14:textId="77777777" w:rsidR="00FF2197" w:rsidRPr="00112C06" w:rsidRDefault="00876342">
      <w:pPr>
        <w:spacing w:before="80" w:after="160"/>
        <w:jc w:val="both"/>
      </w:pPr>
      <w:r>
        <w:rPr>
          <w:color w:val="000000"/>
        </w:rPr>
        <w:t>Seven years after the Baseline Report, GREVIO's 2024 Thematic Evaluation found that the same structural problems persist:</w:t>
      </w:r>
    </w:p>
    <w:p w14:paraId="581780C1" w14:textId="77777777" w:rsidR="00FF2197" w:rsidRPr="00112C06" w:rsidRDefault="00876342">
      <w:pPr>
        <w:pStyle w:val="ListParagraph"/>
        <w:numPr>
          <w:ilvl w:val="0"/>
          <w:numId w:val="2"/>
        </w:numPr>
        <w:spacing w:before="40" w:after="40"/>
        <w:jc w:val="both"/>
      </w:pPr>
      <w:r>
        <w:rPr>
          <w:color w:val="000000"/>
        </w:rPr>
        <w:t>Authorities still fail to properly assess violence in custody decisions; violence is considered only if a criminal conviction exists;</w:t>
      </w:r>
    </w:p>
    <w:p w14:paraId="18B3408F" w14:textId="77777777" w:rsidR="00FF2197" w:rsidRPr="00112C06" w:rsidRDefault="00876342">
      <w:pPr>
        <w:pStyle w:val="ListParagraph"/>
        <w:numPr>
          <w:ilvl w:val="0"/>
          <w:numId w:val="2"/>
        </w:numPr>
        <w:spacing w:before="40" w:after="40"/>
        <w:jc w:val="both"/>
      </w:pPr>
      <w:r>
        <w:rPr>
          <w:color w:val="000000"/>
        </w:rPr>
        <w:t>The system places 'undue emphasis on parental collaboration' even in domestic violence cases;</w:t>
      </w:r>
    </w:p>
    <w:p w14:paraId="2FC07CA0" w14:textId="77777777" w:rsidR="00FF2197" w:rsidRPr="00112C06" w:rsidRDefault="00876342">
      <w:pPr>
        <w:pStyle w:val="ListParagraph"/>
        <w:numPr>
          <w:ilvl w:val="0"/>
          <w:numId w:val="2"/>
        </w:numPr>
        <w:spacing w:before="40" w:after="40"/>
        <w:jc w:val="both"/>
      </w:pPr>
      <w:r>
        <w:rPr>
          <w:color w:val="000000"/>
        </w:rPr>
        <w:t>Violence allegations are increasingly discredited as 'manipulation' or 'collaborative harassment';</w:t>
      </w:r>
    </w:p>
    <w:p w14:paraId="0679D554" w14:textId="77777777" w:rsidR="00FF2197" w:rsidRPr="00112C06" w:rsidRDefault="00876342">
      <w:pPr>
        <w:pStyle w:val="ListParagraph"/>
        <w:numPr>
          <w:ilvl w:val="0"/>
          <w:numId w:val="2"/>
        </w:numPr>
        <w:spacing w:before="40" w:after="40"/>
        <w:jc w:val="both"/>
      </w:pPr>
      <w:r>
        <w:rPr>
          <w:color w:val="000000"/>
        </w:rPr>
        <w:t>Denmark codified a form of 'parental alienation' reasoning into law the day after GREVIO explicitly advised against doing so;</w:t>
      </w:r>
    </w:p>
    <w:p w14:paraId="0AF9AAC5" w14:textId="77777777" w:rsidR="00FF2197" w:rsidRPr="00112C06" w:rsidRDefault="00876342">
      <w:pPr>
        <w:pStyle w:val="ListParagraph"/>
        <w:numPr>
          <w:ilvl w:val="0"/>
          <w:numId w:val="2"/>
        </w:numPr>
        <w:spacing w:before="40" w:after="40"/>
        <w:jc w:val="both"/>
      </w:pPr>
      <w:r>
        <w:rPr>
          <w:color w:val="000000"/>
        </w:rPr>
        <w:t>Family law professionals, judges, and child experts lack training in domestic violence and coercive control;</w:t>
      </w:r>
    </w:p>
    <w:p w14:paraId="27190456" w14:textId="30A5C470" w:rsidR="00FF2197" w:rsidRPr="00112C06" w:rsidRDefault="00876342">
      <w:pPr>
        <w:pStyle w:val="ListParagraph"/>
        <w:numPr>
          <w:ilvl w:val="0"/>
          <w:numId w:val="2"/>
        </w:numPr>
        <w:spacing w:before="40" w:after="40"/>
        <w:jc w:val="both"/>
      </w:pPr>
      <w:r>
        <w:rPr>
          <w:color w:val="000000"/>
        </w:rPr>
        <w:t>The system demonstrates ‘systemic distrust of victims’ — not merely failure to protect, but active epistemic dismissal of women’s and children’s accounts of violence.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681911F3" w14:textId="77777777">
        <w:tc>
          <w:tcPr>
            <w:tcW w:w="9026" w:type="dxa"/>
            <w:tcBorders>
              <w:left w:val="single" w:sz="12" w:space="0" w:color="2C5282"/>
            </w:tcBorders>
            <w:shd w:val="clear" w:color="auto" w:fill="F7F9FC"/>
            <w:tcMar>
              <w:top w:w="120" w:type="dxa"/>
              <w:left w:w="240" w:type="dxa"/>
              <w:bottom w:w="120" w:type="dxa"/>
              <w:right w:w="200" w:type="dxa"/>
            </w:tcMar>
          </w:tcPr>
          <w:p w14:paraId="05C816A3" w14:textId="77777777" w:rsidR="00FF2197" w:rsidRPr="00112C06" w:rsidRDefault="00876342">
            <w:pPr>
              <w:spacing w:before="40" w:after="60"/>
              <w:jc w:val="both"/>
            </w:pPr>
            <w:r>
              <w:rPr>
                <w:i/>
                <w:iCs/>
                <w:color w:val="000000"/>
                <w:sz w:val="20"/>
                <w:szCs w:val="20"/>
              </w:rPr>
              <w:t>GREVIO conclusion (2024): Despite reforms, the Danish system still fails to ensure safety in custody and visitation cases, due to lack of risk assessment, continued prioritisation of parental cooperation, and systemic discrediting of violence claims.</w:t>
            </w:r>
          </w:p>
        </w:tc>
      </w:tr>
    </w:tbl>
    <w:p w14:paraId="24D293F6" w14:textId="77777777" w:rsidR="00FF2197" w:rsidRPr="00112C06" w:rsidRDefault="00876342">
      <w:pPr>
        <w:spacing w:before="80" w:after="160"/>
        <w:jc w:val="both"/>
      </w:pPr>
      <w:r>
        <w:rPr>
          <w:color w:val="000000"/>
        </w:rPr>
        <w:t>IM VALID's case documentation shows that these systemic failures fall with particular and compounded severity on foreign-national and migrant mothers. The existing structural failure is amplified by language barriers, immigration precarity, cultural isolation, and the explicit use of immigration status as a credibility factor against the protective mother.</w:t>
      </w:r>
    </w:p>
    <w:p w14:paraId="3D83016F" w14:textId="77777777" w:rsidR="00FF2197" w:rsidRPr="0069164A" w:rsidRDefault="00876342">
      <w:pPr>
        <w:spacing w:before="280" w:after="120"/>
        <w:rPr>
          <w:color w:val="3A3A3A" w:themeColor="background2" w:themeShade="40"/>
        </w:rPr>
      </w:pPr>
      <w:r>
        <w:rPr>
          <w:b/>
          <w:bCs/>
          <w:color w:val="3A3A3A" w:themeColor="background2" w:themeShade="40"/>
          <w:sz w:val="24"/>
          <w:szCs w:val="24"/>
        </w:rPr>
        <w:t>2.4  EU Gender-Based Violence Survey (2024): Denmark Cannot Claim Ignorance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01643D47" w14:textId="77777777">
        <w:tc>
          <w:tcPr>
            <w:tcW w:w="9026" w:type="dxa"/>
            <w:tcBorders>
              <w:left w:val="single" w:sz="12" w:space="0" w:color="BA7517"/>
            </w:tcBorders>
            <w:shd w:val="clear" w:color="auto" w:fill="FFFBF0"/>
            <w:tcMar>
              <w:top w:w="140" w:type="dxa"/>
              <w:left w:w="240" w:type="dxa"/>
              <w:bottom w:w="140" w:type="dxa"/>
              <w:right w:w="200" w:type="dxa"/>
            </w:tcMar>
          </w:tcPr>
          <w:p w14:paraId="65DADA96" w14:textId="77777777" w:rsidR="00FF2197" w:rsidRPr="0069164A" w:rsidRDefault="00876342">
            <w:pPr>
              <w:spacing w:after="80"/>
              <w:rPr>
                <w:rFonts w:ascii="Roboto" w:hAnsi="Roboto"/>
                <w:sz w:val="20"/>
                <w:szCs w:val="20"/>
              </w:rPr>
            </w:pPr>
            <w:r>
              <w:rPr>
                <w:rFonts w:ascii="Roboto" w:hAnsi="Roboto"/>
                <w:b/>
                <w:bCs/>
                <w:color w:val="7B5E00"/>
                <w:sz w:val="20"/>
                <w:szCs w:val="20"/>
              </w:rPr>
              <w:t>Critical statistical finding</w:t>
            </w:r>
          </w:p>
          <w:p w14:paraId="18008F7A" w14:textId="77777777" w:rsidR="00FF2197" w:rsidRPr="00D01479" w:rsidRDefault="00876342">
            <w:pPr>
              <w:spacing w:after="60"/>
              <w:jc w:val="both"/>
              <w:rPr>
                <w:sz w:val="20"/>
                <w:szCs w:val="20"/>
              </w:rPr>
            </w:pPr>
            <w:r>
              <w:rPr>
                <w:color w:val="000000"/>
                <w:sz w:val="20"/>
                <w:szCs w:val="20"/>
              </w:rPr>
              <w:t>The EU Gender-Based Violence Survey (Eurostat / FRA / EIGE, 2024) the most comprehensive EU-wide prevalence study ever conducted, covering 114,023 women across all 27 Member States establishes that Denmark has one of the highest rates of violence against women in the entire European Union. This finding coexists directly with Denmark's ratification of the Istanbul Convention, the CRC, the ICCPR, and CEDAW. Fewer than 14% of incidents are ever reported to police, meaning the visible figures are a structural u</w:t>
            </w:r>
            <w:r>
              <w:rPr>
                <w:color w:val="000000"/>
                <w:sz w:val="20"/>
                <w:szCs w:val="20"/>
              </w:rPr>
              <w:t>ndercount.</w:t>
            </w:r>
          </w:p>
          <w:p w14:paraId="688CECC5" w14:textId="77777777" w:rsidR="00FF2197" w:rsidRPr="0069164A" w:rsidRDefault="00876342">
            <w:pPr>
              <w:spacing w:after="60"/>
              <w:jc w:val="both"/>
              <w:rPr>
                <w:rFonts w:ascii="Roboto" w:hAnsi="Roboto"/>
                <w:sz w:val="18"/>
                <w:szCs w:val="18"/>
              </w:rPr>
            </w:pPr>
            <w:r>
              <w:rPr>
                <w:color w:val="000000"/>
                <w:sz w:val="20"/>
                <w:szCs w:val="20"/>
              </w:rPr>
              <w:t>Source: FRA, EIGE, Eurostat (2024). EU Gender-Based Violence Survey Key Results. Publications Office of the EU, Luxembourg.</w:t>
            </w:r>
          </w:p>
        </w:tc>
      </w:tr>
    </w:tbl>
    <w:p w14:paraId="7D8F7BFF" w14:textId="77777777" w:rsidR="00FF2197" w:rsidRPr="00112C06" w:rsidRDefault="00FF2197">
      <w:pPr>
        <w:spacing w:after="80"/>
      </w:pPr>
    </w:p>
    <w:p w14:paraId="0494D01D" w14:textId="77777777" w:rsidR="00FF2197" w:rsidRPr="00112C06" w:rsidRDefault="00876342">
      <w:pPr>
        <w:spacing w:before="80" w:after="160"/>
        <w:jc w:val="both"/>
      </w:pPr>
      <w:r>
        <w:rPr>
          <w:color w:val="000000"/>
        </w:rPr>
        <w:lastRenderedPageBreak/>
        <w:t>The table below presents Denmark's recorded rates against the EU-27 average. Denmark ranks among the three highest Member States in the European Union for overall violence prevalence.</w:t>
      </w:r>
    </w:p>
    <w:p w14:paraId="5C00ABE5" w14:textId="77777777" w:rsidR="00FF2197" w:rsidRPr="00112C06" w:rsidRDefault="00FF2197">
      <w:pPr>
        <w:spacing w:after="80"/>
      </w:pPr>
    </w:p>
    <w:tbl>
      <w:tblPr>
        <w:tblStyle w:val="PlainTable3"/>
        <w:tblW w:w="9026" w:type="dxa"/>
        <w:tblLook w:val="0000" w:firstRow="0" w:lastRow="0" w:firstColumn="0" w:lastColumn="0" w:noHBand="0" w:noVBand="0"/>
      </w:tblPr>
      <w:tblGrid>
        <w:gridCol w:w="4200"/>
        <w:gridCol w:w="2413"/>
        <w:gridCol w:w="2413"/>
      </w:tblGrid>
      <w:tr w:rsidR="00FF2197" w:rsidRPr="00112C06" w14:paraId="42AB3C60" w14:textId="77777777" w:rsidTr="0069164A">
        <w:trPr>
          <w:cnfStyle w:val="000000100000" w:firstRow="0" w:lastRow="0" w:firstColumn="0" w:lastColumn="0" w:oddVBand="0" w:evenVBand="0" w:oddHBand="1" w:evenHBand="0" w:firstRowFirstColumn="0" w:firstRowLastColumn="0" w:lastRowFirstColumn="0" w:lastRowLastColumn="0"/>
          <w:trHeight w:val="486"/>
        </w:trPr>
        <w:tc>
          <w:tcPr>
            <w:cnfStyle w:val="000010000000" w:firstRow="0" w:lastRow="0" w:firstColumn="0" w:lastColumn="0" w:oddVBand="1" w:evenVBand="0" w:oddHBand="0" w:evenHBand="0" w:firstRowFirstColumn="0" w:firstRowLastColumn="0" w:lastRowFirstColumn="0" w:lastRowLastColumn="0"/>
            <w:tcW w:w="4200" w:type="dxa"/>
          </w:tcPr>
          <w:p w14:paraId="20CF5559" w14:textId="77777777" w:rsidR="00FF2197" w:rsidRPr="0069164A" w:rsidRDefault="00876342" w:rsidP="0069164A">
            <w:pPr>
              <w:rPr>
                <w:rFonts w:ascii="Roboto" w:hAnsi="Roboto"/>
                <w:color w:val="3A3A3A" w:themeColor="background2" w:themeShade="40"/>
                <w:sz w:val="24"/>
                <w:szCs w:val="24"/>
              </w:rPr>
            </w:pPr>
            <w:r>
              <w:rPr>
                <w:rFonts w:ascii="Roboto" w:hAnsi="Roboto"/>
                <w:b/>
                <w:bCs/>
                <w:color w:val="3A3A3A" w:themeColor="background2" w:themeShade="40"/>
                <w:sz w:val="24"/>
                <w:szCs w:val="24"/>
              </w:rPr>
              <w:t>Indicator</w:t>
            </w:r>
          </w:p>
        </w:tc>
        <w:tc>
          <w:tcPr>
            <w:tcW w:w="2413" w:type="dxa"/>
          </w:tcPr>
          <w:p w14:paraId="4D09F30D" w14:textId="77777777" w:rsidR="00FF2197" w:rsidRPr="0069164A" w:rsidRDefault="00876342" w:rsidP="0069164A">
            <w:pPr>
              <w:cnfStyle w:val="000000100000" w:firstRow="0" w:lastRow="0" w:firstColumn="0" w:lastColumn="0" w:oddVBand="0" w:evenVBand="0" w:oddHBand="1" w:evenHBand="0" w:firstRowFirstColumn="0" w:firstRowLastColumn="0" w:lastRowFirstColumn="0" w:lastRowLastColumn="0"/>
              <w:rPr>
                <w:rFonts w:ascii="Roboto" w:hAnsi="Roboto"/>
                <w:color w:val="3A3A3A" w:themeColor="background2" w:themeShade="40"/>
                <w:sz w:val="24"/>
                <w:szCs w:val="24"/>
              </w:rPr>
            </w:pPr>
            <w:r>
              <w:rPr>
                <w:rFonts w:ascii="Roboto" w:hAnsi="Roboto"/>
                <w:b/>
                <w:bCs/>
                <w:color w:val="3A3A3A" w:themeColor="background2" w:themeShade="40"/>
                <w:sz w:val="24"/>
                <w:szCs w:val="24"/>
              </w:rPr>
              <w:t>Denmark</w:t>
            </w:r>
          </w:p>
        </w:tc>
        <w:tc>
          <w:tcPr>
            <w:cnfStyle w:val="000010000000" w:firstRow="0" w:lastRow="0" w:firstColumn="0" w:lastColumn="0" w:oddVBand="1" w:evenVBand="0" w:oddHBand="0" w:evenHBand="0" w:firstRowFirstColumn="0" w:firstRowLastColumn="0" w:lastRowFirstColumn="0" w:lastRowLastColumn="0"/>
            <w:tcW w:w="2413" w:type="dxa"/>
          </w:tcPr>
          <w:p w14:paraId="11BE0AA6" w14:textId="77777777" w:rsidR="00FF2197" w:rsidRPr="0069164A" w:rsidRDefault="00876342" w:rsidP="0069164A">
            <w:pPr>
              <w:rPr>
                <w:rFonts w:ascii="Roboto" w:hAnsi="Roboto"/>
                <w:color w:val="3A3A3A" w:themeColor="background2" w:themeShade="40"/>
                <w:sz w:val="24"/>
                <w:szCs w:val="24"/>
              </w:rPr>
            </w:pPr>
            <w:r>
              <w:rPr>
                <w:rFonts w:ascii="Roboto" w:hAnsi="Roboto"/>
                <w:b/>
                <w:bCs/>
                <w:color w:val="3A3A3A" w:themeColor="background2" w:themeShade="40"/>
                <w:sz w:val="24"/>
                <w:szCs w:val="24"/>
              </w:rPr>
              <w:t>EU-27 average</w:t>
            </w:r>
          </w:p>
        </w:tc>
      </w:tr>
      <w:tr w:rsidR="00FF2197" w:rsidRPr="00112C06" w14:paraId="1508B774" w14:textId="77777777" w:rsidTr="0069164A">
        <w:trPr>
          <w:trHeight w:val="441"/>
        </w:trPr>
        <w:tc>
          <w:tcPr>
            <w:cnfStyle w:val="000010000000" w:firstRow="0" w:lastRow="0" w:firstColumn="0" w:lastColumn="0" w:oddVBand="1" w:evenVBand="0" w:oddHBand="0" w:evenHBand="0" w:firstRowFirstColumn="0" w:firstRowLastColumn="0" w:lastRowFirstColumn="0" w:lastRowLastColumn="0"/>
            <w:tcW w:w="4200" w:type="dxa"/>
          </w:tcPr>
          <w:p w14:paraId="3E37FFF3"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Physical or sexual violence — lifetime (any perpetrator)</w:t>
            </w:r>
          </w:p>
        </w:tc>
        <w:tc>
          <w:tcPr>
            <w:tcW w:w="2413" w:type="dxa"/>
          </w:tcPr>
          <w:p w14:paraId="0562D54A" w14:textId="77777777" w:rsidR="00FF2197" w:rsidRPr="00D01479" w:rsidRDefault="00876342" w:rsidP="0069164A">
            <w:pPr>
              <w:cnfStyle w:val="000000000000" w:firstRow="0" w:lastRow="0" w:firstColumn="0" w:lastColumn="0" w:oddVBand="0" w:evenVBand="0" w:oddHBand="0" w:evenHBand="0" w:firstRowFirstColumn="0" w:firstRowLastColumn="0" w:lastRowFirstColumn="0" w:lastRowLastColumn="0"/>
            </w:pPr>
            <w:r>
              <w:rPr>
                <w:color w:val="000000"/>
                <w:sz w:val="20"/>
                <w:szCs w:val="20"/>
              </w:rPr>
              <w:t>47.5%</w:t>
            </w:r>
          </w:p>
        </w:tc>
        <w:tc>
          <w:tcPr>
            <w:cnfStyle w:val="000010000000" w:firstRow="0" w:lastRow="0" w:firstColumn="0" w:lastColumn="0" w:oddVBand="1" w:evenVBand="0" w:oddHBand="0" w:evenHBand="0" w:firstRowFirstColumn="0" w:firstRowLastColumn="0" w:lastRowFirstColumn="0" w:lastRowLastColumn="0"/>
            <w:tcW w:w="2413" w:type="dxa"/>
          </w:tcPr>
          <w:p w14:paraId="3B9D1A5A" w14:textId="77777777" w:rsidR="00FF2197" w:rsidRPr="00D01479" w:rsidRDefault="00876342" w:rsidP="0069164A">
            <w:r>
              <w:rPr>
                <w:color w:val="000000"/>
                <w:sz w:val="20"/>
                <w:szCs w:val="20"/>
              </w:rPr>
              <w:t>30.7%</w:t>
            </w:r>
          </w:p>
        </w:tc>
      </w:tr>
      <w:tr w:rsidR="00FF2197" w:rsidRPr="00112C06" w14:paraId="1B8F556B" w14:textId="77777777" w:rsidTr="0069164A">
        <w:trPr>
          <w:cnfStyle w:val="000000100000" w:firstRow="0" w:lastRow="0" w:firstColumn="0" w:lastColumn="0" w:oddVBand="0" w:evenVBand="0" w:oddHBand="1" w:evenHBand="0" w:firstRowFirstColumn="0" w:firstRowLastColumn="0" w:lastRowFirstColumn="0" w:lastRowLastColumn="0"/>
          <w:trHeight w:val="387"/>
        </w:trPr>
        <w:tc>
          <w:tcPr>
            <w:cnfStyle w:val="000010000000" w:firstRow="0" w:lastRow="0" w:firstColumn="0" w:lastColumn="0" w:oddVBand="1" w:evenVBand="0" w:oddHBand="0" w:evenHBand="0" w:firstRowFirstColumn="0" w:firstRowLastColumn="0" w:lastRowFirstColumn="0" w:lastRowLastColumn="0"/>
            <w:tcW w:w="4200" w:type="dxa"/>
          </w:tcPr>
          <w:p w14:paraId="0A729EEE"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Sexual violence — lifetime prevalence</w:t>
            </w:r>
          </w:p>
        </w:tc>
        <w:tc>
          <w:tcPr>
            <w:tcW w:w="2413" w:type="dxa"/>
          </w:tcPr>
          <w:p w14:paraId="6A47D65E" w14:textId="77777777" w:rsidR="00FF2197" w:rsidRPr="00D01479" w:rsidRDefault="00876342" w:rsidP="0069164A">
            <w:pPr>
              <w:cnfStyle w:val="000000100000" w:firstRow="0" w:lastRow="0" w:firstColumn="0" w:lastColumn="0" w:oddVBand="0" w:evenVBand="0" w:oddHBand="1" w:evenHBand="0" w:firstRowFirstColumn="0" w:firstRowLastColumn="0" w:lastRowFirstColumn="0" w:lastRowLastColumn="0"/>
            </w:pPr>
            <w:r>
              <w:rPr>
                <w:color w:val="000000"/>
                <w:sz w:val="20"/>
                <w:szCs w:val="20"/>
              </w:rPr>
              <w:t>33.3%</w:t>
            </w:r>
          </w:p>
        </w:tc>
        <w:tc>
          <w:tcPr>
            <w:cnfStyle w:val="000010000000" w:firstRow="0" w:lastRow="0" w:firstColumn="0" w:lastColumn="0" w:oddVBand="1" w:evenVBand="0" w:oddHBand="0" w:evenHBand="0" w:firstRowFirstColumn="0" w:firstRowLastColumn="0" w:lastRowFirstColumn="0" w:lastRowLastColumn="0"/>
            <w:tcW w:w="2413" w:type="dxa"/>
          </w:tcPr>
          <w:p w14:paraId="60F7C00B" w14:textId="77777777" w:rsidR="00FF2197" w:rsidRPr="00D01479" w:rsidRDefault="00876342" w:rsidP="0069164A">
            <w:r>
              <w:rPr>
                <w:color w:val="000000"/>
                <w:sz w:val="20"/>
                <w:szCs w:val="20"/>
              </w:rPr>
              <w:t>17.2%</w:t>
            </w:r>
          </w:p>
        </w:tc>
      </w:tr>
      <w:tr w:rsidR="00FF2197" w:rsidRPr="00112C06" w14:paraId="2DA8D0AE" w14:textId="77777777" w:rsidTr="0069164A">
        <w:tc>
          <w:tcPr>
            <w:cnfStyle w:val="000010000000" w:firstRow="0" w:lastRow="0" w:firstColumn="0" w:lastColumn="0" w:oddVBand="1" w:evenVBand="0" w:oddHBand="0" w:evenHBand="0" w:firstRowFirstColumn="0" w:firstRowLastColumn="0" w:lastRowFirstColumn="0" w:lastRowLastColumn="0"/>
            <w:tcW w:w="4200" w:type="dxa"/>
          </w:tcPr>
          <w:p w14:paraId="64CCA12B"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Intimate partner violence — physical/sexual (lifetime)</w:t>
            </w:r>
          </w:p>
        </w:tc>
        <w:tc>
          <w:tcPr>
            <w:tcW w:w="2413" w:type="dxa"/>
          </w:tcPr>
          <w:p w14:paraId="194FCA69" w14:textId="77777777" w:rsidR="00FF2197" w:rsidRPr="00D01479" w:rsidRDefault="00876342" w:rsidP="0069164A">
            <w:pPr>
              <w:cnfStyle w:val="000000000000" w:firstRow="0" w:lastRow="0" w:firstColumn="0" w:lastColumn="0" w:oddVBand="0" w:evenVBand="0" w:oddHBand="0" w:evenHBand="0" w:firstRowFirstColumn="0" w:firstRowLastColumn="0" w:lastRowFirstColumn="0" w:lastRowLastColumn="0"/>
            </w:pPr>
            <w:r>
              <w:rPr>
                <w:color w:val="000000"/>
                <w:sz w:val="20"/>
                <w:szCs w:val="20"/>
              </w:rPr>
              <w:t>25.7%</w:t>
            </w:r>
          </w:p>
        </w:tc>
        <w:tc>
          <w:tcPr>
            <w:cnfStyle w:val="000010000000" w:firstRow="0" w:lastRow="0" w:firstColumn="0" w:lastColumn="0" w:oddVBand="1" w:evenVBand="0" w:oddHBand="0" w:evenHBand="0" w:firstRowFirstColumn="0" w:firstRowLastColumn="0" w:lastRowFirstColumn="0" w:lastRowLastColumn="0"/>
            <w:tcW w:w="2413" w:type="dxa"/>
          </w:tcPr>
          <w:p w14:paraId="2514E52E" w14:textId="77777777" w:rsidR="00FF2197" w:rsidRPr="00D01479" w:rsidRDefault="00876342" w:rsidP="0069164A">
            <w:r>
              <w:rPr>
                <w:color w:val="000000"/>
                <w:sz w:val="20"/>
                <w:szCs w:val="20"/>
              </w:rPr>
              <w:t>17.7%</w:t>
            </w:r>
          </w:p>
        </w:tc>
      </w:tr>
      <w:tr w:rsidR="00FF2197" w:rsidRPr="00112C06" w14:paraId="24E6FFC9" w14:textId="77777777" w:rsidTr="006916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200" w:type="dxa"/>
          </w:tcPr>
          <w:p w14:paraId="405A7B2D"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Intimate partner violence incl. psychological (lifetime)</w:t>
            </w:r>
          </w:p>
        </w:tc>
        <w:tc>
          <w:tcPr>
            <w:tcW w:w="2413" w:type="dxa"/>
          </w:tcPr>
          <w:p w14:paraId="6A3450A0" w14:textId="77777777" w:rsidR="00FF2197" w:rsidRPr="00D01479" w:rsidRDefault="00876342" w:rsidP="0069164A">
            <w:pPr>
              <w:cnfStyle w:val="000000100000" w:firstRow="0" w:lastRow="0" w:firstColumn="0" w:lastColumn="0" w:oddVBand="0" w:evenVBand="0" w:oddHBand="1" w:evenHBand="0" w:firstRowFirstColumn="0" w:firstRowLastColumn="0" w:lastRowFirstColumn="0" w:lastRowLastColumn="0"/>
            </w:pPr>
            <w:r>
              <w:rPr>
                <w:color w:val="000000"/>
                <w:sz w:val="20"/>
                <w:szCs w:val="20"/>
              </w:rPr>
              <w:t>45.0%</w:t>
            </w:r>
          </w:p>
        </w:tc>
        <w:tc>
          <w:tcPr>
            <w:cnfStyle w:val="000010000000" w:firstRow="0" w:lastRow="0" w:firstColumn="0" w:lastColumn="0" w:oddVBand="1" w:evenVBand="0" w:oddHBand="0" w:evenHBand="0" w:firstRowFirstColumn="0" w:firstRowLastColumn="0" w:lastRowFirstColumn="0" w:lastRowLastColumn="0"/>
            <w:tcW w:w="2413" w:type="dxa"/>
          </w:tcPr>
          <w:p w14:paraId="7405FDD0" w14:textId="77777777" w:rsidR="00FF2197" w:rsidRPr="00D01479" w:rsidRDefault="00876342" w:rsidP="0069164A">
            <w:r>
              <w:rPr>
                <w:color w:val="000000"/>
                <w:sz w:val="20"/>
                <w:szCs w:val="20"/>
              </w:rPr>
              <w:t>31.8%</w:t>
            </w:r>
          </w:p>
        </w:tc>
      </w:tr>
      <w:tr w:rsidR="00FF2197" w:rsidRPr="00112C06" w14:paraId="5837DF99" w14:textId="77777777" w:rsidTr="0069164A">
        <w:tc>
          <w:tcPr>
            <w:cnfStyle w:val="000010000000" w:firstRow="0" w:lastRow="0" w:firstColumn="0" w:lastColumn="0" w:oddVBand="1" w:evenVBand="0" w:oddHBand="0" w:evenHBand="0" w:firstRowFirstColumn="0" w:firstRowLastColumn="0" w:lastRowFirstColumn="0" w:lastRowLastColumn="0"/>
            <w:tcW w:w="4200" w:type="dxa"/>
          </w:tcPr>
          <w:p w14:paraId="4CEF9929"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Non-partner sexual/physical violence since age 15</w:t>
            </w:r>
          </w:p>
        </w:tc>
        <w:tc>
          <w:tcPr>
            <w:tcW w:w="2413" w:type="dxa"/>
          </w:tcPr>
          <w:p w14:paraId="1ED39D40" w14:textId="77777777" w:rsidR="00FF2197" w:rsidRPr="00D01479" w:rsidRDefault="00876342" w:rsidP="0069164A">
            <w:pPr>
              <w:cnfStyle w:val="000000000000" w:firstRow="0" w:lastRow="0" w:firstColumn="0" w:lastColumn="0" w:oddVBand="0" w:evenVBand="0" w:oddHBand="0" w:evenHBand="0" w:firstRowFirstColumn="0" w:firstRowLastColumn="0" w:lastRowFirstColumn="0" w:lastRowLastColumn="0"/>
            </w:pPr>
            <w:r>
              <w:rPr>
                <w:color w:val="000000"/>
                <w:sz w:val="20"/>
                <w:szCs w:val="20"/>
              </w:rPr>
              <w:t>38.2%</w:t>
            </w:r>
          </w:p>
        </w:tc>
        <w:tc>
          <w:tcPr>
            <w:cnfStyle w:val="000010000000" w:firstRow="0" w:lastRow="0" w:firstColumn="0" w:lastColumn="0" w:oddVBand="1" w:evenVBand="0" w:oddHBand="0" w:evenHBand="0" w:firstRowFirstColumn="0" w:firstRowLastColumn="0" w:lastRowFirstColumn="0" w:lastRowLastColumn="0"/>
            <w:tcW w:w="2413" w:type="dxa"/>
          </w:tcPr>
          <w:p w14:paraId="3744748C" w14:textId="77777777" w:rsidR="00FF2197" w:rsidRPr="00D01479" w:rsidRDefault="00876342" w:rsidP="0069164A">
            <w:r>
              <w:rPr>
                <w:color w:val="000000"/>
                <w:sz w:val="20"/>
                <w:szCs w:val="20"/>
              </w:rPr>
              <w:t>20.2%</w:t>
            </w:r>
          </w:p>
        </w:tc>
      </w:tr>
      <w:tr w:rsidR="00FF2197" w:rsidRPr="00112C06" w14:paraId="368248F7" w14:textId="77777777" w:rsidTr="0069164A">
        <w:trPr>
          <w:cnfStyle w:val="000000100000" w:firstRow="0" w:lastRow="0" w:firstColumn="0" w:lastColumn="0" w:oddVBand="0" w:evenVBand="0" w:oddHBand="1" w:evenHBand="0" w:firstRowFirstColumn="0" w:firstRowLastColumn="0" w:lastRowFirstColumn="0" w:lastRowLastColumn="0"/>
          <w:trHeight w:val="324"/>
        </w:trPr>
        <w:tc>
          <w:tcPr>
            <w:cnfStyle w:val="000010000000" w:firstRow="0" w:lastRow="0" w:firstColumn="0" w:lastColumn="0" w:oddVBand="1" w:evenVBand="0" w:oddHBand="0" w:evenHBand="0" w:firstRowFirstColumn="0" w:firstRowLastColumn="0" w:lastRowFirstColumn="0" w:lastRowLastColumn="0"/>
            <w:tcW w:w="4200" w:type="dxa"/>
          </w:tcPr>
          <w:p w14:paraId="7289C805"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Sexual harassment at work — lifetime</w:t>
            </w:r>
          </w:p>
        </w:tc>
        <w:tc>
          <w:tcPr>
            <w:tcW w:w="2413" w:type="dxa"/>
          </w:tcPr>
          <w:p w14:paraId="2ACB670C" w14:textId="77777777" w:rsidR="00FF2197" w:rsidRPr="00D01479" w:rsidRDefault="00876342" w:rsidP="0069164A">
            <w:pPr>
              <w:cnfStyle w:val="000000100000" w:firstRow="0" w:lastRow="0" w:firstColumn="0" w:lastColumn="0" w:oddVBand="0" w:evenVBand="0" w:oddHBand="1" w:evenHBand="0" w:firstRowFirstColumn="0" w:firstRowLastColumn="0" w:lastRowFirstColumn="0" w:lastRowLastColumn="0"/>
            </w:pPr>
            <w:r>
              <w:rPr>
                <w:color w:val="000000"/>
                <w:sz w:val="20"/>
                <w:szCs w:val="20"/>
              </w:rPr>
              <w:t>46.4%</w:t>
            </w:r>
          </w:p>
        </w:tc>
        <w:tc>
          <w:tcPr>
            <w:cnfStyle w:val="000010000000" w:firstRow="0" w:lastRow="0" w:firstColumn="0" w:lastColumn="0" w:oddVBand="1" w:evenVBand="0" w:oddHBand="0" w:evenHBand="0" w:firstRowFirstColumn="0" w:firstRowLastColumn="0" w:lastRowFirstColumn="0" w:lastRowLastColumn="0"/>
            <w:tcW w:w="2413" w:type="dxa"/>
          </w:tcPr>
          <w:p w14:paraId="583CFB51" w14:textId="77777777" w:rsidR="00FF2197" w:rsidRPr="00D01479" w:rsidRDefault="00876342" w:rsidP="0069164A">
            <w:r>
              <w:rPr>
                <w:color w:val="000000"/>
                <w:sz w:val="20"/>
                <w:szCs w:val="20"/>
              </w:rPr>
              <w:t>30.8%</w:t>
            </w:r>
          </w:p>
        </w:tc>
      </w:tr>
      <w:tr w:rsidR="00FF2197" w:rsidRPr="00112C06" w14:paraId="758C0489" w14:textId="77777777" w:rsidTr="0069164A">
        <w:trPr>
          <w:trHeight w:val="360"/>
        </w:trPr>
        <w:tc>
          <w:tcPr>
            <w:cnfStyle w:val="000010000000" w:firstRow="0" w:lastRow="0" w:firstColumn="0" w:lastColumn="0" w:oddVBand="1" w:evenVBand="0" w:oddHBand="0" w:evenHBand="0" w:firstRowFirstColumn="0" w:firstRowLastColumn="0" w:lastRowFirstColumn="0" w:lastRowLastColumn="0"/>
            <w:tcW w:w="4200" w:type="dxa"/>
          </w:tcPr>
          <w:p w14:paraId="3F35ECD8"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Incidents reported to police</w:t>
            </w:r>
          </w:p>
        </w:tc>
        <w:tc>
          <w:tcPr>
            <w:tcW w:w="2413" w:type="dxa"/>
          </w:tcPr>
          <w:p w14:paraId="12CBEE64" w14:textId="77777777" w:rsidR="00FF2197" w:rsidRPr="00D01479" w:rsidRDefault="00876342" w:rsidP="0069164A">
            <w:pPr>
              <w:cnfStyle w:val="000000000000" w:firstRow="0" w:lastRow="0" w:firstColumn="0" w:lastColumn="0" w:oddVBand="0" w:evenVBand="0" w:oddHBand="0" w:evenHBand="0" w:firstRowFirstColumn="0" w:firstRowLastColumn="0" w:lastRowFirstColumn="0" w:lastRowLastColumn="0"/>
            </w:pPr>
            <w:r>
              <w:rPr>
                <w:color w:val="000000"/>
                <w:sz w:val="20"/>
                <w:szCs w:val="20"/>
              </w:rPr>
              <w:t>—</w:t>
            </w:r>
          </w:p>
        </w:tc>
        <w:tc>
          <w:tcPr>
            <w:cnfStyle w:val="000010000000" w:firstRow="0" w:lastRow="0" w:firstColumn="0" w:lastColumn="0" w:oddVBand="1" w:evenVBand="0" w:oddHBand="0" w:evenHBand="0" w:firstRowFirstColumn="0" w:firstRowLastColumn="0" w:lastRowFirstColumn="0" w:lastRowLastColumn="0"/>
            <w:tcW w:w="2413" w:type="dxa"/>
          </w:tcPr>
          <w:p w14:paraId="34853697" w14:textId="77777777" w:rsidR="00FF2197" w:rsidRPr="00D01479" w:rsidRDefault="00876342" w:rsidP="0069164A">
            <w:r>
              <w:rPr>
                <w:color w:val="000000"/>
                <w:sz w:val="20"/>
                <w:szCs w:val="20"/>
              </w:rPr>
              <w:t>13.9% EU-wide</w:t>
            </w:r>
          </w:p>
        </w:tc>
      </w:tr>
      <w:tr w:rsidR="00FF2197" w:rsidRPr="00112C06" w14:paraId="0C2831A7" w14:textId="77777777" w:rsidTr="0069164A">
        <w:trPr>
          <w:cnfStyle w:val="000000100000" w:firstRow="0" w:lastRow="0" w:firstColumn="0" w:lastColumn="0" w:oddVBand="0" w:evenVBand="0" w:oddHBand="1" w:evenHBand="0" w:firstRowFirstColumn="0" w:firstRowLastColumn="0" w:lastRowFirstColumn="0" w:lastRowLastColumn="0"/>
          <w:trHeight w:val="396"/>
        </w:trPr>
        <w:tc>
          <w:tcPr>
            <w:cnfStyle w:val="000010000000" w:firstRow="0" w:lastRow="0" w:firstColumn="0" w:lastColumn="0" w:oddVBand="1" w:evenVBand="0" w:oddHBand="0" w:evenHBand="0" w:firstRowFirstColumn="0" w:firstRowLastColumn="0" w:lastRowFirstColumn="0" w:lastRowLastColumn="0"/>
            <w:tcW w:w="4200" w:type="dxa"/>
          </w:tcPr>
          <w:p w14:paraId="1796F921" w14:textId="77777777" w:rsidR="00FF2197" w:rsidRPr="00D01479" w:rsidRDefault="00876342" w:rsidP="0069164A">
            <w:pPr>
              <w:rPr>
                <w:b/>
                <w:bCs/>
                <w:color w:val="3A3A3A" w:themeColor="background2" w:themeShade="40"/>
                <w:sz w:val="18"/>
                <w:szCs w:val="18"/>
              </w:rPr>
            </w:pPr>
            <w:r>
              <w:rPr>
                <w:b/>
                <w:bCs/>
                <w:color w:val="3A3A3A" w:themeColor="background2" w:themeShade="40"/>
                <w:sz w:val="18"/>
                <w:szCs w:val="18"/>
              </w:rPr>
              <w:t>Overall violence prevalence — EU ranking</w:t>
            </w:r>
          </w:p>
        </w:tc>
        <w:tc>
          <w:tcPr>
            <w:tcW w:w="2413" w:type="dxa"/>
          </w:tcPr>
          <w:p w14:paraId="15E0161F" w14:textId="77777777" w:rsidR="00FF2197" w:rsidRPr="00D01479" w:rsidRDefault="00876342" w:rsidP="0069164A">
            <w:pPr>
              <w:cnfStyle w:val="000000100000" w:firstRow="0" w:lastRow="0" w:firstColumn="0" w:lastColumn="0" w:oddVBand="0" w:evenVBand="0" w:oddHBand="1" w:evenHBand="0" w:firstRowFirstColumn="0" w:firstRowLastColumn="0" w:lastRowFirstColumn="0" w:lastRowLastColumn="0"/>
            </w:pPr>
            <w:r>
              <w:rPr>
                <w:color w:val="000000"/>
                <w:sz w:val="20"/>
                <w:szCs w:val="20"/>
              </w:rPr>
              <w:t>3rd of 27</w:t>
            </w:r>
          </w:p>
        </w:tc>
        <w:tc>
          <w:tcPr>
            <w:cnfStyle w:val="000010000000" w:firstRow="0" w:lastRow="0" w:firstColumn="0" w:lastColumn="0" w:oddVBand="1" w:evenVBand="0" w:oddHBand="0" w:evenHBand="0" w:firstRowFirstColumn="0" w:firstRowLastColumn="0" w:lastRowFirstColumn="0" w:lastRowLastColumn="0"/>
            <w:tcW w:w="2413" w:type="dxa"/>
          </w:tcPr>
          <w:p w14:paraId="50BD6067" w14:textId="77777777" w:rsidR="00FF2197" w:rsidRPr="00D01479" w:rsidRDefault="00876342" w:rsidP="0069164A">
            <w:r>
              <w:rPr>
                <w:color w:val="000000"/>
                <w:sz w:val="20"/>
                <w:szCs w:val="20"/>
              </w:rPr>
              <w:t>—</w:t>
            </w:r>
          </w:p>
        </w:tc>
      </w:tr>
    </w:tbl>
    <w:p w14:paraId="7D058C29" w14:textId="77777777" w:rsidR="00FF2197" w:rsidRPr="00112C06" w:rsidRDefault="00FF2197">
      <w:pPr>
        <w:spacing w:after="8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1558A4C8" w14:textId="77777777">
        <w:tc>
          <w:tcPr>
            <w:tcW w:w="9026" w:type="dxa"/>
            <w:tcBorders>
              <w:left w:val="single" w:sz="12" w:space="0" w:color="2C5282"/>
            </w:tcBorders>
            <w:shd w:val="clear" w:color="auto" w:fill="F7F9FC"/>
            <w:tcMar>
              <w:top w:w="120" w:type="dxa"/>
              <w:left w:w="240" w:type="dxa"/>
              <w:bottom w:w="120" w:type="dxa"/>
              <w:right w:w="200" w:type="dxa"/>
            </w:tcMar>
          </w:tcPr>
          <w:p w14:paraId="58DEFF72" w14:textId="77777777" w:rsidR="00FF2197" w:rsidRPr="0069164A" w:rsidRDefault="00876342">
            <w:pPr>
              <w:spacing w:before="40" w:after="60"/>
              <w:jc w:val="both"/>
              <w:rPr>
                <w:rFonts w:ascii="Roboto" w:hAnsi="Roboto"/>
              </w:rPr>
            </w:pPr>
            <w:r>
              <w:rPr>
                <w:rFonts w:ascii="Roboto" w:hAnsi="Roboto"/>
                <w:b/>
                <w:bCs/>
                <w:color w:val="000000"/>
                <w:sz w:val="20"/>
                <w:szCs w:val="20"/>
              </w:rPr>
              <w:t>The Nordic Paradox — Anticipated and Rejected</w:t>
            </w:r>
          </w:p>
          <w:p w14:paraId="7DFAB0AC" w14:textId="77777777" w:rsidR="00FF2197" w:rsidRPr="00D01479" w:rsidRDefault="00876342">
            <w:pPr>
              <w:spacing w:before="40" w:after="60"/>
              <w:jc w:val="both"/>
            </w:pPr>
            <w:r>
              <w:rPr>
                <w:color w:val="000000"/>
                <w:sz w:val="20"/>
                <w:szCs w:val="20"/>
              </w:rPr>
              <w:t>Denmark will argue that high survey prevalence reflects greater awareness and willingness to report. The EU survey's own authors anticipated and contest this response. Police reporting rates remain at 13.9% EU-wide meaning the overwhelming majority of violence is never disclosed to authorities at all. Denmark's 47.5% lifetime prevalence coexists with a 13.9% reporting rate. This is not a measurement artifact. It is a protection failure. The survey states explicitly: 'It should be assumed that more women hav</w:t>
            </w:r>
            <w:r>
              <w:rPr>
                <w:color w:val="000000"/>
                <w:sz w:val="20"/>
                <w:szCs w:val="20"/>
              </w:rPr>
              <w:t>e experienced violence than what the survey estimates suggest.'</w:t>
            </w:r>
          </w:p>
        </w:tc>
      </w:tr>
    </w:tbl>
    <w:p w14:paraId="04B64E86" w14:textId="77777777" w:rsidR="00FF2197" w:rsidRPr="00112C06" w:rsidRDefault="00876342">
      <w:pPr>
        <w:spacing w:before="80" w:after="160"/>
        <w:jc w:val="both"/>
      </w:pPr>
      <w:r>
        <w:rPr>
          <w:color w:val="000000"/>
        </w:rPr>
        <w:t>A state that records these prevalence levels while simultaneously failing to protect children in homes where that violence occurs cannot claim compliance with any of the human rights instruments it has ratified. The same children living in those homes are the subject of the IM VALID submission.</w:t>
      </w:r>
    </w:p>
    <w:p w14:paraId="60EF1131" w14:textId="77777777" w:rsidR="00FF2197" w:rsidRPr="00112C06" w:rsidRDefault="00876342">
      <w:pPr>
        <w:spacing w:before="280" w:after="120"/>
      </w:pPr>
      <w:r>
        <w:rPr>
          <w:b/>
          <w:bCs/>
          <w:color w:val="000000"/>
          <w:sz w:val="24"/>
          <w:szCs w:val="24"/>
        </w:rPr>
        <w:t>2.5  Børnerådet (2005): A Precedent for Non-Compliance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0ACDDF4E" w14:textId="77777777">
        <w:tc>
          <w:tcPr>
            <w:tcW w:w="9026" w:type="dxa"/>
            <w:tcBorders>
              <w:left w:val="single" w:sz="12" w:space="0" w:color="2C5282"/>
            </w:tcBorders>
            <w:shd w:val="clear" w:color="auto" w:fill="F7F9FC"/>
            <w:tcMar>
              <w:top w:w="120" w:type="dxa"/>
              <w:left w:w="240" w:type="dxa"/>
              <w:bottom w:w="120" w:type="dxa"/>
              <w:right w:w="200" w:type="dxa"/>
            </w:tcMar>
          </w:tcPr>
          <w:p w14:paraId="4E736C93" w14:textId="77777777" w:rsidR="00FF2197" w:rsidRPr="00D01479" w:rsidRDefault="00876342">
            <w:pPr>
              <w:spacing w:before="40" w:after="60"/>
              <w:jc w:val="both"/>
              <w:rPr>
                <w:rFonts w:ascii="Roboto" w:hAnsi="Roboto"/>
              </w:rPr>
            </w:pPr>
            <w:r>
              <w:rPr>
                <w:rFonts w:ascii="Roboto" w:hAnsi="Roboto"/>
                <w:b/>
                <w:bCs/>
                <w:color w:val="000000"/>
                <w:sz w:val="20"/>
                <w:szCs w:val="20"/>
              </w:rPr>
              <w:t>Børnerådet, Supplementary Report to Denmark's 3rd Periodic CRC Review, National Council for Children, January 2005.</w:t>
            </w:r>
          </w:p>
          <w:p w14:paraId="3D193332" w14:textId="77777777" w:rsidR="00FF2197" w:rsidRPr="00112C06" w:rsidRDefault="00876342">
            <w:pPr>
              <w:spacing w:before="40" w:after="60"/>
              <w:jc w:val="both"/>
            </w:pPr>
            <w:r>
              <w:rPr>
                <w:color w:val="000000"/>
                <w:sz w:val="20"/>
                <w:szCs w:val="20"/>
              </w:rPr>
              <w:t>The Committee is respectfully referred to the Børnerådet's 2005 supplementary submission to this body, which documented the same structural failures — contact presumption overriding child safety, domestic violence excluded from child protection proceedings, and foreign-national children facing compounded structural disadvantage — that IM VALID presents in 2026. The Committee reviewed Denmark at its 4th and 5th periodic cycles following that submission. The same failures were present. Denmark is now before t</w:t>
            </w:r>
            <w:r>
              <w:rPr>
                <w:color w:val="000000"/>
                <w:sz w:val="20"/>
                <w:szCs w:val="20"/>
              </w:rPr>
              <w:t>he Committee at its 6th periodic review. The structural failures identified by its own statutory children's council in 2005 remain unremedied twenty-one years later. IM VALID cites this record not to restate findings the Committee already holds, but to establish that what IM VALID documents in 2026 is not an emerging concern — it is a documented, reported, and unaddressed pattern spanning three complete review cycles.</w:t>
            </w:r>
          </w:p>
        </w:tc>
      </w:tr>
    </w:tbl>
    <w:p w14:paraId="16FC7A85" w14:textId="77777777" w:rsidR="00112C06" w:rsidRDefault="00112C06">
      <w:pPr>
        <w:spacing w:before="280" w:after="120"/>
        <w:rPr>
          <w:b/>
          <w:bCs/>
          <w:color w:val="262626" w:themeColor="text1" w:themeTint="D9"/>
          <w:sz w:val="24"/>
          <w:szCs w:val="24"/>
        </w:rPr>
      </w:pPr>
    </w:p>
    <w:p w14:paraId="6EF50938" w14:textId="77777777" w:rsidR="00FF2197" w:rsidRPr="00112C06" w:rsidRDefault="00876342">
      <w:pPr>
        <w:spacing w:before="280" w:after="120"/>
        <w:rPr>
          <w:color w:val="262626" w:themeColor="text1" w:themeTint="D9"/>
        </w:rPr>
      </w:pPr>
      <w:r>
        <w:rPr>
          <w:b/>
          <w:bCs/>
          <w:color w:val="262626" w:themeColor="text1" w:themeTint="D9"/>
          <w:sz w:val="24"/>
          <w:szCs w:val="24"/>
        </w:rPr>
        <w:t>2.6  Peer-Reviewed Research Corroboration: Lapierre et al. (2026)</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1A637B2F" w14:textId="77777777">
        <w:tc>
          <w:tcPr>
            <w:tcW w:w="9026" w:type="dxa"/>
            <w:tcBorders>
              <w:left w:val="single" w:sz="12" w:space="0" w:color="2C5282"/>
            </w:tcBorders>
            <w:shd w:val="clear" w:color="auto" w:fill="F7F9FC"/>
            <w:tcMar>
              <w:top w:w="120" w:type="dxa"/>
              <w:left w:w="240" w:type="dxa"/>
              <w:bottom w:w="120" w:type="dxa"/>
              <w:right w:w="200" w:type="dxa"/>
            </w:tcMar>
          </w:tcPr>
          <w:p w14:paraId="496F9F6E" w14:textId="77777777" w:rsidR="00FF2197" w:rsidRPr="00D01479" w:rsidRDefault="00876342">
            <w:pPr>
              <w:spacing w:before="40" w:after="60"/>
              <w:jc w:val="both"/>
              <w:rPr>
                <w:rFonts w:ascii="Roboto" w:hAnsi="Roboto"/>
              </w:rPr>
            </w:pPr>
            <w:r>
              <w:rPr>
                <w:rFonts w:ascii="Roboto" w:hAnsi="Roboto"/>
                <w:b/>
                <w:bCs/>
                <w:color w:val="000000"/>
                <w:sz w:val="20"/>
                <w:szCs w:val="20"/>
              </w:rPr>
              <w:lastRenderedPageBreak/>
              <w:t>Lapierre, S. et al. (2026) — Abused Women as 'Alienating' Mothers and Violent Men as 'Good' Fathers: Double Standards in Child Protection and Child Custody Proceedings</w:t>
            </w:r>
          </w:p>
          <w:p w14:paraId="5A4422FD" w14:textId="77777777" w:rsidR="00FF2197" w:rsidRPr="00112C06" w:rsidRDefault="00876342">
            <w:pPr>
              <w:spacing w:before="40" w:after="60"/>
              <w:jc w:val="both"/>
            </w:pPr>
            <w:r>
              <w:rPr>
                <w:i/>
                <w:iCs/>
                <w:color w:val="000000"/>
                <w:sz w:val="20"/>
                <w:szCs w:val="20"/>
              </w:rPr>
              <w:t>Child &amp; Family Social Work, 31, pp. 129–140. doi: 10.1111/cfs.13260. Open access — CC BY-NC-ND.</w:t>
            </w:r>
          </w:p>
          <w:p w14:paraId="02FF308F" w14:textId="77777777" w:rsidR="00FF2197" w:rsidRPr="00112C06" w:rsidRDefault="00876342">
            <w:pPr>
              <w:spacing w:before="40" w:after="60"/>
              <w:jc w:val="both"/>
            </w:pPr>
            <w:r>
              <w:rPr>
                <w:color w:val="000000"/>
                <w:sz w:val="20"/>
                <w:szCs w:val="20"/>
              </w:rPr>
              <w:t>The study found that parenting double standards operate through five systematic mechanisms: (1) abused mothers are assessed as lacking credibility while violent fathers are taken at face value; (2) the mothers' personal histories are scrutinized for trauma to explain their 'alienating' behavior while the fathers' histories are not; (3) mothers are accused of talking negatively to children about the father on minimal evidence, while identical behavior by fathers is minimized; (4) the fathers' violence is tre</w:t>
            </w:r>
            <w:r>
              <w:rPr>
                <w:color w:val="000000"/>
                <w:sz w:val="20"/>
                <w:szCs w:val="20"/>
              </w:rPr>
              <w:t>ated as an isolated incident and justified, while the mothers' protective responses have no justification in the system's logic; and (5) mothers' use of support services — including domestic violence shelters — is treated as evidence of manipulation, while the fathers' use of services is presented as evidence of positive change.</w:t>
            </w:r>
          </w:p>
          <w:p w14:paraId="12F69FF7" w14:textId="77777777" w:rsidR="00FF2197" w:rsidRPr="00112C06" w:rsidRDefault="00876342">
            <w:pPr>
              <w:spacing w:before="40" w:after="60"/>
              <w:jc w:val="both"/>
            </w:pPr>
            <w:r>
              <w:rPr>
                <w:i/>
                <w:iCs/>
                <w:color w:val="000000"/>
                <w:sz w:val="20"/>
                <w:szCs w:val="20"/>
              </w:rPr>
              <w:t>Conclusion: 'by embracing this discourse, child protection services and the family court system reproduce the perpetrators' accounts and discredit reports of abuse by women and children, and therefore undermine their core mandate, i.e., to protect abuse victims' (p. 131).</w:t>
            </w:r>
          </w:p>
        </w:tc>
      </w:tr>
    </w:tbl>
    <w:p w14:paraId="75798A3F" w14:textId="77777777" w:rsidR="00FF2197" w:rsidRPr="00112C06" w:rsidRDefault="00876342">
      <w:pPr>
        <w:spacing w:before="80" w:after="160"/>
        <w:jc w:val="both"/>
      </w:pPr>
      <w:r>
        <w:rPr>
          <w:color w:val="000000"/>
        </w:rPr>
        <w:t>While conducted in Canada, Lapierre et al.'s findings describe institutional dynamics that are structurally identical to those documented by IM VALID in Denmark and corroborated by GREVIO's specific findings. The research provides independent academic validation that the patterns IM VALID describes are not idiosyncratic — they are systemic, cross-jurisdictional failures arising from the same structural premises about parental cooperation, contact presumption, and the discrediting of abused mothers.</w:t>
      </w:r>
    </w:p>
    <w:p w14:paraId="52B97A5D" w14:textId="77777777" w:rsidR="00FF2197" w:rsidRPr="00112C06" w:rsidRDefault="00876342">
      <w:pPr>
        <w:spacing w:before="280" w:after="120"/>
      </w:pPr>
      <w:r>
        <w:rPr>
          <w:b/>
          <w:bCs/>
          <w:color w:val="000000"/>
          <w:sz w:val="24"/>
          <w:szCs w:val="24"/>
        </w:rPr>
        <w:t>2.7  Danish Femicide Data: The Lethal Endpoint of the System's Failure (Femicide Watch, 2026)</w:t>
      </w:r>
    </w:p>
    <w:p w14:paraId="309815C8" w14:textId="77777777" w:rsidR="00FF2197" w:rsidRPr="00112C06" w:rsidRDefault="00876342">
      <w:pPr>
        <w:spacing w:before="80" w:after="160"/>
        <w:jc w:val="both"/>
      </w:pPr>
      <w:r>
        <w:rPr>
          <w:color w:val="000000"/>
        </w:rPr>
        <w:t>The structural failures documented in Sections 2.1–2.6 do not remain administrative. They have a lethal endpoint. The March 2026 report of the Center for Violence Prevention Femicide Watch: An Analysis of Danish Femicides in 2023 (Bjerregaard et al. 2026) provides the most recent national data on the outcomes of these systemic failures. Denmark has no state Femicide Watch: the government's classification of femicide is limited to partner homicide, meaning official data systematically undercounts the scale o</w:t>
      </w:r>
      <w:r>
        <w:rPr>
          <w:color w:val="000000"/>
        </w:rPr>
        <w:t>f the problem.</w:t>
      </w:r>
    </w:p>
    <w:p w14:paraId="558864E2" w14:textId="77777777" w:rsidR="00FF2197" w:rsidRPr="00112C06" w:rsidRDefault="00876342">
      <w:pPr>
        <w:spacing w:after="160"/>
        <w:jc w:val="both"/>
      </w:pPr>
      <w:r>
        <w:rPr>
          <w:color w:val="000000"/>
        </w:rPr>
        <w:t>In 2023, 12 confirmed femicides and one probable femicide were documented one per month. In 6 of the 13 cases examined from 2023, the perpetrator was a current or former partner — the most common relationship across 25 years of recorded Danish femicides.</w:t>
      </w:r>
    </w:p>
    <w:p w14:paraId="6C931A06" w14:textId="77777777" w:rsidR="00FF2197" w:rsidRPr="00112C06" w:rsidRDefault="00876342">
      <w:pPr>
        <w:spacing w:after="160"/>
        <w:jc w:val="both"/>
      </w:pPr>
      <w:r>
        <w:rPr>
          <w:color w:val="000000"/>
        </w:rPr>
        <w:t>Femicide Watch 2026 applies the Monckton-Smith (2020) eight-stage model of intimate partner homicide to two detailed 2023 Danish cases both involving women killed by former partners shortly after separation. In both documented cases, the women were killed in the days and weeks immediately following separation, during the period when Familieretshuset custody proceedings would typically be initiated or active. In the case of the 51-year-old victim, nine days elapsed between separation and her killing. The leg</w:t>
      </w:r>
      <w:r>
        <w:rPr>
          <w:color w:val="000000"/>
        </w:rPr>
        <w:t>al implication is direct: when the Danish family law system processes a custody case without conducting risk assessment, it is not merely failing to protect — it is managing the logistics of a child’s contact with a perpetrator who is, at that precise moment, statistically at his most dangerous.</w:t>
      </w:r>
    </w:p>
    <w:p w14:paraId="625A55E8" w14:textId="77777777" w:rsidR="00FF2197" w:rsidRPr="00112C06" w:rsidRDefault="00876342">
      <w:pPr>
        <w:spacing w:after="160"/>
        <w:jc w:val="both"/>
      </w:pPr>
      <w:r>
        <w:rPr>
          <w:color w:val="000000"/>
        </w:rPr>
        <w:t>The report's authors state that 'the report clearly shows the state is not fully fulfilling its responsibility to protect all women from violence, including those who often fall outside of the system's attention' (Kjaerum, cited in Bjerregaard et al. 2026). That conclusion applies with equal force to the children of those women.</w:t>
      </w:r>
    </w:p>
    <w:p w14:paraId="3E9E9DB1" w14:textId="77777777" w:rsidR="00FF2197" w:rsidRPr="00112C06" w:rsidRDefault="00876342">
      <w:pPr>
        <w:spacing w:before="280" w:after="120"/>
      </w:pPr>
      <w:r>
        <w:rPr>
          <w:b/>
          <w:bCs/>
          <w:color w:val="000000"/>
          <w:sz w:val="24"/>
          <w:szCs w:val="24"/>
        </w:rPr>
        <w:t>2.8  UN Special Rapporteur on Violence Against Women and Girls: Denmark Named (Alsalem, 2023)</w:t>
      </w:r>
    </w:p>
    <w:p w14:paraId="6614652B" w14:textId="77777777" w:rsidR="00FF2197" w:rsidRPr="00112C06" w:rsidRDefault="00876342">
      <w:pPr>
        <w:spacing w:before="80" w:after="160"/>
        <w:jc w:val="both"/>
      </w:pPr>
      <w:r>
        <w:rPr>
          <w:color w:val="000000"/>
        </w:rPr>
        <w:lastRenderedPageBreak/>
        <w:t>Denmark is named in the report of UN Special Rapporteur Reem Alsalem (A/HRC/53/36, 2023) as one of the countries in which the history of domestic violence against mothers and children is ignored in custody and visitation decisions (para. 20(a), citing submission by Landsorganisation af Kvindekrisecentre). This is the same pattern documented by GREVIO in 2017 and again in 2024, and by the European Parliament in 2013. The naming of Denmark in a UN Special Rapporteur report constitutes a formal international f</w:t>
      </w:r>
      <w:r>
        <w:rPr>
          <w:color w:val="000000"/>
        </w:rPr>
        <w:t>inding that has not been answered by any legislative or systemic reform.</w:t>
      </w:r>
    </w:p>
    <w:p w14:paraId="377A029B" w14:textId="77777777" w:rsidR="00FF2197" w:rsidRPr="00112C06" w:rsidRDefault="00876342">
      <w:pPr>
        <w:spacing w:after="160"/>
        <w:jc w:val="both"/>
      </w:pPr>
      <w:r>
        <w:rPr>
          <w:color w:val="000000"/>
        </w:rPr>
        <w:t>The Alsalem report provides the strongest available quantification of how parental alienation operates against mothers specifically. In the United States, data showed that when a father alleges parental alienation by the mother, her custody rights are removed 44 per cent of the time. Mothers are therefore twice as likely to lose custody when alienation is alleged, regardless of which parent makes the allegation. The WHO removed parental alienation syndrome from the International Classification of Diseases i</w:t>
      </w:r>
      <w:r>
        <w:rPr>
          <w:color w:val="000000"/>
        </w:rPr>
        <w:t>n 2020. Denmark's decision to codify equivalent reasoning into law places it outside the international consensus and in direct conflict with the findings of the body responsible for monitoring its own Istanbul Convention obligations.</w:t>
      </w:r>
    </w:p>
    <w:p w14:paraId="5EC2C1EF" w14:textId="77777777" w:rsidR="00FF2197" w:rsidRPr="00112C06" w:rsidRDefault="00876342">
      <w:pPr>
        <w:spacing w:after="160"/>
        <w:jc w:val="both"/>
      </w:pPr>
      <w:r>
        <w:rPr>
          <w:color w:val="000000"/>
        </w:rPr>
        <w:t>The Alsalem report further documents that approximately three-quarters of all cases filed under the Hague Convention are directed against mothers, the majority of whom were fleeing domestic violence or seeking to protect their children from abuse (para. 37). IM VALID's cases confirm that Danish courts and Familieretshuset apply the Convention in precisely the manner the Special Rapporteur identifies as structurally dangerous.</w:t>
      </w:r>
    </w:p>
    <w:p w14:paraId="7096CE8E" w14:textId="77777777" w:rsidR="00FF2197" w:rsidRPr="00112C06" w:rsidRDefault="00876342">
      <w:pPr>
        <w:spacing w:before="280" w:after="120"/>
      </w:pPr>
      <w:r>
        <w:rPr>
          <w:b/>
          <w:bCs/>
          <w:color w:val="000000"/>
          <w:sz w:val="24"/>
          <w:szCs w:val="24"/>
        </w:rPr>
        <w:t>2.9  Treaty Obligations: Denmark's Ratified Commitments and Its Failures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FF2197" w:rsidRPr="00112C06" w14:paraId="055C3895" w14:textId="77777777">
        <w:tc>
          <w:tcPr>
            <w:tcW w:w="9026" w:type="dxa"/>
            <w:tcBorders>
              <w:left w:val="single" w:sz="12" w:space="0" w:color="2C5282"/>
            </w:tcBorders>
            <w:shd w:val="clear" w:color="auto" w:fill="F7F9FC"/>
            <w:tcMar>
              <w:top w:w="120" w:type="dxa"/>
              <w:left w:w="240" w:type="dxa"/>
              <w:bottom w:w="120" w:type="dxa"/>
              <w:right w:w="200" w:type="dxa"/>
            </w:tcMar>
          </w:tcPr>
          <w:p w14:paraId="647F0A88" w14:textId="77777777" w:rsidR="00FF2197" w:rsidRPr="00D01479" w:rsidRDefault="00876342">
            <w:pPr>
              <w:spacing w:before="40" w:after="60"/>
              <w:jc w:val="both"/>
              <w:rPr>
                <w:rFonts w:ascii="Roboto" w:hAnsi="Roboto"/>
              </w:rPr>
            </w:pPr>
            <w:r>
              <w:rPr>
                <w:rFonts w:ascii="Roboto" w:hAnsi="Roboto"/>
                <w:b/>
                <w:bCs/>
                <w:color w:val="000000"/>
                <w:sz w:val="20"/>
                <w:szCs w:val="20"/>
              </w:rPr>
              <w:t>Denmark has ratified all of the following instruments:</w:t>
            </w:r>
          </w:p>
          <w:p w14:paraId="78C3E170" w14:textId="232E0B9A" w:rsidR="00FF2197" w:rsidRPr="00112C06" w:rsidRDefault="00876342">
            <w:pPr>
              <w:spacing w:before="40" w:after="60"/>
              <w:jc w:val="both"/>
            </w:pPr>
            <w:r>
              <w:rPr>
                <w:color w:val="000000"/>
                <w:sz w:val="20"/>
                <w:szCs w:val="20"/>
              </w:rPr>
              <w:t>UN Convention on the Rights of the Child (CRC) the primary instrument of this submission</w:t>
            </w:r>
          </w:p>
          <w:p w14:paraId="0DAC8452" w14:textId="25BEC8E7" w:rsidR="00FF2197" w:rsidRPr="00112C06" w:rsidRDefault="00876342">
            <w:pPr>
              <w:spacing w:before="40" w:after="60"/>
              <w:jc w:val="both"/>
            </w:pPr>
            <w:r>
              <w:rPr>
                <w:color w:val="000000"/>
                <w:sz w:val="20"/>
                <w:szCs w:val="20"/>
              </w:rPr>
              <w:t>Istanbul Convention (Council of Europe Convention on preventing and combating violence against women and domestic violence) ratified, with GREVIO monitoring confirming ongoing violations of Article 31</w:t>
            </w:r>
          </w:p>
          <w:p w14:paraId="2E5CF05E" w14:textId="77777777" w:rsidR="00FF2197" w:rsidRPr="00112C06" w:rsidRDefault="00876342">
            <w:pPr>
              <w:spacing w:before="40" w:after="60"/>
              <w:jc w:val="both"/>
            </w:pPr>
            <w:r>
              <w:rPr>
                <w:color w:val="000000"/>
                <w:sz w:val="20"/>
                <w:szCs w:val="20"/>
              </w:rPr>
              <w:t>International Covenant on Civil and Political Rights (ICCPR)</w:t>
            </w:r>
          </w:p>
          <w:p w14:paraId="3E7E10ED" w14:textId="77777777" w:rsidR="00FF2197" w:rsidRPr="00112C06" w:rsidRDefault="00876342">
            <w:pPr>
              <w:spacing w:before="40" w:after="60"/>
              <w:jc w:val="both"/>
            </w:pPr>
            <w:r>
              <w:rPr>
                <w:color w:val="000000"/>
                <w:sz w:val="20"/>
                <w:szCs w:val="20"/>
              </w:rPr>
              <w:t>Convention on the Elimination of All Forms of Discrimination Against Women (CEDAW)</w:t>
            </w:r>
          </w:p>
        </w:tc>
      </w:tr>
    </w:tbl>
    <w:p w14:paraId="3DF34F7F" w14:textId="77777777" w:rsidR="00FF2197" w:rsidRPr="00112C06" w:rsidRDefault="00876342">
      <w:pPr>
        <w:spacing w:before="80" w:after="160"/>
        <w:jc w:val="both"/>
      </w:pPr>
      <w:r>
        <w:rPr>
          <w:color w:val="000000"/>
        </w:rPr>
        <w:t>The violations documented in this report are not separate failures. They are the same failure expressed through the same institutional mechanism: the Danish family law system that treats domestic violence as a parental conflict rather than a child protection matter and a human rights violation. The EU Gender-Based Violence Survey (2024) confirms Denmark is the 3rd highest in the EU for overall violence against women. GREVIO (2017 and 2024) confirms Denmark is in violation of Article 31 of the Istanbul Conve</w:t>
      </w:r>
      <w:r>
        <w:rPr>
          <w:color w:val="000000"/>
        </w:rPr>
        <w:t>ntion. The Børnerådet (2005) identified the same CRC violations that IM VALID documents in 2026.</w:t>
      </w:r>
    </w:p>
    <w:p w14:paraId="3A3D8AC9" w14:textId="77777777" w:rsidR="00FF2197" w:rsidRPr="00112C06" w:rsidRDefault="00876342">
      <w:pPr>
        <w:pBdr>
          <w:bottom w:val="single" w:sz="6" w:space="4" w:color="2C5282"/>
        </w:pBdr>
        <w:spacing w:before="360" w:after="160"/>
      </w:pPr>
      <w:r>
        <w:rPr>
          <w:b/>
          <w:bCs/>
          <w:color w:val="1F3864"/>
          <w:sz w:val="28"/>
          <w:szCs w:val="28"/>
        </w:rPr>
        <w:t>3.  Structural Concerns: How the System Fails Foreign-National Mothers and Their Children</w:t>
      </w:r>
    </w:p>
    <w:p w14:paraId="66021E14" w14:textId="77777777" w:rsidR="00FF2197" w:rsidRPr="00112C06" w:rsidRDefault="00876342">
      <w:pPr>
        <w:spacing w:before="280" w:after="120"/>
      </w:pPr>
      <w:r>
        <w:rPr>
          <w:b/>
          <w:bCs/>
          <w:color w:val="000000"/>
          <w:sz w:val="24"/>
          <w:szCs w:val="24"/>
        </w:rPr>
        <w:t>3.1  Violence treated as parental conflict — with a nationality dimension</w:t>
      </w:r>
    </w:p>
    <w:p w14:paraId="7A48D608" w14:textId="77777777" w:rsidR="00FF2197" w:rsidRPr="00112C06" w:rsidRDefault="00876342">
      <w:pPr>
        <w:spacing w:before="80" w:after="160"/>
        <w:jc w:val="both"/>
      </w:pPr>
      <w:r>
        <w:rPr>
          <w:color w:val="000000"/>
        </w:rPr>
        <w:t>Danish family law operates around a strong presumption of contact with both parents. Contact is treated as a parental right; restrictions require a high evidentiary threshold; and allegations of violence are frequently reframed as cooperation problems. This structural pattern, documented extensively in GREVIO's reports, is intensified in cases involving foreign-national and migrant mothers:</w:t>
      </w:r>
    </w:p>
    <w:p w14:paraId="5747D8E8" w14:textId="77777777" w:rsidR="00FF2197" w:rsidRPr="00112C06" w:rsidRDefault="00876342">
      <w:pPr>
        <w:pStyle w:val="ListParagraph"/>
        <w:numPr>
          <w:ilvl w:val="0"/>
          <w:numId w:val="2"/>
        </w:numPr>
        <w:spacing w:before="40" w:after="40"/>
        <w:jc w:val="both"/>
      </w:pPr>
      <w:r>
        <w:rPr>
          <w:color w:val="000000"/>
        </w:rPr>
        <w:lastRenderedPageBreak/>
        <w:t>Police reports filed by foreign-national mothers are more frequently redirected to Familieretshuset as a 'family matter,' diverting violence from the criminal pathway to the contact-presumption pathway;</w:t>
      </w:r>
    </w:p>
    <w:p w14:paraId="7A591A9D" w14:textId="77777777" w:rsidR="00FF2197" w:rsidRPr="00112C06" w:rsidRDefault="00876342">
      <w:pPr>
        <w:pStyle w:val="ListParagraph"/>
        <w:numPr>
          <w:ilvl w:val="0"/>
          <w:numId w:val="2"/>
        </w:numPr>
        <w:spacing w:before="40" w:after="40"/>
        <w:jc w:val="both"/>
      </w:pPr>
      <w:r>
        <w:rPr>
          <w:color w:val="000000"/>
        </w:rPr>
        <w:t>The mother's foreign nationality and language barriers are treated as indicators of cultural misunderstanding or overreaction, further depressing the evidentiary weight of documented violence;</w:t>
      </w:r>
    </w:p>
    <w:p w14:paraId="475EED2D" w14:textId="77777777" w:rsidR="00FF2197" w:rsidRPr="00112C06" w:rsidRDefault="00876342">
      <w:pPr>
        <w:pStyle w:val="ListParagraph"/>
        <w:numPr>
          <w:ilvl w:val="0"/>
          <w:numId w:val="2"/>
        </w:numPr>
        <w:spacing w:before="40" w:after="40"/>
        <w:jc w:val="both"/>
      </w:pPr>
      <w:r>
        <w:rPr>
          <w:color w:val="000000"/>
        </w:rPr>
        <w:t>Where the mother and father present conflicting accounts, Familieretshuset caseworkers in IM VALID's cases have given systematically greater weight to the Danish-national father's account without documentary support.</w:t>
      </w:r>
    </w:p>
    <w:p w14:paraId="1FBD9FCE" w14:textId="77777777" w:rsidR="00FF2197" w:rsidRPr="00112C06" w:rsidRDefault="00876342">
      <w:pPr>
        <w:spacing w:before="80" w:after="160"/>
        <w:jc w:val="both"/>
      </w:pPr>
      <w:r>
        <w:rPr>
          <w:color w:val="000000"/>
        </w:rPr>
        <w:t>This pattern has been independently observed by Danish practitioners working directly with clients in Familieretshuset proceedings. Therapist and trauma practitioner Betina Ekman, whose client base includes mothers navigating custody disputes involving coercive control, has documented how the system's neutrality principle applied without recognition of coercive control dynamics consistently disadvantages the protective parent. Ekman (2025) describes how a protective mother showing signs of stress and hyperv</w:t>
      </w:r>
      <w:r>
        <w:rPr>
          <w:color w:val="000000"/>
        </w:rPr>
        <w:t>igilance following years of psychological abuse is assessed as 'difficult to work with' or 'overreacting,' rather than as exhibiting a recognized response to sustained trauma. This practitioner observation aligns precisely with the research findings of Lapierre et al. (2026), who found that, across 25 documented cases, fathers' 'inappropriate behaviors’ involving violence were minimized and justified while mothers' protective responses received no institutional justification whatsoever.</w:t>
      </w:r>
    </w:p>
    <w:p w14:paraId="48A86E1D" w14:textId="77777777" w:rsidR="00FF2197" w:rsidRPr="00112C06" w:rsidRDefault="00876342">
      <w:pPr>
        <w:spacing w:before="280" w:after="120"/>
      </w:pPr>
      <w:r>
        <w:rPr>
          <w:b/>
          <w:bCs/>
          <w:color w:val="000000"/>
          <w:sz w:val="24"/>
          <w:szCs w:val="24"/>
        </w:rPr>
        <w:t>3.2  Immigration status as a vulnerability factor weaponized against the protective parent</w:t>
      </w:r>
    </w:p>
    <w:p w14:paraId="009524EF" w14:textId="77777777" w:rsidR="00FF2197" w:rsidRPr="00112C06" w:rsidRDefault="00876342">
      <w:pPr>
        <w:spacing w:before="80" w:after="160"/>
        <w:jc w:val="both"/>
      </w:pPr>
      <w:r>
        <w:rPr>
          <w:color w:val="000000"/>
        </w:rPr>
        <w:t>In the cases documented by IM VALID, immigration status functions at every stage of proceedings as a structural disadvantage for the protective mother and, consequently, for her child:</w:t>
      </w:r>
    </w:p>
    <w:p w14:paraId="74B6827E" w14:textId="7A00FBD1" w:rsidR="00FF2197" w:rsidRPr="00112C06" w:rsidRDefault="00876342">
      <w:pPr>
        <w:pStyle w:val="ListParagraph"/>
        <w:numPr>
          <w:ilvl w:val="0"/>
          <w:numId w:val="2"/>
        </w:numPr>
        <w:spacing w:before="40" w:after="40"/>
        <w:jc w:val="both"/>
      </w:pPr>
      <w:r>
        <w:rPr>
          <w:color w:val="000000"/>
        </w:rPr>
        <w:t>Residence permits tied to the abusive partner mean that separation the protective act places the mother's legal status at risk;</w:t>
      </w:r>
    </w:p>
    <w:p w14:paraId="18B91948" w14:textId="77777777" w:rsidR="00FF2197" w:rsidRPr="00112C06" w:rsidRDefault="00876342">
      <w:pPr>
        <w:pStyle w:val="ListParagraph"/>
        <w:numPr>
          <w:ilvl w:val="0"/>
          <w:numId w:val="2"/>
        </w:numPr>
        <w:spacing w:before="40" w:after="40"/>
        <w:jc w:val="both"/>
      </w:pPr>
      <w:r>
        <w:rPr>
          <w:color w:val="000000"/>
        </w:rPr>
        <w:t>Immigration authorities do not systematically coordinate with family law authorities to provide immigration security for mothers who leave abusive relationships;</w:t>
      </w:r>
    </w:p>
    <w:p w14:paraId="100BA7C4" w14:textId="581DD8B7" w:rsidR="00FF2197" w:rsidRPr="00112C06" w:rsidRDefault="00876342">
      <w:pPr>
        <w:pStyle w:val="ListParagraph"/>
        <w:numPr>
          <w:ilvl w:val="0"/>
          <w:numId w:val="2"/>
        </w:numPr>
        <w:spacing w:before="40" w:after="40"/>
        <w:jc w:val="both"/>
      </w:pPr>
      <w:r>
        <w:rPr>
          <w:color w:val="000000"/>
        </w:rPr>
        <w:t>Familieretshuset decisions in IM VALID's cases routinely reference the mother's immigration precarity as a 'stability risk' for the child framing the consequence of the abuser's control as evidence of the victim's unreliability;</w:t>
      </w:r>
    </w:p>
    <w:p w14:paraId="2A2FBE0E" w14:textId="77777777" w:rsidR="00FF2197" w:rsidRPr="00112C06" w:rsidRDefault="00876342">
      <w:pPr>
        <w:pStyle w:val="ListParagraph"/>
        <w:numPr>
          <w:ilvl w:val="0"/>
          <w:numId w:val="2"/>
        </w:numPr>
        <w:spacing w:before="40" w:after="40"/>
        <w:jc w:val="both"/>
      </w:pPr>
      <w:r>
        <w:rPr>
          <w:color w:val="000000"/>
        </w:rPr>
        <w:t>In multiple cases, the mother’s potential motivation to secure immigration status through conflict was used by caseworkers and courts to discount credible violence documentation.</w:t>
      </w:r>
      <w:r>
        <w:rPr>
          <w:rStyle w:val="FootnoteReference"/>
          <w:color w:val="000000"/>
        </w:rPr>
        <w:footnoteReference w:id="1"/>
      </w:r>
    </w:p>
    <w:p w14:paraId="049AED3D" w14:textId="77777777" w:rsidR="00FF2197" w:rsidRPr="00112C06" w:rsidRDefault="00876342">
      <w:pPr>
        <w:spacing w:before="280" w:after="120"/>
      </w:pPr>
      <w:r>
        <w:rPr>
          <w:b/>
          <w:bCs/>
          <w:color w:val="000000"/>
          <w:sz w:val="24"/>
          <w:szCs w:val="24"/>
        </w:rPr>
        <w:t>3.3  Children who witness violence are not classified as victims</w:t>
      </w:r>
    </w:p>
    <w:p w14:paraId="468C01F2" w14:textId="77777777" w:rsidR="00FF2197" w:rsidRPr="00112C06" w:rsidRDefault="00876342">
      <w:pPr>
        <w:spacing w:before="80" w:after="160"/>
        <w:jc w:val="both"/>
      </w:pPr>
      <w:r>
        <w:rPr>
          <w:color w:val="000000"/>
        </w:rPr>
        <w:t xml:space="preserve">Danish law and the operational guidelines of Familieretshuset do not classify children who witness domestic violence as victims of abuse. The practical consequence is that child protection proceedings </w:t>
      </w:r>
      <w:r>
        <w:rPr>
          <w:color w:val="000000"/>
        </w:rPr>
        <w:lastRenderedPageBreak/>
        <w:t>are not triggered solely by a child’s exposure to violence against the mother. These children are processed through the family law system, not the child protection system, and their exposure to violence is subordinated to the contact presumption.</w:t>
      </w:r>
      <w:r>
        <w:rPr>
          <w:rStyle w:val="FootnoteReference"/>
          <w:color w:val="000000"/>
        </w:rPr>
        <w:footnoteReference w:id="2"/>
      </w:r>
    </w:p>
    <w:p w14:paraId="04337104" w14:textId="718FC81F" w:rsidR="00FF2197" w:rsidRPr="00112C06" w:rsidRDefault="00876342">
      <w:pPr>
        <w:spacing w:after="160"/>
        <w:jc w:val="both"/>
      </w:pPr>
      <w:r>
        <w:rPr>
          <w:color w:val="000000"/>
        </w:rPr>
        <w:t>Two specific findings from GREVIO's 2024 Thematic Evaluation require separate attention. GREVIO found that Familieretshuset shares protected information including the child's school or daycare address and the mother's residence with the abusive parent, notwithstanding that such information is designated as protected precisely to prevent violence or abduction. GREVIO also found that when children's accounts of violence are reported to Familieretshuset, they 'rarely result in municipal notification.' Instead,</w:t>
      </w:r>
      <w:r>
        <w:rPr>
          <w:color w:val="000000"/>
        </w:rPr>
        <w:t xml:space="preserve"> the municipality is informed about 'manipulation' meaning the child's testimony, rather than triggering a child protection response, is redirected into the parental alienation framework. The child who reports violence is thus not protected by that report: the report is used as further evidence against the protective parent. Denmark has been told by GREVIO that this mechanism exists. It has not corrected it.</w:t>
      </w:r>
    </w:p>
    <w:p w14:paraId="44836099" w14:textId="77777777" w:rsidR="00FF2197" w:rsidRPr="00112C06" w:rsidRDefault="00876342">
      <w:pPr>
        <w:spacing w:after="160"/>
        <w:jc w:val="both"/>
      </w:pPr>
      <w:r>
        <w:rPr>
          <w:color w:val="000000"/>
        </w:rPr>
        <w:t>A structural failure identified in parallel case documentation concerns what is described as the 'evidentiary paradox' of Danish family law proceedings. Children display visible indicators of harm, fear, resistance, trauma symptoms, behavioral changes but these indicators are not recognized as legally sufficient evidence without a criminal conviction. Specific barriers compound this: children under the age of six are generally not heard despite individual maturity; audio and video recordings are not accepte</w:t>
      </w:r>
      <w:r>
        <w:rPr>
          <w:color w:val="000000"/>
        </w:rPr>
        <w:t>d as evidence; statements from older half-siblings are not consistently included; and the parent accused of violence may oppose or delay the collection of relevant assessments. In documented cases, children are interviewed only once, with no structured follow-up, despite established trauma-informed knowledge that disclosures are often delayed, memory may be fragmented, and children require time and safe conditions to disclose.</w:t>
      </w:r>
    </w:p>
    <w:p w14:paraId="7F1DA59F" w14:textId="77777777" w:rsidR="00FF2197" w:rsidRPr="00112C06" w:rsidRDefault="00876342">
      <w:pPr>
        <w:spacing w:before="280" w:after="120"/>
      </w:pPr>
      <w:r>
        <w:rPr>
          <w:b/>
          <w:bCs/>
          <w:color w:val="000000"/>
          <w:sz w:val="24"/>
          <w:szCs w:val="24"/>
        </w:rPr>
        <w:t>3.4  Language access and effective participation in proceedings</w:t>
      </w:r>
    </w:p>
    <w:p w14:paraId="2F67AF03" w14:textId="77777777" w:rsidR="00FF2197" w:rsidRPr="00112C06" w:rsidRDefault="00876342">
      <w:pPr>
        <w:spacing w:before="80" w:after="160"/>
        <w:jc w:val="both"/>
      </w:pPr>
      <w:r>
        <w:rPr>
          <w:color w:val="000000"/>
        </w:rPr>
        <w:t>Formal proceedings before Familieretshuset and the family courts are conducted in Danish. Interpretation is not guaranteed and is inconsistently provided. In the cases documented by IM VALID:</w:t>
      </w:r>
    </w:p>
    <w:p w14:paraId="37B1CF72" w14:textId="77777777" w:rsidR="00FF2197" w:rsidRPr="00112C06" w:rsidRDefault="00876342">
      <w:pPr>
        <w:pStyle w:val="ListParagraph"/>
        <w:numPr>
          <w:ilvl w:val="0"/>
          <w:numId w:val="2"/>
        </w:numPr>
        <w:spacing w:before="40" w:after="40"/>
        <w:jc w:val="both"/>
      </w:pPr>
      <w:r>
        <w:rPr>
          <w:color w:val="000000"/>
        </w:rPr>
        <w:t>Several mothers reported not fully understanding the decisions that determined the custody of their children;</w:t>
      </w:r>
    </w:p>
    <w:p w14:paraId="3B701B96" w14:textId="77777777" w:rsidR="00FF2197" w:rsidRPr="00112C06" w:rsidRDefault="00876342">
      <w:pPr>
        <w:pStyle w:val="ListParagraph"/>
        <w:numPr>
          <w:ilvl w:val="0"/>
          <w:numId w:val="2"/>
        </w:numPr>
        <w:spacing w:before="40" w:after="40"/>
        <w:jc w:val="both"/>
      </w:pPr>
      <w:r>
        <w:rPr>
          <w:color w:val="000000"/>
        </w:rPr>
        <w:t>Hearings were conducted without professional interpretation, relying instead on the caseworker's own language skills or, in some instances, on communication through the abusive partner;</w:t>
      </w:r>
    </w:p>
    <w:p w14:paraId="56DF14CB" w14:textId="77777777" w:rsidR="00FF2197" w:rsidRPr="00112C06" w:rsidRDefault="00876342">
      <w:pPr>
        <w:pStyle w:val="ListParagraph"/>
        <w:numPr>
          <w:ilvl w:val="0"/>
          <w:numId w:val="2"/>
        </w:numPr>
        <w:spacing w:before="40" w:after="40"/>
        <w:jc w:val="both"/>
      </w:pPr>
      <w:r>
        <w:rPr>
          <w:color w:val="000000"/>
        </w:rPr>
        <w:t>Legal aid is not systematically available to foreign-national mothers in family law proceedings, and the complexity of cases involving simultaneous immigration and family law proceedings exceeds the capacity of general legal aid schemes.</w:t>
      </w:r>
    </w:p>
    <w:p w14:paraId="472D9EA4" w14:textId="77777777" w:rsidR="00FF2197" w:rsidRPr="00112C06" w:rsidRDefault="00876342">
      <w:pPr>
        <w:spacing w:before="280" w:after="120"/>
      </w:pPr>
      <w:r>
        <w:rPr>
          <w:b/>
          <w:bCs/>
          <w:color w:val="000000"/>
          <w:sz w:val="24"/>
          <w:szCs w:val="24"/>
        </w:rPr>
        <w:t>3.5  Protective flight treated as child abduction — the international dimension</w:t>
      </w:r>
    </w:p>
    <w:p w14:paraId="3C2BCCD3" w14:textId="77777777" w:rsidR="00FF2197" w:rsidRPr="00112C06" w:rsidRDefault="00876342">
      <w:pPr>
        <w:spacing w:before="80" w:after="160"/>
        <w:jc w:val="both"/>
      </w:pPr>
      <w:r>
        <w:rPr>
          <w:color w:val="000000"/>
        </w:rPr>
        <w:t xml:space="preserve">Several cases in the IM VALID network involve mothers who left Denmark with their children to escape ongoing violence, in some cases with documentation of the violence from Danish authorities. In every such case, the departure — a protective act — was characterized by Familieretshuset and the courts </w:t>
      </w:r>
      <w:r>
        <w:rPr>
          <w:color w:val="000000"/>
        </w:rPr>
        <w:lastRenderedPageBreak/>
        <w:t>as evidence of parental unreliability or bad faith, and in some cases as international child abduction under the Hague Convention.</w:t>
      </w:r>
    </w:p>
    <w:p w14:paraId="775D8CEC" w14:textId="77777777" w:rsidR="00FF2197" w:rsidRPr="00112C06" w:rsidRDefault="00876342">
      <w:pPr>
        <w:spacing w:after="160"/>
        <w:jc w:val="both"/>
      </w:pPr>
      <w:r>
        <w:rPr>
          <w:color w:val="000000"/>
        </w:rPr>
        <w:t>The application of Hague Convention returns procedures without independent child safety reviews, in cases where the removal was a response to documented domestic violence, places children at risk of return to a situation of harm. GREVIO (2024) and the European Parliament (2013) have both flagged Denmark's failure to adequately integrate domestic violence considerations into Hague proceedings. IM VALID's cases confirm this pattern persists, including one case in which the father filed Hague proceedings using</w:t>
      </w:r>
      <w:r>
        <w:rPr>
          <w:color w:val="000000"/>
        </w:rPr>
        <w:t xml:space="preserve"> documentation misrepresenting his custody status — a status he did not legally hold at the time of filing — resulting in a United States court order being dismissed and the child separated from her primary caregiver at the airport.</w:t>
      </w:r>
    </w:p>
    <w:p w14:paraId="5AF42482" w14:textId="77777777" w:rsidR="00FF2197" w:rsidRPr="00112C06" w:rsidRDefault="00876342">
      <w:pPr>
        <w:spacing w:before="280" w:after="120"/>
      </w:pPr>
      <w:r>
        <w:rPr>
          <w:b/>
          <w:bCs/>
          <w:color w:val="000000"/>
          <w:sz w:val="24"/>
          <w:szCs w:val="24"/>
        </w:rPr>
        <w:t>3.6  The 'parental alienation' mechanism: how protective behavior is reframed as harm</w:t>
      </w:r>
    </w:p>
    <w:p w14:paraId="632962EB" w14:textId="77777777" w:rsidR="00FF2197" w:rsidRPr="00112C06" w:rsidRDefault="00876342">
      <w:pPr>
        <w:spacing w:before="80" w:after="160"/>
        <w:jc w:val="both"/>
      </w:pPr>
      <w:r>
        <w:rPr>
          <w:color w:val="000000"/>
        </w:rPr>
        <w:t>A specific and particularly damaging structural pattern documented by IM VALID deserves separate treatment: the informal application of 'parental alienation' reasoning within Familieretshuset and the Danish family courts to discredit mothers who raise concerns about the perpetrating parent's contact with the child. This pattern is not marginal — it is systematic, and it has a direct and identifiable impact on the best-interest analysis in each case where it is applied.</w:t>
      </w:r>
    </w:p>
    <w:p w14:paraId="45C4CD74" w14:textId="5A438CD6" w:rsidR="00FF2197" w:rsidRPr="00112C06" w:rsidRDefault="00876342">
      <w:pPr>
        <w:spacing w:after="160"/>
        <w:jc w:val="both"/>
      </w:pPr>
      <w:r>
        <w:rPr>
          <w:color w:val="000000"/>
        </w:rPr>
        <w:t>A specific legislative gap documented in Baker McKenzie’s comparative analysis of Danish domestic violence law (Baker McKenzie 2021) and corroborated by GREVIO’s 2024 findings: Danish legislation ‘does not clearly mandate taking violence into account in decisions about custody and visitation unless there is a criminal conviction.’ Given that Denmark’s prosecution rate for domestic violence is extremely low the state registered only 314 verdicts in 1,662 rape charges filed in 2019 the requirement for crimina</w:t>
      </w:r>
      <w:r>
        <w:rPr>
          <w:color w:val="000000"/>
        </w:rPr>
        <w:t>l conviction as a precondition means that in the overwhelming majority of documented domestic violence cases, the violence has no statutory weight in the family law decision. A further gap concerns the definition of psychological violence under Danish Criminal Code §243, which requires the behavior to target a person ‘in the same household.’ Once a mother has separated from the perpetrator, ongoing psychological coercion including coercive behavior at child handover points may fall outside the definition en</w:t>
      </w:r>
      <w:r>
        <w:rPr>
          <w:color w:val="000000"/>
        </w:rPr>
        <w:t>tirely.</w:t>
      </w:r>
      <w:r>
        <w:rPr>
          <w:rStyle w:val="FootnoteReference"/>
          <w:color w:val="000000"/>
        </w:rPr>
        <w:footnoteReference w:id="3"/>
      </w:r>
    </w:p>
    <w:p w14:paraId="2A0AAD30" w14:textId="77777777" w:rsidR="00FF2197" w:rsidRPr="00112C06" w:rsidRDefault="00876342">
      <w:pPr>
        <w:spacing w:after="160"/>
        <w:jc w:val="both"/>
      </w:pPr>
      <w:r>
        <w:rPr>
          <w:color w:val="000000"/>
        </w:rPr>
        <w:t>In the IM VALID network, the parental alienation mechanism operates through five identifiable steps independently corroborated by Lapierre et al. (2026) across 25 case studies in a separate jurisdiction:</w:t>
      </w:r>
    </w:p>
    <w:p w14:paraId="76A2E04D" w14:textId="77777777" w:rsidR="00FF2197" w:rsidRPr="00112C06" w:rsidRDefault="00876342">
      <w:pPr>
        <w:pStyle w:val="ListParagraph"/>
        <w:numPr>
          <w:ilvl w:val="0"/>
          <w:numId w:val="2"/>
        </w:numPr>
        <w:spacing w:before="40" w:after="40"/>
        <w:jc w:val="both"/>
      </w:pPr>
      <w:r>
        <w:rPr>
          <w:color w:val="000000"/>
        </w:rPr>
        <w:t>The mother's credibility is undermined: her account of violence is treated as biased, exaggerated, or motivated by immigration or financial considerations. Lapierre et al. found that this credibility assessment was applied asymmetrically 'no issue had been raised regarding the fathers' credibility' (p. 132) even where the fathers' accounts were uncorroborated.</w:t>
      </w:r>
    </w:p>
    <w:p w14:paraId="6183F051" w14:textId="77777777" w:rsidR="00FF2197" w:rsidRPr="00112C06" w:rsidRDefault="00876342">
      <w:pPr>
        <w:pStyle w:val="ListParagraph"/>
        <w:numPr>
          <w:ilvl w:val="0"/>
          <w:numId w:val="2"/>
        </w:numPr>
        <w:spacing w:before="40" w:after="40"/>
        <w:jc w:val="both"/>
      </w:pPr>
      <w:r>
        <w:rPr>
          <w:color w:val="000000"/>
        </w:rPr>
        <w:t>The mother's use of support services is treated as evidence against her: seeking a crisis shelter, filing a police report, or accessing legal representation is reframed as 'instrumentalizing' the system.</w:t>
      </w:r>
    </w:p>
    <w:p w14:paraId="1DA7477E" w14:textId="77777777" w:rsidR="00FF2197" w:rsidRPr="00112C06" w:rsidRDefault="00876342">
      <w:pPr>
        <w:pStyle w:val="ListParagraph"/>
        <w:numPr>
          <w:ilvl w:val="0"/>
          <w:numId w:val="2"/>
        </w:numPr>
        <w:spacing w:before="40" w:after="40"/>
        <w:jc w:val="both"/>
      </w:pPr>
      <w:r>
        <w:rPr>
          <w:color w:val="000000"/>
        </w:rPr>
        <w:lastRenderedPageBreak/>
        <w:t>The child's expressed fear of the perpetrating parent is reversed: rather than being recorded as evidence of the child's experience of violence, the child's resistance to contact is treated as evidence that the mother has been influencing the child.</w:t>
      </w:r>
    </w:p>
    <w:p w14:paraId="356E6E1D" w14:textId="77777777" w:rsidR="00FF2197" w:rsidRPr="00112C06" w:rsidRDefault="00876342">
      <w:pPr>
        <w:pStyle w:val="ListParagraph"/>
        <w:numPr>
          <w:ilvl w:val="0"/>
          <w:numId w:val="2"/>
        </w:numPr>
        <w:spacing w:before="40" w:after="40"/>
        <w:jc w:val="both"/>
      </w:pPr>
      <w:r>
        <w:rPr>
          <w:color w:val="000000"/>
        </w:rPr>
        <w:t>The mother's protective responses are classified as 'non-cooperation': attempts to limit contact or document incidents are characterized as evidence of inability to co-parent, rather than as reasonable protective responses.</w:t>
      </w:r>
    </w:p>
    <w:p w14:paraId="688310FF" w14:textId="77777777" w:rsidR="00FF2197" w:rsidRPr="00112C06" w:rsidRDefault="00876342">
      <w:pPr>
        <w:pStyle w:val="ListParagraph"/>
        <w:numPr>
          <w:ilvl w:val="0"/>
          <w:numId w:val="2"/>
        </w:numPr>
        <w:spacing w:before="40" w:after="40"/>
        <w:jc w:val="both"/>
      </w:pPr>
      <w:r>
        <w:rPr>
          <w:color w:val="000000"/>
        </w:rPr>
        <w:t>The perpetrating father's behavior is assessed through a different evidentiary standard: partial acknowledgement of inappropriate behaviors is treated as transparency; attendance at a general support programme is treated as evidence of rehabilitation.</w:t>
      </w:r>
    </w:p>
    <w:p w14:paraId="072FE4E6" w14:textId="77777777" w:rsidR="00FF2197" w:rsidRPr="00112C06" w:rsidRDefault="00876342">
      <w:pPr>
        <w:spacing w:before="80" w:after="160"/>
        <w:jc w:val="both"/>
      </w:pPr>
      <w:r>
        <w:rPr>
          <w:color w:val="000000"/>
        </w:rPr>
        <w:t>For foreign-national and migrant mothers, this mechanism has an additional dimension: the mother’s foreign nationality and immigration precarity are woven into the parental alienation narrative. Her potential ‘motivation’ to make false allegations to secure immigration status is used to pre-emptively discredit any concern she raises. Her language barriers mean she cannot adequately challenge these characterizations in real time during proceedings.</w:t>
      </w:r>
      <w:r>
        <w:rPr>
          <w:rStyle w:val="FootnoteReference"/>
          <w:color w:val="000000"/>
        </w:rPr>
        <w:footnoteReference w:id="4"/>
      </w:r>
    </w:p>
    <w:p w14:paraId="536D125C" w14:textId="77777777" w:rsidR="00FF2197" w:rsidRPr="00112C06" w:rsidRDefault="00876342">
      <w:pPr>
        <w:spacing w:before="280" w:after="120"/>
      </w:pPr>
      <w:r>
        <w:rPr>
          <w:b/>
          <w:bCs/>
          <w:color w:val="000000"/>
          <w:sz w:val="24"/>
          <w:szCs w:val="24"/>
        </w:rPr>
        <w:t>3.7  Fragmented Institutional Responsibility and Absence of Coordinated Risk Assessment</w:t>
      </w:r>
    </w:p>
    <w:p w14:paraId="1A664637" w14:textId="77777777" w:rsidR="00FF2197" w:rsidRPr="00112C06" w:rsidRDefault="00876342">
      <w:pPr>
        <w:spacing w:before="80" w:after="160"/>
        <w:jc w:val="both"/>
      </w:pPr>
      <w:r>
        <w:rPr>
          <w:color w:val="000000"/>
        </w:rPr>
        <w:t>Responsibility in Denmark for cases involving domestic violence and child protection is divided between municipal authorities, family law institutions (Familieretshuset), the courts, and the police. No single authority conducts a comprehensive, coordinated risk assessment. As a result, information is fragmented across institutions, risk is systemically underestimated as each authority relies on assessments made by others, and children fall between systems without triggering protective action from any single</w:t>
      </w:r>
      <w:r>
        <w:rPr>
          <w:color w:val="000000"/>
        </w:rPr>
        <w:t xml:space="preserve"> authority.</w:t>
      </w:r>
    </w:p>
    <w:p w14:paraId="60A069F2" w14:textId="130B4E0F" w:rsidR="00FF2197" w:rsidRPr="00112C06" w:rsidRDefault="00876342">
      <w:pPr>
        <w:spacing w:after="160"/>
        <w:jc w:val="both"/>
      </w:pPr>
      <w:r>
        <w:rPr>
          <w:color w:val="000000"/>
        </w:rPr>
        <w:t>Two concrete practices illustrate this fragmentation. First, in family law proceedings parents are instructed not to focus on past violence or abuse, but to 'look forward.' Violence against a parent is treated as legally separate from parenting capacity, meaning a parent who has committed violence may still be assessed as a suitable caregiver. Protective parents who follow police guidance such as limiting contact due to documented safety concerns are then sanctioned in family law proceedings as uncooperativ</w:t>
      </w:r>
      <w:r>
        <w:rPr>
          <w:color w:val="000000"/>
        </w:rPr>
        <w:t>e or conflict-creating, subjected to coercive enforcement, daily financial penalties, or loss of custody. In documented cases, enforcement extends to the physical detention and restraint of the protective parent at the point of child transfer a parent who is herself a victim of violence physically restrained by authorities to hand the child to the perpetrating parent. The system thus constructs an impossible position: complying with family law proceedings requires conduct that contradicts police safety guid</w:t>
      </w:r>
      <w:r>
        <w:rPr>
          <w:color w:val="000000"/>
        </w:rPr>
        <w:t>ance, and following police guidance risks family law sanctions. There is no effective protection mechanism at the point of handover: violence and intimidation may occur during the transfer itself, in the presence of the child, without any authority bearing responsibility for preventing it.</w:t>
      </w:r>
    </w:p>
    <w:p w14:paraId="050D4B13" w14:textId="77777777" w:rsidR="00FF2197" w:rsidRPr="00112C06" w:rsidRDefault="00876342">
      <w:pPr>
        <w:spacing w:after="160"/>
        <w:jc w:val="both"/>
      </w:pPr>
      <w:r>
        <w:rPr>
          <w:color w:val="000000"/>
        </w:rPr>
        <w:t xml:space="preserve">Second, in cases involving reports or notifications of violence or abuse, the police do not always have direct access to interview the child at an early stage. Initial contact with the child is frequently </w:t>
      </w:r>
      <w:r>
        <w:rPr>
          <w:color w:val="000000"/>
        </w:rPr>
        <w:lastRenderedPageBreak/>
        <w:t>conducted by municipal caseworkers who do not have specialized training in forensic interviewing or trauma-informed questioning. This practice creates a structural barrier to the effective investigation of violence and sexual abuse: the window for reliable first disclosure is managed by the least forensically equipped actor in the system.</w:t>
      </w:r>
    </w:p>
    <w:p w14:paraId="6A05C96D" w14:textId="77777777" w:rsidR="00FF2197" w:rsidRPr="00112C06" w:rsidRDefault="00876342">
      <w:pPr>
        <w:spacing w:before="280" w:after="120"/>
      </w:pPr>
      <w:r>
        <w:rPr>
          <w:b/>
          <w:bCs/>
          <w:color w:val="000000"/>
          <w:sz w:val="24"/>
          <w:szCs w:val="24"/>
        </w:rPr>
        <w:t>3.8  Reproductive coercion as a component of coercive control and its nexus with trafficking</w:t>
      </w:r>
    </w:p>
    <w:p w14:paraId="7B0D5D45" w14:textId="640FE489" w:rsidR="00FF2197" w:rsidRDefault="00876342">
      <w:pPr>
        <w:spacing w:before="80" w:after="160"/>
        <w:jc w:val="both"/>
      </w:pPr>
      <w:r>
        <w:rPr>
          <w:color w:val="000000"/>
        </w:rPr>
        <w:t>A specific and underaddressed dimension of coercive control documented within the IM VALID network concerns the use of reproductive coercion as a mechanism of domestic exploitation. Reproductive coercion encompassing contraception sabotage, pregnancy coercion, forced continuation or termination of pregnancy, and the use of pregnancy and maternity as instruments of immigration control is recognized in international human rights law as a form of gender-based violence and, in its most systematic forms, as cond</w:t>
      </w:r>
      <w:r>
        <w:rPr>
          <w:color w:val="000000"/>
        </w:rPr>
        <w:t>uct meeting the legal threshold for trafficking in persons within intimate relationships. The Istanbul Convention, which Denmark has ratified, requires states parties to criminalize forced marriage (Article 37) and forced abortion and forced sterilization (Article 38). CEDAW General Recommendation No. 38 (2020) on trafficking in women and girls in the context of global migration identifies the conditions under which domestic exploitation of migrant women — including sexual and reproductive coercion constitu</w:t>
      </w:r>
      <w:r>
        <w:rPr>
          <w:color w:val="000000"/>
        </w:rPr>
        <w:t>tes trafficking regardless of whether the victim has crossed an international border or resides outside a registered household. The Palermo Protocol’s trafficking definition requires only act, means, and purpose of exploitation. Where a foreign-national woman’s immigration status is controlled by her partner, her reproductive autonomy is eliminated, her movement restricted, and her children used as instruments of leverage, the totality of that conduct can meet the trafficking threshold within a marriage.</w:t>
      </w:r>
    </w:p>
    <w:p w14:paraId="4AC017E0" w14:textId="55A11A28" w:rsidR="00FF2197" w:rsidRDefault="00876342">
      <w:pPr>
        <w:spacing w:after="160"/>
        <w:jc w:val="both"/>
      </w:pPr>
      <w:r>
        <w:rPr>
          <w:color w:val="000000"/>
        </w:rPr>
        <w:t>For foreign-national and migrant mothers specifically, reproductive coercion operates through an additional mechanism with a documented Danish dimension: the intersection of pregnancy with immigration enforcement. The CEDAW and CRC Committees’ Joint General Recommendation No. 31/General Comment No. 18 (2014) on harmful practices establishes that forced or coerced pregnancy within marriage can constitute a form of trafficking in human beings where financial or status-based control is exercised over a woman’s</w:t>
      </w:r>
      <w:r>
        <w:rPr>
          <w:color w:val="000000"/>
        </w:rPr>
        <w:t xml:space="preserve"> reproductive capacity. Denmark’s §243 definition of psychological violence enumerates forcing another person to carry or terminate a pregnancy as a specific form of abusive behavior. However, the same barriers documented throughout this report the criminal conviction precondition, the household separation gap, and the systemic discrediting of foreign-national mothers’ accounts apply to reproductive coercion with equal and compounding force. There is no distinct legal pathway for its recognition in Danish f</w:t>
      </w:r>
      <w:r>
        <w:rPr>
          <w:color w:val="000000"/>
        </w:rPr>
        <w:t>amily law proceedings. Children born in circumstances of reproductive coercion whose existence, documentation, and family relationships have been shaped by that coercion receive no acknowledgment of that harm in any Danish proceeding, and no protective or rehabilitative response is triggered. Articles 7, 19, 24, and 34 of the Convention are directly implicated.</w:t>
      </w:r>
      <w:r>
        <w:rPr>
          <w:rStyle w:val="FootnoteReference"/>
          <w:color w:val="000000"/>
        </w:rPr>
        <w:footnoteReference w:id="5"/>
      </w:r>
    </w:p>
    <w:p w14:paraId="4660D74C" w14:textId="77777777" w:rsidR="00FF2197" w:rsidRPr="00112C06" w:rsidRDefault="00876342">
      <w:pPr>
        <w:pBdr>
          <w:bottom w:val="single" w:sz="6" w:space="4" w:color="2C5282"/>
        </w:pBdr>
        <w:spacing w:before="360" w:after="160"/>
      </w:pPr>
      <w:r>
        <w:rPr>
          <w:b/>
          <w:bCs/>
          <w:color w:val="1F3864"/>
          <w:sz w:val="28"/>
          <w:szCs w:val="28"/>
        </w:rPr>
        <w:lastRenderedPageBreak/>
        <w:t>4.  Case Documentation</w:t>
      </w:r>
    </w:p>
    <w:p w14:paraId="0C30602B" w14:textId="77777777" w:rsidR="00FF2197" w:rsidRPr="00112C06" w:rsidRDefault="00876342">
      <w:pPr>
        <w:spacing w:after="160"/>
        <w:jc w:val="both"/>
      </w:pPr>
      <w:r>
        <w:rPr>
          <w:color w:val="000000"/>
        </w:rPr>
        <w:t>The cases documented in this section are drawn from the IM VALID network. Eight individual case narratives have been received as of the date of this submission. Full case summaries are set out in the Annex to this report, submitted as a separate document in accordance with CRC submission guidelines. Annex case summaries do not count toward the report word limit.</w:t>
      </w:r>
    </w:p>
    <w:p w14:paraId="36E61821" w14:textId="77777777" w:rsidR="00FF2197" w:rsidRPr="00112C06" w:rsidRDefault="00FF2197">
      <w:pPr>
        <w:spacing w:after="80"/>
      </w:pPr>
    </w:p>
    <w:tbl>
      <w:tblPr>
        <w:tblStyle w:val="PlainTable3"/>
        <w:tblW w:w="9026" w:type="dxa"/>
        <w:tblLook w:val="0000" w:firstRow="0" w:lastRow="0" w:firstColumn="0" w:lastColumn="0" w:noHBand="0" w:noVBand="0"/>
      </w:tblPr>
      <w:tblGrid>
        <w:gridCol w:w="1200"/>
        <w:gridCol w:w="1600"/>
        <w:gridCol w:w="3426"/>
        <w:gridCol w:w="2800"/>
      </w:tblGrid>
      <w:tr w:rsidR="00FF2197" w:rsidRPr="00112C06" w14:paraId="41872B20" w14:textId="77777777" w:rsidTr="00D01479">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1200" w:type="dxa"/>
          </w:tcPr>
          <w:p w14:paraId="343880E8" w14:textId="77777777" w:rsidR="00FF2197" w:rsidRPr="00D01479" w:rsidRDefault="00876342">
            <w:pPr>
              <w:rPr>
                <w:color w:val="3A3A3A" w:themeColor="background2" w:themeShade="40"/>
              </w:rPr>
            </w:pPr>
            <w:r>
              <w:rPr>
                <w:b/>
                <w:bCs/>
                <w:color w:val="3A3A3A" w:themeColor="background2" w:themeShade="40"/>
                <w:sz w:val="20"/>
                <w:szCs w:val="20"/>
              </w:rPr>
              <w:t>Case</w:t>
            </w:r>
          </w:p>
        </w:tc>
        <w:tc>
          <w:tcPr>
            <w:tcW w:w="1600" w:type="dxa"/>
          </w:tcPr>
          <w:p w14:paraId="76B612BA" w14:textId="77777777" w:rsidR="00FF2197" w:rsidRPr="00D01479" w:rsidRDefault="00876342">
            <w:pPr>
              <w:cnfStyle w:val="000000100000" w:firstRow="0" w:lastRow="0" w:firstColumn="0" w:lastColumn="0" w:oddVBand="0" w:evenVBand="0" w:oddHBand="1" w:evenHBand="0" w:firstRowFirstColumn="0" w:firstRowLastColumn="0" w:lastRowFirstColumn="0" w:lastRowLastColumn="0"/>
              <w:rPr>
                <w:color w:val="3A3A3A" w:themeColor="background2" w:themeShade="40"/>
              </w:rPr>
            </w:pPr>
            <w:r>
              <w:rPr>
                <w:b/>
                <w:bCs/>
                <w:color w:val="3A3A3A" w:themeColor="background2" w:themeShade="40"/>
                <w:sz w:val="20"/>
                <w:szCs w:val="20"/>
              </w:rPr>
              <w:t>Nationality</w:t>
            </w:r>
          </w:p>
        </w:tc>
        <w:tc>
          <w:tcPr>
            <w:cnfStyle w:val="000010000000" w:firstRow="0" w:lastRow="0" w:firstColumn="0" w:lastColumn="0" w:oddVBand="1" w:evenVBand="0" w:oddHBand="0" w:evenHBand="0" w:firstRowFirstColumn="0" w:firstRowLastColumn="0" w:lastRowFirstColumn="0" w:lastRowLastColumn="0"/>
            <w:tcW w:w="3426" w:type="dxa"/>
          </w:tcPr>
          <w:p w14:paraId="41F97097" w14:textId="77777777" w:rsidR="00FF2197" w:rsidRPr="00D01479" w:rsidRDefault="00876342">
            <w:pPr>
              <w:rPr>
                <w:color w:val="3A3A3A" w:themeColor="background2" w:themeShade="40"/>
              </w:rPr>
            </w:pPr>
            <w:r>
              <w:rPr>
                <w:b/>
                <w:bCs/>
                <w:color w:val="3A3A3A" w:themeColor="background2" w:themeShade="40"/>
                <w:sz w:val="20"/>
                <w:szCs w:val="20"/>
              </w:rPr>
              <w:t>Child(ren)</w:t>
            </w:r>
          </w:p>
        </w:tc>
        <w:tc>
          <w:tcPr>
            <w:tcW w:w="2800" w:type="dxa"/>
          </w:tcPr>
          <w:p w14:paraId="196136FC" w14:textId="77777777" w:rsidR="00FF2197" w:rsidRPr="00D01479" w:rsidRDefault="00876342">
            <w:pPr>
              <w:cnfStyle w:val="000000100000" w:firstRow="0" w:lastRow="0" w:firstColumn="0" w:lastColumn="0" w:oddVBand="0" w:evenVBand="0" w:oddHBand="1" w:evenHBand="0" w:firstRowFirstColumn="0" w:firstRowLastColumn="0" w:lastRowFirstColumn="0" w:lastRowLastColumn="0"/>
              <w:rPr>
                <w:color w:val="3A3A3A" w:themeColor="background2" w:themeShade="40"/>
              </w:rPr>
            </w:pPr>
            <w:r>
              <w:rPr>
                <w:b/>
                <w:bCs/>
                <w:color w:val="3A3A3A" w:themeColor="background2" w:themeShade="40"/>
                <w:sz w:val="20"/>
                <w:szCs w:val="20"/>
              </w:rPr>
              <w:t>Key CRC Articles</w:t>
            </w:r>
          </w:p>
        </w:tc>
      </w:tr>
      <w:tr w:rsidR="00FF2197" w:rsidRPr="00112C06" w14:paraId="78C5ECF5" w14:textId="77777777" w:rsidTr="00D01479">
        <w:trPr>
          <w:trHeight w:val="360"/>
        </w:trPr>
        <w:tc>
          <w:tcPr>
            <w:cnfStyle w:val="000010000000" w:firstRow="0" w:lastRow="0" w:firstColumn="0" w:lastColumn="0" w:oddVBand="1" w:evenVBand="0" w:oddHBand="0" w:evenHBand="0" w:firstRowFirstColumn="0" w:firstRowLastColumn="0" w:lastRowFirstColumn="0" w:lastRowLastColumn="0"/>
            <w:tcW w:w="1200" w:type="dxa"/>
          </w:tcPr>
          <w:p w14:paraId="798E52B2" w14:textId="77777777" w:rsidR="00FF2197" w:rsidRPr="00D01479" w:rsidRDefault="00876342">
            <w:pPr>
              <w:rPr>
                <w:color w:val="3A3A3A" w:themeColor="background2" w:themeShade="40"/>
              </w:rPr>
            </w:pPr>
            <w:r>
              <w:rPr>
                <w:b/>
                <w:bCs/>
                <w:color w:val="3A3A3A" w:themeColor="background2" w:themeShade="40"/>
                <w:sz w:val="20"/>
                <w:szCs w:val="20"/>
              </w:rPr>
              <w:t>Case 01</w:t>
            </w:r>
          </w:p>
        </w:tc>
        <w:tc>
          <w:tcPr>
            <w:tcW w:w="1600" w:type="dxa"/>
          </w:tcPr>
          <w:p w14:paraId="64078254"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American</w:t>
            </w:r>
          </w:p>
        </w:tc>
        <w:tc>
          <w:tcPr>
            <w:cnfStyle w:val="000010000000" w:firstRow="0" w:lastRow="0" w:firstColumn="0" w:lastColumn="0" w:oddVBand="1" w:evenVBand="0" w:oddHBand="0" w:evenHBand="0" w:firstRowFirstColumn="0" w:firstRowLastColumn="0" w:lastRowFirstColumn="0" w:lastRowLastColumn="0"/>
            <w:tcW w:w="3426" w:type="dxa"/>
          </w:tcPr>
          <w:p w14:paraId="0F1FC089" w14:textId="77777777" w:rsidR="00FF2197" w:rsidRPr="00112C06" w:rsidRDefault="00876342">
            <w:r>
              <w:rPr>
                <w:color w:val="000000"/>
                <w:sz w:val="20"/>
                <w:szCs w:val="20"/>
              </w:rPr>
              <w:t>Multiple children, minor ages</w:t>
            </w:r>
          </w:p>
        </w:tc>
        <w:tc>
          <w:tcPr>
            <w:tcW w:w="2800" w:type="dxa"/>
          </w:tcPr>
          <w:p w14:paraId="502A1073"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Arts. 2, 3, 9, 19</w:t>
            </w:r>
          </w:p>
        </w:tc>
      </w:tr>
      <w:tr w:rsidR="00FF2197" w:rsidRPr="00112C06" w14:paraId="67BB2D1B" w14:textId="77777777" w:rsidTr="00D01479">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1200" w:type="dxa"/>
          </w:tcPr>
          <w:p w14:paraId="5C206365" w14:textId="77777777" w:rsidR="00FF2197" w:rsidRPr="00D01479" w:rsidRDefault="00876342">
            <w:pPr>
              <w:rPr>
                <w:color w:val="3A3A3A" w:themeColor="background2" w:themeShade="40"/>
              </w:rPr>
            </w:pPr>
            <w:r>
              <w:rPr>
                <w:b/>
                <w:bCs/>
                <w:color w:val="3A3A3A" w:themeColor="background2" w:themeShade="40"/>
                <w:sz w:val="20"/>
                <w:szCs w:val="20"/>
              </w:rPr>
              <w:t>Case 02</w:t>
            </w:r>
          </w:p>
        </w:tc>
        <w:tc>
          <w:tcPr>
            <w:tcW w:w="1600" w:type="dxa"/>
          </w:tcPr>
          <w:p w14:paraId="61920536" w14:textId="77777777" w:rsidR="00FF2197" w:rsidRPr="00112C06" w:rsidRDefault="00876342">
            <w:pPr>
              <w:cnfStyle w:val="000000100000" w:firstRow="0" w:lastRow="0" w:firstColumn="0" w:lastColumn="0" w:oddVBand="0" w:evenVBand="0" w:oddHBand="1" w:evenHBand="0" w:firstRowFirstColumn="0" w:firstRowLastColumn="0" w:lastRowFirstColumn="0" w:lastRowLastColumn="0"/>
            </w:pPr>
            <w:r>
              <w:rPr>
                <w:color w:val="000000"/>
                <w:sz w:val="20"/>
                <w:szCs w:val="20"/>
              </w:rPr>
              <w:t>Filipino</w:t>
            </w:r>
          </w:p>
        </w:tc>
        <w:tc>
          <w:tcPr>
            <w:cnfStyle w:val="000010000000" w:firstRow="0" w:lastRow="0" w:firstColumn="0" w:lastColumn="0" w:oddVBand="1" w:evenVBand="0" w:oddHBand="0" w:evenHBand="0" w:firstRowFirstColumn="0" w:firstRowLastColumn="0" w:lastRowFirstColumn="0" w:lastRowLastColumn="0"/>
            <w:tcW w:w="3426" w:type="dxa"/>
          </w:tcPr>
          <w:p w14:paraId="39DEDB8F" w14:textId="77777777" w:rsidR="00FF2197" w:rsidRPr="00112C06" w:rsidRDefault="00876342">
            <w:r>
              <w:rPr>
                <w:color w:val="000000"/>
                <w:sz w:val="20"/>
                <w:szCs w:val="20"/>
              </w:rPr>
              <w:t>Two children — boy 5, girl 2</w:t>
            </w:r>
          </w:p>
        </w:tc>
        <w:tc>
          <w:tcPr>
            <w:tcW w:w="2800" w:type="dxa"/>
          </w:tcPr>
          <w:p w14:paraId="3599C8DA" w14:textId="77777777" w:rsidR="00FF2197" w:rsidRPr="00112C06" w:rsidRDefault="00876342">
            <w:pPr>
              <w:cnfStyle w:val="000000100000" w:firstRow="0" w:lastRow="0" w:firstColumn="0" w:lastColumn="0" w:oddVBand="0" w:evenVBand="0" w:oddHBand="1" w:evenHBand="0" w:firstRowFirstColumn="0" w:firstRowLastColumn="0" w:lastRowFirstColumn="0" w:lastRowLastColumn="0"/>
            </w:pPr>
            <w:r>
              <w:rPr>
                <w:color w:val="000000"/>
                <w:sz w:val="20"/>
                <w:szCs w:val="20"/>
              </w:rPr>
              <w:t>Arts. 2, 3, 12, 19, 24</w:t>
            </w:r>
          </w:p>
        </w:tc>
      </w:tr>
      <w:tr w:rsidR="00FF2197" w:rsidRPr="00112C06" w14:paraId="083B853F" w14:textId="77777777" w:rsidTr="00D01479">
        <w:trPr>
          <w:trHeight w:val="360"/>
        </w:trPr>
        <w:tc>
          <w:tcPr>
            <w:cnfStyle w:val="000010000000" w:firstRow="0" w:lastRow="0" w:firstColumn="0" w:lastColumn="0" w:oddVBand="1" w:evenVBand="0" w:oddHBand="0" w:evenHBand="0" w:firstRowFirstColumn="0" w:firstRowLastColumn="0" w:lastRowFirstColumn="0" w:lastRowLastColumn="0"/>
            <w:tcW w:w="1200" w:type="dxa"/>
          </w:tcPr>
          <w:p w14:paraId="12BE63D1" w14:textId="77777777" w:rsidR="00FF2197" w:rsidRPr="00D01479" w:rsidRDefault="00876342">
            <w:pPr>
              <w:rPr>
                <w:color w:val="3A3A3A" w:themeColor="background2" w:themeShade="40"/>
              </w:rPr>
            </w:pPr>
            <w:r>
              <w:rPr>
                <w:b/>
                <w:bCs/>
                <w:color w:val="3A3A3A" w:themeColor="background2" w:themeShade="40"/>
                <w:sz w:val="20"/>
                <w:szCs w:val="20"/>
              </w:rPr>
              <w:t>Case 03</w:t>
            </w:r>
          </w:p>
        </w:tc>
        <w:tc>
          <w:tcPr>
            <w:tcW w:w="1600" w:type="dxa"/>
          </w:tcPr>
          <w:p w14:paraId="2D07F7D5"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Norwegian</w:t>
            </w:r>
          </w:p>
        </w:tc>
        <w:tc>
          <w:tcPr>
            <w:cnfStyle w:val="000010000000" w:firstRow="0" w:lastRow="0" w:firstColumn="0" w:lastColumn="0" w:oddVBand="1" w:evenVBand="0" w:oddHBand="0" w:evenHBand="0" w:firstRowFirstColumn="0" w:firstRowLastColumn="0" w:lastRowFirstColumn="0" w:lastRowLastColumn="0"/>
            <w:tcW w:w="3426" w:type="dxa"/>
          </w:tcPr>
          <w:p w14:paraId="25BB74FB" w14:textId="77777777" w:rsidR="00FF2197" w:rsidRPr="00112C06" w:rsidRDefault="00876342">
            <w:r>
              <w:rPr>
                <w:color w:val="000000"/>
                <w:sz w:val="20"/>
                <w:szCs w:val="20"/>
              </w:rPr>
              <w:t>Two daughters, ages 13 and 9</w:t>
            </w:r>
          </w:p>
        </w:tc>
        <w:tc>
          <w:tcPr>
            <w:tcW w:w="2800" w:type="dxa"/>
          </w:tcPr>
          <w:p w14:paraId="2383896B"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Arts. 3, 9, 12, 19, 39</w:t>
            </w:r>
          </w:p>
        </w:tc>
      </w:tr>
      <w:tr w:rsidR="00FF2197" w:rsidRPr="00112C06" w14:paraId="55FA116C" w14:textId="77777777" w:rsidTr="00D01479">
        <w:trPr>
          <w:cnfStyle w:val="000000100000" w:firstRow="0" w:lastRow="0" w:firstColumn="0" w:lastColumn="0" w:oddVBand="0" w:evenVBand="0" w:oddHBand="1" w:evenHBand="0" w:firstRowFirstColumn="0" w:firstRowLastColumn="0" w:lastRowFirstColumn="0" w:lastRowLastColumn="0"/>
          <w:trHeight w:val="369"/>
        </w:trPr>
        <w:tc>
          <w:tcPr>
            <w:cnfStyle w:val="000010000000" w:firstRow="0" w:lastRow="0" w:firstColumn="0" w:lastColumn="0" w:oddVBand="1" w:evenVBand="0" w:oddHBand="0" w:evenHBand="0" w:firstRowFirstColumn="0" w:firstRowLastColumn="0" w:lastRowFirstColumn="0" w:lastRowLastColumn="0"/>
            <w:tcW w:w="1200" w:type="dxa"/>
          </w:tcPr>
          <w:p w14:paraId="6E737E47" w14:textId="77777777" w:rsidR="00FF2197" w:rsidRPr="00D01479" w:rsidRDefault="00876342">
            <w:pPr>
              <w:rPr>
                <w:color w:val="3A3A3A" w:themeColor="background2" w:themeShade="40"/>
              </w:rPr>
            </w:pPr>
            <w:r>
              <w:rPr>
                <w:b/>
                <w:bCs/>
                <w:color w:val="3A3A3A" w:themeColor="background2" w:themeShade="40"/>
                <w:sz w:val="20"/>
                <w:szCs w:val="20"/>
              </w:rPr>
              <w:t>Case 04</w:t>
            </w:r>
          </w:p>
        </w:tc>
        <w:tc>
          <w:tcPr>
            <w:tcW w:w="1600" w:type="dxa"/>
          </w:tcPr>
          <w:p w14:paraId="5FC05311" w14:textId="77777777" w:rsidR="00FF2197" w:rsidRPr="00112C06" w:rsidRDefault="00876342">
            <w:pPr>
              <w:cnfStyle w:val="000000100000" w:firstRow="0" w:lastRow="0" w:firstColumn="0" w:lastColumn="0" w:oddVBand="0" w:evenVBand="0" w:oddHBand="1" w:evenHBand="0" w:firstRowFirstColumn="0" w:firstRowLastColumn="0" w:lastRowFirstColumn="0" w:lastRowLastColumn="0"/>
            </w:pPr>
            <w:r>
              <w:rPr>
                <w:color w:val="000000"/>
                <w:sz w:val="20"/>
                <w:szCs w:val="20"/>
              </w:rPr>
              <w:t>Canadian</w:t>
            </w:r>
          </w:p>
        </w:tc>
        <w:tc>
          <w:tcPr>
            <w:cnfStyle w:val="000010000000" w:firstRow="0" w:lastRow="0" w:firstColumn="0" w:lastColumn="0" w:oddVBand="1" w:evenVBand="0" w:oddHBand="0" w:evenHBand="0" w:firstRowFirstColumn="0" w:firstRowLastColumn="0" w:lastRowFirstColumn="0" w:lastRowLastColumn="0"/>
            <w:tcW w:w="3426" w:type="dxa"/>
          </w:tcPr>
          <w:p w14:paraId="703F94F4" w14:textId="77777777" w:rsidR="00FF2197" w:rsidRPr="00112C06" w:rsidRDefault="00876342">
            <w:r>
              <w:rPr>
                <w:color w:val="000000"/>
                <w:sz w:val="20"/>
                <w:szCs w:val="20"/>
              </w:rPr>
              <w:t>One son, young child</w:t>
            </w:r>
          </w:p>
        </w:tc>
        <w:tc>
          <w:tcPr>
            <w:tcW w:w="2800" w:type="dxa"/>
          </w:tcPr>
          <w:p w14:paraId="5242566A" w14:textId="77777777" w:rsidR="00FF2197" w:rsidRPr="00112C06" w:rsidRDefault="00876342">
            <w:pPr>
              <w:cnfStyle w:val="000000100000" w:firstRow="0" w:lastRow="0" w:firstColumn="0" w:lastColumn="0" w:oddVBand="0" w:evenVBand="0" w:oddHBand="1" w:evenHBand="0" w:firstRowFirstColumn="0" w:firstRowLastColumn="0" w:lastRowFirstColumn="0" w:lastRowLastColumn="0"/>
            </w:pPr>
            <w:r>
              <w:rPr>
                <w:color w:val="000000"/>
                <w:sz w:val="20"/>
                <w:szCs w:val="20"/>
              </w:rPr>
              <w:t>Arts. 2, 3, 9, 11, 12, 19</w:t>
            </w:r>
          </w:p>
        </w:tc>
      </w:tr>
      <w:tr w:rsidR="00FF2197" w:rsidRPr="00112C06" w14:paraId="546EFE79" w14:textId="77777777" w:rsidTr="00D01479">
        <w:trPr>
          <w:trHeight w:val="351"/>
        </w:trPr>
        <w:tc>
          <w:tcPr>
            <w:cnfStyle w:val="000010000000" w:firstRow="0" w:lastRow="0" w:firstColumn="0" w:lastColumn="0" w:oddVBand="1" w:evenVBand="0" w:oddHBand="0" w:evenHBand="0" w:firstRowFirstColumn="0" w:firstRowLastColumn="0" w:lastRowFirstColumn="0" w:lastRowLastColumn="0"/>
            <w:tcW w:w="1200" w:type="dxa"/>
          </w:tcPr>
          <w:p w14:paraId="757B522B" w14:textId="77777777" w:rsidR="00FF2197" w:rsidRPr="00D01479" w:rsidRDefault="00876342">
            <w:pPr>
              <w:rPr>
                <w:color w:val="3A3A3A" w:themeColor="background2" w:themeShade="40"/>
              </w:rPr>
            </w:pPr>
            <w:r>
              <w:rPr>
                <w:b/>
                <w:bCs/>
                <w:color w:val="3A3A3A" w:themeColor="background2" w:themeShade="40"/>
                <w:sz w:val="20"/>
                <w:szCs w:val="20"/>
              </w:rPr>
              <w:t>Case 05</w:t>
            </w:r>
          </w:p>
        </w:tc>
        <w:tc>
          <w:tcPr>
            <w:tcW w:w="1600" w:type="dxa"/>
          </w:tcPr>
          <w:p w14:paraId="170C3814"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American</w:t>
            </w:r>
          </w:p>
        </w:tc>
        <w:tc>
          <w:tcPr>
            <w:cnfStyle w:val="000010000000" w:firstRow="0" w:lastRow="0" w:firstColumn="0" w:lastColumn="0" w:oddVBand="1" w:evenVBand="0" w:oddHBand="0" w:evenHBand="0" w:firstRowFirstColumn="0" w:firstRowLastColumn="0" w:lastRowFirstColumn="0" w:lastRowLastColumn="0"/>
            <w:tcW w:w="3426" w:type="dxa"/>
          </w:tcPr>
          <w:p w14:paraId="4AD025DD" w14:textId="77777777" w:rsidR="00FF2197" w:rsidRPr="00112C06" w:rsidRDefault="00876342">
            <w:r>
              <w:rPr>
                <w:color w:val="000000"/>
                <w:sz w:val="20"/>
                <w:szCs w:val="20"/>
              </w:rPr>
              <w:t>Multiple children incl. PDD-NOS</w:t>
            </w:r>
          </w:p>
        </w:tc>
        <w:tc>
          <w:tcPr>
            <w:tcW w:w="2800" w:type="dxa"/>
          </w:tcPr>
          <w:p w14:paraId="2E497DE1"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Arts. 2, 3, 9, 19, 39</w:t>
            </w:r>
          </w:p>
        </w:tc>
      </w:tr>
      <w:tr w:rsidR="00FF2197" w:rsidRPr="00112C06" w14:paraId="217C3728" w14:textId="77777777" w:rsidTr="00D01479">
        <w:trPr>
          <w:cnfStyle w:val="000000100000" w:firstRow="0" w:lastRow="0" w:firstColumn="0" w:lastColumn="0" w:oddVBand="0" w:evenVBand="0" w:oddHBand="1" w:evenHBand="0" w:firstRowFirstColumn="0" w:firstRowLastColumn="0" w:lastRowFirstColumn="0" w:lastRowLastColumn="0"/>
          <w:trHeight w:val="360"/>
        </w:trPr>
        <w:tc>
          <w:tcPr>
            <w:cnfStyle w:val="000010000000" w:firstRow="0" w:lastRow="0" w:firstColumn="0" w:lastColumn="0" w:oddVBand="1" w:evenVBand="0" w:oddHBand="0" w:evenHBand="0" w:firstRowFirstColumn="0" w:firstRowLastColumn="0" w:lastRowFirstColumn="0" w:lastRowLastColumn="0"/>
            <w:tcW w:w="1200" w:type="dxa"/>
          </w:tcPr>
          <w:p w14:paraId="41254AB6" w14:textId="77777777" w:rsidR="00FF2197" w:rsidRPr="00D01479" w:rsidRDefault="00876342">
            <w:pPr>
              <w:rPr>
                <w:color w:val="3A3A3A" w:themeColor="background2" w:themeShade="40"/>
              </w:rPr>
            </w:pPr>
            <w:r>
              <w:rPr>
                <w:b/>
                <w:bCs/>
                <w:color w:val="3A3A3A" w:themeColor="background2" w:themeShade="40"/>
                <w:sz w:val="20"/>
                <w:szCs w:val="20"/>
              </w:rPr>
              <w:t>Case 06</w:t>
            </w:r>
          </w:p>
        </w:tc>
        <w:tc>
          <w:tcPr>
            <w:tcW w:w="1600" w:type="dxa"/>
          </w:tcPr>
          <w:p w14:paraId="4EB01164" w14:textId="77777777" w:rsidR="00FF2197" w:rsidRPr="00112C06" w:rsidRDefault="00876342">
            <w:pPr>
              <w:cnfStyle w:val="000000100000" w:firstRow="0" w:lastRow="0" w:firstColumn="0" w:lastColumn="0" w:oddVBand="0" w:evenVBand="0" w:oddHBand="1" w:evenHBand="0" w:firstRowFirstColumn="0" w:firstRowLastColumn="0" w:lastRowFirstColumn="0" w:lastRowLastColumn="0"/>
            </w:pPr>
            <w:r>
              <w:rPr>
                <w:color w:val="000000"/>
                <w:sz w:val="20"/>
                <w:szCs w:val="20"/>
              </w:rPr>
              <w:t>Canadian</w:t>
            </w:r>
          </w:p>
        </w:tc>
        <w:tc>
          <w:tcPr>
            <w:cnfStyle w:val="000010000000" w:firstRow="0" w:lastRow="0" w:firstColumn="0" w:lastColumn="0" w:oddVBand="1" w:evenVBand="0" w:oddHBand="0" w:evenHBand="0" w:firstRowFirstColumn="0" w:firstRowLastColumn="0" w:lastRowFirstColumn="0" w:lastRowLastColumn="0"/>
            <w:tcW w:w="3426" w:type="dxa"/>
          </w:tcPr>
          <w:p w14:paraId="53980B09" w14:textId="77777777" w:rsidR="00FF2197" w:rsidRPr="00112C06" w:rsidRDefault="00876342">
            <w:r>
              <w:rPr>
                <w:color w:val="000000"/>
                <w:sz w:val="20"/>
                <w:szCs w:val="20"/>
              </w:rPr>
              <w:t>One daughter, one son</w:t>
            </w:r>
          </w:p>
        </w:tc>
        <w:tc>
          <w:tcPr>
            <w:tcW w:w="2800" w:type="dxa"/>
          </w:tcPr>
          <w:p w14:paraId="0AEC2CB8" w14:textId="77777777" w:rsidR="00FF2197" w:rsidRPr="00112C06" w:rsidRDefault="00876342">
            <w:pPr>
              <w:cnfStyle w:val="000000100000" w:firstRow="0" w:lastRow="0" w:firstColumn="0" w:lastColumn="0" w:oddVBand="0" w:evenVBand="0" w:oddHBand="1" w:evenHBand="0" w:firstRowFirstColumn="0" w:firstRowLastColumn="0" w:lastRowFirstColumn="0" w:lastRowLastColumn="0"/>
            </w:pPr>
            <w:r>
              <w:rPr>
                <w:color w:val="000000"/>
                <w:sz w:val="20"/>
                <w:szCs w:val="20"/>
              </w:rPr>
              <w:t>Arts. 2, 3, 9, 11, 12, 19, 24</w:t>
            </w:r>
          </w:p>
        </w:tc>
      </w:tr>
      <w:tr w:rsidR="00FF2197" w:rsidRPr="00112C06" w14:paraId="6050A1DB" w14:textId="77777777" w:rsidTr="00D01479">
        <w:tc>
          <w:tcPr>
            <w:cnfStyle w:val="000010000000" w:firstRow="0" w:lastRow="0" w:firstColumn="0" w:lastColumn="0" w:oddVBand="1" w:evenVBand="0" w:oddHBand="0" w:evenHBand="0" w:firstRowFirstColumn="0" w:firstRowLastColumn="0" w:lastRowFirstColumn="0" w:lastRowLastColumn="0"/>
            <w:tcW w:w="1200" w:type="dxa"/>
          </w:tcPr>
          <w:p w14:paraId="355CC8BB" w14:textId="77777777" w:rsidR="00FF2197" w:rsidRPr="00D01479" w:rsidRDefault="00876342">
            <w:pPr>
              <w:rPr>
                <w:color w:val="3A3A3A" w:themeColor="background2" w:themeShade="40"/>
              </w:rPr>
            </w:pPr>
            <w:r>
              <w:rPr>
                <w:b/>
                <w:bCs/>
                <w:color w:val="3A3A3A" w:themeColor="background2" w:themeShade="40"/>
                <w:sz w:val="20"/>
                <w:szCs w:val="20"/>
              </w:rPr>
              <w:t>Case 07</w:t>
            </w:r>
          </w:p>
        </w:tc>
        <w:tc>
          <w:tcPr>
            <w:tcW w:w="1600" w:type="dxa"/>
          </w:tcPr>
          <w:p w14:paraId="438D878C"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American</w:t>
            </w:r>
          </w:p>
        </w:tc>
        <w:tc>
          <w:tcPr>
            <w:cnfStyle w:val="000010000000" w:firstRow="0" w:lastRow="0" w:firstColumn="0" w:lastColumn="0" w:oddVBand="1" w:evenVBand="0" w:oddHBand="0" w:evenHBand="0" w:firstRowFirstColumn="0" w:firstRowLastColumn="0" w:lastRowFirstColumn="0" w:lastRowLastColumn="0"/>
            <w:tcW w:w="3426" w:type="dxa"/>
          </w:tcPr>
          <w:p w14:paraId="2795E8FE" w14:textId="77777777" w:rsidR="00FF2197" w:rsidRPr="00112C06" w:rsidRDefault="00876342">
            <w:r>
              <w:rPr>
                <w:color w:val="000000"/>
                <w:sz w:val="20"/>
                <w:szCs w:val="20"/>
              </w:rPr>
              <w:t>One daughter, age 4 (autism, speech delay)</w:t>
            </w:r>
          </w:p>
        </w:tc>
        <w:tc>
          <w:tcPr>
            <w:tcW w:w="2800" w:type="dxa"/>
          </w:tcPr>
          <w:p w14:paraId="3D1817AA" w14:textId="77777777" w:rsidR="00FF2197" w:rsidRPr="00112C06" w:rsidRDefault="00876342">
            <w:pPr>
              <w:cnfStyle w:val="000000000000" w:firstRow="0" w:lastRow="0" w:firstColumn="0" w:lastColumn="0" w:oddVBand="0" w:evenVBand="0" w:oddHBand="0" w:evenHBand="0" w:firstRowFirstColumn="0" w:firstRowLastColumn="0" w:lastRowFirstColumn="0" w:lastRowLastColumn="0"/>
            </w:pPr>
            <w:r>
              <w:rPr>
                <w:color w:val="000000"/>
                <w:sz w:val="20"/>
                <w:szCs w:val="20"/>
              </w:rPr>
              <w:t>Arts. 2, 3, 8, 9, 11, 12, 19, 24, 34, 39</w:t>
            </w:r>
          </w:p>
        </w:tc>
      </w:tr>
      <w:tr w:rsidR="008C3499" w:rsidRPr="00112C06" w14:paraId="3285163F" w14:textId="77777777" w:rsidTr="00D0147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00" w:type="dxa"/>
          </w:tcPr>
          <w:p w14:paraId="204754BD" w14:textId="069C8DDF" w:rsidR="008C3499" w:rsidRDefault="008C3499" w:rsidP="008C3499">
            <w:pPr>
              <w:rPr>
                <w:b/>
                <w:bCs/>
                <w:color w:val="3A3A3A" w:themeColor="background2" w:themeShade="40"/>
                <w:sz w:val="20"/>
                <w:szCs w:val="20"/>
              </w:rPr>
            </w:pPr>
            <w:r>
              <w:rPr>
                <w:rFonts w:ascii="Roboto" w:hAnsi="Roboto"/>
                <w:color w:val="000000" w:themeColor="text1"/>
                <w:sz w:val="20"/>
                <w:szCs w:val="20"/>
              </w:rPr>
              <w:t>Case 08</w:t>
            </w:r>
          </w:p>
        </w:tc>
        <w:tc>
          <w:tcPr>
            <w:tcW w:w="1600" w:type="dxa"/>
          </w:tcPr>
          <w:p w14:paraId="6B8A9021" w14:textId="3EFB6161" w:rsidR="008C3499" w:rsidRDefault="008C3499" w:rsidP="008C3499">
            <w:pPr>
              <w:cnfStyle w:val="000000100000" w:firstRow="0" w:lastRow="0" w:firstColumn="0" w:lastColumn="0" w:oddVBand="0" w:evenVBand="0" w:oddHBand="1" w:evenHBand="0" w:firstRowFirstColumn="0" w:firstRowLastColumn="0" w:lastRowFirstColumn="0" w:lastRowLastColumn="0"/>
              <w:rPr>
                <w:color w:val="000000"/>
                <w:sz w:val="20"/>
                <w:szCs w:val="20"/>
              </w:rPr>
            </w:pPr>
            <w:r>
              <w:rPr>
                <w:rFonts w:ascii="Roboto" w:hAnsi="Roboto"/>
                <w:color w:val="000000"/>
                <w:sz w:val="20"/>
                <w:szCs w:val="20"/>
              </w:rPr>
              <w:t>Canadian</w:t>
            </w:r>
          </w:p>
        </w:tc>
        <w:tc>
          <w:tcPr>
            <w:cnfStyle w:val="000010000000" w:firstRow="0" w:lastRow="0" w:firstColumn="0" w:lastColumn="0" w:oddVBand="1" w:evenVBand="0" w:oddHBand="0" w:evenHBand="0" w:firstRowFirstColumn="0" w:firstRowLastColumn="0" w:lastRowFirstColumn="0" w:lastRowLastColumn="0"/>
            <w:tcW w:w="3426" w:type="dxa"/>
          </w:tcPr>
          <w:p w14:paraId="3DC8280B" w14:textId="4CD39703" w:rsidR="008C3499" w:rsidRDefault="008C3499" w:rsidP="008C3499">
            <w:pPr>
              <w:rPr>
                <w:color w:val="000000"/>
                <w:sz w:val="20"/>
                <w:szCs w:val="20"/>
              </w:rPr>
            </w:pPr>
            <w:r>
              <w:rPr>
                <w:rFonts w:ascii="Roboto" w:hAnsi="Roboto"/>
                <w:color w:val="000000"/>
                <w:sz w:val="20"/>
                <w:szCs w:val="20"/>
              </w:rPr>
              <w:t>One son, age 10, born in Denmark, dual nationality</w:t>
            </w:r>
          </w:p>
        </w:tc>
        <w:tc>
          <w:tcPr>
            <w:tcW w:w="2800" w:type="dxa"/>
          </w:tcPr>
          <w:p w14:paraId="42B4F0C2" w14:textId="6C552095" w:rsidR="008C3499" w:rsidRDefault="008C3499" w:rsidP="008C3499">
            <w:pPr>
              <w:cnfStyle w:val="000000100000" w:firstRow="0" w:lastRow="0" w:firstColumn="0" w:lastColumn="0" w:oddVBand="0" w:evenVBand="0" w:oddHBand="1" w:evenHBand="0" w:firstRowFirstColumn="0" w:firstRowLastColumn="0" w:lastRowFirstColumn="0" w:lastRowLastColumn="0"/>
              <w:rPr>
                <w:color w:val="000000"/>
                <w:sz w:val="20"/>
                <w:szCs w:val="20"/>
              </w:rPr>
            </w:pPr>
            <w:r>
              <w:rPr>
                <w:rFonts w:ascii="Roboto" w:hAnsi="Roboto"/>
                <w:color w:val="000000"/>
                <w:sz w:val="20"/>
                <w:szCs w:val="20"/>
              </w:rPr>
              <w:t>Arts. 2, 3, 12, 19, 24, 27, 39</w:t>
            </w:r>
          </w:p>
        </w:tc>
      </w:tr>
    </w:tbl>
    <w:p w14:paraId="105E4B3E" w14:textId="77777777" w:rsidR="00FF2197" w:rsidRPr="00112C06" w:rsidRDefault="00FF2197">
      <w:pPr>
        <w:spacing w:after="80"/>
      </w:pPr>
    </w:p>
    <w:p w14:paraId="0C794698" w14:textId="44AD24AB" w:rsidR="00FF2197" w:rsidRPr="00112C06" w:rsidRDefault="00876342">
      <w:pPr>
        <w:spacing w:after="160"/>
      </w:pPr>
      <w:r>
        <w:rPr>
          <w:i/>
          <w:iCs/>
          <w:color w:val="000000"/>
          <w:sz w:val="20"/>
          <w:szCs w:val="20"/>
        </w:rPr>
        <w:t>See Annex — IM VALID Case Documentation, Cases 01–08, submitted as a separate document.</w:t>
      </w:r>
    </w:p>
    <w:p w14:paraId="2395EA1F" w14:textId="77777777" w:rsidR="00FF2197" w:rsidRPr="00112C06" w:rsidRDefault="00876342">
      <w:pPr>
        <w:pBdr>
          <w:bottom w:val="single" w:sz="6" w:space="4" w:color="2C5282"/>
        </w:pBdr>
        <w:spacing w:before="360" w:after="160"/>
      </w:pPr>
      <w:r>
        <w:rPr>
          <w:b/>
          <w:bCs/>
          <w:color w:val="1F3864"/>
          <w:sz w:val="28"/>
          <w:szCs w:val="28"/>
        </w:rPr>
        <w:t>5.  Legal Analysis</w:t>
      </w:r>
    </w:p>
    <w:p w14:paraId="494363E1" w14:textId="77777777" w:rsidR="00FF2197" w:rsidRPr="00112C06" w:rsidRDefault="00876342">
      <w:pPr>
        <w:spacing w:after="160"/>
        <w:jc w:val="both"/>
      </w:pPr>
      <w:r>
        <w:rPr>
          <w:color w:val="000000"/>
        </w:rPr>
        <w:t>The practices documented in this report raise concerns of non-compliance with the following provisions of the Convention on the Rights of the Child.</w:t>
      </w:r>
    </w:p>
    <w:p w14:paraId="395B868E" w14:textId="77777777" w:rsidR="00FF2197" w:rsidRPr="00112C06" w:rsidRDefault="00876342">
      <w:pPr>
        <w:spacing w:before="280" w:after="120"/>
      </w:pPr>
      <w:r>
        <w:rPr>
          <w:b/>
          <w:bCs/>
          <w:color w:val="000000"/>
          <w:sz w:val="24"/>
          <w:szCs w:val="24"/>
        </w:rPr>
        <w:t>5.1  Article 3 — Best interests of the child</w:t>
      </w:r>
    </w:p>
    <w:p w14:paraId="0745CAEF" w14:textId="5103158B" w:rsidR="00FF2197" w:rsidRPr="00112C06" w:rsidRDefault="00876342">
      <w:pPr>
        <w:spacing w:before="80" w:after="160"/>
        <w:jc w:val="both"/>
      </w:pPr>
      <w:r>
        <w:rPr>
          <w:color w:val="000000"/>
        </w:rPr>
        <w:t>Article 3(1) requires that the best interests of the child shall be a primary consideration in all decisions concerning children. The Committee's General Comment No. 14 (2013) establishes this as a substantive right, an interpretive principle, and a procedural rule. Denmark is required to actively assess and document the child's best interests, and in cases involving domestic violence, the child's safety is not one factor among many but the overriding consideration.</w:t>
      </w:r>
    </w:p>
    <w:p w14:paraId="1B86E208" w14:textId="77777777" w:rsidR="00FF2197" w:rsidRPr="00112C06" w:rsidRDefault="00876342">
      <w:pPr>
        <w:spacing w:after="160"/>
        <w:jc w:val="both"/>
      </w:pPr>
      <w:r>
        <w:rPr>
          <w:color w:val="000000"/>
        </w:rPr>
        <w:t>IM VALID's documentation establishes that Familieretshuset decisions in cases involving foreign-national mothers and documented violence do not contain substantive best-interest assessments that explicitly weigh the child's safety against the contact presumption; treat the mother's immigration precarity as a negative factor for the child, inverting the causation; and cite Article 3 as a formal matter without applying its procedural requirements. The Børnerådet identified this failure in 2005. GREVIO identif</w:t>
      </w:r>
      <w:r>
        <w:rPr>
          <w:color w:val="000000"/>
        </w:rPr>
        <w:t>ied it in 2017 and 2024. IM VALID documents it in 2026. The 2024 EU GBV Survey establishes that the population of Danish children living in homes where this violence occurs is far larger than any administrative figure captures.</w:t>
      </w:r>
    </w:p>
    <w:p w14:paraId="209A1105" w14:textId="77777777" w:rsidR="00FF2197" w:rsidRPr="00112C06" w:rsidRDefault="00876342">
      <w:pPr>
        <w:spacing w:before="280" w:after="120"/>
      </w:pPr>
      <w:r>
        <w:rPr>
          <w:b/>
          <w:bCs/>
          <w:color w:val="000000"/>
          <w:sz w:val="24"/>
          <w:szCs w:val="24"/>
        </w:rPr>
        <w:lastRenderedPageBreak/>
        <w:t>5.2  Article 19 — Protection from violence</w:t>
      </w:r>
    </w:p>
    <w:p w14:paraId="518BA490" w14:textId="77777777" w:rsidR="00FF2197" w:rsidRPr="00112C06" w:rsidRDefault="00876342">
      <w:pPr>
        <w:spacing w:before="80" w:after="160"/>
        <w:jc w:val="both"/>
      </w:pPr>
      <w:r>
        <w:rPr>
          <w:color w:val="000000"/>
        </w:rPr>
        <w:t>Article 19(1) requires Denmark to take all appropriate legislative, administrative, social, and educational measures to protect the child from all forms of physical or mental violence. The Committee's General Comment No. 13 (2011) confirms that children who witness domestic violence are victims of violence, and that Article 19 obligations include support for the protective caregiver.</w:t>
      </w:r>
    </w:p>
    <w:p w14:paraId="7535078B" w14:textId="0247713B" w:rsidR="00FF2197" w:rsidRPr="00112C06" w:rsidRDefault="00876342">
      <w:pPr>
        <w:spacing w:after="160"/>
        <w:jc w:val="both"/>
      </w:pPr>
      <w:r>
        <w:rPr>
          <w:color w:val="000000"/>
        </w:rPr>
        <w:t>Denmark’s failure to classify children witnessing domestic violence as victims means that the municipal child protection system is not activated in the majority of cases in the IM VALID network. Against a background of EU-leading rates of intimate partner violence — 45.0% lifetime prevalence including psychological violence the absence of this legal definition means a vast population of affected children is structurally excluded from the protection Article 19 requires. This legislative gap was identified by</w:t>
      </w:r>
      <w:r>
        <w:rPr>
          <w:color w:val="000000"/>
        </w:rPr>
        <w:t xml:space="preserve"> the Børnerådet in 2005 and remains open in 2026.</w:t>
      </w:r>
      <w:r>
        <w:rPr>
          <w:rStyle w:val="FootnoteReference"/>
          <w:color w:val="000000"/>
        </w:rPr>
        <w:footnoteReference w:id="6"/>
      </w:r>
    </w:p>
    <w:p w14:paraId="0E6F5A88" w14:textId="0CAA7B34" w:rsidR="00FF2197" w:rsidRPr="00112C06" w:rsidRDefault="00876342">
      <w:pPr>
        <w:spacing w:after="160"/>
        <w:jc w:val="both"/>
      </w:pPr>
      <w:r>
        <w:rPr>
          <w:color w:val="000000"/>
        </w:rPr>
        <w:t>Children with disabilities including autism spectrum conditions, trauma-related developmental conditions, and other vulnerabilities face a heightened risk within this system. Transitions between parents are enforced without preparation or accommodation for their specific needs. Police involvement is used to execute contact transfers in cases where children resist, causing severe psychological harm.</w:t>
      </w:r>
    </w:p>
    <w:p w14:paraId="60F0D0C5" w14:textId="77777777" w:rsidR="00FF2197" w:rsidRPr="00112C06" w:rsidRDefault="00876342">
      <w:pPr>
        <w:spacing w:before="280" w:after="120"/>
      </w:pPr>
      <w:r>
        <w:rPr>
          <w:b/>
          <w:bCs/>
          <w:color w:val="000000"/>
          <w:sz w:val="24"/>
          <w:szCs w:val="24"/>
        </w:rPr>
        <w:t>5.3  Article 2 — Non-discrimination</w:t>
      </w:r>
    </w:p>
    <w:p w14:paraId="11860CB5" w14:textId="0520E22E" w:rsidR="00FF2197" w:rsidRPr="00112C06" w:rsidRDefault="00876342">
      <w:pPr>
        <w:spacing w:before="80" w:after="160"/>
        <w:jc w:val="both"/>
      </w:pPr>
      <w:r>
        <w:rPr>
          <w:color w:val="000000"/>
        </w:rPr>
        <w:t>Article 2 requires that Denmark ensure the rights in the Convention to every child without discrimination of any kind, including based on the child's or parent's national origin or other status. The pattern documented by IM VALID in which a parent's immigration status and nationality function as a systematic disadvantage in best-interest assessments constitutes discrimination against children based on their mother's national origin. The EU GBV Survey confirms that women from minority backgrounds face compou</w:t>
      </w:r>
      <w:r>
        <w:rPr>
          <w:color w:val="000000"/>
        </w:rPr>
        <w:t>nded exposure to violence across EU Member States. In Denmark, those women face a legal system structurally unable to protect them or their children.</w:t>
      </w:r>
    </w:p>
    <w:p w14:paraId="5EA227E3" w14:textId="77777777" w:rsidR="00FF2197" w:rsidRPr="00112C06" w:rsidRDefault="00876342">
      <w:pPr>
        <w:spacing w:after="160"/>
        <w:jc w:val="both"/>
      </w:pPr>
      <w:r>
        <w:rPr>
          <w:color w:val="000000"/>
        </w:rPr>
        <w:t xml:space="preserve">A further dimension of the Article 2 violation is documented in parallel civil society submissions for this review: in cases involving honor-related violence, Danish courts and municipal authorities conduct risk assessments and give them decisive weight. In comparable domestic violence cases involving Danish-national parents, risk assessments are frequently not conducted, and where they are, they are not treated as decisive. This disparity in which the cultural profile of a family determines whether a risk </w:t>
      </w:r>
      <w:r>
        <w:rPr>
          <w:color w:val="000000"/>
        </w:rPr>
        <w:t>assessment is performed and acted upon constitutes unequal protection under Article 2 by reference to cultural background. For foreign-national mothers in the IM VALID network, this inequality is compounded: they are foreign nationals in a system that already applies a lower standard of risk assessment in domestic violence cases than it applies to families flagged by ethnicity or religion. They occupy the lowest-protected position in a system that is itself non-uniform in its application of protective stand</w:t>
      </w:r>
      <w:r>
        <w:rPr>
          <w:color w:val="000000"/>
        </w:rPr>
        <w:t>ards.</w:t>
      </w:r>
    </w:p>
    <w:p w14:paraId="0DE108C8" w14:textId="77777777" w:rsidR="00FF2197" w:rsidRPr="00112C06" w:rsidRDefault="00876342">
      <w:pPr>
        <w:spacing w:before="280" w:after="120"/>
      </w:pPr>
      <w:r>
        <w:rPr>
          <w:b/>
          <w:bCs/>
          <w:color w:val="000000"/>
          <w:sz w:val="24"/>
          <w:szCs w:val="24"/>
        </w:rPr>
        <w:t>5.4  Article 12 — The right to be heard</w:t>
      </w:r>
    </w:p>
    <w:p w14:paraId="0D1AA7EB" w14:textId="77777777" w:rsidR="00FF2197" w:rsidRPr="00112C06" w:rsidRDefault="00876342">
      <w:pPr>
        <w:spacing w:before="80" w:after="160"/>
        <w:jc w:val="both"/>
      </w:pPr>
      <w:r>
        <w:rPr>
          <w:color w:val="000000"/>
        </w:rPr>
        <w:t xml:space="preserve">Article 12 requires that children capable of forming their own views be given the right to express those views in all matters affecting them. The Børnerådet documented in 2005 that children's views were given weight in only 68% of cases. In 2026, the same failure persists: multiple cases in the IM VALID </w:t>
      </w:r>
      <w:r>
        <w:rPr>
          <w:color w:val="000000"/>
        </w:rPr>
        <w:lastRenderedPageBreak/>
        <w:t>network document situations in which children’s expressed fear of the perpetrating parent was reinterpreted by caseworkers as evidence of the protective parent's influence a reversal of the child's voice documented also by GREVIO (2024). The system creates conditions in which the right to be heard is formally offered but structurally undermined: a child who speaks faces risk, and a child who stays silent is treated as having no objection to contact. Neither outcome protects the child.</w:t>
      </w:r>
    </w:p>
    <w:p w14:paraId="52A88BE1" w14:textId="77777777" w:rsidR="00FF2197" w:rsidRPr="00112C06" w:rsidRDefault="00876342">
      <w:pPr>
        <w:spacing w:after="160"/>
        <w:jc w:val="both"/>
      </w:pPr>
      <w:r>
        <w:rPr>
          <w:color w:val="000000"/>
        </w:rPr>
        <w:t>The right to be heard is further undermined by the absence of an effective and independent complaint mechanism accessible to children. When a child approaches the Danish Children’s Ombudsman, the Ombudsman’s standard procedure is to request that a parent submit the case file before processing can proceed. Further investigation is contingent on the parent’s capacity to pursue the case. If the parent who is typically a survivor of sustained domestic violence and coercive control, and may be experiencing traum</w:t>
      </w:r>
      <w:r>
        <w:rPr>
          <w:color w:val="000000"/>
        </w:rPr>
        <w:t>a, financial precarity, or physical and psychological exhaustion is unable to do so, the complaint is not pursued. No investigation is initiated on the Ombudsman’s own motion. As a result, the child does not in practice have access to an effective and independent complaints mechanism. The right to be heard is formally acknowledged and structurally inaccessible.</w:t>
      </w:r>
      <w:r>
        <w:rPr>
          <w:rStyle w:val="FootnoteReference"/>
          <w:color w:val="000000"/>
        </w:rPr>
        <w:footnoteReference w:id="7"/>
      </w:r>
    </w:p>
    <w:p w14:paraId="270B28B5" w14:textId="77777777" w:rsidR="00FF2197" w:rsidRDefault="00876342">
      <w:pPr>
        <w:spacing w:after="160"/>
        <w:jc w:val="both"/>
      </w:pPr>
      <w:r>
        <w:rPr>
          <w:color w:val="000000"/>
        </w:rPr>
        <w:t xml:space="preserve">A further and immediate dimension of this failure was introduced by a Danish government fee decision operative from 1 January 2026. The fee paid to a child’s lawyer in court proceedings regarding placement was reduced from DKK 12,200 to DKK 4,100 — a reduction of 66% — to a rate that in practice covers only the court hearing itself, with no payment allocated for preparation, review of case materials, or a meeting with the child. Experienced children’s lawyers have publicly withdrawn from placement cases as </w:t>
      </w:r>
      <w:r>
        <w:rPr>
          <w:color w:val="000000"/>
        </w:rPr>
        <w:t>a result, stating that the new rates do not cover the necessary working hours. The consequence is that children in placement proceedings — among the most consequential proceedings any court conducts regarding a child’s life — are systematically denied access to specialist legal representation at the moment when effective participation under Article 12 is most critical. The Committee is invited to note that this fee reduction was implemented in the same period as Denmark’s review, and that it moves Denmark f</w:t>
      </w:r>
      <w:r>
        <w:rPr>
          <w:color w:val="000000"/>
        </w:rPr>
        <w:t>urther from, not toward, compliance with the Special Rapporteur’s recommendation that children be legally represented separately in all contested family law proceedings (Alsalem, A/HRC/53/36, para. 74(m)).</w:t>
      </w:r>
      <w:r>
        <w:rPr>
          <w:rStyle w:val="FootnoteReference"/>
          <w:color w:val="000000"/>
        </w:rPr>
        <w:footnoteReference w:id="8"/>
      </w:r>
    </w:p>
    <w:p w14:paraId="722565CB" w14:textId="77777777" w:rsidR="00FF2197" w:rsidRPr="00112C06" w:rsidRDefault="00876342">
      <w:pPr>
        <w:spacing w:before="280" w:after="120"/>
      </w:pPr>
      <w:r>
        <w:rPr>
          <w:b/>
          <w:bCs/>
          <w:color w:val="000000"/>
          <w:sz w:val="24"/>
          <w:szCs w:val="24"/>
        </w:rPr>
        <w:lastRenderedPageBreak/>
        <w:t>5.5  Article 9 — Separation from parents</w:t>
      </w:r>
    </w:p>
    <w:p w14:paraId="1FBF05DF" w14:textId="77777777" w:rsidR="00FF2197" w:rsidRPr="00112C06" w:rsidRDefault="00876342">
      <w:pPr>
        <w:spacing w:before="80" w:after="160"/>
        <w:jc w:val="both"/>
      </w:pPr>
      <w:r>
        <w:rPr>
          <w:color w:val="000000"/>
        </w:rPr>
        <w:t>Article 9(1) states that a child shall not be separated from their parents against their will except where such separation is necessary for the best interests of the child. In the cases documented by IM VALID, the separation that occurs is the removal of the child from the protective parent not from the perpetrator. The child is effectively separated from their protective parent in the absence of any finding that this serves the child's best interests.</w:t>
      </w:r>
    </w:p>
    <w:p w14:paraId="7E510FDA" w14:textId="77777777" w:rsidR="00FF2197" w:rsidRPr="00112C06" w:rsidRDefault="00876342">
      <w:pPr>
        <w:spacing w:before="280" w:after="120"/>
      </w:pPr>
      <w:r>
        <w:rPr>
          <w:b/>
          <w:bCs/>
          <w:color w:val="000000"/>
          <w:sz w:val="24"/>
          <w:szCs w:val="24"/>
        </w:rPr>
        <w:t>5.6  Article 11 — Unlawful transfer and retention</w:t>
      </w:r>
    </w:p>
    <w:p w14:paraId="06DA2838" w14:textId="77777777" w:rsidR="00FF2197" w:rsidRPr="00112C06" w:rsidRDefault="00876342">
      <w:pPr>
        <w:spacing w:before="80" w:after="160"/>
        <w:jc w:val="both"/>
      </w:pPr>
      <w:r>
        <w:rPr>
          <w:color w:val="000000"/>
        </w:rPr>
        <w:t>Article 11 requires States parties to take measures to combat the illicit transfer and non-return of children abroad. In Case 07 within the IM VALID network, Hague Convention proceedings were initiated using documentation misrepresenting the father’s custody status. A United States court issued an order stating the child shall not be handed over to the petitioner. Danish authorities dismissed that order and separated the child from her primary caregiver at the point of return. This constitutes a direct inst</w:t>
      </w:r>
      <w:r>
        <w:rPr>
          <w:color w:val="000000"/>
        </w:rPr>
        <w:t>ance of the mechanism identified by the UN Special Rapporteur: the Hague Convention inverted used against the protective parent rather than in protection of the child.</w:t>
      </w:r>
      <w:r>
        <w:rPr>
          <w:rStyle w:val="FootnoteReference"/>
          <w:color w:val="000000"/>
        </w:rPr>
        <w:footnoteReference w:id="9"/>
      </w:r>
    </w:p>
    <w:p w14:paraId="7A458FEE" w14:textId="77777777" w:rsidR="00FF2197" w:rsidRPr="00112C06" w:rsidRDefault="00876342">
      <w:pPr>
        <w:spacing w:before="280" w:after="120"/>
      </w:pPr>
      <w:r>
        <w:rPr>
          <w:b/>
          <w:bCs/>
          <w:color w:val="000000"/>
          <w:sz w:val="24"/>
          <w:szCs w:val="24"/>
        </w:rPr>
        <w:t>5.7  Article 34 — Protection from sexual abuse</w:t>
      </w:r>
    </w:p>
    <w:p w14:paraId="59AFA860" w14:textId="77777777" w:rsidR="00FF2197" w:rsidRPr="00112C06" w:rsidRDefault="00876342">
      <w:pPr>
        <w:spacing w:before="80" w:after="160"/>
        <w:jc w:val="both"/>
      </w:pPr>
      <w:r>
        <w:rPr>
          <w:color w:val="000000"/>
        </w:rPr>
        <w:t xml:space="preserve">Article 34 requires States parties to protect children from all forms of sexual exploitation and sexual abuse. The cases documented within the IM VALID network include cases involving allegations of child sexual abuse. The structural failures described in this report — the evidentiary paradox, the single-interview limitation, the absence of trauma-informed investigation standards, and the continuation of contact arrangements during unresolved investigations — apply with acuity in sexual abuse cases. The UN </w:t>
      </w:r>
      <w:r>
        <w:rPr>
          <w:color w:val="000000"/>
        </w:rPr>
        <w:t>Special Rapporteur has documented internationally that child sexual offenders have invoked parental alienation to limit, obstruct, or delegitimize the progress of investigations protecting child victims (Alsalem 2023, para. 42). In cases before the IM VALID network, the same mechanism is present.</w:t>
      </w:r>
    </w:p>
    <w:p w14:paraId="42DB6216" w14:textId="4CAE02B4" w:rsidR="00FF2197" w:rsidRDefault="00876342">
      <w:pPr>
        <w:spacing w:after="160"/>
        <w:jc w:val="both"/>
      </w:pPr>
      <w:r>
        <w:rPr>
          <w:color w:val="000000"/>
        </w:rPr>
        <w:t xml:space="preserve">Article 34 must also be read in conjunction with the documented pattern of reproductive coercion described in Section 3.8. Where reproductive coercion forms part of a regime of coercive control within an intimate relationship, the resulting child’s origin, status, and access to identity documentation are directly shaped by that exploitation. Denmark’s obligation under Article 34 to protect children from all forms of sexual exploitation is not discharged solely by responding to abuse after birth: it extends </w:t>
      </w:r>
      <w:r>
        <w:rPr>
          <w:color w:val="000000"/>
        </w:rPr>
        <w:t xml:space="preserve">to the conditions under which the child came into existence and the legal invisibility imposed on those conditions by the absence of any recognition of reproductive coercion in Danish family law proceedings. The Istanbul Convention Articles 37 and 38 obligations criminalizing forced marriage and forced abortion or sterilization and CEDAW General Recommendation No. 38 </w:t>
      </w:r>
      <w:r>
        <w:rPr>
          <w:color w:val="000000"/>
        </w:rPr>
        <w:lastRenderedPageBreak/>
        <w:t>(2020) on trafficking in the context of migration provide the international legal framework within which Denmark’s failure to address reproduc</w:t>
      </w:r>
      <w:r>
        <w:rPr>
          <w:color w:val="000000"/>
        </w:rPr>
        <w:t>tive coercion in family proceedings constitutes a concurrent treaty violation. The child who is the subject of a family law proceeding and whose mother experienced reproductive coercion is simultaneously a potential victim of exploitation under Article 34, a child whose Article 7 right to identity may have been compromised, and a child entitled to the rehabilitation and recovery provisions of Article 39. No Danish proceeding currently treats these dimensions as legally cognizable.</w:t>
      </w:r>
    </w:p>
    <w:p w14:paraId="754EBF74" w14:textId="77777777" w:rsidR="00FF2197" w:rsidRPr="00112C06" w:rsidRDefault="00876342">
      <w:pPr>
        <w:spacing w:before="280" w:after="120"/>
      </w:pPr>
      <w:r>
        <w:rPr>
          <w:b/>
          <w:bCs/>
          <w:color w:val="000000"/>
          <w:sz w:val="24"/>
          <w:szCs w:val="24"/>
        </w:rPr>
        <w:t>5.8  Article 39 — Rehabilitation and recovery</w:t>
      </w:r>
    </w:p>
    <w:p w14:paraId="6913C0B2" w14:textId="77777777" w:rsidR="00FF2197" w:rsidRPr="00112C06" w:rsidRDefault="00876342">
      <w:pPr>
        <w:spacing w:before="80" w:after="160"/>
        <w:jc w:val="both"/>
      </w:pPr>
      <w:r>
        <w:rPr>
          <w:color w:val="000000"/>
        </w:rPr>
        <w:t>Article 39 requires States parties to take all appropriate measures to promote the physical and psychological recovery and social reintegration of a child victim of any form of neglect, exploitation, or abuse. In the cases documented by IM VALID, violations of Article 39 occur in three respects. First, children receive no rehabilitation: the Danish family law system does not incorporate a recovery or therapeutic support mandate following the resolution of proceedings in which violence has been established o</w:t>
      </w:r>
      <w:r>
        <w:rPr>
          <w:color w:val="000000"/>
        </w:rPr>
        <w:t>r alleged. Second, children receive no formal recognition of harm: where proceedings conclude without a finding of violence, the child's exposure to violence is effectively erased from the official record, and no rehabilitative pathway is triggered. Third, children receive no effective remedy and no compensation.</w:t>
      </w:r>
    </w:p>
    <w:p w14:paraId="35D45ABC" w14:textId="77777777" w:rsidR="00FF2197" w:rsidRPr="00112C06" w:rsidRDefault="00876342">
      <w:pPr>
        <w:pBdr>
          <w:bottom w:val="single" w:sz="6" w:space="4" w:color="2C5282"/>
        </w:pBdr>
        <w:spacing w:before="360" w:after="160"/>
      </w:pPr>
      <w:r>
        <w:rPr>
          <w:b/>
          <w:bCs/>
          <w:color w:val="1F3864"/>
          <w:sz w:val="28"/>
          <w:szCs w:val="28"/>
        </w:rPr>
        <w:t>6.  Recommendations to the Committee</w:t>
      </w:r>
    </w:p>
    <w:p w14:paraId="2EA9B19E" w14:textId="77777777" w:rsidR="00FF2197" w:rsidRPr="00112C06" w:rsidRDefault="00876342">
      <w:pPr>
        <w:spacing w:after="160"/>
        <w:jc w:val="both"/>
      </w:pPr>
      <w:r>
        <w:rPr>
          <w:color w:val="000000"/>
        </w:rPr>
        <w:t>IM VALID respectfully calls on the Committee to issue the following recommendations to Denmark in its Concluding Observations for the 101st Session review. The recommendations below reflect and echo the recommendations issued by the UN Special Rapporteur on violence against women and girls in her 2023 report to the Human Rights Council (A/HRC/53/36, para. 74). Where that alignment is specific, it is identified in the footnotes to each recommendation.</w:t>
      </w:r>
      <w:r>
        <w:rPr>
          <w:rStyle w:val="FootnoteReference"/>
          <w:color w:val="000000"/>
        </w:rPr>
        <w:footnoteReference w:id="10"/>
      </w:r>
    </w:p>
    <w:p w14:paraId="3F0FD3A3" w14:textId="77777777" w:rsidR="00FF2197" w:rsidRPr="00112C06" w:rsidRDefault="00876342">
      <w:pPr>
        <w:spacing w:before="200" w:after="80"/>
      </w:pPr>
      <w:r>
        <w:rPr>
          <w:b/>
          <w:bCs/>
          <w:color w:val="1F3864"/>
        </w:rPr>
        <w:t>On Article 3 — Best interests of the child</w:t>
      </w:r>
    </w:p>
    <w:p w14:paraId="5D36FADD" w14:textId="77777777" w:rsidR="00FF2197" w:rsidRPr="00112C06" w:rsidRDefault="00876342">
      <w:pPr>
        <w:spacing w:before="80" w:after="80"/>
        <w:ind w:left="360" w:hanging="360"/>
        <w:jc w:val="both"/>
      </w:pPr>
      <w:r>
        <w:rPr>
          <w:b/>
          <w:bCs/>
          <w:color w:val="1F3864"/>
        </w:rPr>
        <w:t xml:space="preserve">1.  </w:t>
      </w:r>
      <w:r>
        <w:rPr>
          <w:color w:val="000000"/>
        </w:rPr>
        <w:t>Amend the Children Act (Forældreansvarloven) to require a structured, documented, and independently reviewable best-interest assessment in every custody and contact decision involving documented domestic violence. The assessment must explicitly weigh the child's safety as a primary consideration that cannot be displaced by the general presumption of shared parental contact.</w:t>
      </w:r>
    </w:p>
    <w:p w14:paraId="2142EAA5" w14:textId="77777777" w:rsidR="00FF2197" w:rsidRPr="00112C06" w:rsidRDefault="00876342">
      <w:pPr>
        <w:spacing w:before="80" w:after="80"/>
        <w:ind w:left="360" w:hanging="360"/>
        <w:jc w:val="both"/>
      </w:pPr>
      <w:r>
        <w:rPr>
          <w:b/>
          <w:bCs/>
          <w:color w:val="1F3864"/>
        </w:rPr>
        <w:t xml:space="preserve">2.  </w:t>
      </w:r>
      <w:r>
        <w:rPr>
          <w:color w:val="000000"/>
        </w:rPr>
        <w:t>Prohibit the use of a parent's immigration status, nationality, or country of origin as a negative factor in best-interest assessments and introduce mandatory training for all Familieretshuset caseworkers and family court judges on this prohibition.</w:t>
      </w:r>
    </w:p>
    <w:p w14:paraId="1F30872C" w14:textId="77777777" w:rsidR="00FF2197" w:rsidRPr="00112C06" w:rsidRDefault="00876342">
      <w:pPr>
        <w:spacing w:before="80" w:after="80"/>
        <w:ind w:left="360" w:hanging="360"/>
        <w:jc w:val="both"/>
      </w:pPr>
      <w:r>
        <w:rPr>
          <w:b/>
          <w:bCs/>
          <w:color w:val="1F3864"/>
        </w:rPr>
        <w:t xml:space="preserve">3.  </w:t>
      </w:r>
      <w:r>
        <w:rPr>
          <w:color w:val="000000"/>
        </w:rPr>
        <w:t>Establish an independent review mechanism for custody and contact decisions made in domestic violence contexts, accessible to parents who can demonstrate that documented violence was not substantively weighed in the original decision.</w:t>
      </w:r>
    </w:p>
    <w:p w14:paraId="23BE648C" w14:textId="77777777" w:rsidR="00FF2197" w:rsidRPr="00112C06" w:rsidRDefault="00876342">
      <w:pPr>
        <w:spacing w:before="200" w:after="80"/>
      </w:pPr>
      <w:r>
        <w:rPr>
          <w:b/>
          <w:bCs/>
          <w:color w:val="1F3864"/>
        </w:rPr>
        <w:t>On Article 19 — Protection from violence</w:t>
      </w:r>
    </w:p>
    <w:p w14:paraId="5A242639" w14:textId="77777777" w:rsidR="00FF2197" w:rsidRPr="00112C06" w:rsidRDefault="00876342">
      <w:pPr>
        <w:spacing w:before="80" w:after="80"/>
        <w:ind w:left="360" w:hanging="360"/>
        <w:jc w:val="both"/>
      </w:pPr>
      <w:r>
        <w:rPr>
          <w:b/>
          <w:bCs/>
          <w:color w:val="1F3864"/>
        </w:rPr>
        <w:lastRenderedPageBreak/>
        <w:t xml:space="preserve">4.  </w:t>
      </w:r>
      <w:r>
        <w:rPr>
          <w:color w:val="000000"/>
        </w:rPr>
        <w:t>Formally define in law that children who witness domestic violence are victims of violence for the purposes of child protection proceedings, triggering mandatory assessment and protective intervention by municipal child protection services (kommunen), independent of any parallel family law proceedings.</w:t>
      </w:r>
      <w:r>
        <w:rPr>
          <w:rStyle w:val="FootnoteReference"/>
          <w:color w:val="000000"/>
        </w:rPr>
        <w:footnoteReference w:id="11"/>
      </w:r>
    </w:p>
    <w:p w14:paraId="37DB50F8" w14:textId="77777777" w:rsidR="00FF2197" w:rsidRPr="00112C06" w:rsidRDefault="00876342">
      <w:pPr>
        <w:spacing w:before="80" w:after="80"/>
        <w:ind w:left="360" w:hanging="360"/>
        <w:jc w:val="both"/>
      </w:pPr>
      <w:r>
        <w:rPr>
          <w:b/>
          <w:bCs/>
          <w:color w:val="1F3864"/>
        </w:rPr>
        <w:t xml:space="preserve">5.  </w:t>
      </w:r>
      <w:r>
        <w:rPr>
          <w:color w:val="000000"/>
        </w:rPr>
        <w:t>Ensure that evidence of domestic violence established in criminal proceedings is automatically transferred and given evidential weight in parallel family law proceedings involving the same parties, ending the systematic bifurcation that allows perpetrators to benefit from parallel proceedings.</w:t>
      </w:r>
    </w:p>
    <w:p w14:paraId="73BE0206" w14:textId="77777777" w:rsidR="00FF2197" w:rsidRPr="00112C06" w:rsidRDefault="00876342">
      <w:pPr>
        <w:spacing w:before="80" w:after="80"/>
        <w:ind w:left="360" w:hanging="360"/>
        <w:jc w:val="both"/>
      </w:pPr>
      <w:r>
        <w:rPr>
          <w:b/>
          <w:bCs/>
          <w:color w:val="1F3864"/>
        </w:rPr>
        <w:t xml:space="preserve">6.  </w:t>
      </w:r>
      <w:r>
        <w:rPr>
          <w:color w:val="000000"/>
        </w:rPr>
        <w:t>Require that supervised contact is not used as a mechanism to expand contact with a parent against whom violence allegations are unresolved. Absence of visible distress during observed contact does not constitute evidence of safety.</w:t>
      </w:r>
    </w:p>
    <w:p w14:paraId="5B608867" w14:textId="77777777" w:rsidR="00FF2197" w:rsidRPr="00112C06" w:rsidRDefault="00876342">
      <w:pPr>
        <w:spacing w:before="200" w:after="80"/>
      </w:pPr>
      <w:r>
        <w:rPr>
          <w:b/>
          <w:bCs/>
          <w:color w:val="1F3864"/>
        </w:rPr>
        <w:t>On Article 2 — Non-discrimination and foreign-national mothers</w:t>
      </w:r>
    </w:p>
    <w:p w14:paraId="215DCABC" w14:textId="77777777" w:rsidR="00FF2197" w:rsidRPr="00112C06" w:rsidRDefault="00876342">
      <w:pPr>
        <w:spacing w:before="80" w:after="80"/>
        <w:ind w:left="360" w:hanging="360"/>
        <w:jc w:val="both"/>
      </w:pPr>
      <w:r>
        <w:rPr>
          <w:b/>
          <w:bCs/>
          <w:color w:val="1F3864"/>
        </w:rPr>
        <w:t xml:space="preserve">7.  </w:t>
      </w:r>
      <w:r>
        <w:rPr>
          <w:color w:val="000000"/>
        </w:rPr>
        <w:t>Guarantee, as a matter of right, qualified legal interpretation in all family law proceedings involving a parent whose primary language is not Danish and provide legal aid to foreign-national parents in domestic violence-related custody proceedings regardless of immigration status.</w:t>
      </w:r>
      <w:r>
        <w:rPr>
          <w:rStyle w:val="FootnoteReference"/>
          <w:color w:val="000000"/>
        </w:rPr>
        <w:footnoteReference w:id="12"/>
      </w:r>
    </w:p>
    <w:p w14:paraId="263756AE" w14:textId="77777777" w:rsidR="00FF2197" w:rsidRPr="00112C06" w:rsidRDefault="00876342">
      <w:pPr>
        <w:spacing w:before="80" w:after="80"/>
        <w:ind w:left="360" w:hanging="360"/>
        <w:jc w:val="both"/>
      </w:pPr>
      <w:r>
        <w:rPr>
          <w:b/>
          <w:bCs/>
          <w:color w:val="1F3864"/>
        </w:rPr>
        <w:t xml:space="preserve">8.  </w:t>
      </w:r>
      <w:r>
        <w:rPr>
          <w:color w:val="000000"/>
        </w:rPr>
        <w:t>Establish coordinated protocols between immigration authorities and family law authorities to ensure that foreign-national mothers who leave abusive relationships are not penalized in immigration proceedings for that protective act, and that their legal status is maintained for the duration of child protection and family law proceedings.</w:t>
      </w:r>
    </w:p>
    <w:p w14:paraId="34051685" w14:textId="77777777" w:rsidR="00FF2197" w:rsidRPr="00112C06" w:rsidRDefault="00876342">
      <w:pPr>
        <w:spacing w:before="200" w:after="80"/>
      </w:pPr>
      <w:r>
        <w:rPr>
          <w:b/>
          <w:bCs/>
          <w:color w:val="1F3864"/>
        </w:rPr>
        <w:t>On monitoring and accountability</w:t>
      </w:r>
    </w:p>
    <w:p w14:paraId="423DC6D4" w14:textId="77777777" w:rsidR="00FF2197" w:rsidRPr="00112C06" w:rsidRDefault="00876342">
      <w:pPr>
        <w:spacing w:before="80" w:after="80"/>
        <w:ind w:left="360" w:hanging="360"/>
        <w:jc w:val="both"/>
      </w:pPr>
      <w:r>
        <w:rPr>
          <w:b/>
          <w:bCs/>
          <w:color w:val="1F3864"/>
        </w:rPr>
        <w:t xml:space="preserve">9.  </w:t>
      </w:r>
      <w:r>
        <w:rPr>
          <w:color w:val="000000"/>
        </w:rPr>
        <w:t>Collect, publish, and report to the Committee disaggregated data on family court and Familieretshuset outcomes in domestic violence cases, broken down by the nationality of each parent, enabling evidence-based monitoring of the discriminatory pattern identified in this report.</w:t>
      </w:r>
      <w:r>
        <w:rPr>
          <w:rStyle w:val="FootnoteReference"/>
          <w:color w:val="000000"/>
        </w:rPr>
        <w:footnoteReference w:id="13"/>
      </w:r>
    </w:p>
    <w:p w14:paraId="57019D0A" w14:textId="77777777" w:rsidR="00FF2197" w:rsidRPr="00112C06" w:rsidRDefault="00876342">
      <w:pPr>
        <w:spacing w:before="80" w:after="80"/>
        <w:ind w:left="360" w:hanging="360"/>
        <w:jc w:val="both"/>
      </w:pPr>
      <w:r>
        <w:rPr>
          <w:b/>
          <w:bCs/>
          <w:color w:val="1F3864"/>
        </w:rPr>
        <w:t xml:space="preserve">10.  </w:t>
      </w:r>
      <w:r>
        <w:rPr>
          <w:color w:val="000000"/>
        </w:rPr>
        <w:t>Remove from the Children Act (Forældreansvarloven) any provision or interpretive framework that allows allegations of domestic violence to be discredited as ‘parental alienation’ or ‘collaborative harassment,’ in line with GREVIO’s 2024 recommendation, which Denmark chose not to follow.</w:t>
      </w:r>
      <w:r>
        <w:rPr>
          <w:rStyle w:val="FootnoteReference"/>
          <w:color w:val="000000"/>
        </w:rPr>
        <w:footnoteReference w:id="14"/>
      </w:r>
    </w:p>
    <w:p w14:paraId="73F2634B" w14:textId="77777777" w:rsidR="00FF2197" w:rsidRPr="00112C06" w:rsidRDefault="00876342">
      <w:pPr>
        <w:spacing w:before="200" w:after="80"/>
      </w:pPr>
      <w:r>
        <w:rPr>
          <w:b/>
          <w:bCs/>
          <w:color w:val="1F3864"/>
        </w:rPr>
        <w:lastRenderedPageBreak/>
        <w:t>On inter-treaty coordination</w:t>
      </w:r>
    </w:p>
    <w:p w14:paraId="34D82C35" w14:textId="77777777" w:rsidR="00FF2197" w:rsidRPr="00112C06" w:rsidRDefault="00876342">
      <w:pPr>
        <w:spacing w:before="80" w:after="80"/>
        <w:ind w:left="360" w:hanging="360"/>
        <w:jc w:val="both"/>
      </w:pPr>
      <w:r>
        <w:rPr>
          <w:b/>
          <w:bCs/>
          <w:color w:val="1F3864"/>
        </w:rPr>
        <w:t xml:space="preserve">11.  </w:t>
      </w:r>
      <w:r>
        <w:rPr>
          <w:color w:val="000000"/>
        </w:rPr>
        <w:t>Formally note, in its Concluding Observations, that the structural failures documented in this report constitute concurrent violations of Denmark's obligations under the Istanbul Convention (specifically Articles 26, 31, and 45), CEDAW, and the ICCPR, and recommend that Denmark engage in a coordinated inter-treaty response under the guidance of the United Nations Treaty Body system.</w:t>
      </w:r>
    </w:p>
    <w:p w14:paraId="6424BFC0" w14:textId="77777777" w:rsidR="00FF2197" w:rsidRPr="00112C06" w:rsidRDefault="00876342">
      <w:pPr>
        <w:spacing w:before="80" w:after="80"/>
        <w:ind w:left="360" w:hanging="360"/>
        <w:jc w:val="both"/>
      </w:pPr>
      <w:r>
        <w:rPr>
          <w:b/>
          <w:bCs/>
          <w:color w:val="1F3864"/>
        </w:rPr>
        <w:t xml:space="preserve">12.  </w:t>
      </w:r>
      <w:r>
        <w:rPr>
          <w:color w:val="000000"/>
        </w:rPr>
        <w:t>Issue time-bound, independently monitored commitments not general recommendations in recognition that Denmark has received and failed to implement equivalent recommendations across three consecutive review cycles since 2005.</w:t>
      </w:r>
    </w:p>
    <w:p w14:paraId="70DD0210" w14:textId="77777777" w:rsidR="00FF2197" w:rsidRPr="00112C06" w:rsidRDefault="00FF2197">
      <w:pPr>
        <w:spacing w:after="120"/>
      </w:pPr>
    </w:p>
    <w:p w14:paraId="69A50D6E" w14:textId="27BDB1A7" w:rsidR="00FF2197" w:rsidRPr="00112C06" w:rsidRDefault="00876342">
      <w:pPr>
        <w:spacing w:after="160"/>
        <w:jc w:val="both"/>
      </w:pPr>
      <w:r>
        <w:rPr>
          <w:color w:val="000000"/>
        </w:rPr>
        <w:t>IM VALID thanks the Committee for this opportunity to contribute to Denmark’s review. Due to the serious risks of exposure documented in the accompanying cover letter, IM VALID is not in a position to accept invitations to provide oral testimony, appear publicly, or participate in any identifiable capacity during the pre-session or session. The safety of our members, their children, and our network depends on the confidentiality of this submission and the anonymity of all individuals associated with it. The</w:t>
      </w:r>
      <w:r>
        <w:rPr>
          <w:color w:val="000000"/>
        </w:rPr>
        <w:t xml:space="preserve"> Committee is respectfully asked to treat this submission accordingly. The Committee is further informed that survivors within the IM VALID network have filed petitions before the European Court of Human Rights and the Inter-American Commission on Human Rights, cases which have been accepted for review by both bodies, and which may provide supplementary evidence of the systemic patterns described in this report.</w:t>
      </w:r>
    </w:p>
    <w:p w14:paraId="7C012B45" w14:textId="77777777" w:rsidR="00FF2197" w:rsidRPr="00112C06" w:rsidRDefault="00FF2197">
      <w:pPr>
        <w:spacing w:after="80"/>
      </w:pPr>
    </w:p>
    <w:p w14:paraId="53E5EF00" w14:textId="77777777" w:rsidR="00FF2197" w:rsidRPr="00112C06" w:rsidRDefault="00FF2197">
      <w:pPr>
        <w:pBdr>
          <w:bottom w:val="single" w:sz="4" w:space="1" w:color="CCCCCC"/>
        </w:pBdr>
        <w:spacing w:after="160"/>
      </w:pPr>
    </w:p>
    <w:p w14:paraId="370EB36F" w14:textId="77777777" w:rsidR="00FF2197" w:rsidRPr="00112C06" w:rsidRDefault="00876342">
      <w:pPr>
        <w:spacing w:after="160"/>
        <w:jc w:val="center"/>
      </w:pPr>
      <w:r>
        <w:rPr>
          <w:i/>
          <w:iCs/>
          <w:color w:val="000000"/>
          <w:sz w:val="20"/>
          <w:szCs w:val="20"/>
        </w:rPr>
        <w:t>End of Main Report. Case Annexes are provided in a separate document.</w:t>
      </w:r>
    </w:p>
    <w:sectPr w:rsidR="00FF2197" w:rsidRPr="00112C06">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0E36F" w14:textId="77777777" w:rsidR="00EE7177" w:rsidRDefault="00EE7177">
      <w:r>
        <w:separator/>
      </w:r>
    </w:p>
  </w:endnote>
  <w:endnote w:type="continuationSeparator" w:id="0">
    <w:p w14:paraId="40E50BC3" w14:textId="77777777" w:rsidR="00EE7177" w:rsidRDefault="00EE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88B4D" w14:textId="53EAD976" w:rsidR="00FF2197" w:rsidRDefault="00876342">
    <w:pPr>
      <w:pBdr>
        <w:top w:val="single" w:sz="2" w:space="4" w:color="CCCCCC"/>
      </w:pBdr>
      <w:jc w:val="center"/>
    </w:pPr>
    <w:r>
      <w:rPr>
        <w:color w:val="888888"/>
        <w:sz w:val="16"/>
        <w:szCs w:val="16"/>
      </w:rPr>
      <w:t xml:space="preserve">IM VALID — UN CRC Shadow Report, Denmark Review 2026     </w:t>
    </w:r>
    <w:r>
      <w:rPr>
        <w:color w:val="888888"/>
        <w:sz w:val="16"/>
        <w:szCs w:val="16"/>
      </w:rPr>
      <w:fldChar w:fldCharType="begin"/>
    </w:r>
    <w:r>
      <w:rPr>
        <w:color w:val="888888"/>
        <w:sz w:val="16"/>
        <w:szCs w:val="16"/>
      </w:rPr>
      <w:instrText>PAGE</w:instrText>
    </w:r>
    <w:r>
      <w:rPr>
        <w:color w:val="888888"/>
        <w:sz w:val="16"/>
        <w:szCs w:val="16"/>
      </w:rPr>
      <w:fldChar w:fldCharType="separate"/>
    </w:r>
    <w:r w:rsidR="00112C06">
      <w:rPr>
        <w:noProof/>
        <w:color w:val="888888"/>
        <w:sz w:val="16"/>
        <w:szCs w:val="16"/>
      </w:rPr>
      <w:t>1</w:t>
    </w:r>
    <w:r>
      <w:rPr>
        <w:color w:val="888888"/>
        <w:sz w:val="16"/>
        <w:szCs w:val="16"/>
      </w:rPr>
      <w:fldChar w:fldCharType="end"/>
    </w:r>
    <w:r w:rsidR="008C3499">
      <w:rPr>
        <w:color w:val="888888"/>
        <w:sz w:val="16"/>
        <w:szCs w:val="16"/>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DA7FB" w14:textId="77777777" w:rsidR="00EE7177" w:rsidRDefault="00EE7177">
      <w:r>
        <w:separator/>
      </w:r>
    </w:p>
  </w:footnote>
  <w:footnote w:type="continuationSeparator" w:id="0">
    <w:p w14:paraId="52A731EC" w14:textId="77777777" w:rsidR="00EE7177" w:rsidRDefault="00EE7177">
      <w:r>
        <w:continuationSeparator/>
      </w:r>
    </w:p>
  </w:footnote>
  <w:footnote w:id="1">
    <w:p w14:paraId="7A60A7DB" w14:textId="77777777" w:rsidR="004608EF" w:rsidRDefault="00876342" w:rsidP="0069164A">
      <w:pPr>
        <w:pStyle w:val="FootnoteText"/>
        <w:jc w:val="both"/>
      </w:pPr>
      <w:r>
        <w:rPr>
          <w:rStyle w:val="FootnoteReference"/>
        </w:rPr>
        <w:footnoteRef/>
      </w:r>
      <w:r>
        <w:t xml:space="preserve"> The pattern documented in Section 3.2 is independently corroborated by the UN Special Rapporteur on violence against women and girls (Alsalem, A/HRC/53/36, 2023). Paragraphs 43–44 of that report document that migrant women across multiple jurisdictions face compounded disadvantage in family law proceedings: in Italy, migrant women are described as “often judged as inadequate mothers, unable to protect and take care of their children” and are frequently placed in group homes; in Ireland, migrant women whose</w:t>
      </w:r>
      <w:r>
        <w:t xml:space="preserve"> partner is of Irish origin face specific structural challenges; in Austria and Japan, migrant mothers face particular disadvantage due to language barriers and vulnerable immigration status. The Special Rapporteur further documents that “mothers in structurally disadvantaged positions are more likely to have their children removed or their parenting capacities judged harshly” (para. 44), and that minority and migrant women consistently report feeling revictimized and “very belittled, very diminished, not r</w:t>
      </w:r>
      <w:r>
        <w:t>eally listened to” by legal professionals (para. 43). These findings constitute independent UN expert corroboration of the discriminatory mechanism IM VALID documents in Denmark.</w:t>
      </w:r>
    </w:p>
  </w:footnote>
  <w:footnote w:id="2">
    <w:p w14:paraId="69147EEE" w14:textId="24CDA12F" w:rsidR="004608EF" w:rsidRDefault="00876342" w:rsidP="0069164A">
      <w:pPr>
        <w:pStyle w:val="FootnoteText"/>
        <w:jc w:val="both"/>
      </w:pPr>
      <w:r>
        <w:rPr>
          <w:rStyle w:val="FootnoteReference"/>
        </w:rPr>
        <w:footnoteRef/>
      </w:r>
      <w:r>
        <w:t xml:space="preserve"> This is confirmed by contemporaneous Danish data. A February 2026 report by Børns Vilkår found that 66% of children received no social work help when violence was directed at a parent or sibling, and 37% received no help even when a parent was criminally charged with violence against the child itself. In 65% of those cases, the municipality had already received at least one prior notification before the violence occurred documenting not absence of knowledge but institutional inaction. Eva Bertelsen, acting</w:t>
      </w:r>
      <w:r>
        <w:t xml:space="preserve"> director of LOKK (National Organisation of Women’s Crisis Centres), submitted this data in a formal debate contribution published by Socialmonitor, 11 February 2026. The same report notes that approximately 2,500 children arrive at Danish crisis shelters each year with no legally guaranteed right to professional violence intervention.</w:t>
      </w:r>
    </w:p>
  </w:footnote>
  <w:footnote w:id="3">
    <w:p w14:paraId="525672C3" w14:textId="77777777" w:rsidR="004608EF" w:rsidRDefault="00876342" w:rsidP="0069164A">
      <w:pPr>
        <w:pStyle w:val="FootnoteText"/>
        <w:jc w:val="both"/>
      </w:pPr>
      <w:r>
        <w:rPr>
          <w:rStyle w:val="FootnoteReference"/>
        </w:rPr>
        <w:footnoteRef/>
      </w:r>
      <w:r>
        <w:t xml:space="preserve"> The practical consequences of this threshold are documented in Danish case law data. A 2024 report by Live Without Violence (Lev Uden Vold), Psykisk vold: retspraksis i årene efter kriminaliseringen, based on 72 court transcripts and POLSAS police data, found that between 2020 and 2023 there were 1,828 reports of psychological violence resulting in only 112 convictions — a filtering rate that independently confirms IM VALID’s argument that the criminal conviction precondition functions as a structural prot</w:t>
      </w:r>
      <w:r>
        <w:t>ection veto. The same report found that in 19% of reviewed cases children witnessed violence against their mother or siblings but were not listed as victims in the proceedings. The report further identifies the household separation gap in §243 as an active legal problem, concluding that once a mother has separated from the perpetrator, ongoing psychological coercion — including coercive behaviour at child handover points — may fall outside the statutory definition entirely. Source: Keller, K.A., Olesen, A.G</w:t>
      </w:r>
      <w:r>
        <w:t>. &amp; Haugland, K. (2024). Psykisk vold: retspraksis i årene efter kriminaliseringen. Lev Uden Vold, Copenhagen. ISBN 978-87-85249-01-2.</w:t>
      </w:r>
    </w:p>
  </w:footnote>
  <w:footnote w:id="4">
    <w:p w14:paraId="597D77CF" w14:textId="77777777" w:rsidR="004608EF" w:rsidRDefault="00876342" w:rsidP="0069164A">
      <w:pPr>
        <w:pStyle w:val="FootnoteText"/>
        <w:jc w:val="both"/>
      </w:pPr>
      <w:r>
        <w:rPr>
          <w:rStyle w:val="FootnoteReference"/>
        </w:rPr>
        <w:footnoteRef/>
      </w:r>
      <w:r>
        <w:t xml:space="preserve"> The five-step mechanism described in this section is externally confirmed by the formal conclusion of the UN Special Rapporteur on violence against women and girls. Paragraph 73 of A/HRC/53/36 (Alsalem, 2023) concludes that “the discredited and unscientific pseudo-concept of parental alienation is used in family law proceedings by abusers as a tool to continue their abuse and coercion and to undermine and discredit allegations of domestic violence made by mothers who are trying to keep their children safe.</w:t>
      </w:r>
      <w:r>
        <w:t xml:space="preserve">” The Special Rapporteur further concludes that “the standard of the best interest of the child is violated by imposing contact between a child and one or both parents and by prioritizing it, even where there is evidence of domestic violence,” and that “the risks of such consequences are compounded for women from marginalized groups in society.” Denmark is named in para. 20(a) of the same report as a jurisdiction where the history of domestic violence against mothers and children is ignored in decisions on </w:t>
      </w:r>
      <w:r>
        <w:t>custody and visitation rights, based on a submission by Landsorganisation af Kvindekrisecentre.</w:t>
      </w:r>
    </w:p>
  </w:footnote>
  <w:footnote w:id="5">
    <w:p w14:paraId="3D6A194A" w14:textId="77777777" w:rsidR="004608EF" w:rsidRDefault="00876342" w:rsidP="0069164A">
      <w:pPr>
        <w:pStyle w:val="FootnoteText"/>
        <w:jc w:val="both"/>
      </w:pPr>
      <w:r>
        <w:rPr>
          <w:rStyle w:val="FootnoteReference"/>
        </w:rPr>
        <w:footnoteRef/>
      </w:r>
      <w:r>
        <w:t xml:space="preserve"> Primary treaty sources for this section: Istanbul Convention Articles 37 (forced marriage) and 38 (forced abortion and sterilization), ratified by Denmark; CEDAW General Recommendation No. 38 (2020) on trafficking in women and girls in the context of global migration (CEDAW/C/GC/38), identifying reproductive and sexual coercion within migration-dependent relationships as a form of trafficking where the act, means, and purpose elements of the Palermo Protocol are met; CEDAW/CRC Joint General Recommendation </w:t>
      </w:r>
      <w:r>
        <w:t>No. 31/General Comment No. 18 (2014) on harmful practices, para. 24, establishing that marriages involving payment or status-based control may constitute trafficking in human beings under the Optional Protocol on the Sale of Children. The Danish domestic legal basis is Danish Criminal Code §243, which enumerates forcing another person to carry or terminate a pregnancy as a specifically named form of psychological violence. The documented Danish intersection of pregnancy with immigration enforcement is descr</w:t>
      </w:r>
      <w:r>
        <w:t>ibed in PICUM (2017), The Sexual and Reproductive Health Rights of Undocumented Migrants, pp. 19–20, which records that Danish deportation policy prevented foreign-national mothers from establishing paternity and seeking legal redress in cases where pregnancy may have resulted from criminal or unlawful conduct. Epidemiological data on prevalence: U.S. Reproductive Coercion Prevention and Protection Act (H.R.6883, 119th Congress, 2025), legislative findings, noting that 8%–16% of adult women have experienced</w:t>
      </w:r>
      <w:r>
        <w:t xml:space="preserve"> reproductive coercion and one quarter of abuse survivors report that partners forced them to become pregnant.</w:t>
      </w:r>
    </w:p>
  </w:footnote>
  <w:footnote w:id="6">
    <w:p w14:paraId="2A590499" w14:textId="77777777" w:rsidR="004608EF" w:rsidRDefault="00876342" w:rsidP="0069164A">
      <w:pPr>
        <w:pStyle w:val="FootnoteText"/>
        <w:jc w:val="both"/>
      </w:pPr>
      <w:r>
        <w:rPr>
          <w:rStyle w:val="FootnoteReference"/>
        </w:rPr>
        <w:footnoteRef/>
      </w:r>
      <w:r>
        <w:t xml:space="preserve"> Danish domestic data confirms the scale of this failure. As noted at footnote 1, the February 2026 Børns Vilkår/LOKK report found that 66% of children receive no social work assistance when violence is directed at a parent, and that 65% of cases had a prior municipal notification already on file. The 2024 Lev Uden Vold data (footnote 2) further establishes that only 112 convictions resulted from 1,828 psychological violence reports in the 2020–2023 period. These figures, drawn from Danish administrative an</w:t>
      </w:r>
      <w:r>
        <w:t>d judicial records, demonstrate that the population of children structurally excluded from Article 19 protection is not a marginal cohort: it is the overwhelming majority of children exposed to domestic violence in Denmark.</w:t>
      </w:r>
    </w:p>
  </w:footnote>
  <w:footnote w:id="7">
    <w:p w14:paraId="34123DD2" w14:textId="77777777" w:rsidR="004608EF" w:rsidRDefault="00876342" w:rsidP="0069164A">
      <w:pPr>
        <w:pStyle w:val="FootnoteText"/>
        <w:jc w:val="both"/>
      </w:pPr>
      <w:r>
        <w:rPr>
          <w:rStyle w:val="FootnoteReference"/>
        </w:rPr>
        <w:footnoteRef/>
      </w:r>
      <w:r>
        <w:t xml:space="preserve"> The structural inaccessibility of this complaints mechanism must be understood against the documented baseline of institutional fear within Denmark itself. A December 2025 survey conducted by Verian for Amnesty International Denmark (n=1,114 representative voters) found that 41% of Danish citizens fear personal consequences for publicly criticizing the authorities, and 38% fear consequences for criticizing politicians. A parallel annual report by the Danish Bar and Law Society found that 38% of citizens wh</w:t>
      </w:r>
      <w:r>
        <w:t xml:space="preserve">o had been involved in a case with the authorities did not trust the authorities to follow the law; 50% of lawyers had personally experienced authorities failing to comply with the law. These figures establish a documented chilling effect operating across the general population — citizens with full language rights, legal status, and cultural familiarity with Danish institutions. A foreign-national mother in active Familieretshuset proceedings, facing the compounded vulnerabilities documented in this report </w:t>
      </w:r>
      <w:r>
        <w:t>— immigration precarity, language barriers, active credibility discrediting, and the trauma of sustained domestic violence — confronts that same institutional climate in conditions of qualitatively greater disadvantage. The formal availability of a complaints mechanism in this context does not constitute meaningful access within the meaning of Article 12. Source: Amnesty International Denmark (2026). Demokrati under afkøling. Reported in Politiken, 9 February 2026 (Drachmann, H.).</w:t>
      </w:r>
    </w:p>
  </w:footnote>
  <w:footnote w:id="8">
    <w:p w14:paraId="3ADA6BC5" w14:textId="77777777" w:rsidR="004608EF" w:rsidRDefault="00876342" w:rsidP="0069164A">
      <w:pPr>
        <w:pStyle w:val="FootnoteText"/>
        <w:jc w:val="both"/>
      </w:pPr>
      <w:r>
        <w:rPr>
          <w:rStyle w:val="FootnoteReference"/>
        </w:rPr>
        <w:footnoteRef/>
      </w:r>
      <w:r>
        <w:t xml:space="preserve"> Source: Kjær, M. (17 February 2026). ‘Lawyers withdraw from children’s cases after fee cuts’. Advokatwatch / Berlingske. The article reports the statement of children’s lawyer Anders Brøndtved: the new rate covers only two hours in court, with no payment for preparation, review of case materials, or meeting with the child. The High Court Presidents of the Eastern and Western High Courts confirmed the new rates are formally indicative but applied as binding in practice. This fee structure became operative 1</w:t>
      </w:r>
      <w:r>
        <w:t xml:space="preserve"> January 2026, within the review period immediately preceding Denmark’s 101st Session examination. It is directly contrary to the Special Rapporteur’s recommendation at para. 74(m) of A/HRC/53/36 (Alsalem, 2023) that States “ensure that children are legally represented separately in all contested family law proceedings.”</w:t>
      </w:r>
    </w:p>
  </w:footnote>
  <w:footnote w:id="9">
    <w:p w14:paraId="68652D2B" w14:textId="77777777" w:rsidR="004608EF" w:rsidRDefault="00876342" w:rsidP="0069164A">
      <w:pPr>
        <w:pStyle w:val="FootnoteText"/>
        <w:jc w:val="both"/>
      </w:pPr>
      <w:r>
        <w:rPr>
          <w:rStyle w:val="FootnoteReference"/>
        </w:rPr>
        <w:footnoteRef/>
      </w:r>
      <w:r>
        <w:t xml:space="preserve"> The Special Rapporteur addresses the Hague Convention specifically at paras. 36–39 of A/HRC/53/36 (Alsalem, 2023). Paragraph 37 documents that courts have been “reluctant to accept exposure to domestic violence as a reason not to return children” under the Convention’s grave risk exception, and that in some cases children have been returned to their country of habitual residence “even where [courts] have found that violence has occurred against the children.” The Special Rapporteur notes as good practice t</w:t>
      </w:r>
      <w:r>
        <w:t xml:space="preserve">he New Zealand Court of Appeal’s decision declining to order a child’s return on the basis that the mother’s history as a survivor of domestic violence and her future safety were pertinent to the grave risk exception (para. 38), and Australia’s legislative requirement that courts consider domestic violence allegations before any return order is made (para. 39). The Special Rapporteur recommends at para. 74(k) that the Hague Convention be revised to better protect abused women and children, incorporating an </w:t>
      </w:r>
      <w:r>
        <w:t>understanding that a return order may compel an abuse survivor to return to violence, and that courts be required to consider family and domestic violence when applying its provisions. The mechanism in Case 07 — in which Hague proceedings were brought using misrepresented custody documentation, resulting in the child’s separation from her primary caregiver — is a direct instance of the pattern the Special Rapporteur identifies.</w:t>
      </w:r>
    </w:p>
  </w:footnote>
  <w:footnote w:id="10">
    <w:p w14:paraId="0C82CB34" w14:textId="77777777" w:rsidR="004608EF" w:rsidRDefault="00876342" w:rsidP="0069164A">
      <w:pPr>
        <w:pStyle w:val="FootnoteText"/>
        <w:jc w:val="both"/>
      </w:pPr>
      <w:r>
        <w:rPr>
          <w:rStyle w:val="FootnoteReference"/>
        </w:rPr>
        <w:footnoteRef/>
      </w:r>
      <w:r>
        <w:t xml:space="preserve"> The recommendations in Section 6 are not novel advocacy positions. They reflect the consensus of an existing UN expert mechanism. The UN Special Rapporteur on violence against women and girls, in her 2023 report to the Human Rights Council (A/HRC/53/36, Alsalem), issued a set of recommendations to States at para. 74 that substantially overlap with those IM VALID presents here. Specific alignments are identified in the footnotes to each relevant recommendation. The Committee is respectfully invited to note </w:t>
      </w:r>
      <w:r>
        <w:t>that Denmark has received and not implemented the recommendations of this UN Special Rapporteur, of GREVIO (2017 and 2024), and of the European Parliament (2013) — and that IM VALID’s Section 6 asks the Committee to add its own authoritative voice to that existing, unheeded, international consensus.</w:t>
      </w:r>
    </w:p>
  </w:footnote>
  <w:footnote w:id="11">
    <w:p w14:paraId="10BA31AE" w14:textId="77777777" w:rsidR="004608EF" w:rsidRDefault="00876342" w:rsidP="0069164A">
      <w:pPr>
        <w:pStyle w:val="FootnoteText"/>
        <w:jc w:val="both"/>
      </w:pPr>
      <w:r>
        <w:rPr>
          <w:rStyle w:val="FootnoteReference"/>
        </w:rPr>
        <w:footnoteRef/>
      </w:r>
      <w:r>
        <w:t xml:space="preserve"> Aligned with: Alsalem, A/HRC/53/36 (2023), para. 74(p): States should ensure that “all agencies and elements of the justice system, statutory services and the domestic abuse sector work together rather than in silos and adequate coordination between the criminal, child protection and family law systems be ensured either by mandatory institutional cooperation mechanisms or the use of integrated court structures.”</w:t>
      </w:r>
    </w:p>
  </w:footnote>
  <w:footnote w:id="12">
    <w:p w14:paraId="5210A4FF" w14:textId="77777777" w:rsidR="004608EF" w:rsidRDefault="00876342" w:rsidP="0069164A">
      <w:pPr>
        <w:pStyle w:val="FootnoteText"/>
        <w:jc w:val="both"/>
      </w:pPr>
      <w:r>
        <w:rPr>
          <w:rStyle w:val="FootnoteReference"/>
        </w:rPr>
        <w:footnoteRef/>
      </w:r>
      <w:r>
        <w:t xml:space="preserve"> Aligned with: Alsalem, A/HRC/53/36 (2023), para. 74(q): States should ensure “wider availability of legal aid in family law proceedings for all parties” to ensure equality of arms. The Special Rapporteur identifies lack of legal aid as a structural disadvantage particularly acute for victims of domestic violence, noting that navigating the family law system is especially challenging when parts of the system operate in contradictory ways (para. 70).</w:t>
      </w:r>
    </w:p>
  </w:footnote>
  <w:footnote w:id="13">
    <w:p w14:paraId="63969ABC" w14:textId="77777777" w:rsidR="004608EF" w:rsidRDefault="00876342" w:rsidP="0069164A">
      <w:pPr>
        <w:pStyle w:val="FootnoteText"/>
        <w:jc w:val="both"/>
      </w:pPr>
      <w:r>
        <w:rPr>
          <w:rStyle w:val="FootnoteReference"/>
        </w:rPr>
        <w:footnoteRef/>
      </w:r>
      <w:r>
        <w:t xml:space="preserve"> Aligned with: Alsalem, A/HRC/53/36 (2023), para. 74(r): States should collect “disaggregated data, including on the prevalence of domestic abuse in family law cases and characteristics of applicants and respondents in such cases, including gender, race, sex, religion, disability and sexual orientation”; and para. 74(s): States should “introduce monitoring mechanisms to assess the specific impact of policies and procedures relating to family justice on marginalized groups of women.”</w:t>
      </w:r>
    </w:p>
  </w:footnote>
  <w:footnote w:id="14">
    <w:p w14:paraId="23BAFECE" w14:textId="77777777" w:rsidR="004608EF" w:rsidRDefault="00876342" w:rsidP="0069164A">
      <w:pPr>
        <w:pStyle w:val="FootnoteText"/>
        <w:jc w:val="both"/>
      </w:pPr>
      <w:r>
        <w:rPr>
          <w:rStyle w:val="FootnoteReference"/>
        </w:rPr>
        <w:footnoteRef/>
      </w:r>
      <w:r>
        <w:t xml:space="preserve"> Aligned with: Alsalem, A/HRC/53/36 (2023), para. 74(a): States should “legislate to prohibit the use of parental alienation or related pseudo-concepts in family law cases and the use of so-called experts in parental alienation and related pseudo-concepts”; para. 74(c): States should “ensure mandatory training of the judiciary and other justice system professionals on gender bias, the dynamics of domestic violence and the relationship between allegations of domestic abuse and of parental alienation and rela</w:t>
      </w:r>
      <w:r>
        <w:t>ted pseudo-concepts”; and para. 74(j): “training be provided on a mandatory basis for all family justice professionals on the relationship between allegations of parental alienation and domestic violence and sexual abuse; such training should also be provided to combat gender stereotyping and ensure understanding of the legal standards on violence against women and children.” The pseudo-concept has no scientific basis: it was removed from the International Classification of Diseases by the World Health Orga</w:t>
      </w:r>
      <w:r>
        <w:t>nization in 2020, and has been dismissed by medical, psychiatric and psychological associations (Alsalem, para.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958BB"/>
    <w:multiLevelType w:val="hybridMultilevel"/>
    <w:tmpl w:val="AE86B770"/>
    <w:lvl w:ilvl="0" w:tplc="EA2A0B46">
      <w:start w:val="1"/>
      <w:numFmt w:val="bullet"/>
      <w:lvlText w:val="●"/>
      <w:lvlJc w:val="left"/>
      <w:pPr>
        <w:ind w:left="720" w:hanging="360"/>
      </w:pPr>
    </w:lvl>
    <w:lvl w:ilvl="1" w:tplc="C2EC88E0">
      <w:start w:val="1"/>
      <w:numFmt w:val="bullet"/>
      <w:lvlText w:val="○"/>
      <w:lvlJc w:val="left"/>
      <w:pPr>
        <w:ind w:left="1440" w:hanging="360"/>
      </w:pPr>
    </w:lvl>
    <w:lvl w:ilvl="2" w:tplc="65B2F8DC">
      <w:start w:val="1"/>
      <w:numFmt w:val="bullet"/>
      <w:lvlText w:val="■"/>
      <w:lvlJc w:val="left"/>
      <w:pPr>
        <w:ind w:left="2160" w:hanging="360"/>
      </w:pPr>
    </w:lvl>
    <w:lvl w:ilvl="3" w:tplc="C6FC6AA0">
      <w:start w:val="1"/>
      <w:numFmt w:val="bullet"/>
      <w:lvlText w:val="●"/>
      <w:lvlJc w:val="left"/>
      <w:pPr>
        <w:ind w:left="2880" w:hanging="360"/>
      </w:pPr>
    </w:lvl>
    <w:lvl w:ilvl="4" w:tplc="0B60AEAC">
      <w:start w:val="1"/>
      <w:numFmt w:val="bullet"/>
      <w:lvlText w:val="○"/>
      <w:lvlJc w:val="left"/>
      <w:pPr>
        <w:ind w:left="3600" w:hanging="360"/>
      </w:pPr>
    </w:lvl>
    <w:lvl w:ilvl="5" w:tplc="9D94B4F2">
      <w:start w:val="1"/>
      <w:numFmt w:val="bullet"/>
      <w:lvlText w:val="■"/>
      <w:lvlJc w:val="left"/>
      <w:pPr>
        <w:ind w:left="4320" w:hanging="360"/>
      </w:pPr>
    </w:lvl>
    <w:lvl w:ilvl="6" w:tplc="200836A6">
      <w:start w:val="1"/>
      <w:numFmt w:val="bullet"/>
      <w:lvlText w:val="●"/>
      <w:lvlJc w:val="left"/>
      <w:pPr>
        <w:ind w:left="5040" w:hanging="360"/>
      </w:pPr>
    </w:lvl>
    <w:lvl w:ilvl="7" w:tplc="0502900C">
      <w:start w:val="1"/>
      <w:numFmt w:val="bullet"/>
      <w:lvlText w:val="●"/>
      <w:lvlJc w:val="left"/>
      <w:pPr>
        <w:ind w:left="5760" w:hanging="360"/>
      </w:pPr>
    </w:lvl>
    <w:lvl w:ilvl="8" w:tplc="A2341BFA">
      <w:start w:val="1"/>
      <w:numFmt w:val="bullet"/>
      <w:lvlText w:val="●"/>
      <w:lvlJc w:val="left"/>
      <w:pPr>
        <w:ind w:left="6480" w:hanging="360"/>
      </w:pPr>
    </w:lvl>
  </w:abstractNum>
  <w:abstractNum w:abstractNumId="1" w15:restartNumberingAfterBreak="0">
    <w:nsid w:val="4FDA2B3C"/>
    <w:multiLevelType w:val="hybridMultilevel"/>
    <w:tmpl w:val="BAFCEA2A"/>
    <w:lvl w:ilvl="0" w:tplc="D56C2A1A">
      <w:start w:val="1"/>
      <w:numFmt w:val="bullet"/>
      <w:lvlText w:val="–"/>
      <w:lvlJc w:val="left"/>
      <w:pPr>
        <w:ind w:left="480" w:hanging="240"/>
      </w:pPr>
    </w:lvl>
    <w:lvl w:ilvl="1" w:tplc="71CE4438">
      <w:numFmt w:val="decimal"/>
      <w:lvlText w:val=""/>
      <w:lvlJc w:val="left"/>
    </w:lvl>
    <w:lvl w:ilvl="2" w:tplc="AB542D48">
      <w:numFmt w:val="decimal"/>
      <w:lvlText w:val=""/>
      <w:lvlJc w:val="left"/>
    </w:lvl>
    <w:lvl w:ilvl="3" w:tplc="7820CDB8">
      <w:numFmt w:val="decimal"/>
      <w:lvlText w:val=""/>
      <w:lvlJc w:val="left"/>
    </w:lvl>
    <w:lvl w:ilvl="4" w:tplc="AE2A11DA">
      <w:numFmt w:val="decimal"/>
      <w:lvlText w:val=""/>
      <w:lvlJc w:val="left"/>
    </w:lvl>
    <w:lvl w:ilvl="5" w:tplc="1ECCC44A">
      <w:numFmt w:val="decimal"/>
      <w:lvlText w:val=""/>
      <w:lvlJc w:val="left"/>
    </w:lvl>
    <w:lvl w:ilvl="6" w:tplc="0290871C">
      <w:numFmt w:val="decimal"/>
      <w:lvlText w:val=""/>
      <w:lvlJc w:val="left"/>
    </w:lvl>
    <w:lvl w:ilvl="7" w:tplc="B2169DBC">
      <w:numFmt w:val="decimal"/>
      <w:lvlText w:val=""/>
      <w:lvlJc w:val="left"/>
    </w:lvl>
    <w:lvl w:ilvl="8" w:tplc="DC7626A0">
      <w:numFmt w:val="decimal"/>
      <w:lvlText w:val=""/>
      <w:lvlJc w:val="left"/>
    </w:lvl>
  </w:abstractNum>
  <w:num w:numId="1" w16cid:durableId="1415593477">
    <w:abstractNumId w:val="0"/>
    <w:lvlOverride w:ilvl="0">
      <w:startOverride w:val="1"/>
    </w:lvlOverride>
  </w:num>
  <w:num w:numId="2" w16cid:durableId="198766703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197"/>
    <w:rsid w:val="000E02BB"/>
    <w:rsid w:val="000F5586"/>
    <w:rsid w:val="00112C06"/>
    <w:rsid w:val="003A22CF"/>
    <w:rsid w:val="004608EF"/>
    <w:rsid w:val="004E6300"/>
    <w:rsid w:val="0069164A"/>
    <w:rsid w:val="00766994"/>
    <w:rsid w:val="00876342"/>
    <w:rsid w:val="008C3499"/>
    <w:rsid w:val="00A0153C"/>
    <w:rsid w:val="00C20247"/>
    <w:rsid w:val="00C45F8D"/>
    <w:rsid w:val="00C85644"/>
    <w:rsid w:val="00D01479"/>
    <w:rsid w:val="00D83971"/>
    <w:rsid w:val="00DF670D"/>
    <w:rsid w:val="00E12165"/>
    <w:rsid w:val="00EE7177"/>
    <w:rsid w:val="00FF21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C7395"/>
  <w15:docId w15:val="{97BEE211-6F90-984E-A16F-B4B1C8ECE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table" w:styleId="PlainTable3">
    <w:name w:val="Plain Table 3"/>
    <w:basedOn w:val="TableNormal"/>
    <w:uiPriority w:val="43"/>
    <w:rsid w:val="0069164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9164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9164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8C3499"/>
    <w:pPr>
      <w:tabs>
        <w:tab w:val="center" w:pos="4680"/>
        <w:tab w:val="right" w:pos="9360"/>
      </w:tabs>
    </w:pPr>
  </w:style>
  <w:style w:type="character" w:customStyle="1" w:styleId="HeaderChar">
    <w:name w:val="Header Char"/>
    <w:basedOn w:val="DefaultParagraphFont"/>
    <w:link w:val="Header"/>
    <w:uiPriority w:val="99"/>
    <w:rsid w:val="008C3499"/>
  </w:style>
  <w:style w:type="paragraph" w:styleId="Footer">
    <w:name w:val="footer"/>
    <w:basedOn w:val="Normal"/>
    <w:link w:val="FooterChar"/>
    <w:uiPriority w:val="99"/>
    <w:unhideWhenUsed/>
    <w:rsid w:val="008C3499"/>
    <w:pPr>
      <w:tabs>
        <w:tab w:val="center" w:pos="4680"/>
        <w:tab w:val="right" w:pos="9360"/>
      </w:tabs>
    </w:pPr>
  </w:style>
  <w:style w:type="character" w:customStyle="1" w:styleId="FooterChar">
    <w:name w:val="Footer Char"/>
    <w:basedOn w:val="DefaultParagraphFont"/>
    <w:link w:val="Footer"/>
    <w:uiPriority w:val="99"/>
    <w:rsid w:val="008C3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18</Pages>
  <Words>7679</Words>
  <Characters>43773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James Boit</cp:lastModifiedBy>
  <cp:revision>2</cp:revision>
  <dcterms:created xsi:type="dcterms:W3CDTF">2026-03-31T08:48:00Z</dcterms:created>
  <dcterms:modified xsi:type="dcterms:W3CDTF">2026-03-31T08:48:00Z</dcterms:modified>
</cp:coreProperties>
</file>