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E339CC" w:rsidRDefault="00E339CC">
      <w:pPr>
        <w:jc w:val="center"/>
        <w:rPr>
          <w:rFonts w:ascii="Calibri" w:eastAsia="Calibri" w:hAnsi="Calibri" w:cs="Calibri"/>
          <w:b/>
          <w:sz w:val="28"/>
          <w:szCs w:val="28"/>
        </w:rPr>
      </w:pPr>
      <w:bookmarkStart w:id="0" w:name="_GoBack"/>
      <w:bookmarkEnd w:id="0"/>
    </w:p>
    <w:p w14:paraId="00000002" w14:textId="77777777" w:rsidR="00E339CC" w:rsidRDefault="00B324E3">
      <w:pPr>
        <w:jc w:val="center"/>
        <w:rPr>
          <w:rFonts w:ascii="Calibri" w:eastAsia="Calibri" w:hAnsi="Calibri" w:cs="Calibri"/>
          <w:b/>
          <w:sz w:val="28"/>
          <w:szCs w:val="28"/>
        </w:rPr>
      </w:pPr>
      <w:r>
        <w:rPr>
          <w:rFonts w:ascii="Calibri" w:eastAsia="Calibri" w:hAnsi="Calibri" w:cs="Calibri"/>
          <w:b/>
          <w:sz w:val="28"/>
          <w:szCs w:val="28"/>
        </w:rPr>
        <w:t xml:space="preserve">NGO Joint Submission </w:t>
      </w:r>
    </w:p>
    <w:p w14:paraId="00000003" w14:textId="77777777" w:rsidR="00E339CC" w:rsidRDefault="00E339CC">
      <w:pPr>
        <w:jc w:val="center"/>
        <w:rPr>
          <w:rFonts w:ascii="Calibri" w:eastAsia="Calibri" w:hAnsi="Calibri" w:cs="Calibri"/>
          <w:b/>
          <w:sz w:val="28"/>
          <w:szCs w:val="28"/>
        </w:rPr>
      </w:pPr>
    </w:p>
    <w:p w14:paraId="00000004" w14:textId="47B3E52E" w:rsidR="00E339CC" w:rsidRDefault="00B324E3">
      <w:pPr>
        <w:jc w:val="center"/>
        <w:rPr>
          <w:rFonts w:ascii="Calibri" w:eastAsia="Calibri" w:hAnsi="Calibri" w:cs="Calibri"/>
          <w:b/>
          <w:sz w:val="28"/>
          <w:szCs w:val="28"/>
        </w:rPr>
      </w:pPr>
      <w:r>
        <w:rPr>
          <w:rFonts w:ascii="Calibri" w:eastAsia="Calibri" w:hAnsi="Calibri" w:cs="Calibri"/>
          <w:b/>
          <w:sz w:val="28"/>
          <w:szCs w:val="28"/>
        </w:rPr>
        <w:t>Asia Justice and Rights (AJAR), JUBI Foundation, TAPOL, Pusaka Bentala Rakyat Foundation, Franciscans International, Papua Legal Aid Institute (LBH Papua), Justice, Peace and Integrity of Creation of Franciscans in Papua (SKPKC Fransiskan Papua); Women Department of the Evangelical Church in Papua (Departemen Perempuan Gereja Injili di Indonesia - GIDI), The Institute for Human Right Studies and Advocacy (ELSHAM ) Papua, The Justice, Peace, and Integrity of Creation Section of the Evangelical Christian Church of Papua (KPKC GKI Di Tanah Papua)</w:t>
      </w:r>
      <w:r w:rsidR="00B16657">
        <w:rPr>
          <w:rFonts w:ascii="Calibri" w:eastAsia="Calibri" w:hAnsi="Calibri" w:cs="Calibri"/>
          <w:b/>
          <w:sz w:val="28"/>
          <w:szCs w:val="28"/>
        </w:rPr>
        <w:t xml:space="preserve">. </w:t>
      </w:r>
      <w:r>
        <w:rPr>
          <w:rFonts w:ascii="Calibri" w:eastAsia="Calibri" w:hAnsi="Calibri" w:cs="Calibri"/>
          <w:b/>
          <w:sz w:val="28"/>
          <w:szCs w:val="28"/>
        </w:rPr>
        <w:t xml:space="preserve"> </w:t>
      </w:r>
    </w:p>
    <w:p w14:paraId="00000005" w14:textId="77777777" w:rsidR="00E339CC" w:rsidRDefault="00E339CC">
      <w:pPr>
        <w:rPr>
          <w:rFonts w:ascii="Calibri" w:eastAsia="Calibri" w:hAnsi="Calibri" w:cs="Calibri"/>
          <w:sz w:val="22"/>
          <w:szCs w:val="22"/>
        </w:rPr>
      </w:pPr>
    </w:p>
    <w:p w14:paraId="00000006" w14:textId="77777777" w:rsidR="00E339CC" w:rsidRDefault="00E339CC">
      <w:pPr>
        <w:rPr>
          <w:rFonts w:ascii="Calibri" w:eastAsia="Calibri" w:hAnsi="Calibri" w:cs="Calibri"/>
          <w:sz w:val="22"/>
          <w:szCs w:val="22"/>
        </w:rPr>
      </w:pPr>
    </w:p>
    <w:p w14:paraId="00000007" w14:textId="77777777" w:rsidR="00E339CC" w:rsidRDefault="00E339CC">
      <w:pPr>
        <w:rPr>
          <w:rFonts w:ascii="Calibri" w:eastAsia="Calibri" w:hAnsi="Calibri" w:cs="Calibri"/>
          <w:sz w:val="22"/>
          <w:szCs w:val="22"/>
        </w:rPr>
      </w:pPr>
    </w:p>
    <w:p w14:paraId="00000008" w14:textId="77777777" w:rsidR="00E339CC" w:rsidRDefault="00E339CC">
      <w:pPr>
        <w:rPr>
          <w:rFonts w:ascii="Calibri" w:eastAsia="Calibri" w:hAnsi="Calibri" w:cs="Calibri"/>
          <w:sz w:val="22"/>
          <w:szCs w:val="22"/>
        </w:rPr>
      </w:pPr>
    </w:p>
    <w:p w14:paraId="00000009" w14:textId="77777777" w:rsidR="00E339CC" w:rsidRDefault="00E339CC">
      <w:pPr>
        <w:rPr>
          <w:rFonts w:ascii="Calibri" w:eastAsia="Calibri" w:hAnsi="Calibri" w:cs="Calibri"/>
          <w:sz w:val="22"/>
          <w:szCs w:val="22"/>
        </w:rPr>
      </w:pPr>
    </w:p>
    <w:p w14:paraId="0000000A" w14:textId="77777777" w:rsidR="00E339CC" w:rsidRDefault="00E339CC">
      <w:pPr>
        <w:rPr>
          <w:rFonts w:ascii="Calibri" w:eastAsia="Calibri" w:hAnsi="Calibri" w:cs="Calibri"/>
          <w:sz w:val="22"/>
          <w:szCs w:val="22"/>
        </w:rPr>
      </w:pPr>
    </w:p>
    <w:p w14:paraId="0000000B" w14:textId="77777777" w:rsidR="00E339CC" w:rsidRDefault="00E339CC">
      <w:pPr>
        <w:rPr>
          <w:rFonts w:ascii="Calibri" w:eastAsia="Calibri" w:hAnsi="Calibri" w:cs="Calibri"/>
          <w:sz w:val="22"/>
          <w:szCs w:val="22"/>
        </w:rPr>
      </w:pPr>
    </w:p>
    <w:p w14:paraId="0000000C" w14:textId="77777777" w:rsidR="00E339CC" w:rsidRDefault="00E339CC">
      <w:pPr>
        <w:rPr>
          <w:rFonts w:ascii="Calibri" w:eastAsia="Calibri" w:hAnsi="Calibri" w:cs="Calibri"/>
          <w:sz w:val="22"/>
          <w:szCs w:val="22"/>
        </w:rPr>
      </w:pPr>
    </w:p>
    <w:p w14:paraId="0000000D" w14:textId="77777777" w:rsidR="00E339CC" w:rsidRDefault="00E339CC">
      <w:pPr>
        <w:rPr>
          <w:rFonts w:ascii="Calibri" w:eastAsia="Calibri" w:hAnsi="Calibri" w:cs="Calibri"/>
          <w:sz w:val="22"/>
          <w:szCs w:val="22"/>
        </w:rPr>
      </w:pPr>
    </w:p>
    <w:p w14:paraId="0000000E" w14:textId="77777777" w:rsidR="00E339CC" w:rsidRDefault="00E339CC">
      <w:pPr>
        <w:jc w:val="center"/>
        <w:rPr>
          <w:rFonts w:ascii="Calibri" w:eastAsia="Calibri" w:hAnsi="Calibri" w:cs="Calibri"/>
          <w:b/>
          <w:sz w:val="22"/>
          <w:szCs w:val="22"/>
        </w:rPr>
      </w:pPr>
    </w:p>
    <w:p w14:paraId="0000000F" w14:textId="77777777" w:rsidR="00E339CC" w:rsidRDefault="00E339CC">
      <w:pPr>
        <w:jc w:val="center"/>
        <w:rPr>
          <w:rFonts w:ascii="Calibri" w:eastAsia="Calibri" w:hAnsi="Calibri" w:cs="Calibri"/>
          <w:b/>
          <w:sz w:val="22"/>
          <w:szCs w:val="22"/>
        </w:rPr>
      </w:pPr>
    </w:p>
    <w:p w14:paraId="00000010" w14:textId="77777777" w:rsidR="00E339CC" w:rsidRDefault="00E339CC">
      <w:pPr>
        <w:jc w:val="center"/>
        <w:rPr>
          <w:rFonts w:ascii="Calibri" w:eastAsia="Calibri" w:hAnsi="Calibri" w:cs="Calibri"/>
          <w:b/>
          <w:sz w:val="22"/>
          <w:szCs w:val="22"/>
        </w:rPr>
      </w:pPr>
    </w:p>
    <w:p w14:paraId="00000011" w14:textId="77777777" w:rsidR="00E339CC" w:rsidRDefault="00E339CC">
      <w:pPr>
        <w:jc w:val="center"/>
        <w:rPr>
          <w:rFonts w:ascii="Calibri" w:eastAsia="Calibri" w:hAnsi="Calibri" w:cs="Calibri"/>
          <w:b/>
          <w:sz w:val="22"/>
          <w:szCs w:val="22"/>
        </w:rPr>
      </w:pPr>
    </w:p>
    <w:p w14:paraId="00000012" w14:textId="77777777" w:rsidR="00E339CC" w:rsidRDefault="00B324E3">
      <w:pPr>
        <w:jc w:val="center"/>
        <w:rPr>
          <w:rFonts w:ascii="Calibri" w:eastAsia="Calibri" w:hAnsi="Calibri" w:cs="Calibri"/>
          <w:b/>
          <w:color w:val="000000"/>
          <w:sz w:val="28"/>
          <w:szCs w:val="28"/>
          <w:highlight w:val="white"/>
        </w:rPr>
      </w:pPr>
      <w:r>
        <w:rPr>
          <w:rFonts w:ascii="Calibri" w:eastAsia="Calibri" w:hAnsi="Calibri" w:cs="Calibri"/>
          <w:b/>
          <w:sz w:val="28"/>
          <w:szCs w:val="28"/>
        </w:rPr>
        <w:t xml:space="preserve">Submission to </w:t>
      </w:r>
      <w:r>
        <w:rPr>
          <w:rFonts w:ascii="Calibri" w:eastAsia="Calibri" w:hAnsi="Calibri" w:cs="Calibri"/>
          <w:b/>
          <w:sz w:val="28"/>
          <w:szCs w:val="28"/>
          <w:highlight w:val="white"/>
        </w:rPr>
        <w:t>t</w:t>
      </w:r>
      <w:r>
        <w:rPr>
          <w:rFonts w:ascii="Calibri" w:eastAsia="Calibri" w:hAnsi="Calibri" w:cs="Calibri"/>
          <w:b/>
          <w:color w:val="000000"/>
          <w:sz w:val="28"/>
          <w:szCs w:val="28"/>
          <w:highlight w:val="white"/>
        </w:rPr>
        <w:t xml:space="preserve">he UN Committee on Economic, Social and Cultural Rights </w:t>
      </w:r>
    </w:p>
    <w:p w14:paraId="00000013" w14:textId="77777777" w:rsidR="00E339CC" w:rsidRDefault="00E339CC">
      <w:pPr>
        <w:jc w:val="center"/>
        <w:rPr>
          <w:rFonts w:ascii="Calibri" w:eastAsia="Calibri" w:hAnsi="Calibri" w:cs="Calibri"/>
          <w:b/>
          <w:sz w:val="28"/>
          <w:szCs w:val="28"/>
        </w:rPr>
      </w:pPr>
    </w:p>
    <w:p w14:paraId="00000014" w14:textId="77777777" w:rsidR="00E339CC" w:rsidRDefault="00B324E3">
      <w:pPr>
        <w:jc w:val="center"/>
        <w:rPr>
          <w:rFonts w:ascii="Calibri" w:eastAsia="Calibri" w:hAnsi="Calibri" w:cs="Calibri"/>
          <w:b/>
          <w:sz w:val="28"/>
          <w:szCs w:val="28"/>
        </w:rPr>
      </w:pPr>
      <w:r>
        <w:rPr>
          <w:rFonts w:ascii="Calibri" w:eastAsia="Calibri" w:hAnsi="Calibri" w:cs="Calibri"/>
          <w:b/>
          <w:sz w:val="28"/>
          <w:szCs w:val="28"/>
        </w:rPr>
        <w:t xml:space="preserve">List of Issues (LOIs) on the 2nd periodic report of Indonesia under the International Covenant on </w:t>
      </w:r>
      <w:r>
        <w:rPr>
          <w:rFonts w:ascii="Calibri" w:eastAsia="Calibri" w:hAnsi="Calibri" w:cs="Calibri"/>
          <w:b/>
          <w:color w:val="000000"/>
          <w:sz w:val="28"/>
          <w:szCs w:val="28"/>
          <w:highlight w:val="white"/>
        </w:rPr>
        <w:t>Economic, Social and Cultural Rights (ICESCR)</w:t>
      </w:r>
    </w:p>
    <w:p w14:paraId="00000015" w14:textId="77777777" w:rsidR="00E339CC" w:rsidRDefault="00E339CC">
      <w:pPr>
        <w:rPr>
          <w:rFonts w:ascii="Calibri" w:eastAsia="Calibri" w:hAnsi="Calibri" w:cs="Calibri"/>
          <w:sz w:val="28"/>
          <w:szCs w:val="28"/>
        </w:rPr>
      </w:pPr>
    </w:p>
    <w:p w14:paraId="00000016" w14:textId="77777777" w:rsidR="00E339CC" w:rsidRDefault="00E339CC">
      <w:pPr>
        <w:rPr>
          <w:rFonts w:ascii="Calibri" w:eastAsia="Calibri" w:hAnsi="Calibri" w:cs="Calibri"/>
          <w:sz w:val="22"/>
          <w:szCs w:val="22"/>
        </w:rPr>
      </w:pPr>
    </w:p>
    <w:p w14:paraId="00000017" w14:textId="77777777" w:rsidR="00E339CC" w:rsidRDefault="00E339CC">
      <w:pPr>
        <w:rPr>
          <w:rFonts w:ascii="Calibri" w:eastAsia="Calibri" w:hAnsi="Calibri" w:cs="Calibri"/>
          <w:sz w:val="22"/>
          <w:szCs w:val="22"/>
        </w:rPr>
      </w:pPr>
    </w:p>
    <w:p w14:paraId="00000018" w14:textId="77777777" w:rsidR="00E339CC" w:rsidRDefault="00E339CC">
      <w:pPr>
        <w:rPr>
          <w:rFonts w:ascii="Calibri" w:eastAsia="Calibri" w:hAnsi="Calibri" w:cs="Calibri"/>
          <w:sz w:val="22"/>
          <w:szCs w:val="22"/>
        </w:rPr>
      </w:pPr>
    </w:p>
    <w:p w14:paraId="00000019" w14:textId="77777777" w:rsidR="00E339CC" w:rsidRDefault="00E339CC">
      <w:pPr>
        <w:rPr>
          <w:rFonts w:ascii="Calibri" w:eastAsia="Calibri" w:hAnsi="Calibri" w:cs="Calibri"/>
          <w:sz w:val="22"/>
          <w:szCs w:val="22"/>
        </w:rPr>
      </w:pPr>
    </w:p>
    <w:p w14:paraId="0000001A" w14:textId="77777777" w:rsidR="00E339CC" w:rsidRDefault="00E339CC">
      <w:pPr>
        <w:jc w:val="center"/>
        <w:rPr>
          <w:rFonts w:ascii="Calibri" w:eastAsia="Calibri" w:hAnsi="Calibri" w:cs="Calibri"/>
          <w:b/>
          <w:color w:val="FF0000"/>
          <w:sz w:val="26"/>
          <w:szCs w:val="26"/>
        </w:rPr>
      </w:pPr>
    </w:p>
    <w:p w14:paraId="0000001B" w14:textId="77777777" w:rsidR="00E339CC" w:rsidRDefault="00E339CC">
      <w:pPr>
        <w:rPr>
          <w:rFonts w:ascii="Calibri" w:eastAsia="Calibri" w:hAnsi="Calibri" w:cs="Calibri"/>
          <w:sz w:val="22"/>
          <w:szCs w:val="22"/>
        </w:rPr>
      </w:pPr>
    </w:p>
    <w:p w14:paraId="0000001C" w14:textId="77777777" w:rsidR="00E339CC" w:rsidRDefault="00E339CC">
      <w:pPr>
        <w:rPr>
          <w:rFonts w:ascii="Calibri" w:eastAsia="Calibri" w:hAnsi="Calibri" w:cs="Calibri"/>
          <w:sz w:val="22"/>
          <w:szCs w:val="22"/>
        </w:rPr>
      </w:pPr>
    </w:p>
    <w:p w14:paraId="0000001D" w14:textId="77777777" w:rsidR="00E339CC" w:rsidRDefault="00E339CC">
      <w:pPr>
        <w:rPr>
          <w:rFonts w:ascii="Calibri" w:eastAsia="Calibri" w:hAnsi="Calibri" w:cs="Calibri"/>
          <w:sz w:val="22"/>
          <w:szCs w:val="22"/>
        </w:rPr>
      </w:pPr>
    </w:p>
    <w:p w14:paraId="0000001E" w14:textId="77777777" w:rsidR="00E339CC" w:rsidRDefault="00E339CC">
      <w:pPr>
        <w:rPr>
          <w:rFonts w:ascii="Calibri" w:eastAsia="Calibri" w:hAnsi="Calibri" w:cs="Calibri"/>
          <w:sz w:val="22"/>
          <w:szCs w:val="22"/>
        </w:rPr>
      </w:pPr>
    </w:p>
    <w:p w14:paraId="0000001F" w14:textId="77777777" w:rsidR="00E339CC" w:rsidRDefault="00E339CC">
      <w:pPr>
        <w:rPr>
          <w:rFonts w:ascii="Calibri" w:eastAsia="Calibri" w:hAnsi="Calibri" w:cs="Calibri"/>
          <w:sz w:val="22"/>
          <w:szCs w:val="22"/>
        </w:rPr>
      </w:pPr>
    </w:p>
    <w:p w14:paraId="00000020" w14:textId="77777777" w:rsidR="00E339CC" w:rsidRDefault="00E339CC">
      <w:pPr>
        <w:rPr>
          <w:rFonts w:ascii="Calibri" w:eastAsia="Calibri" w:hAnsi="Calibri" w:cs="Calibri"/>
          <w:sz w:val="22"/>
          <w:szCs w:val="22"/>
        </w:rPr>
      </w:pPr>
    </w:p>
    <w:p w14:paraId="00000021" w14:textId="77777777" w:rsidR="00E339CC" w:rsidRDefault="00E339CC">
      <w:pPr>
        <w:rPr>
          <w:rFonts w:ascii="Calibri" w:eastAsia="Calibri" w:hAnsi="Calibri" w:cs="Calibri"/>
          <w:sz w:val="22"/>
          <w:szCs w:val="22"/>
        </w:rPr>
      </w:pPr>
    </w:p>
    <w:p w14:paraId="00000022" w14:textId="77777777" w:rsidR="00E339CC" w:rsidRDefault="00B324E3">
      <w:pPr>
        <w:jc w:val="center"/>
        <w:rPr>
          <w:rFonts w:ascii="Calibri" w:eastAsia="Calibri" w:hAnsi="Calibri" w:cs="Calibri"/>
          <w:sz w:val="22"/>
          <w:szCs w:val="22"/>
        </w:rPr>
      </w:pPr>
      <w:r>
        <w:rPr>
          <w:rFonts w:ascii="Calibri" w:eastAsia="Calibri" w:hAnsi="Calibri" w:cs="Calibri"/>
          <w:sz w:val="22"/>
          <w:szCs w:val="22"/>
        </w:rPr>
        <w:t xml:space="preserve">January 2022 </w:t>
      </w:r>
    </w:p>
    <w:p w14:paraId="00000023" w14:textId="77777777" w:rsidR="00E339CC" w:rsidRDefault="00E339CC">
      <w:pPr>
        <w:rPr>
          <w:rFonts w:ascii="Calibri" w:eastAsia="Calibri" w:hAnsi="Calibri" w:cs="Calibri"/>
          <w:sz w:val="22"/>
          <w:szCs w:val="22"/>
        </w:rPr>
      </w:pPr>
    </w:p>
    <w:p w14:paraId="00000024" w14:textId="77777777" w:rsidR="00E339CC" w:rsidRDefault="00E339CC">
      <w:pPr>
        <w:rPr>
          <w:rFonts w:ascii="Calibri" w:eastAsia="Calibri" w:hAnsi="Calibri" w:cs="Calibri"/>
          <w:sz w:val="22"/>
          <w:szCs w:val="22"/>
        </w:rPr>
      </w:pPr>
    </w:p>
    <w:p w14:paraId="00000025" w14:textId="77777777" w:rsidR="00E339CC" w:rsidRDefault="00E339CC">
      <w:pPr>
        <w:rPr>
          <w:rFonts w:ascii="Calibri" w:eastAsia="Calibri" w:hAnsi="Calibri" w:cs="Calibri"/>
          <w:sz w:val="22"/>
          <w:szCs w:val="22"/>
        </w:rPr>
      </w:pPr>
    </w:p>
    <w:p w14:paraId="00000026" w14:textId="77777777" w:rsidR="00E339CC" w:rsidRDefault="00E339CC">
      <w:pPr>
        <w:rPr>
          <w:rFonts w:ascii="Calibri" w:eastAsia="Calibri" w:hAnsi="Calibri" w:cs="Calibri"/>
          <w:sz w:val="22"/>
          <w:szCs w:val="22"/>
        </w:rPr>
      </w:pPr>
    </w:p>
    <w:p w14:paraId="00000027" w14:textId="77777777" w:rsidR="00E339CC" w:rsidRDefault="00E339CC">
      <w:pPr>
        <w:rPr>
          <w:rFonts w:ascii="Calibri" w:eastAsia="Calibri" w:hAnsi="Calibri" w:cs="Calibri"/>
          <w:sz w:val="22"/>
          <w:szCs w:val="22"/>
        </w:rPr>
      </w:pPr>
    </w:p>
    <w:p w14:paraId="00000028" w14:textId="77777777" w:rsidR="00E339CC" w:rsidRDefault="00B324E3">
      <w:pPr>
        <w:pBdr>
          <w:top w:val="nil"/>
          <w:left w:val="nil"/>
          <w:bottom w:val="nil"/>
          <w:right w:val="nil"/>
          <w:between w:val="nil"/>
        </w:pBdr>
        <w:spacing w:before="240"/>
        <w:jc w:val="both"/>
        <w:rPr>
          <w:rFonts w:ascii="Calibri" w:eastAsia="Calibri" w:hAnsi="Calibri" w:cs="Calibri"/>
          <w:color w:val="000000"/>
        </w:rPr>
      </w:pPr>
      <w:r>
        <w:rPr>
          <w:rFonts w:ascii="Calibri" w:eastAsia="Calibri" w:hAnsi="Calibri" w:cs="Calibri"/>
          <w:b/>
          <w:color w:val="000000"/>
        </w:rPr>
        <w:lastRenderedPageBreak/>
        <w:t>General Situation in West Papua</w:t>
      </w:r>
    </w:p>
    <w:p w14:paraId="00000029" w14:textId="77777777" w:rsidR="00E339CC" w:rsidRDefault="00B324E3">
      <w:pPr>
        <w:numPr>
          <w:ilvl w:val="0"/>
          <w:numId w:val="3"/>
        </w:numPr>
        <w:pBdr>
          <w:top w:val="nil"/>
          <w:left w:val="nil"/>
          <w:bottom w:val="nil"/>
          <w:right w:val="nil"/>
          <w:between w:val="nil"/>
        </w:pBdr>
        <w:shd w:val="clear" w:color="auto" w:fill="FFFFFF"/>
        <w:rPr>
          <w:rFonts w:ascii="Calibri" w:eastAsia="Calibri" w:hAnsi="Calibri" w:cs="Calibri"/>
        </w:rPr>
      </w:pPr>
      <w:r>
        <w:rPr>
          <w:rFonts w:ascii="Calibri" w:eastAsia="Calibri" w:hAnsi="Calibri" w:cs="Calibri"/>
        </w:rPr>
        <w:t>The Papua region in Indonesia is known internationally as West Papua and refers to the western half of the island of New Guinea. The Government of Indonesia considers the term West Papua to have a political nuance with a pro-independence meaning. In 2003, the Government of  Indonesia split Papua into the two provinces of Papua and Papua Barat. In this submission, the term West Papua is used to refer to both provinces. Currently in Indonesia, it is only in West Papua that the country faces both peaceful and armed independence movements.</w:t>
      </w:r>
    </w:p>
    <w:p w14:paraId="0000002A" w14:textId="77777777" w:rsidR="00E339CC" w:rsidRDefault="00E339CC">
      <w:pPr>
        <w:pBdr>
          <w:top w:val="nil"/>
          <w:left w:val="nil"/>
          <w:bottom w:val="nil"/>
          <w:right w:val="nil"/>
          <w:between w:val="nil"/>
        </w:pBdr>
        <w:shd w:val="clear" w:color="auto" w:fill="FFFFFF"/>
        <w:ind w:left="720"/>
        <w:rPr>
          <w:rFonts w:ascii="Calibri" w:eastAsia="Calibri" w:hAnsi="Calibri" w:cs="Calibri"/>
        </w:rPr>
      </w:pPr>
    </w:p>
    <w:p w14:paraId="0000002B" w14:textId="77777777" w:rsidR="00E339CC" w:rsidRDefault="00B324E3">
      <w:pPr>
        <w:numPr>
          <w:ilvl w:val="0"/>
          <w:numId w:val="3"/>
        </w:numPr>
        <w:pBdr>
          <w:top w:val="nil"/>
          <w:left w:val="nil"/>
          <w:bottom w:val="nil"/>
          <w:right w:val="nil"/>
          <w:between w:val="nil"/>
        </w:pBdr>
        <w:shd w:val="clear" w:color="auto" w:fill="FFFFFF"/>
        <w:rPr>
          <w:rFonts w:ascii="Calibri" w:eastAsia="Calibri" w:hAnsi="Calibri" w:cs="Calibri"/>
        </w:rPr>
      </w:pPr>
      <w:r>
        <w:rPr>
          <w:rFonts w:ascii="Calibri" w:eastAsia="Calibri" w:hAnsi="Calibri" w:cs="Calibri"/>
        </w:rPr>
        <w:t>According to the Indonesian State Institute of Sciences (LIPI), the main sources of the conflict in West Papua are the different interpretations of the Papuan political status in terms of integration into Indonesia; the ongoing human rights violations with impunity; the lack of development in the region; and the marginalization and discrimination of indigenous Papuans.</w:t>
      </w:r>
      <w:r>
        <w:rPr>
          <w:rFonts w:ascii="Calibri" w:eastAsia="Calibri" w:hAnsi="Calibri" w:cs="Calibri"/>
          <w:vertAlign w:val="superscript"/>
        </w:rPr>
        <w:footnoteReference w:id="1"/>
      </w:r>
      <w:r>
        <w:rPr>
          <w:rFonts w:ascii="Calibri" w:eastAsia="Calibri" w:hAnsi="Calibri" w:cs="Calibri"/>
        </w:rPr>
        <w:t xml:space="preserve">  </w:t>
      </w:r>
    </w:p>
    <w:p w14:paraId="0000002C" w14:textId="77777777" w:rsidR="00E339CC" w:rsidRDefault="00E339CC">
      <w:pPr>
        <w:pBdr>
          <w:top w:val="nil"/>
          <w:left w:val="nil"/>
          <w:bottom w:val="nil"/>
          <w:right w:val="nil"/>
          <w:between w:val="nil"/>
        </w:pBdr>
        <w:shd w:val="clear" w:color="auto" w:fill="FFFFFF"/>
        <w:jc w:val="both"/>
        <w:rPr>
          <w:rFonts w:ascii="Nunito Sans" w:eastAsia="Nunito Sans" w:hAnsi="Nunito Sans" w:cs="Nunito Sans"/>
          <w:color w:val="000000"/>
          <w:highlight w:val="yellow"/>
        </w:rPr>
      </w:pPr>
    </w:p>
    <w:p w14:paraId="0000002D" w14:textId="77777777" w:rsidR="00E339CC" w:rsidRDefault="00B324E3">
      <w:pPr>
        <w:numPr>
          <w:ilvl w:val="0"/>
          <w:numId w:val="3"/>
        </w:numPr>
        <w:pBdr>
          <w:top w:val="nil"/>
          <w:left w:val="nil"/>
          <w:bottom w:val="nil"/>
          <w:right w:val="nil"/>
          <w:between w:val="nil"/>
        </w:pBdr>
        <w:shd w:val="clear" w:color="auto" w:fill="FFFFFF"/>
        <w:rPr>
          <w:rFonts w:ascii="Calibri" w:eastAsia="Calibri" w:hAnsi="Calibri" w:cs="Calibri"/>
        </w:rPr>
      </w:pPr>
      <w:r>
        <w:rPr>
          <w:rFonts w:ascii="Calibri" w:eastAsia="Calibri" w:hAnsi="Calibri" w:cs="Calibri"/>
          <w:color w:val="000000"/>
        </w:rPr>
        <w:t xml:space="preserve">The </w:t>
      </w:r>
      <w:r>
        <w:rPr>
          <w:rFonts w:ascii="Calibri" w:eastAsia="Calibri" w:hAnsi="Calibri" w:cs="Calibri"/>
        </w:rPr>
        <w:t xml:space="preserve">Government of Indonesia </w:t>
      </w:r>
      <w:r>
        <w:rPr>
          <w:rFonts w:ascii="Calibri" w:eastAsia="Calibri" w:hAnsi="Calibri" w:cs="Calibri"/>
          <w:color w:val="000000"/>
        </w:rPr>
        <w:t xml:space="preserve"> establishe</w:t>
      </w:r>
      <w:r>
        <w:rPr>
          <w:rFonts w:ascii="Calibri" w:eastAsia="Calibri" w:hAnsi="Calibri" w:cs="Calibri"/>
        </w:rPr>
        <w:t>s</w:t>
      </w:r>
      <w:r>
        <w:rPr>
          <w:rFonts w:ascii="Calibri" w:eastAsia="Calibri" w:hAnsi="Calibri" w:cs="Calibri"/>
          <w:color w:val="000000"/>
        </w:rPr>
        <w:t xml:space="preserve"> and controls West </w:t>
      </w:r>
      <w:r>
        <w:rPr>
          <w:rFonts w:ascii="Calibri" w:eastAsia="Calibri" w:hAnsi="Calibri" w:cs="Calibri"/>
        </w:rPr>
        <w:t>Papua’s</w:t>
      </w:r>
      <w:r>
        <w:rPr>
          <w:rFonts w:ascii="Calibri" w:eastAsia="Calibri" w:hAnsi="Calibri" w:cs="Calibri"/>
          <w:color w:val="000000"/>
        </w:rPr>
        <w:t xml:space="preserve"> development policy, </w:t>
      </w:r>
      <w:r>
        <w:rPr>
          <w:rFonts w:ascii="Calibri" w:eastAsia="Calibri" w:hAnsi="Calibri" w:cs="Calibri"/>
        </w:rPr>
        <w:t>while</w:t>
      </w:r>
      <w:r>
        <w:rPr>
          <w:rFonts w:ascii="Calibri" w:eastAsia="Calibri" w:hAnsi="Calibri" w:cs="Calibri"/>
          <w:color w:val="000000"/>
        </w:rPr>
        <w:t xml:space="preserve"> </w:t>
      </w:r>
      <w:r>
        <w:rPr>
          <w:rFonts w:ascii="Calibri" w:eastAsia="Calibri" w:hAnsi="Calibri" w:cs="Calibri"/>
        </w:rPr>
        <w:t>simultaneously controlling its</w:t>
      </w:r>
      <w:r>
        <w:rPr>
          <w:rFonts w:ascii="Calibri" w:eastAsia="Calibri" w:hAnsi="Calibri" w:cs="Calibri"/>
          <w:color w:val="000000"/>
        </w:rPr>
        <w:t xml:space="preserve"> security sector. Several large-scale development projects have threatened (and continu</w:t>
      </w:r>
      <w:r>
        <w:rPr>
          <w:rFonts w:ascii="Calibri" w:eastAsia="Calibri" w:hAnsi="Calibri" w:cs="Calibri"/>
        </w:rPr>
        <w:t>e</w:t>
      </w:r>
      <w:r>
        <w:rPr>
          <w:rFonts w:ascii="Calibri" w:eastAsia="Calibri" w:hAnsi="Calibri" w:cs="Calibri"/>
          <w:color w:val="000000"/>
        </w:rPr>
        <w:t xml:space="preserve"> to threat</w:t>
      </w:r>
      <w:r>
        <w:rPr>
          <w:rFonts w:ascii="Calibri" w:eastAsia="Calibri" w:hAnsi="Calibri" w:cs="Calibri"/>
        </w:rPr>
        <w:t xml:space="preserve">en) </w:t>
      </w:r>
      <w:r>
        <w:rPr>
          <w:rFonts w:ascii="Calibri" w:eastAsia="Calibri" w:hAnsi="Calibri" w:cs="Calibri"/>
          <w:color w:val="000000"/>
        </w:rPr>
        <w:t xml:space="preserve">the existence of forests and, in turn, indigenous peoples and their lands. Industrial </w:t>
      </w:r>
      <w:r>
        <w:rPr>
          <w:rFonts w:ascii="Calibri" w:eastAsia="Calibri" w:hAnsi="Calibri" w:cs="Calibri"/>
        </w:rPr>
        <w:t>agriculture projects</w:t>
      </w:r>
      <w:r>
        <w:rPr>
          <w:rFonts w:ascii="Calibri" w:eastAsia="Calibri" w:hAnsi="Calibri" w:cs="Calibri"/>
          <w:color w:val="000000"/>
        </w:rPr>
        <w:t xml:space="preserve"> initiated by the Government have </w:t>
      </w:r>
      <w:r>
        <w:rPr>
          <w:rFonts w:ascii="Calibri" w:eastAsia="Calibri" w:hAnsi="Calibri" w:cs="Calibri"/>
        </w:rPr>
        <w:t xml:space="preserve">denied the access of the </w:t>
      </w:r>
      <w:r>
        <w:rPr>
          <w:rFonts w:ascii="Calibri" w:eastAsia="Calibri" w:hAnsi="Calibri" w:cs="Calibri"/>
          <w:color w:val="000000"/>
        </w:rPr>
        <w:t xml:space="preserve">indigenous </w:t>
      </w:r>
      <w:r>
        <w:rPr>
          <w:rFonts w:ascii="Calibri" w:eastAsia="Calibri" w:hAnsi="Calibri" w:cs="Calibri"/>
        </w:rPr>
        <w:t xml:space="preserve">Papuans </w:t>
      </w:r>
      <w:r>
        <w:rPr>
          <w:rFonts w:ascii="Calibri" w:eastAsia="Calibri" w:hAnsi="Calibri" w:cs="Calibri"/>
          <w:color w:val="000000"/>
        </w:rPr>
        <w:t xml:space="preserve">to land and resources or have caused irreparable damage to the </w:t>
      </w:r>
      <w:r>
        <w:rPr>
          <w:rFonts w:ascii="Calibri" w:eastAsia="Calibri" w:hAnsi="Calibri" w:cs="Calibri"/>
        </w:rPr>
        <w:t>forests that</w:t>
      </w:r>
      <w:r>
        <w:rPr>
          <w:rFonts w:ascii="Calibri" w:eastAsia="Calibri" w:hAnsi="Calibri" w:cs="Calibri"/>
          <w:color w:val="000000"/>
        </w:rPr>
        <w:t xml:space="preserve"> are the primary source of li</w:t>
      </w:r>
      <w:r>
        <w:rPr>
          <w:rFonts w:ascii="Calibri" w:eastAsia="Calibri" w:hAnsi="Calibri" w:cs="Calibri"/>
        </w:rPr>
        <w:t>velihood</w:t>
      </w:r>
      <w:r>
        <w:rPr>
          <w:rFonts w:ascii="Calibri" w:eastAsia="Calibri" w:hAnsi="Calibri" w:cs="Calibri"/>
          <w:color w:val="000000"/>
        </w:rPr>
        <w:t xml:space="preserve"> and of utmost cultural </w:t>
      </w:r>
      <w:r>
        <w:rPr>
          <w:rFonts w:ascii="Calibri" w:eastAsia="Calibri" w:hAnsi="Calibri" w:cs="Calibri"/>
        </w:rPr>
        <w:t>importance</w:t>
      </w:r>
      <w:r>
        <w:rPr>
          <w:rFonts w:ascii="Calibri" w:eastAsia="Calibri" w:hAnsi="Calibri" w:cs="Calibri"/>
          <w:color w:val="000000"/>
        </w:rPr>
        <w:t xml:space="preserve"> for indigenous communities in West Papua.</w:t>
      </w:r>
    </w:p>
    <w:p w14:paraId="0000002E" w14:textId="77777777" w:rsidR="00E339CC" w:rsidRDefault="00E339CC">
      <w:pPr>
        <w:pBdr>
          <w:top w:val="nil"/>
          <w:left w:val="nil"/>
          <w:bottom w:val="nil"/>
          <w:right w:val="nil"/>
          <w:between w:val="nil"/>
        </w:pBdr>
        <w:rPr>
          <w:rFonts w:ascii="Calibri" w:eastAsia="Calibri" w:hAnsi="Calibri" w:cs="Calibri"/>
        </w:rPr>
      </w:pPr>
    </w:p>
    <w:p w14:paraId="0000002F" w14:textId="77777777" w:rsidR="00E339CC" w:rsidRDefault="00B324E3">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 xml:space="preserve">The situation has been deteriorating since December 2018, when 19 non-Papuan construction workers were killed by the armed pro-independence movement in Nduga Regency. In its efforts to find the perpetrators, the Government deployed additional members of security forces. </w:t>
      </w:r>
    </w:p>
    <w:p w14:paraId="00000030" w14:textId="77777777" w:rsidR="00E339CC" w:rsidRDefault="00E339CC">
      <w:pPr>
        <w:pBdr>
          <w:top w:val="nil"/>
          <w:left w:val="nil"/>
          <w:bottom w:val="nil"/>
          <w:right w:val="nil"/>
          <w:between w:val="nil"/>
        </w:pBdr>
        <w:ind w:left="720"/>
        <w:rPr>
          <w:rFonts w:ascii="Calibri" w:eastAsia="Calibri" w:hAnsi="Calibri" w:cs="Calibri"/>
        </w:rPr>
      </w:pPr>
    </w:p>
    <w:p w14:paraId="00000031" w14:textId="77777777" w:rsidR="00E339CC" w:rsidRDefault="00B324E3">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 xml:space="preserve">Additional events that took place in August 2019 made it even worse. It was  triggered by racist chants by groups of Indonesian people backed by the members of Indonesian security forces against Papuan university students in some cities in Indonesia. As a result, there are increasing cases of mass arrests and arbitrary detention of Papuans; unlawful killings; and other human rights violations in many cities in the two provinces. Since then,  a more repressive atmosphere prevails in West Papua, such as recurrent shut-down of the internet in almost all areas in the region, and the deployment of additional military and police personnel, which has affected the work of Papuan human rights activists. In late April 2021, the Government, through the Coordinating Minister for Politics, Law and Security Affairs, announced that armed Papuan pro-independence movements should be considered as terrorist groups, a new low in terms of the human rights and security situation in the region. This official statement could further worsen the on-going conflict in Papua, in particular due to the repressive military responses against the supporters of the pro-independence movement. </w:t>
      </w:r>
    </w:p>
    <w:p w14:paraId="00000032" w14:textId="77777777" w:rsidR="00E339CC" w:rsidRDefault="00E339CC">
      <w:pPr>
        <w:pBdr>
          <w:top w:val="nil"/>
          <w:left w:val="nil"/>
          <w:bottom w:val="nil"/>
          <w:right w:val="nil"/>
          <w:between w:val="nil"/>
        </w:pBdr>
        <w:rPr>
          <w:rFonts w:ascii="Calibri" w:eastAsia="Calibri" w:hAnsi="Calibri" w:cs="Calibri"/>
        </w:rPr>
      </w:pPr>
    </w:p>
    <w:p w14:paraId="00000033" w14:textId="77777777" w:rsidR="00E339CC" w:rsidRDefault="00B324E3">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In July 2021, the national Parliament passed a new amendment on the Special Autonomy Law for Papua and Papua Barat Provinces without meaningful consultation with the indigenous Papuans. On several occasions, the police disbanded meetings and peaceful protests against the procedure and process of the amendment of  the Special Autonomy Law for Papua and Papua Barat Provinces organized by the Papuan people and the Papuan People’s Assembly (MRP), a State institution representing Papuan indigenous population, and conducted arbitrary arrests and detention.</w:t>
      </w:r>
      <w:r>
        <w:rPr>
          <w:rFonts w:ascii="Calibri" w:eastAsia="Calibri" w:hAnsi="Calibri" w:cs="Calibri"/>
          <w:vertAlign w:val="superscript"/>
        </w:rPr>
        <w:footnoteReference w:id="2"/>
      </w:r>
    </w:p>
    <w:p w14:paraId="00000034" w14:textId="77777777" w:rsidR="00E339CC" w:rsidRDefault="00E339CC">
      <w:pPr>
        <w:pBdr>
          <w:top w:val="nil"/>
          <w:left w:val="nil"/>
          <w:bottom w:val="nil"/>
          <w:right w:val="nil"/>
          <w:between w:val="nil"/>
        </w:pBdr>
        <w:rPr>
          <w:rFonts w:ascii="Calibri" w:eastAsia="Calibri" w:hAnsi="Calibri" w:cs="Calibri"/>
        </w:rPr>
      </w:pPr>
    </w:p>
    <w:p w14:paraId="00000035" w14:textId="77777777" w:rsidR="00E339CC" w:rsidRDefault="00B324E3">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The Government of Indonesia continues to fail to fulfil its own human rights pledges delivered at various international human rights fora. In February 2018, the Indonesian President Joko Widodo invited the then-UN High Commissioner for Human Rights Zeid Ra’ad Al Hussein to visit West Papua for an official discussion on a range of human rights issues in Indonesia. However, to date, a UN mission to Papua has not been carried out, nor have cases of gross human rights violations in Papua been prosecuted.</w:t>
      </w:r>
    </w:p>
    <w:p w14:paraId="00000036" w14:textId="77777777" w:rsidR="00E339CC" w:rsidRDefault="00E339CC">
      <w:pPr>
        <w:pBdr>
          <w:top w:val="nil"/>
          <w:left w:val="nil"/>
          <w:bottom w:val="nil"/>
          <w:right w:val="nil"/>
          <w:between w:val="nil"/>
        </w:pBdr>
        <w:rPr>
          <w:rFonts w:ascii="Calibri" w:eastAsia="Calibri" w:hAnsi="Calibri" w:cs="Calibri"/>
        </w:rPr>
      </w:pPr>
    </w:p>
    <w:p w14:paraId="00000037" w14:textId="77777777" w:rsidR="00E339CC" w:rsidRDefault="00B324E3">
      <w:pPr>
        <w:keepNext/>
        <w:keepLines/>
        <w:tabs>
          <w:tab w:val="right" w:pos="851"/>
        </w:tabs>
        <w:rPr>
          <w:rFonts w:ascii="Calibri" w:eastAsia="Calibri" w:hAnsi="Calibri" w:cs="Calibri"/>
          <w:b/>
        </w:rPr>
      </w:pPr>
      <w:r>
        <w:rPr>
          <w:rFonts w:ascii="Calibri" w:eastAsia="Calibri" w:hAnsi="Calibri" w:cs="Calibri"/>
          <w:b/>
        </w:rPr>
        <w:t xml:space="preserve">Right to self-determination of indigenous peoples (Article 1) </w:t>
      </w:r>
    </w:p>
    <w:p w14:paraId="00000038" w14:textId="77777777" w:rsidR="00E339CC" w:rsidRDefault="00B324E3">
      <w:pPr>
        <w:numPr>
          <w:ilvl w:val="0"/>
          <w:numId w:val="3"/>
        </w:numPr>
      </w:pPr>
      <w:r>
        <w:rPr>
          <w:rFonts w:ascii="Calibri" w:eastAsia="Calibri" w:hAnsi="Calibri" w:cs="Calibri"/>
        </w:rPr>
        <w:t>In the current legal system in Indonesia, there is limited legal recognition of indigenous peoples’ ownership and control of their customary lands. There is no legal requirement to obtain the consent of the indigenous peoples prior to either the issuance of concessions or the commencement of commercial activities on the customary lands.</w:t>
      </w:r>
      <w:r>
        <w:t xml:space="preserve"> </w:t>
      </w:r>
      <w:r>
        <w:rPr>
          <w:rFonts w:ascii="Calibri" w:eastAsia="Calibri" w:hAnsi="Calibri" w:cs="Calibri"/>
        </w:rPr>
        <w:t xml:space="preserve">The customary land holders have limited opportunities to participate in decision-making processes. They are presented with a fait accompli with respect to the establishment of a development project.  Their right to use their lands is subordinated to the interests of the companies having the concessions for the development projects. </w:t>
      </w:r>
    </w:p>
    <w:p w14:paraId="00000039" w14:textId="77777777" w:rsidR="00E339CC" w:rsidRDefault="00E339CC">
      <w:pPr>
        <w:jc w:val="both"/>
        <w:rPr>
          <w:rFonts w:ascii="Calibri" w:eastAsia="Calibri" w:hAnsi="Calibri" w:cs="Calibri"/>
        </w:rPr>
      </w:pPr>
    </w:p>
    <w:p w14:paraId="0000003A" w14:textId="77777777" w:rsidR="00E339CC" w:rsidRDefault="00B324E3">
      <w:pPr>
        <w:numPr>
          <w:ilvl w:val="0"/>
          <w:numId w:val="3"/>
        </w:numPr>
        <w:rPr>
          <w:rFonts w:ascii="Calibri" w:eastAsia="Calibri" w:hAnsi="Calibri" w:cs="Calibri"/>
        </w:rPr>
      </w:pPr>
      <w:r>
        <w:rPr>
          <w:rFonts w:ascii="Calibri" w:eastAsia="Calibri" w:hAnsi="Calibri" w:cs="Calibri"/>
        </w:rPr>
        <w:t>The Special Autonomy Law for Papua and Papua Barat Provinces</w:t>
      </w:r>
      <w:r>
        <w:rPr>
          <w:rFonts w:ascii="Calibri" w:eastAsia="Calibri" w:hAnsi="Calibri" w:cs="Calibri"/>
          <w:vertAlign w:val="superscript"/>
        </w:rPr>
        <w:footnoteReference w:id="3"/>
      </w:r>
      <w:r>
        <w:rPr>
          <w:rFonts w:ascii="Calibri" w:eastAsia="Calibri" w:hAnsi="Calibri" w:cs="Calibri"/>
        </w:rPr>
        <w:t xml:space="preserve"> (SAL) recognizes the existence and rights of Papua’s indigenous peoples.  However, current laws prescribe burdensome and costly processes for indigenous groups to prove their existence to register their land rights. Even though legislation thus exists in some provincial and district-level jurisdictions to recognize the rights of indigenous peoples, few recognition processes have been effectively carried out  in the twenty years since the enactment of SAL.</w:t>
      </w:r>
      <w:r>
        <w:rPr>
          <w:rFonts w:ascii="Calibri" w:eastAsia="Calibri" w:hAnsi="Calibri" w:cs="Calibri"/>
          <w:vertAlign w:val="superscript"/>
        </w:rPr>
        <w:footnoteReference w:id="4"/>
      </w:r>
      <w:r>
        <w:rPr>
          <w:rFonts w:ascii="Calibri" w:eastAsia="Calibri" w:hAnsi="Calibri" w:cs="Calibri"/>
        </w:rPr>
        <w:t xml:space="preserve"> </w:t>
      </w:r>
    </w:p>
    <w:p w14:paraId="0000003B" w14:textId="77777777" w:rsidR="00E339CC" w:rsidRDefault="00E339CC">
      <w:pPr>
        <w:rPr>
          <w:rFonts w:ascii="Calibri" w:eastAsia="Calibri" w:hAnsi="Calibri" w:cs="Calibri"/>
        </w:rPr>
      </w:pPr>
    </w:p>
    <w:p w14:paraId="0000003C" w14:textId="77777777" w:rsidR="00E339CC" w:rsidRDefault="00B324E3">
      <w:pPr>
        <w:numPr>
          <w:ilvl w:val="0"/>
          <w:numId w:val="3"/>
        </w:numPr>
        <w:rPr>
          <w:rFonts w:ascii="Calibri" w:eastAsia="Calibri" w:hAnsi="Calibri" w:cs="Calibri"/>
        </w:rPr>
      </w:pPr>
      <w:r>
        <w:rPr>
          <w:rFonts w:ascii="Calibri" w:eastAsia="Calibri" w:hAnsi="Calibri" w:cs="Calibri"/>
        </w:rPr>
        <w:lastRenderedPageBreak/>
        <w:t>In cases where regulations exist, authorities take years to process applications.</w:t>
      </w:r>
      <w:r>
        <w:rPr>
          <w:rFonts w:ascii="Calibri" w:eastAsia="Calibri" w:hAnsi="Calibri" w:cs="Calibri"/>
          <w:vertAlign w:val="superscript"/>
        </w:rPr>
        <w:footnoteReference w:id="5"/>
      </w:r>
      <w:r>
        <w:rPr>
          <w:rFonts w:ascii="Calibri" w:eastAsia="Calibri" w:hAnsi="Calibri" w:cs="Calibri"/>
        </w:rPr>
        <w:t xml:space="preserve"> In the meantime, the Government of Indonesia passed new laws that may severely undermine the rights of indigenous peoples. This is the case for instance of the  Omnibus Law on Job Creation (Law No. 11/2020), that does not include the participation of indigenous representatives in the  not the law-making processes.</w:t>
      </w:r>
      <w:r>
        <w:rPr>
          <w:rFonts w:ascii="Calibri" w:eastAsia="Calibri" w:hAnsi="Calibri" w:cs="Calibri"/>
          <w:vertAlign w:val="superscript"/>
        </w:rPr>
        <w:footnoteReference w:id="6"/>
      </w:r>
      <w:r>
        <w:rPr>
          <w:rFonts w:ascii="Calibri" w:eastAsia="Calibri" w:hAnsi="Calibri" w:cs="Calibri"/>
        </w:rPr>
        <w:t xml:space="preserve">  In November 2021, Indonesia’s Constitutional Court issued an order to the Government and Parliament to amend parts of the Omnibus Law on Job Creation. The Court also prohibited the passing of any further implementing regulations and policies associated with the law in a two-year grace period. If the necessary changes are not made within two years, the Court ordered that the Omnibus Law would become “permanently unconstitutional” and void. </w:t>
      </w:r>
    </w:p>
    <w:p w14:paraId="0000003D" w14:textId="77777777" w:rsidR="00E339CC" w:rsidRDefault="00E339CC">
      <w:pPr>
        <w:rPr>
          <w:rFonts w:ascii="Calibri" w:eastAsia="Calibri" w:hAnsi="Calibri" w:cs="Calibri"/>
        </w:rPr>
      </w:pPr>
    </w:p>
    <w:p w14:paraId="0000003F" w14:textId="773DAAD2" w:rsidR="00E339CC" w:rsidRPr="00D77820" w:rsidRDefault="00B324E3" w:rsidP="00D77820">
      <w:pPr>
        <w:numPr>
          <w:ilvl w:val="0"/>
          <w:numId w:val="3"/>
        </w:numPr>
        <w:rPr>
          <w:rFonts w:ascii="Calibri" w:eastAsia="Calibri" w:hAnsi="Calibri" w:cs="Calibri"/>
        </w:rPr>
      </w:pPr>
      <w:r>
        <w:rPr>
          <w:rFonts w:ascii="Calibri" w:eastAsia="Calibri" w:hAnsi="Calibri" w:cs="Calibri"/>
        </w:rPr>
        <w:t>The Draft Law on the Recognition and Protection of the Rights of Indigenous Peoples, which would streamline processes for legal recognition of indigenous peoples’ rights, has been languishing in the Parliament for over a decade despite repeated supporting statements made by some members of this Parliament.</w:t>
      </w:r>
      <w:r>
        <w:rPr>
          <w:rFonts w:ascii="Calibri" w:eastAsia="Calibri" w:hAnsi="Calibri" w:cs="Calibri"/>
          <w:vertAlign w:val="superscript"/>
        </w:rPr>
        <w:footnoteReference w:id="7"/>
      </w:r>
    </w:p>
    <w:p w14:paraId="00000040" w14:textId="77777777" w:rsidR="00E339CC" w:rsidRDefault="00E339CC">
      <w:pPr>
        <w:jc w:val="both"/>
        <w:rPr>
          <w:rFonts w:ascii="Calibri" w:eastAsia="Calibri" w:hAnsi="Calibri" w:cs="Calibri"/>
          <w:b/>
          <w:i/>
        </w:rPr>
      </w:pPr>
    </w:p>
    <w:p w14:paraId="00000041" w14:textId="202586FF" w:rsidR="00E339CC" w:rsidRDefault="00B324E3">
      <w:pPr>
        <w:jc w:val="both"/>
        <w:rPr>
          <w:rFonts w:ascii="Calibri" w:eastAsia="Calibri" w:hAnsi="Calibri" w:cs="Calibri"/>
          <w:color w:val="FF0000"/>
          <w:highlight w:val="yellow"/>
        </w:rPr>
      </w:pPr>
      <w:r>
        <w:rPr>
          <w:rFonts w:ascii="Calibri" w:eastAsia="Calibri" w:hAnsi="Calibri" w:cs="Calibri"/>
          <w:b/>
          <w:i/>
        </w:rPr>
        <w:t>Suggested question:</w:t>
      </w:r>
    </w:p>
    <w:p w14:paraId="00000042" w14:textId="77777777" w:rsidR="00E339CC" w:rsidRDefault="00B324E3">
      <w:pPr>
        <w:numPr>
          <w:ilvl w:val="0"/>
          <w:numId w:val="4"/>
        </w:numPr>
        <w:rPr>
          <w:rFonts w:ascii="Calibri" w:eastAsia="Calibri" w:hAnsi="Calibri" w:cs="Calibri"/>
          <w:i/>
        </w:rPr>
      </w:pPr>
      <w:r>
        <w:rPr>
          <w:rFonts w:ascii="Calibri" w:eastAsia="Calibri" w:hAnsi="Calibri" w:cs="Calibri"/>
          <w:i/>
        </w:rPr>
        <w:t xml:space="preserve">How does the government plan to expedite the enactment of the Draft Law on the Recognition and Protection of the Rights of Indigenous Peoples to ensure that indigenous peoples’ rights to land and FPIC are incorporated into national legislation, after securing indigenous peoples’ informed and meaningful participation into the enactment and implementation of such law? </w:t>
      </w:r>
    </w:p>
    <w:p w14:paraId="00000044" w14:textId="77777777" w:rsidR="00E339CC" w:rsidRDefault="00E339CC">
      <w:pPr>
        <w:jc w:val="both"/>
        <w:rPr>
          <w:rFonts w:ascii="Calibri" w:eastAsia="Calibri" w:hAnsi="Calibri" w:cs="Calibri"/>
          <w:b/>
          <w:i/>
        </w:rPr>
      </w:pPr>
    </w:p>
    <w:p w14:paraId="00000045" w14:textId="77777777" w:rsidR="00E339CC" w:rsidRDefault="00B324E3">
      <w:pPr>
        <w:rPr>
          <w:rFonts w:ascii="Calibri" w:eastAsia="Calibri" w:hAnsi="Calibri" w:cs="Calibri"/>
          <w:b/>
        </w:rPr>
      </w:pPr>
      <w:r>
        <w:rPr>
          <w:rFonts w:ascii="Calibri" w:eastAsia="Calibri" w:hAnsi="Calibri" w:cs="Calibri"/>
          <w:b/>
        </w:rPr>
        <w:t xml:space="preserve">Right to work, right to just condition of work, right to form and join trade unions, the right to strike, right to an adequate standard of living of the indigenous peoples (Article 6, 7, 8 and 11) </w:t>
      </w:r>
    </w:p>
    <w:p w14:paraId="00000046" w14:textId="77777777" w:rsidR="00E339CC" w:rsidRDefault="00B324E3">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The expansion of the palm oil and logging industry in Papuan indigenous lands and forest is contributing to a cycle of poverty affecting local indigenous communities. When the State</w:t>
      </w:r>
      <w:r>
        <w:rPr>
          <w:rFonts w:ascii="Calibri" w:eastAsia="Calibri" w:hAnsi="Calibri" w:cs="Calibri"/>
          <w:vertAlign w:val="superscript"/>
        </w:rPr>
        <w:footnoteReference w:id="8"/>
      </w:r>
      <w:r>
        <w:rPr>
          <w:rFonts w:ascii="Calibri" w:eastAsia="Calibri" w:hAnsi="Calibri" w:cs="Calibri"/>
        </w:rPr>
        <w:t xml:space="preserve"> and corporations enter a community’s ancestral lands, the indigenous Papuans are left with the option of either leaving their lands altogether (generally with no resettlement assistance provided) or agreeing to an (unequal) arrangement with the company in which control and ownership over land and resources is vested in the company and their labour is used for indeterminate and prospective income. </w:t>
      </w:r>
    </w:p>
    <w:p w14:paraId="00000047" w14:textId="77777777" w:rsidR="00E339CC" w:rsidRDefault="00E339CC">
      <w:pPr>
        <w:rPr>
          <w:rFonts w:ascii="Calibri" w:eastAsia="Calibri" w:hAnsi="Calibri" w:cs="Calibri"/>
        </w:rPr>
      </w:pPr>
    </w:p>
    <w:p w14:paraId="00000048" w14:textId="77777777" w:rsidR="00E339CC" w:rsidRDefault="00B324E3">
      <w:pPr>
        <w:numPr>
          <w:ilvl w:val="0"/>
          <w:numId w:val="3"/>
        </w:numPr>
        <w:rPr>
          <w:rFonts w:ascii="Calibri" w:eastAsia="Calibri" w:hAnsi="Calibri" w:cs="Calibri"/>
        </w:rPr>
      </w:pPr>
      <w:r>
        <w:rPr>
          <w:rFonts w:ascii="Calibri" w:eastAsia="Calibri" w:hAnsi="Calibri" w:cs="Calibri"/>
        </w:rPr>
        <w:lastRenderedPageBreak/>
        <w:t>Large-scale development projects have also invited large influxes of migrant workers which further affect indigenous communities in their access to their customary lands and livelihoods, and bring a drastic change to their way of life and culture.</w:t>
      </w:r>
      <w:r>
        <w:rPr>
          <w:rFonts w:ascii="Calibri" w:eastAsia="Calibri" w:hAnsi="Calibri" w:cs="Calibri"/>
          <w:vertAlign w:val="superscript"/>
        </w:rPr>
        <w:footnoteReference w:id="9"/>
      </w:r>
      <w:r>
        <w:rPr>
          <w:rFonts w:ascii="Calibri" w:eastAsia="Calibri" w:hAnsi="Calibri" w:cs="Calibri"/>
        </w:rPr>
        <w:t xml:space="preserve"> These types of development projects dramatically and forcibly eradicate indigenous Papuans’ traditional relationship to the land and their ability to sustain themselves from their traditional economy, leaving them with little choice other than to engage with the exploitative working conditions on plantations. It is highly unlikely that the indigenous Papuans would have freely chosen such employment in the plantation sector over the continuance of their traditional economies and serious questions must therefore be raised about whether their labour is “forced” in this context. Indonesia is a party to the International Labour Organization (ILO) Forced Labour Convention (No. 29), but forced labour is not a crime under the domestic Criminal Code or other laws on labour issues.</w:t>
      </w:r>
    </w:p>
    <w:p w14:paraId="00000049" w14:textId="77777777" w:rsidR="00E339CC" w:rsidRDefault="00E339CC">
      <w:pPr>
        <w:rPr>
          <w:rFonts w:ascii="Calibri" w:eastAsia="Calibri" w:hAnsi="Calibri" w:cs="Calibri"/>
          <w:b/>
        </w:rPr>
      </w:pPr>
    </w:p>
    <w:p w14:paraId="0000004A" w14:textId="77777777" w:rsidR="00E339CC" w:rsidRDefault="00B324E3">
      <w:pPr>
        <w:numPr>
          <w:ilvl w:val="0"/>
          <w:numId w:val="3"/>
        </w:numPr>
        <w:rPr>
          <w:rFonts w:ascii="Calibri" w:eastAsia="Calibri" w:hAnsi="Calibri" w:cs="Calibri"/>
        </w:rPr>
      </w:pPr>
      <w:r>
        <w:rPr>
          <w:rFonts w:ascii="Calibri" w:eastAsia="Calibri" w:hAnsi="Calibri" w:cs="Calibri"/>
        </w:rPr>
        <w:t>One example is the Merauke Integrated Food and Energy Estate (MIFEE), a megaproject geared toward food and fuel production, which is set to expand</w:t>
      </w:r>
      <w:r>
        <w:rPr>
          <w:rFonts w:ascii="Calibri" w:eastAsia="Calibri" w:hAnsi="Calibri" w:cs="Calibri"/>
          <w:vertAlign w:val="superscript"/>
        </w:rPr>
        <w:footnoteReference w:id="10"/>
      </w:r>
      <w:r>
        <w:rPr>
          <w:rFonts w:ascii="Calibri" w:eastAsia="Calibri" w:hAnsi="Calibri" w:cs="Calibri"/>
        </w:rPr>
        <w:t xml:space="preserve"> and will infringe on 2.5 million hectares of indigenous Malind-Amin customary land. This project threatens their economic, social and cultural survival. Indigenous Papuan women employed in the MIFEE project face discriminatory working conditions. They are given the most menial jobs and paid at rates below provincial standards for a basic living wage in Papua province.</w:t>
      </w:r>
      <w:r>
        <w:rPr>
          <w:rFonts w:ascii="Calibri" w:eastAsia="Calibri" w:hAnsi="Calibri" w:cs="Calibri"/>
          <w:vertAlign w:val="superscript"/>
        </w:rPr>
        <w:t xml:space="preserve"> </w:t>
      </w:r>
      <w:r>
        <w:rPr>
          <w:rFonts w:ascii="Calibri" w:eastAsia="Calibri" w:hAnsi="Calibri" w:cs="Calibri"/>
        </w:rPr>
        <w:t>These violations are not isolated instances, but systematic and pervasive in the agribusiness sector. Furthermore, the relative isolation of plantations render them dangerous workplaces for indigenous Papuan women where there have been numerous reports of sexual violence.</w:t>
      </w:r>
    </w:p>
    <w:p w14:paraId="0000004B" w14:textId="77777777" w:rsidR="00E339CC" w:rsidRDefault="00E339CC">
      <w:pPr>
        <w:rPr>
          <w:rFonts w:ascii="Calibri" w:eastAsia="Calibri" w:hAnsi="Calibri" w:cs="Calibri"/>
          <w:color w:val="FF0000"/>
          <w:highlight w:val="yellow"/>
        </w:rPr>
      </w:pPr>
    </w:p>
    <w:p w14:paraId="0000004C" w14:textId="77777777" w:rsidR="00E339CC" w:rsidRDefault="00B324E3">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In September 2020, under the pretext of overcoming the food crisis due to the Covid-19 pandemic, President Joko Widodo announced that his administration would expand the territory of the national priority food estate project, including in Papua Province.</w:t>
      </w:r>
      <w:r>
        <w:rPr>
          <w:rFonts w:ascii="Calibri" w:eastAsia="Calibri" w:hAnsi="Calibri" w:cs="Calibri"/>
          <w:vertAlign w:val="superscript"/>
        </w:rPr>
        <w:footnoteReference w:id="11"/>
      </w:r>
      <w:r>
        <w:rPr>
          <w:rFonts w:ascii="Calibri" w:eastAsia="Calibri" w:hAnsi="Calibri" w:cs="Calibri"/>
        </w:rPr>
        <w:t xml:space="preserve"> The president’s announcement  was soon followed by an amendment of a Minister of Environment and Forestry Regulation that allows the alteration of forests for the national food estate project.</w:t>
      </w:r>
      <w:r>
        <w:rPr>
          <w:rFonts w:ascii="Calibri" w:eastAsia="Calibri" w:hAnsi="Calibri" w:cs="Calibri"/>
          <w:vertAlign w:val="superscript"/>
        </w:rPr>
        <w:footnoteReference w:id="12"/>
      </w:r>
      <w:r>
        <w:rPr>
          <w:rFonts w:ascii="Calibri" w:eastAsia="Calibri" w:hAnsi="Calibri" w:cs="Calibri"/>
        </w:rPr>
        <w:t xml:space="preserve"> A mammoth 3.2 million hectares of land in the southern part of Papua Province is under consideration for </w:t>
      </w:r>
      <w:r>
        <w:rPr>
          <w:rFonts w:ascii="Calibri" w:eastAsia="Calibri" w:hAnsi="Calibri" w:cs="Calibri"/>
        </w:rPr>
        <w:lastRenderedPageBreak/>
        <w:t>the project – the size of Belgium or Taiwan. The intended location is in Merauke, Boven Digoel and Mappi Regencies in Papua Province.</w:t>
      </w:r>
      <w:r>
        <w:rPr>
          <w:rFonts w:ascii="Calibri" w:eastAsia="Calibri" w:hAnsi="Calibri" w:cs="Calibri"/>
          <w:vertAlign w:val="superscript"/>
        </w:rPr>
        <w:footnoteReference w:id="13"/>
      </w:r>
    </w:p>
    <w:p w14:paraId="0000004D" w14:textId="77777777" w:rsidR="00E339CC" w:rsidRDefault="00E339CC">
      <w:pPr>
        <w:ind w:left="720"/>
        <w:jc w:val="both"/>
        <w:rPr>
          <w:rFonts w:ascii="Calibri" w:eastAsia="Calibri" w:hAnsi="Calibri" w:cs="Calibri"/>
        </w:rPr>
      </w:pPr>
    </w:p>
    <w:p w14:paraId="0000004E" w14:textId="77777777" w:rsidR="00E339CC" w:rsidRDefault="00B324E3">
      <w:pPr>
        <w:numPr>
          <w:ilvl w:val="0"/>
          <w:numId w:val="3"/>
        </w:numPr>
        <w:rPr>
          <w:rFonts w:ascii="Calibri" w:eastAsia="Calibri" w:hAnsi="Calibri" w:cs="Calibri"/>
        </w:rPr>
      </w:pPr>
      <w:r>
        <w:rPr>
          <w:rFonts w:ascii="Calibri" w:eastAsia="Calibri" w:hAnsi="Calibri" w:cs="Calibri"/>
        </w:rPr>
        <w:t>For several decades, the transnational mining company Freeport McMoRan has conducted mineral exploitation activities in Papua Province. The company –through its Indonesian subsidiary PT Freeport Indonesia – is the largest foreign taxpayer in Indonesia and the largest employer in Papua Province.</w:t>
      </w:r>
      <w:r>
        <w:rPr>
          <w:rFonts w:ascii="Calibri" w:eastAsia="Calibri" w:hAnsi="Calibri" w:cs="Calibri"/>
          <w:vertAlign w:val="superscript"/>
        </w:rPr>
        <w:footnoteReference w:id="14"/>
      </w:r>
      <w:r>
        <w:rPr>
          <w:rFonts w:ascii="Calibri" w:eastAsia="Calibri" w:hAnsi="Calibri" w:cs="Calibri"/>
        </w:rPr>
        <w:t xml:space="preserve"> Over the past few years, the company has been criticised for fuelling armed conflicts in the Mimika Regency, resulting in large-scale environmental degradation and multiple human rights violations against the indigenous Amungme and Kamoro tribes.</w:t>
      </w:r>
      <w:r>
        <w:rPr>
          <w:rFonts w:ascii="Calibri" w:eastAsia="Calibri" w:hAnsi="Calibri" w:cs="Calibri"/>
          <w:vertAlign w:val="superscript"/>
        </w:rPr>
        <w:footnoteReference w:id="15"/>
      </w:r>
      <w:r>
        <w:rPr>
          <w:rFonts w:ascii="Calibri" w:eastAsia="Calibri" w:hAnsi="Calibri" w:cs="Calibri"/>
        </w:rPr>
        <w:t xml:space="preserve"> While some human rights violations have been related to particular incidents, others are part of a pattern of structural violence against the local indigenous population and mining labourers that has been developing since February 2017. The government fails to protect the indigenous communities from environmental pollution and ensure their right to free prior informed consent (FPIC) regarding the utilisation of their ancestral land. It shows the continuing of State negligence and the discrimination encountered by indigenous Papuans in Indonesia. Moreover, various actions by PT Freeport in response to strikes exemplify the government’s failure to safeguard employees’ rights, including their labour rights.</w:t>
      </w:r>
      <w:r>
        <w:rPr>
          <w:rFonts w:ascii="Calibri" w:eastAsia="Calibri" w:hAnsi="Calibri" w:cs="Calibri"/>
          <w:vertAlign w:val="superscript"/>
        </w:rPr>
        <w:footnoteReference w:id="16"/>
      </w:r>
    </w:p>
    <w:p w14:paraId="0000004F" w14:textId="77777777" w:rsidR="00E339CC" w:rsidRDefault="00B324E3">
      <w:pPr>
        <w:rPr>
          <w:rFonts w:ascii="Calibri" w:eastAsia="Calibri" w:hAnsi="Calibri" w:cs="Calibri"/>
        </w:rPr>
      </w:pPr>
      <w:r>
        <w:rPr>
          <w:rFonts w:ascii="Calibri" w:eastAsia="Calibri" w:hAnsi="Calibri" w:cs="Calibri"/>
        </w:rPr>
        <w:t xml:space="preserve"> </w:t>
      </w:r>
    </w:p>
    <w:p w14:paraId="00000050" w14:textId="77777777" w:rsidR="00E339CC" w:rsidRDefault="00B324E3">
      <w:pPr>
        <w:numPr>
          <w:ilvl w:val="0"/>
          <w:numId w:val="3"/>
        </w:numPr>
        <w:rPr>
          <w:rFonts w:ascii="Calibri" w:eastAsia="Calibri" w:hAnsi="Calibri" w:cs="Calibri"/>
        </w:rPr>
      </w:pPr>
      <w:r>
        <w:rPr>
          <w:rFonts w:ascii="Calibri" w:eastAsia="Calibri" w:hAnsi="Calibri" w:cs="Calibri"/>
        </w:rPr>
        <w:t>In February 2017, the company initiated mass lay-offs without any negotiation with the workers’ union, to which the company’s workers responded by going on strike. The mining company then crushed the strike through both non-violent and violent interventions, resulting in multiple violations of labour rights. The company forcibly evicted striking workers from homes, denied them access to corporate hospitals and schools, and blocked their access to bank accounts and credit services. In several cases, Freeport used Indonesian security forces to unlawfully arrest strikers, some of whom were subjected to torture and criminal prosecution. According to the Freeport workers’ lawyer, there have been 95 former PTFI workers and their close relatives who passed away between 2017 and 2021 after the company conducted the mass lay-offs.</w:t>
      </w:r>
      <w:r>
        <w:rPr>
          <w:rFonts w:ascii="Calibri" w:eastAsia="Calibri" w:hAnsi="Calibri" w:cs="Calibri"/>
          <w:vertAlign w:val="superscript"/>
        </w:rPr>
        <w:footnoteReference w:id="17"/>
      </w:r>
    </w:p>
    <w:p w14:paraId="00000051" w14:textId="77777777" w:rsidR="00E339CC" w:rsidRDefault="00E339CC">
      <w:pPr>
        <w:jc w:val="both"/>
        <w:rPr>
          <w:rFonts w:ascii="Calibri" w:eastAsia="Calibri" w:hAnsi="Calibri" w:cs="Calibri"/>
          <w:b/>
        </w:rPr>
      </w:pPr>
    </w:p>
    <w:p w14:paraId="00000052" w14:textId="77777777" w:rsidR="00E339CC" w:rsidRDefault="00B324E3">
      <w:pPr>
        <w:jc w:val="both"/>
        <w:rPr>
          <w:rFonts w:ascii="Calibri" w:eastAsia="Calibri" w:hAnsi="Calibri" w:cs="Calibri"/>
          <w:color w:val="FF0000"/>
          <w:highlight w:val="yellow"/>
        </w:rPr>
      </w:pPr>
      <w:r>
        <w:rPr>
          <w:rFonts w:ascii="Calibri" w:eastAsia="Calibri" w:hAnsi="Calibri" w:cs="Calibri"/>
          <w:b/>
          <w:i/>
        </w:rPr>
        <w:t>Suggested questions:</w:t>
      </w:r>
    </w:p>
    <w:p w14:paraId="00000053" w14:textId="77777777" w:rsidR="00E339CC" w:rsidRDefault="00B324E3">
      <w:pPr>
        <w:numPr>
          <w:ilvl w:val="0"/>
          <w:numId w:val="5"/>
        </w:numPr>
        <w:rPr>
          <w:rFonts w:ascii="Calibri" w:eastAsia="Calibri" w:hAnsi="Calibri" w:cs="Calibri"/>
          <w:i/>
        </w:rPr>
      </w:pPr>
      <w:r>
        <w:rPr>
          <w:rFonts w:ascii="Calibri" w:eastAsia="Calibri" w:hAnsi="Calibri" w:cs="Calibri"/>
          <w:i/>
        </w:rPr>
        <w:t xml:space="preserve">What measures does the government take to enforce the legislation and policies to ensure that the indigenous people have access to, use of, ownership of, and control over their traditional lands, territories, and resources, thus enabling and empowering </w:t>
      </w:r>
      <w:r>
        <w:rPr>
          <w:rFonts w:ascii="Calibri" w:eastAsia="Calibri" w:hAnsi="Calibri" w:cs="Calibri"/>
          <w:i/>
        </w:rPr>
        <w:lastRenderedPageBreak/>
        <w:t>indigenous Papuans to continue their cultural practices while also sustaining their livelihoods and preventing their economic exploitation?</w:t>
      </w:r>
    </w:p>
    <w:p w14:paraId="00000054" w14:textId="5AB89FD4" w:rsidR="00E339CC" w:rsidRDefault="00B324E3">
      <w:pPr>
        <w:numPr>
          <w:ilvl w:val="0"/>
          <w:numId w:val="5"/>
        </w:numPr>
        <w:rPr>
          <w:rFonts w:ascii="Calibri" w:eastAsia="Calibri" w:hAnsi="Calibri" w:cs="Calibri"/>
          <w:i/>
        </w:rPr>
      </w:pPr>
      <w:r>
        <w:rPr>
          <w:rFonts w:ascii="Calibri" w:eastAsia="Calibri" w:hAnsi="Calibri" w:cs="Calibri"/>
          <w:i/>
        </w:rPr>
        <w:t>What measures and policies does the government take to repeal any legislation that undermines indigenous Papuans’ ability to access, use, own, manage, and control their traditional lands, including the Omnibus Law on Job Creation</w:t>
      </w:r>
      <w:r>
        <w:rPr>
          <w:rFonts w:ascii="Calibri" w:eastAsia="Calibri" w:hAnsi="Calibri" w:cs="Calibri"/>
          <w:i/>
          <w:vertAlign w:val="superscript"/>
        </w:rPr>
        <w:footnoteReference w:id="18"/>
      </w:r>
      <w:r>
        <w:rPr>
          <w:rFonts w:ascii="Calibri" w:eastAsia="Calibri" w:hAnsi="Calibri" w:cs="Calibri"/>
          <w:i/>
        </w:rPr>
        <w:t xml:space="preserve">, and otherwise revise laws and regulations related to the use of natural resources to ensure respect for and protection of indigenous peoples’ rights?  </w:t>
      </w:r>
    </w:p>
    <w:p w14:paraId="00000055" w14:textId="77777777" w:rsidR="00E339CC" w:rsidRDefault="00E339CC">
      <w:pPr>
        <w:jc w:val="both"/>
        <w:rPr>
          <w:rFonts w:ascii="Calibri" w:eastAsia="Calibri" w:hAnsi="Calibri" w:cs="Calibri"/>
          <w:b/>
          <w:i/>
        </w:rPr>
      </w:pPr>
    </w:p>
    <w:p w14:paraId="00000056" w14:textId="77777777" w:rsidR="00E339CC" w:rsidRDefault="00B324E3">
      <w:pPr>
        <w:keepNext/>
        <w:keepLines/>
        <w:pBdr>
          <w:top w:val="nil"/>
          <w:left w:val="nil"/>
          <w:bottom w:val="nil"/>
          <w:right w:val="nil"/>
          <w:between w:val="nil"/>
        </w:pBdr>
        <w:tabs>
          <w:tab w:val="right" w:pos="851"/>
        </w:tabs>
        <w:rPr>
          <w:rFonts w:ascii="Calibri" w:eastAsia="Calibri" w:hAnsi="Calibri" w:cs="Calibri"/>
          <w:b/>
          <w:color w:val="000000"/>
        </w:rPr>
      </w:pPr>
      <w:r>
        <w:rPr>
          <w:rFonts w:ascii="Calibri" w:eastAsia="Calibri" w:hAnsi="Calibri" w:cs="Calibri"/>
          <w:b/>
        </w:rPr>
        <w:t xml:space="preserve">Human Rights of the </w:t>
      </w:r>
      <w:r>
        <w:rPr>
          <w:rFonts w:ascii="Calibri" w:eastAsia="Calibri" w:hAnsi="Calibri" w:cs="Calibri"/>
          <w:b/>
          <w:color w:val="000000"/>
        </w:rPr>
        <w:t xml:space="preserve">Internally Displaced Persons (IDPs) (Article </w:t>
      </w:r>
      <w:r>
        <w:rPr>
          <w:rFonts w:ascii="Calibri" w:eastAsia="Calibri" w:hAnsi="Calibri" w:cs="Calibri"/>
          <w:b/>
        </w:rPr>
        <w:t>11 and 12</w:t>
      </w:r>
      <w:r>
        <w:rPr>
          <w:rFonts w:ascii="Calibri" w:eastAsia="Calibri" w:hAnsi="Calibri" w:cs="Calibri"/>
          <w:b/>
          <w:color w:val="000000"/>
        </w:rPr>
        <w:t xml:space="preserve">) </w:t>
      </w:r>
    </w:p>
    <w:p w14:paraId="00000057" w14:textId="77777777" w:rsidR="00E339CC" w:rsidRDefault="00E339CC">
      <w:pPr>
        <w:keepNext/>
        <w:keepLines/>
        <w:pBdr>
          <w:top w:val="nil"/>
          <w:left w:val="nil"/>
          <w:bottom w:val="nil"/>
          <w:right w:val="nil"/>
          <w:between w:val="nil"/>
        </w:pBdr>
        <w:tabs>
          <w:tab w:val="right" w:pos="851"/>
        </w:tabs>
        <w:rPr>
          <w:rFonts w:ascii="Calibri" w:eastAsia="Calibri" w:hAnsi="Calibri" w:cs="Calibri"/>
          <w:i/>
        </w:rPr>
      </w:pPr>
    </w:p>
    <w:p w14:paraId="00000058" w14:textId="77777777" w:rsidR="00E339CC" w:rsidRDefault="00B324E3">
      <w:pPr>
        <w:keepNext/>
        <w:keepLines/>
        <w:pBdr>
          <w:top w:val="nil"/>
          <w:left w:val="nil"/>
          <w:bottom w:val="nil"/>
          <w:right w:val="nil"/>
          <w:between w:val="nil"/>
        </w:pBdr>
        <w:tabs>
          <w:tab w:val="right" w:pos="851"/>
        </w:tabs>
        <w:rPr>
          <w:rFonts w:ascii="Calibri" w:eastAsia="Calibri" w:hAnsi="Calibri" w:cs="Calibri"/>
          <w:i/>
        </w:rPr>
      </w:pPr>
      <w:r>
        <w:rPr>
          <w:rFonts w:ascii="Calibri" w:eastAsia="Calibri" w:hAnsi="Calibri" w:cs="Calibri"/>
          <w:i/>
        </w:rPr>
        <w:t xml:space="preserve">Internal displacement </w:t>
      </w:r>
    </w:p>
    <w:p w14:paraId="00000059" w14:textId="77777777" w:rsidR="00E339CC" w:rsidRDefault="00B324E3">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Since the killing of 19 construction workers in the regency of Nduga, allegedly by the members of  West Papua National Liberation Army  (TPNPB) in the central highland area in Nduga, Papua Province on 2 December 2018, there has been an increase in armed clashes between the Indonesian security forces and the Papuan pro-independence movement, mainly in highland areas. This pro-independence movement consists of various groups that have carried out more sporadic attacks, mainly on military and police targets, but also recently against non-Papuan populations. They also engage in human rights abuses, including killings, hostage-taking and abductions.</w:t>
      </w:r>
      <w:r>
        <w:rPr>
          <w:rFonts w:ascii="Calibri" w:eastAsia="Calibri" w:hAnsi="Calibri" w:cs="Calibri"/>
          <w:vertAlign w:val="superscript"/>
        </w:rPr>
        <w:footnoteReference w:id="19"/>
      </w:r>
      <w:r>
        <w:rPr>
          <w:rFonts w:ascii="Calibri" w:eastAsia="Calibri" w:hAnsi="Calibri" w:cs="Calibri"/>
        </w:rPr>
        <w:t xml:space="preserve"> The armed clashes have caused an increase of internal displacement mainly from Papua's central highland areas. People feared being the military operation’s targets.</w:t>
      </w:r>
      <w:r>
        <w:rPr>
          <w:rFonts w:ascii="Calibri" w:eastAsia="Calibri" w:hAnsi="Calibri" w:cs="Calibri"/>
          <w:vertAlign w:val="superscript"/>
        </w:rPr>
        <w:footnoteReference w:id="20"/>
      </w:r>
      <w:r>
        <w:rPr>
          <w:rFonts w:ascii="Calibri" w:eastAsia="Calibri" w:hAnsi="Calibri" w:cs="Calibri"/>
        </w:rPr>
        <w:t xml:space="preserve"> However, in the last few months the armed clashes have already extended to the areas outside of the central highland.</w:t>
      </w:r>
    </w:p>
    <w:p w14:paraId="0000005A" w14:textId="77777777" w:rsidR="00E339CC" w:rsidRDefault="00E339CC">
      <w:pPr>
        <w:pBdr>
          <w:top w:val="nil"/>
          <w:left w:val="nil"/>
          <w:bottom w:val="nil"/>
          <w:right w:val="nil"/>
          <w:between w:val="nil"/>
        </w:pBdr>
        <w:jc w:val="both"/>
        <w:rPr>
          <w:rFonts w:ascii="Calibri" w:eastAsia="Calibri" w:hAnsi="Calibri" w:cs="Calibri"/>
        </w:rPr>
      </w:pPr>
    </w:p>
    <w:p w14:paraId="0000005B" w14:textId="77777777" w:rsidR="00E339CC" w:rsidRDefault="00B324E3">
      <w:pPr>
        <w:pBdr>
          <w:top w:val="nil"/>
          <w:left w:val="nil"/>
          <w:bottom w:val="nil"/>
          <w:right w:val="nil"/>
          <w:between w:val="nil"/>
        </w:pBdr>
        <w:jc w:val="both"/>
        <w:rPr>
          <w:rFonts w:ascii="Calibri" w:eastAsia="Calibri" w:hAnsi="Calibri" w:cs="Calibri"/>
          <w:i/>
        </w:rPr>
      </w:pPr>
      <w:r>
        <w:rPr>
          <w:rFonts w:ascii="Calibri" w:eastAsia="Calibri" w:hAnsi="Calibri" w:cs="Calibri"/>
          <w:i/>
        </w:rPr>
        <w:t>Right to health of the IDPs</w:t>
      </w:r>
    </w:p>
    <w:p w14:paraId="0000005C" w14:textId="77777777" w:rsidR="00E339CC" w:rsidRDefault="00B324E3">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 xml:space="preserve">In Puncak Regency, central highland area in Papua Province, there is an on-going armed conflict between TPNPB and Indonesian security forces. The conflict has significantly intensified since 25 April 2021 in response to the killing of the Chief of the Papua Intelligence Body, allegedly by the members of TPNPB. As a result, indigenous Papuans living in the area have been displaced. The Social Affairs Department in Puncak Regency estimated that there are at least 4,862 internally displaced indigenous Papuans from 5 districts in the regency. </w:t>
      </w:r>
    </w:p>
    <w:p w14:paraId="0000005D" w14:textId="77777777" w:rsidR="00E339CC" w:rsidRDefault="00E339CC">
      <w:pPr>
        <w:rPr>
          <w:rFonts w:ascii="Calibri" w:eastAsia="Calibri" w:hAnsi="Calibri" w:cs="Calibri"/>
        </w:rPr>
      </w:pPr>
    </w:p>
    <w:p w14:paraId="0000005E" w14:textId="77777777" w:rsidR="00E339CC" w:rsidRDefault="00B324E3">
      <w:pPr>
        <w:numPr>
          <w:ilvl w:val="0"/>
          <w:numId w:val="3"/>
        </w:numPr>
        <w:rPr>
          <w:rFonts w:ascii="Calibri" w:eastAsia="Calibri" w:hAnsi="Calibri" w:cs="Calibri"/>
        </w:rPr>
      </w:pPr>
      <w:r>
        <w:rPr>
          <w:rFonts w:ascii="Calibri" w:eastAsia="Calibri" w:hAnsi="Calibri" w:cs="Calibri"/>
        </w:rPr>
        <w:t xml:space="preserve">This submission contains updated information about IDPs in Puncak Regency collected by a team consisting of humanitarian workers of the Evangelical Church in Indonesia (GIDI) and one member of the Papuan Provincial Parliament (DPRP) during a field trip to the Puncak Regency between 6 and 12 July 2021.The team also recorded that among the IDPs, at least two women and three minors have died since April 2021, due to the lack of access to health services during the displacement. Indonesian security forces in Puncak Regency continue to use methods of warfare that do not discriminate between civilians and combatants. The methods applied by </w:t>
      </w:r>
      <w:r>
        <w:rPr>
          <w:rFonts w:ascii="Calibri" w:eastAsia="Calibri" w:hAnsi="Calibri" w:cs="Calibri"/>
        </w:rPr>
        <w:lastRenderedPageBreak/>
        <w:t xml:space="preserve">the Indonesian security force include the use of firearms and explosives in indigenous settlements; torture; extrajudicial executions; and enforced disappearance of indigenous civilians. Further, the Indonesian security forces continue to restrict the access to Puncak Regency and other hotspots of armed conflict for journalists and human rights observers. This appears to be an attempt to prevent the publication of information on human rights violations during security force operations in the national and international media. </w:t>
      </w:r>
    </w:p>
    <w:p w14:paraId="0000005F" w14:textId="77777777" w:rsidR="00E339CC" w:rsidRDefault="00E339CC">
      <w:pPr>
        <w:ind w:left="720"/>
        <w:rPr>
          <w:rFonts w:ascii="Calibri" w:eastAsia="Calibri" w:hAnsi="Calibri" w:cs="Calibri"/>
        </w:rPr>
      </w:pPr>
    </w:p>
    <w:p w14:paraId="00000060" w14:textId="77777777" w:rsidR="00E339CC" w:rsidRDefault="00B324E3">
      <w:pPr>
        <w:numPr>
          <w:ilvl w:val="0"/>
          <w:numId w:val="3"/>
        </w:numPr>
        <w:rPr>
          <w:rFonts w:ascii="Calibri" w:eastAsia="Calibri" w:hAnsi="Calibri" w:cs="Calibri"/>
        </w:rPr>
      </w:pPr>
      <w:r>
        <w:rPr>
          <w:rFonts w:ascii="Calibri" w:eastAsia="Calibri" w:hAnsi="Calibri" w:cs="Calibri"/>
        </w:rPr>
        <w:t>The majority of IDPs in the Puncak Regency are women and children who have to live in appalling situations with no access to clean water and health services. They have to walk for four hours every day to get water from nearby rivers and need to report to the military post along the way. Their children cannot go to school. Security operations are still being conducted by the police and military forces.</w:t>
      </w:r>
    </w:p>
    <w:p w14:paraId="00000061" w14:textId="77777777" w:rsidR="00E339CC" w:rsidRDefault="00E339CC">
      <w:pPr>
        <w:rPr>
          <w:rFonts w:ascii="Calibri" w:eastAsia="Calibri" w:hAnsi="Calibri" w:cs="Calibri"/>
        </w:rPr>
      </w:pPr>
    </w:p>
    <w:p w14:paraId="00000062" w14:textId="77777777" w:rsidR="00E339CC" w:rsidRDefault="00B324E3">
      <w:pPr>
        <w:numPr>
          <w:ilvl w:val="0"/>
          <w:numId w:val="3"/>
        </w:numPr>
        <w:rPr>
          <w:rFonts w:ascii="Calibri" w:eastAsia="Calibri" w:hAnsi="Calibri" w:cs="Calibri"/>
        </w:rPr>
      </w:pPr>
      <w:r>
        <w:rPr>
          <w:rFonts w:ascii="Calibri" w:eastAsia="Calibri" w:hAnsi="Calibri" w:cs="Calibri"/>
        </w:rPr>
        <w:t>As mentioned, since the killing of 19 construction workers in the regency of Nduga in early December 2018,  additional military soldiers have been deployed in various regencies in the central highlands area to hunt down the perpetrators and as a demonstration of military strength against TPNPB. The central highlands are largely isolated from public services and are known to be the stronghold of the TPNPB. The area is mainly populated by Indigenous Papuans, except for a few small towns where on-Papuans maintain small businesses or work in government positions. Following the security operations between 4 December 2018 and early March 2020, more than 41,851 indigenous Papuans from the regencies of Mimika, Intan Jaya, Puncak, Lanny Jaya, and Nduga were internally displaced between 4 December 2018 and early March 2020 because of security operations.</w:t>
      </w:r>
      <w:r>
        <w:rPr>
          <w:rFonts w:ascii="Calibri" w:eastAsia="Calibri" w:hAnsi="Calibri" w:cs="Calibri"/>
          <w:vertAlign w:val="superscript"/>
        </w:rPr>
        <w:footnoteReference w:id="21"/>
      </w:r>
    </w:p>
    <w:p w14:paraId="00000063" w14:textId="77777777" w:rsidR="00E339CC" w:rsidRDefault="00E339CC">
      <w:pPr>
        <w:rPr>
          <w:rFonts w:ascii="Calibri" w:eastAsia="Calibri" w:hAnsi="Calibri" w:cs="Calibri"/>
        </w:rPr>
      </w:pPr>
    </w:p>
    <w:p w14:paraId="00000064" w14:textId="77777777" w:rsidR="00E339CC" w:rsidRDefault="00B324E3">
      <w:pPr>
        <w:numPr>
          <w:ilvl w:val="0"/>
          <w:numId w:val="3"/>
        </w:numPr>
        <w:rPr>
          <w:rFonts w:ascii="Calibri" w:eastAsia="Calibri" w:hAnsi="Calibri" w:cs="Calibri"/>
        </w:rPr>
      </w:pPr>
      <w:r>
        <w:rPr>
          <w:rFonts w:ascii="Calibri" w:eastAsia="Calibri" w:hAnsi="Calibri" w:cs="Calibri"/>
        </w:rPr>
        <w:t>In August 2019, the Papua Province Ombudsman Office visited the IDPs from Nduga regency in Wamena. The Ombudsman estimated that 50,000 people have been displaced – a figure that has not yet been verified.</w:t>
      </w:r>
      <w:r>
        <w:rPr>
          <w:rFonts w:ascii="Calibri" w:eastAsia="Calibri" w:hAnsi="Calibri" w:cs="Calibri"/>
          <w:vertAlign w:val="superscript"/>
        </w:rPr>
        <w:footnoteReference w:id="22"/>
      </w:r>
      <w:r>
        <w:rPr>
          <w:rFonts w:ascii="Calibri" w:eastAsia="Calibri" w:hAnsi="Calibri" w:cs="Calibri"/>
        </w:rPr>
        <w:t xml:space="preserve"> The internal displacement in Nduga has been the direct impact of the armed conflict between the Indonesian security forces with the TPNPB.</w:t>
      </w:r>
      <w:r>
        <w:rPr>
          <w:rFonts w:ascii="Calibri" w:eastAsia="Calibri" w:hAnsi="Calibri" w:cs="Calibri"/>
          <w:vertAlign w:val="superscript"/>
        </w:rPr>
        <w:footnoteReference w:id="23"/>
      </w:r>
      <w:r>
        <w:rPr>
          <w:rFonts w:ascii="Calibri" w:eastAsia="Calibri" w:hAnsi="Calibri" w:cs="Calibri"/>
        </w:rPr>
        <w:t xml:space="preserve">  Humanitarian Team in Nduga estimated that more than 30,000 people were internally displaced due to the conflict,</w:t>
      </w:r>
      <w:r>
        <w:rPr>
          <w:rFonts w:ascii="Calibri" w:eastAsia="Calibri" w:hAnsi="Calibri" w:cs="Calibri"/>
          <w:vertAlign w:val="superscript"/>
        </w:rPr>
        <w:footnoteReference w:id="24"/>
      </w:r>
      <w:r>
        <w:rPr>
          <w:rFonts w:ascii="Calibri" w:eastAsia="Calibri" w:hAnsi="Calibri" w:cs="Calibri"/>
        </w:rPr>
        <w:t xml:space="preserve"> originating from 16 districts in Nduga Regency. It has been ongoing for more than two years, preventing the IDPs from returning to their villages. Schools, Community Health Centers (</w:t>
      </w:r>
      <w:r>
        <w:rPr>
          <w:rFonts w:ascii="Calibri" w:eastAsia="Calibri" w:hAnsi="Calibri" w:cs="Calibri"/>
          <w:i/>
        </w:rPr>
        <w:t>Puskesmas</w:t>
      </w:r>
      <w:r>
        <w:rPr>
          <w:rFonts w:ascii="Calibri" w:eastAsia="Calibri" w:hAnsi="Calibri" w:cs="Calibri"/>
        </w:rPr>
        <w:t xml:space="preserve">), and Churches in Nduga have been deserted as health workers, </w:t>
      </w:r>
      <w:r>
        <w:rPr>
          <w:rFonts w:ascii="Calibri" w:eastAsia="Calibri" w:hAnsi="Calibri" w:cs="Calibri"/>
        </w:rPr>
        <w:lastRenderedPageBreak/>
        <w:t>church congregations and teachers have not returned to their assigned places of work.</w:t>
      </w:r>
      <w:r>
        <w:rPr>
          <w:rFonts w:ascii="Calibri" w:eastAsia="Calibri" w:hAnsi="Calibri" w:cs="Calibri"/>
          <w:vertAlign w:val="superscript"/>
        </w:rPr>
        <w:footnoteReference w:id="25"/>
      </w:r>
      <w:r>
        <w:rPr>
          <w:rFonts w:ascii="Calibri" w:eastAsia="Calibri" w:hAnsi="Calibri" w:cs="Calibri"/>
        </w:rPr>
        <w:t xml:space="preserve"> A human rights defender working for and with IDPs from Nduga and has been contributing to this report was informed that there have been at least 617 IDPs from Nduga who died as of February 2021.</w:t>
      </w:r>
    </w:p>
    <w:p w14:paraId="00000065" w14:textId="77777777" w:rsidR="00E339CC" w:rsidRDefault="00E339CC">
      <w:pPr>
        <w:rPr>
          <w:rFonts w:ascii="Calibri" w:eastAsia="Calibri" w:hAnsi="Calibri" w:cs="Calibri"/>
        </w:rPr>
      </w:pPr>
    </w:p>
    <w:p w14:paraId="00000066" w14:textId="77777777" w:rsidR="00E339CC" w:rsidRDefault="00B324E3">
      <w:pPr>
        <w:numPr>
          <w:ilvl w:val="0"/>
          <w:numId w:val="3"/>
        </w:numPr>
        <w:rPr>
          <w:rFonts w:ascii="Calibri" w:eastAsia="Calibri" w:hAnsi="Calibri" w:cs="Calibri"/>
        </w:rPr>
      </w:pPr>
      <w:r>
        <w:rPr>
          <w:rFonts w:ascii="Calibri" w:eastAsia="Calibri" w:hAnsi="Calibri" w:cs="Calibri"/>
        </w:rPr>
        <w:t>The most recent armed clashes between the members of the Indonesian security forces and a local TPNPB group occurred in Kiwirok District, Pengunungan Bintang Regency, Papua Province in mid-September 2021. The TPNPB members carried out an attack on health facilities in the Kiwirok District. A medical worker at the Kiwirok Public Health Center was killed, three other medical personnel, and one military personnel were injured. A number of public facilities caught fire. An estimated two hundred indigenous Papuans living in the area had to flee to Oksibil, the capital of the Pegunungan Bintang Regency.</w:t>
      </w:r>
    </w:p>
    <w:p w14:paraId="00000067" w14:textId="77777777" w:rsidR="00E339CC" w:rsidRDefault="00E339CC">
      <w:pPr>
        <w:rPr>
          <w:rFonts w:ascii="Calibri" w:eastAsia="Calibri" w:hAnsi="Calibri" w:cs="Calibri"/>
          <w:i/>
        </w:rPr>
      </w:pPr>
    </w:p>
    <w:p w14:paraId="00000068" w14:textId="77777777" w:rsidR="00E339CC" w:rsidRDefault="00B324E3">
      <w:pPr>
        <w:rPr>
          <w:rFonts w:ascii="Calibri" w:eastAsia="Calibri" w:hAnsi="Calibri" w:cs="Calibri"/>
          <w:i/>
        </w:rPr>
      </w:pPr>
      <w:r>
        <w:rPr>
          <w:rFonts w:ascii="Calibri" w:eastAsia="Calibri" w:hAnsi="Calibri" w:cs="Calibri"/>
          <w:i/>
        </w:rPr>
        <w:t xml:space="preserve">Right to food of IDPs </w:t>
      </w:r>
    </w:p>
    <w:p w14:paraId="00000069" w14:textId="77777777" w:rsidR="00E339CC" w:rsidRDefault="00B324E3">
      <w:pPr>
        <w:numPr>
          <w:ilvl w:val="0"/>
          <w:numId w:val="3"/>
        </w:numPr>
        <w:rPr>
          <w:rFonts w:ascii="Calibri" w:eastAsia="Calibri" w:hAnsi="Calibri" w:cs="Calibri"/>
        </w:rPr>
      </w:pPr>
      <w:r>
        <w:rPr>
          <w:rFonts w:ascii="Calibri" w:eastAsia="Calibri" w:hAnsi="Calibri" w:cs="Calibri"/>
        </w:rPr>
        <w:t>The local government in Nduga Regency has provided IDPs in the districts of Mbua, Dal, and Yal with basic food items such as rice, instant noodles, cooking oil, sugar, and salt. IDPs in Jayawijaya and Lanny Jaya Regencies have reportedly received occasional visits by the health department of Papua Province which provides them with occasional health services. However, the majority of IDPs from Nduga have not received any humanitarian  support from the central government. The central government has failed to set up IDP camps in coordination with local governments in IDP hotspots. Such camps could help to coordinate the distribution of aid deliveries and coordinate the effective provision of humanitarian services such as shelter, basic healthcare, and education. Many IDPs - particularly children – have been traumatized by the security force operations and fear the presence of police and military members that they had seen in their villages.</w:t>
      </w:r>
    </w:p>
    <w:p w14:paraId="0000006A" w14:textId="77777777" w:rsidR="00E339CC" w:rsidRDefault="00E339CC">
      <w:pPr>
        <w:rPr>
          <w:rFonts w:ascii="Calibri" w:eastAsia="Calibri" w:hAnsi="Calibri" w:cs="Calibri"/>
        </w:rPr>
      </w:pPr>
    </w:p>
    <w:p w14:paraId="0000006B" w14:textId="77777777" w:rsidR="00E339CC" w:rsidRDefault="00B324E3">
      <w:pPr>
        <w:numPr>
          <w:ilvl w:val="0"/>
          <w:numId w:val="3"/>
        </w:numPr>
        <w:rPr>
          <w:rFonts w:ascii="Calibri" w:eastAsia="Calibri" w:hAnsi="Calibri" w:cs="Calibri"/>
        </w:rPr>
      </w:pPr>
      <w:r>
        <w:rPr>
          <w:rFonts w:ascii="Calibri" w:eastAsia="Calibri" w:hAnsi="Calibri" w:cs="Calibri"/>
        </w:rPr>
        <w:t>Armed attacks against Indonesian security forces by the armed pro-independence groups have spread to the area outside of the central highland in recent months. On 2 September 2021, an armed pro-independence group claimed that they were responsible for the attacks against a military post in Maybrat Regency, Papua Barat Province causing the death of four members of Indonesian security forces and injuring several others. In the following days, the local military regional headquarters dispatched at least a hundred soldiers to hunt down the attackers in the area. Fearing being the target of the military's retaliation, an estimated 2,000 villagers, mostly indigenous women and children in the surrounding areas fled for their safety to the forests nearby. Despite the call from the local head of administration and regional military commander to  the IDPs to return to their villages, most of them refused due to fear of retaliation.</w:t>
      </w:r>
    </w:p>
    <w:p w14:paraId="0000006C" w14:textId="77777777" w:rsidR="00E339CC" w:rsidRDefault="00E339CC">
      <w:pPr>
        <w:pBdr>
          <w:top w:val="nil"/>
          <w:left w:val="nil"/>
          <w:bottom w:val="nil"/>
          <w:right w:val="nil"/>
          <w:between w:val="nil"/>
        </w:pBdr>
        <w:shd w:val="clear" w:color="auto" w:fill="FFFFFF"/>
        <w:jc w:val="both"/>
        <w:rPr>
          <w:rFonts w:ascii="Calibri" w:eastAsia="Calibri" w:hAnsi="Calibri" w:cs="Calibri"/>
          <w:color w:val="000000"/>
        </w:rPr>
      </w:pPr>
    </w:p>
    <w:p w14:paraId="0000006D" w14:textId="77777777" w:rsidR="00E339CC" w:rsidRDefault="00B324E3">
      <w:pPr>
        <w:jc w:val="both"/>
        <w:rPr>
          <w:rFonts w:ascii="Calibri" w:eastAsia="Calibri" w:hAnsi="Calibri" w:cs="Calibri"/>
        </w:rPr>
      </w:pPr>
      <w:r>
        <w:rPr>
          <w:rFonts w:ascii="Calibri" w:eastAsia="Calibri" w:hAnsi="Calibri" w:cs="Calibri"/>
          <w:b/>
          <w:i/>
        </w:rPr>
        <w:t xml:space="preserve">Suggested questions : </w:t>
      </w:r>
    </w:p>
    <w:p w14:paraId="0000006E" w14:textId="77777777" w:rsidR="00E339CC" w:rsidRDefault="00B324E3">
      <w:pPr>
        <w:numPr>
          <w:ilvl w:val="0"/>
          <w:numId w:val="2"/>
        </w:numPr>
        <w:rPr>
          <w:rFonts w:ascii="Calibri" w:eastAsia="Calibri" w:hAnsi="Calibri" w:cs="Calibri"/>
          <w:i/>
        </w:rPr>
      </w:pPr>
      <w:r>
        <w:rPr>
          <w:rFonts w:ascii="Calibri" w:eastAsia="Calibri" w:hAnsi="Calibri" w:cs="Calibri"/>
          <w:i/>
        </w:rPr>
        <w:t xml:space="preserve">What is the current situation of the IDPs in Papua and Papua Barat Provinces? Can the Government provide segregated data on the IDPs in the two provinces? </w:t>
      </w:r>
    </w:p>
    <w:p w14:paraId="0000006F" w14:textId="77777777" w:rsidR="00E339CC" w:rsidRDefault="00B324E3">
      <w:pPr>
        <w:numPr>
          <w:ilvl w:val="0"/>
          <w:numId w:val="2"/>
        </w:numPr>
        <w:rPr>
          <w:rFonts w:ascii="Calibri" w:eastAsia="Calibri" w:hAnsi="Calibri" w:cs="Calibri"/>
          <w:i/>
        </w:rPr>
      </w:pPr>
      <w:r>
        <w:rPr>
          <w:rFonts w:ascii="Calibri" w:eastAsia="Calibri" w:hAnsi="Calibri" w:cs="Calibri"/>
          <w:i/>
        </w:rPr>
        <w:lastRenderedPageBreak/>
        <w:t xml:space="preserve">What are the measures taken by the Government to realize the rights of the IDPs in West Papua, including in relation to access to food, health services, housing, as well as safe and voluntary return to their homes? </w:t>
      </w:r>
    </w:p>
    <w:p w14:paraId="00000070" w14:textId="77777777" w:rsidR="00E339CC" w:rsidRDefault="00B324E3">
      <w:pPr>
        <w:numPr>
          <w:ilvl w:val="0"/>
          <w:numId w:val="2"/>
        </w:numPr>
        <w:rPr>
          <w:rFonts w:ascii="Calibri" w:eastAsia="Calibri" w:hAnsi="Calibri" w:cs="Calibri"/>
          <w:i/>
        </w:rPr>
      </w:pPr>
      <w:r>
        <w:rPr>
          <w:rFonts w:ascii="Calibri" w:eastAsia="Calibri" w:hAnsi="Calibri" w:cs="Calibri"/>
          <w:i/>
        </w:rPr>
        <w:t xml:space="preserve">What are the steps taken by the Government to address the root causes of conflict in West Papua as a key factor of the internal displacement? </w:t>
      </w:r>
    </w:p>
    <w:p w14:paraId="00000071" w14:textId="77777777" w:rsidR="00E339CC" w:rsidRDefault="00E339CC">
      <w:pPr>
        <w:jc w:val="both"/>
        <w:rPr>
          <w:rFonts w:ascii="Calibri" w:eastAsia="Calibri" w:hAnsi="Calibri" w:cs="Calibri"/>
          <w:b/>
          <w:i/>
        </w:rPr>
      </w:pPr>
    </w:p>
    <w:p w14:paraId="00000072" w14:textId="77777777" w:rsidR="00E339CC" w:rsidRDefault="00B324E3">
      <w:pPr>
        <w:pBdr>
          <w:top w:val="nil"/>
          <w:left w:val="nil"/>
          <w:bottom w:val="nil"/>
          <w:right w:val="nil"/>
          <w:between w:val="nil"/>
        </w:pBdr>
        <w:rPr>
          <w:rFonts w:ascii="Calibri" w:eastAsia="Calibri" w:hAnsi="Calibri" w:cs="Calibri"/>
          <w:b/>
          <w:color w:val="000000"/>
        </w:rPr>
      </w:pPr>
      <w:r>
        <w:rPr>
          <w:rFonts w:ascii="Calibri" w:eastAsia="Calibri" w:hAnsi="Calibri" w:cs="Calibri"/>
          <w:b/>
        </w:rPr>
        <w:t xml:space="preserve">Right to </w:t>
      </w:r>
      <w:r>
        <w:rPr>
          <w:rFonts w:ascii="Calibri" w:eastAsia="Calibri" w:hAnsi="Calibri" w:cs="Calibri"/>
          <w:b/>
          <w:color w:val="000000"/>
        </w:rPr>
        <w:t xml:space="preserve">Health including </w:t>
      </w:r>
      <w:r>
        <w:rPr>
          <w:rFonts w:ascii="Calibri" w:eastAsia="Calibri" w:hAnsi="Calibri" w:cs="Calibri"/>
          <w:b/>
        </w:rPr>
        <w:t xml:space="preserve">impacts of </w:t>
      </w:r>
      <w:r>
        <w:rPr>
          <w:rFonts w:ascii="Calibri" w:eastAsia="Calibri" w:hAnsi="Calibri" w:cs="Calibri"/>
          <w:b/>
          <w:color w:val="000000"/>
        </w:rPr>
        <w:t xml:space="preserve">COVID 19 (Article 12) </w:t>
      </w:r>
    </w:p>
    <w:p w14:paraId="00000073" w14:textId="77777777" w:rsidR="00E339CC" w:rsidRDefault="00E339CC">
      <w:pPr>
        <w:pBdr>
          <w:top w:val="nil"/>
          <w:left w:val="nil"/>
          <w:bottom w:val="nil"/>
          <w:right w:val="nil"/>
          <w:between w:val="nil"/>
        </w:pBdr>
        <w:rPr>
          <w:rFonts w:ascii="Calibri" w:eastAsia="Calibri" w:hAnsi="Calibri" w:cs="Calibri"/>
          <w:i/>
        </w:rPr>
      </w:pPr>
    </w:p>
    <w:p w14:paraId="00000074" w14:textId="77777777" w:rsidR="00E339CC" w:rsidRDefault="00B324E3">
      <w:pPr>
        <w:pBdr>
          <w:top w:val="nil"/>
          <w:left w:val="nil"/>
          <w:bottom w:val="nil"/>
          <w:right w:val="nil"/>
          <w:between w:val="nil"/>
        </w:pBdr>
        <w:rPr>
          <w:rFonts w:ascii="Calibri" w:eastAsia="Calibri" w:hAnsi="Calibri" w:cs="Calibri"/>
          <w:i/>
        </w:rPr>
      </w:pPr>
      <w:r>
        <w:rPr>
          <w:rFonts w:ascii="Calibri" w:eastAsia="Calibri" w:hAnsi="Calibri" w:cs="Calibri"/>
          <w:i/>
        </w:rPr>
        <w:t xml:space="preserve">Impacts of COVID-19 on indigenous Papuans </w:t>
      </w:r>
    </w:p>
    <w:p w14:paraId="00000075" w14:textId="77777777" w:rsidR="00E339CC" w:rsidRDefault="00B324E3">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West Papua has been significantly impacted by the COVID-19 pandemic.  Compared to 2020, the number of COVID-19 cases in West Papua incready by 300-400% in 2021. Prior to September 2021, the number of COVID-19 cases in Papua Province reached 42,112 (44% of which were women).</w:t>
      </w:r>
      <w:r>
        <w:rPr>
          <w:rFonts w:ascii="Calibri" w:eastAsia="Calibri" w:hAnsi="Calibri" w:cs="Calibri"/>
          <w:vertAlign w:val="superscript"/>
        </w:rPr>
        <w:footnoteReference w:id="26"/>
      </w:r>
      <w:r>
        <w:rPr>
          <w:rFonts w:ascii="Calibri" w:eastAsia="Calibri" w:hAnsi="Calibri" w:cs="Calibri"/>
        </w:rPr>
        <w:t xml:space="preserve"> Meanwhile, in Papua Barat Province, the number of COVID-19 cases reached 22,719.</w:t>
      </w:r>
      <w:r>
        <w:rPr>
          <w:rFonts w:ascii="Calibri" w:eastAsia="Calibri" w:hAnsi="Calibri" w:cs="Calibri"/>
          <w:vertAlign w:val="superscript"/>
        </w:rPr>
        <w:footnoteReference w:id="27"/>
      </w:r>
      <w:r>
        <w:rPr>
          <w:rFonts w:ascii="Calibri" w:eastAsia="Calibri" w:hAnsi="Calibri" w:cs="Calibri"/>
        </w:rPr>
        <w:t xml:space="preserve"> The number of cases soared in July and August 2021. In addition, access to COVID-19 vaccines remains limited. In addition to the difficulty in obtaining vaccine doses, the situation is worsened by the lack of awareness-raising and misinformation about the vaccine, and public distrust towards the Government. The implementation of vaccination programs in West Papua has been being carried out mostly by police and military personnel. As a result, many indigenous Papuans are reluctant to get vaccinated.</w:t>
      </w:r>
      <w:r>
        <w:rPr>
          <w:rFonts w:ascii="Calibri" w:eastAsia="Calibri" w:hAnsi="Calibri" w:cs="Calibri"/>
          <w:vertAlign w:val="superscript"/>
        </w:rPr>
        <w:footnoteReference w:id="28"/>
      </w:r>
      <w:r>
        <w:rPr>
          <w:rFonts w:ascii="Calibri" w:eastAsia="Calibri" w:hAnsi="Calibri" w:cs="Calibri"/>
        </w:rPr>
        <w:t xml:space="preserve"> Without any meaningful consultation with the local population or socialization of the COVID-19 vaccination options and the rights of individuals in relation to vaccination, allegations quickly spread about the vaccination program as a forced vaccination program carried out by members of the Indonesian military. This led to only greater public distrust of the Government’s policy responses to the COVID-19 pandemic and its vaccination program in West Papua.</w:t>
      </w:r>
      <w:r>
        <w:rPr>
          <w:rFonts w:ascii="Calibri" w:eastAsia="Calibri" w:hAnsi="Calibri" w:cs="Calibri"/>
          <w:vertAlign w:val="superscript"/>
        </w:rPr>
        <w:footnoteReference w:id="29"/>
      </w:r>
    </w:p>
    <w:p w14:paraId="00000076" w14:textId="77777777" w:rsidR="00E339CC" w:rsidRDefault="00E339CC">
      <w:pPr>
        <w:pBdr>
          <w:top w:val="nil"/>
          <w:left w:val="nil"/>
          <w:bottom w:val="nil"/>
          <w:right w:val="nil"/>
          <w:between w:val="nil"/>
        </w:pBdr>
        <w:ind w:left="720"/>
        <w:jc w:val="both"/>
        <w:rPr>
          <w:rFonts w:ascii="Calibri" w:eastAsia="Calibri" w:hAnsi="Calibri" w:cs="Calibri"/>
        </w:rPr>
      </w:pPr>
    </w:p>
    <w:p w14:paraId="00000077" w14:textId="77777777" w:rsidR="00E339CC" w:rsidRDefault="00B324E3">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 xml:space="preserve">The provision of social assistance to groups particularly affected by the COVID-19 pandemic in West Papua is uneven and poorly targeted. There is no available segregated data of indigenous people in West Papua. Therefore, there are countless people who are not receiving the social assistance they actually qualify for. </w:t>
      </w:r>
    </w:p>
    <w:p w14:paraId="00000078" w14:textId="77777777" w:rsidR="00E339CC" w:rsidRDefault="00E339CC">
      <w:pPr>
        <w:pBdr>
          <w:top w:val="nil"/>
          <w:left w:val="nil"/>
          <w:bottom w:val="nil"/>
          <w:right w:val="nil"/>
          <w:between w:val="nil"/>
        </w:pBdr>
        <w:ind w:left="720"/>
        <w:rPr>
          <w:rFonts w:ascii="Calibri" w:eastAsia="Calibri" w:hAnsi="Calibri" w:cs="Calibri"/>
        </w:rPr>
      </w:pPr>
    </w:p>
    <w:p w14:paraId="0000007B" w14:textId="5AF110BA" w:rsidR="00E339CC" w:rsidRPr="004C4ED7" w:rsidRDefault="00B324E3" w:rsidP="004C4ED7">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 xml:space="preserve">Healthcare facilities and services in West Papua have experienced difficulties meeting the surge in demand for healthcare arising from the second wave of the COVID-19 pandemic in mid-2021. Many COVID-19 referral hospitals were unable to </w:t>
      </w:r>
      <w:r>
        <w:rPr>
          <w:rFonts w:ascii="Calibri" w:eastAsia="Calibri" w:hAnsi="Calibri" w:cs="Calibri"/>
        </w:rPr>
        <w:lastRenderedPageBreak/>
        <w:t>accept patients because their capacity was already full. In Jayapura, some patients had to be treated on the terrace of a hospital's emergency unit.</w:t>
      </w:r>
      <w:r>
        <w:rPr>
          <w:rFonts w:ascii="Calibri" w:eastAsia="Calibri" w:hAnsi="Calibri" w:cs="Calibri"/>
          <w:vertAlign w:val="superscript"/>
        </w:rPr>
        <w:footnoteReference w:id="30"/>
      </w:r>
    </w:p>
    <w:p w14:paraId="0000007C" w14:textId="77777777" w:rsidR="00E339CC" w:rsidRDefault="00E339CC">
      <w:pPr>
        <w:pBdr>
          <w:top w:val="nil"/>
          <w:left w:val="nil"/>
          <w:bottom w:val="nil"/>
          <w:right w:val="nil"/>
          <w:between w:val="nil"/>
        </w:pBdr>
        <w:shd w:val="clear" w:color="auto" w:fill="FFFFFF"/>
        <w:rPr>
          <w:rFonts w:ascii="Calibri" w:eastAsia="Calibri" w:hAnsi="Calibri" w:cs="Calibri"/>
        </w:rPr>
      </w:pPr>
    </w:p>
    <w:p w14:paraId="0000007D" w14:textId="77777777" w:rsidR="00E339CC" w:rsidRDefault="00B324E3">
      <w:pPr>
        <w:pBdr>
          <w:top w:val="nil"/>
          <w:left w:val="nil"/>
          <w:bottom w:val="nil"/>
          <w:right w:val="nil"/>
          <w:between w:val="nil"/>
        </w:pBdr>
        <w:shd w:val="clear" w:color="auto" w:fill="FFFFFF"/>
        <w:rPr>
          <w:rFonts w:ascii="Calibri" w:eastAsia="Calibri" w:hAnsi="Calibri" w:cs="Calibri"/>
          <w:i/>
        </w:rPr>
      </w:pPr>
      <w:r>
        <w:rPr>
          <w:rFonts w:ascii="Calibri" w:eastAsia="Calibri" w:hAnsi="Calibri" w:cs="Calibri"/>
          <w:i/>
        </w:rPr>
        <w:t>Access to health services of political prisoners</w:t>
      </w:r>
    </w:p>
    <w:p w14:paraId="0000007E" w14:textId="77777777" w:rsidR="00E339CC" w:rsidRDefault="00B324E3">
      <w:pPr>
        <w:numPr>
          <w:ilvl w:val="0"/>
          <w:numId w:val="3"/>
        </w:numPr>
        <w:pBdr>
          <w:top w:val="nil"/>
          <w:left w:val="nil"/>
          <w:bottom w:val="nil"/>
          <w:right w:val="nil"/>
          <w:between w:val="nil"/>
        </w:pBdr>
        <w:shd w:val="clear" w:color="auto" w:fill="FFFFFF"/>
        <w:rPr>
          <w:rFonts w:ascii="Calibri" w:eastAsia="Calibri" w:hAnsi="Calibri" w:cs="Calibri"/>
        </w:rPr>
      </w:pPr>
      <w:r>
        <w:rPr>
          <w:rFonts w:ascii="Calibri" w:eastAsia="Calibri" w:hAnsi="Calibri" w:cs="Calibri"/>
        </w:rPr>
        <w:t xml:space="preserve">The pandemic also drew attention to the situation of political prisoners. To avoid the spread of Covid-19 in prison, the Minister of Law and Human Rights had issued a decree releasing at least </w:t>
      </w:r>
      <w:r>
        <w:rPr>
          <w:rFonts w:ascii="Roboto" w:eastAsia="Roboto" w:hAnsi="Roboto" w:cs="Roboto"/>
          <w:color w:val="3C4043"/>
          <w:highlight w:val="white"/>
        </w:rPr>
        <w:t>62,000</w:t>
      </w:r>
      <w:r>
        <w:rPr>
          <w:rFonts w:ascii="Calibri" w:eastAsia="Calibri" w:hAnsi="Calibri" w:cs="Calibri"/>
        </w:rPr>
        <w:t xml:space="preserve"> prisoners as of February 2021.</w:t>
      </w:r>
      <w:r>
        <w:rPr>
          <w:rFonts w:ascii="Calibri" w:eastAsia="Calibri" w:hAnsi="Calibri" w:cs="Calibri"/>
          <w:vertAlign w:val="superscript"/>
        </w:rPr>
        <w:footnoteReference w:id="31"/>
      </w:r>
      <w:r>
        <w:rPr>
          <w:rFonts w:ascii="Calibri" w:eastAsia="Calibri" w:hAnsi="Calibri" w:cs="Calibri"/>
        </w:rPr>
        <w:t xml:space="preserve"> However, none were Papuan political prisoners, despite  calls for their release.</w:t>
      </w:r>
      <w:r>
        <w:rPr>
          <w:rFonts w:ascii="Calibri" w:eastAsia="Calibri" w:hAnsi="Calibri" w:cs="Calibri"/>
          <w:vertAlign w:val="superscript"/>
        </w:rPr>
        <w:footnoteReference w:id="32"/>
      </w:r>
      <w:r>
        <w:rPr>
          <w:rFonts w:ascii="Calibri" w:eastAsia="Calibri" w:hAnsi="Calibri" w:cs="Calibri"/>
        </w:rPr>
        <w:t xml:space="preserve"> These Papuan political prisoners have been imprisoned under the repressive treason articles (</w:t>
      </w:r>
      <w:r>
        <w:rPr>
          <w:rFonts w:ascii="Calibri" w:eastAsia="Calibri" w:hAnsi="Calibri" w:cs="Calibri"/>
          <w:i/>
        </w:rPr>
        <w:t>makar</w:t>
      </w:r>
      <w:r>
        <w:rPr>
          <w:rFonts w:ascii="Calibri" w:eastAsia="Calibri" w:hAnsi="Calibri" w:cs="Calibri"/>
        </w:rPr>
        <w:t>) solely for the peaceful exercise of their rights to freedom of expression and opinion. This move was not in line with a call from international bodies that the Government should prioritise the release of prisoners who were sentenced for non-violent offences during the COVID-19 pandemic.</w:t>
      </w:r>
      <w:r>
        <w:rPr>
          <w:rFonts w:ascii="Calibri" w:eastAsia="Calibri" w:hAnsi="Calibri" w:cs="Calibri"/>
          <w:vertAlign w:val="superscript"/>
        </w:rPr>
        <w:footnoteReference w:id="33"/>
      </w:r>
    </w:p>
    <w:p w14:paraId="0000007F" w14:textId="77777777" w:rsidR="00E339CC" w:rsidRDefault="00E339CC">
      <w:pPr>
        <w:pBdr>
          <w:top w:val="nil"/>
          <w:left w:val="nil"/>
          <w:bottom w:val="nil"/>
          <w:right w:val="nil"/>
          <w:between w:val="nil"/>
        </w:pBdr>
        <w:shd w:val="clear" w:color="auto" w:fill="FFFFFF"/>
        <w:rPr>
          <w:rFonts w:ascii="Calibri" w:eastAsia="Calibri" w:hAnsi="Calibri" w:cs="Calibri"/>
        </w:rPr>
      </w:pPr>
    </w:p>
    <w:p w14:paraId="00000080" w14:textId="77777777" w:rsidR="00E339CC" w:rsidRDefault="00B324E3">
      <w:pPr>
        <w:shd w:val="clear" w:color="auto" w:fill="FFFFFF"/>
        <w:rPr>
          <w:rFonts w:ascii="Calibri" w:eastAsia="Calibri" w:hAnsi="Calibri" w:cs="Calibri"/>
          <w:vertAlign w:val="superscript"/>
        </w:rPr>
      </w:pPr>
      <w:r>
        <w:rPr>
          <w:rFonts w:ascii="Calibri" w:eastAsia="Calibri" w:hAnsi="Calibri" w:cs="Calibri"/>
          <w:i/>
        </w:rPr>
        <w:t>HIV and AIDS</w:t>
      </w:r>
    </w:p>
    <w:p w14:paraId="00000081" w14:textId="77777777" w:rsidR="00E339CC" w:rsidRDefault="00B324E3">
      <w:pPr>
        <w:numPr>
          <w:ilvl w:val="0"/>
          <w:numId w:val="3"/>
        </w:numPr>
        <w:shd w:val="clear" w:color="auto" w:fill="FFFFFF"/>
        <w:rPr>
          <w:rFonts w:ascii="Calibri" w:eastAsia="Calibri" w:hAnsi="Calibri" w:cs="Calibri"/>
        </w:rPr>
      </w:pPr>
      <w:r>
        <w:rPr>
          <w:rFonts w:ascii="Calibri" w:eastAsia="Calibri" w:hAnsi="Calibri" w:cs="Calibri"/>
        </w:rPr>
        <w:t>Following his visit to West Papua, the UN Special Rapporteur on right to health reported that ethnic Papuans are currently twice as likely to have HIV/AIDS than the rest of the population, and rates of infection are on the rise in this part of the country. The situation in Wamena, Timika and Nabire Regencies shows that the epidemic is moving from coastal areas to the highlands, where most ethnic Papuans live, often in remote areas.</w:t>
      </w:r>
      <w:r>
        <w:rPr>
          <w:rFonts w:ascii="Calibri" w:eastAsia="Calibri" w:hAnsi="Calibri" w:cs="Calibri"/>
          <w:vertAlign w:val="superscript"/>
        </w:rPr>
        <w:footnoteReference w:id="34"/>
      </w:r>
      <w:r>
        <w:rPr>
          <w:rFonts w:ascii="Calibri" w:eastAsia="Calibri" w:hAnsi="Calibri" w:cs="Calibri"/>
        </w:rPr>
        <w:t xml:space="preserve"> </w:t>
      </w:r>
    </w:p>
    <w:p w14:paraId="00000082" w14:textId="77777777" w:rsidR="00E339CC" w:rsidRDefault="00E339CC">
      <w:pPr>
        <w:shd w:val="clear" w:color="auto" w:fill="FFFFFF"/>
        <w:ind w:left="720"/>
        <w:rPr>
          <w:rFonts w:ascii="Calibri" w:eastAsia="Calibri" w:hAnsi="Calibri" w:cs="Calibri"/>
        </w:rPr>
      </w:pPr>
    </w:p>
    <w:p w14:paraId="00000083" w14:textId="77777777" w:rsidR="00E339CC" w:rsidRDefault="00B324E3">
      <w:pPr>
        <w:numPr>
          <w:ilvl w:val="0"/>
          <w:numId w:val="3"/>
        </w:numPr>
        <w:shd w:val="clear" w:color="auto" w:fill="FFFFFF"/>
        <w:rPr>
          <w:rFonts w:ascii="Calibri" w:eastAsia="Calibri" w:hAnsi="Calibri" w:cs="Calibri"/>
        </w:rPr>
      </w:pPr>
      <w:r>
        <w:rPr>
          <w:rFonts w:ascii="Calibri" w:eastAsia="Calibri" w:hAnsi="Calibri" w:cs="Calibri"/>
        </w:rPr>
        <w:t>The HIV prevalence rate is 2.9% amongst indigenous Papuans, which is significantly higher than the 0.4% prevalence rate of non-Papuans. In Papua Province, there were more than 40,000 people known to be living with HIV / AIDS in the first quarter of 2019, and around 2,000 new cases known since September 2018, as reported by the Papua Provincial Health Office.</w:t>
      </w:r>
      <w:r>
        <w:rPr>
          <w:rFonts w:ascii="Calibri" w:eastAsia="Calibri" w:hAnsi="Calibri" w:cs="Calibri"/>
          <w:vertAlign w:val="superscript"/>
        </w:rPr>
        <w:footnoteReference w:id="35"/>
      </w:r>
      <w:r>
        <w:rPr>
          <w:rFonts w:ascii="Calibri" w:eastAsia="Calibri" w:hAnsi="Calibri" w:cs="Calibri"/>
        </w:rPr>
        <w:t xml:space="preserve"> As of June 30, 2019 there were 41,616 HIV/AIDS cases in Papua and of those, 18,368 were HIV cases and 23,248 were AIDS cases. There were 9,164 HIV-infected women and 12,641 AIDS-infected women, making the total number of women living with HIV/AIDS 21,805.</w:t>
      </w:r>
      <w:r>
        <w:rPr>
          <w:rFonts w:ascii="Calibri" w:eastAsia="Calibri" w:hAnsi="Calibri" w:cs="Calibri"/>
          <w:vertAlign w:val="superscript"/>
        </w:rPr>
        <w:footnoteReference w:id="36"/>
      </w:r>
    </w:p>
    <w:p w14:paraId="00000084" w14:textId="77777777" w:rsidR="00E339CC" w:rsidRDefault="00E339CC">
      <w:pPr>
        <w:shd w:val="clear" w:color="auto" w:fill="FFFFFF"/>
        <w:ind w:left="720"/>
        <w:rPr>
          <w:rFonts w:ascii="Calibri" w:eastAsia="Calibri" w:hAnsi="Calibri" w:cs="Calibri"/>
        </w:rPr>
      </w:pPr>
    </w:p>
    <w:p w14:paraId="00000085" w14:textId="77777777" w:rsidR="00E339CC" w:rsidRDefault="00B324E3">
      <w:pPr>
        <w:numPr>
          <w:ilvl w:val="0"/>
          <w:numId w:val="3"/>
        </w:numPr>
        <w:shd w:val="clear" w:color="auto" w:fill="FFFFFF"/>
        <w:rPr>
          <w:rFonts w:ascii="Calibri" w:eastAsia="Calibri" w:hAnsi="Calibri" w:cs="Calibri"/>
        </w:rPr>
      </w:pPr>
      <w:r>
        <w:rPr>
          <w:rFonts w:ascii="Calibri" w:eastAsia="Calibri" w:hAnsi="Calibri" w:cs="Calibri"/>
        </w:rPr>
        <w:lastRenderedPageBreak/>
        <w:t>While central and provincial  governments focused on handling the COVID-19 pandemic in 2020 - 2021, attention to HIV/AIDS prevention and control services waned. Many communities did not have access to adequate HIV/AIDS care treatment and services. The number of HIV tests conducted in Papua Province during the COVID-19 pandemic was 15,563. This number was far lower than the number of tests carried out in the previous year, which was 47,808. During the COVID-19 pandemic, people living with HIV/AIDS were also afraid to go to health clinics. This caused a decrease in the number of patients attending treatments at health clinics. Only 223 patients received treatment, as compared to 545 patients of the previous year.</w:t>
      </w:r>
      <w:r>
        <w:rPr>
          <w:rFonts w:ascii="Calibri" w:eastAsia="Calibri" w:hAnsi="Calibri" w:cs="Calibri"/>
          <w:vertAlign w:val="superscript"/>
        </w:rPr>
        <w:footnoteReference w:id="37"/>
      </w:r>
    </w:p>
    <w:p w14:paraId="00000086" w14:textId="77777777" w:rsidR="00E339CC" w:rsidRDefault="00E339CC">
      <w:pPr>
        <w:shd w:val="clear" w:color="auto" w:fill="FFFFFF"/>
        <w:rPr>
          <w:rFonts w:ascii="Calibri" w:eastAsia="Calibri" w:hAnsi="Calibri" w:cs="Calibri"/>
        </w:rPr>
      </w:pPr>
    </w:p>
    <w:p w14:paraId="00000087" w14:textId="77777777" w:rsidR="00E339CC" w:rsidRDefault="00B324E3">
      <w:pPr>
        <w:numPr>
          <w:ilvl w:val="0"/>
          <w:numId w:val="3"/>
        </w:numPr>
        <w:shd w:val="clear" w:color="auto" w:fill="FFFFFF"/>
        <w:rPr>
          <w:rFonts w:ascii="Calibri" w:eastAsia="Calibri" w:hAnsi="Calibri" w:cs="Calibri"/>
        </w:rPr>
      </w:pPr>
      <w:r>
        <w:rPr>
          <w:rFonts w:ascii="Calibri" w:eastAsia="Calibri" w:hAnsi="Calibri" w:cs="Calibri"/>
        </w:rPr>
        <w:t>Young women are highly at risk of getting infected due to cultural-based unequal perceptions towards men and women.  In addition many Papuans still ignore the risk of HIV and/or have no clear understanding of the disease. Women who have HIV/AIDS face a higher risk of violence due to their health status.</w:t>
      </w:r>
      <w:r>
        <w:rPr>
          <w:rFonts w:ascii="Calibri" w:eastAsia="Calibri" w:hAnsi="Calibri" w:cs="Calibri"/>
          <w:vertAlign w:val="superscript"/>
        </w:rPr>
        <w:footnoteReference w:id="38"/>
      </w:r>
      <w:r>
        <w:rPr>
          <w:rFonts w:ascii="Calibri" w:eastAsia="Calibri" w:hAnsi="Calibri" w:cs="Calibri"/>
        </w:rPr>
        <w:t>  </w:t>
      </w:r>
    </w:p>
    <w:p w14:paraId="00000088" w14:textId="77777777" w:rsidR="00E339CC" w:rsidRDefault="00E339CC">
      <w:pPr>
        <w:shd w:val="clear" w:color="auto" w:fill="FFFFFF"/>
        <w:jc w:val="both"/>
        <w:rPr>
          <w:rFonts w:ascii="Nunito Sans" w:eastAsia="Nunito Sans" w:hAnsi="Nunito Sans" w:cs="Nunito Sans"/>
          <w:b/>
        </w:rPr>
      </w:pPr>
    </w:p>
    <w:p w14:paraId="00000089" w14:textId="77777777" w:rsidR="00E339CC" w:rsidRDefault="00B324E3">
      <w:pPr>
        <w:jc w:val="both"/>
        <w:rPr>
          <w:rFonts w:ascii="Calibri" w:eastAsia="Calibri" w:hAnsi="Calibri" w:cs="Calibri"/>
          <w:b/>
          <w:i/>
        </w:rPr>
      </w:pPr>
      <w:r>
        <w:rPr>
          <w:rFonts w:ascii="Calibri" w:eastAsia="Calibri" w:hAnsi="Calibri" w:cs="Calibri"/>
          <w:b/>
          <w:i/>
        </w:rPr>
        <w:t xml:space="preserve">Suggested questions: </w:t>
      </w:r>
    </w:p>
    <w:p w14:paraId="0000008A" w14:textId="77777777" w:rsidR="00E339CC" w:rsidRDefault="00B324E3">
      <w:pPr>
        <w:numPr>
          <w:ilvl w:val="0"/>
          <w:numId w:val="1"/>
        </w:numPr>
        <w:jc w:val="both"/>
        <w:rPr>
          <w:rFonts w:ascii="Calibri" w:eastAsia="Calibri" w:hAnsi="Calibri" w:cs="Calibri"/>
          <w:i/>
        </w:rPr>
      </w:pPr>
      <w:r>
        <w:rPr>
          <w:rFonts w:ascii="Calibri" w:eastAsia="Calibri" w:hAnsi="Calibri" w:cs="Calibri"/>
          <w:i/>
        </w:rPr>
        <w:t xml:space="preserve">What are measures and policies taken by the Government in addressing COVID-19 pandemic, in particular for the indigenous communities, such as in West Papua, where there is an ongoing conflict?  </w:t>
      </w:r>
    </w:p>
    <w:p w14:paraId="0000008B" w14:textId="77777777" w:rsidR="00E339CC" w:rsidRDefault="00B324E3">
      <w:pPr>
        <w:numPr>
          <w:ilvl w:val="0"/>
          <w:numId w:val="1"/>
        </w:numPr>
        <w:jc w:val="both"/>
        <w:rPr>
          <w:rFonts w:ascii="Calibri" w:eastAsia="Calibri" w:hAnsi="Calibri" w:cs="Calibri"/>
          <w:i/>
        </w:rPr>
      </w:pPr>
      <w:r>
        <w:rPr>
          <w:rFonts w:ascii="Calibri" w:eastAsia="Calibri" w:hAnsi="Calibri" w:cs="Calibri"/>
          <w:i/>
        </w:rPr>
        <w:t xml:space="preserve">Considering the on-going conflict situation in West Papua, how is the Government planning to ensure consent and non repressive vaccination and other anti-COVID measures? </w:t>
      </w:r>
    </w:p>
    <w:p w14:paraId="0000008C" w14:textId="77777777" w:rsidR="00E339CC" w:rsidRDefault="00B324E3">
      <w:pPr>
        <w:numPr>
          <w:ilvl w:val="0"/>
          <w:numId w:val="1"/>
        </w:numPr>
        <w:jc w:val="both"/>
        <w:rPr>
          <w:rFonts w:ascii="Calibri" w:eastAsia="Calibri" w:hAnsi="Calibri" w:cs="Calibri"/>
          <w:i/>
        </w:rPr>
      </w:pPr>
      <w:r>
        <w:rPr>
          <w:rFonts w:ascii="Calibri" w:eastAsia="Calibri" w:hAnsi="Calibri" w:cs="Calibri"/>
          <w:i/>
        </w:rPr>
        <w:t xml:space="preserve">What are the Government strategies in addressing HIV/AIDS for the indigenous peoples, in particular in Papua and Papua Barat Provinces which have higher prevalence in comparison with other provinces? </w:t>
      </w:r>
    </w:p>
    <w:p w14:paraId="0000008D" w14:textId="77777777" w:rsidR="00E339CC" w:rsidRDefault="00E339CC">
      <w:pPr>
        <w:shd w:val="clear" w:color="auto" w:fill="FFFFFF"/>
        <w:jc w:val="both"/>
        <w:rPr>
          <w:rFonts w:ascii="Calibri" w:eastAsia="Calibri" w:hAnsi="Calibri" w:cs="Calibri"/>
        </w:rPr>
      </w:pPr>
    </w:p>
    <w:p w14:paraId="0000008E" w14:textId="7F7AF465" w:rsidR="00E339CC" w:rsidRDefault="00B324E3">
      <w:pPr>
        <w:rPr>
          <w:rFonts w:ascii="Calibri" w:eastAsia="Calibri" w:hAnsi="Calibri" w:cs="Calibri"/>
          <w:b/>
        </w:rPr>
      </w:pPr>
      <w:r>
        <w:rPr>
          <w:rFonts w:ascii="Calibri" w:eastAsia="Calibri" w:hAnsi="Calibri" w:cs="Calibri"/>
          <w:b/>
        </w:rPr>
        <w:t xml:space="preserve">Right to clean, healthy and </w:t>
      </w:r>
      <w:r w:rsidR="00DF337F">
        <w:rPr>
          <w:rFonts w:ascii="Calibri" w:eastAsia="Calibri" w:hAnsi="Calibri" w:cs="Calibri"/>
          <w:b/>
        </w:rPr>
        <w:t>sustainable</w:t>
      </w:r>
      <w:r>
        <w:rPr>
          <w:rFonts w:ascii="Calibri" w:eastAsia="Calibri" w:hAnsi="Calibri" w:cs="Calibri"/>
          <w:b/>
        </w:rPr>
        <w:t xml:space="preserve"> environment</w:t>
      </w:r>
    </w:p>
    <w:p w14:paraId="0000008F" w14:textId="77777777" w:rsidR="00E339CC" w:rsidRDefault="00B324E3">
      <w:pPr>
        <w:numPr>
          <w:ilvl w:val="0"/>
          <w:numId w:val="3"/>
        </w:numPr>
        <w:rPr>
          <w:rFonts w:ascii="Calibri" w:eastAsia="Calibri" w:hAnsi="Calibri" w:cs="Calibri"/>
        </w:rPr>
      </w:pPr>
      <w:r>
        <w:rPr>
          <w:rFonts w:ascii="Calibri" w:eastAsia="Calibri" w:hAnsi="Calibri" w:cs="Calibri"/>
        </w:rPr>
        <w:t>West Papua as a region has witnessed the fastest expansion of palm oil plantation in Indonesia as the world largest palm oil producer, with an estimated worth of USD 1.9 billion per year.</w:t>
      </w:r>
      <w:r>
        <w:rPr>
          <w:rFonts w:ascii="Calibri" w:eastAsia="Calibri" w:hAnsi="Calibri" w:cs="Calibri"/>
          <w:vertAlign w:val="superscript"/>
        </w:rPr>
        <w:footnoteReference w:id="39"/>
      </w:r>
      <w:r>
        <w:rPr>
          <w:rFonts w:ascii="Calibri" w:eastAsia="Calibri" w:hAnsi="Calibri" w:cs="Calibri"/>
        </w:rPr>
        <w:t xml:space="preserve"> In recent years, the deforestation rate in West Papua has been higher (1.4 million hectare) than the national rate (around 325 thousand hectare).</w:t>
      </w:r>
      <w:r>
        <w:rPr>
          <w:rFonts w:ascii="Calibri" w:eastAsia="Calibri" w:hAnsi="Calibri" w:cs="Calibri"/>
          <w:vertAlign w:val="superscript"/>
        </w:rPr>
        <w:footnoteReference w:id="40"/>
      </w:r>
      <w:r>
        <w:rPr>
          <w:rFonts w:ascii="Calibri" w:eastAsia="Calibri" w:hAnsi="Calibri" w:cs="Calibri"/>
        </w:rPr>
        <w:t xml:space="preserve"> Deforestation in West Papua is a result of the vast expansion of palm oil plantations, and large-scale food estate projects, often supported by many of Indonesia’s richest business persons, politicians, officials and high-ranking members of the security forces.</w:t>
      </w:r>
      <w:r>
        <w:rPr>
          <w:rFonts w:ascii="Calibri" w:eastAsia="Calibri" w:hAnsi="Calibri" w:cs="Calibri"/>
          <w:vertAlign w:val="superscript"/>
        </w:rPr>
        <w:footnoteReference w:id="41"/>
      </w:r>
      <w:r>
        <w:rPr>
          <w:rFonts w:ascii="Calibri" w:eastAsia="Calibri" w:hAnsi="Calibri" w:cs="Calibri"/>
        </w:rPr>
        <w:t xml:space="preserve"> Deforestation not only disregards the right to free, prior and informed consent (FPIC) from the indigenous people but also in many instances are carried out </w:t>
      </w:r>
      <w:r>
        <w:rPr>
          <w:rFonts w:ascii="Calibri" w:eastAsia="Calibri" w:hAnsi="Calibri" w:cs="Calibri"/>
        </w:rPr>
        <w:lastRenderedPageBreak/>
        <w:t xml:space="preserve">using manipulation, corruption, intimidation or violence against the local indigenous people. </w:t>
      </w:r>
    </w:p>
    <w:p w14:paraId="00000090" w14:textId="77777777" w:rsidR="00E339CC" w:rsidRDefault="00E339CC">
      <w:pPr>
        <w:ind w:left="720"/>
        <w:rPr>
          <w:rFonts w:ascii="Calibri" w:eastAsia="Calibri" w:hAnsi="Calibri" w:cs="Calibri"/>
        </w:rPr>
      </w:pPr>
    </w:p>
    <w:p w14:paraId="00000091" w14:textId="77777777" w:rsidR="00E339CC" w:rsidRDefault="00B324E3">
      <w:pPr>
        <w:numPr>
          <w:ilvl w:val="0"/>
          <w:numId w:val="3"/>
        </w:numPr>
        <w:rPr>
          <w:rFonts w:ascii="Calibri" w:eastAsia="Calibri" w:hAnsi="Calibri" w:cs="Calibri"/>
        </w:rPr>
      </w:pPr>
      <w:r>
        <w:rPr>
          <w:rFonts w:ascii="Calibri" w:eastAsia="Calibri" w:hAnsi="Calibri" w:cs="Calibri"/>
        </w:rPr>
        <w:t xml:space="preserve">PT Freeport Indonesia has been contributing and is responsible for the large-scale destruction of marine and customary forest areas. This is having a serious impact on the livelihood of indigenous Kamoro and Amungme communities, who are the legitimate owners of the customary land. The Indonesian government has extended the Freeport’s mining concession until 2041 without going through the FPIC process with the affected communities. </w:t>
      </w:r>
    </w:p>
    <w:p w14:paraId="00000092" w14:textId="77777777" w:rsidR="00E339CC" w:rsidRDefault="00E339CC">
      <w:pPr>
        <w:pBdr>
          <w:top w:val="nil"/>
          <w:left w:val="nil"/>
          <w:bottom w:val="nil"/>
          <w:right w:val="nil"/>
          <w:between w:val="nil"/>
        </w:pBdr>
        <w:rPr>
          <w:rFonts w:ascii="Calibri" w:eastAsia="Calibri" w:hAnsi="Calibri" w:cs="Calibri"/>
          <w:b/>
        </w:rPr>
      </w:pPr>
    </w:p>
    <w:p w14:paraId="00000093" w14:textId="77777777" w:rsidR="00E339CC" w:rsidRDefault="00B324E3">
      <w:pPr>
        <w:jc w:val="both"/>
        <w:rPr>
          <w:rFonts w:ascii="Calibri" w:eastAsia="Calibri" w:hAnsi="Calibri" w:cs="Calibri"/>
          <w:b/>
          <w:i/>
        </w:rPr>
      </w:pPr>
      <w:r>
        <w:rPr>
          <w:rFonts w:ascii="Calibri" w:eastAsia="Calibri" w:hAnsi="Calibri" w:cs="Calibri"/>
          <w:b/>
          <w:i/>
        </w:rPr>
        <w:t xml:space="preserve">Suggested question: </w:t>
      </w:r>
    </w:p>
    <w:p w14:paraId="00000094" w14:textId="305E29EA" w:rsidR="00E339CC" w:rsidRDefault="00B324E3">
      <w:pPr>
        <w:numPr>
          <w:ilvl w:val="0"/>
          <w:numId w:val="1"/>
        </w:numPr>
        <w:jc w:val="both"/>
        <w:rPr>
          <w:rFonts w:ascii="Calibri" w:eastAsia="Calibri" w:hAnsi="Calibri" w:cs="Calibri"/>
          <w:i/>
        </w:rPr>
      </w:pPr>
      <w:r>
        <w:rPr>
          <w:rFonts w:ascii="Calibri" w:eastAsia="Calibri" w:hAnsi="Calibri" w:cs="Calibri"/>
          <w:i/>
        </w:rPr>
        <w:t xml:space="preserve">What are measures and policies taken by the Government to ensure the effective implementation of the legislations relevant to the right to clean, healthy and sustainable environment in particular in the areas of the indigenous communities, such as in West Papua?  </w:t>
      </w:r>
    </w:p>
    <w:p w14:paraId="00000095" w14:textId="77777777" w:rsidR="00E339CC" w:rsidRDefault="00E339CC">
      <w:pPr>
        <w:ind w:left="720"/>
        <w:jc w:val="both"/>
        <w:rPr>
          <w:rFonts w:ascii="Calibri" w:eastAsia="Calibri" w:hAnsi="Calibri" w:cs="Calibri"/>
          <w:i/>
        </w:rPr>
      </w:pPr>
    </w:p>
    <w:p w14:paraId="00000096" w14:textId="77777777" w:rsidR="00E339CC" w:rsidRDefault="00B324E3">
      <w:pPr>
        <w:pBdr>
          <w:top w:val="nil"/>
          <w:left w:val="nil"/>
          <w:bottom w:val="nil"/>
          <w:right w:val="nil"/>
          <w:between w:val="nil"/>
        </w:pBdr>
        <w:rPr>
          <w:rFonts w:ascii="Calibri" w:eastAsia="Calibri" w:hAnsi="Calibri" w:cs="Calibri"/>
          <w:b/>
          <w:color w:val="000000"/>
        </w:rPr>
      </w:pPr>
      <w:r>
        <w:rPr>
          <w:rFonts w:ascii="Calibri" w:eastAsia="Calibri" w:hAnsi="Calibri" w:cs="Calibri"/>
          <w:b/>
        </w:rPr>
        <w:t xml:space="preserve">Situation of </w:t>
      </w:r>
      <w:r>
        <w:rPr>
          <w:rFonts w:ascii="Calibri" w:eastAsia="Calibri" w:hAnsi="Calibri" w:cs="Calibri"/>
          <w:b/>
          <w:color w:val="000000"/>
        </w:rPr>
        <w:t>Human Rights Defenders (HRDs) worki</w:t>
      </w:r>
      <w:r>
        <w:rPr>
          <w:rFonts w:ascii="Calibri" w:eastAsia="Calibri" w:hAnsi="Calibri" w:cs="Calibri"/>
          <w:b/>
        </w:rPr>
        <w:t xml:space="preserve">ng on economic, social and cultural rights </w:t>
      </w:r>
    </w:p>
    <w:p w14:paraId="00000097" w14:textId="77777777" w:rsidR="00E339CC" w:rsidRDefault="00B324E3">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 xml:space="preserve">Human rights defenders (HRDs) working in and on West Papua, in particular those working on economic, social and cultural rights, continue to face the risk of intimidation, harassment, obstruction, or physical assault against themselves or their relatives. HRDs </w:t>
      </w:r>
      <w:r>
        <w:rPr>
          <w:rFonts w:ascii="Calibri" w:eastAsia="Calibri" w:hAnsi="Calibri" w:cs="Calibri"/>
          <w:color w:val="000000"/>
        </w:rPr>
        <w:t>in Wes</w:t>
      </w:r>
      <w:r>
        <w:rPr>
          <w:rFonts w:ascii="Calibri" w:eastAsia="Calibri" w:hAnsi="Calibri" w:cs="Calibri"/>
        </w:rPr>
        <w:t xml:space="preserve">t </w:t>
      </w:r>
      <w:r>
        <w:rPr>
          <w:rFonts w:ascii="Calibri" w:eastAsia="Calibri" w:hAnsi="Calibri" w:cs="Calibri"/>
          <w:color w:val="000000"/>
        </w:rPr>
        <w:t xml:space="preserve">Papua are working in a highly repressive environment with a heavy presence of security forces. While the </w:t>
      </w:r>
      <w:r>
        <w:rPr>
          <w:rFonts w:ascii="Calibri" w:eastAsia="Calibri" w:hAnsi="Calibri" w:cs="Calibri"/>
        </w:rPr>
        <w:t>G</w:t>
      </w:r>
      <w:r>
        <w:rPr>
          <w:rFonts w:ascii="Calibri" w:eastAsia="Calibri" w:hAnsi="Calibri" w:cs="Calibri"/>
          <w:color w:val="000000"/>
        </w:rPr>
        <w:t xml:space="preserve">overnment often justifies the </w:t>
      </w:r>
      <w:r>
        <w:rPr>
          <w:rFonts w:ascii="Calibri" w:eastAsia="Calibri" w:hAnsi="Calibri" w:cs="Calibri"/>
        </w:rPr>
        <w:t xml:space="preserve">deployment </w:t>
      </w:r>
      <w:r>
        <w:rPr>
          <w:rFonts w:ascii="Calibri" w:eastAsia="Calibri" w:hAnsi="Calibri" w:cs="Calibri"/>
          <w:color w:val="000000"/>
        </w:rPr>
        <w:t xml:space="preserve">of military for national security purposes in the region, law enforcement authorities limit human rights under the pretext of </w:t>
      </w:r>
      <w:r>
        <w:rPr>
          <w:rFonts w:ascii="Calibri" w:eastAsia="Calibri" w:hAnsi="Calibri" w:cs="Calibri"/>
        </w:rPr>
        <w:t>maintaining public order and enforcing national laws. The Government of Indonesia continues to restrict access to Papua for international human rights and humanitarian organizations, foreign journalists, and observers.</w:t>
      </w:r>
      <w:r>
        <w:rPr>
          <w:rFonts w:ascii="Calibri" w:eastAsia="Calibri" w:hAnsi="Calibri" w:cs="Calibri"/>
          <w:vertAlign w:val="superscript"/>
        </w:rPr>
        <w:footnoteReference w:id="42"/>
      </w:r>
      <w:r>
        <w:rPr>
          <w:rFonts w:ascii="Calibri" w:eastAsia="Calibri" w:hAnsi="Calibri" w:cs="Calibri"/>
        </w:rPr>
        <w:t xml:space="preserve"> This situation significantly deteriorated after Papua-wide protests against racism triggered a wave of criminalisation of protesters, activists, and HRDs in September 2019.</w:t>
      </w:r>
    </w:p>
    <w:p w14:paraId="00000098" w14:textId="77777777" w:rsidR="00E339CC" w:rsidRDefault="00E339CC">
      <w:pPr>
        <w:pBdr>
          <w:top w:val="nil"/>
          <w:left w:val="nil"/>
          <w:bottom w:val="nil"/>
          <w:right w:val="nil"/>
          <w:between w:val="nil"/>
        </w:pBdr>
        <w:ind w:left="720"/>
        <w:rPr>
          <w:rFonts w:ascii="Calibri" w:eastAsia="Calibri" w:hAnsi="Calibri" w:cs="Calibri"/>
        </w:rPr>
      </w:pPr>
    </w:p>
    <w:p w14:paraId="00000099" w14:textId="77777777" w:rsidR="00E339CC" w:rsidRDefault="00B324E3">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Despite the growing interest for human rights reporting among the international community, HRDs in West Papua often have to struggle with a lack of funds for their work – many HRDs in West Papua work independently and do not have social security coverage or a stable income through an employing organization. Throughout the past two years, the number of reported cases of assault, obstruction, intimidation, and harassment against HRDs in West Papua has significantly increased, including against HRDs working on land and environmental rights as well as the rights of indigenous peoples.</w:t>
      </w:r>
      <w:r>
        <w:rPr>
          <w:rFonts w:ascii="Calibri" w:eastAsia="Calibri" w:hAnsi="Calibri" w:cs="Calibri"/>
          <w:vertAlign w:val="superscript"/>
        </w:rPr>
        <w:footnoteReference w:id="43"/>
      </w:r>
    </w:p>
    <w:p w14:paraId="0000009A" w14:textId="77777777" w:rsidR="00E339CC" w:rsidRDefault="00E339CC">
      <w:pPr>
        <w:pBdr>
          <w:top w:val="nil"/>
          <w:left w:val="nil"/>
          <w:bottom w:val="nil"/>
          <w:right w:val="nil"/>
          <w:between w:val="nil"/>
        </w:pBdr>
        <w:ind w:left="720"/>
        <w:rPr>
          <w:rFonts w:ascii="Calibri" w:eastAsia="Calibri" w:hAnsi="Calibri" w:cs="Calibri"/>
        </w:rPr>
      </w:pPr>
    </w:p>
    <w:p w14:paraId="0000009B" w14:textId="77777777" w:rsidR="00E339CC" w:rsidRDefault="00B324E3">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 xml:space="preserve">After an humanitarian and human rights solidarity group for the IDPs set up a temporary school for IDPs from the Nduga regency in Wamena, members of the police and military repeatedly tried to access the premises between 10 and 14 </w:t>
      </w:r>
      <w:r>
        <w:rPr>
          <w:rFonts w:ascii="Calibri" w:eastAsia="Calibri" w:hAnsi="Calibri" w:cs="Calibri"/>
        </w:rPr>
        <w:lastRenderedPageBreak/>
        <w:t>February 2019 and intimidated the group. On 15 February 2019, the local military commander admonished the staff of the school, arguing that their activities in school would only draw unwanted attention to the displacements and the conflict situation in Nduga.</w:t>
      </w:r>
      <w:r>
        <w:rPr>
          <w:rFonts w:ascii="Calibri" w:eastAsia="Calibri" w:hAnsi="Calibri" w:cs="Calibri"/>
          <w:vertAlign w:val="superscript"/>
        </w:rPr>
        <w:footnoteReference w:id="44"/>
      </w:r>
    </w:p>
    <w:p w14:paraId="0000009C" w14:textId="77777777" w:rsidR="00E339CC" w:rsidRDefault="00E339CC">
      <w:pPr>
        <w:pBdr>
          <w:top w:val="nil"/>
          <w:left w:val="nil"/>
          <w:bottom w:val="nil"/>
          <w:right w:val="nil"/>
          <w:between w:val="nil"/>
        </w:pBdr>
        <w:ind w:left="720"/>
        <w:jc w:val="both"/>
        <w:rPr>
          <w:rFonts w:ascii="Calibri" w:eastAsia="Calibri" w:hAnsi="Calibri" w:cs="Calibri"/>
        </w:rPr>
      </w:pPr>
    </w:p>
    <w:p w14:paraId="0000009D" w14:textId="77777777" w:rsidR="00E339CC" w:rsidRDefault="00B324E3">
      <w:pPr>
        <w:numPr>
          <w:ilvl w:val="0"/>
          <w:numId w:val="3"/>
        </w:numPr>
        <w:pBdr>
          <w:top w:val="nil"/>
          <w:left w:val="nil"/>
          <w:bottom w:val="nil"/>
          <w:right w:val="nil"/>
          <w:between w:val="nil"/>
        </w:pBdr>
        <w:rPr>
          <w:rFonts w:ascii="Calibri" w:eastAsia="Calibri" w:hAnsi="Calibri" w:cs="Calibri"/>
        </w:rPr>
      </w:pPr>
      <w:r>
        <w:rPr>
          <w:rFonts w:ascii="Calibri" w:eastAsia="Calibri" w:hAnsi="Calibri" w:cs="Calibri"/>
        </w:rPr>
        <w:t>In June 2020, a Papuan HRD working for the indigenous community in Boven Digoel was physically attacked by a group of people. He had been assisting indigenous community members who refused to convert their customary forest to oil palm plantations in Kali Kao, Boven Digoel. He has been receiving several threats since 2018.</w:t>
      </w:r>
      <w:r>
        <w:rPr>
          <w:rFonts w:ascii="Calibri" w:eastAsia="Calibri" w:hAnsi="Calibri" w:cs="Calibri"/>
          <w:vertAlign w:val="superscript"/>
        </w:rPr>
        <w:footnoteReference w:id="45"/>
      </w:r>
    </w:p>
    <w:p w14:paraId="0000009E" w14:textId="77777777" w:rsidR="00E339CC" w:rsidRDefault="00E339CC">
      <w:pPr>
        <w:rPr>
          <w:rFonts w:ascii="Calibri" w:eastAsia="Calibri" w:hAnsi="Calibri" w:cs="Calibri"/>
        </w:rPr>
      </w:pPr>
    </w:p>
    <w:p w14:paraId="0000009F" w14:textId="79142CE7" w:rsidR="00E339CC" w:rsidRDefault="00B324E3">
      <w:pPr>
        <w:numPr>
          <w:ilvl w:val="0"/>
          <w:numId w:val="3"/>
        </w:numPr>
        <w:rPr>
          <w:rFonts w:ascii="Calibri" w:eastAsia="Calibri" w:hAnsi="Calibri" w:cs="Calibri"/>
        </w:rPr>
      </w:pPr>
      <w:r>
        <w:rPr>
          <w:rFonts w:ascii="Calibri" w:eastAsia="Calibri" w:hAnsi="Calibri" w:cs="Calibri"/>
        </w:rPr>
        <w:t>In September 2021, two well-known HRDs Fatia Maulidiyanti and Haris Azhar</w:t>
      </w:r>
      <w:r>
        <w:rPr>
          <w:rFonts w:ascii="Calibri" w:eastAsia="Calibri" w:hAnsi="Calibri" w:cs="Calibri"/>
          <w:vertAlign w:val="superscript"/>
        </w:rPr>
        <w:footnoteReference w:id="46"/>
      </w:r>
      <w:r>
        <w:rPr>
          <w:rFonts w:ascii="Calibri" w:eastAsia="Calibri" w:hAnsi="Calibri" w:cs="Calibri"/>
        </w:rPr>
        <w:t xml:space="preserve"> who are the Director and former Director of KontraS, a leading NGO in Indonesia, faced the threat of criminal defamation. Both were reported by a government official who is also the Coordinating Minister for Maritime Affairs and Investment because they presented the results of a joint NGO research on the potential involvement of important officials  in the gold mining business in an area of armed conflict in Papua.</w:t>
      </w:r>
      <w:r>
        <w:rPr>
          <w:rFonts w:ascii="Calibri" w:eastAsia="Calibri" w:hAnsi="Calibri" w:cs="Calibri"/>
          <w:vertAlign w:val="superscript"/>
        </w:rPr>
        <w:footnoteReference w:id="47"/>
      </w:r>
      <w:r>
        <w:rPr>
          <w:rFonts w:ascii="Calibri" w:eastAsia="Calibri" w:hAnsi="Calibri" w:cs="Calibri"/>
        </w:rPr>
        <w:t xml:space="preserve"> The presentation was uploaded to a YouTube channel and immediately went viral.</w:t>
      </w:r>
      <w:r w:rsidR="0077300C">
        <w:rPr>
          <w:rStyle w:val="FootnoteReference"/>
          <w:rFonts w:ascii="Calibri" w:eastAsia="Calibri" w:hAnsi="Calibri" w:cs="Calibri"/>
        </w:rPr>
        <w:footnoteReference w:id="48"/>
      </w:r>
      <w:r>
        <w:rPr>
          <w:rFonts w:ascii="Calibri" w:eastAsia="Calibri" w:hAnsi="Calibri" w:cs="Calibri"/>
        </w:rPr>
        <w:t xml:space="preserve"> Maulidianti and Azhar face both threats of criminal defamation and a fine of IDR 100 billion (USD 7 million) under Law No. 19/2016 on Electronic and Transaction Information (ITE).</w:t>
      </w:r>
    </w:p>
    <w:p w14:paraId="000000A0" w14:textId="77777777" w:rsidR="00E339CC" w:rsidRDefault="00E339CC">
      <w:pPr>
        <w:jc w:val="both"/>
        <w:rPr>
          <w:rFonts w:ascii="Calibri" w:eastAsia="Calibri" w:hAnsi="Calibri" w:cs="Calibri"/>
          <w:color w:val="0070C0"/>
        </w:rPr>
      </w:pPr>
    </w:p>
    <w:p w14:paraId="000000A1" w14:textId="77777777" w:rsidR="00E339CC" w:rsidRDefault="00B324E3">
      <w:pPr>
        <w:jc w:val="both"/>
        <w:rPr>
          <w:rFonts w:ascii="Calibri" w:eastAsia="Calibri" w:hAnsi="Calibri" w:cs="Calibri"/>
          <w:b/>
          <w:i/>
        </w:rPr>
      </w:pPr>
      <w:r>
        <w:rPr>
          <w:rFonts w:ascii="Calibri" w:eastAsia="Calibri" w:hAnsi="Calibri" w:cs="Calibri"/>
          <w:b/>
          <w:i/>
        </w:rPr>
        <w:t>Suggested questions:</w:t>
      </w:r>
    </w:p>
    <w:p w14:paraId="000000A2" w14:textId="77777777" w:rsidR="00E339CC" w:rsidRDefault="00B324E3">
      <w:pPr>
        <w:numPr>
          <w:ilvl w:val="0"/>
          <w:numId w:val="6"/>
        </w:numPr>
        <w:jc w:val="both"/>
        <w:rPr>
          <w:rFonts w:ascii="Calibri" w:eastAsia="Calibri" w:hAnsi="Calibri" w:cs="Calibri"/>
          <w:i/>
        </w:rPr>
      </w:pPr>
      <w:r>
        <w:rPr>
          <w:rFonts w:ascii="Calibri" w:eastAsia="Calibri" w:hAnsi="Calibri" w:cs="Calibri"/>
          <w:i/>
        </w:rPr>
        <w:t xml:space="preserve">What are the measures taken by the Government to ensure the legal protection of human rights defenders, particularly for those working on the economic, social and cultural rights, who face a high risk of physical violence and intimidation in areas with a heavy security force presence such as in West Papua? </w:t>
      </w:r>
    </w:p>
    <w:p w14:paraId="000000A3" w14:textId="77777777" w:rsidR="00E339CC" w:rsidRDefault="00E339CC">
      <w:pPr>
        <w:jc w:val="both"/>
        <w:rPr>
          <w:rFonts w:ascii="Nunito Sans" w:eastAsia="Nunito Sans" w:hAnsi="Nunito Sans" w:cs="Nunito Sans"/>
          <w:sz w:val="22"/>
          <w:szCs w:val="22"/>
        </w:rPr>
      </w:pPr>
    </w:p>
    <w:sectPr w:rsidR="00E339CC">
      <w:footerReference w:type="even" r:id="rId9"/>
      <w:footerReference w:type="default" r:id="rId10"/>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585FA3" w14:textId="77777777" w:rsidR="00B569A3" w:rsidRDefault="00B324E3">
      <w:r>
        <w:separator/>
      </w:r>
    </w:p>
  </w:endnote>
  <w:endnote w:type="continuationSeparator" w:id="0">
    <w:p w14:paraId="78570FF2" w14:textId="77777777" w:rsidR="00B569A3" w:rsidRDefault="00B32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01000001" w:usb1="00000000" w:usb2="00000000" w:usb3="00000000" w:csb0="0001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Nunito Sans">
    <w:altName w:val="Times New Roman"/>
    <w:charset w:val="4D"/>
    <w:family w:val="auto"/>
    <w:pitch w:val="variable"/>
    <w:sig w:usb0="00000001" w:usb1="5000204B" w:usb2="00000000" w:usb3="00000000" w:csb0="00000197" w:csb1="00000000"/>
  </w:font>
  <w:font w:name="Roboto">
    <w:altName w:val="Times New Roman"/>
    <w:charset w:val="00"/>
    <w:family w:val="auto"/>
    <w:pitch w:val="variable"/>
    <w:sig w:usb0="00000001"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A" w14:textId="77777777" w:rsidR="00E339CC" w:rsidRDefault="00B324E3">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000000BB" w14:textId="77777777" w:rsidR="00E339CC" w:rsidRDefault="00E339CC">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8" w14:textId="28BB98C3" w:rsidR="00E339CC" w:rsidRDefault="00B324E3">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B5087F">
      <w:rPr>
        <w:noProof/>
        <w:color w:val="000000"/>
      </w:rPr>
      <w:t>2</w:t>
    </w:r>
    <w:r>
      <w:rPr>
        <w:color w:val="000000"/>
      </w:rPr>
      <w:fldChar w:fldCharType="end"/>
    </w:r>
  </w:p>
  <w:p w14:paraId="000000B9" w14:textId="77777777" w:rsidR="00E339CC" w:rsidRDefault="00E339CC">
    <w:pPr>
      <w:pBdr>
        <w:top w:val="nil"/>
        <w:left w:val="nil"/>
        <w:bottom w:val="nil"/>
        <w:right w:val="nil"/>
        <w:between w:val="nil"/>
      </w:pBdr>
      <w:tabs>
        <w:tab w:val="center" w:pos="4680"/>
        <w:tab w:val="right" w:pos="936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E63781" w14:textId="77777777" w:rsidR="00B569A3" w:rsidRDefault="00B324E3">
      <w:r>
        <w:separator/>
      </w:r>
    </w:p>
  </w:footnote>
  <w:footnote w:type="continuationSeparator" w:id="0">
    <w:p w14:paraId="2CD207B6" w14:textId="77777777" w:rsidR="00B569A3" w:rsidRDefault="00B324E3">
      <w:r>
        <w:continuationSeparator/>
      </w:r>
    </w:p>
  </w:footnote>
  <w:footnote w:id="1">
    <w:p w14:paraId="000000A4"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Indonesian Institute of Science (LIPI), Updating Papua Road Map; Peace, Process, Youth Politics and Papuan Diaspora, 2017, available at:</w:t>
      </w:r>
      <w:hyperlink r:id="rId1">
        <w:r>
          <w:rPr>
            <w:rFonts w:ascii="Calibri" w:eastAsia="Calibri" w:hAnsi="Calibri" w:cs="Calibri"/>
            <w:sz w:val="20"/>
            <w:szCs w:val="20"/>
          </w:rPr>
          <w:t xml:space="preserve"> </w:t>
        </w:r>
      </w:hyperlink>
      <w:hyperlink r:id="rId2">
        <w:r>
          <w:rPr>
            <w:rFonts w:ascii="Calibri" w:eastAsia="Calibri" w:hAnsi="Calibri" w:cs="Calibri"/>
            <w:color w:val="1155CC"/>
            <w:sz w:val="20"/>
            <w:szCs w:val="20"/>
            <w:u w:val="single"/>
          </w:rPr>
          <w:t>http://www.politik.lipi.go.id/downloadpap/newsletter-preview/Exsum%20Updating%20Papua%20Road%20Map%20-%20LIPI%202017.pdf</w:t>
        </w:r>
      </w:hyperlink>
      <w:r>
        <w:rPr>
          <w:rFonts w:ascii="Calibri" w:eastAsia="Calibri" w:hAnsi="Calibri" w:cs="Calibri"/>
          <w:sz w:val="20"/>
          <w:szCs w:val="20"/>
        </w:rPr>
        <w:t xml:space="preserve"> </w:t>
      </w:r>
    </w:p>
  </w:footnote>
  <w:footnote w:id="2">
    <w:p w14:paraId="000000A5" w14:textId="77777777" w:rsidR="00E339CC" w:rsidRDefault="00B324E3">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See the statement of the OHCHR on the situation in West-Papua on 30 November 2020, available at </w:t>
      </w:r>
      <w:hyperlink r:id="rId3">
        <w:r>
          <w:rPr>
            <w:rFonts w:ascii="Calibri" w:eastAsia="Calibri" w:hAnsi="Calibri" w:cs="Calibri"/>
            <w:color w:val="000000"/>
            <w:sz w:val="20"/>
            <w:szCs w:val="20"/>
          </w:rPr>
          <w:t>https://bangkok.ohchr.org/papua-statement/</w:t>
        </w:r>
      </w:hyperlink>
      <w:r>
        <w:rPr>
          <w:rFonts w:ascii="Calibri" w:eastAsia="Calibri" w:hAnsi="Calibri" w:cs="Calibri"/>
          <w:color w:val="000000"/>
          <w:sz w:val="20"/>
          <w:szCs w:val="20"/>
        </w:rPr>
        <w:t xml:space="preserve">.  </w:t>
      </w:r>
    </w:p>
  </w:footnote>
  <w:footnote w:id="3">
    <w:p w14:paraId="000000BC"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Special Autonomy Law for Papua No. 21/2001, (unofficial English translation available at: </w:t>
      </w:r>
      <w:hyperlink r:id="rId4">
        <w:r>
          <w:rPr>
            <w:rFonts w:ascii="Calibri" w:eastAsia="Calibri" w:hAnsi="Calibri" w:cs="Calibri"/>
            <w:color w:val="0563C1"/>
            <w:sz w:val="20"/>
            <w:szCs w:val="20"/>
            <w:u w:val="single"/>
          </w:rPr>
          <w:t>https://www.ilo.org/dyn/natlex/natlex4.detail?p_lang=&amp;p_isn=84431</w:t>
        </w:r>
      </w:hyperlink>
      <w:r>
        <w:rPr>
          <w:rFonts w:ascii="Calibri" w:eastAsia="Calibri" w:hAnsi="Calibri" w:cs="Calibri"/>
          <w:sz w:val="20"/>
          <w:szCs w:val="20"/>
        </w:rPr>
        <w:t>)</w:t>
      </w:r>
    </w:p>
  </w:footnote>
  <w:footnote w:id="4">
    <w:p w14:paraId="000000BD" w14:textId="4E3EB765"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Thus far, only 3 Recognition Decrees on indigenous peoples’ rights have been enacted. These initiatives have not come from the </w:t>
      </w:r>
      <w:r w:rsidR="00D77820">
        <w:rPr>
          <w:rFonts w:ascii="Calibri" w:eastAsia="Calibri" w:hAnsi="Calibri" w:cs="Calibri"/>
          <w:sz w:val="20"/>
          <w:szCs w:val="20"/>
        </w:rPr>
        <w:t>Government of Indonesia</w:t>
      </w:r>
      <w:r>
        <w:rPr>
          <w:rFonts w:ascii="Calibri" w:eastAsia="Calibri" w:hAnsi="Calibri" w:cs="Calibri"/>
          <w:sz w:val="20"/>
          <w:szCs w:val="20"/>
        </w:rPr>
        <w:t xml:space="preserve">, but the communities themselves with the support of Non-Governmental Organisations. </w:t>
      </w:r>
    </w:p>
  </w:footnote>
  <w:footnote w:id="5">
    <w:p w14:paraId="000000BE" w14:textId="77777777" w:rsidR="00E339CC" w:rsidRDefault="00B324E3">
      <w:pPr>
        <w:rPr>
          <w:rFonts w:ascii="Calibri" w:eastAsia="Calibri" w:hAnsi="Calibri" w:cs="Calibri"/>
          <w:b/>
          <w:sz w:val="20"/>
          <w:szCs w:val="20"/>
        </w:rPr>
      </w:pPr>
      <w:r>
        <w:rPr>
          <w:rStyle w:val="FootnoteReference"/>
        </w:rPr>
        <w:footnoteRef/>
      </w:r>
      <w:r>
        <w:rPr>
          <w:rFonts w:ascii="Calibri" w:eastAsia="Calibri" w:hAnsi="Calibri" w:cs="Calibri"/>
          <w:sz w:val="20"/>
          <w:szCs w:val="20"/>
        </w:rPr>
        <w:t xml:space="preserve"> According to a leading local nongovernmental initiative (Badan Registrasi Wilayah Adat), as of December 2018, of 1,100 Indigenous territories spread over more than 14 million hectares, only 35, 094 hectares has been legally titled across Indonesia.</w:t>
      </w:r>
    </w:p>
  </w:footnote>
  <w:footnote w:id="6">
    <w:p w14:paraId="000000BF"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IWGIA (the International Work Group for Indigenous Affairs), the Indigenous World 2021 35th Edition, April 2021,  p. 223, available at </w:t>
      </w:r>
      <w:hyperlink r:id="rId5">
        <w:r>
          <w:rPr>
            <w:rFonts w:ascii="Calibri" w:eastAsia="Calibri" w:hAnsi="Calibri" w:cs="Calibri"/>
            <w:color w:val="1155CC"/>
            <w:sz w:val="20"/>
            <w:szCs w:val="20"/>
            <w:u w:val="single"/>
          </w:rPr>
          <w:t>https://www.iwgia.org/en/resources/indigenous-world.html</w:t>
        </w:r>
      </w:hyperlink>
      <w:r>
        <w:rPr>
          <w:rFonts w:ascii="Calibri" w:eastAsia="Calibri" w:hAnsi="Calibri" w:cs="Calibri"/>
          <w:sz w:val="20"/>
          <w:szCs w:val="20"/>
        </w:rPr>
        <w:t xml:space="preserve">. </w:t>
      </w:r>
    </w:p>
  </w:footnote>
  <w:footnote w:id="7">
    <w:p w14:paraId="000000C0"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DPR RI, Legislator Dorong RUU MHA Mengakomodasi Kepentingan Masyarakat Adat, 2 September 2021, available at: </w:t>
      </w:r>
      <w:hyperlink r:id="rId6">
        <w:r>
          <w:rPr>
            <w:rFonts w:ascii="Calibri" w:eastAsia="Calibri" w:hAnsi="Calibri" w:cs="Calibri"/>
            <w:sz w:val="20"/>
            <w:szCs w:val="20"/>
            <w:u w:val="single"/>
          </w:rPr>
          <w:t>https://www.dpr.go.id/berita/detail/id/34421/t/Legislator+Dorong+RUU+MHA+Mengakomodasi+Kepentingan+Masyarakat+Adat</w:t>
        </w:r>
      </w:hyperlink>
      <w:r>
        <w:rPr>
          <w:rFonts w:ascii="Calibri" w:eastAsia="Calibri" w:hAnsi="Calibri" w:cs="Calibri"/>
          <w:sz w:val="20"/>
          <w:szCs w:val="20"/>
        </w:rPr>
        <w:t>.</w:t>
      </w:r>
    </w:p>
  </w:footnote>
  <w:footnote w:id="8">
    <w:p w14:paraId="000000C1"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Indigenous Papuans have been forced from their homes due to pressures imposed on them by the economic, political and security policies of the Government, see for instance  </w:t>
      </w:r>
      <w:hyperlink r:id="rId7">
        <w:r>
          <w:rPr>
            <w:rFonts w:ascii="Calibri" w:eastAsia="Calibri" w:hAnsi="Calibri" w:cs="Calibri"/>
            <w:color w:val="0563C1"/>
            <w:sz w:val="20"/>
            <w:szCs w:val="20"/>
            <w:u w:val="single"/>
          </w:rPr>
          <w:t>https://www.refworld.org/pdfid/4cc1264a2.pdf</w:t>
        </w:r>
      </w:hyperlink>
      <w:r>
        <w:rPr>
          <w:rFonts w:ascii="Calibri" w:eastAsia="Calibri" w:hAnsi="Calibri" w:cs="Calibri"/>
          <w:sz w:val="20"/>
          <w:szCs w:val="20"/>
        </w:rPr>
        <w:t xml:space="preserve"> </w:t>
      </w:r>
    </w:p>
  </w:footnote>
  <w:footnote w:id="9">
    <w:p w14:paraId="000000C2" w14:textId="77777777" w:rsidR="00E339CC" w:rsidRDefault="00B324E3">
      <w:pPr>
        <w:rPr>
          <w:rFonts w:ascii="Calibri" w:eastAsia="Calibri" w:hAnsi="Calibri" w:cs="Calibri"/>
          <w:sz w:val="22"/>
          <w:szCs w:val="22"/>
        </w:rPr>
      </w:pPr>
      <w:r>
        <w:rPr>
          <w:rStyle w:val="FootnoteReference"/>
        </w:rPr>
        <w:footnoteRef/>
      </w:r>
      <w:r>
        <w:rPr>
          <w:rFonts w:ascii="Calibri" w:eastAsia="Calibri" w:hAnsi="Calibri" w:cs="Calibri"/>
          <w:sz w:val="20"/>
          <w:szCs w:val="20"/>
        </w:rPr>
        <w:t xml:space="preserve"> Franciscans International, Papua Land of Peace and Asian Human Rights Commission, Human Rights in Papua 2010-11, November 2011, at p. 37.</w:t>
      </w:r>
    </w:p>
  </w:footnote>
  <w:footnote w:id="10">
    <w:p w14:paraId="000000C3"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Information published by  Mongabay, available at  </w:t>
      </w:r>
      <w:hyperlink r:id="rId8">
        <w:r>
          <w:rPr>
            <w:rFonts w:ascii="Calibri" w:eastAsia="Calibri" w:hAnsi="Calibri" w:cs="Calibri"/>
            <w:color w:val="0563C1"/>
            <w:sz w:val="20"/>
            <w:szCs w:val="20"/>
            <w:u w:val="single"/>
          </w:rPr>
          <w:t>https://news.mongabay.com/2020/10/indonesia-food-estate-program-papua-sumatra-expansion/</w:t>
        </w:r>
      </w:hyperlink>
      <w:r>
        <w:rPr>
          <w:rFonts w:ascii="Calibri" w:eastAsia="Calibri" w:hAnsi="Calibri" w:cs="Calibri"/>
          <w:sz w:val="20"/>
          <w:szCs w:val="20"/>
        </w:rPr>
        <w:t xml:space="preserve"> </w:t>
      </w:r>
    </w:p>
  </w:footnote>
  <w:footnote w:id="11">
    <w:p w14:paraId="000000C4"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Information from the Ministry of Agriculture on the importance of expanding Food Estate as part of the agricultural development policy of the government: </w:t>
      </w:r>
      <w:hyperlink r:id="rId9">
        <w:r>
          <w:rPr>
            <w:rFonts w:ascii="Calibri" w:eastAsia="Calibri" w:hAnsi="Calibri" w:cs="Calibri"/>
            <w:color w:val="1155CC"/>
            <w:sz w:val="20"/>
            <w:szCs w:val="20"/>
            <w:u w:val="single"/>
          </w:rPr>
          <w:t>https://www.pertanian.go.id/home/?show=news&amp;act=view&amp;id=4721</w:t>
        </w:r>
      </w:hyperlink>
      <w:r>
        <w:rPr>
          <w:rFonts w:ascii="Calibri" w:eastAsia="Calibri" w:hAnsi="Calibri" w:cs="Calibri"/>
          <w:sz w:val="20"/>
          <w:szCs w:val="20"/>
        </w:rPr>
        <w:t xml:space="preserve">. See also the  Antaranews.com, </w:t>
      </w:r>
      <w:r>
        <w:rPr>
          <w:rFonts w:ascii="Calibri" w:eastAsia="Calibri" w:hAnsi="Calibri" w:cs="Calibri"/>
          <w:i/>
          <w:sz w:val="20"/>
          <w:szCs w:val="20"/>
        </w:rPr>
        <w:t>Presiden ungkap rencana perluasan “food estate” ke Papua, NTT, Sumsel</w:t>
      </w:r>
      <w:r>
        <w:rPr>
          <w:rFonts w:ascii="Calibri" w:eastAsia="Calibri" w:hAnsi="Calibri" w:cs="Calibri"/>
          <w:sz w:val="20"/>
          <w:szCs w:val="20"/>
        </w:rPr>
        <w:t xml:space="preserve"> [the President reveals the expansion plan of “food estate” to Papua, East Nusa Tenggara and South Sumatra, 23 September 2020, available at:</w:t>
      </w:r>
      <w:hyperlink r:id="rId10">
        <w:r>
          <w:rPr>
            <w:rFonts w:ascii="Calibri" w:eastAsia="Calibri" w:hAnsi="Calibri" w:cs="Calibri"/>
            <w:sz w:val="20"/>
            <w:szCs w:val="20"/>
          </w:rPr>
          <w:t xml:space="preserve"> </w:t>
        </w:r>
      </w:hyperlink>
      <w:hyperlink r:id="rId11">
        <w:r>
          <w:rPr>
            <w:rFonts w:ascii="Calibri" w:eastAsia="Calibri" w:hAnsi="Calibri" w:cs="Calibri"/>
            <w:color w:val="0563C1"/>
            <w:sz w:val="20"/>
            <w:szCs w:val="20"/>
            <w:u w:val="single"/>
          </w:rPr>
          <w:t>https://www.antaranews.com/berita/1742069/presiden-ungkap-rencana-perluasan-food-estate-ke-papua-ntt-sumsel</w:t>
        </w:r>
      </w:hyperlink>
      <w:r>
        <w:rPr>
          <w:rFonts w:ascii="Calibri" w:eastAsia="Calibri" w:hAnsi="Calibri" w:cs="Calibri"/>
          <w:sz w:val="20"/>
          <w:szCs w:val="20"/>
        </w:rPr>
        <w:t xml:space="preserve">. </w:t>
      </w:r>
    </w:p>
  </w:footnote>
  <w:footnote w:id="12">
    <w:p w14:paraId="000000C5"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Mediaindonesia.com, </w:t>
      </w:r>
      <w:r>
        <w:rPr>
          <w:rFonts w:ascii="Calibri" w:eastAsia="Calibri" w:hAnsi="Calibri" w:cs="Calibri"/>
          <w:i/>
          <w:sz w:val="20"/>
          <w:szCs w:val="20"/>
        </w:rPr>
        <w:t>KLHK: Permen LHK Nomor 24 Tahun 2020 Jadi Pedoman Food Estate</w:t>
      </w:r>
      <w:r>
        <w:rPr>
          <w:rFonts w:ascii="Calibri" w:eastAsia="Calibri" w:hAnsi="Calibri" w:cs="Calibri"/>
          <w:sz w:val="20"/>
          <w:szCs w:val="20"/>
        </w:rPr>
        <w:t xml:space="preserve"> [Ministry of Environment and Forestry: The Minister Regulation No. 24/2020 Becomes the Guideline for the Food Estate], 17 November 2020, available at:</w:t>
      </w:r>
      <w:hyperlink r:id="rId12">
        <w:r>
          <w:rPr>
            <w:rFonts w:ascii="Calibri" w:eastAsia="Calibri" w:hAnsi="Calibri" w:cs="Calibri"/>
            <w:sz w:val="20"/>
            <w:szCs w:val="20"/>
          </w:rPr>
          <w:t xml:space="preserve"> </w:t>
        </w:r>
      </w:hyperlink>
      <w:hyperlink r:id="rId13">
        <w:r>
          <w:rPr>
            <w:rFonts w:ascii="Calibri" w:eastAsia="Calibri" w:hAnsi="Calibri" w:cs="Calibri"/>
            <w:color w:val="0000FF"/>
            <w:sz w:val="20"/>
            <w:szCs w:val="20"/>
            <w:u w:val="single"/>
          </w:rPr>
          <w:t>https://mediaindonesia.com/humaniora/361434/klhk-permen-lhk-nomor-24-tahun-2020-jadi-pedoman-food-estate</w:t>
        </w:r>
      </w:hyperlink>
      <w:r>
        <w:rPr>
          <w:rFonts w:ascii="Calibri" w:eastAsia="Calibri" w:hAnsi="Calibri" w:cs="Calibri"/>
          <w:sz w:val="20"/>
          <w:szCs w:val="20"/>
        </w:rPr>
        <w:t>.</w:t>
      </w:r>
    </w:p>
  </w:footnote>
  <w:footnote w:id="13">
    <w:p w14:paraId="000000C6"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TAPOL’s unpublished report on the reviving the MIFEE (the Merauke Integrated Food and Energy Estate) during the COVID-19 pandemic in Papua.</w:t>
      </w:r>
    </w:p>
  </w:footnote>
  <w:footnote w:id="14">
    <w:p w14:paraId="000000C7" w14:textId="77777777" w:rsidR="00E339CC" w:rsidRDefault="00B324E3">
      <w:pPr>
        <w:rPr>
          <w:sz w:val="20"/>
          <w:szCs w:val="20"/>
        </w:rPr>
      </w:pPr>
      <w:r>
        <w:rPr>
          <w:rStyle w:val="FootnoteReference"/>
        </w:rPr>
        <w:footnoteRef/>
      </w:r>
      <w:r>
        <w:rPr>
          <w:sz w:val="20"/>
          <w:szCs w:val="20"/>
        </w:rPr>
        <w:t xml:space="preserve"> </w:t>
      </w:r>
      <w:r>
        <w:rPr>
          <w:rFonts w:ascii="Calibri" w:eastAsia="Calibri" w:hAnsi="Calibri" w:cs="Calibri"/>
          <w:sz w:val="20"/>
          <w:szCs w:val="20"/>
        </w:rPr>
        <w:t>Freeport-McMoRan, Corporate Headquarters, 333 N. Central Ave., Phoenix, AZ 85004, Arizona, United States of America; phone: +1 602.366.8100fcx_communications@fmi.com; stock symbol: FCX.</w:t>
      </w:r>
    </w:p>
  </w:footnote>
  <w:footnote w:id="15">
    <w:p w14:paraId="000000D2" w14:textId="77777777" w:rsidR="00E339CC" w:rsidRDefault="00B324E3">
      <w:pPr>
        <w:rPr>
          <w:sz w:val="20"/>
          <w:szCs w:val="20"/>
        </w:rPr>
      </w:pPr>
      <w:r>
        <w:rPr>
          <w:rStyle w:val="FootnoteReference"/>
        </w:rPr>
        <w:footnoteRef/>
      </w:r>
      <w:r>
        <w:rPr>
          <w:sz w:val="20"/>
          <w:szCs w:val="20"/>
        </w:rPr>
        <w:t xml:space="preserve"> </w:t>
      </w:r>
      <w:r>
        <w:rPr>
          <w:i/>
          <w:sz w:val="20"/>
          <w:szCs w:val="20"/>
        </w:rPr>
        <w:t>See</w:t>
      </w:r>
      <w:r>
        <w:rPr>
          <w:sz w:val="20"/>
          <w:szCs w:val="20"/>
        </w:rPr>
        <w:t xml:space="preserve"> the joint publication, </w:t>
      </w:r>
      <w:r>
        <w:rPr>
          <w:rFonts w:ascii="Calibri" w:eastAsia="Calibri" w:hAnsi="Calibri" w:cs="Calibri"/>
          <w:sz w:val="20"/>
          <w:szCs w:val="20"/>
        </w:rPr>
        <w:t xml:space="preserve">SPECIAL REPORT: </w:t>
      </w:r>
      <w:r>
        <w:rPr>
          <w:sz w:val="20"/>
          <w:szCs w:val="20"/>
        </w:rPr>
        <w:t xml:space="preserve">PT Freeport Indonesia and its tail of violations in Papua: human, labour and environmental rights, December 2020. Available at </w:t>
      </w:r>
      <w:hyperlink r:id="rId14">
        <w:r>
          <w:rPr>
            <w:color w:val="1155CC"/>
            <w:sz w:val="20"/>
            <w:szCs w:val="20"/>
            <w:u w:val="single"/>
          </w:rPr>
          <w:t>https://www.tapol.org/sites/default/files/sites/default/files/pdfs/PT_Freeport_Indo_tail_of_violations_in_Papua_Dec20.pdf</w:t>
        </w:r>
      </w:hyperlink>
      <w:r>
        <w:rPr>
          <w:sz w:val="20"/>
          <w:szCs w:val="20"/>
        </w:rPr>
        <w:t xml:space="preserve"> </w:t>
      </w:r>
    </w:p>
  </w:footnote>
  <w:footnote w:id="16">
    <w:p w14:paraId="000000CB" w14:textId="77777777" w:rsidR="00E339CC" w:rsidRDefault="00B324E3">
      <w:pPr>
        <w:rPr>
          <w:sz w:val="20"/>
          <w:szCs w:val="20"/>
        </w:rPr>
      </w:pPr>
      <w:r>
        <w:rPr>
          <w:rStyle w:val="FootnoteReference"/>
        </w:rPr>
        <w:footnoteRef/>
      </w:r>
      <w:r>
        <w:rPr>
          <w:sz w:val="20"/>
          <w:szCs w:val="20"/>
        </w:rPr>
        <w:t xml:space="preserve"> </w:t>
      </w:r>
      <w:r>
        <w:rPr>
          <w:i/>
          <w:sz w:val="20"/>
          <w:szCs w:val="20"/>
        </w:rPr>
        <w:t xml:space="preserve">Idem </w:t>
      </w:r>
      <w:r>
        <w:rPr>
          <w:sz w:val="20"/>
          <w:szCs w:val="20"/>
        </w:rPr>
        <w:t xml:space="preserve"> </w:t>
      </w:r>
    </w:p>
  </w:footnote>
  <w:footnote w:id="17">
    <w:p w14:paraId="000000C8" w14:textId="77777777" w:rsidR="00E339CC" w:rsidRDefault="00B324E3">
      <w:pPr>
        <w:rPr>
          <w:rFonts w:ascii="Calibri" w:eastAsia="Calibri" w:hAnsi="Calibri" w:cs="Calibri"/>
          <w:sz w:val="18"/>
          <w:szCs w:val="18"/>
        </w:rPr>
      </w:pPr>
      <w:r>
        <w:rPr>
          <w:rStyle w:val="FootnoteReference"/>
        </w:rPr>
        <w:footnoteRef/>
      </w:r>
      <w:r>
        <w:rPr>
          <w:sz w:val="20"/>
          <w:szCs w:val="20"/>
        </w:rPr>
        <w:t xml:space="preserve"> Press statement of the Papua Legal Aid Foundation (LBH Papua), 7 April 2021,  available at </w:t>
      </w:r>
      <w:hyperlink r:id="rId15">
        <w:r>
          <w:rPr>
            <w:color w:val="1155CC"/>
            <w:sz w:val="20"/>
            <w:szCs w:val="20"/>
            <w:u w:val="single"/>
          </w:rPr>
          <w:t>https://www.lbhpapua.or.id/2021/04/09/54-tahun-freeport-di-bumi-papua-tidak-taat-hukum-dan-terus-melanggar-hak-mogok-kerja-buruh/</w:t>
        </w:r>
      </w:hyperlink>
      <w:r>
        <w:rPr>
          <w:sz w:val="20"/>
          <w:szCs w:val="20"/>
        </w:rPr>
        <w:t xml:space="preserve"> Information from LBH (Legal Aid) Papua.</w:t>
      </w:r>
    </w:p>
  </w:footnote>
  <w:footnote w:id="18">
    <w:p w14:paraId="000000C9" w14:textId="77777777" w:rsidR="00E339CC" w:rsidRDefault="00B324E3">
      <w:pPr>
        <w:rPr>
          <w:rFonts w:ascii="Calibri" w:eastAsia="Calibri" w:hAnsi="Calibri" w:cs="Calibri"/>
          <w:i/>
          <w:sz w:val="20"/>
          <w:szCs w:val="20"/>
        </w:rPr>
      </w:pPr>
      <w:r>
        <w:rPr>
          <w:rStyle w:val="FootnoteReference"/>
        </w:rPr>
        <w:footnoteRef/>
      </w:r>
      <w:r>
        <w:rPr>
          <w:rFonts w:ascii="Calibri" w:eastAsia="Calibri" w:hAnsi="Calibri" w:cs="Calibri"/>
          <w:sz w:val="20"/>
          <w:szCs w:val="20"/>
        </w:rPr>
        <w:t xml:space="preserve"> </w:t>
      </w:r>
      <w:r>
        <w:rPr>
          <w:rFonts w:ascii="Calibri" w:eastAsia="Calibri" w:hAnsi="Calibri" w:cs="Calibri"/>
          <w:i/>
          <w:sz w:val="20"/>
          <w:szCs w:val="20"/>
        </w:rPr>
        <w:t xml:space="preserve">See </w:t>
      </w:r>
      <w:r>
        <w:rPr>
          <w:rFonts w:ascii="Calibri" w:eastAsia="Calibri" w:hAnsi="Calibri" w:cs="Calibri"/>
          <w:sz w:val="20"/>
          <w:szCs w:val="20"/>
        </w:rPr>
        <w:t>CERD/EWUAP/103</w:t>
      </w:r>
      <w:r>
        <w:rPr>
          <w:rFonts w:ascii="Calibri" w:eastAsia="Calibri" w:hAnsi="Calibri" w:cs="Calibri"/>
          <w:sz w:val="20"/>
          <w:szCs w:val="20"/>
          <w:vertAlign w:val="superscript"/>
        </w:rPr>
        <w:t>rd</w:t>
      </w:r>
      <w:r>
        <w:rPr>
          <w:rFonts w:ascii="Calibri" w:eastAsia="Calibri" w:hAnsi="Calibri" w:cs="Calibri"/>
          <w:sz w:val="20"/>
          <w:szCs w:val="20"/>
        </w:rPr>
        <w:t xml:space="preserve"> Session/2021/MJ/CS/ks, 30 April 2021</w:t>
      </w:r>
      <w:r>
        <w:rPr>
          <w:rFonts w:ascii="Calibri" w:eastAsia="Calibri" w:hAnsi="Calibri" w:cs="Calibri"/>
          <w:i/>
          <w:sz w:val="20"/>
          <w:szCs w:val="20"/>
        </w:rPr>
        <w:t xml:space="preserve"> </w:t>
      </w:r>
      <w:hyperlink r:id="rId16">
        <w:r>
          <w:rPr>
            <w:rFonts w:ascii="Calibri" w:eastAsia="Calibri" w:hAnsi="Calibri" w:cs="Calibri"/>
            <w:i/>
            <w:color w:val="0563C1"/>
            <w:sz w:val="20"/>
            <w:szCs w:val="20"/>
            <w:u w:val="single"/>
          </w:rPr>
          <w:t>https://www.forestpeoples.org/sites/default/files/documents/CERD_EarlyWarning_Indonesia_OmnibusLaw.pdf</w:t>
        </w:r>
      </w:hyperlink>
      <w:r>
        <w:rPr>
          <w:rFonts w:ascii="Calibri" w:eastAsia="Calibri" w:hAnsi="Calibri" w:cs="Calibri"/>
          <w:i/>
          <w:sz w:val="20"/>
          <w:szCs w:val="20"/>
        </w:rPr>
        <w:t xml:space="preserve"> </w:t>
      </w:r>
    </w:p>
  </w:footnote>
  <w:footnote w:id="19">
    <w:p w14:paraId="000000A6"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Amnesty International, “Don’t Bother, Let Him Die”; Killing with Impunity in Papua, July 2018,  p. 7, available at:</w:t>
      </w:r>
      <w:hyperlink r:id="rId17">
        <w:r>
          <w:rPr>
            <w:rFonts w:ascii="Calibri" w:eastAsia="Calibri" w:hAnsi="Calibri" w:cs="Calibri"/>
            <w:sz w:val="20"/>
            <w:szCs w:val="20"/>
          </w:rPr>
          <w:t xml:space="preserve"> </w:t>
        </w:r>
      </w:hyperlink>
      <w:hyperlink r:id="rId18">
        <w:r>
          <w:rPr>
            <w:rFonts w:ascii="Calibri" w:eastAsia="Calibri" w:hAnsi="Calibri" w:cs="Calibri"/>
            <w:color w:val="0563C1"/>
            <w:sz w:val="20"/>
            <w:szCs w:val="20"/>
            <w:u w:val="single"/>
          </w:rPr>
          <w:t>https://www.amnesty.org/en/documents/asa21/8198/2018/en/</w:t>
        </w:r>
      </w:hyperlink>
      <w:r>
        <w:rPr>
          <w:rFonts w:ascii="Calibri" w:eastAsia="Calibri" w:hAnsi="Calibri" w:cs="Calibri"/>
          <w:sz w:val="20"/>
          <w:szCs w:val="20"/>
        </w:rPr>
        <w:t>.</w:t>
      </w:r>
    </w:p>
  </w:footnote>
  <w:footnote w:id="20">
    <w:p w14:paraId="000000A7"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Papua's central highland is located in Papua Province which territory spreads into 14 regencies (</w:t>
      </w:r>
      <w:r>
        <w:rPr>
          <w:rFonts w:ascii="Calibri" w:eastAsia="Calibri" w:hAnsi="Calibri" w:cs="Calibri"/>
          <w:i/>
          <w:sz w:val="20"/>
          <w:szCs w:val="20"/>
        </w:rPr>
        <w:t>Kabupaten</w:t>
      </w:r>
      <w:r>
        <w:rPr>
          <w:rFonts w:ascii="Calibri" w:eastAsia="Calibri" w:hAnsi="Calibri" w:cs="Calibri"/>
          <w:sz w:val="20"/>
          <w:szCs w:val="20"/>
        </w:rPr>
        <w:t>).</w:t>
      </w:r>
    </w:p>
  </w:footnote>
  <w:footnote w:id="21">
    <w:p w14:paraId="000000A8"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See ICP, YKKMP, ELSHAM Papua and JPIC Kingmi Papua, the Humanitarian Crisis in West Papua; Internal Conflict, the Displacement of People and the Coronavirus Pandemic, July 2020, p. 2, available at:</w:t>
      </w:r>
      <w:hyperlink r:id="rId19">
        <w:r>
          <w:rPr>
            <w:rFonts w:ascii="Calibri" w:eastAsia="Calibri" w:hAnsi="Calibri" w:cs="Calibri"/>
            <w:sz w:val="20"/>
            <w:szCs w:val="20"/>
          </w:rPr>
          <w:t xml:space="preserve"> </w:t>
        </w:r>
      </w:hyperlink>
      <w:hyperlink r:id="rId20">
        <w:r>
          <w:rPr>
            <w:rFonts w:ascii="Calibri" w:eastAsia="Calibri" w:hAnsi="Calibri" w:cs="Calibri"/>
            <w:color w:val="0563C1"/>
            <w:sz w:val="20"/>
            <w:szCs w:val="20"/>
            <w:u w:val="single"/>
          </w:rPr>
          <w:t>https://www.humanrightspapua.org/images/docs/HumanitarianCrisisWestPapua_IDPCovid_July2020.pdf</w:t>
        </w:r>
      </w:hyperlink>
      <w:r>
        <w:rPr>
          <w:rFonts w:ascii="Calibri" w:eastAsia="Calibri" w:hAnsi="Calibri" w:cs="Calibri"/>
          <w:sz w:val="20"/>
          <w:szCs w:val="20"/>
        </w:rPr>
        <w:t>.</w:t>
      </w:r>
    </w:p>
  </w:footnote>
  <w:footnote w:id="22">
    <w:p w14:paraId="000000CC" w14:textId="77777777" w:rsidR="00E339CC" w:rsidRDefault="00B324E3">
      <w:pPr>
        <w:rPr>
          <w:sz w:val="20"/>
          <w:szCs w:val="20"/>
        </w:rPr>
      </w:pPr>
      <w:r>
        <w:rPr>
          <w:rStyle w:val="FootnoteReference"/>
        </w:rPr>
        <w:footnoteRef/>
      </w:r>
      <w:r>
        <w:rPr>
          <w:sz w:val="20"/>
          <w:szCs w:val="20"/>
        </w:rPr>
        <w:t xml:space="preserve"> See information from the Website of the Ombudsman of the Republic of Indonesia, available at </w:t>
      </w:r>
      <w:hyperlink r:id="rId21">
        <w:r>
          <w:rPr>
            <w:color w:val="1155CC"/>
            <w:sz w:val="20"/>
            <w:szCs w:val="20"/>
            <w:u w:val="single"/>
          </w:rPr>
          <w:t>https://ombudsman.go.id/news/r/temui-pengungsi-nduga-ombudsman-ri-temukan-fakta-ini</w:t>
        </w:r>
      </w:hyperlink>
      <w:r>
        <w:rPr>
          <w:sz w:val="20"/>
          <w:szCs w:val="20"/>
        </w:rPr>
        <w:t xml:space="preserve"> </w:t>
      </w:r>
    </w:p>
  </w:footnote>
  <w:footnote w:id="23">
    <w:p w14:paraId="000000D4" w14:textId="77777777" w:rsidR="00E339CC" w:rsidRDefault="00B324E3">
      <w:pPr>
        <w:rPr>
          <w:sz w:val="20"/>
          <w:szCs w:val="20"/>
        </w:rPr>
      </w:pPr>
      <w:r>
        <w:rPr>
          <w:rStyle w:val="FootnoteReference"/>
        </w:rPr>
        <w:footnoteRef/>
      </w:r>
      <w:r>
        <w:rPr>
          <w:sz w:val="20"/>
          <w:szCs w:val="20"/>
        </w:rPr>
        <w:t xml:space="preserve"> See 2019 and 2020 Annual reports of the Indonesian National Commission for Human Rights (Komnas HAM). Available at </w:t>
      </w:r>
      <w:hyperlink r:id="rId22">
        <w:r>
          <w:rPr>
            <w:color w:val="1155CC"/>
            <w:sz w:val="20"/>
            <w:szCs w:val="20"/>
            <w:u w:val="single"/>
          </w:rPr>
          <w:t>https://www.komnasham.go.id/files/20201209-laporan-tahunan-komnas-ham-2019-$V1GFW5HE.pdf</w:t>
        </w:r>
      </w:hyperlink>
      <w:r>
        <w:rPr>
          <w:sz w:val="20"/>
          <w:szCs w:val="20"/>
        </w:rPr>
        <w:t xml:space="preserve"> and </w:t>
      </w:r>
      <w:hyperlink r:id="rId23">
        <w:r>
          <w:rPr>
            <w:color w:val="1155CC"/>
            <w:sz w:val="20"/>
            <w:szCs w:val="20"/>
            <w:u w:val="single"/>
          </w:rPr>
          <w:t>https://www.komnasham.go.id/files/20210830-laporan-tahunan-komnas-ham-ri--$R1X5O.pdf</w:t>
        </w:r>
      </w:hyperlink>
      <w:r>
        <w:rPr>
          <w:sz w:val="20"/>
          <w:szCs w:val="20"/>
        </w:rPr>
        <w:t xml:space="preserve"> </w:t>
      </w:r>
    </w:p>
  </w:footnote>
  <w:footnote w:id="24">
    <w:p w14:paraId="000000D5" w14:textId="77777777" w:rsidR="00E339CC" w:rsidRDefault="00B324E3">
      <w:pPr>
        <w:rPr>
          <w:sz w:val="20"/>
          <w:szCs w:val="20"/>
        </w:rPr>
      </w:pPr>
      <w:r>
        <w:rPr>
          <w:rStyle w:val="FootnoteReference"/>
        </w:rPr>
        <w:footnoteRef/>
      </w:r>
      <w:r>
        <w:rPr>
          <w:sz w:val="20"/>
          <w:szCs w:val="20"/>
        </w:rPr>
        <w:t xml:space="preserve"> The authority of the Regency of Nduga established a Humanitarian Team in 2019 led by Fr Jhon Djonga. As August 2019, the Team estimated that more than 30,000 people were displaced due to the conflict. See the news coverage at </w:t>
      </w:r>
      <w:hyperlink r:id="rId24">
        <w:r>
          <w:rPr>
            <w:color w:val="1155CC"/>
            <w:sz w:val="20"/>
            <w:szCs w:val="20"/>
            <w:u w:val="single"/>
          </w:rPr>
          <w:t>https://www.voaindonesia.com/a/tim-kemanusiaan-nduga-pengungsi-tolak-bantuan-pemerintah/5043012.html</w:t>
        </w:r>
      </w:hyperlink>
      <w:r>
        <w:rPr>
          <w:sz w:val="20"/>
          <w:szCs w:val="20"/>
        </w:rPr>
        <w:t xml:space="preserve"> </w:t>
      </w:r>
    </w:p>
  </w:footnote>
  <w:footnote w:id="25">
    <w:p w14:paraId="000000A9"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ICP &amp; others, the Humanitarian Crisis in West Papua; Internal Conflict, the Displacement of People and the Coronavirus Pandemic, op.cit.,p. 6.</w:t>
      </w:r>
    </w:p>
  </w:footnote>
  <w:footnote w:id="26">
    <w:p w14:paraId="000000AA"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Satgas Pengendalian, Pencegahan dan Penanganan COVID-19 Provinsi Papua, Laporan Perkembangan COVID-19 Update, 17 Maret 2021 - 12 September 2021.</w:t>
      </w:r>
    </w:p>
  </w:footnote>
  <w:footnote w:id="27">
    <w:p w14:paraId="000000AB"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Dinas Kesehatan Pem. Prov. Papua Barat, </w:t>
      </w:r>
      <w:hyperlink r:id="rId25">
        <w:r>
          <w:rPr>
            <w:rFonts w:ascii="Calibri" w:eastAsia="Calibri" w:hAnsi="Calibri" w:cs="Calibri"/>
            <w:i/>
            <w:sz w:val="20"/>
            <w:szCs w:val="20"/>
          </w:rPr>
          <w:t>Situasi Terkini Perkembangan Covid19 di Papua Barat tanggal 13 September 2021</w:t>
        </w:r>
      </w:hyperlink>
      <w:r>
        <w:rPr>
          <w:rFonts w:ascii="Calibri" w:eastAsia="Calibri" w:hAnsi="Calibri" w:cs="Calibri"/>
          <w:sz w:val="20"/>
          <w:szCs w:val="20"/>
        </w:rPr>
        <w:t>, available at</w:t>
      </w:r>
    </w:p>
    <w:p w14:paraId="000000AC" w14:textId="77777777" w:rsidR="00E339CC" w:rsidRDefault="00B5087F">
      <w:pPr>
        <w:rPr>
          <w:rFonts w:ascii="Calibri" w:eastAsia="Calibri" w:hAnsi="Calibri" w:cs="Calibri"/>
          <w:sz w:val="20"/>
          <w:szCs w:val="20"/>
        </w:rPr>
      </w:pPr>
      <w:hyperlink r:id="rId26">
        <w:r w:rsidR="00B324E3">
          <w:rPr>
            <w:rFonts w:ascii="Calibri" w:eastAsia="Calibri" w:hAnsi="Calibri" w:cs="Calibri"/>
            <w:color w:val="1155CC"/>
            <w:sz w:val="20"/>
            <w:szCs w:val="20"/>
            <w:u w:val="single"/>
          </w:rPr>
          <w:t>https://dinkes.papuabaratprov.go.id/artikel/situasi-terkini-perkembangan-covid19-di-papua-barat-tanggal-13-september-2021</w:t>
        </w:r>
      </w:hyperlink>
      <w:r w:rsidR="00B324E3">
        <w:rPr>
          <w:rFonts w:ascii="Calibri" w:eastAsia="Calibri" w:hAnsi="Calibri" w:cs="Calibri"/>
          <w:sz w:val="20"/>
          <w:szCs w:val="20"/>
        </w:rPr>
        <w:t xml:space="preserve"> </w:t>
      </w:r>
    </w:p>
  </w:footnote>
  <w:footnote w:id="28">
    <w:p w14:paraId="000000AD"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Asrida Elisabeth, </w:t>
      </w:r>
      <w:r>
        <w:rPr>
          <w:rFonts w:ascii="Calibri" w:eastAsia="Calibri" w:hAnsi="Calibri" w:cs="Calibri"/>
          <w:i/>
          <w:sz w:val="20"/>
          <w:szCs w:val="20"/>
        </w:rPr>
        <w:t>‘Kitong Su Mau Mati’: COVID-19 Meluas, Pasien Membludak, Vaksinasi Rendah di Papua</w:t>
      </w:r>
      <w:r>
        <w:rPr>
          <w:rFonts w:ascii="Calibri" w:eastAsia="Calibri" w:hAnsi="Calibri" w:cs="Calibri"/>
          <w:sz w:val="20"/>
          <w:szCs w:val="20"/>
        </w:rPr>
        <w:t xml:space="preserve">, 2021. Available at: </w:t>
      </w:r>
      <w:hyperlink r:id="rId27">
        <w:r>
          <w:rPr>
            <w:rFonts w:ascii="Calibri" w:eastAsia="Calibri" w:hAnsi="Calibri" w:cs="Calibri"/>
            <w:color w:val="1155CC"/>
            <w:sz w:val="20"/>
            <w:szCs w:val="20"/>
            <w:u w:val="single"/>
          </w:rPr>
          <w:t>https://projectmultatuli.org/covid19-papua-vaksinasi-rendah-orang-papu-tak-percaya-pemerintah-indonesia/</w:t>
        </w:r>
      </w:hyperlink>
      <w:r>
        <w:rPr>
          <w:rFonts w:ascii="Calibri" w:eastAsia="Calibri" w:hAnsi="Calibri" w:cs="Calibri"/>
          <w:sz w:val="20"/>
          <w:szCs w:val="20"/>
        </w:rPr>
        <w:t xml:space="preserve"> </w:t>
      </w:r>
    </w:p>
  </w:footnote>
  <w:footnote w:id="29">
    <w:p w14:paraId="000000AE"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Berita Aktual.co, </w:t>
      </w:r>
      <w:r>
        <w:rPr>
          <w:rFonts w:ascii="Calibri" w:eastAsia="Calibri" w:hAnsi="Calibri" w:cs="Calibri"/>
          <w:i/>
          <w:sz w:val="20"/>
          <w:szCs w:val="20"/>
        </w:rPr>
        <w:t>Deploy Combat Materials, Marine Corps Invade Klafdalim Village Moisegen Sorong</w:t>
      </w:r>
      <w:r>
        <w:rPr>
          <w:rFonts w:ascii="Calibri" w:eastAsia="Calibri" w:hAnsi="Calibri" w:cs="Calibri"/>
          <w:sz w:val="20"/>
          <w:szCs w:val="20"/>
        </w:rPr>
        <w:t xml:space="preserve">, available at  </w:t>
      </w:r>
      <w:hyperlink r:id="rId28">
        <w:r>
          <w:rPr>
            <w:rFonts w:ascii="Calibri" w:eastAsia="Calibri" w:hAnsi="Calibri" w:cs="Calibri"/>
            <w:color w:val="1155CC"/>
            <w:sz w:val="20"/>
            <w:szCs w:val="20"/>
            <w:u w:val="single"/>
          </w:rPr>
          <w:t>https://beritaaktual.co/metro/8086/kerahkan-material-tempur-korps-marinir-serbu-kampung-klafdalim-moisegen-sorong/</w:t>
        </w:r>
      </w:hyperlink>
      <w:r>
        <w:rPr>
          <w:rFonts w:ascii="Calibri" w:eastAsia="Calibri" w:hAnsi="Calibri" w:cs="Calibri"/>
          <w:color w:val="1155CC"/>
          <w:sz w:val="20"/>
          <w:szCs w:val="20"/>
          <w:u w:val="single"/>
        </w:rPr>
        <w:t xml:space="preserve">. </w:t>
      </w:r>
    </w:p>
  </w:footnote>
  <w:footnote w:id="30">
    <w:p w14:paraId="000000AF"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Asrida Elisabeth, </w:t>
      </w:r>
      <w:r>
        <w:rPr>
          <w:rFonts w:ascii="Calibri" w:eastAsia="Calibri" w:hAnsi="Calibri" w:cs="Calibri"/>
          <w:i/>
          <w:sz w:val="20"/>
          <w:szCs w:val="20"/>
        </w:rPr>
        <w:t>Kitong Su Mau Mati’: COVID-19 Meluas, Pasien Membludak, Vaksinasi Rendah di Papua</w:t>
      </w:r>
      <w:r>
        <w:rPr>
          <w:rFonts w:ascii="Calibri" w:eastAsia="Calibri" w:hAnsi="Calibri" w:cs="Calibri"/>
          <w:sz w:val="20"/>
          <w:szCs w:val="20"/>
        </w:rPr>
        <w:t xml:space="preserve">, 2021, available at: </w:t>
      </w:r>
      <w:hyperlink r:id="rId29">
        <w:r>
          <w:rPr>
            <w:rFonts w:ascii="Calibri" w:eastAsia="Calibri" w:hAnsi="Calibri" w:cs="Calibri"/>
            <w:color w:val="1155CC"/>
            <w:sz w:val="20"/>
            <w:szCs w:val="20"/>
            <w:u w:val="single"/>
          </w:rPr>
          <w:t>https://projectmultatuli.org/covid19-papua-vaksinasi-rendah-orang-papu-tak-percaya-pemerintah-indonesia/</w:t>
        </w:r>
      </w:hyperlink>
      <w:r>
        <w:rPr>
          <w:rFonts w:ascii="Calibri" w:eastAsia="Calibri" w:hAnsi="Calibri" w:cs="Calibri"/>
          <w:sz w:val="20"/>
          <w:szCs w:val="20"/>
        </w:rPr>
        <w:t xml:space="preserve"> </w:t>
      </w:r>
    </w:p>
  </w:footnote>
  <w:footnote w:id="31">
    <w:p w14:paraId="000000B0"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color w:val="000000"/>
          <w:sz w:val="20"/>
          <w:szCs w:val="20"/>
        </w:rPr>
        <w:t xml:space="preserve"> Pikiran Rakyat, </w:t>
      </w:r>
      <w:r>
        <w:rPr>
          <w:rFonts w:ascii="Calibri" w:eastAsia="Calibri" w:hAnsi="Calibri" w:cs="Calibri"/>
          <w:sz w:val="20"/>
          <w:szCs w:val="20"/>
        </w:rPr>
        <w:t>‘</w:t>
      </w:r>
      <w:r>
        <w:rPr>
          <w:rFonts w:ascii="Calibri" w:eastAsia="Calibri" w:hAnsi="Calibri" w:cs="Calibri"/>
          <w:i/>
          <w:sz w:val="20"/>
          <w:szCs w:val="20"/>
        </w:rPr>
        <w:t xml:space="preserve">Hindari Penyebaran Covid-19 di Penjara, Sudah 62.000 Tahanan Bebas karena Program Asimilasi </w:t>
      </w:r>
      <w:r>
        <w:rPr>
          <w:rFonts w:ascii="Calibri" w:eastAsia="Calibri" w:hAnsi="Calibri" w:cs="Calibri"/>
          <w:color w:val="000000"/>
          <w:sz w:val="20"/>
          <w:szCs w:val="20"/>
        </w:rPr>
        <w:t xml:space="preserve">[Preventing Covid-19 in Prisons, 62,000 Prisoners has already been </w:t>
      </w:r>
      <w:r>
        <w:rPr>
          <w:rFonts w:ascii="Calibri" w:eastAsia="Calibri" w:hAnsi="Calibri" w:cs="Calibri"/>
          <w:sz w:val="20"/>
          <w:szCs w:val="20"/>
        </w:rPr>
        <w:t>r</w:t>
      </w:r>
      <w:r>
        <w:rPr>
          <w:rFonts w:ascii="Calibri" w:eastAsia="Calibri" w:hAnsi="Calibri" w:cs="Calibri"/>
          <w:color w:val="000000"/>
          <w:sz w:val="20"/>
          <w:szCs w:val="20"/>
        </w:rPr>
        <w:t xml:space="preserve">eleased due to the Assimilation Programme]’, 11 February 2021, </w:t>
      </w:r>
      <w:hyperlink r:id="rId30">
        <w:r>
          <w:rPr>
            <w:rFonts w:ascii="Calibri" w:eastAsia="Calibri" w:hAnsi="Calibri" w:cs="Calibri"/>
            <w:color w:val="000000"/>
            <w:sz w:val="20"/>
            <w:szCs w:val="20"/>
          </w:rPr>
          <w:t>https://www.pikiran-rakyat.com/nasional/pr-011417767/hindari-penyebaran-covid-19-di-penjara-sudah-62000-tahanan-bebas-karena-program-asimilasi</w:t>
        </w:r>
      </w:hyperlink>
      <w:r>
        <w:rPr>
          <w:rFonts w:ascii="Calibri" w:eastAsia="Calibri" w:hAnsi="Calibri" w:cs="Calibri"/>
          <w:color w:val="000000"/>
          <w:sz w:val="20"/>
          <w:szCs w:val="20"/>
        </w:rPr>
        <w:t>.</w:t>
      </w:r>
    </w:p>
  </w:footnote>
  <w:footnote w:id="32">
    <w:p w14:paraId="000000CA" w14:textId="77777777" w:rsidR="00E339CC" w:rsidRDefault="00B324E3">
      <w:pPr>
        <w:rPr>
          <w:sz w:val="20"/>
          <w:szCs w:val="20"/>
        </w:rPr>
      </w:pPr>
      <w:r>
        <w:rPr>
          <w:rStyle w:val="FootnoteReference"/>
        </w:rPr>
        <w:footnoteRef/>
      </w:r>
      <w:r>
        <w:rPr>
          <w:sz w:val="20"/>
          <w:szCs w:val="20"/>
        </w:rPr>
        <w:t xml:space="preserve"> </w:t>
      </w:r>
      <w:r>
        <w:rPr>
          <w:rFonts w:ascii="Calibri" w:eastAsia="Calibri" w:hAnsi="Calibri" w:cs="Calibri"/>
          <w:sz w:val="20"/>
          <w:szCs w:val="20"/>
        </w:rPr>
        <w:t xml:space="preserve">See the urgent appeal of TAPOL at </w:t>
      </w:r>
      <w:hyperlink r:id="rId31">
        <w:r>
          <w:rPr>
            <w:rFonts w:ascii="Calibri" w:eastAsia="Calibri" w:hAnsi="Calibri" w:cs="Calibri"/>
            <w:sz w:val="20"/>
            <w:szCs w:val="20"/>
          </w:rPr>
          <w:t>https://www.tapol.org/news/urgent-appeals-filed-un-63-political-prisoners-indonesia-amid-covid-19-pandemic</w:t>
        </w:r>
      </w:hyperlink>
      <w:r>
        <w:rPr>
          <w:rFonts w:ascii="Calibri" w:eastAsia="Calibri" w:hAnsi="Calibri" w:cs="Calibri"/>
          <w:sz w:val="20"/>
          <w:szCs w:val="20"/>
        </w:rPr>
        <w:t xml:space="preserve">  </w:t>
      </w:r>
    </w:p>
  </w:footnote>
  <w:footnote w:id="33">
    <w:p w14:paraId="000000B1" w14:textId="77777777" w:rsidR="00E339CC" w:rsidRDefault="00B324E3">
      <w:pP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Joint Statement of UNODC, WHO, UNAIDS and OHCHR on COVID-19 in Prisons and Other Closed Settings, 13 May 2020, available at:</w:t>
      </w:r>
      <w:hyperlink r:id="rId32">
        <w:r>
          <w:rPr>
            <w:rFonts w:ascii="Calibri" w:eastAsia="Calibri" w:hAnsi="Calibri" w:cs="Calibri"/>
            <w:color w:val="000000"/>
            <w:sz w:val="20"/>
            <w:szCs w:val="20"/>
          </w:rPr>
          <w:t xml:space="preserve"> https://www.who.int/news/item/13-05-2020-unodc-who-unaids-and-ohchr-joint-statement-on-covid-19-in-prisons-and-other-closed-settings</w:t>
        </w:r>
      </w:hyperlink>
      <w:r>
        <w:rPr>
          <w:rFonts w:ascii="Calibri" w:eastAsia="Calibri" w:hAnsi="Calibri" w:cs="Calibri"/>
          <w:color w:val="000000"/>
          <w:sz w:val="20"/>
          <w:szCs w:val="20"/>
        </w:rPr>
        <w:t xml:space="preserve">. </w:t>
      </w:r>
    </w:p>
  </w:footnote>
  <w:footnote w:id="34">
    <w:p w14:paraId="000000CD"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OHCHR,</w:t>
      </w:r>
      <w:r>
        <w:rPr>
          <w:rFonts w:ascii="Calibri" w:eastAsia="Calibri" w:hAnsi="Calibri" w:cs="Calibri"/>
          <w:i/>
          <w:sz w:val="20"/>
          <w:szCs w:val="20"/>
        </w:rPr>
        <w:t xml:space="preserve"> </w:t>
      </w:r>
      <w:r>
        <w:rPr>
          <w:rFonts w:ascii="Calibri" w:eastAsia="Calibri" w:hAnsi="Calibri" w:cs="Calibri"/>
          <w:sz w:val="20"/>
          <w:szCs w:val="20"/>
        </w:rPr>
        <w:t xml:space="preserve">Report of the UN Special Rapporteur on the right of everyone to the enjoyment of the highest standard of physical and mental health on his mission to Indonesia,  A/HRC/38/36/Add.1.  </w:t>
      </w:r>
    </w:p>
  </w:footnote>
  <w:footnote w:id="35">
    <w:p w14:paraId="000000CE"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Asia Justice and Rights</w:t>
      </w:r>
      <w:r>
        <w:rPr>
          <w:rFonts w:ascii="Calibri" w:eastAsia="Calibri" w:hAnsi="Calibri" w:cs="Calibri"/>
          <w:i/>
          <w:sz w:val="20"/>
          <w:szCs w:val="20"/>
        </w:rPr>
        <w:t>, Living Among Sharp Rocks: Vulnerability and Patterns that Impact HIV / AIDS and Violence against Women in Papua Province</w:t>
      </w:r>
      <w:r>
        <w:rPr>
          <w:rFonts w:ascii="Calibri" w:eastAsia="Calibri" w:hAnsi="Calibri" w:cs="Calibri"/>
          <w:sz w:val="20"/>
          <w:szCs w:val="20"/>
        </w:rPr>
        <w:t xml:space="preserve"> 2019</w:t>
      </w:r>
      <w:r>
        <w:rPr>
          <w:rFonts w:ascii="Calibri" w:eastAsia="Calibri" w:hAnsi="Calibri" w:cs="Calibri"/>
          <w:sz w:val="20"/>
          <w:szCs w:val="20"/>
          <w:highlight w:val="yellow"/>
        </w:rPr>
        <w:t xml:space="preserve"> </w:t>
      </w:r>
    </w:p>
  </w:footnote>
  <w:footnote w:id="36">
    <w:p w14:paraId="000000B2"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Integrated Ministry of Health Survey, June 2019. </w:t>
      </w:r>
    </w:p>
  </w:footnote>
  <w:footnote w:id="37">
    <w:p w14:paraId="000000B3"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Jaringan Peduli AIDS Tanah Papua,</w:t>
      </w:r>
      <w:r>
        <w:rPr>
          <w:rFonts w:ascii="Calibri" w:eastAsia="Calibri" w:hAnsi="Calibri" w:cs="Calibri"/>
          <w:i/>
          <w:sz w:val="20"/>
          <w:szCs w:val="20"/>
        </w:rPr>
        <w:t xml:space="preserve"> Laporan Webinar: Selamatkan Manusia Papua di Tanah Papua dari HIV-AIDS (2021)</w:t>
      </w:r>
      <w:r>
        <w:rPr>
          <w:rFonts w:ascii="Calibri" w:eastAsia="Calibri" w:hAnsi="Calibri" w:cs="Calibri"/>
          <w:sz w:val="20"/>
          <w:szCs w:val="20"/>
        </w:rPr>
        <w:t>.</w:t>
      </w:r>
    </w:p>
  </w:footnote>
  <w:footnote w:id="38">
    <w:p w14:paraId="000000B4"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AJAR, </w:t>
      </w:r>
      <w:r>
        <w:rPr>
          <w:rFonts w:ascii="Calibri" w:eastAsia="Calibri" w:hAnsi="Calibri" w:cs="Calibri"/>
          <w:i/>
          <w:sz w:val="20"/>
          <w:szCs w:val="20"/>
        </w:rPr>
        <w:t>Living Among Sharp Rocks: Vulnerability and Patterns that Impact HIV / AIDS and Violence against Women in Papua Province,</w:t>
      </w:r>
      <w:r>
        <w:rPr>
          <w:rFonts w:ascii="Calibri" w:eastAsia="Calibri" w:hAnsi="Calibri" w:cs="Calibri"/>
          <w:sz w:val="20"/>
          <w:szCs w:val="20"/>
        </w:rPr>
        <w:t xml:space="preserve"> </w:t>
      </w:r>
      <w:r>
        <w:rPr>
          <w:rFonts w:ascii="Calibri" w:eastAsia="Calibri" w:hAnsi="Calibri" w:cs="Calibri"/>
          <w:i/>
          <w:sz w:val="20"/>
          <w:szCs w:val="20"/>
        </w:rPr>
        <w:t xml:space="preserve">Ibid. </w:t>
      </w:r>
    </w:p>
  </w:footnote>
  <w:footnote w:id="39">
    <w:p w14:paraId="000000CF"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Forest and Society Vol. 5(1): 23-31, April 2021, available at file:///C:/Users/tjahjono/Downloads/11343-Manuscript%20-39108-4-10-20201225.pdf  </w:t>
      </w:r>
    </w:p>
  </w:footnote>
  <w:footnote w:id="40">
    <w:p w14:paraId="000000D0"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Syahrul Fitra – Greenpeace Indonesia, </w:t>
      </w:r>
      <w:r>
        <w:rPr>
          <w:rFonts w:ascii="Calibri" w:eastAsia="Calibri" w:hAnsi="Calibri" w:cs="Calibri"/>
          <w:i/>
          <w:sz w:val="20"/>
          <w:szCs w:val="20"/>
        </w:rPr>
        <w:t>Lumbung Pangan ala Jokowi Bagai Buah Simalakama</w:t>
      </w:r>
      <w:r>
        <w:rPr>
          <w:rFonts w:ascii="Calibri" w:eastAsia="Calibri" w:hAnsi="Calibri" w:cs="Calibri"/>
          <w:sz w:val="20"/>
          <w:szCs w:val="20"/>
        </w:rPr>
        <w:t xml:space="preserve"> [Jokowi’s Food Barn project is like the fruits’ choice], 7 December 2020, available at:</w:t>
      </w:r>
      <w:hyperlink r:id="rId33">
        <w:r>
          <w:rPr>
            <w:rFonts w:ascii="Calibri" w:eastAsia="Calibri" w:hAnsi="Calibri" w:cs="Calibri"/>
            <w:sz w:val="20"/>
            <w:szCs w:val="20"/>
          </w:rPr>
          <w:t xml:space="preserve"> </w:t>
        </w:r>
      </w:hyperlink>
      <w:hyperlink r:id="rId34">
        <w:r>
          <w:rPr>
            <w:rFonts w:ascii="Calibri" w:eastAsia="Calibri" w:hAnsi="Calibri" w:cs="Calibri"/>
            <w:color w:val="0563C1"/>
            <w:sz w:val="20"/>
            <w:szCs w:val="20"/>
            <w:u w:val="single"/>
          </w:rPr>
          <w:t>https://www.greenpeace.org/indonesia/cerita/44440/lumbung-pangan-ala-jokowi-bagai-buah-simalakama/</w:t>
        </w:r>
      </w:hyperlink>
      <w:r>
        <w:rPr>
          <w:rFonts w:ascii="Calibri" w:eastAsia="Calibri" w:hAnsi="Calibri" w:cs="Calibri"/>
          <w:sz w:val="20"/>
          <w:szCs w:val="20"/>
        </w:rPr>
        <w:t xml:space="preserve">. </w:t>
      </w:r>
    </w:p>
  </w:footnote>
  <w:footnote w:id="41">
    <w:p w14:paraId="000000D1" w14:textId="77777777" w:rsidR="00E339CC" w:rsidRDefault="00B324E3">
      <w:pPr>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Greenpeace, License to Clear: the Dark Side of Permitting in West Papua, p. 9, April 2021, available at:</w:t>
      </w:r>
      <w:hyperlink r:id="rId35">
        <w:r>
          <w:rPr>
            <w:rFonts w:ascii="Calibri" w:eastAsia="Calibri" w:hAnsi="Calibri" w:cs="Calibri"/>
            <w:sz w:val="20"/>
            <w:szCs w:val="20"/>
          </w:rPr>
          <w:t xml:space="preserve"> </w:t>
        </w:r>
      </w:hyperlink>
      <w:hyperlink r:id="rId36">
        <w:r>
          <w:rPr>
            <w:rFonts w:ascii="Calibri" w:eastAsia="Calibri" w:hAnsi="Calibri" w:cs="Calibri"/>
            <w:color w:val="0000FF"/>
            <w:sz w:val="20"/>
            <w:szCs w:val="20"/>
            <w:u w:val="single"/>
          </w:rPr>
          <w:t>https://drive.google.com/file/d/1BFo_ujcB8TrfHssUJ4qkNS4tu1PHO-BF/view</w:t>
        </w:r>
      </w:hyperlink>
      <w:r>
        <w:rPr>
          <w:rFonts w:ascii="Calibri" w:eastAsia="Calibri" w:hAnsi="Calibri" w:cs="Calibri"/>
          <w:sz w:val="20"/>
          <w:szCs w:val="20"/>
        </w:rPr>
        <w:t>.</w:t>
      </w:r>
    </w:p>
  </w:footnote>
  <w:footnote w:id="42">
    <w:p w14:paraId="000000B5" w14:textId="77777777" w:rsidR="00E339CC" w:rsidRDefault="00B324E3">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See the article by Human Rights Watch, available at </w:t>
      </w:r>
      <w:hyperlink r:id="rId37">
        <w:r>
          <w:rPr>
            <w:rFonts w:ascii="Calibri" w:eastAsia="Calibri" w:hAnsi="Calibri" w:cs="Calibri"/>
            <w:color w:val="000000"/>
            <w:sz w:val="20"/>
            <w:szCs w:val="20"/>
          </w:rPr>
          <w:t>https://www.hrw.org/news/2018/06/19/indonesia-shuts-out-un-rights-chief-papua</w:t>
        </w:r>
      </w:hyperlink>
      <w:r>
        <w:rPr>
          <w:rFonts w:ascii="Calibri" w:eastAsia="Calibri" w:hAnsi="Calibri" w:cs="Calibri"/>
          <w:color w:val="000000"/>
          <w:sz w:val="20"/>
          <w:szCs w:val="20"/>
        </w:rPr>
        <w:t xml:space="preserve">.   </w:t>
      </w:r>
    </w:p>
  </w:footnote>
  <w:footnote w:id="43">
    <w:p w14:paraId="000000D3" w14:textId="77777777" w:rsidR="00E339CC" w:rsidRDefault="00B324E3">
      <w:pPr>
        <w:rPr>
          <w:sz w:val="20"/>
          <w:szCs w:val="20"/>
        </w:rPr>
      </w:pPr>
      <w:r>
        <w:rPr>
          <w:rStyle w:val="FootnoteReference"/>
        </w:rPr>
        <w:footnoteRef/>
      </w:r>
      <w:r>
        <w:rPr>
          <w:sz w:val="20"/>
          <w:szCs w:val="20"/>
        </w:rPr>
        <w:t xml:space="preserve"> See article by Civicus, available at </w:t>
      </w:r>
      <w:hyperlink r:id="rId38">
        <w:r>
          <w:rPr>
            <w:color w:val="1155CC"/>
            <w:sz w:val="20"/>
            <w:szCs w:val="20"/>
            <w:u w:val="single"/>
          </w:rPr>
          <w:t>https://monitor.civicus.org/updates/2021/09/21/human-rights-defenders-critics-targeted-indonesia-while-protests-papua-repressed/</w:t>
        </w:r>
      </w:hyperlink>
      <w:r>
        <w:rPr>
          <w:sz w:val="20"/>
          <w:szCs w:val="20"/>
        </w:rPr>
        <w:t xml:space="preserve"> </w:t>
      </w:r>
    </w:p>
  </w:footnote>
  <w:footnote w:id="44">
    <w:p w14:paraId="000000B6" w14:textId="77777777" w:rsidR="00E339CC" w:rsidRDefault="00B324E3">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International Coalition for Papua (ICP) and the Westpapua-Netzwerk,  Human Rights in West Papua; the Seventh report of the International Coalition for Papua (ICP) provides an analysis of violations from January 2019 until December 2020, p. 30, available at </w:t>
      </w:r>
      <w:hyperlink r:id="rId39">
        <w:r>
          <w:rPr>
            <w:rFonts w:ascii="Calibri" w:eastAsia="Calibri" w:hAnsi="Calibri" w:cs="Calibri"/>
            <w:color w:val="0563C1"/>
            <w:sz w:val="20"/>
            <w:szCs w:val="20"/>
            <w:u w:val="single"/>
          </w:rPr>
          <w:t>https://humanrightspapua.org/hrreport/2021/</w:t>
        </w:r>
      </w:hyperlink>
      <w:r>
        <w:rPr>
          <w:rFonts w:ascii="Calibri" w:eastAsia="Calibri" w:hAnsi="Calibri" w:cs="Calibri"/>
          <w:color w:val="000000"/>
          <w:sz w:val="20"/>
          <w:szCs w:val="20"/>
        </w:rPr>
        <w:t>.</w:t>
      </w:r>
    </w:p>
  </w:footnote>
  <w:footnote w:id="45">
    <w:p w14:paraId="000000B7" w14:textId="77777777" w:rsidR="00E339CC" w:rsidRDefault="00B324E3">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w:t>
      </w:r>
      <w:r>
        <w:rPr>
          <w:rFonts w:ascii="Calibri" w:eastAsia="Calibri" w:hAnsi="Calibri" w:cs="Calibri"/>
          <w:sz w:val="20"/>
          <w:szCs w:val="20"/>
        </w:rPr>
        <w:t>International Coalition for Papua (ICP)</w:t>
      </w:r>
      <w:r>
        <w:rPr>
          <w:rFonts w:ascii="Calibri" w:eastAsia="Calibri" w:hAnsi="Calibri" w:cs="Calibri"/>
          <w:color w:val="000000"/>
          <w:sz w:val="20"/>
          <w:szCs w:val="20"/>
        </w:rPr>
        <w:t xml:space="preserve">, Human Rights in West Papua 2019-2020, p. 31. </w:t>
      </w:r>
    </w:p>
  </w:footnote>
  <w:footnote w:id="46">
    <w:p w14:paraId="000000D6" w14:textId="77777777" w:rsidR="00E339CC" w:rsidRDefault="00B324E3">
      <w:pPr>
        <w:rPr>
          <w:sz w:val="20"/>
          <w:szCs w:val="20"/>
        </w:rPr>
      </w:pPr>
      <w:r>
        <w:rPr>
          <w:rStyle w:val="FootnoteReference"/>
        </w:rPr>
        <w:footnoteRef/>
      </w:r>
      <w:r>
        <w:rPr>
          <w:sz w:val="20"/>
          <w:szCs w:val="20"/>
        </w:rPr>
        <w:t xml:space="preserve"> The concerned persons have given their consent to put their names in this report. </w:t>
      </w:r>
    </w:p>
  </w:footnote>
  <w:footnote w:id="47">
    <w:p w14:paraId="000000D7" w14:textId="77777777" w:rsidR="00E339CC" w:rsidRDefault="00B324E3">
      <w:pPr>
        <w:rPr>
          <w:sz w:val="20"/>
          <w:szCs w:val="20"/>
        </w:rPr>
      </w:pPr>
      <w:r>
        <w:rPr>
          <w:rStyle w:val="FootnoteReference"/>
        </w:rPr>
        <w:footnoteRef/>
      </w:r>
      <w:r>
        <w:rPr>
          <w:sz w:val="20"/>
          <w:szCs w:val="20"/>
        </w:rPr>
        <w:t xml:space="preserve"> Public statement of KontraS regarding the case, available at </w:t>
      </w:r>
      <w:hyperlink r:id="rId40">
        <w:r>
          <w:rPr>
            <w:color w:val="1155CC"/>
            <w:sz w:val="20"/>
            <w:szCs w:val="20"/>
            <w:u w:val="single"/>
          </w:rPr>
          <w:t>https://kontras.org/en/2021/09/23/luhut-binsar-panjaitans-report-of-haris-azhar-and-fatia-maulidiyanti-is-a-serious-threat-to-democracy-and-the-work-of-human-rights-defenders/?utm_source=rss&amp;utm_medium=rss&amp;utm_campaign=luhut-binsar-panjaitans-report-of-har</w:t>
        </w:r>
      </w:hyperlink>
      <w:r>
        <w:rPr>
          <w:sz w:val="20"/>
          <w:szCs w:val="20"/>
        </w:rPr>
        <w:t xml:space="preserve"> </w:t>
      </w:r>
    </w:p>
  </w:footnote>
  <w:footnote w:id="48">
    <w:p w14:paraId="160B94E1" w14:textId="00540043" w:rsidR="0077300C" w:rsidRPr="0077300C" w:rsidRDefault="0077300C">
      <w:pPr>
        <w:pStyle w:val="FootnoteText"/>
        <w:rPr>
          <w:lang w:val="en-US"/>
        </w:rPr>
      </w:pPr>
      <w:r>
        <w:rPr>
          <w:rStyle w:val="FootnoteReference"/>
        </w:rPr>
        <w:footnoteRef/>
      </w:r>
      <w:r>
        <w:t xml:space="preserve"> </w:t>
      </w:r>
      <w:r w:rsidR="00DB5ED6">
        <w:rPr>
          <w:rFonts w:ascii="Calibri" w:eastAsia="Calibri" w:hAnsi="Calibri" w:cs="Calibri"/>
          <w:lang w:val="en-ID"/>
        </w:rPr>
        <w:t>The video is available here</w:t>
      </w:r>
      <w:r w:rsidRPr="0077300C">
        <w:rPr>
          <w:rFonts w:ascii="Calibri" w:eastAsia="Calibri" w:hAnsi="Calibri" w:cs="Calibri"/>
          <w:lang w:val="en-ID"/>
        </w:rPr>
        <w:t xml:space="preserve"> </w:t>
      </w:r>
      <w:hyperlink r:id="rId41" w:history="1">
        <w:r w:rsidRPr="0077300C">
          <w:rPr>
            <w:rFonts w:ascii="Calibri" w:eastAsia="Calibri" w:hAnsi="Calibri" w:cs="Calibri"/>
            <w:lang w:val="en-ID"/>
          </w:rPr>
          <w:t>https://www.youtube.com/watch?v=1xMlnuOtBAs</w:t>
        </w:r>
      </w:hyperlink>
      <w:r>
        <w:rPr>
          <w:rFonts w:ascii="Calibri" w:eastAsia="Calibri" w:hAnsi="Calibri" w:cs="Calibri"/>
          <w:lang w:val="en-ID"/>
        </w:rPr>
        <w:t xml:space="preserve"> </w:t>
      </w:r>
      <w:r>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642F5"/>
    <w:multiLevelType w:val="multilevel"/>
    <w:tmpl w:val="D4100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BF4729"/>
    <w:multiLevelType w:val="multilevel"/>
    <w:tmpl w:val="65C0F1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E23678A"/>
    <w:multiLevelType w:val="multilevel"/>
    <w:tmpl w:val="B1C45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DE5376C"/>
    <w:multiLevelType w:val="multilevel"/>
    <w:tmpl w:val="B57E1C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E921E2C"/>
    <w:multiLevelType w:val="multilevel"/>
    <w:tmpl w:val="58424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78035E1"/>
    <w:multiLevelType w:val="multilevel"/>
    <w:tmpl w:val="671C38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9CC"/>
    <w:rsid w:val="001A7753"/>
    <w:rsid w:val="003A211A"/>
    <w:rsid w:val="004C4ED7"/>
    <w:rsid w:val="0077300C"/>
    <w:rsid w:val="00B16657"/>
    <w:rsid w:val="00B324E3"/>
    <w:rsid w:val="00B5087F"/>
    <w:rsid w:val="00B569A3"/>
    <w:rsid w:val="00D77820"/>
    <w:rsid w:val="00DB5ED6"/>
    <w:rsid w:val="00DF337F"/>
    <w:rsid w:val="00E339C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E5074"/>
  <w15:docId w15:val="{A4B61A69-D9A4-974D-BEED-472FB23BD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ID"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2E6"/>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noteText">
    <w:name w:val="footnote text"/>
    <w:basedOn w:val="Normal"/>
    <w:link w:val="FootnoteTextChar"/>
    <w:uiPriority w:val="99"/>
    <w:semiHidden/>
    <w:unhideWhenUsed/>
    <w:rsid w:val="00BF51D0"/>
    <w:rPr>
      <w:rFonts w:ascii="Arial" w:eastAsia="Arial" w:hAnsi="Arial" w:cs="Arial"/>
      <w:sz w:val="20"/>
      <w:szCs w:val="20"/>
      <w:lang w:val="en"/>
    </w:rPr>
  </w:style>
  <w:style w:type="character" w:customStyle="1" w:styleId="FootnoteTextChar">
    <w:name w:val="Footnote Text Char"/>
    <w:basedOn w:val="DefaultParagraphFont"/>
    <w:link w:val="FootnoteText"/>
    <w:uiPriority w:val="99"/>
    <w:semiHidden/>
    <w:rsid w:val="00BF51D0"/>
    <w:rPr>
      <w:rFonts w:ascii="Arial" w:eastAsia="Arial" w:hAnsi="Arial" w:cs="Arial"/>
      <w:sz w:val="20"/>
      <w:szCs w:val="20"/>
      <w:lang w:val="en" w:eastAsia="en-GB"/>
    </w:rPr>
  </w:style>
  <w:style w:type="character" w:styleId="FootnoteReference">
    <w:name w:val="footnote reference"/>
    <w:basedOn w:val="DefaultParagraphFont"/>
    <w:uiPriority w:val="99"/>
    <w:semiHidden/>
    <w:unhideWhenUsed/>
    <w:qFormat/>
    <w:rsid w:val="00BF51D0"/>
    <w:rPr>
      <w:vertAlign w:val="superscript"/>
    </w:rPr>
  </w:style>
  <w:style w:type="paragraph" w:styleId="ListParagraph">
    <w:name w:val="List Paragraph"/>
    <w:basedOn w:val="Normal"/>
    <w:uiPriority w:val="34"/>
    <w:qFormat/>
    <w:rsid w:val="007F3E96"/>
    <w:pPr>
      <w:ind w:left="720"/>
      <w:contextualSpacing/>
    </w:pPr>
  </w:style>
  <w:style w:type="paragraph" w:styleId="Footer">
    <w:name w:val="footer"/>
    <w:basedOn w:val="Normal"/>
    <w:link w:val="FooterChar"/>
    <w:uiPriority w:val="99"/>
    <w:unhideWhenUsed/>
    <w:rsid w:val="007F3E96"/>
    <w:pPr>
      <w:tabs>
        <w:tab w:val="center" w:pos="4680"/>
        <w:tab w:val="right" w:pos="9360"/>
      </w:tabs>
    </w:pPr>
  </w:style>
  <w:style w:type="character" w:customStyle="1" w:styleId="FooterChar">
    <w:name w:val="Footer Char"/>
    <w:basedOn w:val="DefaultParagraphFont"/>
    <w:link w:val="Footer"/>
    <w:uiPriority w:val="99"/>
    <w:rsid w:val="007F3E96"/>
    <w:rPr>
      <w:rFonts w:ascii="Times New Roman" w:eastAsia="Times New Roman" w:hAnsi="Times New Roman" w:cs="Times New Roman"/>
    </w:rPr>
  </w:style>
  <w:style w:type="character" w:styleId="PageNumber">
    <w:name w:val="page number"/>
    <w:basedOn w:val="DefaultParagraphFont"/>
    <w:uiPriority w:val="99"/>
    <w:semiHidden/>
    <w:unhideWhenUsed/>
    <w:rsid w:val="007F3E96"/>
  </w:style>
  <w:style w:type="character" w:styleId="Hyperlink">
    <w:name w:val="Hyperlink"/>
    <w:basedOn w:val="DefaultParagraphFont"/>
    <w:uiPriority w:val="99"/>
    <w:unhideWhenUsed/>
    <w:rsid w:val="00DC1223"/>
    <w:rPr>
      <w:color w:val="0563C1" w:themeColor="hyperlink"/>
      <w:u w:val="single"/>
    </w:rPr>
  </w:style>
  <w:style w:type="character" w:customStyle="1" w:styleId="UnresolvedMention">
    <w:name w:val="Unresolved Mention"/>
    <w:basedOn w:val="DefaultParagraphFont"/>
    <w:uiPriority w:val="99"/>
    <w:semiHidden/>
    <w:unhideWhenUsed/>
    <w:rsid w:val="004C2C5B"/>
    <w:rPr>
      <w:color w:val="605E5C"/>
      <w:shd w:val="clear" w:color="auto" w:fill="E1DFDD"/>
    </w:rPr>
  </w:style>
  <w:style w:type="paragraph" w:customStyle="1" w:styleId="H1G">
    <w:name w:val="_ H_1_G"/>
    <w:basedOn w:val="Normal"/>
    <w:next w:val="Normal"/>
    <w:link w:val="H1GChar"/>
    <w:rsid w:val="00F407D2"/>
    <w:pPr>
      <w:keepNext/>
      <w:keepLines/>
      <w:tabs>
        <w:tab w:val="right" w:pos="851"/>
      </w:tabs>
      <w:suppressAutoHyphens/>
      <w:spacing w:before="360" w:after="240" w:line="270" w:lineRule="exact"/>
      <w:ind w:left="1134" w:right="1134" w:hanging="1134"/>
    </w:pPr>
    <w:rPr>
      <w:rFonts w:cs="Angsana New"/>
      <w:b/>
      <w:szCs w:val="20"/>
      <w:lang w:val="en-GB"/>
    </w:rPr>
  </w:style>
  <w:style w:type="character" w:customStyle="1" w:styleId="H1GChar">
    <w:name w:val="_ H_1_G Char"/>
    <w:link w:val="H1G"/>
    <w:locked/>
    <w:rsid w:val="00F407D2"/>
    <w:rPr>
      <w:rFonts w:ascii="Times New Roman" w:eastAsia="Times New Roman" w:hAnsi="Times New Roman" w:cs="Angsana New"/>
      <w:b/>
      <w:szCs w:val="20"/>
      <w:lang w:val="en-GB"/>
    </w:rPr>
  </w:style>
  <w:style w:type="character" w:styleId="CommentReference">
    <w:name w:val="annotation reference"/>
    <w:basedOn w:val="DefaultParagraphFont"/>
    <w:uiPriority w:val="99"/>
    <w:semiHidden/>
    <w:unhideWhenUsed/>
    <w:rsid w:val="0009149A"/>
    <w:rPr>
      <w:sz w:val="16"/>
      <w:szCs w:val="16"/>
    </w:rPr>
  </w:style>
  <w:style w:type="paragraph" w:styleId="CommentText">
    <w:name w:val="annotation text"/>
    <w:basedOn w:val="Normal"/>
    <w:link w:val="CommentTextChar"/>
    <w:uiPriority w:val="99"/>
    <w:semiHidden/>
    <w:unhideWhenUsed/>
    <w:rsid w:val="0009149A"/>
    <w:rPr>
      <w:sz w:val="20"/>
      <w:szCs w:val="20"/>
    </w:rPr>
  </w:style>
  <w:style w:type="character" w:customStyle="1" w:styleId="CommentTextChar">
    <w:name w:val="Comment Text Char"/>
    <w:basedOn w:val="DefaultParagraphFont"/>
    <w:link w:val="CommentText"/>
    <w:uiPriority w:val="99"/>
    <w:semiHidden/>
    <w:rsid w:val="0009149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9149A"/>
    <w:rPr>
      <w:b/>
      <w:bCs/>
    </w:rPr>
  </w:style>
  <w:style w:type="character" w:customStyle="1" w:styleId="CommentSubjectChar">
    <w:name w:val="Comment Subject Char"/>
    <w:basedOn w:val="CommentTextChar"/>
    <w:link w:val="CommentSubject"/>
    <w:uiPriority w:val="99"/>
    <w:semiHidden/>
    <w:rsid w:val="0009149A"/>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C51801"/>
    <w:pPr>
      <w:spacing w:before="100" w:beforeAutospacing="1" w:after="100" w:afterAutospacing="1"/>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news.mongabay.com/2020/10/indonesia-food-estate-program-papua-sumatra-expansion/" TargetMode="External"/><Relationship Id="rId13" Type="http://schemas.openxmlformats.org/officeDocument/2006/relationships/hyperlink" Target="https://mediaindonesia.com/humaniora/361434/klhk-permen-lhk-nomor-24-tahun-2020-jadi-pedoman-food-estate" TargetMode="External"/><Relationship Id="rId18" Type="http://schemas.openxmlformats.org/officeDocument/2006/relationships/hyperlink" Target="https://www.amnesty.org/en/documents/asa21/8198/2018/en/" TargetMode="External"/><Relationship Id="rId26" Type="http://schemas.openxmlformats.org/officeDocument/2006/relationships/hyperlink" Target="https://dinkes.papuabaratprov.go.id/artikel/situasi-terkini-perkembangan-covid19-di-papua-barat-tanggal-13-september-2021" TargetMode="External"/><Relationship Id="rId39" Type="http://schemas.openxmlformats.org/officeDocument/2006/relationships/hyperlink" Target="https://humanrightspapua.org/hrreport/2021/" TargetMode="External"/><Relationship Id="rId3" Type="http://schemas.openxmlformats.org/officeDocument/2006/relationships/hyperlink" Target="https://bangkok.ohchr.org/papua-statement/" TargetMode="External"/><Relationship Id="rId21" Type="http://schemas.openxmlformats.org/officeDocument/2006/relationships/hyperlink" Target="https://ombudsman.go.id/news/r/temui-pengungsi-nduga-ombudsman-ri-temukan-fakta-ini" TargetMode="External"/><Relationship Id="rId34" Type="http://schemas.openxmlformats.org/officeDocument/2006/relationships/hyperlink" Target="https://www.greenpeace.org/indonesia/cerita/44440/lumbung-pangan-ala-jokowi-bagai-buah-simalakama/" TargetMode="External"/><Relationship Id="rId7" Type="http://schemas.openxmlformats.org/officeDocument/2006/relationships/hyperlink" Target="https://www.refworld.org/pdfid/4cc1264a2.pdf" TargetMode="External"/><Relationship Id="rId12" Type="http://schemas.openxmlformats.org/officeDocument/2006/relationships/hyperlink" Target="https://mediaindonesia.com/humaniora/361434/klhk-permen-lhk-nomor-24-tahun-2020-jadi-pedoman-food-estate" TargetMode="External"/><Relationship Id="rId17" Type="http://schemas.openxmlformats.org/officeDocument/2006/relationships/hyperlink" Target="https://www.amnesty.org/en/documents/asa21/8198/2018/en/" TargetMode="External"/><Relationship Id="rId25" Type="http://schemas.openxmlformats.org/officeDocument/2006/relationships/hyperlink" Target="https://dinkes.papuabaratprov.go.id/artikel/situasi-terkini-perkembangan-covid19-di-papua-barat-tanggal-13-september-2021" TargetMode="External"/><Relationship Id="rId33" Type="http://schemas.openxmlformats.org/officeDocument/2006/relationships/hyperlink" Target="https://www.greenpeace.org/indonesia/cerita/44440/lumbung-pangan-ala-jokowi-bagai-buah-simalakama/" TargetMode="External"/><Relationship Id="rId38" Type="http://schemas.openxmlformats.org/officeDocument/2006/relationships/hyperlink" Target="https://monitor.civicus.org/updates/2021/09/21/human-rights-defenders-critics-targeted-indonesia-while-protests-papua-repressed/" TargetMode="External"/><Relationship Id="rId2" Type="http://schemas.openxmlformats.org/officeDocument/2006/relationships/hyperlink" Target="http://www.politik.lipi.go.id/downloadpap/newsletter-preview/Exsum%20Updating%20Papua%20Road%20Map%20-%20LIPI%202017.pdf" TargetMode="External"/><Relationship Id="rId16" Type="http://schemas.openxmlformats.org/officeDocument/2006/relationships/hyperlink" Target="https://www.forestpeoples.org/sites/default/files/documents/CERD_EarlyWarning_Indonesia_OmnibusLaw.pdf" TargetMode="External"/><Relationship Id="rId20" Type="http://schemas.openxmlformats.org/officeDocument/2006/relationships/hyperlink" Target="https://www.humanrightspapua.org/images/docs/HumanitarianCrisisWestPapua_IDPCovid_July2020.pdf" TargetMode="External"/><Relationship Id="rId29" Type="http://schemas.openxmlformats.org/officeDocument/2006/relationships/hyperlink" Target="https://projectmultatuli.org/covid19-papua-vaksinasi-rendah-orang-papu-tak-percaya-pemerintah-indonesia/" TargetMode="External"/><Relationship Id="rId41" Type="http://schemas.openxmlformats.org/officeDocument/2006/relationships/hyperlink" Target="https://www.youtube.com/watch?v=1xMlnuOtBAs" TargetMode="External"/><Relationship Id="rId1" Type="http://schemas.openxmlformats.org/officeDocument/2006/relationships/hyperlink" Target="https://cupdf.com/document/papua-road-map.html" TargetMode="External"/><Relationship Id="rId6" Type="http://schemas.openxmlformats.org/officeDocument/2006/relationships/hyperlink" Target="https://www.dpr.go.id/berita/detail/id/34421/t/Legislator+Dorong+RUU+MHA+Mengakomodasi+Kepentingan+Masyarakat+Adat" TargetMode="External"/><Relationship Id="rId11" Type="http://schemas.openxmlformats.org/officeDocument/2006/relationships/hyperlink" Target="https://www.antaranews.com/berita/1742069/presiden-ungkap-rencana-perluasan-food-estate-ke-papua-ntt-sumsel" TargetMode="External"/><Relationship Id="rId24" Type="http://schemas.openxmlformats.org/officeDocument/2006/relationships/hyperlink" Target="https://www.voaindonesia.com/a/tim-kemanusiaan-nduga-pengungsi-tolak-bantuan-pemerintah/5043012.html" TargetMode="External"/><Relationship Id="rId32" Type="http://schemas.openxmlformats.org/officeDocument/2006/relationships/hyperlink" Target="https://www.who.int/news/item/13-05-2020-unodc-who-unaids-and-ohchr-joint-statement-on-covid-19-in-prisons-and-other-closed-settings" TargetMode="External"/><Relationship Id="rId37" Type="http://schemas.openxmlformats.org/officeDocument/2006/relationships/hyperlink" Target="https://www.hrw.org/news/2018/06/19/indonesia-shuts-out-un-rights-chief-papua" TargetMode="External"/><Relationship Id="rId40" Type="http://schemas.openxmlformats.org/officeDocument/2006/relationships/hyperlink" Target="https://kontras.org/en/2021/09/23/luhut-binsar-panjaitans-report-of-haris-azhar-and-fatia-maulidiyanti-is-a-serious-threat-to-democracy-and-the-work-of-human-rights-defenders/?utm_source=rss&amp;utm_medium=rss&amp;utm_campaign=luhut-binsar-panjaitans-report-of-har" TargetMode="External"/><Relationship Id="rId5" Type="http://schemas.openxmlformats.org/officeDocument/2006/relationships/hyperlink" Target="https://www.iwgia.org/en/resources/indigenous-world.html" TargetMode="External"/><Relationship Id="rId15" Type="http://schemas.openxmlformats.org/officeDocument/2006/relationships/hyperlink" Target="https://www.lbhpapua.or.id/2021/04/09/54-tahun-freeport-di-bumi-papua-tidak-taat-hukum-dan-terus-melanggar-hak-mogok-kerja-buruh/" TargetMode="External"/><Relationship Id="rId23" Type="http://schemas.openxmlformats.org/officeDocument/2006/relationships/hyperlink" Target="https://www.komnasham.go.id/files/20210830-laporan-tahunan-komnas-ham-ri--$R1X5O.pdf" TargetMode="External"/><Relationship Id="rId28" Type="http://schemas.openxmlformats.org/officeDocument/2006/relationships/hyperlink" Target="https://beritaaktual.co/metro/8086/kerahkan-material-tempur-korps-marinir-serbu-kampung-klafdalim-moisegen-sorong/" TargetMode="External"/><Relationship Id="rId36" Type="http://schemas.openxmlformats.org/officeDocument/2006/relationships/hyperlink" Target="https://drive.google.com/file/d/1BFo_ujcB8TrfHssUJ4qkNS4tu1PHO-BF/view" TargetMode="External"/><Relationship Id="rId10" Type="http://schemas.openxmlformats.org/officeDocument/2006/relationships/hyperlink" Target="https://www.antaranews.com/berita/1742069/presiden-ungkap-rencana-perluasan-food-estate-ke-papua-ntt-sumsel" TargetMode="External"/><Relationship Id="rId19" Type="http://schemas.openxmlformats.org/officeDocument/2006/relationships/hyperlink" Target="https://www.humanrightspapua.org/images/docs/HumanitarianCrisisWestPapua_IDPCovid_July2020.pdf" TargetMode="External"/><Relationship Id="rId31" Type="http://schemas.openxmlformats.org/officeDocument/2006/relationships/hyperlink" Target="https://www.tapol.org/news/urgent-appeals-filed-un-63-political-prisoners-indonesia-amid-covid-19-pandemic" TargetMode="External"/><Relationship Id="rId4" Type="http://schemas.openxmlformats.org/officeDocument/2006/relationships/hyperlink" Target="https://www.ilo.org/dyn/natlex/natlex4.detail?p_lang=&amp;p_isn=84431" TargetMode="External"/><Relationship Id="rId9" Type="http://schemas.openxmlformats.org/officeDocument/2006/relationships/hyperlink" Target="https://www.pertanian.go.id/home/?show=news&amp;act=view&amp;id=4721" TargetMode="External"/><Relationship Id="rId14" Type="http://schemas.openxmlformats.org/officeDocument/2006/relationships/hyperlink" Target="https://www.tapol.org/sites/default/files/sites/default/files/pdfs/PT_Freeport_Indo_tail_of_violations_in_Papua_Dec20.pdf" TargetMode="External"/><Relationship Id="rId22" Type="http://schemas.openxmlformats.org/officeDocument/2006/relationships/hyperlink" Target="https://www.komnasham.go.id/files/20201209-laporan-tahunan-komnas-ham-2019-$V1GFW5HE.pdf" TargetMode="External"/><Relationship Id="rId27" Type="http://schemas.openxmlformats.org/officeDocument/2006/relationships/hyperlink" Target="https://projectmultatuli.org/covid19-papua-vaksinasi-rendah-orang-papu-tak-percaya-pemerintah-indonesia/" TargetMode="External"/><Relationship Id="rId30" Type="http://schemas.openxmlformats.org/officeDocument/2006/relationships/hyperlink" Target="https://www.pikiran-rakyat.com/nasional/pr-011417767/hindari-penyebaran-covid-19-di-penjara-sudah-62000-tahanan-bebas-karena-program-asimilasi" TargetMode="External"/><Relationship Id="rId35" Type="http://schemas.openxmlformats.org/officeDocument/2006/relationships/hyperlink" Target="https://drive.google.com/file/d/1BFo_ujcB8TrfHssUJ4qkNS4tu1PHO-BF/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DRHc5QMfXQyxssP090eLFCRqvg==">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E51E6F2A-4594-402A-BE33-FAB77E693DCA}">
  <ds:schemaRefs>
    <ds:schemaRef ds:uri="http://schemas.openxmlformats.org/officeDocument/2006/bibliography"/>
  </ds:schemaRefs>
</ds:datastoreItem>
</file>

<file path=customXml/itemProps3.xml><?xml version="1.0" encoding="utf-8"?>
<ds:datastoreItem xmlns:ds="http://schemas.openxmlformats.org/officeDocument/2006/customXml" ds:itemID="{C9BA86A7-67FA-4F58-95E9-38467C5BDB68}"/>
</file>

<file path=customXml/itemProps4.xml><?xml version="1.0" encoding="utf-8"?>
<ds:datastoreItem xmlns:ds="http://schemas.openxmlformats.org/officeDocument/2006/customXml" ds:itemID="{C8BC9D7F-4661-4730-8E22-003C625EDF77}"/>
</file>

<file path=customXml/itemProps5.xml><?xml version="1.0" encoding="utf-8"?>
<ds:datastoreItem xmlns:ds="http://schemas.openxmlformats.org/officeDocument/2006/customXml" ds:itemID="{F2B26272-2297-41D5-B118-226262186FB3}"/>
</file>

<file path=docProps/app.xml><?xml version="1.0" encoding="utf-8"?>
<Properties xmlns="http://schemas.openxmlformats.org/officeDocument/2006/extended-properties" xmlns:vt="http://schemas.openxmlformats.org/officeDocument/2006/docPropsVTypes">
  <Template>Normal.dotm</Template>
  <TotalTime>0</TotalTime>
  <Pages>14</Pages>
  <Words>4889</Words>
  <Characters>27873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Papang Hidayat</dc:creator>
  <cp:lastModifiedBy>REYNAUD Céline</cp:lastModifiedBy>
  <cp:revision>2</cp:revision>
  <dcterms:created xsi:type="dcterms:W3CDTF">2022-01-20T10:45:00Z</dcterms:created>
  <dcterms:modified xsi:type="dcterms:W3CDTF">2022-01-20T10:45:00Z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