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B3B" w:rsidRPr="00564A51" w:rsidRDefault="006B1102" w:rsidP="008A6361">
      <w:pPr>
        <w:jc w:val="center"/>
        <w:rPr>
          <w:b/>
          <w:bCs/>
          <w:rtl/>
        </w:rPr>
      </w:pPr>
      <w:bookmarkStart w:id="0" w:name="_GoBack"/>
      <w:bookmarkEnd w:id="0"/>
      <w:r w:rsidRPr="00564A51">
        <w:rPr>
          <w:rFonts w:hint="cs"/>
          <w:b/>
          <w:bCs/>
          <w:rtl/>
        </w:rPr>
        <w:t xml:space="preserve">ملحق عدد 1: بيانات إحصائية </w:t>
      </w:r>
      <w:r w:rsidRPr="00564A51">
        <w:rPr>
          <w:b/>
          <w:bCs/>
          <w:rtl/>
        </w:rPr>
        <w:t xml:space="preserve">بشأن شكاوى التعذيب أو إساءة المعاملة التي تلقتها </w:t>
      </w:r>
      <w:r w:rsidRPr="00564A51">
        <w:rPr>
          <w:rFonts w:hint="cs"/>
          <w:b/>
          <w:bCs/>
          <w:rtl/>
        </w:rPr>
        <w:t>الهيئة</w:t>
      </w:r>
      <w:r w:rsidRPr="00564A51">
        <w:rPr>
          <w:b/>
          <w:bCs/>
          <w:rtl/>
        </w:rPr>
        <w:t xml:space="preserve"> العليا لحقوق الإنسان والحريات الأساسية</w:t>
      </w:r>
      <w:r w:rsidR="008A6361">
        <w:rPr>
          <w:rFonts w:hint="cs"/>
          <w:b/>
          <w:bCs/>
          <w:rtl/>
        </w:rPr>
        <w:t xml:space="preserve"> من 2016 إلى 2022</w:t>
      </w:r>
    </w:p>
    <w:p w:rsidR="006B1102" w:rsidRDefault="006B1102">
      <w:pPr>
        <w:rPr>
          <w:rtl/>
        </w:rPr>
      </w:pP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1696"/>
        <w:gridCol w:w="998"/>
        <w:gridCol w:w="987"/>
        <w:gridCol w:w="992"/>
        <w:gridCol w:w="993"/>
        <w:gridCol w:w="992"/>
        <w:gridCol w:w="992"/>
        <w:gridCol w:w="992"/>
      </w:tblGrid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998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2016</w:t>
            </w:r>
          </w:p>
        </w:tc>
        <w:tc>
          <w:tcPr>
            <w:tcW w:w="987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2017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2018</w:t>
            </w:r>
          </w:p>
        </w:tc>
        <w:tc>
          <w:tcPr>
            <w:tcW w:w="993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2019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2020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2021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2022</w:t>
            </w: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تصنيف العرائض والشكايات حسب نوع الإنتهاك</w:t>
            </w:r>
          </w:p>
        </w:tc>
        <w:tc>
          <w:tcPr>
            <w:tcW w:w="998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01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06</w:t>
            </w:r>
          </w:p>
        </w:tc>
        <w:tc>
          <w:tcPr>
            <w:tcW w:w="987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03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05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07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16</w:t>
            </w:r>
          </w:p>
        </w:tc>
        <w:tc>
          <w:tcPr>
            <w:tcW w:w="993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02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04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02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02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04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01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سوء معاملة: 01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عنف جسدي: 02</w:t>
            </w: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جنس الشاكي</w:t>
            </w:r>
          </w:p>
        </w:tc>
        <w:tc>
          <w:tcPr>
            <w:tcW w:w="998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06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01</w:t>
            </w:r>
          </w:p>
        </w:tc>
        <w:tc>
          <w:tcPr>
            <w:tcW w:w="987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06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02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20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03</w:t>
            </w:r>
          </w:p>
        </w:tc>
        <w:tc>
          <w:tcPr>
            <w:tcW w:w="993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06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00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04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00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ذكر: 05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أنثى: 00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الفئة العمرية</w:t>
            </w:r>
          </w:p>
        </w:tc>
        <w:tc>
          <w:tcPr>
            <w:tcW w:w="998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25-35 سنة</w:t>
            </w:r>
          </w:p>
        </w:tc>
        <w:tc>
          <w:tcPr>
            <w:tcW w:w="987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20-40 سنة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20-62 سنة</w:t>
            </w:r>
          </w:p>
        </w:tc>
        <w:tc>
          <w:tcPr>
            <w:tcW w:w="993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19-33 سنة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29-64 سنة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30-38 سنة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القائمين بفعل التعذيب أو سوء المعاملة</w:t>
            </w:r>
          </w:p>
        </w:tc>
        <w:tc>
          <w:tcPr>
            <w:tcW w:w="998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01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06</w:t>
            </w:r>
          </w:p>
        </w:tc>
        <w:tc>
          <w:tcPr>
            <w:tcW w:w="987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03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05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08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15</w:t>
            </w:r>
          </w:p>
        </w:tc>
        <w:tc>
          <w:tcPr>
            <w:tcW w:w="993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04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02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00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04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شرطة: 02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 03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 xml:space="preserve">شرطة: </w:t>
            </w:r>
          </w:p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أعوان سجون:</w:t>
            </w: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المآل</w:t>
            </w:r>
          </w:p>
        </w:tc>
        <w:tc>
          <w:tcPr>
            <w:tcW w:w="998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لم يقع الرد من الجهات المعنية</w:t>
            </w:r>
          </w:p>
        </w:tc>
        <w:tc>
          <w:tcPr>
            <w:tcW w:w="987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تلقي عدد 02 إجابة من وزارة الداخلية و عدد 01 إجابة من وزارة العدل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 xml:space="preserve">تلقي عدد 10 إجابات </w:t>
            </w:r>
            <w:r w:rsidR="00564A51">
              <w:rPr>
                <w:rFonts w:asciiTheme="minorBidi" w:hAnsiTheme="minorBidi" w:hint="cs"/>
                <w:sz w:val="20"/>
                <w:szCs w:val="20"/>
                <w:rtl/>
              </w:rPr>
              <w:t>من</w:t>
            </w: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 xml:space="preserve"> وزارة العدل ووزارة الداخلية</w:t>
            </w:r>
          </w:p>
        </w:tc>
        <w:tc>
          <w:tcPr>
            <w:tcW w:w="993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تلقي عدد 01 إجابة من وزارة الداخلية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لم يقع الرد من الجهات المعنية</w:t>
            </w:r>
          </w:p>
        </w:tc>
        <w:tc>
          <w:tcPr>
            <w:tcW w:w="992" w:type="dxa"/>
          </w:tcPr>
          <w:p w:rsidR="006B1102" w:rsidRPr="00564A51" w:rsidRDefault="006B1102" w:rsidP="00564A51">
            <w:pPr>
              <w:spacing w:after="160" w:line="259" w:lineRule="auto"/>
              <w:jc w:val="right"/>
              <w:rPr>
                <w:rFonts w:asciiTheme="minorBidi" w:hAnsiTheme="minorBidi"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sz w:val="20"/>
                <w:szCs w:val="20"/>
                <w:rtl/>
              </w:rPr>
              <w:t>تلقي عدد 02 إجابة من وزارة الداخلية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</w:p>
        </w:tc>
      </w:tr>
      <w:tr w:rsidR="006B1102" w:rsidRPr="006B1102" w:rsidTr="0065161A">
        <w:tc>
          <w:tcPr>
            <w:tcW w:w="1696" w:type="dxa"/>
          </w:tcPr>
          <w:p w:rsidR="006B1102" w:rsidRPr="006B1102" w:rsidRDefault="006B1102" w:rsidP="006B1102">
            <w:pPr>
              <w:spacing w:after="160" w:line="259" w:lineRule="auto"/>
              <w:jc w:val="center"/>
              <w:rPr>
                <w:b/>
                <w:bCs/>
                <w:rtl/>
              </w:rPr>
            </w:pPr>
            <w:r w:rsidRPr="006B1102">
              <w:rPr>
                <w:rFonts w:hint="cs"/>
                <w:b/>
                <w:bCs/>
                <w:rtl/>
              </w:rPr>
              <w:t>المجموع</w:t>
            </w:r>
          </w:p>
        </w:tc>
        <w:tc>
          <w:tcPr>
            <w:tcW w:w="998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07</w:t>
            </w:r>
          </w:p>
        </w:tc>
        <w:tc>
          <w:tcPr>
            <w:tcW w:w="987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08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23</w:t>
            </w:r>
          </w:p>
        </w:tc>
        <w:tc>
          <w:tcPr>
            <w:tcW w:w="993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06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04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05</w:t>
            </w:r>
          </w:p>
        </w:tc>
        <w:tc>
          <w:tcPr>
            <w:tcW w:w="992" w:type="dxa"/>
          </w:tcPr>
          <w:p w:rsidR="006B1102" w:rsidRPr="00564A51" w:rsidRDefault="006B1102" w:rsidP="006B1102">
            <w:pPr>
              <w:spacing w:after="160" w:line="259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564A51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03</w:t>
            </w:r>
          </w:p>
        </w:tc>
      </w:tr>
    </w:tbl>
    <w:p w:rsidR="006B1102" w:rsidRDefault="006B1102" w:rsidP="006B1102">
      <w:pPr>
        <w:jc w:val="center"/>
        <w:rPr>
          <w:rtl/>
        </w:rPr>
      </w:pPr>
    </w:p>
    <w:p w:rsidR="00564A51" w:rsidRDefault="006B1102" w:rsidP="00564A51">
      <w:pPr>
        <w:bidi/>
        <w:jc w:val="center"/>
        <w:rPr>
          <w:rtl/>
        </w:rPr>
      </w:pPr>
      <w:r>
        <w:rPr>
          <w:rFonts w:hint="cs"/>
          <w:b/>
          <w:bCs/>
          <w:rtl/>
          <w:lang w:bidi="ar-TN"/>
        </w:rPr>
        <w:t xml:space="preserve">ملحق عدد 2: </w:t>
      </w:r>
      <w:r w:rsidRPr="006B1102">
        <w:rPr>
          <w:rFonts w:hint="cs"/>
          <w:b/>
          <w:bCs/>
          <w:rtl/>
          <w:lang w:bidi="ar-TN"/>
        </w:rPr>
        <w:t>تطور عدد المكالمات الواردة على الخط الأخضر 1899</w:t>
      </w:r>
      <w:r w:rsidR="008A6361">
        <w:rPr>
          <w:rFonts w:hint="cs"/>
          <w:b/>
          <w:bCs/>
          <w:rtl/>
          <w:lang w:bidi="ar-TN"/>
        </w:rPr>
        <w:t xml:space="preserve"> من 2018 إلى 2022</w:t>
      </w:r>
    </w:p>
    <w:p w:rsidR="00564A51" w:rsidRDefault="00564A51" w:rsidP="006B1102">
      <w:pPr>
        <w:jc w:val="center"/>
        <w:rPr>
          <w:rtl/>
        </w:rPr>
      </w:pPr>
    </w:p>
    <w:p w:rsidR="00564A51" w:rsidRDefault="006B1102" w:rsidP="006B1102">
      <w:pPr>
        <w:jc w:val="center"/>
      </w:pPr>
      <w:r>
        <w:rPr>
          <w:noProof/>
          <w:lang w:eastAsia="fr-FR"/>
        </w:rPr>
        <w:drawing>
          <wp:inline distT="0" distB="0" distL="0" distR="0" wp14:anchorId="631AFD93" wp14:editId="1D7ECC7E">
            <wp:extent cx="2910178" cy="2154804"/>
            <wp:effectExtent l="0" t="0" r="0" b="0"/>
            <wp:docPr id="1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64A51" w:rsidRDefault="00564A51" w:rsidP="00564A51">
      <w:pPr>
        <w:rPr>
          <w:rtl/>
        </w:rPr>
      </w:pPr>
    </w:p>
    <w:p w:rsidR="00564A51" w:rsidRDefault="00564A51" w:rsidP="00564A51">
      <w:pPr>
        <w:rPr>
          <w:rtl/>
        </w:rPr>
      </w:pPr>
    </w:p>
    <w:p w:rsidR="00564A51" w:rsidRPr="00564A51" w:rsidRDefault="00564A51" w:rsidP="00564A51"/>
    <w:p w:rsidR="00564A51" w:rsidRPr="00564A51" w:rsidRDefault="00564A51" w:rsidP="00564A51">
      <w:pPr>
        <w:jc w:val="center"/>
        <w:rPr>
          <w:b/>
          <w:bCs/>
        </w:rPr>
      </w:pPr>
      <w:r w:rsidRPr="00564A51">
        <w:rPr>
          <w:rFonts w:hint="cs"/>
          <w:b/>
          <w:bCs/>
          <w:rtl/>
        </w:rPr>
        <w:lastRenderedPageBreak/>
        <w:t xml:space="preserve">ملحق عدد 3: </w:t>
      </w:r>
      <w:r w:rsidRPr="00564A51">
        <w:rPr>
          <w:rFonts w:hint="cs"/>
          <w:b/>
          <w:bCs/>
          <w:rtl/>
          <w:lang w:bidi="ar-TN"/>
        </w:rPr>
        <w:t>تطور عدد الإشعارات الواردة على الخط الأخضر حسب الفئة العمرية للمتصلات</w:t>
      </w:r>
      <w:r w:rsidR="008A6361">
        <w:rPr>
          <w:rFonts w:hint="cs"/>
          <w:b/>
          <w:bCs/>
          <w:rtl/>
          <w:lang w:bidi="ar-TN"/>
        </w:rPr>
        <w:t xml:space="preserve"> (2021-2022)</w:t>
      </w:r>
    </w:p>
    <w:p w:rsidR="006B1102" w:rsidRDefault="006B1102" w:rsidP="00564A51">
      <w:pPr>
        <w:jc w:val="center"/>
        <w:rPr>
          <w:rtl/>
        </w:rPr>
      </w:pPr>
    </w:p>
    <w:p w:rsidR="00564A51" w:rsidRDefault="00564A51" w:rsidP="00564A51">
      <w:pPr>
        <w:jc w:val="center"/>
      </w:pPr>
      <w:r>
        <w:rPr>
          <w:rFonts w:ascii="Sakkal Majalla" w:eastAsia="Sakkal Majalla" w:hAnsi="Sakkal Majalla" w:cs="Sakkal Majalla"/>
          <w:noProof/>
          <w:color w:val="2E74B5" w:themeColor="accent1" w:themeShade="BF"/>
          <w:sz w:val="32"/>
          <w:szCs w:val="32"/>
          <w:lang w:eastAsia="fr-FR"/>
        </w:rPr>
        <w:drawing>
          <wp:inline distT="0" distB="0" distL="0" distR="0" wp14:anchorId="7414FE50" wp14:editId="646D36D3">
            <wp:extent cx="3676650" cy="1709420"/>
            <wp:effectExtent l="0" t="0" r="0" b="5080"/>
            <wp:docPr id="127" name="Graphique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64A51" w:rsidRDefault="00564A51" w:rsidP="00564A51">
      <w:pPr>
        <w:rPr>
          <w:rtl/>
        </w:rPr>
      </w:pPr>
    </w:p>
    <w:p w:rsidR="00564A51" w:rsidRDefault="00564A51" w:rsidP="00564A51"/>
    <w:p w:rsidR="00564A51" w:rsidRPr="00564A51" w:rsidRDefault="00564A51" w:rsidP="00564A51">
      <w:pPr>
        <w:jc w:val="center"/>
        <w:rPr>
          <w:b/>
          <w:bCs/>
        </w:rPr>
      </w:pPr>
      <w:r w:rsidRPr="00564A51">
        <w:rPr>
          <w:rFonts w:hint="cs"/>
          <w:b/>
          <w:bCs/>
          <w:rtl/>
        </w:rPr>
        <w:t xml:space="preserve">ملحق عدد 4: </w:t>
      </w:r>
      <w:r w:rsidRPr="00564A51">
        <w:rPr>
          <w:b/>
          <w:bCs/>
          <w:rtl/>
          <w:lang w:bidi="ar-TN"/>
        </w:rPr>
        <w:t>تطور عدد الإشعارات الواردة على المندوبيات الجهوية لشؤون المرأة والأسرة</w:t>
      </w:r>
      <w:r w:rsidR="008A6361">
        <w:rPr>
          <w:rFonts w:hint="cs"/>
          <w:b/>
          <w:bCs/>
          <w:rtl/>
          <w:lang w:bidi="ar-TN"/>
        </w:rPr>
        <w:t xml:space="preserve"> من 2018 إلى 2022</w:t>
      </w:r>
    </w:p>
    <w:p w:rsidR="00564A51" w:rsidRDefault="00564A51" w:rsidP="00564A51">
      <w:pPr>
        <w:jc w:val="center"/>
      </w:pPr>
      <w:r>
        <w:rPr>
          <w:rFonts w:ascii="Sakkal Majalla" w:eastAsia="Sakkal Majalla" w:hAnsi="Sakkal Majalla" w:cs="Sakkal Majalla"/>
          <w:noProof/>
          <w:sz w:val="32"/>
          <w:szCs w:val="32"/>
          <w:lang w:eastAsia="fr-FR"/>
        </w:rPr>
        <w:drawing>
          <wp:inline distT="0" distB="0" distL="0" distR="0" wp14:anchorId="003FD8BD" wp14:editId="2C6A858E">
            <wp:extent cx="3895725" cy="2230755"/>
            <wp:effectExtent l="0" t="0" r="0" b="0"/>
            <wp:docPr id="268" name="Graphique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64A51" w:rsidRDefault="00564A51" w:rsidP="00564A51">
      <w:pPr>
        <w:jc w:val="center"/>
        <w:rPr>
          <w:rtl/>
        </w:rPr>
      </w:pPr>
    </w:p>
    <w:p w:rsidR="00564A51" w:rsidRDefault="00564A51" w:rsidP="00564A51">
      <w:pPr>
        <w:jc w:val="center"/>
        <w:rPr>
          <w:rtl/>
        </w:rPr>
      </w:pPr>
    </w:p>
    <w:p w:rsidR="00564A51" w:rsidRDefault="00564A51" w:rsidP="006F29F4">
      <w:pPr>
        <w:jc w:val="center"/>
        <w:rPr>
          <w:rtl/>
        </w:rPr>
      </w:pPr>
      <w:r w:rsidRPr="006F29F4">
        <w:rPr>
          <w:rFonts w:hint="cs"/>
          <w:b/>
          <w:bCs/>
          <w:rtl/>
        </w:rPr>
        <w:t>ملحق عدد 5:</w:t>
      </w:r>
      <w:r>
        <w:rPr>
          <w:rFonts w:hint="cs"/>
          <w:rtl/>
        </w:rPr>
        <w:t xml:space="preserve"> </w:t>
      </w:r>
      <w:r w:rsidR="006F29F4" w:rsidRPr="006F29F4">
        <w:rPr>
          <w:rFonts w:hint="cs"/>
          <w:b/>
          <w:bCs/>
          <w:rtl/>
          <w:lang w:bidi="ar-TN"/>
        </w:rPr>
        <w:t>التوزيع النسبي  للنساء ضحايا العنف حسب الفئة العمرية والمتصلات بالمندوبيات الجهوية لشؤون المرأة والأسرة لسنة 2022</w:t>
      </w:r>
    </w:p>
    <w:p w:rsidR="00564A51" w:rsidRDefault="00564A51" w:rsidP="00564A51">
      <w:pPr>
        <w:jc w:val="center"/>
        <w:rPr>
          <w:rtl/>
        </w:rPr>
      </w:pPr>
    </w:p>
    <w:p w:rsidR="00564A51" w:rsidRDefault="00564A51" w:rsidP="00564A51">
      <w:pPr>
        <w:jc w:val="center"/>
        <w:rPr>
          <w:rtl/>
        </w:rPr>
      </w:pPr>
      <w:r w:rsidRPr="006D68DF">
        <w:rPr>
          <w:rFonts w:ascii="Sakkal Majalla" w:eastAsia="Sakkal Majalla" w:hAnsi="Sakkal Majalla" w:cs="Sakkal Majalla"/>
          <w:noProof/>
          <w:color w:val="2E74B5" w:themeColor="accent1" w:themeShade="BF"/>
          <w:sz w:val="32"/>
          <w:szCs w:val="32"/>
          <w:rtl/>
          <w:lang w:eastAsia="fr-FR"/>
        </w:rPr>
        <w:drawing>
          <wp:inline distT="0" distB="0" distL="0" distR="0" wp14:anchorId="2A95C404" wp14:editId="4E8DA844">
            <wp:extent cx="2767054" cy="1987826"/>
            <wp:effectExtent l="0" t="0" r="0" b="0"/>
            <wp:docPr id="116" name="Graphique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F29F4" w:rsidRPr="006F29F4" w:rsidRDefault="006F29F4" w:rsidP="006F29F4">
      <w:pPr>
        <w:jc w:val="center"/>
        <w:rPr>
          <w:b/>
          <w:bCs/>
          <w:rtl/>
          <w:lang w:bidi="ar-TN"/>
        </w:rPr>
      </w:pPr>
      <w:r w:rsidRPr="006F29F4">
        <w:rPr>
          <w:rFonts w:hint="cs"/>
          <w:b/>
          <w:bCs/>
          <w:rtl/>
        </w:rPr>
        <w:lastRenderedPageBreak/>
        <w:t xml:space="preserve">ملحق عدد 6: </w:t>
      </w:r>
      <w:r w:rsidRPr="006F29F4">
        <w:rPr>
          <w:rFonts w:hint="cs"/>
          <w:b/>
          <w:bCs/>
          <w:rtl/>
          <w:lang w:bidi="ar-TN"/>
        </w:rPr>
        <w:t>التوزيع النسبي  للمقيمات بمراكز الإيواء حسب الفئة العمرية</w:t>
      </w:r>
    </w:p>
    <w:p w:rsidR="006F29F4" w:rsidRDefault="006F29F4" w:rsidP="00564A51">
      <w:pPr>
        <w:jc w:val="center"/>
        <w:rPr>
          <w:rtl/>
        </w:rPr>
      </w:pPr>
      <w:r w:rsidRPr="00D92860">
        <w:rPr>
          <w:rFonts w:ascii="Sakkal Majalla" w:eastAsia="Century Gothic" w:hAnsi="Sakkal Majalla" w:cs="Sakkal Majalla"/>
          <w:noProof/>
          <w:sz w:val="32"/>
          <w:szCs w:val="32"/>
          <w:rtl/>
          <w:lang w:eastAsia="fr-FR"/>
        </w:rPr>
        <w:drawing>
          <wp:inline distT="0" distB="0" distL="0" distR="0" wp14:anchorId="56F3F69F" wp14:editId="68490F45">
            <wp:extent cx="2076450" cy="2066925"/>
            <wp:effectExtent l="0" t="0" r="0" b="0"/>
            <wp:docPr id="117" name="Graphique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F29F4" w:rsidRDefault="006F29F4" w:rsidP="006F29F4">
      <w:pPr>
        <w:rPr>
          <w:rtl/>
        </w:rPr>
      </w:pPr>
    </w:p>
    <w:p w:rsidR="006F29F4" w:rsidRPr="006F29F4" w:rsidRDefault="006F29F4" w:rsidP="006F29F4">
      <w:pPr>
        <w:jc w:val="center"/>
        <w:rPr>
          <w:b/>
          <w:bCs/>
          <w:rtl/>
          <w:lang w:bidi="ar-TN"/>
        </w:rPr>
      </w:pPr>
      <w:r w:rsidRPr="006F29F4">
        <w:rPr>
          <w:rFonts w:hint="cs"/>
          <w:b/>
          <w:bCs/>
          <w:rtl/>
        </w:rPr>
        <w:t xml:space="preserve">ملحق عدد 7: </w:t>
      </w:r>
      <w:r w:rsidRPr="006F29F4">
        <w:rPr>
          <w:rFonts w:hint="cs"/>
          <w:b/>
          <w:bCs/>
          <w:rtl/>
          <w:lang w:bidi="ar-TN"/>
        </w:rPr>
        <w:t>التوزيع النسبي لأطفال المقيمات بمراكز الإيواء حسب الفئة العمرية</w:t>
      </w:r>
    </w:p>
    <w:p w:rsidR="006F29F4" w:rsidRPr="00564A51" w:rsidRDefault="006F29F4" w:rsidP="00564A51">
      <w:pPr>
        <w:jc w:val="center"/>
        <w:rPr>
          <w:lang w:bidi="ar-TN"/>
        </w:rPr>
      </w:pPr>
      <w:r w:rsidRPr="00265414">
        <w:rPr>
          <w:rFonts w:ascii="Sakkal Majalla" w:eastAsia="Century Gothic" w:hAnsi="Sakkal Majalla" w:cs="Sakkal Majalla"/>
          <w:noProof/>
          <w:sz w:val="32"/>
          <w:szCs w:val="32"/>
          <w:rtl/>
          <w:lang w:eastAsia="fr-FR"/>
        </w:rPr>
        <w:drawing>
          <wp:inline distT="0" distB="0" distL="0" distR="0" wp14:anchorId="5D8F5879" wp14:editId="5F4204CE">
            <wp:extent cx="2314575" cy="2027555"/>
            <wp:effectExtent l="0" t="0" r="0" b="0"/>
            <wp:docPr id="124" name="Graphique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6F29F4" w:rsidRPr="00564A5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68D" w:rsidRDefault="000A268D" w:rsidP="006F29F4">
      <w:pPr>
        <w:spacing w:after="0" w:line="240" w:lineRule="auto"/>
      </w:pPr>
      <w:r>
        <w:separator/>
      </w:r>
    </w:p>
  </w:endnote>
  <w:endnote w:type="continuationSeparator" w:id="0">
    <w:p w:rsidR="000A268D" w:rsidRDefault="000A268D" w:rsidP="006F2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9733273"/>
      <w:docPartObj>
        <w:docPartGallery w:val="Page Numbers (Bottom of Page)"/>
        <w:docPartUnique/>
      </w:docPartObj>
    </w:sdtPr>
    <w:sdtEndPr/>
    <w:sdtContent>
      <w:p w:rsidR="00A24DE0" w:rsidRDefault="00A24DE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7DF">
          <w:rPr>
            <w:noProof/>
          </w:rPr>
          <w:t>2</w:t>
        </w:r>
        <w:r>
          <w:fldChar w:fldCharType="end"/>
        </w:r>
      </w:p>
    </w:sdtContent>
  </w:sdt>
  <w:p w:rsidR="00A24DE0" w:rsidRDefault="00A24DE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68D" w:rsidRDefault="000A268D" w:rsidP="006F29F4">
      <w:pPr>
        <w:spacing w:after="0" w:line="240" w:lineRule="auto"/>
      </w:pPr>
      <w:r>
        <w:separator/>
      </w:r>
    </w:p>
  </w:footnote>
  <w:footnote w:type="continuationSeparator" w:id="0">
    <w:p w:rsidR="000A268D" w:rsidRDefault="000A268D" w:rsidP="006F29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02"/>
    <w:rsid w:val="000A268D"/>
    <w:rsid w:val="00564A51"/>
    <w:rsid w:val="006B1102"/>
    <w:rsid w:val="006F29F4"/>
    <w:rsid w:val="008A6361"/>
    <w:rsid w:val="00A13B3B"/>
    <w:rsid w:val="00A24DE0"/>
    <w:rsid w:val="00B93E06"/>
    <w:rsid w:val="00FF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5BC19-3E09-4F6C-8831-5B0378D6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B1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6F2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29F4"/>
  </w:style>
  <w:style w:type="paragraph" w:styleId="Pieddepage">
    <w:name w:val="footer"/>
    <w:basedOn w:val="Normal"/>
    <w:link w:val="PieddepageCar"/>
    <w:uiPriority w:val="99"/>
    <w:unhideWhenUsed/>
    <w:rsid w:val="006F2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2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Rapport%20loi%2058_2023\&#1573;&#1581;&#1589;&#1575;&#1574;&#1610;&#1575;&#1578;%20&#1575;&#1604;&#1578;&#1602;&#1585;&#1610;&#1585;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Rapport%20loi%2058_2023\&#1573;&#1581;&#1589;&#1575;&#1574;&#1610;&#1575;&#1578;%20&#1575;&#1604;&#1578;&#1602;&#1585;&#1610;&#1585;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USER\Desktop\Rapport%20loi%2058_2023\Classeur2%20daj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3.bin"/><Relationship Id="rId1" Type="http://schemas.openxmlformats.org/officeDocument/2006/relationships/themeOverride" Target="../theme/themeOverrid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spPr>
            <a:ln w="38100"/>
          </c:spPr>
          <c:marker>
            <c:symbol val="diamond"/>
            <c:size val="7"/>
          </c:marker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 b="1"/>
                </a:pPr>
                <a:endParaRPr lang="fr-F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'خط أخضر 1899'!$D$3:$D$7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'خط أخضر 1899'!$C$3:$C$7</c:f>
              <c:numCache>
                <c:formatCode>General</c:formatCode>
                <c:ptCount val="5"/>
                <c:pt idx="0">
                  <c:v>3468</c:v>
                </c:pt>
                <c:pt idx="1">
                  <c:v>3500</c:v>
                </c:pt>
                <c:pt idx="2">
                  <c:v>15000</c:v>
                </c:pt>
                <c:pt idx="3">
                  <c:v>7588</c:v>
                </c:pt>
                <c:pt idx="4">
                  <c:v>8332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E563-4252-AB6F-E89D3F39A01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57987840"/>
        <c:axId val="358211584"/>
      </c:lineChart>
      <c:catAx>
        <c:axId val="3579878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700" b="1"/>
            </a:pPr>
            <a:endParaRPr lang="fr-FR"/>
          </a:p>
        </c:txPr>
        <c:crossAx val="358211584"/>
        <c:crosses val="autoZero"/>
        <c:auto val="1"/>
        <c:lblAlgn val="ctr"/>
        <c:lblOffset val="100"/>
        <c:noMultiLvlLbl val="0"/>
      </c:catAx>
      <c:valAx>
        <c:axId val="3582115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35798784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1.5009401020682295E-2"/>
          <c:y val="8.3136885576737915E-2"/>
          <c:w val="0.98376898905954857"/>
          <c:h val="0.7984334875667575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'خط أخضر 1899'!$H$18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dLbls>
            <c:dLbl>
              <c:idx val="0"/>
              <c:layout>
                <c:manualLayout>
                  <c:x val="-1.9419108708782263E-2"/>
                  <c:y val="6.8097852524925926E-17"/>
                </c:manualLayout>
              </c:layout>
              <c:spPr/>
              <c:txPr>
                <a:bodyPr/>
                <a:lstStyle/>
                <a:p>
                  <a:pPr>
                    <a:defRPr sz="600" b="1"/>
                  </a:pPr>
                  <a:endParaRPr lang="fr-F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1EC-4179-8EA7-A5B84F2A9BC3}"/>
                </c:ext>
              </c:extLst>
            </c:dLbl>
            <c:dLbl>
              <c:idx val="1"/>
              <c:layout>
                <c:manualLayout>
                  <c:x val="-4.8547771771955385E-2"/>
                  <c:y val="7.42894245786854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1EC-4179-8EA7-A5B84F2A9BC3}"/>
                </c:ext>
              </c:extLst>
            </c:dLbl>
            <c:dLbl>
              <c:idx val="2"/>
              <c:layout>
                <c:manualLayout>
                  <c:x val="-4.8547771771955385E-2"/>
                  <c:y val="7.42894245786854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1EC-4179-8EA7-A5B84F2A9BC3}"/>
                </c:ext>
              </c:extLst>
            </c:dLbl>
            <c:dLbl>
              <c:idx val="3"/>
              <c:layout>
                <c:manualLayout>
                  <c:x val="-2.912866306317335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1EC-4179-8EA7-A5B84F2A9BC3}"/>
                </c:ext>
              </c:extLst>
            </c:dLbl>
            <c:dLbl>
              <c:idx val="4"/>
              <c:layout>
                <c:manualLayout>
                  <c:x val="-3.883821741756450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1EC-4179-8EA7-A5B84F2A9B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 b="1"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'خط أخضر 1899'!$I$19:$I$23</c:f>
              <c:strCache>
                <c:ptCount val="5"/>
                <c:pt idx="0">
                  <c:v>20 -29</c:v>
                </c:pt>
                <c:pt idx="1">
                  <c:v>30 -39</c:v>
                </c:pt>
                <c:pt idx="2">
                  <c:v>40 - 49</c:v>
                </c:pt>
                <c:pt idx="3">
                  <c:v>50 - 59</c:v>
                </c:pt>
                <c:pt idx="4">
                  <c:v>60 +</c:v>
                </c:pt>
              </c:strCache>
            </c:strRef>
          </c:cat>
          <c:val>
            <c:numRef>
              <c:f>'خط أخضر 1899'!$H$19:$H$23</c:f>
              <c:numCache>
                <c:formatCode>0.00%</c:formatCode>
                <c:ptCount val="5"/>
                <c:pt idx="0">
                  <c:v>0.18400000000000041</c:v>
                </c:pt>
                <c:pt idx="1">
                  <c:v>0.37300000000000083</c:v>
                </c:pt>
                <c:pt idx="2">
                  <c:v>0.28200000000000008</c:v>
                </c:pt>
                <c:pt idx="3" formatCode="0%">
                  <c:v>0.11</c:v>
                </c:pt>
                <c:pt idx="4">
                  <c:v>5.1000000000000004E-2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1EC-4179-8EA7-A5B84F2A9BC3}"/>
            </c:ext>
          </c:extLst>
        </c:ser>
        <c:ser>
          <c:idx val="1"/>
          <c:order val="1"/>
          <c:tx>
            <c:strRef>
              <c:f>'خط أخضر 1899'!$G$18</c:f>
              <c:strCache>
                <c:ptCount val="1"/>
                <c:pt idx="0">
                  <c:v>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600" b="0"/>
                </a:pPr>
                <a:endParaRPr lang="fr-F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'خط أخضر 1899'!$G$19:$G$23</c:f>
              <c:numCache>
                <c:formatCode>0%</c:formatCode>
                <c:ptCount val="5"/>
                <c:pt idx="0">
                  <c:v>0.2</c:v>
                </c:pt>
                <c:pt idx="1">
                  <c:v>0.4</c:v>
                </c:pt>
                <c:pt idx="2">
                  <c:v>0.25</c:v>
                </c:pt>
                <c:pt idx="3">
                  <c:v>0.1</c:v>
                </c:pt>
                <c:pt idx="4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1EC-4179-8EA7-A5B84F2A9BC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402674816"/>
        <c:axId val="402678528"/>
      </c:barChart>
      <c:catAx>
        <c:axId val="4026748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00"/>
            </a:pPr>
            <a:endParaRPr lang="fr-FR"/>
          </a:p>
        </c:txPr>
        <c:crossAx val="402678528"/>
        <c:crosses val="autoZero"/>
        <c:auto val="1"/>
        <c:lblAlgn val="ctr"/>
        <c:lblOffset val="100"/>
        <c:noMultiLvlLbl val="0"/>
      </c:catAx>
      <c:valAx>
        <c:axId val="402678528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one"/>
        <c:crossAx val="4026748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682367602199026"/>
          <c:y val="7.6812925189964493E-2"/>
          <c:w val="0.12433810656044771"/>
          <c:h val="0.19262721332763977"/>
        </c:manualLayout>
      </c:layout>
      <c:overlay val="0"/>
      <c:txPr>
        <a:bodyPr/>
        <a:lstStyle/>
        <a:p>
          <a:pPr>
            <a:defRPr sz="600"/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1"/>
          <c:order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+mj-lt"/>
                    <a:cs typeface="Sakkal Majalla" pitchFamily="2" charset="-78"/>
                  </a:defRPr>
                </a:pPr>
                <a:endParaRPr lang="fr-F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'المندوبيات الجهوية'!$B$3:$B$7</c:f>
              <c:numCache>
                <c:formatCode>General</c:formatCode>
                <c:ptCount val="5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</c:numCache>
            </c:numRef>
          </c:cat>
          <c:val>
            <c:numRef>
              <c:f>'المندوبيات الجهوية'!$C$3:$C$7</c:f>
              <c:numCache>
                <c:formatCode>General</c:formatCode>
                <c:ptCount val="5"/>
                <c:pt idx="0">
                  <c:v>1829</c:v>
                </c:pt>
                <c:pt idx="1">
                  <c:v>2228</c:v>
                </c:pt>
                <c:pt idx="2">
                  <c:v>2955</c:v>
                </c:pt>
                <c:pt idx="3">
                  <c:v>2448</c:v>
                </c:pt>
                <c:pt idx="4">
                  <c:v>3368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726-41A6-9313-8FA788FCD4E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60604800"/>
        <c:axId val="360606720"/>
      </c:lineChart>
      <c:catAx>
        <c:axId val="360604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latin typeface="+mj-lt"/>
                <a:cs typeface="Sakkal Majalla" pitchFamily="2" charset="-78"/>
              </a:defRPr>
            </a:pPr>
            <a:endParaRPr lang="fr-FR"/>
          </a:p>
        </c:txPr>
        <c:crossAx val="360606720"/>
        <c:crosses val="autoZero"/>
        <c:auto val="1"/>
        <c:lblAlgn val="ctr"/>
        <c:lblOffset val="100"/>
        <c:noMultiLvlLbl val="0"/>
      </c:catAx>
      <c:valAx>
        <c:axId val="36060672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36060480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22911967858649623"/>
          <c:y val="0.18774261667871428"/>
          <c:w val="0.47492479759146305"/>
          <c:h val="0.72679632082253898"/>
        </c:manualLayout>
      </c:layout>
      <c:pieChart>
        <c:varyColors val="1"/>
        <c:ser>
          <c:idx val="0"/>
          <c:order val="0"/>
          <c:explosion val="1"/>
          <c:dLbls>
            <c:dLbl>
              <c:idx val="0"/>
              <c:layout>
                <c:manualLayout>
                  <c:x val="1.161596412646808E-2"/>
                  <c:y val="1.31601055625593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BA5-42D7-A3D3-A028766B0D3E}"/>
                </c:ext>
              </c:extLst>
            </c:dLbl>
            <c:dLbl>
              <c:idx val="1"/>
              <c:layout>
                <c:manualLayout>
                  <c:x val="9.6290495234281764E-2"/>
                  <c:y val="-5.757495877405745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BA5-42D7-A3D3-A028766B0D3E}"/>
                </c:ext>
              </c:extLst>
            </c:dLbl>
            <c:dLbl>
              <c:idx val="2"/>
              <c:layout>
                <c:manualLayout>
                  <c:x val="3.7489329807080156E-3"/>
                  <c:y val="9.0066736223391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BA5-42D7-A3D3-A028766B0D3E}"/>
                </c:ext>
              </c:extLst>
            </c:dLbl>
            <c:dLbl>
              <c:idx val="3"/>
              <c:layout>
                <c:manualLayout>
                  <c:x val="-4.831419986744049E-2"/>
                  <c:y val="3.78433524865860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BBA5-42D7-A3D3-A028766B0D3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latin typeface="Sakkal Majalla" pitchFamily="2" charset="-78"/>
                    <a:cs typeface="Sakkal Majalla" pitchFamily="2" charset="-78"/>
                  </a:defRPr>
                </a:pPr>
                <a:endParaRPr lang="fr-F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'المندوبيات الجهوية'!$N$31:$R$31</c:f>
              <c:strCache>
                <c:ptCount val="5"/>
                <c:pt idx="0">
                  <c:v>من 18 إلى 29 سنة</c:v>
                </c:pt>
                <c:pt idx="1">
                  <c:v>من 30 إلى 40سنة</c:v>
                </c:pt>
                <c:pt idx="2">
                  <c:v>من 41 سنة إلى 50 سنة</c:v>
                </c:pt>
                <c:pt idx="3">
                  <c:v>من 51 إلى 60 سنة</c:v>
                </c:pt>
                <c:pt idx="4">
                  <c:v>أكثر من 61 سنة</c:v>
                </c:pt>
              </c:strCache>
            </c:strRef>
          </c:cat>
          <c:val>
            <c:numRef>
              <c:f>'المندوبيات الجهوية'!$N$32:$R$32</c:f>
              <c:numCache>
                <c:formatCode>General</c:formatCode>
                <c:ptCount val="5"/>
                <c:pt idx="0">
                  <c:v>591</c:v>
                </c:pt>
                <c:pt idx="1">
                  <c:v>822</c:v>
                </c:pt>
                <c:pt idx="2">
                  <c:v>701</c:v>
                </c:pt>
                <c:pt idx="3">
                  <c:v>315</c:v>
                </c:pt>
                <c:pt idx="4">
                  <c:v>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BA5-42D7-A3D3-A028766B0D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latin typeface="+mj-lt"/>
                    <a:cs typeface="Sakkal Majalla" pitchFamily="2" charset="-78"/>
                  </a:defRPr>
                </a:pPr>
                <a:endParaRPr lang="fr-F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Feuil1!$D$41:$H$41</c:f>
              <c:strCache>
                <c:ptCount val="5"/>
                <c:pt idx="0">
                  <c:v>25-18</c:v>
                </c:pt>
                <c:pt idx="1">
                  <c:v>35-26</c:v>
                </c:pt>
                <c:pt idx="2">
                  <c:v>45-36</c:v>
                </c:pt>
                <c:pt idx="3">
                  <c:v>55-46</c:v>
                </c:pt>
                <c:pt idx="4">
                  <c:v>56 فما فوق</c:v>
                </c:pt>
              </c:strCache>
            </c:strRef>
          </c:cat>
          <c:val>
            <c:numRef>
              <c:f>Feuil1!$D$44:$H$44</c:f>
              <c:numCache>
                <c:formatCode>0.00%</c:formatCode>
                <c:ptCount val="5"/>
                <c:pt idx="0">
                  <c:v>0.24400000000000024</c:v>
                </c:pt>
                <c:pt idx="1">
                  <c:v>0.29500000000000032</c:v>
                </c:pt>
                <c:pt idx="2">
                  <c:v>0.29500000000000032</c:v>
                </c:pt>
                <c:pt idx="3">
                  <c:v>0.112</c:v>
                </c:pt>
                <c:pt idx="4">
                  <c:v>4.2000000000000023E-2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36-48F7-B75A-67B29CA14EB2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403961344"/>
        <c:axId val="403962880"/>
      </c:barChart>
      <c:catAx>
        <c:axId val="4039613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+mj-lt"/>
                <a:cs typeface="Sakkal Majalla" pitchFamily="2" charset="-78"/>
              </a:defRPr>
            </a:pPr>
            <a:endParaRPr lang="fr-FR"/>
          </a:p>
        </c:txPr>
        <c:crossAx val="403962880"/>
        <c:crosses val="autoZero"/>
        <c:auto val="1"/>
        <c:lblAlgn val="ctr"/>
        <c:lblOffset val="100"/>
        <c:noMultiLvlLbl val="0"/>
      </c:catAx>
      <c:valAx>
        <c:axId val="403962880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one"/>
        <c:crossAx val="4039613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800" b="1">
                    <a:latin typeface="+mj-lt"/>
                    <a:cs typeface="Sakkal Majalla" pitchFamily="2" charset="-78"/>
                  </a:defRPr>
                </a:pPr>
                <a:endParaRPr lang="fr-F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Feuil1!$O$40:$S$40</c:f>
              <c:strCache>
                <c:ptCount val="5"/>
                <c:pt idx="0">
                  <c:v>من 0 إلى سنة</c:v>
                </c:pt>
                <c:pt idx="1">
                  <c:v>سنة-5سنوات</c:v>
                </c:pt>
                <c:pt idx="2">
                  <c:v>10-6سنوات</c:v>
                </c:pt>
                <c:pt idx="3">
                  <c:v>11-15سنوات</c:v>
                </c:pt>
                <c:pt idx="4">
                  <c:v>15 - 18 سنة</c:v>
                </c:pt>
              </c:strCache>
            </c:strRef>
          </c:cat>
          <c:val>
            <c:numRef>
              <c:f>Feuil1!$O$43:$S$43</c:f>
              <c:numCache>
                <c:formatCode>0.00%</c:formatCode>
                <c:ptCount val="5"/>
                <c:pt idx="0">
                  <c:v>0.13300000000000001</c:v>
                </c:pt>
                <c:pt idx="1">
                  <c:v>0.35600000000000032</c:v>
                </c:pt>
                <c:pt idx="2">
                  <c:v>0.32700000000000085</c:v>
                </c:pt>
                <c:pt idx="3">
                  <c:v>0.12000000000000002</c:v>
                </c:pt>
                <c:pt idx="4">
                  <c:v>6.4000000000000112E-2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55-417B-863D-3C4B3569A77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406176128"/>
        <c:axId val="406178048"/>
      </c:barChart>
      <c:catAx>
        <c:axId val="406176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Sakkal Majalla" pitchFamily="2" charset="-78"/>
                <a:cs typeface="Sakkal Majalla" pitchFamily="2" charset="-78"/>
              </a:defRPr>
            </a:pPr>
            <a:endParaRPr lang="fr-FR"/>
          </a:p>
        </c:txPr>
        <c:crossAx val="406178048"/>
        <c:crosses val="autoZero"/>
        <c:auto val="1"/>
        <c:lblAlgn val="ctr"/>
        <c:lblOffset val="100"/>
        <c:noMultiLvlLbl val="0"/>
      </c:catAx>
      <c:valAx>
        <c:axId val="406178048"/>
        <c:scaling>
          <c:orientation val="minMax"/>
        </c:scaling>
        <c:delete val="1"/>
        <c:axPos val="l"/>
        <c:numFmt formatCode="0.00%" sourceLinked="1"/>
        <c:majorTickMark val="out"/>
        <c:minorTickMark val="none"/>
        <c:tickLblPos val="none"/>
        <c:crossAx val="40617612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walid zidi</dc:creator>
  <cp:keywords/>
  <dc:description/>
  <cp:lastModifiedBy>Sami Saidi</cp:lastModifiedBy>
  <cp:revision>2</cp:revision>
  <dcterms:created xsi:type="dcterms:W3CDTF">2025-06-03T10:44:00Z</dcterms:created>
  <dcterms:modified xsi:type="dcterms:W3CDTF">2025-06-03T10:44:00Z</dcterms:modified>
</cp:coreProperties>
</file>