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footnotes.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customXml/itemProps3.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drawing>
          <wp:inline distT="0" distB="0" distL="0" distR="0">
            <wp:extent cx="1295400" cy="952500"/>
            <wp:effectExtent l="0" t="0" r="0" b="0"/>
            <wp:docPr id="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
                    <pic:cNvPicPr>
                      <a:picLocks noChangeAspect="1" noChangeArrowheads="1"/>
                    </pic:cNvPicPr>
                  </pic:nvPicPr>
                  <pic:blipFill>
                    <a:blip r:embed="rId2"/>
                    <a:srcRect l="3044" t="12351" r="4676" b="8012"/>
                    <a:stretch>
                      <a:fillRect/>
                    </a:stretch>
                  </pic:blipFill>
                  <pic:spPr bwMode="auto">
                    <a:xfrm>
                      <a:off x="0" y="0"/>
                      <a:ext cx="1295400" cy="952500"/>
                    </a:xfrm>
                    <a:prstGeom prst="rect">
                      <a:avLst/>
                    </a:prstGeom>
                  </pic:spPr>
                </pic:pic>
              </a:graphicData>
            </a:graphic>
          </wp:inline>
        </w:drawing>
      </w:r>
    </w:p>
    <w:p>
      <w:pPr>
        <w:pStyle w:val="Footer"/>
        <w:tabs>
          <w:tab w:val="center" w:pos="4819" w:leader="none"/>
          <w:tab w:val="right" w:pos="9612" w:leader="none"/>
          <w:tab w:val="right" w:pos="9638" w:leader="none"/>
        </w:tabs>
        <w:rPr/>
      </w:pPr>
      <w:hyperlink r:id="rId3">
        <w:r>
          <w:rPr>
            <w:rStyle w:val="Hyperlink0"/>
            <w:color w:val="000000"/>
            <w:sz w:val="22"/>
            <w:szCs w:val="22"/>
          </w:rPr>
          <w:t>www.adcmemorial.org</w:t>
        </w:r>
      </w:hyperlink>
    </w:p>
    <w:p>
      <w:pPr>
        <w:pStyle w:val="Footer"/>
        <w:tabs>
          <w:tab w:val="center" w:pos="4819" w:leader="none"/>
          <w:tab w:val="right" w:pos="9612" w:leader="none"/>
          <w:tab w:val="right" w:pos="9638" w:leader="none"/>
        </w:tabs>
        <w:rPr/>
      </w:pPr>
      <w:r>
        <w:rPr>
          <w:rStyle w:val="Style18"/>
          <w:rFonts w:eastAsia="Warnockpro" w:cs="Warnockpro"/>
          <w:color w:val="000000"/>
          <w:sz w:val="22"/>
          <w:szCs w:val="22"/>
        </w:rPr>
        <w:t xml:space="preserve">Rue d’Edimbourg, 26, </w:t>
      </w:r>
    </w:p>
    <w:p>
      <w:pPr>
        <w:pStyle w:val="Footer"/>
        <w:tabs>
          <w:tab w:val="center" w:pos="4819" w:leader="none"/>
          <w:tab w:val="right" w:pos="9612" w:leader="none"/>
          <w:tab w:val="right" w:pos="9638" w:leader="none"/>
        </w:tabs>
        <w:rPr/>
      </w:pPr>
      <w:r>
        <w:rPr>
          <w:rStyle w:val="Style18"/>
          <w:rFonts w:eastAsia="Warnockpro" w:cs="Warnockpro"/>
          <w:color w:val="000000"/>
          <w:sz w:val="22"/>
          <w:szCs w:val="22"/>
        </w:rPr>
        <w:t>1050 Brussels</w:t>
      </w:r>
    </w:p>
    <w:p>
      <w:pPr>
        <w:pStyle w:val="Footer"/>
        <w:tabs>
          <w:tab w:val="center" w:pos="4819" w:leader="none"/>
          <w:tab w:val="right" w:pos="9612" w:leader="none"/>
          <w:tab w:val="right" w:pos="9638" w:leader="none"/>
        </w:tabs>
        <w:rPr>
          <w:rStyle w:val="Style11"/>
          <w:color w:val="000000"/>
          <w:sz w:val="22"/>
          <w:szCs w:val="22"/>
        </w:rPr>
      </w:pPr>
      <w:r>
        <w:rPr>
          <w:color w:val="000000"/>
          <w:sz w:val="22"/>
          <w:szCs w:val="22"/>
        </w:rPr>
      </w:r>
    </w:p>
    <w:p>
      <w:pPr>
        <w:pStyle w:val="Normal"/>
        <w:shd w:val="clear" w:color="auto" w:fill="FFFFFF"/>
        <w:jc w:val="both"/>
        <w:rPr>
          <w:rFonts w:cs="Times New Roman"/>
          <w:color w:val="000000"/>
          <w:sz w:val="22"/>
          <w:szCs w:val="22"/>
        </w:rPr>
      </w:pPr>
      <w:r>
        <w:rPr>
          <w:rFonts w:cs="Times New Roman"/>
          <w:color w:val="000000"/>
          <w:sz w:val="22"/>
          <w:szCs w:val="22"/>
        </w:rPr>
      </w:r>
    </w:p>
    <w:p>
      <w:pPr>
        <w:pStyle w:val="Normal"/>
        <w:shd w:val="clear" w:color="auto" w:fill="FFFFFF"/>
        <w:jc w:val="both"/>
        <w:rPr>
          <w:rFonts w:cs="Times New Roman"/>
          <w:color w:val="000000"/>
          <w:sz w:val="22"/>
          <w:szCs w:val="22"/>
        </w:rPr>
      </w:pPr>
      <w:r>
        <w:rPr>
          <w:rFonts w:cs="Times New Roman"/>
          <w:color w:val="000000"/>
          <w:sz w:val="22"/>
          <w:szCs w:val="22"/>
        </w:rPr>
      </w:r>
    </w:p>
    <w:p>
      <w:pPr>
        <w:pStyle w:val="Normal"/>
        <w:shd w:val="clear" w:color="auto" w:fill="FFFFFF"/>
        <w:jc w:val="both"/>
        <w:rPr>
          <w:rFonts w:cs="Times New Roman"/>
          <w:color w:val="000000"/>
          <w:sz w:val="22"/>
          <w:szCs w:val="22"/>
        </w:rPr>
      </w:pPr>
      <w:r>
        <w:rPr>
          <w:rFonts w:cs="Times New Roman"/>
          <w:color w:val="000000"/>
          <w:sz w:val="22"/>
          <w:szCs w:val="22"/>
        </w:rPr>
      </w:r>
    </w:p>
    <w:p>
      <w:pPr>
        <w:pStyle w:val="LOnormal"/>
        <w:jc w:val="center"/>
        <w:rPr>
          <w:rFonts w:ascii="Liberation Serif" w:hAnsi="Liberation Serif" w:eastAsia="Times New Roman" w:cs="Times New Roman"/>
          <w:b/>
          <w:b/>
          <w:i/>
          <w:i/>
        </w:rPr>
      </w:pPr>
      <w:r>
        <w:rPr>
          <w:rFonts w:eastAsia="Times New Roman" w:cs="Times New Roman" w:ascii="Liberation Serif" w:hAnsi="Liberation Serif"/>
          <w:b/>
          <w:i/>
        </w:rPr>
      </w:r>
    </w:p>
    <w:p>
      <w:pPr>
        <w:pStyle w:val="LOnormal"/>
        <w:rPr>
          <w:rFonts w:ascii="Liberation Serif" w:hAnsi="Liberation Serif" w:eastAsia="Times New Roman" w:cs="Times New Roman"/>
          <w:b/>
          <w:b/>
          <w:i/>
          <w:i/>
        </w:rPr>
      </w:pPr>
      <w:r>
        <w:rPr>
          <w:rFonts w:eastAsia="Times New Roman" w:cs="Times New Roman" w:ascii="Liberation Serif" w:hAnsi="Liberation Serif"/>
          <w:b/>
          <w:i/>
        </w:rPr>
      </w:r>
    </w:p>
    <w:p>
      <w:pPr>
        <w:pStyle w:val="Normal"/>
        <w:jc w:val="center"/>
        <w:rPr>
          <w:color w:val="000000"/>
          <w:sz w:val="22"/>
          <w:szCs w:val="22"/>
        </w:rPr>
      </w:pPr>
      <w:r>
        <w:rPr>
          <w:rFonts w:eastAsia="SimSun" w:cs="Arial"/>
          <w:b/>
          <w:color w:val="000000"/>
          <w:sz w:val="22"/>
          <w:szCs w:val="22"/>
        </w:rPr>
        <w:t>Alternative information</w:t>
      </w:r>
    </w:p>
    <w:p>
      <w:pPr>
        <w:pStyle w:val="Normal"/>
        <w:tabs>
          <w:tab w:val="clear" w:pos="720"/>
          <w:tab w:val="left" w:pos="405" w:leader="none"/>
          <w:tab w:val="center" w:pos="4680" w:leader="none"/>
        </w:tabs>
        <w:jc w:val="center"/>
        <w:rPr/>
      </w:pPr>
      <w:r>
        <w:rPr>
          <w:rStyle w:val="Style12"/>
          <w:rFonts w:eastAsia="SimSun" w:cs="Times New Roman"/>
          <w:color w:val="000000"/>
          <w:sz w:val="22"/>
          <w:szCs w:val="22"/>
        </w:rPr>
        <w:t xml:space="preserve">for review by UN CESCR on the implementation by </w:t>
      </w:r>
      <w:r>
        <w:rPr>
          <w:rStyle w:val="Style12"/>
          <w:rFonts w:eastAsia="SimSun" w:cs="Arial"/>
          <w:color w:val="000000"/>
          <w:sz w:val="22"/>
          <w:szCs w:val="22"/>
        </w:rPr>
        <w:t>Azerbaijan</w:t>
      </w:r>
      <w:r>
        <w:rPr>
          <w:rStyle w:val="Style12"/>
          <w:rFonts w:eastAsia="SimSun" w:cs="Times New Roman"/>
          <w:color w:val="000000"/>
          <w:sz w:val="22"/>
          <w:szCs w:val="22"/>
        </w:rPr>
        <w:t xml:space="preserve"> of the International Covenant on Economic, Social and Cultural Rights</w:t>
      </w:r>
    </w:p>
    <w:p>
      <w:pPr>
        <w:pStyle w:val="Normal"/>
        <w:jc w:val="center"/>
        <w:rPr>
          <w:rFonts w:cs="Arial"/>
          <w:b/>
          <w:b/>
          <w:color w:val="000000"/>
          <w:sz w:val="22"/>
          <w:szCs w:val="22"/>
        </w:rPr>
      </w:pPr>
      <w:r>
        <w:rPr>
          <w:rFonts w:cs="Arial"/>
          <w:b/>
          <w:color w:val="000000"/>
          <w:sz w:val="22"/>
          <w:szCs w:val="22"/>
        </w:rPr>
      </w:r>
    </w:p>
    <w:p>
      <w:pPr>
        <w:pStyle w:val="Normal"/>
        <w:jc w:val="center"/>
        <w:rPr/>
      </w:pPr>
      <w:r>
        <w:rPr>
          <w:rFonts w:cs="Arial"/>
          <w:color w:val="000000"/>
          <w:sz w:val="22"/>
          <w:szCs w:val="22"/>
        </w:rPr>
        <w:t>For the 65</w:t>
      </w:r>
      <w:r>
        <w:rPr>
          <w:rFonts w:cs="Arial"/>
          <w:color w:val="000000"/>
          <w:sz w:val="22"/>
          <w:szCs w:val="22"/>
          <w:vertAlign w:val="superscript"/>
        </w:rPr>
        <w:t>th</w:t>
      </w:r>
      <w:r>
        <w:rPr>
          <w:rFonts w:cs="Arial"/>
          <w:color w:val="000000"/>
          <w:sz w:val="22"/>
          <w:szCs w:val="22"/>
        </w:rPr>
        <w:t xml:space="preserve"> Pre-sessional Working group of the CESCR UN</w:t>
      </w:r>
    </w:p>
    <w:p>
      <w:pPr>
        <w:pStyle w:val="Normal"/>
        <w:jc w:val="center"/>
        <w:rPr>
          <w:color w:val="000000"/>
          <w:sz w:val="22"/>
          <w:szCs w:val="22"/>
        </w:rPr>
      </w:pPr>
      <w:r>
        <w:rPr>
          <w:rFonts w:cs="Arial"/>
          <w:color w:val="000000"/>
          <w:sz w:val="22"/>
          <w:szCs w:val="22"/>
        </w:rPr>
        <w:t>21 - 25 October 2019</w:t>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b/>
          <w:b/>
          <w:color w:val="000000"/>
          <w:sz w:val="22"/>
          <w:szCs w:val="22"/>
        </w:rPr>
      </w:pPr>
      <w:r>
        <w:rPr>
          <w:rFonts w:cs="Arial"/>
          <w:b/>
          <w:color w:val="000000"/>
          <w:sz w:val="22"/>
          <w:szCs w:val="22"/>
        </w:rPr>
      </w:r>
    </w:p>
    <w:p>
      <w:pPr>
        <w:pStyle w:val="Normal"/>
        <w:jc w:val="center"/>
        <w:rPr>
          <w:rFonts w:cs="Arial"/>
          <w:b/>
          <w:b/>
          <w:color w:val="000000"/>
          <w:sz w:val="22"/>
          <w:szCs w:val="22"/>
        </w:rPr>
      </w:pPr>
      <w:r>
        <w:rPr>
          <w:rFonts w:cs="Arial"/>
          <w:b/>
          <w:color w:val="000000"/>
          <w:sz w:val="22"/>
          <w:szCs w:val="22"/>
        </w:rPr>
      </w:r>
    </w:p>
    <w:p>
      <w:pPr>
        <w:pStyle w:val="Normal"/>
        <w:jc w:val="center"/>
        <w:rPr>
          <w:rFonts w:cs="Arial"/>
          <w:b/>
          <w:b/>
          <w:bCs/>
          <w:color w:val="000000"/>
          <w:sz w:val="22"/>
          <w:szCs w:val="22"/>
        </w:rPr>
      </w:pPr>
      <w:r>
        <w:rPr>
          <w:rFonts w:cs="Arial"/>
          <w:b/>
          <w:bCs/>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rFonts w:cs="Arial"/>
          <w:color w:val="000000"/>
          <w:sz w:val="22"/>
          <w:szCs w:val="22"/>
        </w:rPr>
      </w:pPr>
      <w:r>
        <w:rPr>
          <w:rFonts w:cs="Arial"/>
          <w:color w:val="000000"/>
          <w:sz w:val="22"/>
          <w:szCs w:val="22"/>
        </w:rPr>
      </w:r>
    </w:p>
    <w:p>
      <w:pPr>
        <w:pStyle w:val="Normal"/>
        <w:jc w:val="center"/>
        <w:rPr>
          <w:color w:val="000000"/>
          <w:sz w:val="22"/>
          <w:szCs w:val="22"/>
        </w:rPr>
      </w:pPr>
      <w:r>
        <w:rPr>
          <w:rFonts w:cs="Arial"/>
          <w:b/>
          <w:bCs/>
          <w:color w:val="000000"/>
          <w:sz w:val="22"/>
          <w:szCs w:val="22"/>
        </w:rPr>
        <w:t>August 2019</w:t>
      </w:r>
    </w:p>
    <w:p>
      <w:pPr>
        <w:pStyle w:val="Heading1"/>
        <w:rPr>
          <w:rFonts w:ascii="Liberation Serif" w:hAnsi="Liberation Serif"/>
        </w:rPr>
      </w:pPr>
      <w:r>
        <w:rPr>
          <w:rFonts w:cs="Arial" w:ascii="Liberation Serif" w:hAnsi="Liberation Serif"/>
          <w:b/>
          <w:bCs/>
          <w:color w:val="000000"/>
        </w:rPr>
        <w:t xml:space="preserve">1. Migration </w:t>
      </w:r>
    </w:p>
    <w:p>
      <w:pPr>
        <w:pStyle w:val="Normal"/>
        <w:jc w:val="center"/>
        <w:rPr>
          <w:rFonts w:cs="Arial"/>
          <w:b/>
          <w:b/>
          <w:bCs/>
          <w:color w:val="000000"/>
          <w:sz w:val="22"/>
          <w:szCs w:val="22"/>
        </w:rPr>
      </w:pPr>
      <w:r>
        <w:rPr>
          <w:rFonts w:cs="Arial"/>
          <w:b/>
          <w:bCs/>
          <w:color w:val="000000"/>
          <w:sz w:val="22"/>
          <w:szCs w:val="22"/>
        </w:rPr>
      </w:r>
    </w:p>
    <w:p>
      <w:pPr>
        <w:pStyle w:val="Normal"/>
        <w:jc w:val="center"/>
        <w:rPr/>
      </w:pPr>
      <w:r>
        <w:rPr>
          <w:rFonts w:cs="Arial"/>
          <w:b/>
          <w:bCs/>
          <w:color w:val="000000"/>
          <w:sz w:val="22"/>
          <w:szCs w:val="22"/>
        </w:rPr>
        <w:t xml:space="preserve">Violation of the right of Azerbaijani minors to education in Russia </w:t>
      </w:r>
    </w:p>
    <w:p>
      <w:pPr>
        <w:pStyle w:val="Normal"/>
        <w:jc w:val="both"/>
        <w:rPr>
          <w:rStyle w:val="Style12"/>
          <w:color w:val="000000"/>
          <w:sz w:val="22"/>
          <w:szCs w:val="22"/>
        </w:rPr>
      </w:pPr>
      <w:r>
        <w:rPr>
          <w:color w:val="000000"/>
          <w:sz w:val="22"/>
          <w:szCs w:val="22"/>
        </w:rPr>
      </w:r>
    </w:p>
    <w:p>
      <w:pPr>
        <w:pStyle w:val="Normal"/>
        <w:jc w:val="both"/>
        <w:rPr/>
      </w:pPr>
      <w:r>
        <w:rPr>
          <w:rStyle w:val="Style12"/>
          <w:rFonts w:eastAsia="Times New Roman" w:cs="Times New Roman"/>
          <w:b w:val="false"/>
          <w:bCs w:val="false"/>
          <w:color w:val="000000"/>
          <w:sz w:val="22"/>
          <w:szCs w:val="22"/>
        </w:rPr>
        <w:tab/>
        <w:t>Many Azerbaijani families choose migration in their search for a better economic situation, high-quality schools and medical services, and a stable social environment. Over half of Azerbaijani migrants pick Russia as their destination,</w:t>
      </w:r>
      <w:r>
        <w:rPr>
          <w:rStyle w:val="FootnoteAnchor"/>
          <w:rFonts w:eastAsia="Times New Roman" w:cs="Times New Roman"/>
          <w:color w:val="000000"/>
          <w:sz w:val="22"/>
          <w:szCs w:val="22"/>
        </w:rPr>
        <w:footnoteReference w:id="2"/>
      </w:r>
      <w:r>
        <w:rPr>
          <w:rStyle w:val="Style12"/>
          <w:rFonts w:eastAsia="Times New Roman" w:cs="Times New Roman"/>
          <w:b w:val="false"/>
          <w:bCs w:val="false"/>
          <w:color w:val="000000"/>
          <w:sz w:val="22"/>
          <w:szCs w:val="22"/>
        </w:rPr>
        <w:t xml:space="preserve"> and there are an estimated 500,000 to 750,000 Azerbaijani citizens in Russia.</w:t>
      </w:r>
      <w:r>
        <w:rPr>
          <w:rStyle w:val="FootnoteAnchor"/>
          <w:rFonts w:eastAsia="Times New Roman" w:cs="Times New Roman"/>
          <w:color w:val="000000"/>
          <w:sz w:val="22"/>
          <w:szCs w:val="22"/>
        </w:rPr>
        <w:footnoteReference w:id="3"/>
      </w:r>
      <w:r>
        <w:rPr>
          <w:rStyle w:val="Style12"/>
          <w:rFonts w:eastAsia="Times New Roman" w:cs="Times New Roman"/>
          <w:b w:val="false"/>
          <w:bCs w:val="false"/>
          <w:color w:val="000000"/>
          <w:sz w:val="22"/>
          <w:szCs w:val="22"/>
        </w:rPr>
        <w:t xml:space="preserve"> In 2014 to 2016, the level of migration dropped due to the worsening economic situation in Russia. Some Azerbaijanis who have acquired Russian citizenship and are therefore not officially migrants anymore may still experience some problems as Azerbaijan nationals. The total number of ethnic Azerbaijanis in Russia may reach up to 2.5 million people.</w:t>
      </w:r>
      <w:r>
        <w:rPr>
          <w:rStyle w:val="FootnoteAnchor"/>
          <w:rFonts w:eastAsia="Times New Roman" w:cs="Times New Roman"/>
          <w:color w:val="000000"/>
          <w:sz w:val="22"/>
          <w:szCs w:val="22"/>
        </w:rPr>
        <w:footnoteReference w:id="4"/>
      </w:r>
    </w:p>
    <w:p>
      <w:pPr>
        <w:pStyle w:val="Normal"/>
        <w:ind w:firstLine="708"/>
        <w:jc w:val="both"/>
        <w:rPr/>
      </w:pPr>
      <w:r>
        <w:rPr>
          <w:rFonts w:eastAsia="Times New Roman" w:cs="Times New Roman"/>
          <w:color w:val="000000"/>
          <w:sz w:val="22"/>
          <w:szCs w:val="22"/>
        </w:rPr>
        <w:t xml:space="preserve">The children of Azerbaijani migrants face discrimination when realizing the right to education. They may be denied enrollment if they do not have proper residence registration documents. Children who are able to enroll have to deal with segregation, the lack of special programs for non-Russian speakers, and required classes on the Orthodox religion. </w:t>
      </w:r>
    </w:p>
    <w:p>
      <w:pPr>
        <w:pStyle w:val="Normal"/>
        <w:ind w:firstLine="708"/>
        <w:jc w:val="both"/>
        <w:rPr/>
      </w:pPr>
      <w:r>
        <w:rPr>
          <w:rFonts w:eastAsia="Times New Roman" w:cs="Times New Roman"/>
          <w:color w:val="000000"/>
          <w:sz w:val="22"/>
          <w:szCs w:val="22"/>
        </w:rPr>
        <w:t>Schools frequently refuse to enroll children who do not have a registration for their place of residence or documents providing evidence of their right to be in Russia, even though this contravenes Russian law (Article 43 of the RF Constitution guarantees every person the right to education; Clause 2 of Article 78 of Federal Law “On Education in the Russian Federation” provides all children with the right to attend a public school at no charge; Clause 4 of Article 67 of this law stipulates that children can only be refused enrollment if there are not enough free spaces).</w:t>
      </w:r>
    </w:p>
    <w:p>
      <w:pPr>
        <w:pStyle w:val="Normal"/>
        <w:ind w:firstLine="708"/>
        <w:jc w:val="both"/>
        <w:rPr/>
      </w:pPr>
      <w:r>
        <w:rPr>
          <w:rFonts w:eastAsia="Times New Roman" w:cs="Times New Roman"/>
          <w:color w:val="000000"/>
          <w:sz w:val="22"/>
          <w:szCs w:val="22"/>
        </w:rPr>
        <w:t>Children who do not have access to education remain at home and must seek alternatives to school education on their own. Sometimes children study with volunteers from social organizations that accept undocumented children of any age. These classes, however, are not held regularly and cannot completely replace a school program. In many cases, parents who are busy at work are not able to take their children to these kinds of classes.</w:t>
      </w:r>
    </w:p>
    <w:p>
      <w:pPr>
        <w:pStyle w:val="Normal"/>
        <w:ind w:left="709" w:firstLine="709"/>
        <w:jc w:val="both"/>
        <w:rPr/>
      </w:pPr>
      <w:r>
        <w:rPr>
          <w:rFonts w:eastAsia="Times New Roman" w:cs="Times New Roman"/>
          <w:i/>
          <w:color w:val="000000"/>
          <w:sz w:val="22"/>
          <w:szCs w:val="22"/>
        </w:rPr>
        <w:t>In August 2017, a ten-year-old Azerbaijani girl was refused enrollment at a school in Frunze District of Saint Petersburg because neither she nor her parents had a registration for Saint Petersburg. M. has not been attending school for a year now and only attends weekly Russian language classes at an educational center for migrants.</w:t>
      </w:r>
      <w:r>
        <w:rPr>
          <w:rStyle w:val="FootnoteAnchor"/>
          <w:rFonts w:eastAsia="Times New Roman" w:cs="Times New Roman"/>
          <w:i/>
          <w:color w:val="000000"/>
          <w:sz w:val="22"/>
          <w:szCs w:val="22"/>
        </w:rPr>
        <w:footnoteReference w:id="5"/>
      </w:r>
    </w:p>
    <w:p>
      <w:pPr>
        <w:pStyle w:val="Normal"/>
        <w:ind w:firstLine="708"/>
        <w:jc w:val="both"/>
        <w:rPr/>
      </w:pPr>
      <w:r>
        <w:rPr>
          <w:rFonts w:eastAsia="Times New Roman" w:cs="Times New Roman"/>
          <w:color w:val="000000"/>
          <w:sz w:val="22"/>
          <w:szCs w:val="22"/>
        </w:rPr>
        <w:t>School administrations also use legal reasons to reject Azerbaijani children: it is not uncommon that migrant children are enrolled in the early grades only after Russian children are enrolled, which means that they are only admitted if there are free spaces.</w:t>
      </w:r>
    </w:p>
    <w:p>
      <w:pPr>
        <w:pStyle w:val="Normal"/>
        <w:ind w:left="708" w:firstLine="720"/>
        <w:jc w:val="both"/>
        <w:rPr/>
      </w:pPr>
      <w:r>
        <w:rPr>
          <w:rFonts w:eastAsia="Times New Roman" w:cs="Times New Roman"/>
          <w:i/>
          <w:color w:val="000000"/>
          <w:sz w:val="22"/>
          <w:szCs w:val="22"/>
        </w:rPr>
        <w:t>In 2017, A.’s family tried to enroll their daughter in 3</w:t>
      </w:r>
      <w:r>
        <w:rPr>
          <w:rFonts w:eastAsia="Times New Roman" w:cs="Times New Roman"/>
          <w:i/>
          <w:color w:val="000000"/>
          <w:sz w:val="22"/>
          <w:szCs w:val="22"/>
          <w:vertAlign w:val="superscript"/>
        </w:rPr>
        <w:t>rd</w:t>
      </w:r>
      <w:r>
        <w:rPr>
          <w:rFonts w:eastAsia="Times New Roman" w:cs="Times New Roman"/>
          <w:i/>
          <w:color w:val="000000"/>
          <w:sz w:val="22"/>
          <w:szCs w:val="22"/>
        </w:rPr>
        <w:t xml:space="preserve"> grade at a school in Saint Petersburg’s Moscow District after their arrival from Azerbaijan, but the principal asked them to return in the second half of August, when it would be clear if any spaces were left.</w:t>
      </w:r>
      <w:r>
        <w:rPr>
          <w:rStyle w:val="FootnoteAnchor"/>
          <w:rFonts w:eastAsia="Times New Roman" w:cs="Times New Roman"/>
          <w:i/>
          <w:color w:val="000000"/>
          <w:sz w:val="22"/>
          <w:szCs w:val="22"/>
        </w:rPr>
        <w:footnoteReference w:id="6"/>
      </w:r>
    </w:p>
    <w:p>
      <w:pPr>
        <w:pStyle w:val="Normal"/>
        <w:ind w:firstLine="708"/>
        <w:jc w:val="both"/>
        <w:rPr/>
      </w:pPr>
      <w:r>
        <w:rPr>
          <w:rFonts w:eastAsia="Times New Roman" w:cs="Times New Roman"/>
          <w:color w:val="000000"/>
          <w:sz w:val="22"/>
          <w:szCs w:val="22"/>
        </w:rPr>
        <w:t>One of the risks to exercising the right to education is the ban on religious clothing in schools. In February 2015, the RF Supreme Court issued a ruling</w:t>
      </w:r>
      <w:r>
        <w:rPr>
          <w:rStyle w:val="FootnoteAnchor"/>
          <w:rFonts w:eastAsia="Times New Roman" w:cs="Times New Roman"/>
          <w:color w:val="000000"/>
          <w:sz w:val="22"/>
          <w:szCs w:val="22"/>
        </w:rPr>
        <w:footnoteReference w:id="7"/>
      </w:r>
      <w:r>
        <w:rPr>
          <w:rFonts w:eastAsia="Times New Roman" w:cs="Times New Roman"/>
          <w:color w:val="000000"/>
          <w:sz w:val="22"/>
          <w:szCs w:val="22"/>
        </w:rPr>
        <w:t xml:space="preserve"> stating that the ban on head coverings (including religious head coverings) in schools (due to sanitary norms) does not violate the law; however, the right to freedom of religion is enshrined in the RF Constitution.</w:t>
      </w:r>
    </w:p>
    <w:p>
      <w:pPr>
        <w:pStyle w:val="Normal"/>
        <w:ind w:firstLine="708"/>
        <w:jc w:val="both"/>
        <w:rPr/>
      </w:pPr>
      <w:r>
        <w:rPr>
          <w:rFonts w:eastAsia="Times New Roman" w:cs="Times New Roman"/>
          <w:color w:val="000000"/>
          <w:sz w:val="22"/>
          <w:szCs w:val="22"/>
        </w:rPr>
        <w:t>Azerbaijani c</w:t>
      </w:r>
      <w:r>
        <w:rPr>
          <w:rFonts w:eastAsia="WenQuanYi Micro Hei" w:cs="Lohit Devanagari"/>
          <w:color w:val="000000"/>
          <w:sz w:val="22"/>
          <w:szCs w:val="22"/>
        </w:rPr>
        <w:t xml:space="preserve">hildren who eventually succeed in enrolling in Russian schools sometimes face the </w:t>
      </w:r>
      <w:r>
        <w:rPr>
          <w:rFonts w:eastAsia="Times New Roman" w:cs="Times New Roman"/>
          <w:color w:val="000000"/>
          <w:sz w:val="22"/>
          <w:szCs w:val="22"/>
        </w:rPr>
        <w:t>practice of segregation. For example, there is evidence that at least one school in Saint Petersburg has special classes for Azerbaijani children and separate floors for Muslim pupils. Victims of this practice report that segregation is practiced in order “to avoid creating inconveniences for Russian children.”</w:t>
      </w:r>
      <w:r>
        <w:rPr>
          <w:rStyle w:val="FootnoteAnchor"/>
          <w:rFonts w:eastAsia="Times New Roman" w:cs="Times New Roman"/>
          <w:color w:val="000000"/>
          <w:sz w:val="22"/>
          <w:szCs w:val="22"/>
        </w:rPr>
        <w:footnoteReference w:id="8"/>
      </w:r>
    </w:p>
    <w:p>
      <w:pPr>
        <w:pStyle w:val="Normal"/>
        <w:jc w:val="both"/>
        <w:rPr>
          <w:rStyle w:val="Style14"/>
          <w:rFonts w:eastAsia="Times New Roman" w:cs="Times New Roman"/>
          <w:color w:val="000000"/>
          <w:sz w:val="22"/>
          <w:szCs w:val="22"/>
        </w:rPr>
      </w:pPr>
      <w:r>
        <w:rPr>
          <w:rFonts w:eastAsia="Times New Roman" w:cs="Times New Roman"/>
          <w:color w:val="000000"/>
          <w:sz w:val="22"/>
          <w:szCs w:val="22"/>
        </w:rPr>
        <w:tab/>
        <w:t>A major problem is the lack of Russian schools that can provide the opportunity to study the Azerbaijani language and culture. Before 2017, Moscow had only two schools with Azerbaijani and Georgian</w:t>
      </w:r>
      <w:r>
        <w:rPr>
          <w:rStyle w:val="FootnoteAnchor"/>
          <w:rFonts w:eastAsia="Times New Roman" w:cs="Times New Roman"/>
          <w:color w:val="000000"/>
          <w:sz w:val="22"/>
          <w:szCs w:val="22"/>
        </w:rPr>
        <w:footnoteReference w:id="9"/>
      </w:r>
      <w:r>
        <w:rPr>
          <w:rFonts w:eastAsia="Times New Roman" w:cs="Times New Roman"/>
          <w:color w:val="000000"/>
          <w:sz w:val="22"/>
          <w:szCs w:val="22"/>
        </w:rPr>
        <w:t xml:space="preserve"> ethnocultural components (№157 and №1331, respectively),</w:t>
      </w:r>
      <w:r>
        <w:rPr>
          <w:rStyle w:val="FootnoteAnchor"/>
          <w:rFonts w:eastAsia="Times New Roman" w:cs="Times New Roman"/>
          <w:color w:val="000000"/>
          <w:sz w:val="22"/>
          <w:szCs w:val="22"/>
        </w:rPr>
        <w:footnoteReference w:id="10"/>
      </w:r>
      <w:r>
        <w:rPr>
          <w:rFonts w:eastAsia="Times New Roman" w:cs="Times New Roman"/>
          <w:color w:val="000000"/>
          <w:sz w:val="22"/>
          <w:szCs w:val="22"/>
        </w:rPr>
        <w:t xml:space="preserve"> but these schools were absorbed by larger schools after many years of operation and in fact lost most of their ethnocultural components.</w:t>
      </w:r>
      <w:r>
        <w:rPr>
          <w:rStyle w:val="FootnoteAnchor"/>
          <w:rFonts w:eastAsia="Times New Roman" w:cs="Times New Roman"/>
          <w:color w:val="000000"/>
          <w:sz w:val="22"/>
          <w:szCs w:val="22"/>
        </w:rPr>
        <w:footnoteReference w:id="11"/>
      </w:r>
      <w:r>
        <w:rPr>
          <w:rStyle w:val="Style14"/>
          <w:rFonts w:eastAsia="Times New Roman" w:cs="Times New Roman"/>
          <w:color w:val="000000"/>
          <w:sz w:val="22"/>
          <w:szCs w:val="22"/>
        </w:rPr>
        <w:t xml:space="preserve"> </w:t>
      </w:r>
    </w:p>
    <w:p>
      <w:pPr>
        <w:pStyle w:val="Normal"/>
        <w:ind w:firstLine="720"/>
        <w:jc w:val="both"/>
        <w:rPr/>
      </w:pPr>
      <w:r>
        <w:rPr>
          <w:rFonts w:eastAsia="Times New Roman" w:cs="Times New Roman"/>
          <w:color w:val="000000"/>
          <w:sz w:val="22"/>
          <w:szCs w:val="22"/>
        </w:rPr>
        <w:t>Now only K. Kerimov School No. 1583 in Moscow has an international club, which can hardly take the place of a real education. At the same time, groups for studying the Azerbaijani language have been drastically reduced.</w:t>
      </w:r>
      <w:r>
        <w:rPr>
          <w:rStyle w:val="FootnoteAnchor"/>
          <w:rFonts w:eastAsia="Times New Roman" w:cs="Times New Roman"/>
          <w:color w:val="000000"/>
          <w:sz w:val="22"/>
          <w:szCs w:val="22"/>
        </w:rPr>
        <w:footnoteReference w:id="12"/>
      </w:r>
    </w:p>
    <w:p>
      <w:pPr>
        <w:pStyle w:val="TextBody"/>
        <w:spacing w:lineRule="auto" w:line="240" w:before="0" w:after="0"/>
        <w:jc w:val="both"/>
        <w:rPr/>
      </w:pPr>
      <w:r>
        <w:rPr>
          <w:rFonts w:eastAsia="NSimSun" w:cs="Times New Roman"/>
          <w:color w:val="000000"/>
          <w:sz w:val="22"/>
          <w:szCs w:val="22"/>
        </w:rPr>
        <w:tab/>
        <w:t>In the fall of 2017, almost 70 schools in Dagestan were forced to stopped teaching children—who were mostly Russian citizens—in Azerbaijani after the republic’s Ministry of Education decided to stop using textbooks that did not meet “the current requirements and standards of the Russian education system.”</w:t>
      </w:r>
      <w:r>
        <w:rPr>
          <w:rStyle w:val="FootnoteAnchor"/>
          <w:rFonts w:eastAsia="NSimSun" w:cs="Times New Roman"/>
          <w:color w:val="000000"/>
          <w:sz w:val="22"/>
          <w:szCs w:val="22"/>
        </w:rPr>
        <w:footnoteReference w:id="13"/>
      </w:r>
      <w:r>
        <w:rPr>
          <w:rStyle w:val="Style14"/>
          <w:rFonts w:eastAsia="Times New Roman" w:cs="Times New Roman"/>
          <w:color w:val="000000"/>
          <w:sz w:val="22"/>
          <w:szCs w:val="22"/>
        </w:rPr>
        <w:t xml:space="preserve">  </w:t>
      </w:r>
      <w:r>
        <w:rPr>
          <w:rStyle w:val="Style14"/>
          <w:rFonts w:eastAsia="Times New Roman" w:cs="Times New Roman"/>
          <w:color w:val="000000"/>
          <w:position w:val="0"/>
          <w:sz w:val="22"/>
          <w:sz w:val="22"/>
          <w:szCs w:val="22"/>
          <w:vertAlign w:val="baseline"/>
        </w:rPr>
        <w:t>For its part, Azerbaijan has over 300 schools offering instruction in Russia. Twenty of these use only Russian, and most institutes of higher education have Russian departments.</w:t>
      </w:r>
      <w:r>
        <w:rPr>
          <w:rStyle w:val="FootnoteAnchor"/>
          <w:color w:val="000000"/>
          <w:sz w:val="22"/>
          <w:szCs w:val="22"/>
        </w:rPr>
        <w:footnoteReference w:id="14"/>
      </w:r>
    </w:p>
    <w:p>
      <w:pPr>
        <w:pStyle w:val="TextBody"/>
        <w:spacing w:lineRule="auto" w:line="240" w:before="0" w:after="0"/>
        <w:jc w:val="both"/>
        <w:rPr/>
      </w:pPr>
      <w:r>
        <w:rPr>
          <w:rStyle w:val="Style14"/>
          <w:rFonts w:eastAsia="Times New Roman" w:cs="Times New Roman"/>
          <w:color w:val="000000"/>
          <w:position w:val="0"/>
          <w:sz w:val="22"/>
          <w:sz w:val="22"/>
          <w:szCs w:val="22"/>
          <w:vertAlign w:val="baseline"/>
        </w:rPr>
        <w:tab/>
        <w:t>This situation is evidence of a violation of Article 3 of the Agreement Between the Ministries of Education of the Russian Federation and the Republic of Azerbaijan “On Cooperation in the Education Sector” of February 1, 1995,</w:t>
      </w:r>
      <w:r>
        <w:rPr>
          <w:rStyle w:val="FootnoteAnchor"/>
          <w:rFonts w:eastAsia="WenQuanYi Micro Hei" w:cs="Lohit Devanagari"/>
          <w:color w:val="000000"/>
          <w:sz w:val="22"/>
          <w:szCs w:val="22"/>
        </w:rPr>
        <w:footnoteReference w:id="15"/>
      </w:r>
      <w:r>
        <w:rPr>
          <w:rFonts w:eastAsia="WenQuanYi Micro Hei" w:cs="Lohit Devanagari"/>
          <w:color w:val="000000"/>
          <w:sz w:val="22"/>
          <w:szCs w:val="22"/>
        </w:rPr>
        <w:t xml:space="preserve"> in particular the countries’ obligations to “create favorable conditions for children of the Azerbaijani national minority living in Russia, and children of the Russian and other national minorities of ethnic Russians living in Azerbaijan, for instruction in their native languages (or study of these languages) and education about the culture, history, and traditions of their peoples.”</w:t>
      </w:r>
    </w:p>
    <w:p>
      <w:pPr>
        <w:pStyle w:val="Heading5"/>
        <w:numPr>
          <w:ilvl w:val="4"/>
          <w:numId w:val="2"/>
        </w:numPr>
        <w:shd w:val="clear" w:color="auto" w:fill="FFFFFF"/>
        <w:spacing w:before="0" w:after="0"/>
        <w:ind w:firstLine="708"/>
        <w:contextualSpacing/>
        <w:jc w:val="both"/>
        <w:rPr>
          <w:lang w:val="en-US"/>
        </w:rPr>
      </w:pPr>
      <w:r>
        <w:rPr>
          <w:rFonts w:eastAsia="WenQuanYi Micro Hei" w:cs="Lohit Devanagari"/>
          <w:b w:val="false"/>
          <w:color w:val="000000"/>
          <w:sz w:val="22"/>
          <w:szCs w:val="22"/>
          <w:lang w:val="en-US"/>
        </w:rPr>
        <w:t>Migration processes have resulted in the formation of new compact settlements of ethnic Azerbaijanis in Russia, which has only increased the need for instruction in Azerbaijani as a native language.</w:t>
      </w:r>
      <w:r>
        <w:rPr>
          <w:rStyle w:val="FootnoteAnchor"/>
          <w:rFonts w:eastAsia="WenQuanYi Micro Hei" w:cs="Lohit Devanagari"/>
          <w:b w:val="false"/>
          <w:color w:val="000000"/>
          <w:sz w:val="22"/>
          <w:szCs w:val="22"/>
          <w:lang w:val="en-US"/>
        </w:rPr>
        <w:footnoteReference w:id="16"/>
      </w:r>
    </w:p>
    <w:p>
      <w:pPr>
        <w:pStyle w:val="TextBody"/>
        <w:spacing w:lineRule="auto" w:line="240" w:before="0" w:after="0"/>
        <w:jc w:val="both"/>
        <w:rPr/>
      </w:pPr>
      <w:r>
        <w:rPr>
          <w:rStyle w:val="Style14"/>
          <w:rFonts w:eastAsia="WenQuanYi Micro Hei" w:cs="Lohit Devanagari"/>
          <w:color w:val="000000"/>
          <w:position w:val="0"/>
          <w:sz w:val="22"/>
          <w:sz w:val="22"/>
          <w:szCs w:val="22"/>
          <w:vertAlign w:val="baseline"/>
        </w:rPr>
        <w:tab/>
        <w:t>Representatives of the Center for Azerbaijani Language and Culture in Russia believe one of the community’s most important problems is ensuring that “the Azerbaijani language [is taught] in Russia’s education system”</w:t>
      </w:r>
      <w:bookmarkStart w:id="0" w:name="__DdeLink__1142_3978514009"/>
      <w:bookmarkEnd w:id="0"/>
      <w:r>
        <w:rPr>
          <w:rStyle w:val="FootnoteAnchor"/>
          <w:rFonts w:eastAsia="WenQuanYi Micro Hei" w:cs="Lohit Devanagari"/>
          <w:color w:val="000000"/>
          <w:sz w:val="22"/>
          <w:szCs w:val="22"/>
        </w:rPr>
        <w:footnoteReference w:id="17"/>
      </w:r>
      <w:r>
        <w:rPr>
          <w:rStyle w:val="Style14"/>
          <w:rFonts w:eastAsia="WenQuanYi Micro Hei" w:cs="Lohit Devanagari"/>
          <w:color w:val="000000"/>
          <w:position w:val="0"/>
          <w:sz w:val="22"/>
          <w:sz w:val="22"/>
          <w:szCs w:val="22"/>
          <w:vertAlign w:val="baseline"/>
        </w:rPr>
        <w:t>; unfortunately, there are no NGOs working on this issue.</w:t>
      </w:r>
      <w:r>
        <w:rPr>
          <w:rStyle w:val="FootnoteAnchor"/>
          <w:rFonts w:eastAsia="NSimSun" w:cs="Times New Roman"/>
          <w:color w:val="000000"/>
          <w:sz w:val="22"/>
          <w:szCs w:val="22"/>
        </w:rPr>
        <w:footnoteReference w:id="18"/>
      </w:r>
      <w:r>
        <w:rPr>
          <w:rStyle w:val="Style14"/>
          <w:rFonts w:eastAsia="WenQuanYi Micro Hei" w:cs="Lohit Devanagari"/>
          <w:color w:val="000000"/>
          <w:position w:val="0"/>
          <w:sz w:val="22"/>
          <w:sz w:val="22"/>
          <w:szCs w:val="22"/>
          <w:vertAlign w:val="baseline"/>
        </w:rPr>
        <w:t xml:space="preserve"> In 2018, representatives of this center brought the problem of reduced instruction in Azerbaijani to the Azerbaijani and Russian education ministries and the State Committee on Work with the Azerbaijani Diaspora, but they never received a response from either country.</w:t>
      </w:r>
      <w:r>
        <w:rPr>
          <w:rStyle w:val="FootnoteAnchor"/>
          <w:rFonts w:eastAsia="NSimSun" w:cs="Times New Roman"/>
          <w:color w:val="000000"/>
          <w:sz w:val="22"/>
          <w:szCs w:val="22"/>
        </w:rPr>
        <w:footnoteReference w:id="19"/>
      </w:r>
    </w:p>
    <w:p>
      <w:pPr>
        <w:pStyle w:val="TextBody"/>
        <w:spacing w:lineRule="auto" w:line="240" w:before="0" w:after="0"/>
        <w:jc w:val="both"/>
        <w:rPr/>
      </w:pPr>
      <w:r>
        <w:rPr>
          <w:rFonts w:eastAsia="NSimSun" w:cs="Times New Roman"/>
          <w:sz w:val="22"/>
          <w:szCs w:val="22"/>
        </w:rPr>
        <w:tab/>
        <w:t>During the 9</w:t>
      </w:r>
      <w:r>
        <w:rPr>
          <w:rFonts w:eastAsia="NSimSun" w:cs="Times New Roman"/>
          <w:sz w:val="22"/>
          <w:szCs w:val="22"/>
          <w:vertAlign w:val="superscript"/>
        </w:rPr>
        <w:t>th</w:t>
      </w:r>
      <w:r>
        <w:rPr>
          <w:rFonts w:eastAsia="NSimSun" w:cs="Times New Roman"/>
          <w:sz w:val="22"/>
          <w:szCs w:val="22"/>
        </w:rPr>
        <w:t xml:space="preserve"> Interregional Forum in Baku, the Russian and Azerbaijani heads of state emphasized the significance of the ties between the two countries. They also spoke about state support for the wide use of the Russian language and about schools in Azerbaijan offering instruction in Russian, but the matter of a critical lack of instruction in Azerbaijani in Russia was regrettably not raised.</w:t>
      </w:r>
      <w:r>
        <w:rPr>
          <w:rStyle w:val="FootnoteAnchor"/>
          <w:rFonts w:eastAsia="NSimSun" w:cs="Times New Roman"/>
          <w:sz w:val="22"/>
          <w:szCs w:val="22"/>
        </w:rPr>
        <w:footnoteReference w:id="20"/>
      </w:r>
    </w:p>
    <w:p>
      <w:pPr>
        <w:pStyle w:val="Normal"/>
        <w:ind w:firstLine="708"/>
        <w:jc w:val="both"/>
        <w:rPr/>
      </w:pPr>
      <w:r>
        <w:rPr>
          <w:rFonts w:eastAsia="WenQuanYi Micro Hei" w:cs="Lohit Devanagari"/>
          <w:color w:val="000000"/>
          <w:sz w:val="22"/>
          <w:szCs w:val="22"/>
        </w:rPr>
        <w:t>The issue of the absence of programs aimed at teaching children who speak languages other than Russian at most grammar schools remains unresolved: teachers do not have the skills to work with children who are not native Russian speakers, which usually results in poor progress for these children, conflicts with their peers, and psychological isolation.</w:t>
      </w:r>
    </w:p>
    <w:p>
      <w:pPr>
        <w:pStyle w:val="Normal"/>
        <w:ind w:left="708" w:firstLine="720"/>
        <w:jc w:val="both"/>
        <w:rPr/>
      </w:pPr>
      <w:r>
        <w:rPr>
          <w:rFonts w:eastAsia="WenQuanYi Micro Hei" w:cs="Lohit Devanagari"/>
          <w:i/>
          <w:color w:val="000000"/>
          <w:sz w:val="22"/>
          <w:szCs w:val="22"/>
        </w:rPr>
        <w:t>A teacher from a school in Krasnogvardeysk District of Saint Petersburg that is attended by a large number of migrant children recounted how, over the course of several years, she had trouble working with the children of migrant workers because teachers do not have the required skills, do not know the cultural nuances of a given nation, and have not been trained in teaching children who do not speak Russian well, which results in poor progress and, in extreme cases, expulsion from school.</w:t>
      </w:r>
      <w:r>
        <w:rPr>
          <w:rStyle w:val="FootnoteAnchor"/>
          <w:rFonts w:eastAsia="WenQuanYi Micro Hei" w:cs="Lohit Devanagari"/>
          <w:i/>
          <w:color w:val="000000"/>
          <w:sz w:val="22"/>
          <w:szCs w:val="22"/>
        </w:rPr>
        <w:footnoteReference w:id="21"/>
      </w:r>
    </w:p>
    <w:p>
      <w:pPr>
        <w:pStyle w:val="Normal"/>
        <w:spacing w:before="0" w:after="0"/>
        <w:ind w:firstLine="708"/>
        <w:contextualSpacing/>
        <w:jc w:val="both"/>
        <w:rPr/>
      </w:pPr>
      <w:r>
        <w:rPr>
          <w:rFonts w:eastAsia="WenQuanYi Micro Hei" w:cs="Lohit Devanagari"/>
          <w:color w:val="000000"/>
          <w:sz w:val="22"/>
          <w:szCs w:val="22"/>
        </w:rPr>
        <w:tab/>
        <w:t>In 2012, the subject “Foundations of Religion and Secular Ethics” was added to the education programs of Russian schools. This class envisages the opportunity to choose to learn about a certain religion or about secular ethical norms. In reality, the choice of studying the foundations of Orthodoxy is commonly imposed on parents, and in some schools the course “Foundations of Orthodox Culture” has been introduced as a required subject that children, including Muslim children, cannot refuse.</w:t>
      </w:r>
    </w:p>
    <w:p>
      <w:pPr>
        <w:pStyle w:val="Normal"/>
        <w:spacing w:before="0" w:after="0"/>
        <w:ind w:firstLine="708"/>
        <w:contextualSpacing/>
        <w:jc w:val="both"/>
        <w:rPr>
          <w:rFonts w:eastAsia="WenQuanYi Micro Hei" w:cs="Lohit Devanagari"/>
          <w:color w:val="000000"/>
          <w:sz w:val="22"/>
          <w:szCs w:val="22"/>
        </w:rPr>
      </w:pPr>
      <w:r>
        <w:rPr>
          <w:rFonts w:eastAsia="WenQuanYi Micro Hei" w:cs="Lohit Devanagari"/>
          <w:color w:val="000000"/>
          <w:sz w:val="22"/>
          <w:szCs w:val="22"/>
        </w:rPr>
      </w:r>
    </w:p>
    <w:p>
      <w:pPr>
        <w:pStyle w:val="TextBody"/>
        <w:spacing w:lineRule="auto" w:line="240" w:before="0" w:after="0"/>
        <w:jc w:val="both"/>
        <w:rPr/>
      </w:pPr>
      <w:r>
        <w:rPr>
          <w:rStyle w:val="Style14"/>
          <w:rFonts w:eastAsia="NSimSun" w:cs="Times New Roman"/>
          <w:i/>
          <w:iCs/>
          <w:color w:val="000000"/>
          <w:position w:val="0"/>
          <w:sz w:val="22"/>
          <w:sz w:val="22"/>
          <w:szCs w:val="22"/>
          <w:u w:val="single"/>
          <w:vertAlign w:val="baseline"/>
        </w:rPr>
        <w:t>Recommendations:</w:t>
      </w:r>
      <w:r>
        <w:rPr>
          <w:rStyle w:val="Style14"/>
          <w:rFonts w:eastAsia="NSimSun" w:cs="Times New Roman"/>
          <w:i/>
          <w:iCs/>
          <w:color w:val="000000"/>
          <w:position w:val="0"/>
          <w:sz w:val="22"/>
          <w:sz w:val="22"/>
          <w:szCs w:val="22"/>
          <w:vertAlign w:val="baseline"/>
        </w:rPr>
        <w:t xml:space="preserve"> </w:t>
      </w:r>
    </w:p>
    <w:p>
      <w:pPr>
        <w:pStyle w:val="Heading5"/>
        <w:numPr>
          <w:ilvl w:val="4"/>
          <w:numId w:val="3"/>
        </w:numPr>
        <w:shd w:val="clear" w:color="auto" w:fill="FFFFFF"/>
        <w:spacing w:before="0" w:after="0"/>
        <w:contextualSpacing/>
        <w:jc w:val="both"/>
        <w:rPr>
          <w:rFonts w:cs="Times New Roman"/>
          <w:b w:val="false"/>
          <w:b w:val="false"/>
          <w:i/>
          <w:i/>
          <w:iCs/>
          <w:color w:val="000000"/>
          <w:sz w:val="22"/>
          <w:szCs w:val="22"/>
          <w:lang w:val="en-US"/>
        </w:rPr>
      </w:pPr>
      <w:r>
        <w:rPr>
          <w:rFonts w:cs="Times New Roman"/>
          <w:b w:val="false"/>
          <w:i/>
          <w:iCs/>
          <w:color w:val="000000"/>
          <w:sz w:val="22"/>
          <w:szCs w:val="22"/>
          <w:lang w:val="en-US"/>
        </w:rPr>
        <w:t xml:space="preserve">- Facilitate the creation and use of a sufficient number of Azerbaijani language textbooks at the required level </w:t>
      </w:r>
    </w:p>
    <w:p>
      <w:pPr>
        <w:pStyle w:val="Heading5"/>
        <w:numPr>
          <w:ilvl w:val="4"/>
          <w:numId w:val="3"/>
        </w:numPr>
        <w:shd w:val="clear" w:color="auto" w:fill="FFFFFF"/>
        <w:spacing w:before="0" w:after="0"/>
        <w:contextualSpacing/>
        <w:jc w:val="both"/>
        <w:rPr>
          <w:rFonts w:cs="Times New Roman"/>
          <w:b w:val="false"/>
          <w:b w:val="false"/>
          <w:i/>
          <w:i/>
          <w:iCs/>
          <w:color w:val="000000"/>
          <w:sz w:val="22"/>
          <w:szCs w:val="22"/>
          <w:lang w:val="en-US"/>
        </w:rPr>
      </w:pPr>
      <w:r>
        <w:rPr>
          <w:rFonts w:cs="Times New Roman"/>
          <w:b w:val="false"/>
          <w:i/>
          <w:iCs/>
          <w:color w:val="000000"/>
          <w:sz w:val="22"/>
          <w:szCs w:val="22"/>
          <w:lang w:val="en-US"/>
        </w:rPr>
        <w:t>- Increase cooperation between institutes of higher education in Azerbaijan and Russia in the process of studying and developing programs for learning the Azerbaijani language</w:t>
      </w:r>
    </w:p>
    <w:p>
      <w:pPr>
        <w:pStyle w:val="Heading5"/>
        <w:numPr>
          <w:ilvl w:val="4"/>
          <w:numId w:val="3"/>
        </w:numPr>
        <w:shd w:val="clear" w:color="auto" w:fill="FFFFFF"/>
        <w:spacing w:before="0" w:after="0"/>
        <w:contextualSpacing/>
        <w:jc w:val="both"/>
        <w:rPr>
          <w:rFonts w:cs="Times New Roman"/>
          <w:b w:val="false"/>
          <w:b w:val="false"/>
          <w:i/>
          <w:i/>
          <w:iCs/>
          <w:color w:val="000000"/>
          <w:sz w:val="22"/>
          <w:szCs w:val="22"/>
          <w:lang w:val="en-US"/>
        </w:rPr>
      </w:pPr>
      <w:r>
        <w:rPr>
          <w:rFonts w:cs="Times New Roman"/>
          <w:b w:val="false"/>
          <w:i/>
          <w:iCs/>
          <w:color w:val="000000"/>
          <w:sz w:val="22"/>
          <w:szCs w:val="22"/>
          <w:lang w:val="en-US"/>
        </w:rPr>
        <w:t>- Facilitate training for teachers in Russia to provide instruction in the Azerbaijani language for children</w:t>
      </w:r>
    </w:p>
    <w:p>
      <w:pPr>
        <w:pStyle w:val="Heading5"/>
        <w:numPr>
          <w:ilvl w:val="4"/>
          <w:numId w:val="3"/>
        </w:numPr>
        <w:shd w:val="clear" w:color="auto" w:fill="FFFFFF"/>
        <w:spacing w:before="0" w:after="0"/>
        <w:contextualSpacing/>
        <w:jc w:val="both"/>
        <w:rPr>
          <w:rFonts w:cs="Times New Roman"/>
          <w:b w:val="false"/>
          <w:b w:val="false"/>
          <w:i/>
          <w:i/>
          <w:iCs/>
          <w:color w:val="000000"/>
          <w:sz w:val="22"/>
          <w:szCs w:val="22"/>
          <w:lang w:val="en-US"/>
        </w:rPr>
      </w:pPr>
      <w:r>
        <w:rPr>
          <w:rFonts w:cs="Times New Roman"/>
          <w:b w:val="false"/>
          <w:i/>
          <w:iCs/>
          <w:color w:val="000000"/>
          <w:sz w:val="22"/>
          <w:szCs w:val="22"/>
          <w:lang w:val="en-US"/>
        </w:rPr>
        <w:t>- Facilitate implementation of the Agreement between the Ministries of Education of the Russian Federation and the Republic of Azerbaijan “On Cooperation in the Education Sector” of February 1, 1995 in terms of creating conditions for instruction in Azerbaijani for the Azerbaijani national minority residing in Russia</w:t>
      </w:r>
    </w:p>
    <w:p>
      <w:pPr>
        <w:pStyle w:val="Heading5"/>
        <w:numPr>
          <w:ilvl w:val="4"/>
          <w:numId w:val="3"/>
        </w:numPr>
        <w:shd w:val="clear" w:color="auto" w:fill="FFFFFF"/>
        <w:spacing w:before="0" w:after="0"/>
        <w:contextualSpacing/>
        <w:jc w:val="both"/>
        <w:rPr>
          <w:rFonts w:cs="Times New Roman"/>
          <w:b w:val="false"/>
          <w:b w:val="false"/>
          <w:i/>
          <w:i/>
          <w:iCs/>
          <w:color w:val="000000"/>
          <w:sz w:val="22"/>
          <w:szCs w:val="22"/>
          <w:lang w:val="en-US"/>
        </w:rPr>
      </w:pPr>
      <w:r>
        <w:rPr>
          <w:rFonts w:cs="Times New Roman"/>
          <w:b w:val="false"/>
          <w:i/>
          <w:iCs/>
          <w:color w:val="000000"/>
          <w:sz w:val="22"/>
          <w:szCs w:val="22"/>
          <w:lang w:val="en-US"/>
        </w:rPr>
        <w:t>- Raise the problem of the lack of schools offering instruction in the Azerbaijani language in Russia as part of intergovernmental communications</w:t>
      </w:r>
    </w:p>
    <w:p>
      <w:pPr>
        <w:pStyle w:val="Heading5"/>
        <w:numPr>
          <w:ilvl w:val="4"/>
          <w:numId w:val="3"/>
        </w:numPr>
        <w:shd w:val="clear" w:color="auto" w:fill="FFFFFF"/>
        <w:spacing w:before="0" w:after="0"/>
        <w:contextualSpacing/>
        <w:jc w:val="both"/>
        <w:rPr>
          <w:rFonts w:cs="Times New Roman"/>
          <w:b w:val="false"/>
          <w:b w:val="false"/>
          <w:i/>
          <w:i/>
          <w:iCs/>
          <w:color w:val="000000"/>
          <w:sz w:val="22"/>
          <w:szCs w:val="22"/>
          <w:lang w:val="en-US"/>
        </w:rPr>
      </w:pPr>
      <w:r>
        <w:rPr>
          <w:rFonts w:cs="Times New Roman"/>
          <w:b w:val="false"/>
          <w:i/>
          <w:iCs/>
          <w:color w:val="000000"/>
          <w:sz w:val="22"/>
          <w:szCs w:val="22"/>
          <w:lang w:val="en-US"/>
        </w:rPr>
        <w:t>- Take measures to guarantee that ethnic Azerbaijanis in Russia receive a high-quality education</w:t>
      </w:r>
    </w:p>
    <w:p>
      <w:pPr>
        <w:pStyle w:val="Heading5"/>
        <w:numPr>
          <w:ilvl w:val="4"/>
          <w:numId w:val="3"/>
        </w:numPr>
        <w:shd w:val="clear" w:color="auto" w:fill="FFFFFF"/>
        <w:spacing w:before="0" w:after="0"/>
        <w:contextualSpacing/>
        <w:jc w:val="both"/>
        <w:rPr>
          <w:rFonts w:cs="Times New Roman"/>
          <w:b w:val="false"/>
          <w:b w:val="false"/>
          <w:i/>
          <w:i/>
          <w:iCs/>
          <w:color w:val="000000"/>
          <w:sz w:val="22"/>
          <w:szCs w:val="22"/>
          <w:lang w:val="en-US"/>
        </w:rPr>
      </w:pPr>
      <w:r>
        <w:rPr>
          <w:rFonts w:cs="Times New Roman"/>
          <w:b w:val="false"/>
          <w:i/>
          <w:iCs/>
          <w:color w:val="000000"/>
          <w:sz w:val="22"/>
          <w:szCs w:val="22"/>
          <w:lang w:val="en-US"/>
        </w:rPr>
      </w:r>
    </w:p>
    <w:p>
      <w:pPr>
        <w:pStyle w:val="Normal"/>
        <w:spacing w:before="0" w:after="0"/>
        <w:contextualSpacing/>
        <w:jc w:val="both"/>
        <w:rPr>
          <w:rFonts w:cs="Arial"/>
          <w:b/>
          <w:b/>
          <w:bCs/>
          <w:color w:val="000000"/>
          <w:sz w:val="22"/>
          <w:szCs w:val="22"/>
        </w:rPr>
      </w:pPr>
      <w:r>
        <w:rPr>
          <w:rFonts w:cs="Arial"/>
          <w:b/>
          <w:bCs/>
          <w:color w:val="000000"/>
          <w:sz w:val="22"/>
          <w:szCs w:val="22"/>
        </w:rPr>
      </w:r>
    </w:p>
    <w:p>
      <w:pPr>
        <w:pStyle w:val="Normal"/>
        <w:jc w:val="center"/>
        <w:rPr>
          <w:rFonts w:cs="Arial"/>
          <w:b/>
          <w:b/>
          <w:bCs/>
          <w:color w:val="000000"/>
          <w:sz w:val="22"/>
          <w:szCs w:val="22"/>
        </w:rPr>
      </w:pPr>
      <w:r>
        <w:rPr>
          <w:rFonts w:cs="Arial"/>
          <w:b/>
          <w:bCs/>
          <w:color w:val="000000"/>
          <w:sz w:val="22"/>
          <w:szCs w:val="22"/>
        </w:rPr>
      </w:r>
    </w:p>
    <w:p>
      <w:pPr>
        <w:pStyle w:val="Normal"/>
        <w:jc w:val="center"/>
        <w:rPr>
          <w:rFonts w:cs="Arial"/>
          <w:b/>
          <w:b/>
          <w:bCs/>
          <w:color w:val="000000"/>
          <w:sz w:val="22"/>
          <w:szCs w:val="22"/>
        </w:rPr>
      </w:pPr>
      <w:r>
        <w:rPr>
          <w:rFonts w:cs="Arial"/>
          <w:b/>
          <w:bCs/>
          <w:color w:val="000000"/>
          <w:sz w:val="22"/>
          <w:szCs w:val="22"/>
        </w:rPr>
      </w:r>
    </w:p>
    <w:p>
      <w:pPr>
        <w:pStyle w:val="Heading1"/>
        <w:rPr>
          <w:rFonts w:ascii="Liberation Serif" w:hAnsi="Liberation Serif"/>
          <w:b/>
          <w:b/>
          <w:bCs/>
          <w:color w:val="000000"/>
        </w:rPr>
      </w:pPr>
      <w:r>
        <w:rPr>
          <w:rFonts w:ascii="Liberation Serif" w:hAnsi="Liberation Serif"/>
          <w:b/>
          <w:bCs/>
          <w:color w:val="000000"/>
        </w:rPr>
        <w:t>2. Gender inequality in employment</w:t>
      </w:r>
    </w:p>
    <w:p>
      <w:pPr>
        <w:pStyle w:val="Normal"/>
        <w:jc w:val="center"/>
        <w:rPr>
          <w:rFonts w:cs="Arial"/>
          <w:b/>
          <w:b/>
          <w:bCs/>
          <w:color w:val="000000"/>
          <w:sz w:val="22"/>
          <w:szCs w:val="22"/>
        </w:rPr>
      </w:pPr>
      <w:r>
        <w:rPr>
          <w:rFonts w:cs="Arial"/>
          <w:b/>
          <w:bCs/>
          <w:color w:val="000000"/>
          <w:sz w:val="22"/>
          <w:szCs w:val="22"/>
        </w:rPr>
      </w:r>
    </w:p>
    <w:p>
      <w:pPr>
        <w:pStyle w:val="Normal"/>
        <w:jc w:val="center"/>
        <w:rPr>
          <w:color w:val="000000"/>
          <w:sz w:val="22"/>
          <w:szCs w:val="22"/>
        </w:rPr>
      </w:pPr>
      <w:r>
        <w:rPr>
          <w:rFonts w:cs="Arial"/>
          <w:b/>
          <w:bCs/>
          <w:color w:val="000000"/>
          <w:sz w:val="22"/>
          <w:szCs w:val="22"/>
        </w:rPr>
        <w:t>Discriminatory laws and approaches in the labor sphere</w:t>
      </w:r>
    </w:p>
    <w:p>
      <w:pPr>
        <w:pStyle w:val="Normal"/>
        <w:jc w:val="center"/>
        <w:rPr>
          <w:rFonts w:cs="Arial"/>
          <w:b/>
          <w:b/>
          <w:bCs/>
        </w:rPr>
      </w:pPr>
      <w:r>
        <w:rPr>
          <w:rFonts w:cs="Arial"/>
          <w:b/>
          <w:bCs/>
        </w:rPr>
      </w:r>
    </w:p>
    <w:p>
      <w:pPr>
        <w:pStyle w:val="TextBody"/>
        <w:spacing w:lineRule="auto" w:line="240"/>
        <w:jc w:val="both"/>
        <w:rPr>
          <w:color w:val="000000"/>
          <w:sz w:val="22"/>
          <w:szCs w:val="22"/>
        </w:rPr>
      </w:pPr>
      <w:r>
        <w:rPr>
          <w:color w:val="000000"/>
          <w:sz w:val="22"/>
          <w:szCs w:val="22"/>
        </w:rPr>
        <w:tab/>
        <w:t>Entrenched gender stereotypes, which continue to have a significant impact in Azerbaijan, adversely affect the situation of women by violating realization of their socioeconomic rights, particularly in employment.</w:t>
      </w:r>
    </w:p>
    <w:p>
      <w:pPr>
        <w:pStyle w:val="TextBody"/>
        <w:spacing w:lineRule="auto" w:line="240"/>
        <w:jc w:val="both"/>
        <w:rPr>
          <w:color w:val="000000"/>
          <w:sz w:val="22"/>
          <w:szCs w:val="22"/>
        </w:rPr>
      </w:pPr>
      <w:r>
        <w:rPr>
          <w:color w:val="000000"/>
          <w:sz w:val="22"/>
          <w:szCs w:val="22"/>
        </w:rPr>
        <w:tab/>
        <w:t>Unfortunately, there are almost no independent sources of information that have statistical data available and that are critical of employment and the unemployment rate. The media frequently duplicates state data.</w:t>
      </w:r>
      <w:r>
        <w:rPr>
          <w:rStyle w:val="FootnoteAnchor"/>
          <w:color w:val="000000"/>
          <w:sz w:val="22"/>
          <w:szCs w:val="22"/>
        </w:rPr>
        <w:footnoteReference w:id="22"/>
      </w:r>
    </w:p>
    <w:p>
      <w:pPr>
        <w:pStyle w:val="TextBody"/>
        <w:jc w:val="both"/>
        <w:rPr>
          <w:color w:val="000000"/>
          <w:sz w:val="22"/>
          <w:szCs w:val="22"/>
        </w:rPr>
      </w:pPr>
      <w:r>
        <w:rPr>
          <w:color w:val="000000"/>
          <w:sz w:val="22"/>
          <w:szCs w:val="22"/>
        </w:rPr>
        <w:tab/>
        <w:t>According to the state report, in early 2018 women comprised 50.1 percent of Azerbaijan’s population. Of this 50.1 percent, 48.6 percent were deemed economically active. The number of people unemployed grew between 2014 and 2016, from 237,800 to 252,800 people, respectively.</w:t>
      </w:r>
      <w:r>
        <w:rPr>
          <w:rStyle w:val="FootnoteAnchor"/>
          <w:color w:val="000000"/>
          <w:sz w:val="22"/>
          <w:szCs w:val="22"/>
        </w:rPr>
        <w:footnoteReference w:id="23"/>
      </w:r>
      <w:r>
        <w:rPr>
          <w:color w:val="000000"/>
          <w:sz w:val="22"/>
          <w:szCs w:val="22"/>
        </w:rPr>
        <w:t xml:space="preserve"> The official unemployment rate for 2018 was 4.2 percent for men and 6 percent for women.</w:t>
      </w:r>
      <w:r>
        <w:rPr>
          <w:rStyle w:val="FootnoteAnchor"/>
          <w:color w:val="000000"/>
          <w:sz w:val="22"/>
          <w:szCs w:val="22"/>
        </w:rPr>
        <w:footnoteReference w:id="24"/>
      </w:r>
      <w:r>
        <w:rPr>
          <w:color w:val="000000"/>
          <w:sz w:val="22"/>
          <w:szCs w:val="22"/>
        </w:rPr>
        <w:t xml:space="preserve"> As of August 1, 2018, two-thirds of unemployed people were men and only one-third were women.</w:t>
      </w:r>
      <w:r>
        <w:rPr>
          <w:rStyle w:val="FootnoteAnchor"/>
          <w:color w:val="000000"/>
          <w:sz w:val="22"/>
          <w:szCs w:val="22"/>
        </w:rPr>
        <w:footnoteReference w:id="25"/>
      </w:r>
      <w:r>
        <w:rPr>
          <w:color w:val="000000"/>
          <w:sz w:val="22"/>
          <w:szCs w:val="22"/>
        </w:rPr>
        <w:t xml:space="preserve"> While the government reports that it has been successful fighting unemployment,</w:t>
      </w:r>
      <w:r>
        <w:rPr>
          <w:rStyle w:val="FootnoteAnchor"/>
          <w:color w:val="000000"/>
          <w:sz w:val="22"/>
          <w:szCs w:val="22"/>
        </w:rPr>
        <w:footnoteReference w:id="26"/>
      </w:r>
      <w:r>
        <w:rPr>
          <w:color w:val="000000"/>
          <w:sz w:val="22"/>
          <w:szCs w:val="22"/>
        </w:rPr>
        <w:t xml:space="preserve"> independent experts believe that in reality 20 percent or more people are unemployed.</w:t>
      </w:r>
      <w:r>
        <w:rPr>
          <w:rStyle w:val="FootnoteAnchor"/>
          <w:color w:val="000000"/>
          <w:sz w:val="22"/>
          <w:szCs w:val="22"/>
        </w:rPr>
        <w:footnoteReference w:id="27"/>
      </w:r>
      <w:r>
        <w:rPr>
          <w:color w:val="000000"/>
          <w:sz w:val="22"/>
          <w:szCs w:val="22"/>
        </w:rPr>
        <w:t xml:space="preserve"> UN CEDAW noted in 2015 that even though the unemployment rate was low, horizontal and vertical segregation “on the labor market, </w:t>
      </w:r>
      <w:r>
        <w:rPr>
          <w:color w:val="000000"/>
          <w:sz w:val="22"/>
          <w:szCs w:val="22"/>
          <w:lang w:val="en-GB"/>
        </w:rPr>
        <w:t>whereby women are concentrated in low-paid and informal jobs”</w:t>
      </w:r>
      <w:r>
        <w:rPr>
          <w:color w:val="000000"/>
          <w:sz w:val="22"/>
          <w:szCs w:val="22"/>
        </w:rPr>
        <w:t xml:space="preserve"> and the “wide gender pay gap” were causes for concern.</w:t>
      </w:r>
      <w:r>
        <w:rPr>
          <w:rStyle w:val="FootnoteAnchor"/>
          <w:color w:val="000000"/>
          <w:sz w:val="22"/>
          <w:szCs w:val="22"/>
        </w:rPr>
        <w:footnoteReference w:id="28"/>
      </w:r>
      <w:r>
        <w:rPr>
          <w:color w:val="000000"/>
          <w:sz w:val="22"/>
          <w:szCs w:val="22"/>
        </w:rPr>
        <w:t xml:space="preserve"> One-fifth of all women in the country are entrepreneurs.</w:t>
      </w:r>
      <w:r>
        <w:rPr>
          <w:rStyle w:val="FootnoteAnchor"/>
          <w:color w:val="000000"/>
          <w:sz w:val="22"/>
          <w:szCs w:val="22"/>
        </w:rPr>
        <w:footnoteReference w:id="29"/>
      </w:r>
      <w:r>
        <w:rPr>
          <w:color w:val="000000"/>
          <w:sz w:val="22"/>
          <w:szCs w:val="22"/>
        </w:rPr>
        <w:t xml:space="preserve"> </w:t>
      </w:r>
    </w:p>
    <w:p>
      <w:pPr>
        <w:pStyle w:val="Normal"/>
        <w:jc w:val="both"/>
        <w:rPr/>
      </w:pPr>
      <w:r>
        <w:rPr>
          <w:color w:val="000000"/>
          <w:sz w:val="22"/>
          <w:szCs w:val="22"/>
        </w:rPr>
        <w:tab/>
        <w:t xml:space="preserve">Women mainly work in low-paying sectors: education (68.5 percent), medical and social services (73.1 percent), and leisure, recreation, and the arts (59.9 percent). </w:t>
      </w:r>
      <w:r>
        <w:rPr>
          <w:rFonts w:eastAsia="Times New Roman"/>
          <w:color w:val="000000"/>
          <w:sz w:val="22"/>
          <w:szCs w:val="22"/>
        </w:rPr>
        <w:t>There is also a gender pay gap</w:t>
      </w:r>
      <w:r>
        <w:rPr>
          <w:rStyle w:val="FootnoteAnchor"/>
          <w:rFonts w:eastAsia="Times New Roman"/>
          <w:color w:val="000000"/>
          <w:sz w:val="22"/>
          <w:szCs w:val="22"/>
        </w:rPr>
        <w:footnoteReference w:id="30"/>
      </w:r>
      <w:r>
        <w:rPr>
          <w:rFonts w:eastAsia="Times New Roman"/>
          <w:color w:val="000000"/>
          <w:sz w:val="22"/>
          <w:szCs w:val="22"/>
        </w:rPr>
        <w:t xml:space="preserve"> related to low-paid jobs and the underrepresentation of women in management positions. For example, in the education sector women predominate in lower level institutions: </w:t>
      </w:r>
      <w:r>
        <w:rPr>
          <w:color w:val="000000"/>
          <w:sz w:val="22"/>
          <w:szCs w:val="22"/>
        </w:rPr>
        <w:t>79.8 percent of teachers in general education schools are women, 77.9 percent of teachers in specialized high schools are women, and 51.9 percent of teachers in higher education institutions are women.</w:t>
      </w:r>
      <w:r>
        <w:rPr>
          <w:rStyle w:val="FootnoteAnchor"/>
          <w:color w:val="000000"/>
          <w:sz w:val="22"/>
          <w:szCs w:val="22"/>
        </w:rPr>
        <w:footnoteReference w:id="31"/>
      </w:r>
      <w:r>
        <w:rPr>
          <w:color w:val="000000"/>
          <w:sz w:val="22"/>
          <w:szCs w:val="22"/>
        </w:rPr>
        <w:t xml:space="preserve"> At the same time, significantly fewer women than men hold the position of director, but approximately twice that number have traditionally held assistant director positions: six rectors (13 percent) versus 37 vice rectors (21 percent), 15 college presidents (28 percent) versus 36 assistant presidents (31 percent), 11 principles of professional education schools (13 percent) versus 40 assistant principles (45 percent), and 1,244 high school principals (33 percent) versus 3,965 assistant principals (54 percent).</w:t>
      </w:r>
      <w:r>
        <w:rPr>
          <w:rStyle w:val="FootnoteAnchor"/>
          <w:color w:val="000000"/>
          <w:sz w:val="22"/>
          <w:szCs w:val="22"/>
        </w:rPr>
        <w:footnoteReference w:id="32"/>
      </w:r>
      <w:r>
        <w:rPr>
          <w:color w:val="000000"/>
          <w:sz w:val="22"/>
          <w:szCs w:val="22"/>
        </w:rPr>
        <w:t xml:space="preserve">  </w:t>
      </w:r>
    </w:p>
    <w:p>
      <w:pPr>
        <w:pStyle w:val="Normal"/>
        <w:jc w:val="both"/>
        <w:rPr>
          <w:rFonts w:eastAsia="Times New Roman"/>
        </w:rPr>
      </w:pPr>
      <w:r>
        <w:rPr>
          <w:rFonts w:eastAsia="Times New Roman"/>
        </w:rPr>
      </w:r>
    </w:p>
    <w:p>
      <w:pPr>
        <w:pStyle w:val="Normal"/>
        <w:jc w:val="both"/>
        <w:rPr/>
      </w:pPr>
      <w:r>
        <w:rPr>
          <w:color w:val="000000"/>
          <w:sz w:val="22"/>
          <w:szCs w:val="22"/>
        </w:rPr>
        <w:tab/>
        <w:t>A gender balance has yet to be attained in terms of the number of girls attending general education institutions (46.2 percent). After high school, girls prefer to attend specialized educational institutions instead of higher educational institutions (65.3 percent versus 48.2percent).</w:t>
      </w:r>
      <w:r>
        <w:rPr>
          <w:rStyle w:val="FootnoteAnchor"/>
          <w:color w:val="000000"/>
          <w:sz w:val="22"/>
          <w:szCs w:val="22"/>
        </w:rPr>
        <w:footnoteReference w:id="33"/>
      </w:r>
      <w:r>
        <w:rPr>
          <w:color w:val="000000"/>
          <w:sz w:val="22"/>
          <w:szCs w:val="22"/>
        </w:rPr>
        <w:t xml:space="preserve"> As experts from UN CESCR have noted in their recommendations, persisting gender inequality in education will result in unequal employment opportunities.</w:t>
      </w:r>
      <w:r>
        <w:rPr>
          <w:rStyle w:val="FootnoteAnchor"/>
          <w:color w:val="000000"/>
          <w:sz w:val="22"/>
          <w:szCs w:val="22"/>
        </w:rPr>
        <w:footnoteReference w:id="34"/>
      </w:r>
      <w:r>
        <w:rPr>
          <w:color w:val="000000"/>
          <w:sz w:val="22"/>
          <w:szCs w:val="22"/>
        </w:rPr>
        <w:t xml:space="preserve"> It is important to stress that, even though there are no state statistics on areas of education chosen by girls and women, employment data does provide evidence that women rarely work in “male,” technical, and therefore, highly-paid specializations. Meanwhile, two-thirds of Azerbaijan’s revenue comes from the industrial sector. </w:t>
      </w:r>
    </w:p>
    <w:p>
      <w:pPr>
        <w:pStyle w:val="Normal"/>
        <w:jc w:val="both"/>
        <w:rPr/>
      </w:pPr>
      <w:r>
        <w:rPr/>
      </w:r>
    </w:p>
    <w:p>
      <w:pPr>
        <w:pStyle w:val="Normal"/>
        <w:jc w:val="both"/>
        <w:rPr/>
      </w:pPr>
      <w:r>
        <w:rPr>
          <w:color w:val="000000"/>
          <w:sz w:val="22"/>
          <w:szCs w:val="22"/>
        </w:rPr>
        <w:tab/>
        <w:t>Article 241 of Azerbaijan’s Labor Code</w:t>
      </w:r>
      <w:r>
        <w:rPr>
          <w:rStyle w:val="FootnoteAnchor"/>
          <w:color w:val="000000"/>
          <w:sz w:val="22"/>
          <w:szCs w:val="22"/>
        </w:rPr>
        <w:footnoteReference w:id="35"/>
      </w:r>
      <w:r>
        <w:rPr>
          <w:color w:val="000000"/>
          <w:sz w:val="22"/>
          <w:szCs w:val="22"/>
        </w:rPr>
        <w:t xml:space="preserve"> and Resolution No. 170 of the Cabinet of Ministers of the Republic of Azerbaijan “On the Approval of a List of Arduous and Harmful Sectors, Professions (Positions) and Underground Jobs Banned for Women” of October 20, 1999</w:t>
      </w:r>
      <w:r>
        <w:rPr>
          <w:rStyle w:val="FootnoteAnchor"/>
          <w:color w:val="000000"/>
          <w:sz w:val="22"/>
          <w:szCs w:val="22"/>
        </w:rPr>
        <w:footnoteReference w:id="36"/>
      </w:r>
      <w:r>
        <w:rPr>
          <w:color w:val="000000"/>
          <w:sz w:val="22"/>
          <w:szCs w:val="22"/>
        </w:rPr>
        <w:t xml:space="preserve"> places restrictions on the employment of women in over 400 professions in 27 branches of industry, including jobs that are well-paid and in high demand in Azerbaijan, and in 34 positions common to all branches of industry. In a country dominated by the oil and gas, energy, chemical, food, metallurgical, and machine- and ship-building industries, bans on the labor of women in a number of professions in these sectors deprives them of access to a large number of jobs, and, as a result, complicates their path to economic independence. Women also cannot work for the railroad, which is one of the country’s main means of transportation. The content and structure of the list is similar to the list of banned professions in Russia, which a number of UN committees recommended for cancellation and which will be curtailed in 2021.</w:t>
      </w:r>
      <w:r>
        <w:rPr>
          <w:rStyle w:val="FootnoteAnchor"/>
          <w:color w:val="000000"/>
          <w:sz w:val="22"/>
          <w:szCs w:val="22"/>
        </w:rPr>
        <w:footnoteReference w:id="37"/>
      </w:r>
    </w:p>
    <w:p>
      <w:pPr>
        <w:pStyle w:val="Normal"/>
        <w:jc w:val="both"/>
        <w:rPr/>
      </w:pPr>
      <w:r>
        <w:rPr/>
      </w:r>
    </w:p>
    <w:p>
      <w:pPr>
        <w:pStyle w:val="Normal"/>
        <w:jc w:val="both"/>
        <w:rPr/>
      </w:pPr>
      <w:r>
        <w:rPr>
          <w:color w:val="000000"/>
          <w:sz w:val="22"/>
          <w:szCs w:val="22"/>
        </w:rPr>
        <w:tab/>
        <w:t>Azerbaijan’s laws contain discriminatory norms in spite of the principle of employment equality regardless of gender. The report of Azerbaijan’s human rights ombudsman, who mainly works on issues related to labor and employment and has a special adviser on the protection of women’s rights, did not raise the problem of the list of professions banned for women, which violates the rights of women.</w:t>
      </w:r>
      <w:r>
        <w:rPr>
          <w:rStyle w:val="FootnoteAnchor"/>
          <w:color w:val="000000"/>
          <w:sz w:val="22"/>
          <w:szCs w:val="22"/>
        </w:rPr>
        <w:footnoteReference w:id="38"/>
      </w:r>
      <w:r>
        <w:rPr>
          <w:color w:val="000000"/>
          <w:sz w:val="22"/>
          <w:szCs w:val="22"/>
        </w:rPr>
        <w:t xml:space="preserve"> The state generally explains that professional bans are needed out of concern for women’s reproductive health, but, in its views on an individual communication,</w:t>
      </w:r>
      <w:r>
        <w:rPr>
          <w:rStyle w:val="FootnoteAnchor"/>
          <w:color w:val="000000"/>
          <w:sz w:val="22"/>
          <w:szCs w:val="22"/>
        </w:rPr>
        <w:footnoteReference w:id="39"/>
      </w:r>
      <w:r>
        <w:rPr>
          <w:color w:val="000000"/>
          <w:sz w:val="22"/>
          <w:szCs w:val="22"/>
        </w:rPr>
        <w:t xml:space="preserve"> UN CEDAW noted that protective measures that actually restrict women’s right to work cannot be interpreted too broadly and called for the application of “the list of restricted or prohibited occupations and sectors...strictly to protecting maternity”. </w:t>
      </w:r>
    </w:p>
    <w:p>
      <w:pPr>
        <w:pStyle w:val="Normal"/>
        <w:jc w:val="both"/>
        <w:rPr/>
      </w:pPr>
      <w:r>
        <w:rPr/>
      </w:r>
    </w:p>
    <w:p>
      <w:pPr>
        <w:pStyle w:val="Normal"/>
        <w:jc w:val="both"/>
        <w:rPr>
          <w:color w:val="000000"/>
          <w:sz w:val="22"/>
          <w:szCs w:val="22"/>
        </w:rPr>
      </w:pPr>
      <w:r>
        <w:rPr>
          <w:rFonts w:eastAsia="NSimSun" w:cs="Arial"/>
          <w:color w:val="000000"/>
          <w:sz w:val="22"/>
          <w:szCs w:val="22"/>
        </w:rPr>
        <w:tab/>
        <w:t xml:space="preserve">Certain working conditions should be recognized as harmful for both men and women, and reproductive function should be safeguarded regardless of gender. Since there are no such “protective” measures for men’s reproductive health, the lists of banned professions for women is discriminatory. Moreover, the bans are applicable to all women regardless of whether they would like or are able to have children or if they already have children and are not planning to have more. </w:t>
      </w:r>
    </w:p>
    <w:p>
      <w:pPr>
        <w:pStyle w:val="Normal"/>
        <w:jc w:val="both"/>
        <w:rPr/>
      </w:pPr>
      <w:r>
        <w:rPr/>
      </w:r>
    </w:p>
    <w:p>
      <w:pPr>
        <w:pStyle w:val="Normal"/>
        <w:jc w:val="both"/>
        <w:rPr>
          <w:color w:val="000000"/>
          <w:sz w:val="22"/>
          <w:szCs w:val="22"/>
        </w:rPr>
      </w:pPr>
      <w:r>
        <w:rPr>
          <w:color w:val="000000"/>
          <w:sz w:val="22"/>
          <w:szCs w:val="22"/>
        </w:rPr>
        <w:tab/>
        <w:t>However, it is important not to downplay the significant negative impact of gender defined roles on the part of society in general and the government of Azerbaijan. The state continues to hold that women cannot work in “male” sectors. For example, the authors of a report on the miniscule percentage of women working at the Ministry of Internal Affairs (10 percent) clarified that “obviously, the number of women is less than the number of men” because of the type of work, which, according to the authorities, would be difficult for women to succeed in. This includes identifying and arresting criminals, preventing and solving crimes, and maintaining law and order.</w:t>
      </w:r>
      <w:r>
        <w:rPr>
          <w:rStyle w:val="FootnoteAnchor"/>
          <w:color w:val="000000"/>
          <w:sz w:val="22"/>
          <w:szCs w:val="22"/>
        </w:rPr>
        <w:footnoteReference w:id="40"/>
      </w:r>
      <w:r>
        <w:rPr>
          <w:color w:val="000000"/>
          <w:sz w:val="22"/>
          <w:szCs w:val="22"/>
        </w:rPr>
        <w:t xml:space="preserve"> It is especially tragic that, by 2017, only 6.7 percent of Azerbaijani women had driver’s licenses and that this figure increased by only 2.1 percent over nine years.</w:t>
      </w:r>
      <w:r>
        <w:rPr>
          <w:rStyle w:val="FootnoteAnchor"/>
          <w:color w:val="000000"/>
          <w:sz w:val="22"/>
          <w:szCs w:val="22"/>
        </w:rPr>
        <w:footnoteReference w:id="41"/>
      </w:r>
      <w:r>
        <w:rPr>
          <w:color w:val="000000"/>
          <w:sz w:val="22"/>
          <w:szCs w:val="22"/>
        </w:rPr>
        <w:t xml:space="preserve"> </w:t>
      </w:r>
    </w:p>
    <w:p>
      <w:pPr>
        <w:pStyle w:val="Normal"/>
        <w:jc w:val="both"/>
        <w:rPr/>
      </w:pPr>
      <w:r>
        <w:rPr/>
      </w:r>
    </w:p>
    <w:p>
      <w:pPr>
        <w:pStyle w:val="Normal"/>
        <w:jc w:val="both"/>
        <w:rPr/>
      </w:pPr>
      <w:r>
        <w:rPr>
          <w:rFonts w:eastAsia="NSimSun" w:cs="Arial"/>
          <w:color w:val="000000"/>
          <w:sz w:val="22"/>
          <w:szCs w:val="22"/>
        </w:rPr>
        <w:tab/>
        <w:t>Even though the authorities have announced special measures to reduce unemployment among women and to improve their economic situation, it is clear that lifting bans on employment in several hundred professions could significantly improve the situation. Thus, by keeping the list of banned professions, the government forbids women from choosing the better paid professions and decides that women in general should earn less than men. Professional bans result in discriminatory and restrictive approaches to women’s socioeconomic opportunities and achievements in, their professional realization, and even their private life, limiting their ability to make their own choices.</w:t>
      </w:r>
    </w:p>
    <w:p>
      <w:pPr>
        <w:pStyle w:val="Normal"/>
        <w:jc w:val="both"/>
        <w:rPr>
          <w:rFonts w:eastAsia="NSimSun" w:cs="Arial"/>
          <w:color w:val="000000"/>
          <w:sz w:val="22"/>
          <w:szCs w:val="22"/>
        </w:rPr>
      </w:pPr>
      <w:r>
        <w:rPr>
          <w:rFonts w:eastAsia="NSimSun" w:cs="Arial"/>
          <w:color w:val="000000"/>
          <w:sz w:val="22"/>
          <w:szCs w:val="22"/>
        </w:rPr>
      </w:r>
    </w:p>
    <w:p>
      <w:pPr>
        <w:pStyle w:val="TextBody"/>
        <w:spacing w:lineRule="auto" w:line="240" w:before="0" w:after="0"/>
        <w:jc w:val="both"/>
        <w:rPr>
          <w:color w:val="000000"/>
          <w:sz w:val="22"/>
          <w:szCs w:val="22"/>
        </w:rPr>
      </w:pPr>
      <w:r>
        <w:rPr>
          <w:rFonts w:cs="Times New Roman"/>
          <w:i/>
          <w:iCs/>
          <w:color w:val="000000"/>
          <w:sz w:val="22"/>
          <w:szCs w:val="22"/>
          <w:u w:val="single"/>
        </w:rPr>
        <w:t>Recommendations:</w:t>
      </w:r>
      <w:r>
        <w:rPr>
          <w:rFonts w:cs="Times New Roman"/>
          <w:i/>
          <w:iCs/>
          <w:color w:val="000000"/>
          <w:sz w:val="22"/>
          <w:szCs w:val="22"/>
        </w:rPr>
        <w:t xml:space="preserve"> </w:t>
      </w:r>
    </w:p>
    <w:p>
      <w:pPr>
        <w:pStyle w:val="TextBody"/>
        <w:spacing w:lineRule="auto" w:line="240" w:before="0" w:after="0"/>
        <w:jc w:val="both"/>
        <w:rPr>
          <w:color w:val="000000"/>
          <w:sz w:val="22"/>
          <w:szCs w:val="22"/>
        </w:rPr>
      </w:pPr>
      <w:r>
        <w:rPr>
          <w:rFonts w:cs="Times New Roman"/>
          <w:i/>
          <w:iCs/>
          <w:color w:val="000000"/>
          <w:sz w:val="22"/>
          <w:szCs w:val="22"/>
        </w:rPr>
        <w:t>- Repeal</w:t>
      </w:r>
      <w:r>
        <w:rPr>
          <w:rFonts w:cs="Times New Roman"/>
          <w:b/>
          <w:bCs/>
          <w:i/>
          <w:iCs/>
          <w:color w:val="000000"/>
          <w:sz w:val="22"/>
          <w:szCs w:val="22"/>
        </w:rPr>
        <w:t xml:space="preserve"> </w:t>
      </w:r>
      <w:r>
        <w:rPr>
          <w:rFonts w:cs="Times New Roman"/>
          <w:i/>
          <w:iCs/>
          <w:color w:val="000000"/>
          <w:sz w:val="22"/>
          <w:szCs w:val="22"/>
        </w:rPr>
        <w:t>the list of occupations prohibited for women</w:t>
      </w:r>
    </w:p>
    <w:p>
      <w:pPr>
        <w:pStyle w:val="TextBody"/>
        <w:spacing w:lineRule="auto" w:line="240" w:before="0" w:after="0"/>
        <w:jc w:val="both"/>
        <w:rPr>
          <w:color w:val="000000"/>
          <w:sz w:val="22"/>
          <w:szCs w:val="22"/>
        </w:rPr>
      </w:pPr>
      <w:r>
        <w:rPr>
          <w:rFonts w:cs="Times New Roman"/>
          <w:i/>
          <w:iCs/>
          <w:color w:val="000000"/>
          <w:sz w:val="22"/>
          <w:szCs w:val="22"/>
        </w:rPr>
        <w:t>- Promote and facilitate the entry of women into previously restricted or prohibited jobs by improving working conditions and adopting appropriate temporary special measures to encourage such recruitment</w:t>
      </w:r>
    </w:p>
    <w:p>
      <w:pPr>
        <w:pStyle w:val="TextBody"/>
        <w:spacing w:lineRule="auto" w:line="240" w:before="0" w:after="0"/>
        <w:jc w:val="both"/>
        <w:rPr>
          <w:color w:val="000000"/>
          <w:sz w:val="22"/>
          <w:szCs w:val="22"/>
        </w:rPr>
      </w:pPr>
      <w:r>
        <w:rPr>
          <w:rFonts w:eastAsia="NSimSun" w:cs="Times New Roman"/>
          <w:i/>
          <w:iCs/>
          <w:color w:val="000000"/>
          <w:sz w:val="22"/>
          <w:szCs w:val="22"/>
        </w:rPr>
        <w:t>- Guarantee real access to all professions for women</w:t>
      </w:r>
    </w:p>
    <w:p>
      <w:pPr>
        <w:pStyle w:val="TextBody"/>
        <w:spacing w:lineRule="auto" w:line="240" w:before="0" w:after="0"/>
        <w:jc w:val="both"/>
        <w:rPr>
          <w:color w:val="000000"/>
          <w:sz w:val="22"/>
          <w:szCs w:val="22"/>
        </w:rPr>
      </w:pPr>
      <w:r>
        <w:rPr>
          <w:rFonts w:eastAsia="NSimSun" w:cs="Times New Roman"/>
          <w:i/>
          <w:iCs/>
          <w:color w:val="000000"/>
          <w:sz w:val="22"/>
          <w:szCs w:val="22"/>
        </w:rPr>
        <w:t xml:space="preserve">- Take measures to overcome negative gender stereotypes held by society and government representatives </w:t>
      </w:r>
    </w:p>
    <w:p>
      <w:pPr>
        <w:pStyle w:val="TextBody"/>
        <w:spacing w:lineRule="auto" w:line="240" w:before="0" w:after="0"/>
        <w:jc w:val="both"/>
        <w:rPr>
          <w:rFonts w:cs="Arial"/>
          <w:b/>
          <w:b/>
          <w:bCs/>
        </w:rPr>
      </w:pPr>
      <w:r>
        <w:rPr>
          <w:rFonts w:eastAsia="NSimSun" w:cs="Arial"/>
          <w:i/>
          <w:iCs/>
          <w:color w:val="000000"/>
          <w:sz w:val="22"/>
          <w:szCs w:val="22"/>
        </w:rPr>
        <w:t>- Promote the education of women in areas that have not traditionally been popular for them</w:t>
      </w:r>
    </w:p>
    <w:p>
      <w:pPr>
        <w:pStyle w:val="Normal"/>
        <w:jc w:val="center"/>
        <w:rPr/>
      </w:pPr>
      <w:r>
        <w:rPr/>
      </w:r>
    </w:p>
    <w:sectPr>
      <w:footnotePr>
        <w:numFmt w:val="decimal"/>
      </w:footnotePr>
      <w:type w:val="nextPage"/>
      <w:pgSz w:w="11906" w:h="16838"/>
      <w:pgMar w:left="1134" w:right="1134" w:header="0" w:top="1134" w:footer="0" w:bottom="1134" w:gutter="0"/>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roman"/>
    <w:pitch w:val="variable"/>
  </w:font>
  <w:font w:name="Warnockpro">
    <w:charset w:val="00"/>
    <w:family w:val="roman"/>
    <w:pitch w:val="variable"/>
  </w:font>
  <w:font w:name="Roboto Slab">
    <w:altName w:val="serif"/>
    <w:charset w:val="00"/>
    <w:family w:val="roman"/>
    <w:pitch w:val="variable"/>
  </w:font>
  <w:font w:name="Liberation Sans">
    <w:altName w:val="Arial"/>
    <w:charset w:val="00"/>
    <w:family w:val="roman"/>
    <w:pitch w:val="variable"/>
  </w:font>
  <w:font w:name="Calibri">
    <w:charset w:val="00"/>
    <w:family w:val="roman"/>
    <w:pitch w:val="variable"/>
  </w:font>
  <w:font w:name="serif">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rPr/>
      </w:pPr>
      <w:r>
        <w:rPr>
          <w:rStyle w:val="FootnoteCharacters"/>
        </w:rPr>
        <w:footnoteRef/>
      </w:r>
      <w:r>
        <w:rPr/>
        <w:tab/>
        <w:t>“</w:t>
      </w:r>
      <w:r>
        <w:rPr/>
        <w:t xml:space="preserve">Oil Does Not Bring Happiness: Why Azerbaijanis are Fleeing to Russia,” </w:t>
      </w:r>
      <w:r>
        <w:rPr>
          <w:i/>
          <w:iCs/>
        </w:rPr>
        <w:t xml:space="preserve">Gazeta,ru, </w:t>
      </w:r>
      <w:r>
        <w:rPr/>
        <w:t xml:space="preserve">March 2019, </w:t>
      </w:r>
      <w:hyperlink r:id="rId1">
        <w:r>
          <w:rPr>
            <w:rStyle w:val="InternetLink"/>
          </w:rPr>
          <w:t>https://www.gazeta.ru/business/2019/02/21/12198475.shtml?updated</w:t>
        </w:r>
      </w:hyperlink>
      <w:r>
        <w:rPr/>
        <w:t xml:space="preserve"> [in Russian]</w:t>
      </w:r>
    </w:p>
  </w:footnote>
  <w:footnote w:id="3">
    <w:p>
      <w:pPr>
        <w:pStyle w:val="Footnote"/>
        <w:rPr/>
      </w:pPr>
      <w:r>
        <w:rPr>
          <w:rStyle w:val="FootnoteCharacters"/>
        </w:rPr>
        <w:footnoteRef/>
      </w:r>
      <w:r>
        <w:rPr>
          <w:rStyle w:val="Style12"/>
          <w:rFonts w:eastAsia="Times New Roman" w:cs="Times New Roman" w:ascii="Times New Roman" w:hAnsi="Times New Roman"/>
          <w:b w:val="false"/>
          <w:bCs w:val="false"/>
        </w:rPr>
        <w:tab/>
        <w:t xml:space="preserve">According to the Federal Migration Service of Russia, in January 2016 there were 522,757 (338,662 male and 184,095 female) citizens of Azerbaijan in Russia. “Every Azerbaijani Citizen in Russia Counted,” </w:t>
      </w:r>
      <w:r>
        <w:rPr>
          <w:rStyle w:val="Style12"/>
          <w:rFonts w:eastAsia="Times New Roman" w:cs="Times New Roman" w:ascii="Times New Roman" w:hAnsi="Times New Roman"/>
          <w:b w:val="false"/>
          <w:bCs w:val="false"/>
          <w:i/>
          <w:iCs/>
          <w:color w:val="333333"/>
        </w:rPr>
        <w:t>Haqqin.az</w:t>
      </w:r>
      <w:r>
        <w:rPr>
          <w:rStyle w:val="Style12"/>
          <w:rFonts w:eastAsia="Times New Roman" w:cs="Times New Roman" w:ascii="Times New Roman" w:hAnsi="Times New Roman"/>
          <w:b w:val="false"/>
          <w:bCs w:val="false"/>
          <w:color w:val="333333"/>
        </w:rPr>
        <w:t>, January 2016</w:t>
      </w:r>
      <w:r>
        <w:rPr>
          <w:rStyle w:val="Style12"/>
          <w:rFonts w:eastAsia="Times New Roman" w:cs="Times New Roman" w:ascii="Times New Roman" w:hAnsi="Times New Roman"/>
          <w:b w:val="false"/>
          <w:bCs w:val="false"/>
        </w:rPr>
        <w:t xml:space="preserve"> </w:t>
      </w:r>
      <w:hyperlink r:id="rId2">
        <w:r>
          <w:rPr>
            <w:rStyle w:val="Style11"/>
            <w:rFonts w:ascii="Times New Roman" w:hAnsi="Times New Roman"/>
          </w:rPr>
          <w:t>https://haqqin.az/news/61225</w:t>
        </w:r>
      </w:hyperlink>
      <w:r>
        <w:rPr>
          <w:rFonts w:ascii="Times New Roman" w:hAnsi="Times New Roman"/>
        </w:rPr>
        <w:t xml:space="preserve"> [in Russian]; “’The Family is not Protected’: Why and Where Azerbaijanis Go,” BBC’s Russian Service, October 2017,  </w:t>
      </w:r>
      <w:hyperlink r:id="rId3">
        <w:r>
          <w:rPr>
            <w:rStyle w:val="Style12"/>
            <w:rFonts w:eastAsia="Times New Roman" w:cs="Times New Roman" w:ascii="Times New Roman" w:hAnsi="Times New Roman"/>
            <w:b w:val="false"/>
            <w:bCs w:val="false"/>
          </w:rPr>
          <w:t>https://www.bbc.com/russian/features-40683693</w:t>
        </w:r>
      </w:hyperlink>
      <w:r>
        <w:rPr>
          <w:rStyle w:val="Style12"/>
          <w:rFonts w:eastAsia="Times New Roman" w:cs="Times New Roman" w:ascii="Times New Roman" w:hAnsi="Times New Roman"/>
          <w:b w:val="false"/>
          <w:bCs w:val="false"/>
        </w:rPr>
        <w:t xml:space="preserve"> [in Russian], “3 Million Azerbaijanis in Russia—An Inflated Figure” </w:t>
      </w:r>
      <w:r>
        <w:rPr>
          <w:rStyle w:val="Style12"/>
          <w:rFonts w:eastAsia="Times New Roman" w:cs="Times New Roman" w:ascii="Times New Roman" w:hAnsi="Times New Roman"/>
          <w:b w:val="false"/>
          <w:bCs w:val="false"/>
          <w:i/>
          <w:iCs/>
        </w:rPr>
        <w:t xml:space="preserve">Caucasian Knot, </w:t>
      </w:r>
      <w:r>
        <w:rPr>
          <w:rStyle w:val="Style12"/>
          <w:rFonts w:eastAsia="Times New Roman" w:cs="Times New Roman" w:ascii="Times New Roman" w:hAnsi="Times New Roman"/>
          <w:b w:val="false"/>
          <w:bCs w:val="false"/>
        </w:rPr>
        <w:t xml:space="preserve">October 2017, </w:t>
      </w:r>
      <w:hyperlink r:id="rId4">
        <w:r>
          <w:rPr>
            <w:rStyle w:val="Style12"/>
            <w:rFonts w:eastAsia="Times New Roman" w:cs="Times New Roman" w:ascii="Times New Roman" w:hAnsi="Times New Roman"/>
            <w:b w:val="false"/>
            <w:bCs w:val="false"/>
          </w:rPr>
          <w:t>http://www.kavkaz-uzel.eu/blogs/83772/posts/30438</w:t>
        </w:r>
      </w:hyperlink>
      <w:r>
        <w:rPr>
          <w:rStyle w:val="Style12"/>
          <w:rFonts w:eastAsia="Times New Roman" w:cs="Times New Roman" w:ascii="Times New Roman" w:hAnsi="Times New Roman"/>
          <w:b w:val="false"/>
          <w:bCs w:val="false"/>
        </w:rPr>
        <w:t xml:space="preserve"> [in Russian] ;  “Number of Azerbaijani Migrants in Russia Grows”, </w:t>
      </w:r>
      <w:r>
        <w:rPr>
          <w:rStyle w:val="Style12"/>
          <w:rFonts w:eastAsia="Times New Roman" w:cs="Times New Roman" w:ascii="Times New Roman" w:hAnsi="Times New Roman"/>
          <w:b w:val="false"/>
          <w:bCs w:val="false"/>
          <w:i/>
          <w:iCs/>
        </w:rPr>
        <w:t xml:space="preserve">Zerkalo, </w:t>
      </w:r>
      <w:r>
        <w:rPr>
          <w:rStyle w:val="Style12"/>
          <w:rFonts w:eastAsia="Times New Roman" w:cs="Times New Roman" w:ascii="Times New Roman" w:hAnsi="Times New Roman"/>
          <w:b w:val="false"/>
          <w:bCs w:val="false"/>
        </w:rPr>
        <w:t xml:space="preserve">March 2019, </w:t>
      </w:r>
      <w:hyperlink r:id="rId5">
        <w:r>
          <w:rPr>
            <w:rStyle w:val="Style12"/>
            <w:rFonts w:eastAsia="Times New Roman" w:cs="Times New Roman" w:ascii="Times New Roman" w:hAnsi="Times New Roman"/>
            <w:b w:val="false"/>
            <w:bCs w:val="false"/>
          </w:rPr>
          <w:t>http://zerkalo.az/azerbajdzhanskih-migrantov-v-rossii-stalo-bolshe/</w:t>
        </w:r>
      </w:hyperlink>
      <w:r>
        <w:rPr>
          <w:rStyle w:val="Style12"/>
          <w:rFonts w:eastAsia="Times New Roman" w:cs="Times New Roman" w:ascii="Times New Roman" w:hAnsi="Times New Roman"/>
          <w:b w:val="false"/>
          <w:bCs w:val="false"/>
        </w:rPr>
        <w:t xml:space="preserve"> [in Russian]</w:t>
      </w:r>
    </w:p>
  </w:footnote>
  <w:footnote w:id="4">
    <w:p>
      <w:pPr>
        <w:pStyle w:val="Footnote"/>
        <w:rPr/>
      </w:pPr>
      <w:r>
        <w:rPr>
          <w:rStyle w:val="FootnoteCharacters"/>
        </w:rPr>
        <w:footnoteRef/>
      </w:r>
      <w:hyperlink r:id="rId6">
        <w:r>
          <w:rPr>
            <w:rStyle w:val="Style11"/>
          </w:rPr>
          <w:tab/>
          <w:t>http://diaspor.gov.az/en/azerbaijan/diaspor2.php</w:t>
        </w:r>
      </w:hyperlink>
      <w:r>
        <w:rPr/>
        <w:t xml:space="preserve"> </w:t>
      </w:r>
    </w:p>
  </w:footnote>
  <w:footnote w:id="5">
    <w:p>
      <w:pPr>
        <w:pStyle w:val="Footnote"/>
        <w:rPr/>
      </w:pPr>
      <w:r>
        <w:rPr>
          <w:rStyle w:val="FootnoteCharacters"/>
        </w:rPr>
        <w:footnoteRef/>
      </w:r>
      <w:r>
        <w:rPr/>
        <w:tab/>
        <w:t xml:space="preserve"> </w:t>
      </w:r>
      <w:r>
        <w:rPr/>
        <w:t>Field information, ADC Memorial, 2018.</w:t>
      </w:r>
    </w:p>
  </w:footnote>
  <w:footnote w:id="6">
    <w:p>
      <w:pPr>
        <w:pStyle w:val="Footnote"/>
        <w:rPr/>
      </w:pPr>
      <w:r>
        <w:rPr>
          <w:rStyle w:val="FootnoteCharacters"/>
        </w:rPr>
        <w:footnoteRef/>
      </w:r>
      <w:r>
        <w:rPr/>
        <w:tab/>
        <w:t xml:space="preserve"> </w:t>
      </w:r>
      <w:r>
        <w:rPr/>
        <w:t>Field information, ADC Memorial, 2018.</w:t>
      </w:r>
    </w:p>
  </w:footnote>
  <w:footnote w:id="7">
    <w:p>
      <w:pPr>
        <w:pStyle w:val="Footnote"/>
        <w:rPr/>
      </w:pPr>
      <w:r>
        <w:rPr>
          <w:rStyle w:val="FootnoteCharacters"/>
        </w:rPr>
        <w:footnoteRef/>
      </w:r>
      <w:r>
        <w:rPr/>
        <w:tab/>
        <w:t xml:space="preserve">Ruling of </w:t>
      </w:r>
      <w:r>
        <w:rPr>
          <w:rStyle w:val="Style12"/>
          <w:rFonts w:eastAsia="Times New Roman" w:cs="Times New Roman" w:ascii="Times New Roman" w:hAnsi="Times New Roman"/>
          <w:b w:val="false"/>
          <w:bCs w:val="false"/>
        </w:rPr>
        <w:t xml:space="preserve">the Supreme Court of the Russian Federation </w:t>
      </w:r>
      <w:r>
        <w:rPr/>
        <w:t xml:space="preserve">№ 15-APG14-11 of </w:t>
      </w:r>
      <w:r>
        <w:rPr>
          <w:rStyle w:val="Style12"/>
          <w:rFonts w:eastAsia="Times New Roman" w:cs="Times New Roman" w:ascii="Times New Roman" w:hAnsi="Times New Roman"/>
          <w:b w:val="false"/>
          <w:bCs w:val="false"/>
        </w:rPr>
        <w:t xml:space="preserve">February 11, 2015 </w:t>
      </w:r>
      <w:r>
        <w:fldChar w:fldCharType="begin"/>
      </w:r>
      <w:r>
        <w:rPr>
          <w:rStyle w:val="Style11"/>
        </w:rPr>
        <w:instrText> HYPERLINK "http://www.consultant.ru/cons/cgi/online.cgi?req=doc&amp;ts=100443122908787624341808302&amp;cacheid=AA60083A32596D41CE2DE86952AD3AF8&amp;mode=splus&amp;base=ARB002&amp;n=421772&amp;rnd=0.06796033988774086" \l "04595045764354735"</w:instrText>
      </w:r>
      <w:r>
        <w:rPr>
          <w:rStyle w:val="Style11"/>
        </w:rPr>
        <w:fldChar w:fldCharType="separate"/>
      </w:r>
      <w:r>
        <w:rPr>
          <w:rStyle w:val="Style11"/>
        </w:rPr>
        <w:t>http://www.consultant.ru/cons/cgi/online.cgi?req=doc&amp;ts=100443122908787624341808302&amp;cacheid=AA60083A32596D41CE2DE86952AD3AF8&amp;mode=splus&amp;base=ARB002&amp;n=421772&amp;rnd=0.06796033988774086#04595045764354735</w:t>
      </w:r>
      <w:r>
        <w:rPr>
          <w:rStyle w:val="Style11"/>
        </w:rPr>
        <w:fldChar w:fldCharType="end"/>
      </w:r>
      <w:r>
        <w:rPr/>
        <w:t xml:space="preserve"> </w:t>
      </w:r>
    </w:p>
  </w:footnote>
  <w:footnote w:id="8">
    <w:p>
      <w:pPr>
        <w:pStyle w:val="LOnormal"/>
        <w:jc w:val="both"/>
        <w:rPr/>
      </w:pPr>
      <w:r>
        <w:rPr>
          <w:rStyle w:val="FootnoteCharacters"/>
        </w:rPr>
        <w:footnoteRef/>
      </w:r>
      <w:r>
        <w:rPr>
          <w:rStyle w:val="Style13"/>
        </w:rPr>
        <w:tab/>
      </w:r>
      <w:r>
        <w:rPr>
          <w:rFonts w:eastAsia="Times New Roman" w:cs="Times New Roman" w:ascii="Times New Roman" w:hAnsi="Times New Roman"/>
          <w:sz w:val="20"/>
          <w:szCs w:val="20"/>
        </w:rPr>
        <w:t xml:space="preserve"> Interview with teachers and administrators of a school in the center of St. Petersburg, ADC Memorial, 2018.</w:t>
      </w:r>
    </w:p>
  </w:footnote>
  <w:footnote w:id="9">
    <w:p>
      <w:pPr>
        <w:pStyle w:val="Footnote"/>
        <w:rPr/>
      </w:pPr>
      <w:r>
        <w:rPr>
          <w:rStyle w:val="FootnoteCharacters"/>
        </w:rPr>
        <w:footnoteRef/>
      </w:r>
      <w:r>
        <w:rPr/>
        <w:tab/>
        <w:t xml:space="preserve"> </w:t>
      </w:r>
      <w:r>
        <w:rPr/>
        <w:t>With an elective in the Azerbaijani language</w:t>
      </w:r>
    </w:p>
  </w:footnote>
  <w:footnote w:id="10">
    <w:p>
      <w:pPr>
        <w:pStyle w:val="Footnote"/>
        <w:rPr/>
      </w:pPr>
      <w:r>
        <w:rPr>
          <w:rStyle w:val="FootnoteCharacters"/>
        </w:rPr>
        <w:footnoteRef/>
      </w:r>
      <w:hyperlink r:id="rId7">
        <w:r>
          <w:rPr>
            <w:rStyle w:val="InternetLink"/>
            <w:rFonts w:cs="Times New Roman" w:ascii="Times New Roman" w:hAnsi="Times New Roman"/>
            <w:bCs/>
          </w:rPr>
          <w:tab/>
          <w:t>“</w:t>
        </w:r>
        <w:r>
          <w:rPr>
            <w:rStyle w:val="InternetLink"/>
            <w:rFonts w:cs="Times New Roman" w:ascii="Times New Roman" w:hAnsi="Times New Roman"/>
            <w:bCs/>
          </w:rPr>
          <w:t>Moscow High School No. 157 has an Azerbaijani ethnocultural component,”</w:t>
        </w:r>
        <w:r>
          <w:rPr>
            <w:rStyle w:val="InternetLink"/>
            <w:rFonts w:cs="Times New Roman" w:ascii="Times New Roman" w:hAnsi="Times New Roman"/>
            <w:b/>
            <w:bCs/>
          </w:rPr>
          <w:t xml:space="preserve"> </w:t>
        </w:r>
        <w:r>
          <w:rPr>
            <w:rStyle w:val="InternetLink"/>
            <w:rFonts w:cs="Times New Roman" w:ascii="Times New Roman" w:hAnsi="Times New Roman"/>
          </w:rPr>
          <w:t>https://azj.rus4all.ru/directory_msk/20120927/723334648.html</w:t>
        </w:r>
      </w:hyperlink>
      <w:r>
        <w:rPr>
          <w:rFonts w:cs="Times New Roman" w:ascii="Times New Roman" w:hAnsi="Times New Roman"/>
        </w:rPr>
        <w:t xml:space="preserve"> [in Russian]</w:t>
      </w:r>
    </w:p>
  </w:footnote>
  <w:footnote w:id="11">
    <w:p>
      <w:pPr>
        <w:pStyle w:val="Footnote"/>
        <w:rPr/>
      </w:pPr>
      <w:r>
        <w:rPr>
          <w:rStyle w:val="FootnoteCharacters"/>
        </w:rPr>
        <w:footnoteRef/>
      </w:r>
      <w:r>
        <w:rPr/>
        <w:tab/>
        <w:t xml:space="preserve">Website of K.A. Kerimov School No. 1583 (lack of ethnocultural component) </w:t>
      </w:r>
      <w:hyperlink r:id="rId8">
        <w:r>
          <w:rPr>
            <w:rStyle w:val="Style11"/>
          </w:rPr>
          <w:t>https://gym1583s-new.mskobr.ru/info_edu/basics/</w:t>
        </w:r>
      </w:hyperlink>
      <w:r>
        <w:rPr/>
        <w:t xml:space="preserve"> </w:t>
      </w:r>
    </w:p>
  </w:footnote>
  <w:footnote w:id="12">
    <w:p>
      <w:pPr>
        <w:pStyle w:val="Footnote"/>
        <w:rPr/>
      </w:pPr>
      <w:r>
        <w:rPr>
          <w:rStyle w:val="FootnoteCharacters"/>
        </w:rPr>
        <w:footnoteRef/>
      </w:r>
      <w:r>
        <w:rPr/>
        <w:tab/>
        <w:t>“</w:t>
      </w:r>
      <w:r>
        <w:rPr/>
        <w:t xml:space="preserve">On the Current Status of the Azerbaijani Language in the Russian Federation and the Need to Raise this Status,” </w:t>
      </w:r>
      <w:r>
        <w:rPr>
          <w:i/>
          <w:iCs/>
        </w:rPr>
        <w:t xml:space="preserve">Atalar, </w:t>
      </w:r>
      <w:r>
        <w:rPr/>
        <w:t xml:space="preserve">January 2019, </w:t>
      </w:r>
      <w:hyperlink r:id="rId9">
        <w:r>
          <w:rPr>
            <w:rStyle w:val="Style11"/>
          </w:rPr>
          <w:t>https://atalar.ru/o-sovremennom-statuse-azerbajdzhanskogo-yazyka-v-rossijskoj-federatsii-i-neobhodimosti-ego-povysheniya.html</w:t>
        </w:r>
      </w:hyperlink>
      <w:r>
        <w:rPr/>
        <w:t xml:space="preserve"> [in Russian]</w:t>
      </w:r>
    </w:p>
  </w:footnote>
  <w:footnote w:id="13">
    <w:p>
      <w:pPr>
        <w:pStyle w:val="Footnote"/>
        <w:rPr/>
      </w:pPr>
      <w:r>
        <w:rPr>
          <w:rStyle w:val="FootnoteCharacters"/>
        </w:rPr>
        <w:footnoteRef/>
      </w:r>
      <w:r>
        <w:rPr/>
        <w:tab/>
        <w:t>“</w:t>
      </w:r>
      <w:r>
        <w:rPr/>
        <w:t xml:space="preserve">Creation of an Azerbaijani Language and Cultural Research Center Announced in Moscow,” </w:t>
      </w:r>
      <w:r>
        <w:rPr>
          <w:i/>
          <w:iCs/>
        </w:rPr>
        <w:t xml:space="preserve">Atalar, </w:t>
      </w:r>
      <w:r>
        <w:rPr/>
        <w:t xml:space="preserve">December 2017, </w:t>
      </w:r>
      <w:hyperlink r:id="rId10">
        <w:r>
          <w:rPr>
            <w:rStyle w:val="Style11"/>
          </w:rPr>
          <w:t>https://atalar.ru/v-moskve-obyavili-o-sozdanii-issledovatelskogo-obrazovatelnogo-tsentra-azerbajdzhanskoj-kultury-i-yazyka.html</w:t>
        </w:r>
      </w:hyperlink>
      <w:r>
        <w:rPr/>
        <w:t xml:space="preserve"> [in Russian]</w:t>
      </w:r>
    </w:p>
  </w:footnote>
  <w:footnote w:id="14">
    <w:p>
      <w:pPr>
        <w:pStyle w:val="Footnote"/>
        <w:rPr/>
      </w:pPr>
      <w:r>
        <w:rPr>
          <w:rStyle w:val="FootnoteCharacters"/>
        </w:rPr>
        <w:footnoteRef/>
      </w:r>
      <w:r>
        <w:rPr/>
        <w:tab/>
        <w:t>“</w:t>
      </w:r>
      <w:r>
        <w:rPr/>
        <w:t xml:space="preserve">On the Current Status of the Azerbaijani Language in the Russian Federation and the Need to Raise this Status,” </w:t>
      </w:r>
      <w:r>
        <w:rPr>
          <w:i/>
          <w:iCs/>
        </w:rPr>
        <w:t xml:space="preserve">Atalar, </w:t>
      </w:r>
      <w:r>
        <w:rPr/>
        <w:t xml:space="preserve">January 2019, </w:t>
      </w:r>
      <w:hyperlink r:id="rId11">
        <w:r>
          <w:rPr>
            <w:rStyle w:val="Style11"/>
          </w:rPr>
          <w:t>https://atalar.ru/o-sovremennom-statuse-azerbajdzhanskogo-yazyka-v-rossijskoj-federatsii-i-neobhodimosti-ego-povysheniya.html</w:t>
        </w:r>
      </w:hyperlink>
      <w:r>
        <w:rPr/>
        <w:t xml:space="preserve"> [in Russian]</w:t>
      </w:r>
    </w:p>
  </w:footnote>
  <w:footnote w:id="15">
    <w:p>
      <w:pPr>
        <w:pStyle w:val="Footnote"/>
        <w:rPr/>
      </w:pPr>
      <w:r>
        <w:rPr>
          <w:rStyle w:val="FootnoteCharacters"/>
        </w:rPr>
        <w:footnoteRef/>
      </w:r>
      <w:r>
        <w:rPr/>
        <w:tab/>
        <w:t xml:space="preserve">Agreement Between the Ministry of Education of the Russian Federation and the Ministry of Education of the Republic of Azerbaijan on Cooperation in the Education Sector of February 1, 1995,  </w:t>
        <w:tab/>
      </w:r>
      <w:hyperlink r:id="rId12">
        <w:r>
          <w:rPr>
            <w:rStyle w:val="Style11"/>
          </w:rPr>
          <w:t>https://nic.gov.ru/ru/docs/foreign/collaboration/agreem_coop_Azerb_1995</w:t>
        </w:r>
      </w:hyperlink>
      <w:r>
        <w:rPr/>
        <w:t xml:space="preserve"> </w:t>
      </w:r>
    </w:p>
  </w:footnote>
  <w:footnote w:id="16">
    <w:p>
      <w:pPr>
        <w:pStyle w:val="Footnote"/>
        <w:rPr/>
      </w:pPr>
      <w:r>
        <w:rPr>
          <w:rStyle w:val="FootnoteCharacters"/>
        </w:rPr>
        <w:footnoteRef/>
      </w:r>
      <w:r>
        <w:rPr/>
        <w:tab/>
        <w:t>“</w:t>
      </w:r>
      <w:r>
        <w:rPr/>
        <w:t xml:space="preserve">On the Current Status of the Azerbaijani Language in the Russian Federation and the Need to Raise this Status,” </w:t>
      </w:r>
      <w:r>
        <w:rPr>
          <w:i/>
          <w:iCs/>
        </w:rPr>
        <w:t xml:space="preserve">Atalar, </w:t>
      </w:r>
      <w:r>
        <w:rPr/>
        <w:t xml:space="preserve">January 2019, </w:t>
      </w:r>
      <w:hyperlink r:id="rId13">
        <w:r>
          <w:rPr>
            <w:rStyle w:val="Style11"/>
          </w:rPr>
          <w:t>https://atalar.ru/o-sovremennom-statuse-azerbajdzhanskogo-yazyka-v-rossijskoj-federatsii-i-neobhodimosti-ego-povysheniya.html</w:t>
        </w:r>
      </w:hyperlink>
      <w:r>
        <w:rPr/>
        <w:t xml:space="preserve"> [in Russian] </w:t>
      </w:r>
    </w:p>
  </w:footnote>
  <w:footnote w:id="17">
    <w:p>
      <w:pPr>
        <w:pStyle w:val="Footnote"/>
        <w:rPr/>
      </w:pPr>
      <w:r>
        <w:rPr>
          <w:rStyle w:val="FootnoteCharacters"/>
        </w:rPr>
        <w:footnoteRef/>
      </w:r>
      <w:r>
        <w:rPr/>
        <w:tab/>
        <w:t>“</w:t>
      </w:r>
      <w:r>
        <w:rPr/>
        <w:t xml:space="preserve">Open Letter to the Directors of Ministries and Agencies in Russia and Azerbaijan about the Situation with the Azerbaijani Language,” </w:t>
      </w:r>
      <w:r>
        <w:rPr>
          <w:i/>
          <w:iCs/>
        </w:rPr>
        <w:t xml:space="preserve">Atalar, </w:t>
      </w:r>
      <w:r>
        <w:rPr/>
        <w:t xml:space="preserve">November 2018, </w:t>
      </w:r>
      <w:hyperlink r:id="rId14">
        <w:r>
          <w:rPr>
            <w:rStyle w:val="Style11"/>
          </w:rPr>
          <w:t>https://atalar.ru/otkrytoe-pismo-rukovoditelyam-ministerstv-i-vedomstv-rossii-i-azerbajdzhana.html</w:t>
        </w:r>
      </w:hyperlink>
      <w:r>
        <w:rPr/>
        <w:t xml:space="preserve"> [in Russian]</w:t>
      </w:r>
    </w:p>
  </w:footnote>
  <w:footnote w:id="18">
    <w:p>
      <w:pPr>
        <w:pStyle w:val="Footnote"/>
        <w:rPr/>
      </w:pPr>
      <w:r>
        <w:rPr>
          <w:rStyle w:val="FootnoteCharacters"/>
        </w:rPr>
        <w:footnoteRef/>
      </w:r>
      <w:r>
        <w:rPr/>
        <w:tab/>
        <w:t>“</w:t>
      </w:r>
      <w:r>
        <w:rPr/>
        <w:t xml:space="preserve">Creation of an Azerbaijani Language and Cultural Research Center Announced in Moscow,” </w:t>
      </w:r>
      <w:r>
        <w:rPr>
          <w:i/>
          <w:iCs/>
        </w:rPr>
        <w:t xml:space="preserve">Atalar, </w:t>
      </w:r>
      <w:r>
        <w:rPr/>
        <w:t xml:space="preserve">December 2017, </w:t>
      </w:r>
      <w:hyperlink r:id="rId15">
        <w:r>
          <w:rPr>
            <w:rStyle w:val="Style11"/>
          </w:rPr>
          <w:t>https://atalar.ru/v-moskve-obyavili-o-sozdanii-issledovatelskogo-obrazovatelnogo-tsentra-azerbajdzhanskoj-kultury-i-yazyka.html</w:t>
        </w:r>
      </w:hyperlink>
      <w:r>
        <w:rPr/>
        <w:t xml:space="preserve"> [in Russian]</w:t>
      </w:r>
    </w:p>
  </w:footnote>
  <w:footnote w:id="19">
    <w:p>
      <w:pPr>
        <w:pStyle w:val="Footnote"/>
        <w:rPr/>
      </w:pPr>
      <w:r>
        <w:rPr>
          <w:rStyle w:val="FootnoteCharacters"/>
        </w:rPr>
        <w:footnoteRef/>
      </w:r>
      <w:r>
        <w:rPr/>
        <w:tab/>
        <w:t>“</w:t>
      </w:r>
      <w:r>
        <w:rPr/>
        <w:t xml:space="preserve">Open Letter to the Directors of Ministries and Agencies in Russia and Azerbaijan about the Situation with the Azerbaijani Language,” </w:t>
      </w:r>
      <w:r>
        <w:rPr>
          <w:i/>
          <w:iCs/>
        </w:rPr>
        <w:t xml:space="preserve">Atalar, </w:t>
      </w:r>
      <w:r>
        <w:rPr/>
        <w:t xml:space="preserve">November 2018, </w:t>
      </w:r>
      <w:hyperlink r:id="rId16">
        <w:r>
          <w:rPr>
            <w:rStyle w:val="Style11"/>
          </w:rPr>
          <w:t>https://atalar.ru/otkrytoe-pismo-rukovoditelyam-ministerstv-i-vedomstv-rossii-i-azerbajdzhana.html</w:t>
        </w:r>
      </w:hyperlink>
      <w:r>
        <w:rPr/>
        <w:t xml:space="preserve"> [in Russian] </w:t>
      </w:r>
    </w:p>
  </w:footnote>
  <w:footnote w:id="20">
    <w:p>
      <w:pPr>
        <w:pStyle w:val="Footnote"/>
        <w:rPr/>
      </w:pPr>
      <w:r>
        <w:rPr>
          <w:rStyle w:val="FootnoteCharacters"/>
        </w:rPr>
        <w:footnoteRef/>
      </w:r>
      <w:r>
        <w:rPr/>
        <w:tab/>
        <w:t>“</w:t>
      </w:r>
      <w:r>
        <w:rPr/>
        <w:t xml:space="preserve">Russian-Azerbaijani Interregional Forum,” Website of the President’s Administration, September 2018, </w:t>
      </w:r>
      <w:hyperlink r:id="rId17">
        <w:r>
          <w:rPr>
            <w:rStyle w:val="Style11"/>
          </w:rPr>
          <w:t>http://kremlin.ru/events/president/news/58637</w:t>
        </w:r>
      </w:hyperlink>
      <w:r>
        <w:rPr/>
        <w:t xml:space="preserve"> [in Russian]</w:t>
      </w:r>
    </w:p>
  </w:footnote>
  <w:footnote w:id="21">
    <w:p>
      <w:pPr>
        <w:pStyle w:val="Footnote"/>
        <w:rPr/>
      </w:pPr>
      <w:r>
        <w:rPr>
          <w:rStyle w:val="FootnoteCharacters"/>
        </w:rPr>
        <w:footnoteRef/>
      </w:r>
      <w:r>
        <w:rPr/>
        <w:tab/>
        <w:t xml:space="preserve"> </w:t>
      </w:r>
      <w:r>
        <w:rPr/>
        <w:t>Field information, ADC Memorial, 2018.</w:t>
      </w:r>
    </w:p>
  </w:footnote>
  <w:footnote w:id="22">
    <w:p>
      <w:pPr>
        <w:pStyle w:val="Footnote"/>
        <w:rPr/>
      </w:pPr>
      <w:r>
        <w:rPr>
          <w:rStyle w:val="FootnoteCharacters"/>
        </w:rPr>
        <w:footnoteRef/>
      </w:r>
      <w:r>
        <w:rPr/>
        <w:tab/>
        <w:t xml:space="preserve"> “</w:t>
      </w:r>
      <w:r>
        <w:rPr/>
        <w:t xml:space="preserve">Oil Does Not Bring Happiness: Why Azerbaijanis are Fleeing to Russia,” </w:t>
      </w:r>
      <w:r>
        <w:rPr>
          <w:i/>
          <w:iCs/>
        </w:rPr>
        <w:t xml:space="preserve">Gazeta,ru, </w:t>
      </w:r>
      <w:r>
        <w:rPr/>
        <w:t xml:space="preserve">March 2019, </w:t>
      </w:r>
      <w:hyperlink r:id="rId18">
        <w:r>
          <w:rPr>
            <w:rStyle w:val="InternetLink"/>
          </w:rPr>
          <w:t>https://www.gazeta.ru/business/2019/02/21/12198475.shtml?updated</w:t>
        </w:r>
      </w:hyperlink>
      <w:r>
        <w:rPr/>
        <w:t xml:space="preserve"> [in Russian]</w:t>
      </w:r>
    </w:p>
  </w:footnote>
  <w:footnote w:id="23">
    <w:p>
      <w:pPr>
        <w:pStyle w:val="Footnote"/>
        <w:rPr/>
      </w:pPr>
      <w:r>
        <w:rPr>
          <w:rStyle w:val="FootnoteCharacters"/>
        </w:rPr>
        <w:footnoteRef/>
      </w:r>
      <w:r>
        <w:rPr>
          <w:rStyle w:val="Style11"/>
          <w:color w:val="000000"/>
          <w:u w:val="none"/>
        </w:rPr>
        <w:tab/>
        <w:t xml:space="preserve">Fourth periodic report submitted by Azerbaijan under articles 16 and 17 of the Covenant, due in 2018, December 2018 </w:t>
      </w:r>
      <w:hyperlink r:id="rId19">
        <w:r>
          <w:rPr>
            <w:rStyle w:val="Style11"/>
          </w:rPr>
          <w:t>http://docstore.ohchr.org/SelfServices/FilesHandler.ashx?enc=4slQ6QSmlBEDzFEovLCuW6MBygnIgQsj%2bYCoTNmRieBWRKmewhjUUeqGvdNIZ3EZ7FafUBYk1ECnz%2fC9mv%2bWU2i%2bLmSk4EvIu%2b3BnJdsnQEqiuJSYiYOplALSpY9B0q0</w:t>
        </w:r>
      </w:hyperlink>
      <w:r>
        <w:rPr>
          <w:rStyle w:val="Style11"/>
        </w:rPr>
        <w:t xml:space="preserve"> </w:t>
      </w:r>
    </w:p>
  </w:footnote>
  <w:footnote w:id="24">
    <w:p>
      <w:pPr>
        <w:pStyle w:val="Footnote"/>
        <w:rPr/>
      </w:pPr>
      <w:r>
        <w:rPr>
          <w:rStyle w:val="FootnoteCharacters"/>
        </w:rPr>
        <w:footnoteRef/>
      </w:r>
      <w:r>
        <w:rPr>
          <w:rStyle w:val="Style11"/>
          <w:color w:val="000000"/>
          <w:u w:val="none"/>
        </w:rPr>
        <w:tab/>
        <w:t xml:space="preserve">Fourth periodic report submitted by Azerbaijan under articles 16 and 17 of the Covenant, due in 2018, December 2018 </w:t>
      </w:r>
      <w:hyperlink r:id="rId20">
        <w:r>
          <w:rPr>
            <w:rStyle w:val="Style11"/>
          </w:rPr>
          <w:t>http://docstore.ohchr.org/SelfServices/FilesHandler.ashx?enc=4slQ6QSmlBEDzFEovLCuW6MBygnIgQsj%2bYCoTNmRieBWRKmewhjUUeqGvdNIZ3EZ7FafUBYk1ECnz%2fC9mv%2bWU2i%2bLmSk4EvIu%2b3BnJdsnQEqiuJSYiYOplALSpY9B0q0</w:t>
        </w:r>
      </w:hyperlink>
      <w:r>
        <w:rPr>
          <w:rStyle w:val="Style11"/>
        </w:rPr>
        <w:t xml:space="preserve"> </w:t>
      </w:r>
    </w:p>
  </w:footnote>
  <w:footnote w:id="25">
    <w:p>
      <w:pPr>
        <w:pStyle w:val="Footnote"/>
        <w:rPr/>
      </w:pPr>
      <w:r>
        <w:rPr>
          <w:rStyle w:val="FootnoteCharacters"/>
        </w:rPr>
        <w:footnoteRef/>
      </w:r>
      <w:r>
        <w:rPr>
          <w:rStyle w:val="Style11"/>
          <w:color w:val="000000"/>
          <w:u w:val="none"/>
        </w:rPr>
        <w:tab/>
        <w:t>“</w:t>
      </w:r>
      <w:r>
        <w:rPr>
          <w:rStyle w:val="Style11"/>
          <w:color w:val="000000"/>
          <w:u w:val="none"/>
        </w:rPr>
        <w:t xml:space="preserve">Employment and Unemployment Numbers Announced in Azerbaijan,” </w:t>
      </w:r>
      <w:r>
        <w:rPr>
          <w:rStyle w:val="Style11"/>
          <w:i/>
          <w:iCs/>
          <w:color w:val="000000"/>
          <w:u w:val="none"/>
        </w:rPr>
        <w:t xml:space="preserve">Report, </w:t>
      </w:r>
      <w:r>
        <w:rPr>
          <w:rStyle w:val="Style11"/>
          <w:color w:val="000000"/>
          <w:u w:val="none"/>
        </w:rPr>
        <w:t xml:space="preserve">August 2018, </w:t>
      </w:r>
      <w:hyperlink r:id="rId21">
        <w:r>
          <w:rPr>
            <w:rStyle w:val="Style11"/>
          </w:rPr>
          <w:t>https://report.az/ru/socialnaya-zashhita/obnarodovana-chislennost-zanyatyh-i-bezrabotnyh-v-azerbajdzhane/</w:t>
        </w:r>
      </w:hyperlink>
      <w:r>
        <w:rPr>
          <w:rStyle w:val="Style11"/>
        </w:rPr>
        <w:t xml:space="preserve">  </w:t>
      </w:r>
    </w:p>
  </w:footnote>
  <w:footnote w:id="26">
    <w:p>
      <w:pPr>
        <w:pStyle w:val="Footnote"/>
        <w:rPr/>
      </w:pPr>
      <w:r>
        <w:rPr>
          <w:rStyle w:val="FootnoteCharacters"/>
        </w:rPr>
        <w:footnoteRef/>
      </w:r>
      <w:r>
        <w:rPr/>
        <w:tab/>
        <w:t xml:space="preserve"> “</w:t>
      </w:r>
      <w:r>
        <w:rPr/>
        <w:t xml:space="preserve">More Money to be Allocated to Employment Programs in Azerbaijan,” </w:t>
      </w:r>
      <w:r>
        <w:rPr>
          <w:i/>
          <w:iCs/>
        </w:rPr>
        <w:t xml:space="preserve">Sputnik Azerbaijana, </w:t>
      </w:r>
      <w:r>
        <w:rPr/>
        <w:t xml:space="preserve">November 2018, </w:t>
      </w:r>
      <w:hyperlink r:id="rId22">
        <w:r>
          <w:rPr>
            <w:rStyle w:val="Style11"/>
          </w:rPr>
          <w:t>https://az.sputniknews.ru/life/20181101/417682342/bezrabotica-sokrashhenie-strategija-zanjatosti-azerbaijan.html</w:t>
        </w:r>
      </w:hyperlink>
    </w:p>
  </w:footnote>
  <w:footnote w:id="27">
    <w:p>
      <w:pPr>
        <w:pStyle w:val="Footnote"/>
        <w:rPr/>
      </w:pPr>
      <w:r>
        <w:rPr>
          <w:rStyle w:val="FootnoteCharacters"/>
        </w:rPr>
        <w:footnoteRef/>
      </w:r>
      <w:r>
        <w:rPr/>
        <w:tab/>
        <w:t xml:space="preserve"> “</w:t>
      </w:r>
      <w:r>
        <w:rPr/>
        <w:t xml:space="preserve">Oil Does Not Bring Happiness: Why Azerbaijanis are Fleeing to Russia,” </w:t>
      </w:r>
      <w:r>
        <w:rPr>
          <w:i/>
          <w:iCs/>
        </w:rPr>
        <w:t xml:space="preserve">Gazeta,ru, </w:t>
      </w:r>
      <w:r>
        <w:rPr/>
        <w:t xml:space="preserve">March 2019, </w:t>
      </w:r>
      <w:hyperlink r:id="rId23">
        <w:r>
          <w:rPr>
            <w:rStyle w:val="InternetLink"/>
          </w:rPr>
          <w:t>https://www.gazeta.ru/business/2019/02/21/12198475.shtml?updated</w:t>
        </w:r>
      </w:hyperlink>
      <w:r>
        <w:rPr/>
        <w:t xml:space="preserve"> [in Russian]</w:t>
      </w:r>
    </w:p>
    <w:p>
      <w:pPr>
        <w:pStyle w:val="Footnote"/>
        <w:rPr/>
      </w:pPr>
      <w:r>
        <w:rPr/>
        <w:t>“</w:t>
      </w:r>
      <w:r>
        <w:rPr/>
        <w:t xml:space="preserve">Azerbaijan-2018: Splendors and Miseries,” </w:t>
      </w:r>
      <w:r>
        <w:rPr>
          <w:i/>
          <w:iCs/>
        </w:rPr>
        <w:t xml:space="preserve">Sodruzhestvo, </w:t>
      </w:r>
      <w:r>
        <w:rPr/>
        <w:t xml:space="preserve">July 2018, </w:t>
      </w:r>
      <w:hyperlink r:id="rId24">
        <w:r>
          <w:rPr>
            <w:rStyle w:val="Style11"/>
          </w:rPr>
          <w:t>http://press-unity.com/analitika-stati/11378.html</w:t>
        </w:r>
      </w:hyperlink>
    </w:p>
  </w:footnote>
  <w:footnote w:id="28">
    <w:p>
      <w:pPr>
        <w:pStyle w:val="Normal"/>
        <w:jc w:val="both"/>
        <w:rPr/>
      </w:pPr>
      <w:r>
        <w:rPr>
          <w:rStyle w:val="FootnoteCharacters"/>
        </w:rPr>
        <w:footnoteRef/>
      </w:r>
      <w:r>
        <w:rPr>
          <w:rStyle w:val="Style13"/>
        </w:rPr>
        <w:tab/>
      </w:r>
      <w:r>
        <w:rPr>
          <w:sz w:val="20"/>
          <w:szCs w:val="20"/>
        </w:rPr>
        <w:t>Concluding observations of UN CEDAW on the Results of Consideration of the 5</w:t>
      </w:r>
      <w:r>
        <w:rPr>
          <w:sz w:val="20"/>
          <w:szCs w:val="20"/>
          <w:vertAlign w:val="superscript"/>
        </w:rPr>
        <w:t>th</w:t>
      </w:r>
      <w:r>
        <w:rPr>
          <w:sz w:val="20"/>
          <w:szCs w:val="20"/>
        </w:rPr>
        <w:t xml:space="preserve"> Periodic Report of Azerbaijan, </w:t>
      </w:r>
      <w:hyperlink r:id="rId25">
        <w:r>
          <w:rPr>
            <w:rStyle w:val="InternetLink"/>
            <w:sz w:val="20"/>
            <w:szCs w:val="20"/>
          </w:rPr>
          <w:t>http://tbinternet.ohchr.org/_layouts/treatybodyexternal/Download.aspx?symbolno=CEDAW%2fC%2fAZE%2fCO%2f5&amp;Lang=en</w:t>
        </w:r>
      </w:hyperlink>
      <w:r>
        <w:rPr>
          <w:sz w:val="20"/>
          <w:szCs w:val="20"/>
        </w:rPr>
        <w:t xml:space="preserve"> </w:t>
        <w:tab/>
        <w:t xml:space="preserve"> </w:t>
      </w:r>
    </w:p>
  </w:footnote>
  <w:footnote w:id="29">
    <w:p>
      <w:pPr>
        <w:pStyle w:val="Footnote"/>
        <w:rPr/>
      </w:pPr>
      <w:r>
        <w:rPr>
          <w:rStyle w:val="FootnoteCharacters"/>
        </w:rPr>
        <w:footnoteRef/>
      </w:r>
      <w:r>
        <w:rPr>
          <w:rStyle w:val="Style11"/>
          <w:color w:val="000000"/>
          <w:u w:val="none"/>
        </w:rPr>
        <w:tab/>
        <w:t xml:space="preserve">Fourth periodic report submitted by Azerbaijan under articles 16 and 17 of the Covenant, due in 2018, December 2018 </w:t>
      </w:r>
      <w:hyperlink r:id="rId26">
        <w:r>
          <w:rPr>
            <w:rStyle w:val="Style11"/>
          </w:rPr>
          <w:t>http://docstore.ohchr.org/SelfServices/FilesHandler.ashx?enc=4slQ6QSmlBEDzFEovLCuW6MBygnIgQsj%2bYCoTNmRieBWRKmewhjUUeqGvdNIZ3EZ7FafUBYk1ECnz%2fC9mv%2bWU2i%2bLmSk4EvIu%2b3BnJdsnQEqiuJSYiYOplALSpY9B0q0</w:t>
        </w:r>
      </w:hyperlink>
      <w:r>
        <w:rPr>
          <w:rStyle w:val="Style11"/>
        </w:rPr>
        <w:t xml:space="preserve"> </w:t>
      </w:r>
    </w:p>
  </w:footnote>
  <w:footnote w:id="30">
    <w:p>
      <w:pPr>
        <w:pStyle w:val="Footnote"/>
        <w:rPr/>
      </w:pPr>
      <w:r>
        <w:rPr>
          <w:rStyle w:val="FootnoteCharacters"/>
        </w:rPr>
        <w:footnoteRef/>
      </w:r>
      <w:r>
        <w:rPr/>
        <w:tab/>
        <w:t xml:space="preserve"> “</w:t>
      </w:r>
      <w:r>
        <w:rPr/>
        <w:t xml:space="preserve">In Azerbaijan, Women are Strong, Steadfast, and Resilient,” </w:t>
      </w:r>
      <w:r>
        <w:rPr>
          <w:i/>
          <w:iCs/>
        </w:rPr>
        <w:t>Sodruzhestvo Press Club,</w:t>
      </w:r>
      <w:r>
        <w:rPr/>
        <w:t xml:space="preserve"> June 2019, </w:t>
      </w:r>
      <w:hyperlink r:id="rId27">
        <w:r>
          <w:rPr>
            <w:rStyle w:val="Style11"/>
          </w:rPr>
          <w:t>http://press-unity.com/analitika-stati/11975.html</w:t>
        </w:r>
      </w:hyperlink>
      <w:r>
        <w:rPr/>
        <w:t xml:space="preserve"> </w:t>
      </w:r>
    </w:p>
  </w:footnote>
  <w:footnote w:id="31">
    <w:p>
      <w:pPr>
        <w:pStyle w:val="Footnote"/>
        <w:rPr/>
      </w:pPr>
      <w:r>
        <w:rPr>
          <w:rStyle w:val="FootnoteCharacters"/>
        </w:rPr>
        <w:footnoteRef/>
      </w:r>
      <w:r>
        <w:rPr>
          <w:rStyle w:val="Style11"/>
          <w:color w:val="000000"/>
          <w:u w:val="none"/>
        </w:rPr>
        <w:tab/>
        <w:t xml:space="preserve">Fourth periodic report submitted by Azerbaijan under articles 16 and 17 of the Covenant, due in 2018, December 2018 </w:t>
      </w:r>
      <w:hyperlink r:id="rId28">
        <w:r>
          <w:rPr>
            <w:rStyle w:val="Style11"/>
          </w:rPr>
          <w:t>http://docstore.ohchr.org/SelfServices/FilesHandler.ashx?enc=4slQ6QSmlBEDzFEovLCuW6MBygnIgQsj%2bYCoTNmRieBWRKmewhjUUeqGvdNIZ3EZ7FafUBYk1ECnz%2fC9mv%2bWU2i%2bLmSk4EvIu%2b3BnJdsnQEqiuJSYiYOplALSpY9B0q0</w:t>
        </w:r>
      </w:hyperlink>
      <w:r>
        <w:rPr>
          <w:rStyle w:val="Style11"/>
        </w:rPr>
        <w:t xml:space="preserve"> </w:t>
      </w:r>
    </w:p>
  </w:footnote>
  <w:footnote w:id="32">
    <w:p>
      <w:pPr>
        <w:pStyle w:val="Footnote"/>
        <w:rPr/>
      </w:pPr>
      <w:r>
        <w:rPr>
          <w:rStyle w:val="FootnoteCharacters"/>
        </w:rPr>
        <w:footnoteRef/>
      </w:r>
      <w:r>
        <w:rPr/>
        <w:tab/>
        <w:t xml:space="preserve">State Report of Azerbaijan to UN CEDAW, 2019 </w:t>
      </w:r>
      <w:hyperlink r:id="rId29">
        <w:r>
          <w:rPr>
            <w:rStyle w:val="InternetLink"/>
          </w:rPr>
          <w:t>https://tbinternet.ohchr.org/_layouts/15/treatybodyexternal/Download.aspx?symbolno=CEDAW%2fC%2fAZE%2f6&amp;Lang=en</w:t>
        </w:r>
      </w:hyperlink>
      <w:r>
        <w:rPr/>
        <w:t xml:space="preserve"> </w:t>
      </w:r>
    </w:p>
  </w:footnote>
  <w:footnote w:id="33">
    <w:p>
      <w:pPr>
        <w:pStyle w:val="Footnote"/>
        <w:rPr/>
      </w:pPr>
      <w:r>
        <w:rPr>
          <w:rStyle w:val="FootnoteCharacters"/>
        </w:rPr>
        <w:footnoteRef/>
      </w:r>
      <w:r>
        <w:rPr>
          <w:rStyle w:val="Style11"/>
          <w:color w:val="000000"/>
          <w:u w:val="none"/>
        </w:rPr>
        <w:tab/>
        <w:t xml:space="preserve">Fourth periodic report submitted by Azerbaijan under articles 16 and 17 of the Covenant, due in 2018, December 2018 </w:t>
      </w:r>
      <w:hyperlink r:id="rId30">
        <w:r>
          <w:rPr>
            <w:rStyle w:val="Style11"/>
          </w:rPr>
          <w:t>http://docstore.ohchr.org/SelfServices/FilesHandler.ashx?enc=4slQ6QSmlBEDzFEovLCuW6MBygnIgQsj%2bYCoTNmRieBWRKmewhjUUeqGvdNIZ3EZ7FafUBYk1ECnz%2fC9mv%2bWU2i%2bLmSk4EvIu%2b3BnJdsnQEqiuJSYiYOplALSpY9B0q0</w:t>
        </w:r>
      </w:hyperlink>
      <w:r>
        <w:rPr>
          <w:rStyle w:val="Style11"/>
        </w:rPr>
        <w:t xml:space="preserve"> </w:t>
      </w:r>
    </w:p>
  </w:footnote>
  <w:footnote w:id="34">
    <w:p>
      <w:pPr>
        <w:pStyle w:val="Footnote"/>
        <w:rPr/>
      </w:pPr>
      <w:r>
        <w:rPr>
          <w:rStyle w:val="FootnoteCharacters"/>
        </w:rPr>
        <w:footnoteRef/>
      </w:r>
      <w:r>
        <w:rPr>
          <w:rStyle w:val="Style13"/>
          <w:color w:val="000000"/>
        </w:rPr>
        <w:tab/>
        <w:t xml:space="preserve">Concluding observations of UN CESCR on Azerbaijan’s Third Periodic Report, June 2013 </w:t>
      </w:r>
      <w:r>
        <w:rPr>
          <w:rStyle w:val="Style13"/>
          <w:rFonts w:ascii="serif" w:hAnsi="serif"/>
          <w:color w:val="000000"/>
        </w:rPr>
        <w:t xml:space="preserve"> </w:t>
      </w:r>
      <w:hyperlink r:id="rId31">
        <w:r>
          <w:rPr>
            <w:rStyle w:val="Style11"/>
          </w:rPr>
          <w:t>http://docstore.ohchr.org/SelfServices/FilesHandler.ashx?enc=4slQ6QSmlBEDzFEovLCuW6MBygnIgQsj%2bYCoTNmRieAaxIs28IKp7PcwGpVelyq521gzYM1nINwqid75TA9wuUXVid3jst%2fmN60C50oqIHzwiI6v61MwGO5J%2bXpKMKLW</w:t>
        </w:r>
      </w:hyperlink>
      <w:r>
        <w:rPr/>
        <w:t xml:space="preserve"> </w:t>
        <w:tab/>
        <w:t xml:space="preserve"> </w:t>
      </w:r>
    </w:p>
  </w:footnote>
  <w:footnote w:id="35">
    <w:p>
      <w:pPr>
        <w:pStyle w:val="Footnote"/>
        <w:rPr/>
      </w:pPr>
      <w:r>
        <w:rPr>
          <w:rStyle w:val="FootnoteCharacters"/>
        </w:rPr>
        <w:footnoteRef/>
      </w:r>
      <w:r>
        <w:rPr/>
        <w:tab/>
        <w:t xml:space="preserve">Labor Code of the Republic of Azerbaijan  </w:t>
      </w:r>
      <w:hyperlink r:id="rId32">
        <w:r>
          <w:rPr>
            <w:rStyle w:val="Style11"/>
          </w:rPr>
          <w:t>https://www.google.com/url?sa=t&amp;rct=j&amp;q=&amp;esrc=s&amp;source=web&amp;cd=13&amp;cad=rja&amp;uact=8&amp;ved=2ahUKEwiN763smJTkAhWNLVAKHbmIAiUQFjAMegQIAhAC&amp;url=http%3A%2F%2Fwww.ilo.org%2Fdyn%2Ftravail%2Fdocs%2F112%2Fi43&amp;usg=AOvVaw0ztyP87OtzZFtBw_v91dk-</w:t>
        </w:r>
      </w:hyperlink>
      <w:r>
        <w:rPr/>
        <w:t xml:space="preserve"> </w:t>
      </w:r>
    </w:p>
  </w:footnote>
  <w:footnote w:id="36">
    <w:p>
      <w:pPr>
        <w:pStyle w:val="Footnote"/>
        <w:jc w:val="both"/>
        <w:rPr/>
      </w:pPr>
      <w:r>
        <w:rPr>
          <w:rStyle w:val="FootnoteCharacters"/>
        </w:rPr>
        <w:footnoteRef/>
      </w:r>
      <w:hyperlink r:id="rId33">
        <w:r>
          <w:rPr>
            <w:rStyle w:val="InternetLink"/>
            <w:color w:val="000000"/>
            <w:sz w:val="22"/>
            <w:szCs w:val="22"/>
          </w:rPr>
          <w:tab/>
          <w:t>Resolution No. 170 of the Cabinet of Ministers of the Republic of Azerbaijan “On the Approval of a List of Arduous and Harmful Sectors, Professions (Positions) and Underground Jobs Banned for Women” of October 20, 1999</w:t>
        </w:r>
      </w:hyperlink>
      <w:r>
        <w:rPr/>
        <w:t>”</w:t>
      </w:r>
    </w:p>
  </w:footnote>
  <w:footnote w:id="37">
    <w:p>
      <w:pPr>
        <w:pStyle w:val="Footnote"/>
        <w:rPr/>
      </w:pPr>
      <w:r>
        <w:rPr>
          <w:rStyle w:val="FootnoteCharacters"/>
        </w:rPr>
        <w:footnoteRef/>
      </w:r>
      <w:r>
        <w:rPr/>
        <w:tab/>
        <w:t>Order of the Ministry of Labor and Social Protection of the Russian Federation No. 512n “On the Approval of a List of Harmful and/or Dangerous Sectors</w:t>
      </w:r>
      <w:bookmarkStart w:id="1" w:name="_GoBack"/>
      <w:bookmarkEnd w:id="1"/>
      <w:r>
        <w:rPr/>
        <w:t xml:space="preserve">, Jobs, and Positions Banned for Women,” </w:t>
      </w:r>
      <w:hyperlink r:id="rId34">
        <w:r>
          <w:rPr>
            <w:rStyle w:val="Style11"/>
            <w:sz w:val="22"/>
            <w:szCs w:val="22"/>
          </w:rPr>
          <w:t>http://publication.pravo.gov.ru/Document/View/0001201908150010?index=0&amp;rangeSize=1</w:t>
        </w:r>
      </w:hyperlink>
      <w:r>
        <w:rPr>
          <w:sz w:val="22"/>
          <w:szCs w:val="22"/>
        </w:rPr>
        <w:t xml:space="preserve"> </w:t>
      </w:r>
    </w:p>
  </w:footnote>
  <w:footnote w:id="38">
    <w:p>
      <w:pPr>
        <w:pStyle w:val="Footnote"/>
        <w:rPr/>
      </w:pPr>
      <w:r>
        <w:rPr>
          <w:rStyle w:val="FootnoteCharacters"/>
        </w:rPr>
        <w:footnoteRef/>
      </w:r>
      <w:hyperlink r:id="rId35">
        <w:r>
          <w:rPr>
            <w:rStyle w:val="Style11"/>
          </w:rPr>
          <w:tab/>
          <w:t>https://tbinternet.ohchr.org/_layouts/15/treatybodyexternal/Download.aspx?symbolno=INT%2fCESCR%2fIFL%2fAZE%2f35579&amp;Lang=en</w:t>
        </w:r>
      </w:hyperlink>
      <w:r>
        <w:rPr/>
        <w:t xml:space="preserve"> </w:t>
      </w:r>
      <w:r>
        <w:rPr>
          <w:rFonts w:cs="Times New Roman" w:ascii="Times New Roman" w:hAnsi="Times New Roman"/>
        </w:rPr>
        <w:t>Parallel Report of the Commissioner for Human Rights (Ombudsman) of the Republic of Azerbaijan on the International Covenant on Economic, Social and Cultural Rights to the UN Committee on Economic, Social and Cultural Rights, 2019</w:t>
      </w:r>
    </w:p>
  </w:footnote>
  <w:footnote w:id="39">
    <w:p>
      <w:pPr>
        <w:pStyle w:val="Footnote"/>
        <w:jc w:val="both"/>
        <w:rPr/>
      </w:pPr>
      <w:r>
        <w:rPr>
          <w:rStyle w:val="FootnoteCharacters"/>
        </w:rPr>
        <w:footnoteRef/>
      </w:r>
      <w:r>
        <w:rPr>
          <w:rStyle w:val="Style13"/>
        </w:rPr>
        <w:tab/>
        <w:t xml:space="preserve">Views of the Committee on the Elimination of Discrimination against Women under article 7 (3) of the Optional Protocol to the Convention on the Elimination of All Forms of Discrimination against Women (sixty-third session) </w:t>
      </w:r>
      <w:r>
        <w:rPr/>
        <w:t xml:space="preserve">concerning  Communication No. 60/2013 * </w:t>
      </w:r>
      <w:r>
        <w:rPr>
          <w:rStyle w:val="Style13"/>
        </w:rPr>
        <w:t xml:space="preserve"> </w:t>
      </w:r>
      <w:hyperlink r:id="rId36">
        <w:r>
          <w:rPr>
            <w:rStyle w:val="Style11"/>
          </w:rPr>
          <w:t>http://tbinternet.ohchr.org/_layouts/treatybodyexternal/Download.aspx?symbolno=CEDAW/C/63/D/60/2013&amp;Lang=en</w:t>
        </w:r>
      </w:hyperlink>
      <w:r>
        <w:rPr/>
        <w:t xml:space="preserve"> </w:t>
      </w:r>
    </w:p>
  </w:footnote>
  <w:footnote w:id="40">
    <w:p>
      <w:pPr>
        <w:pStyle w:val="Footnote"/>
        <w:rPr/>
      </w:pPr>
      <w:r>
        <w:rPr>
          <w:rStyle w:val="FootnoteCharacters"/>
        </w:rPr>
        <w:footnoteRef/>
      </w:r>
      <w:r>
        <w:rPr>
          <w:rStyle w:val="Style11"/>
          <w:color w:val="000000"/>
          <w:u w:val="none"/>
        </w:rPr>
        <w:tab/>
        <w:t xml:space="preserve">Fourth periodic report submitted by Azerbaijan under articles 16 and 17 of the Covenant, due in 2018, December 2018 </w:t>
      </w:r>
      <w:hyperlink r:id="rId37">
        <w:r>
          <w:rPr>
            <w:rStyle w:val="Style11"/>
          </w:rPr>
          <w:t>http://docstore.ohchr.org/SelfServices/FilesHandler.ashx?enc=4slQ6QSmlBEDzFEovLCuW6MBygnIgQsj%2bYCoTNmRieBWRKmewhjUUeqGvdNIZ3EZ7FafUBYk1ECnz%2fC9mv%2bWU2i%2bLmSk4EvIu%2b3BnJdsnQEqiuJSYiYOplALSpY9B0q0</w:t>
        </w:r>
      </w:hyperlink>
      <w:r>
        <w:rPr/>
        <w:t xml:space="preserve"> </w:t>
      </w:r>
    </w:p>
  </w:footnote>
  <w:footnote w:id="41">
    <w:p>
      <w:pPr>
        <w:pStyle w:val="Footnote"/>
        <w:rPr/>
      </w:pPr>
      <w:r>
        <w:rPr>
          <w:rStyle w:val="FootnoteCharacters"/>
        </w:rPr>
        <w:footnoteRef/>
      </w:r>
      <w:r>
        <w:rPr>
          <w:rStyle w:val="Style11"/>
          <w:color w:val="000000"/>
          <w:u w:val="none"/>
        </w:rPr>
        <w:tab/>
        <w:t xml:space="preserve">Fourth periodic report submitted by Azerbaijan under articles 16 and 17 of the Covenant, due in 2018, December 2018 </w:t>
      </w:r>
      <w:hyperlink r:id="rId38">
        <w:r>
          <w:rPr>
            <w:rStyle w:val="Style11"/>
          </w:rPr>
          <w:t>http://docstore.ohchr.org/SelfServices/FilesHandler.ashx?enc=4slQ6QSmlBEDzFEovLCuW6MBygnIgQsj%2bYCoTNmRieBWRKmewhjUUeqGvdNIZ3EZ7FafUBYk1ECnz%2fC9mv%2bWU2i%2bLmSk4EvIu%2b3BnJdsnQEqiuJSYiYOplALSpY9B0q0</w:t>
        </w:r>
      </w:hyperlink>
      <w:r>
        <w:rPr>
          <w:rStyle w:val="Style11"/>
        </w:rPr>
        <w:t xml:space="preserve"> </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pStyle w:val="Heading5"/>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20"/>
  <w:footnotePr>
    <w:numFmt w:val="decimal"/>
    <w:footnote w:id="0"/>
    <w:footnote w:id="1"/>
  </w:footnotePr>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FreeSans"/>
        <w:szCs w:val="24"/>
        <w:lang w:val="ru-RU"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jc w:val="left"/>
    </w:pPr>
    <w:rPr>
      <w:rFonts w:ascii="Liberation Serif" w:hAnsi="Liberation Serif" w:eastAsia="DejaVu Sans" w:cs="FreeSans"/>
      <w:color w:val="00000A"/>
      <w:kern w:val="0"/>
      <w:sz w:val="24"/>
      <w:szCs w:val="24"/>
      <w:lang w:val="en-US" w:eastAsia="zh-CN" w:bidi="hi-IN"/>
    </w:rPr>
  </w:style>
  <w:style w:type="paragraph" w:styleId="Heading1">
    <w:name w:val="Heading 1"/>
    <w:basedOn w:val="Normal"/>
    <w:next w:val="Normal"/>
    <w:link w:val="Heading1Char"/>
    <w:uiPriority w:val="9"/>
    <w:qFormat/>
    <w:rsid w:val="00d315b4"/>
    <w:pPr>
      <w:keepNext w:val="true"/>
      <w:keepLines/>
      <w:spacing w:before="240" w:after="0"/>
      <w:outlineLvl w:val="0"/>
    </w:pPr>
    <w:rPr>
      <w:rFonts w:ascii="Calibri Light" w:hAnsi="Calibri Light" w:eastAsia="" w:cs="Mangal" w:asciiTheme="majorHAnsi" w:eastAsiaTheme="majorEastAsia" w:hAnsiTheme="majorHAnsi"/>
      <w:color w:val="2F5496" w:themeColor="accent1" w:themeShade="bf"/>
      <w:sz w:val="32"/>
      <w:szCs w:val="29"/>
    </w:rPr>
  </w:style>
  <w:style w:type="paragraph" w:styleId="Heading2">
    <w:name w:val="Heading 2"/>
    <w:qFormat/>
    <w:pPr>
      <w:widowControl/>
      <w:bidi w:val="0"/>
      <w:spacing w:before="200" w:after="120"/>
      <w:jc w:val="left"/>
      <w:outlineLvl w:val="1"/>
    </w:pPr>
    <w:rPr>
      <w:rFonts w:eastAsia="NSimSun" w:cs="Arial" w:ascii="Liberation Serif" w:hAnsi="Liberation Serif"/>
      <w:b/>
      <w:bCs/>
      <w:color w:val="auto"/>
      <w:kern w:val="0"/>
      <w:sz w:val="36"/>
      <w:szCs w:val="36"/>
      <w:lang w:val="ru-RU" w:eastAsia="zh-CN" w:bidi="hi-IN"/>
    </w:rPr>
  </w:style>
  <w:style w:type="paragraph" w:styleId="Heading5">
    <w:name w:val="Heading 5"/>
    <w:qFormat/>
    <w:pPr>
      <w:widowControl/>
      <w:numPr>
        <w:ilvl w:val="4"/>
        <w:numId w:val="1"/>
      </w:numPr>
      <w:bidi w:val="0"/>
      <w:spacing w:before="120" w:after="60"/>
      <w:jc w:val="left"/>
      <w:outlineLvl w:val="4"/>
    </w:pPr>
    <w:rPr>
      <w:rFonts w:eastAsia="NSimSun" w:cs="Arial" w:ascii="Liberation Serif" w:hAnsi="Liberation Serif"/>
      <w:b/>
      <w:bCs/>
      <w:color w:val="auto"/>
      <w:kern w:val="0"/>
      <w:sz w:val="24"/>
      <w:szCs w:val="20"/>
      <w:lang w:val="ru-RU" w:eastAsia="zh-CN" w:bidi="hi-IN"/>
    </w:rPr>
  </w:style>
  <w:style w:type="character" w:styleId="DefaultParagraphFont" w:default="1">
    <w:name w:val="Default Paragraph Font"/>
    <w:uiPriority w:val="1"/>
    <w:unhideWhenUsed/>
    <w:qFormat/>
    <w:rPr/>
  </w:style>
  <w:style w:type="character" w:styleId="Style11" w:customStyle="1">
    <w:name w:val="Интернет-ссылка"/>
    <w:basedOn w:val="DefaultParagraphFont"/>
    <w:uiPriority w:val="99"/>
    <w:unhideWhenUsed/>
    <w:qFormat/>
    <w:rsid w:val="00d315b4"/>
    <w:rPr>
      <w:color w:val="0563C1" w:themeColor="hyperlink"/>
      <w:u w:val="single"/>
    </w:rPr>
  </w:style>
  <w:style w:type="character" w:styleId="Style12" w:customStyle="1">
    <w:name w:val="Выделение жирным"/>
    <w:qFormat/>
    <w:rsid w:val="005c6ab7"/>
    <w:rPr>
      <w:b/>
      <w:bCs/>
    </w:rPr>
  </w:style>
  <w:style w:type="character" w:styleId="Style13" w:customStyle="1">
    <w:name w:val="Символ сноски"/>
    <w:qFormat/>
    <w:rPr/>
  </w:style>
  <w:style w:type="character" w:styleId="Style14" w:customStyle="1">
    <w:name w:val="Привязка сноски"/>
    <w:qFormat/>
    <w:rPr>
      <w:vertAlign w:val="superscript"/>
    </w:rPr>
  </w:style>
  <w:style w:type="character" w:styleId="Style15" w:customStyle="1">
    <w:name w:val="Привязка концевой сноски"/>
    <w:qFormat/>
    <w:rPr>
      <w:vertAlign w:val="superscript"/>
    </w:rPr>
  </w:style>
  <w:style w:type="character" w:styleId="Style16" w:customStyle="1">
    <w:name w:val="Символы концевой сноски"/>
    <w:qFormat/>
    <w:rPr/>
  </w:style>
  <w:style w:type="character" w:styleId="Style17" w:customStyle="1">
    <w:name w:val="Посещённая гиперссылка"/>
    <w:qFormat/>
    <w:rPr>
      <w:color w:val="800000"/>
      <w:u w:val="single"/>
    </w:rPr>
  </w:style>
  <w:style w:type="character" w:styleId="Heading1Char" w:customStyle="1">
    <w:name w:val="Heading 1 Char"/>
    <w:basedOn w:val="DefaultParagraphFont"/>
    <w:link w:val="Heading1"/>
    <w:uiPriority w:val="9"/>
    <w:qFormat/>
    <w:rsid w:val="00d315b4"/>
    <w:rPr>
      <w:rFonts w:ascii="Calibri Light" w:hAnsi="Calibri Light" w:eastAsia="" w:cs="Mangal" w:asciiTheme="majorHAnsi" w:eastAsiaTheme="majorEastAsia" w:hAnsiTheme="majorHAnsi"/>
      <w:color w:val="2F5496" w:themeColor="accent1" w:themeShade="bf"/>
      <w:sz w:val="32"/>
      <w:szCs w:val="29"/>
    </w:rPr>
  </w:style>
  <w:style w:type="character" w:styleId="FootnoteCharacters">
    <w:name w:val="Footnote Characters"/>
    <w:basedOn w:val="DefaultParagraphFont"/>
    <w:uiPriority w:val="99"/>
    <w:semiHidden/>
    <w:unhideWhenUsed/>
    <w:qFormat/>
    <w:rsid w:val="00af0620"/>
    <w:rPr>
      <w:vertAlign w:val="superscript"/>
    </w:rPr>
  </w:style>
  <w:style w:type="character" w:styleId="UnresolvedMention">
    <w:name w:val="Unresolved Mention"/>
    <w:basedOn w:val="DefaultParagraphFont"/>
    <w:uiPriority w:val="99"/>
    <w:semiHidden/>
    <w:unhideWhenUsed/>
    <w:qFormat/>
    <w:rsid w:val="00bc1406"/>
    <w:rPr>
      <w:color w:val="605E5C"/>
      <w:shd w:fill="E1DFDD" w:val="clear"/>
    </w:rPr>
  </w:style>
  <w:style w:type="character" w:styleId="Style18" w:customStyle="1">
    <w:name w:val="Немає"/>
    <w:qFormat/>
    <w:rPr/>
  </w:style>
  <w:style w:type="character" w:styleId="Hyperlink0" w:customStyle="1">
    <w:name w:val="Hyperlink.0"/>
    <w:basedOn w:val="Style18"/>
    <w:qFormat/>
    <w:rPr>
      <w:rFonts w:ascii="Warnockpro" w:hAnsi="Warnockpro" w:eastAsia="Warnockpro" w:cs="Warnockpro"/>
      <w:color w:val="0563C1"/>
      <w:sz w:val="18"/>
      <w:szCs w:val="18"/>
      <w:u w:val="single" w:color="0563C1"/>
    </w:rPr>
  </w:style>
  <w:style w:type="character" w:styleId="ListLabel1" w:customStyle="1">
    <w:name w:val="ListLabel 1"/>
    <w:qFormat/>
    <w:rPr>
      <w:lang w:val="fr-FR"/>
    </w:rPr>
  </w:style>
  <w:style w:type="character" w:styleId="ListLabel2" w:customStyle="1">
    <w:name w:val="ListLabel 2"/>
    <w:qFormat/>
    <w:rPr>
      <w:rFonts w:ascii="Warnockpro" w:hAnsi="Warnockpro"/>
      <w:sz w:val="22"/>
      <w:szCs w:val="22"/>
      <w:lang w:val="en-US"/>
    </w:rPr>
  </w:style>
  <w:style w:type="character" w:styleId="Style19" w:customStyle="1">
    <w:name w:val="Символ концевой сноски"/>
    <w:qFormat/>
    <w:rPr/>
  </w:style>
  <w:style w:type="character" w:styleId="Style20" w:customStyle="1">
    <w:name w:val="Выделение"/>
    <w:qFormat/>
    <w:rPr>
      <w:i/>
      <w:iCs/>
    </w:rPr>
  </w:style>
  <w:style w:type="character" w:styleId="ListLabel3" w:customStyle="1">
    <w:name w:val="ListLabel 3"/>
    <w:qFormat/>
    <w:rPr>
      <w:lang w:val="fr-FR"/>
    </w:rPr>
  </w:style>
  <w:style w:type="character" w:styleId="ListLabel4" w:customStyle="1">
    <w:name w:val="ListLabel 4"/>
    <w:qFormat/>
    <w:rPr>
      <w:rFonts w:ascii="Times New Roman" w:hAnsi="Times New Roman" w:eastAsia="Times New Roman" w:cs="Times New Roman"/>
      <w:color w:val="00000A"/>
      <w:sz w:val="24"/>
      <w:szCs w:val="24"/>
      <w:lang w:val="en-US" w:eastAsia="zh-CN" w:bidi="hi-IN"/>
    </w:rPr>
  </w:style>
  <w:style w:type="character" w:styleId="ListLabel5" w:customStyle="1">
    <w:name w:val="ListLabel 5"/>
    <w:qFormat/>
    <w:rPr>
      <w:rFonts w:ascii="Warnockpro" w:hAnsi="Warnockpro"/>
      <w:sz w:val="22"/>
      <w:szCs w:val="22"/>
      <w:lang w:val="en-US"/>
    </w:rPr>
  </w:style>
  <w:style w:type="character" w:styleId="ListLabel6" w:customStyle="1">
    <w:name w:val="ListLabel 6"/>
    <w:qFormat/>
    <w:rPr>
      <w:rFonts w:ascii="Times New Roman" w:hAnsi="Times New Roman" w:eastAsia="Times New Roman" w:cs="Times New Roman"/>
      <w:b w:val="false"/>
      <w:bCs w:val="false"/>
      <w:i w:val="false"/>
      <w:caps w:val="false"/>
      <w:smallCaps w:val="false"/>
      <w:strike w:val="false"/>
      <w:dstrike w:val="false"/>
      <w:color w:val="00000A"/>
      <w:spacing w:val="0"/>
      <w:sz w:val="24"/>
      <w:szCs w:val="24"/>
      <w:u w:val="none"/>
      <w:effect w:val="none"/>
      <w:bdr w:val="single" w:sz="2" w:space="1" w:color="BA3030"/>
      <w:lang w:val="en-US" w:eastAsia="zh-CN" w:bidi="hi-IN"/>
    </w:rPr>
  </w:style>
  <w:style w:type="character" w:styleId="ListLabel7" w:customStyle="1">
    <w:name w:val="ListLabel 7"/>
    <w:qFormat/>
    <w:rPr>
      <w:sz w:val="20"/>
      <w:lang w:val="ru-RU"/>
    </w:rPr>
  </w:style>
  <w:style w:type="character" w:styleId="ListLabel8" w:customStyle="1">
    <w:name w:val="ListLabel 8"/>
    <w:qFormat/>
    <w:rPr>
      <w:sz w:val="20"/>
      <w:lang w:val="ru-RU"/>
    </w:rPr>
  </w:style>
  <w:style w:type="character" w:styleId="ListLabel9" w:customStyle="1">
    <w:name w:val="ListLabel 9"/>
    <w:qFormat/>
    <w:rPr>
      <w:rFonts w:ascii="Roboto Slab;serif" w:hAnsi="Roboto Slab;serif"/>
      <w:b w:val="false"/>
      <w:i w:val="false"/>
      <w:caps w:val="false"/>
      <w:smallCaps w:val="false"/>
      <w:strike w:val="false"/>
      <w:dstrike w:val="false"/>
      <w:color w:val="C9332E"/>
      <w:spacing w:val="0"/>
      <w:sz w:val="19"/>
      <w:highlight w:val="white"/>
      <w:u w:val="none"/>
      <w:effect w:val="none"/>
      <w:lang w:val="ru-RU"/>
    </w:rPr>
  </w:style>
  <w:style w:type="character" w:styleId="Style21" w:customStyle="1">
    <w:name w:val="Символ нумерации"/>
    <w:qFormat/>
    <w:rPr/>
  </w:style>
  <w:style w:type="character" w:styleId="ListLabel10" w:customStyle="1">
    <w:name w:val="ListLabel 10"/>
    <w:qFormat/>
    <w:rPr>
      <w:lang w:val="fr-FR"/>
    </w:rPr>
  </w:style>
  <w:style w:type="character" w:styleId="ListLabel11" w:customStyle="1">
    <w:name w:val="ListLabel 11"/>
    <w:qFormat/>
    <w:rPr>
      <w:rFonts w:ascii="Roboto Slab;serif" w:hAnsi="Roboto Slab;serif"/>
      <w:b w:val="false"/>
      <w:i w:val="false"/>
      <w:caps w:val="false"/>
      <w:smallCaps w:val="false"/>
      <w:strike w:val="false"/>
      <w:dstrike w:val="false"/>
      <w:color w:val="C9332E"/>
      <w:spacing w:val="0"/>
      <w:sz w:val="19"/>
      <w:highlight w:val="white"/>
      <w:u w:val="none"/>
      <w:effect w:val="none"/>
    </w:rPr>
  </w:style>
  <w:style w:type="character" w:styleId="ListLabel12" w:customStyle="1">
    <w:name w:val="ListLabel 12"/>
    <w:qFormat/>
    <w:rPr>
      <w:rFonts w:ascii="Times New Roman" w:hAnsi="Times New Roman" w:eastAsia="Times New Roman" w:cs="Times New Roman"/>
      <w:color w:val="00000A"/>
      <w:sz w:val="24"/>
      <w:szCs w:val="24"/>
      <w:lang w:val="en-US" w:eastAsia="zh-CN" w:bidi="hi-IN"/>
    </w:rPr>
  </w:style>
  <w:style w:type="character" w:styleId="ListLabel13" w:customStyle="1">
    <w:name w:val="ListLabel 13"/>
    <w:qFormat/>
    <w:rPr>
      <w:rFonts w:ascii="Warnockpro" w:hAnsi="Warnockpro"/>
      <w:sz w:val="22"/>
      <w:szCs w:val="22"/>
      <w:lang w:val="en-US"/>
    </w:rPr>
  </w:style>
  <w:style w:type="character" w:styleId="ListLabel14" w:customStyle="1">
    <w:name w:val="ListLabel 14"/>
    <w:qFormat/>
    <w:rPr>
      <w:rFonts w:ascii="Times New Roman" w:hAnsi="Times New Roman" w:eastAsia="Times New Roman" w:cs="Times New Roman"/>
      <w:b w:val="false"/>
      <w:bCs w:val="false"/>
      <w:i w:val="false"/>
      <w:caps w:val="false"/>
      <w:smallCaps w:val="false"/>
      <w:strike w:val="false"/>
      <w:dstrike w:val="false"/>
      <w:color w:val="00000A"/>
      <w:spacing w:val="0"/>
      <w:sz w:val="24"/>
      <w:szCs w:val="24"/>
      <w:u w:val="none"/>
      <w:effect w:val="none"/>
      <w:bdr w:val="single" w:sz="2" w:space="1" w:color="BA3030"/>
      <w:lang w:val="en-US" w:eastAsia="zh-CN" w:bidi="hi-IN"/>
    </w:rPr>
  </w:style>
  <w:style w:type="character" w:styleId="ListLabel15" w:customStyle="1">
    <w:name w:val="ListLabel 15"/>
    <w:qFormat/>
    <w:rPr>
      <w:sz w:val="20"/>
      <w:lang w:val="ru-RU"/>
    </w:rPr>
  </w:style>
  <w:style w:type="character" w:styleId="ListLabel16" w:customStyle="1">
    <w:name w:val="ListLabel 16"/>
    <w:qFormat/>
    <w:rPr>
      <w:rFonts w:ascii="Roboto Slab;serif" w:hAnsi="Roboto Slab;serif"/>
      <w:b w:val="false"/>
      <w:i w:val="false"/>
      <w:caps w:val="false"/>
      <w:smallCaps w:val="false"/>
      <w:strike w:val="false"/>
      <w:dstrike w:val="false"/>
      <w:color w:val="C9332E"/>
      <w:spacing w:val="0"/>
      <w:sz w:val="19"/>
      <w:highlight w:val="white"/>
      <w:u w:val="none"/>
      <w:effect w:val="none"/>
      <w:lang w:val="ru-RU"/>
    </w:rPr>
  </w:style>
  <w:style w:type="character" w:styleId="ListLabel17" w:customStyle="1">
    <w:name w:val="ListLabel 17"/>
    <w:qFormat/>
    <w:rPr>
      <w:rFonts w:ascii="Liberation Serif" w:hAnsi="Liberation Serif"/>
      <w:color w:val="000000"/>
      <w:sz w:val="22"/>
      <w:szCs w:val="22"/>
      <w:lang w:val="fr-FR"/>
    </w:rPr>
  </w:style>
  <w:style w:type="character" w:styleId="ListLabel18" w:customStyle="1">
    <w:name w:val="ListLabel 18"/>
    <w:qFormat/>
    <w:rPr>
      <w:color w:val="000000"/>
      <w:sz w:val="22"/>
      <w:szCs w:val="22"/>
      <w:lang w:val="fr-FR"/>
    </w:rPr>
  </w:style>
  <w:style w:type="character" w:styleId="InternetLink">
    <w:name w:val="Internet Link"/>
    <w:basedOn w:val="DefaultParagraphFont"/>
    <w:uiPriority w:val="99"/>
    <w:unhideWhenUsed/>
    <w:rsid w:val="003a3c24"/>
    <w:rPr>
      <w:color w:val="0563C1" w:themeColor="hyperlink"/>
      <w:u w:val="single"/>
    </w:rPr>
  </w:style>
  <w:style w:type="character" w:styleId="FootnoteAnchor" w:customStyle="1">
    <w:name w:val="Footnote Anchor"/>
    <w:rPr>
      <w:vertAlign w:val="superscript"/>
    </w:rPr>
  </w:style>
  <w:style w:type="character" w:styleId="EndnoteAnchor" w:customStyle="1">
    <w:name w:val="Endnote Anchor"/>
    <w:rPr>
      <w:vertAlign w:val="superscript"/>
    </w:rPr>
  </w:style>
  <w:style w:type="character" w:styleId="EndnoteCharacters" w:customStyle="1">
    <w:name w:val="Endnote Characters"/>
    <w:qFormat/>
    <w:rPr/>
  </w:style>
  <w:style w:type="character" w:styleId="ListLabel19" w:customStyle="1">
    <w:name w:val="ListLabel 19"/>
    <w:qFormat/>
    <w:rPr>
      <w:color w:val="000000"/>
      <w:sz w:val="22"/>
      <w:szCs w:val="22"/>
      <w:lang w:val="fr-FR"/>
    </w:rPr>
  </w:style>
  <w:style w:type="character" w:styleId="ListLabel20">
    <w:name w:val="ListLabel 20"/>
    <w:qFormat/>
    <w:rPr>
      <w:color w:val="000000"/>
      <w:sz w:val="22"/>
      <w:szCs w:val="22"/>
    </w:rPr>
  </w:style>
  <w:style w:type="paragraph" w:styleId="Heading" w:customStyle="1">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88" w:before="0" w:after="140"/>
    </w:pPr>
    <w:rPr/>
  </w:style>
  <w:style w:type="paragraph" w:styleId="List">
    <w:name w:val="List"/>
    <w:basedOn w:val="TextBody"/>
    <w:pPr/>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suppressLineNumbers/>
    </w:pPr>
    <w:rPr>
      <w:rFonts w:cs="Lucida Sans"/>
    </w:rPr>
  </w:style>
  <w:style w:type="paragraph" w:styleId="Caption1">
    <w:name w:val="caption"/>
    <w:basedOn w:val="Normal"/>
    <w:qFormat/>
    <w:pPr>
      <w:suppressLineNumbers/>
      <w:spacing w:before="120" w:after="120"/>
    </w:pPr>
    <w:rPr>
      <w:i/>
      <w:iCs/>
    </w:rPr>
  </w:style>
  <w:style w:type="paragraph" w:styleId="Style22" w:customStyle="1">
    <w:name w:val="Заголовок"/>
    <w:basedOn w:val="Normal"/>
    <w:next w:val="TextBody"/>
    <w:qFormat/>
    <w:pPr>
      <w:keepNext w:val="true"/>
      <w:spacing w:before="240" w:after="120"/>
    </w:pPr>
    <w:rPr>
      <w:rFonts w:ascii="Liberation Sans" w:hAnsi="Liberation Sans"/>
      <w:sz w:val="28"/>
      <w:szCs w:val="28"/>
    </w:rPr>
  </w:style>
  <w:style w:type="paragraph" w:styleId="Style23" w:customStyle="1">
    <w:name w:val="Указатель"/>
    <w:basedOn w:val="Normal"/>
    <w:qFormat/>
    <w:pPr>
      <w:suppressLineNumbers/>
    </w:pPr>
    <w:rPr/>
  </w:style>
  <w:style w:type="paragraph" w:styleId="Footer">
    <w:name w:val="Footer"/>
    <w:basedOn w:val="Normal"/>
    <w:pPr>
      <w:suppressLineNumbers/>
      <w:tabs>
        <w:tab w:val="clear" w:pos="720"/>
        <w:tab w:val="center" w:pos="4819" w:leader="none"/>
        <w:tab w:val="right" w:pos="9638" w:leader="none"/>
      </w:tabs>
    </w:pPr>
    <w:rPr/>
  </w:style>
  <w:style w:type="paragraph" w:styleId="LOnormal" w:customStyle="1">
    <w:name w:val="LO-normal"/>
    <w:qFormat/>
    <w:pPr>
      <w:widowControl/>
      <w:bidi w:val="0"/>
      <w:jc w:val="left"/>
    </w:pPr>
    <w:rPr>
      <w:rFonts w:ascii="Calibri" w:hAnsi="Calibri" w:eastAsia="Calibri" w:cs="Calibri"/>
      <w:color w:val="000000"/>
      <w:kern w:val="0"/>
      <w:sz w:val="22"/>
      <w:szCs w:val="22"/>
      <w:highlight w:val="white"/>
      <w:lang w:val="en-US" w:eastAsia="en-US" w:bidi="ar-SA"/>
    </w:rPr>
  </w:style>
  <w:style w:type="paragraph" w:styleId="Footnote">
    <w:name w:val="Footnote Text"/>
    <w:basedOn w:val="Normal"/>
    <w:qFormat/>
    <w:pPr>
      <w:suppressLineNumbers/>
      <w:ind w:left="339" w:hanging="339"/>
    </w:pPr>
    <w:rPr>
      <w:sz w:val="20"/>
      <w:szCs w:val="20"/>
    </w:rPr>
  </w:style>
  <w:style w:type="paragraph" w:styleId="Style24" w:customStyle="1">
    <w:name w:val="Горизонтальная линия"/>
    <w:basedOn w:val="Normal"/>
    <w:qFormat/>
    <w:pPr>
      <w:suppressLineNumbers/>
      <w:pBdr>
        <w:bottom w:val="double" w:sz="2" w:space="0" w:color="808080"/>
      </w:pBdr>
      <w:spacing w:before="0" w:after="283"/>
    </w:pPr>
    <w:rPr>
      <w:sz w:val="12"/>
      <w:szCs w:val="12"/>
    </w:rPr>
  </w:style>
  <w:style w:type="paragraph" w:styleId="Standard" w:customStyle="1">
    <w:name w:val="Standard"/>
    <w:qFormat/>
    <w:rsid w:val="005c6ab7"/>
    <w:pPr>
      <w:widowControl/>
      <w:suppressAutoHyphens w:val="true"/>
      <w:bidi w:val="0"/>
      <w:jc w:val="left"/>
      <w:textAlignment w:val="baseline"/>
    </w:pPr>
    <w:rPr>
      <w:rFonts w:eastAsia="WenQuanYi Micro Hei" w:cs="Lohit Devanagari" w:ascii="Liberation Serif" w:hAnsi="Liberation Serif"/>
      <w:color w:val="00000A"/>
      <w:kern w:val="0"/>
      <w:sz w:val="24"/>
      <w:szCs w:val="24"/>
      <w:lang w:val="ru-RU" w:eastAsia="zh-CN" w:bidi="hi-IN"/>
    </w:rPr>
  </w:style>
  <w:style w:type="paragraph" w:styleId="Default" w:customStyle="1">
    <w:name w:val="Default"/>
    <w:qFormat/>
    <w:pPr>
      <w:widowControl w:val="false"/>
      <w:bidi w:val="0"/>
      <w:jc w:val="left"/>
    </w:pPr>
    <w:rPr>
      <w:rFonts w:ascii="Times New Roman" w:hAnsi="Times New Roman" w:eastAsia="DejaVu Sans" w:cs="FreeSans"/>
      <w:color w:val="000000"/>
      <w:kern w:val="0"/>
      <w:sz w:val="24"/>
      <w:szCs w:val="24"/>
      <w:lang w:val="ru-RU" w:eastAsia="zh-CN" w:bidi="hi-IN"/>
    </w:rPr>
  </w:style>
  <w:style w:type="paragraph" w:styleId="ListParagraph">
    <w:name w:val="List Paragraph"/>
    <w:basedOn w:val="Normal"/>
    <w:qFormat/>
    <w:pPr>
      <w:ind w:left="72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hyperlink" Target="http://www.adcmemorial.org/" TargetMode="External"/><Relationship Id="rId7" Type="http://schemas.openxmlformats.org/officeDocument/2006/relationships/settings" Target="settings.xml"/><Relationship Id="rId12" Type="http://schemas.openxmlformats.org/officeDocument/2006/relationships/customXml" Target="../customXml/item4.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fontTable" Target="fontTable.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Relationships xmlns="http://schemas.openxmlformats.org/package/2006/relationships"><Relationship Id="rId1" Type="http://schemas.openxmlformats.org/officeDocument/2006/relationships/hyperlink" Target="https://www.gazeta.ru/business/2019/02/21/12198475.shtml?updated" TargetMode="External"/><Relationship Id="rId2" Type="http://schemas.openxmlformats.org/officeDocument/2006/relationships/hyperlink" Target="https://haqqin.az/news/61225" TargetMode="External"/><Relationship Id="rId3" Type="http://schemas.openxmlformats.org/officeDocument/2006/relationships/hyperlink" Target="https://www.bbc.com/russian/features-40683693" TargetMode="External"/><Relationship Id="rId4" Type="http://schemas.openxmlformats.org/officeDocument/2006/relationships/hyperlink" Target="http://www.kavkaz-uzel.eu/blogs/83772/posts/30438" TargetMode="External"/><Relationship Id="rId5" Type="http://schemas.openxmlformats.org/officeDocument/2006/relationships/hyperlink" Target="http://zerkalo.az/azerbajdzhanskih-migrantov-v-rossii-stalo-bolshe/" TargetMode="External"/><Relationship Id="rId6" Type="http://schemas.openxmlformats.org/officeDocument/2006/relationships/hyperlink" Target="http://diaspor.gov.az/en/azerbaijan/diaspor2.php" TargetMode="External"/><Relationship Id="rId7" Type="http://schemas.openxmlformats.org/officeDocument/2006/relationships/hyperlink" Target="%09" TargetMode="External"/><Relationship Id="rId8" Type="http://schemas.openxmlformats.org/officeDocument/2006/relationships/hyperlink" Target="https://gym1583s-new.mskobr.ru/info_edu/basics/" TargetMode="External"/><Relationship Id="rId9" Type="http://schemas.openxmlformats.org/officeDocument/2006/relationships/hyperlink" Target="https://atalar.ru/o-sovremennom-statuse-azerbajdzhanskogo-yazyka-v-rossijskoj-federatsii-i-neobhodimosti-ego-povysheniya.html" TargetMode="External"/><Relationship Id="rId10" Type="http://schemas.openxmlformats.org/officeDocument/2006/relationships/hyperlink" Target="https://atalar.ru/v-moskve-obyavili-o-sozdanii-issledovatelskogo-obrazovatelnogo-tsentra-azerbajdzhanskoj-kultury-i-yazyka.html" TargetMode="External"/><Relationship Id="rId11" Type="http://schemas.openxmlformats.org/officeDocument/2006/relationships/hyperlink" Target="https://atalar.ru/o-sovremennom-statuse-azerbajdzhanskogo-yazyka-v-rossijskoj-federatsii-i-neobhodimosti-ego-povysheniya.html" TargetMode="External"/><Relationship Id="rId12" Type="http://schemas.openxmlformats.org/officeDocument/2006/relationships/hyperlink" Target="https://nic.gov.ru/ru/docs/foreign/collaboration/agreem_coop_Azerb_1995" TargetMode="External"/><Relationship Id="rId13" Type="http://schemas.openxmlformats.org/officeDocument/2006/relationships/hyperlink" Target="https://atalar.ru/o-sovremennom-statuse-azerbajdzhanskogo-yazyka-v-rossijskoj-federatsii-i-neobhodimosti-ego-povysheniya.html" TargetMode="External"/><Relationship Id="rId14" Type="http://schemas.openxmlformats.org/officeDocument/2006/relationships/hyperlink" Target="https://atalar.ru/otkrytoe-pismo-rukovoditelyam-ministerstv-i-vedomstv-rossii-i-azerbajdzhana.html" TargetMode="External"/><Relationship Id="rId15" Type="http://schemas.openxmlformats.org/officeDocument/2006/relationships/hyperlink" Target="https://atalar.ru/v-moskve-obyavili-o-sozdanii-issledovatelskogo-obrazovatelnogo-tsentra-azerbajdzhanskoj-kultury-i-yazyka.html" TargetMode="External"/><Relationship Id="rId16" Type="http://schemas.openxmlformats.org/officeDocument/2006/relationships/hyperlink" Target="https://atalar.ru/otkrytoe-pismo-rukovoditelyam-ministerstv-i-vedomstv-rossii-i-azerbajdzhana.html" TargetMode="External"/><Relationship Id="rId17" Type="http://schemas.openxmlformats.org/officeDocument/2006/relationships/hyperlink" Target="http://kremlin.ru/events/president/news/58637" TargetMode="External"/><Relationship Id="rId18" Type="http://schemas.openxmlformats.org/officeDocument/2006/relationships/hyperlink" Target="https://www.gazeta.ru/business/2019/02/21/12198475.shtml?updated" TargetMode="External"/><Relationship Id="rId19"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Relationship Id="rId20"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Relationship Id="rId21" Type="http://schemas.openxmlformats.org/officeDocument/2006/relationships/hyperlink" Target="https://report.az/ru/socialnaya-zashhita/obnarodovana-chislennost-zanyatyh-i-bezrabotnyh-v-azerbajdzhane/" TargetMode="External"/><Relationship Id="rId22" Type="http://schemas.openxmlformats.org/officeDocument/2006/relationships/hyperlink" Target="https://az.sputniknews.ru/life/20181101/417682342/bezrabotica-sokrashhenie-strategija-zanjatosti-azerbaijan.html" TargetMode="External"/><Relationship Id="rId23" Type="http://schemas.openxmlformats.org/officeDocument/2006/relationships/hyperlink" Target="https://www.gazeta.ru/business/2019/02/21/12198475.shtml?updated" TargetMode="External"/><Relationship Id="rId24" Type="http://schemas.openxmlformats.org/officeDocument/2006/relationships/hyperlink" Target="http://press-unity.com/analitika-stati/11378.html" TargetMode="External"/><Relationship Id="rId25" Type="http://schemas.openxmlformats.org/officeDocument/2006/relationships/hyperlink" Target="http://tbinternet.ohchr.org/_layouts/treatybodyexternal/Download.aspx?symbolno=CEDAW%2FC%2FAZE%2FCO%2F5&amp;Lang=en" TargetMode="External"/><Relationship Id="rId26"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Relationship Id="rId27" Type="http://schemas.openxmlformats.org/officeDocument/2006/relationships/hyperlink" Target="http://press-unity.com/analitika-stati/11975.html" TargetMode="External"/><Relationship Id="rId28"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Relationship Id="rId29" Type="http://schemas.openxmlformats.org/officeDocument/2006/relationships/hyperlink" Target="https://tbinternet.ohchr.org/_layouts/15/treatybodyexternal/Download.aspx?symbolno=CEDAW%2FC%2FAZE%2F6&amp;Lang=en" TargetMode="External"/><Relationship Id="rId30"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Relationship Id="rId31" Type="http://schemas.openxmlformats.org/officeDocument/2006/relationships/hyperlink" Target="http://docstore.ohchr.org/SelfServices/FilesHandler.ashx?enc=4slQ6QSmlBEDzFEovLCuW6MBygnIgQsj%2BYCoTNmRieAaxIs28IKp7PcwGpVelyq521gzYM1nINwqid75TA9wuUXVid3jst%2FmN60C50oqIHzwiI6v61MwGO5J%2BXpKMKLW" TargetMode="External"/><Relationship Id="rId32" Type="http://schemas.openxmlformats.org/officeDocument/2006/relationships/hyperlink" Target="https://www.google.com/url?sa=t&amp;rct=j&amp;q=&amp;esrc=s&amp;source=web&amp;cd=13&amp;cad=rja&amp;uact=8&amp;ved=2ahUKEwiN763smJTkAhWNLVAKHbmIAiUQFjAMegQIAhAC&amp;url=http%3A%2F%2Fwww.ilo.org%2Fdyn%2Ftravail%2Fdocs%2F112%2Fi43&amp;usg=AOvVaw0ztyP87OtzZFtBw_v91dk-" TargetMode="External"/><Relationship Id="rId33" Type="http://schemas.openxmlformats.org/officeDocument/2006/relationships/hyperlink" Target="https://www.google.com/url?sa=t&amp;rct=j&amp;q=&amp;esrc=s&amp;source=web&amp;cd=3&amp;ved=2ahUKEwjeg8Pz-pPkAhVSsaQKHSWmCDUQFjACegQIAxAC&amp;url=http%3A%2F%2Fscfwca.gov.az%2Fstore%2Fmedia%2FNewFolder%2F170.doc&amp;usg=AOvVaw1yq6E473KywvvMgr9FWJFG" TargetMode="External"/><Relationship Id="rId34" Type="http://schemas.openxmlformats.org/officeDocument/2006/relationships/hyperlink" Target="http://publication.pravo.gov.ru/Document/View/0001201908150010?index=0&amp;rangeSize=1" TargetMode="External"/><Relationship Id="rId35" Type="http://schemas.openxmlformats.org/officeDocument/2006/relationships/hyperlink" Target="https://tbinternet.ohchr.org/_layouts/15/treatybodyexternal/Download.aspx?symbolno=INT%2FCESCR%2FIFL%2FAZE%2F35579&amp;Lang=en" TargetMode="External"/><Relationship Id="rId36" Type="http://schemas.openxmlformats.org/officeDocument/2006/relationships/hyperlink" Target="http://tbinternet.ohchr.org/_layouts/treatybodyexternal/Download.aspx?symbolno=CEDAW/C/63/D/60/2013&amp;Lang=en" TargetMode="External"/><Relationship Id="rId37"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Relationship Id="rId38" Type="http://schemas.openxmlformats.org/officeDocument/2006/relationships/hyperlink" Target="http://docstore.ohchr.org/SelfServices/FilesHandler.ashx?enc=4slQ6QSmlBEDzFEovLCuW6MBygnIgQsj%2BYCoTNmRieBWRKmewhjUUeqGvdNIZ3EZ7FafUBYk1ECnz%2FC9mv%2BWU2i%2BLmSk4EvIu%2B3BnJdsnQEqiuJSYiYOplALSpY9B0q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0D77CD-85D6-4AAD-BD97-67B21C88DFF9}">
  <ds:schemaRefs>
    <ds:schemaRef ds:uri="http://schemas.openxmlformats.org/officeDocument/2006/bibliography"/>
  </ds:schemaRefs>
</ds:datastoreItem>
</file>

<file path=customXml/itemProps2.xml><?xml version="1.0" encoding="utf-8"?>
<ds:datastoreItem xmlns:ds="http://schemas.openxmlformats.org/officeDocument/2006/customXml" ds:itemID="{23230FFD-270F-40BF-B790-E7BE57CC758C}"/>
</file>

<file path=customXml/itemProps3.xml><?xml version="1.0" encoding="utf-8"?>
<ds:datastoreItem xmlns:ds="http://schemas.openxmlformats.org/officeDocument/2006/customXml" ds:itemID="{5D9F673C-AF8A-4D10-8D60-F6D22E4FEBE2}"/>
</file>

<file path=customXml/itemProps4.xml><?xml version="1.0" encoding="utf-8"?>
<ds:datastoreItem xmlns:ds="http://schemas.openxmlformats.org/officeDocument/2006/customXml" ds:itemID="{F15942D7-D4D5-4A8B-B126-6DC342F9B8EF}"/>
</file>

<file path=docProps/app.xml><?xml version="1.0" encoding="utf-8"?>
<Properties xmlns="http://schemas.openxmlformats.org/officeDocument/2006/extended-properties" xmlns:vt="http://schemas.openxmlformats.org/officeDocument/2006/docPropsVTypes">
  <Template>Normal</Template>
  <TotalTime>321</TotalTime>
  <Application>LibreOffice/6.2.5.2$Windows_X86_64 LibreOffice_project/1ec314fa52f458adc18c4f025c545a4e8b22c159</Application>
  <Pages>7</Pages>
  <Words>3417</Words>
  <Characters>23034</Characters>
  <CharactersWithSpaces>26432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Damrchi</dc:creator>
  <dc:description/>
  <cp:lastModifiedBy/>
  <cp:revision>33</cp:revision>
  <dcterms:created xsi:type="dcterms:W3CDTF">2019-08-23T16:28:00Z</dcterms:created>
  <dcterms:modified xsi:type="dcterms:W3CDTF">2019-08-26T09:25:20Z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0x010100FAE5DBF0ADA998469064B64F53A76F3C</vt:lpwstr>
  </property>
</Properties>
</file>