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0B18D" w14:textId="401F9998" w:rsidR="00F52195" w:rsidRPr="00FB2CA4" w:rsidRDefault="008212D9" w:rsidP="009069E0">
      <w:pPr>
        <w:spacing w:after="0" w:line="276" w:lineRule="auto"/>
        <w:jc w:val="center"/>
        <w:rPr>
          <w:rFonts w:eastAsia="Times New Roman" w:cstheme="majorBidi"/>
          <w:b/>
          <w:bCs/>
          <w:color w:val="000000" w:themeColor="text1"/>
          <w:sz w:val="24"/>
          <w:szCs w:val="24"/>
        </w:rPr>
      </w:pPr>
      <w:r>
        <w:rPr>
          <w:rFonts w:eastAsia="Times New Roman" w:cstheme="majorBidi"/>
          <w:noProof/>
          <w:color w:val="000000" w:themeColor="text1"/>
          <w:sz w:val="24"/>
          <w:szCs w:val="24"/>
        </w:rPr>
        <w:drawing>
          <wp:anchor distT="0" distB="0" distL="114300" distR="114300" simplePos="0" relativeHeight="251658240" behindDoc="0" locked="0" layoutInCell="1" allowOverlap="1" wp14:anchorId="42BC7839" wp14:editId="6E3134C9">
            <wp:simplePos x="0" y="0"/>
            <wp:positionH relativeFrom="column">
              <wp:posOffset>2438400</wp:posOffset>
            </wp:positionH>
            <wp:positionV relativeFrom="paragraph">
              <wp:posOffset>0</wp:posOffset>
            </wp:positionV>
            <wp:extent cx="1351280" cy="1463040"/>
            <wp:effectExtent l="0" t="0" r="0" b="0"/>
            <wp:wrapSquare wrapText="bothSides"/>
            <wp:docPr id="1833461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61523" name="Picture 18334615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1280" cy="1463040"/>
                    </a:xfrm>
                    <a:prstGeom prst="rect">
                      <a:avLst/>
                    </a:prstGeom>
                  </pic:spPr>
                </pic:pic>
              </a:graphicData>
            </a:graphic>
            <wp14:sizeRelH relativeFrom="page">
              <wp14:pctWidth>0</wp14:pctWidth>
            </wp14:sizeRelH>
            <wp14:sizeRelV relativeFrom="page">
              <wp14:pctHeight>0</wp14:pctHeight>
            </wp14:sizeRelV>
          </wp:anchor>
        </w:drawing>
      </w:r>
    </w:p>
    <w:p w14:paraId="4AB5E32F" w14:textId="3ED9589E" w:rsidR="00A6097B" w:rsidRPr="00FB2CA4" w:rsidRDefault="00A6097B" w:rsidP="009069E0">
      <w:pPr>
        <w:spacing w:after="0" w:line="276" w:lineRule="auto"/>
        <w:jc w:val="center"/>
        <w:rPr>
          <w:rFonts w:eastAsia="Times New Roman" w:cstheme="majorBidi"/>
          <w:b/>
          <w:bCs/>
          <w:color w:val="000000" w:themeColor="text1"/>
          <w:sz w:val="24"/>
          <w:szCs w:val="24"/>
        </w:rPr>
      </w:pPr>
    </w:p>
    <w:p w14:paraId="3329775F" w14:textId="58D54669" w:rsidR="00A6097B" w:rsidRPr="00FB2CA4" w:rsidRDefault="00A6097B" w:rsidP="009069E0">
      <w:pPr>
        <w:spacing w:after="0" w:line="276" w:lineRule="auto"/>
        <w:jc w:val="center"/>
        <w:rPr>
          <w:rFonts w:eastAsia="Times New Roman" w:cstheme="majorBidi"/>
          <w:b/>
          <w:bCs/>
          <w:color w:val="000000" w:themeColor="text1"/>
          <w:sz w:val="24"/>
          <w:szCs w:val="24"/>
        </w:rPr>
      </w:pPr>
    </w:p>
    <w:p w14:paraId="08FB0E41" w14:textId="225E7A81" w:rsidR="00A6097B" w:rsidRPr="00FB2CA4" w:rsidRDefault="00A6097B" w:rsidP="009069E0">
      <w:pPr>
        <w:spacing w:after="0" w:line="276" w:lineRule="auto"/>
        <w:jc w:val="center"/>
        <w:rPr>
          <w:rFonts w:eastAsia="Times New Roman" w:cstheme="majorBidi"/>
          <w:b/>
          <w:bCs/>
          <w:color w:val="000000" w:themeColor="text1"/>
          <w:sz w:val="24"/>
          <w:szCs w:val="24"/>
        </w:rPr>
      </w:pPr>
    </w:p>
    <w:p w14:paraId="1D8E64C2" w14:textId="77777777" w:rsidR="00A6097B" w:rsidRPr="00FB2CA4" w:rsidRDefault="00A6097B" w:rsidP="009069E0">
      <w:pPr>
        <w:spacing w:after="0" w:line="276" w:lineRule="auto"/>
        <w:jc w:val="center"/>
        <w:rPr>
          <w:rFonts w:eastAsia="Times New Roman" w:cstheme="majorBidi"/>
          <w:b/>
          <w:bCs/>
          <w:color w:val="000000" w:themeColor="text1"/>
          <w:sz w:val="24"/>
          <w:szCs w:val="24"/>
        </w:rPr>
      </w:pPr>
    </w:p>
    <w:p w14:paraId="397F55A2" w14:textId="77777777" w:rsidR="008212D9" w:rsidRDefault="008212D9" w:rsidP="009069E0">
      <w:pPr>
        <w:spacing w:after="0" w:line="276" w:lineRule="auto"/>
        <w:jc w:val="center"/>
        <w:rPr>
          <w:rFonts w:eastAsia="Times New Roman" w:cstheme="majorBidi"/>
          <w:b/>
          <w:bCs/>
          <w:color w:val="000000" w:themeColor="text1"/>
          <w:sz w:val="24"/>
          <w:szCs w:val="24"/>
          <w:rtl/>
        </w:rPr>
      </w:pPr>
    </w:p>
    <w:p w14:paraId="29A2C53E" w14:textId="77777777" w:rsidR="008212D9" w:rsidRDefault="008212D9" w:rsidP="008212D9">
      <w:pPr>
        <w:spacing w:after="0" w:line="276" w:lineRule="auto"/>
        <w:rPr>
          <w:rFonts w:eastAsia="Times New Roman" w:cstheme="majorBidi"/>
          <w:b/>
          <w:bCs/>
          <w:color w:val="000000" w:themeColor="text1"/>
          <w:sz w:val="24"/>
          <w:szCs w:val="24"/>
          <w:rtl/>
        </w:rPr>
      </w:pPr>
    </w:p>
    <w:p w14:paraId="10A7BA63" w14:textId="77777777" w:rsidR="008212D9" w:rsidRDefault="008212D9" w:rsidP="009069E0">
      <w:pPr>
        <w:spacing w:after="0" w:line="276" w:lineRule="auto"/>
        <w:jc w:val="center"/>
        <w:rPr>
          <w:rFonts w:eastAsia="Times New Roman" w:cstheme="majorBidi"/>
          <w:b/>
          <w:bCs/>
          <w:color w:val="000000" w:themeColor="text1"/>
          <w:sz w:val="24"/>
          <w:szCs w:val="24"/>
          <w:rtl/>
        </w:rPr>
      </w:pPr>
    </w:p>
    <w:p w14:paraId="37AB78E8" w14:textId="5481AED7" w:rsidR="008212D9" w:rsidRPr="008212D9" w:rsidRDefault="008212D9" w:rsidP="009069E0">
      <w:pPr>
        <w:spacing w:after="0" w:line="276" w:lineRule="auto"/>
        <w:jc w:val="center"/>
        <w:rPr>
          <w:rFonts w:eastAsia="Times New Roman" w:cstheme="majorBidi"/>
          <w:b/>
          <w:bCs/>
          <w:color w:val="000000" w:themeColor="text1"/>
          <w:sz w:val="22"/>
        </w:rPr>
      </w:pPr>
      <w:r w:rsidRPr="008212D9">
        <w:rPr>
          <w:rFonts w:eastAsia="Times New Roman" w:cstheme="majorBidi"/>
          <w:b/>
          <w:bCs/>
          <w:color w:val="000000" w:themeColor="text1"/>
          <w:sz w:val="22"/>
        </w:rPr>
        <w:t xml:space="preserve">Iran Autism </w:t>
      </w:r>
      <w:proofErr w:type="gramStart"/>
      <w:r w:rsidRPr="008212D9">
        <w:rPr>
          <w:rFonts w:eastAsia="Times New Roman" w:cstheme="majorBidi"/>
          <w:b/>
          <w:bCs/>
          <w:color w:val="000000" w:themeColor="text1"/>
          <w:sz w:val="22"/>
        </w:rPr>
        <w:t>Association(</w:t>
      </w:r>
      <w:proofErr w:type="gramEnd"/>
      <w:r w:rsidRPr="008212D9">
        <w:rPr>
          <w:rFonts w:eastAsia="Times New Roman" w:cstheme="majorBidi"/>
          <w:b/>
          <w:bCs/>
          <w:color w:val="000000" w:themeColor="text1"/>
          <w:sz w:val="22"/>
        </w:rPr>
        <w:t>IAA)</w:t>
      </w:r>
    </w:p>
    <w:p w14:paraId="5FD4CE69" w14:textId="77777777" w:rsidR="008212D9" w:rsidRDefault="008212D9" w:rsidP="009069E0">
      <w:pPr>
        <w:spacing w:after="0" w:line="276" w:lineRule="auto"/>
        <w:jc w:val="center"/>
        <w:rPr>
          <w:rFonts w:eastAsia="Times New Roman" w:cstheme="majorBidi"/>
          <w:b/>
          <w:bCs/>
          <w:color w:val="000000" w:themeColor="text1"/>
          <w:sz w:val="24"/>
          <w:szCs w:val="24"/>
          <w:rtl/>
        </w:rPr>
      </w:pPr>
    </w:p>
    <w:p w14:paraId="3FBBCA43" w14:textId="77777777" w:rsidR="008212D9" w:rsidRDefault="008212D9" w:rsidP="009069E0">
      <w:pPr>
        <w:spacing w:after="0" w:line="276" w:lineRule="auto"/>
        <w:jc w:val="center"/>
        <w:rPr>
          <w:rFonts w:eastAsia="Times New Roman" w:cstheme="majorBidi"/>
          <w:b/>
          <w:bCs/>
          <w:color w:val="000000" w:themeColor="text1"/>
          <w:sz w:val="24"/>
          <w:szCs w:val="24"/>
        </w:rPr>
      </w:pPr>
    </w:p>
    <w:p w14:paraId="487CCFEB" w14:textId="77777777" w:rsidR="008212D9" w:rsidRDefault="008212D9" w:rsidP="009069E0">
      <w:pPr>
        <w:spacing w:after="0" w:line="276" w:lineRule="auto"/>
        <w:jc w:val="center"/>
        <w:rPr>
          <w:rFonts w:eastAsia="Times New Roman" w:cstheme="majorBidi"/>
          <w:b/>
          <w:bCs/>
          <w:color w:val="000000" w:themeColor="text1"/>
          <w:sz w:val="24"/>
          <w:szCs w:val="24"/>
        </w:rPr>
      </w:pPr>
    </w:p>
    <w:p w14:paraId="1D3BE4CB" w14:textId="77777777" w:rsidR="008212D9" w:rsidRDefault="008212D9" w:rsidP="009069E0">
      <w:pPr>
        <w:spacing w:after="0" w:line="276" w:lineRule="auto"/>
        <w:jc w:val="center"/>
        <w:rPr>
          <w:rFonts w:eastAsia="Times New Roman" w:cstheme="majorBidi"/>
          <w:b/>
          <w:bCs/>
          <w:color w:val="000000" w:themeColor="text1"/>
          <w:sz w:val="24"/>
          <w:szCs w:val="24"/>
        </w:rPr>
      </w:pPr>
    </w:p>
    <w:p w14:paraId="28F594E5" w14:textId="77777777" w:rsidR="008212D9" w:rsidRDefault="008212D9" w:rsidP="009069E0">
      <w:pPr>
        <w:spacing w:after="0" w:line="276" w:lineRule="auto"/>
        <w:jc w:val="center"/>
        <w:rPr>
          <w:rFonts w:eastAsia="Times New Roman" w:cstheme="majorBidi"/>
          <w:b/>
          <w:bCs/>
          <w:color w:val="000000" w:themeColor="text1"/>
          <w:sz w:val="24"/>
          <w:szCs w:val="24"/>
          <w:rtl/>
        </w:rPr>
      </w:pPr>
    </w:p>
    <w:p w14:paraId="2368647E" w14:textId="01FF71C2" w:rsidR="00DB18E0" w:rsidRPr="00FB2CA4" w:rsidRDefault="00802292" w:rsidP="009069E0">
      <w:pPr>
        <w:spacing w:after="0" w:line="276" w:lineRule="auto"/>
        <w:jc w:val="center"/>
        <w:rPr>
          <w:rFonts w:eastAsia="Times New Roman" w:cstheme="majorBidi"/>
          <w:b/>
          <w:bCs/>
          <w:color w:val="000000" w:themeColor="text1"/>
          <w:sz w:val="24"/>
          <w:szCs w:val="24"/>
          <w:rtl/>
        </w:rPr>
      </w:pPr>
      <w:r w:rsidRPr="00FB2CA4">
        <w:rPr>
          <w:rFonts w:eastAsia="Times New Roman" w:cstheme="majorBidi"/>
          <w:b/>
          <w:bCs/>
          <w:color w:val="000000" w:themeColor="text1"/>
          <w:sz w:val="24"/>
          <w:szCs w:val="24"/>
        </w:rPr>
        <w:t>CESCR - International Covenant on Economic, Social</w:t>
      </w:r>
      <w:r w:rsidR="00583432" w:rsidRPr="00FB2CA4">
        <w:rPr>
          <w:rFonts w:eastAsia="Times New Roman" w:cstheme="majorBidi"/>
          <w:b/>
          <w:bCs/>
          <w:color w:val="000000" w:themeColor="text1"/>
          <w:sz w:val="24"/>
          <w:szCs w:val="24"/>
        </w:rPr>
        <w:t>,</w:t>
      </w:r>
      <w:r w:rsidRPr="00FB2CA4">
        <w:rPr>
          <w:rFonts w:eastAsia="Times New Roman" w:cstheme="majorBidi"/>
          <w:b/>
          <w:bCs/>
          <w:color w:val="000000" w:themeColor="text1"/>
          <w:sz w:val="24"/>
          <w:szCs w:val="24"/>
        </w:rPr>
        <w:t xml:space="preserve"> and Cultural Rights</w:t>
      </w:r>
    </w:p>
    <w:p w14:paraId="738E066C" w14:textId="77777777" w:rsidR="00802292" w:rsidRPr="00FB2CA4" w:rsidRDefault="00802292" w:rsidP="009069E0">
      <w:pPr>
        <w:spacing w:after="0" w:line="276" w:lineRule="auto"/>
        <w:jc w:val="center"/>
        <w:rPr>
          <w:rFonts w:eastAsia="Times New Roman" w:cstheme="majorBidi"/>
          <w:color w:val="000000" w:themeColor="text1"/>
          <w:sz w:val="24"/>
          <w:szCs w:val="24"/>
        </w:rPr>
      </w:pPr>
    </w:p>
    <w:p w14:paraId="7CA705FC" w14:textId="77777777" w:rsidR="00802292" w:rsidRPr="00FB2CA4" w:rsidRDefault="00802292" w:rsidP="00802292">
      <w:pPr>
        <w:spacing w:after="0" w:line="240" w:lineRule="auto"/>
        <w:jc w:val="center"/>
        <w:rPr>
          <w:rFonts w:eastAsia="Times New Roman" w:cstheme="majorBidi"/>
          <w:color w:val="000000"/>
          <w:sz w:val="24"/>
          <w:szCs w:val="24"/>
        </w:rPr>
      </w:pPr>
      <w:r w:rsidRPr="00FB2CA4">
        <w:rPr>
          <w:rFonts w:eastAsia="Times New Roman" w:cstheme="majorBidi"/>
          <w:b/>
          <w:bCs/>
          <w:color w:val="1D498A"/>
          <w:sz w:val="24"/>
          <w:szCs w:val="24"/>
        </w:rPr>
        <w:t>77 Session (10 Feb 2025 - 28 Feb 2025)</w:t>
      </w:r>
    </w:p>
    <w:p w14:paraId="0652AA0A" w14:textId="033C7653" w:rsidR="00DB18E0" w:rsidRPr="00FB2CA4" w:rsidRDefault="00DB18E0" w:rsidP="009069E0">
      <w:pPr>
        <w:spacing w:after="0" w:line="276" w:lineRule="auto"/>
        <w:jc w:val="center"/>
        <w:rPr>
          <w:rFonts w:eastAsia="Times New Roman" w:cstheme="majorBidi"/>
          <w:color w:val="000000" w:themeColor="text1"/>
          <w:sz w:val="24"/>
          <w:szCs w:val="24"/>
        </w:rPr>
      </w:pPr>
    </w:p>
    <w:p w14:paraId="309B85FC" w14:textId="77777777" w:rsidR="00736CC6" w:rsidRPr="00FB2CA4" w:rsidRDefault="00736CC6" w:rsidP="009069E0">
      <w:pPr>
        <w:spacing w:after="0" w:line="276" w:lineRule="auto"/>
        <w:jc w:val="center"/>
        <w:rPr>
          <w:rFonts w:eastAsia="Times New Roman" w:cstheme="majorBidi"/>
          <w:color w:val="000000" w:themeColor="text1"/>
          <w:sz w:val="24"/>
          <w:szCs w:val="24"/>
        </w:rPr>
      </w:pPr>
    </w:p>
    <w:p w14:paraId="66A787DF" w14:textId="77777777" w:rsidR="00802292" w:rsidRPr="00FB2CA4" w:rsidRDefault="00802292" w:rsidP="00802292">
      <w:pPr>
        <w:spacing w:after="0" w:line="240" w:lineRule="auto"/>
        <w:rPr>
          <w:rFonts w:eastAsia="Times New Roman" w:cstheme="majorBidi"/>
          <w:sz w:val="24"/>
          <w:szCs w:val="24"/>
        </w:rPr>
      </w:pPr>
    </w:p>
    <w:p w14:paraId="2C51EAC5" w14:textId="656753CF" w:rsidR="00DB18E0" w:rsidRPr="00FB2CA4" w:rsidRDefault="00DB18E0" w:rsidP="009069E0">
      <w:pPr>
        <w:spacing w:line="276" w:lineRule="auto"/>
        <w:jc w:val="center"/>
        <w:rPr>
          <w:rFonts w:cstheme="majorBidi"/>
          <w:sz w:val="24"/>
          <w:szCs w:val="24"/>
        </w:rPr>
      </w:pPr>
    </w:p>
    <w:p w14:paraId="5DA856B0" w14:textId="77777777" w:rsidR="00DB18E0" w:rsidRPr="00FB2CA4" w:rsidRDefault="00DB18E0" w:rsidP="009069E0">
      <w:pPr>
        <w:spacing w:line="276" w:lineRule="auto"/>
        <w:jc w:val="both"/>
        <w:rPr>
          <w:rFonts w:cstheme="majorBidi"/>
          <w:sz w:val="24"/>
          <w:szCs w:val="24"/>
        </w:rPr>
      </w:pPr>
    </w:p>
    <w:p w14:paraId="7D0360AA" w14:textId="2F567C61" w:rsidR="005E7591" w:rsidRPr="00FB2CA4" w:rsidRDefault="005E7591" w:rsidP="009069E0">
      <w:pPr>
        <w:spacing w:line="276" w:lineRule="auto"/>
        <w:rPr>
          <w:rFonts w:cstheme="majorBidi"/>
          <w:b/>
          <w:bCs/>
          <w:sz w:val="24"/>
          <w:szCs w:val="24"/>
          <w:rtl/>
          <w:lang w:bidi="fa-IR"/>
        </w:rPr>
      </w:pPr>
    </w:p>
    <w:p w14:paraId="7457855B" w14:textId="23972395" w:rsidR="005E7591" w:rsidRPr="00FB2CA4" w:rsidRDefault="005E7591" w:rsidP="009069E0">
      <w:pPr>
        <w:spacing w:line="276" w:lineRule="auto"/>
        <w:rPr>
          <w:rFonts w:cstheme="majorBidi"/>
          <w:sz w:val="24"/>
          <w:szCs w:val="24"/>
        </w:rPr>
      </w:pPr>
    </w:p>
    <w:p w14:paraId="7DB70CCD" w14:textId="77777777" w:rsidR="00DB18E0" w:rsidRPr="00FB2CA4" w:rsidRDefault="00DB18E0" w:rsidP="009069E0">
      <w:pPr>
        <w:bidi/>
        <w:spacing w:line="276" w:lineRule="auto"/>
        <w:rPr>
          <w:rFonts w:cstheme="majorBidi"/>
          <w:sz w:val="24"/>
          <w:szCs w:val="24"/>
          <w:lang w:bidi="fa-IR"/>
        </w:rPr>
      </w:pPr>
    </w:p>
    <w:p w14:paraId="2B17062E" w14:textId="77777777" w:rsidR="00DB18E0" w:rsidRPr="00FB2CA4" w:rsidRDefault="00DB18E0" w:rsidP="009069E0">
      <w:pPr>
        <w:bidi/>
        <w:spacing w:line="276" w:lineRule="auto"/>
        <w:rPr>
          <w:rFonts w:cstheme="majorBidi"/>
          <w:sz w:val="24"/>
          <w:szCs w:val="24"/>
          <w:lang w:bidi="fa-IR"/>
        </w:rPr>
      </w:pPr>
    </w:p>
    <w:p w14:paraId="2D54DEC4" w14:textId="12E592AC" w:rsidR="00DB18E0" w:rsidRPr="00FB2CA4" w:rsidRDefault="00DB18E0" w:rsidP="009069E0">
      <w:pPr>
        <w:bidi/>
        <w:spacing w:line="276" w:lineRule="auto"/>
        <w:rPr>
          <w:rFonts w:cstheme="majorBidi"/>
          <w:sz w:val="24"/>
          <w:szCs w:val="24"/>
          <w:lang w:bidi="fa-IR"/>
        </w:rPr>
      </w:pPr>
    </w:p>
    <w:p w14:paraId="2BF2DDB2" w14:textId="7BB17AC6" w:rsidR="00DB18E0" w:rsidRPr="00FB2CA4" w:rsidRDefault="00DB18E0" w:rsidP="009069E0">
      <w:pPr>
        <w:bidi/>
        <w:spacing w:line="276" w:lineRule="auto"/>
        <w:rPr>
          <w:rFonts w:cstheme="majorBidi"/>
          <w:sz w:val="24"/>
          <w:szCs w:val="24"/>
          <w:lang w:bidi="fa-IR"/>
        </w:rPr>
      </w:pPr>
    </w:p>
    <w:p w14:paraId="1F2FBD00" w14:textId="231A8BC7" w:rsidR="00DB18E0" w:rsidRPr="00FB2CA4" w:rsidRDefault="00DB18E0" w:rsidP="009069E0">
      <w:pPr>
        <w:bidi/>
        <w:spacing w:line="276" w:lineRule="auto"/>
        <w:rPr>
          <w:rFonts w:cstheme="majorBidi"/>
          <w:sz w:val="24"/>
          <w:szCs w:val="24"/>
          <w:lang w:bidi="fa-IR"/>
        </w:rPr>
      </w:pPr>
    </w:p>
    <w:p w14:paraId="0572597C" w14:textId="5123FA2E" w:rsidR="00DB18E0" w:rsidRPr="00FB2CA4" w:rsidRDefault="00DB18E0" w:rsidP="009069E0">
      <w:pPr>
        <w:bidi/>
        <w:spacing w:line="276" w:lineRule="auto"/>
        <w:rPr>
          <w:rFonts w:cstheme="majorBidi"/>
          <w:sz w:val="24"/>
          <w:szCs w:val="24"/>
          <w:lang w:bidi="fa-IR"/>
        </w:rPr>
      </w:pPr>
    </w:p>
    <w:p w14:paraId="6916B5B1" w14:textId="537A0712" w:rsidR="00DB18E0" w:rsidRPr="00FB2CA4" w:rsidRDefault="00DB18E0" w:rsidP="009069E0">
      <w:pPr>
        <w:bidi/>
        <w:spacing w:line="276" w:lineRule="auto"/>
        <w:rPr>
          <w:rFonts w:cstheme="majorBidi"/>
          <w:sz w:val="24"/>
          <w:szCs w:val="24"/>
          <w:lang w:bidi="fa-IR"/>
        </w:rPr>
      </w:pPr>
    </w:p>
    <w:p w14:paraId="2AEE051A" w14:textId="75A7C438" w:rsidR="00E40C8E" w:rsidRPr="00FB2CA4" w:rsidRDefault="00DB18E0" w:rsidP="009069E0">
      <w:pPr>
        <w:spacing w:line="276" w:lineRule="auto"/>
        <w:rPr>
          <w:rFonts w:cstheme="majorBidi"/>
          <w:sz w:val="24"/>
          <w:szCs w:val="24"/>
          <w:rtl/>
          <w:lang w:bidi="fa-IR"/>
        </w:rPr>
      </w:pPr>
      <w:r w:rsidRPr="00FB2CA4">
        <w:rPr>
          <w:rFonts w:cstheme="majorBidi"/>
          <w:sz w:val="24"/>
          <w:szCs w:val="24"/>
          <w:lang w:bidi="fa-IR"/>
        </w:rPr>
        <w:br w:type="page"/>
      </w:r>
    </w:p>
    <w:p w14:paraId="41F4D3CB" w14:textId="3E38ECF4" w:rsidR="00042BEB" w:rsidRPr="00FB2CA4" w:rsidRDefault="00B85ABC" w:rsidP="00042BEB">
      <w:pPr>
        <w:pStyle w:val="Heading1"/>
        <w:spacing w:line="276" w:lineRule="auto"/>
        <w:rPr>
          <w:sz w:val="24"/>
          <w:szCs w:val="24"/>
          <w:lang w:bidi="fa-IR"/>
        </w:rPr>
      </w:pPr>
      <w:r w:rsidRPr="00FB2CA4">
        <w:rPr>
          <w:sz w:val="24"/>
          <w:szCs w:val="24"/>
          <w:lang w:bidi="fa-IR"/>
        </w:rPr>
        <w:lastRenderedPageBreak/>
        <w:t>Introduction</w:t>
      </w:r>
    </w:p>
    <w:p w14:paraId="30E8688A" w14:textId="556FB4C7" w:rsidR="00042BEB" w:rsidRPr="00FB2CA4" w:rsidRDefault="00042BEB" w:rsidP="00A66EC7">
      <w:pPr>
        <w:jc w:val="both"/>
        <w:rPr>
          <w:rFonts w:cstheme="majorBidi"/>
          <w:b/>
          <w:bCs/>
          <w:sz w:val="24"/>
          <w:szCs w:val="24"/>
          <w:rtl/>
          <w:lang w:bidi="fa-IR"/>
        </w:rPr>
      </w:pPr>
      <w:r w:rsidRPr="00FB2CA4">
        <w:rPr>
          <w:rFonts w:cstheme="majorBidi"/>
          <w:sz w:val="24"/>
          <w:szCs w:val="24"/>
          <w:lang w:bidi="fa-IR"/>
        </w:rPr>
        <w:t>The International Covenant on Economic, Social, and Cultural Rights (ICESCR) is a key international treaty that commits its parties to work towards granting economic, social, and cultural rights to all individuals. Article 12 of the ICESCR explicitly addresses everyone's right to enjoy the highest attainable standard of physical and mental health. As a party to this covenant, the UK has obligations to ensure that its citizens can enjoy this right.</w:t>
      </w:r>
      <w:r w:rsidRPr="00FB2CA4">
        <w:rPr>
          <w:rFonts w:cstheme="majorBidi"/>
          <w:sz w:val="24"/>
          <w:szCs w:val="24"/>
          <w:rtl/>
          <w:lang w:bidi="fa-IR"/>
        </w:rPr>
        <w:t xml:space="preserve"> </w:t>
      </w:r>
      <w:r w:rsidRPr="00FB2CA4">
        <w:rPr>
          <w:rFonts w:cstheme="majorBidi"/>
          <w:sz w:val="24"/>
          <w:szCs w:val="24"/>
          <w:lang w:bidi="fa-IR"/>
        </w:rPr>
        <w:t>However, issues related to access to healthcare and safety show that, while the UK is trying to meet these commitments, in reality it falls far short of international standards for equality in public access to the right to health. This could indeed be seen as a violation of Article 12, as the lack of access to healthcare and other health and safety measures directly impacts its citizens' physical and mental well-being. It's a complex issue requiring significant attention and action to ensure everyone in the UK can enjoy their right to health. This is while The United Kingdom, as a party to the International Covenant on Economic, Social, and Cultural Rights, has undertaken to fulfill its obligations under international law to guarantee the fundamental rights and respect for the human rights of its citizens. However, it has failed to ensure the right of its citizens to the highest attainable standard of physical and mental health. Healthcare inequality in the UK is a pressing issue that affects many people. Many people in the UK face long waiting times for healthcare services. As of June 2023, over 7 million people were on elective care waiting lists, and many struggled to get referrals from their GPs. Events such as the COVID-19 pandemic and the cost of living crisis in the UK have exacerbated inequalities in healthcare and health. Here are some key points to look at the roots of the lack of equal access to healthcare in the UK:</w:t>
      </w:r>
    </w:p>
    <w:p w14:paraId="518DDF22" w14:textId="2E6D4478" w:rsidR="00CD1B66" w:rsidRPr="00FB2CA4" w:rsidRDefault="004541E7" w:rsidP="00042BEB">
      <w:pPr>
        <w:pStyle w:val="Heading1"/>
        <w:spacing w:line="276" w:lineRule="auto"/>
        <w:jc w:val="both"/>
        <w:rPr>
          <w:sz w:val="24"/>
          <w:szCs w:val="24"/>
          <w:lang w:bidi="he-IL"/>
        </w:rPr>
      </w:pPr>
      <w:r w:rsidRPr="00FB2CA4">
        <w:rPr>
          <w:sz w:val="24"/>
          <w:szCs w:val="24"/>
          <w:lang w:bidi="fa-IR"/>
        </w:rPr>
        <w:t>right to the enjoyment of the highest attainable standard of physical and mental health</w:t>
      </w:r>
      <w:r w:rsidR="002E6A9B" w:rsidRPr="00FB2CA4">
        <w:rPr>
          <w:b w:val="0"/>
          <w:bCs w:val="0"/>
          <w:sz w:val="24"/>
          <w:szCs w:val="24"/>
          <w:rtl/>
          <w:lang w:bidi="fa-IR"/>
        </w:rPr>
        <w:t xml:space="preserve"> </w:t>
      </w:r>
      <w:r w:rsidR="002E6A9B" w:rsidRPr="00FB2CA4">
        <w:rPr>
          <w:sz w:val="24"/>
          <w:szCs w:val="24"/>
          <w:lang w:bidi="he-IL"/>
        </w:rPr>
        <w:t>(Article 12)</w:t>
      </w:r>
    </w:p>
    <w:p w14:paraId="0B562EE2" w14:textId="77777777" w:rsidR="00261628" w:rsidRPr="00FB2CA4" w:rsidRDefault="00261628" w:rsidP="00261628">
      <w:pPr>
        <w:rPr>
          <w:rFonts w:cstheme="majorBidi"/>
          <w:sz w:val="24"/>
          <w:szCs w:val="24"/>
          <w:lang w:bidi="he-IL"/>
        </w:rPr>
      </w:pPr>
    </w:p>
    <w:p w14:paraId="65B51E47" w14:textId="7C12E555" w:rsidR="00C87379" w:rsidRPr="00FB2CA4" w:rsidRDefault="00064707" w:rsidP="00A50160">
      <w:pPr>
        <w:pStyle w:val="ListParagraph"/>
        <w:numPr>
          <w:ilvl w:val="0"/>
          <w:numId w:val="11"/>
        </w:numPr>
        <w:jc w:val="both"/>
        <w:rPr>
          <w:rFonts w:cstheme="majorBidi"/>
          <w:sz w:val="24"/>
          <w:szCs w:val="24"/>
          <w:lang w:bidi="fa-IR"/>
        </w:rPr>
      </w:pPr>
      <w:r w:rsidRPr="00FB2CA4">
        <w:rPr>
          <w:rFonts w:cstheme="majorBidi"/>
          <w:b/>
          <w:bCs/>
          <w:sz w:val="24"/>
          <w:szCs w:val="24"/>
          <w:u w:val="single"/>
          <w:lang w:bidi="fa-IR"/>
        </w:rPr>
        <w:t>Health inequalities</w:t>
      </w:r>
    </w:p>
    <w:p w14:paraId="4BD95AE4" w14:textId="3FE595EB" w:rsidR="00A50160" w:rsidRPr="00FB2CA4" w:rsidRDefault="00A50160" w:rsidP="00261628">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 Health inequalities in England are significant. There are two key measures of health inequality– life expectancy, a measure of how long we can expect to live, and healthy life expectancy, which tells us how many of those years are expected to be in good health:</w:t>
      </w:r>
    </w:p>
    <w:p w14:paraId="49426381" w14:textId="27BB508B" w:rsidR="00E41662" w:rsidRPr="00FB2CA4" w:rsidRDefault="00E41662" w:rsidP="00261628">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In some parts of England, for some groups, life expectancy was reduced for the first time in a century before the Covid-19 pandemic. This is the case for women in the north-east England, for example. However, life expectancy has </w:t>
      </w:r>
      <w:r w:rsidR="00537C61" w:rsidRPr="00FB2CA4">
        <w:rPr>
          <w:rFonts w:cstheme="majorBidi"/>
          <w:sz w:val="24"/>
          <w:szCs w:val="24"/>
          <w:lang w:bidi="fa-IR"/>
        </w:rPr>
        <w:t>fallen</w:t>
      </w:r>
      <w:r w:rsidRPr="00FB2CA4">
        <w:rPr>
          <w:rFonts w:cstheme="majorBidi"/>
          <w:sz w:val="24"/>
          <w:szCs w:val="24"/>
          <w:lang w:bidi="fa-IR"/>
        </w:rPr>
        <w:t xml:space="preserve"> since 2020, primarily due to the Covid-19 pandemic in England, Scotland, and Wales. For instance, female life expectancy fell by 1.1 years in Derby.</w:t>
      </w:r>
    </w:p>
    <w:p w14:paraId="218588B4" w14:textId="112E43D0" w:rsidR="00A50160" w:rsidRPr="00FB2CA4" w:rsidRDefault="00E41662" w:rsidP="00261628">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Significant discrepancies exist in people’s life expectancies based not just on where they live but the circumstances surrounding where they live. There are huge gaps in life expectancy for those living in the most disadvantaged parts of the country and those in the most affluent. This gap is 9.7 years of life for men and eight years for women. Men in the most disadvantaged neighborhoods can expect to live for 73.5 years, whereas those </w:t>
      </w:r>
      <w:r w:rsidRPr="00FB2CA4">
        <w:rPr>
          <w:rFonts w:cstheme="majorBidi"/>
          <w:sz w:val="24"/>
          <w:szCs w:val="24"/>
          <w:lang w:bidi="fa-IR"/>
        </w:rPr>
        <w:lastRenderedPageBreak/>
        <w:t xml:space="preserve">in the least 83.2 years. </w:t>
      </w:r>
      <w:r w:rsidR="00B94E52" w:rsidRPr="00FB2CA4">
        <w:rPr>
          <w:rFonts w:cstheme="majorBidi"/>
          <w:sz w:val="24"/>
          <w:szCs w:val="24"/>
          <w:lang w:bidi="fa-IR"/>
        </w:rPr>
        <w:t xml:space="preserve">This is 78.3 years for women </w:t>
      </w:r>
      <w:r w:rsidRPr="00FB2CA4">
        <w:rPr>
          <w:rFonts w:cstheme="majorBidi"/>
          <w:sz w:val="24"/>
          <w:szCs w:val="24"/>
          <w:lang w:bidi="fa-IR"/>
        </w:rPr>
        <w:t xml:space="preserve">in the most </w:t>
      </w:r>
      <w:r w:rsidR="00323491" w:rsidRPr="00FB2CA4">
        <w:rPr>
          <w:rFonts w:cstheme="majorBidi"/>
          <w:sz w:val="24"/>
          <w:szCs w:val="24"/>
          <w:lang w:bidi="fa-IR"/>
        </w:rPr>
        <w:t>underprivileged</w:t>
      </w:r>
      <w:r w:rsidRPr="00FB2CA4">
        <w:rPr>
          <w:rFonts w:cstheme="majorBidi"/>
          <w:sz w:val="24"/>
          <w:szCs w:val="24"/>
          <w:lang w:bidi="fa-IR"/>
        </w:rPr>
        <w:t xml:space="preserve"> </w:t>
      </w:r>
      <w:r w:rsidR="00323491" w:rsidRPr="00FB2CA4">
        <w:rPr>
          <w:rFonts w:cstheme="majorBidi"/>
          <w:sz w:val="24"/>
          <w:szCs w:val="24"/>
          <w:lang w:bidi="fa-IR"/>
        </w:rPr>
        <w:t>neighborhoods</w:t>
      </w:r>
      <w:r w:rsidRPr="00FB2CA4">
        <w:rPr>
          <w:rFonts w:cstheme="majorBidi"/>
          <w:sz w:val="24"/>
          <w:szCs w:val="24"/>
          <w:lang w:bidi="fa-IR"/>
        </w:rPr>
        <w:t xml:space="preserve"> and 86.3 in the most affluent.</w:t>
      </w:r>
      <w:r w:rsidR="00B94E52" w:rsidRPr="00FB2CA4">
        <w:rPr>
          <w:rStyle w:val="FootnoteReference"/>
          <w:rFonts w:cstheme="majorBidi"/>
          <w:sz w:val="24"/>
          <w:szCs w:val="24"/>
          <w:lang w:bidi="fa-IR"/>
        </w:rPr>
        <w:footnoteReference w:id="1"/>
      </w:r>
    </w:p>
    <w:p w14:paraId="62C712EF" w14:textId="7FDE88A9" w:rsidR="00FC18D8" w:rsidRPr="00FB2CA4" w:rsidRDefault="00FC18D8" w:rsidP="00261628">
      <w:pPr>
        <w:pStyle w:val="ListParagraph"/>
        <w:numPr>
          <w:ilvl w:val="1"/>
          <w:numId w:val="11"/>
        </w:numPr>
        <w:ind w:left="900"/>
        <w:jc w:val="both"/>
        <w:rPr>
          <w:rFonts w:cstheme="majorBidi"/>
          <w:sz w:val="24"/>
          <w:szCs w:val="24"/>
          <w:lang w:bidi="fa-IR"/>
        </w:rPr>
      </w:pPr>
      <w:r w:rsidRPr="00FB2CA4">
        <w:rPr>
          <w:rFonts w:cstheme="majorBidi"/>
          <w:sz w:val="24"/>
          <w:szCs w:val="24"/>
          <w:lang w:bidi="fa-IR"/>
        </w:rPr>
        <w:t>Those living in the disadvantaged areas can expect to live the most minor proportion of their already shorter lives in good health, and those living in the least ‘deprived’ parts of the country can expect to live the highest proportion of their lives in good health.</w:t>
      </w:r>
      <w:r w:rsidR="00591242" w:rsidRPr="00FB2CA4">
        <w:rPr>
          <w:rFonts w:cstheme="majorBidi"/>
          <w:sz w:val="24"/>
          <w:szCs w:val="24"/>
          <w:lang w:bidi="fa-IR"/>
        </w:rPr>
        <w:t xml:space="preserve"> </w:t>
      </w:r>
      <w:r w:rsidRPr="00FB2CA4">
        <w:rPr>
          <w:rFonts w:cstheme="majorBidi"/>
          <w:sz w:val="24"/>
          <w:szCs w:val="24"/>
          <w:lang w:bidi="fa-IR"/>
        </w:rPr>
        <w:t xml:space="preserve">Women living in the most disadvantaged areas can expect to live 51.9 of their 78.3 years in good health. In </w:t>
      </w:r>
      <w:r w:rsidR="00F5739D" w:rsidRPr="00FB2CA4">
        <w:rPr>
          <w:rFonts w:cstheme="majorBidi"/>
          <w:sz w:val="24"/>
          <w:szCs w:val="24"/>
          <w:lang w:bidi="fa-IR"/>
        </w:rPr>
        <w:t>the least disadvantaged neighbo</w:t>
      </w:r>
      <w:r w:rsidRPr="00FB2CA4">
        <w:rPr>
          <w:rFonts w:cstheme="majorBidi"/>
          <w:sz w:val="24"/>
          <w:szCs w:val="24"/>
          <w:lang w:bidi="fa-IR"/>
        </w:rPr>
        <w:t xml:space="preserve">rhoods, women can expect to live 70.7 of their 86.3 years in good health. Women in </w:t>
      </w:r>
      <w:r w:rsidR="00F5739D" w:rsidRPr="00FB2CA4">
        <w:rPr>
          <w:rFonts w:cstheme="majorBidi"/>
          <w:sz w:val="24"/>
          <w:szCs w:val="24"/>
          <w:lang w:bidi="fa-IR"/>
        </w:rPr>
        <w:t>the least disadvantaged neighbo</w:t>
      </w:r>
      <w:r w:rsidRPr="00FB2CA4">
        <w:rPr>
          <w:rFonts w:cstheme="majorBidi"/>
          <w:sz w:val="24"/>
          <w:szCs w:val="24"/>
          <w:lang w:bidi="fa-IR"/>
        </w:rPr>
        <w:t>rhoods can almost expect to live healthily for as long as women in</w:t>
      </w:r>
      <w:r w:rsidR="00F5739D" w:rsidRPr="00FB2CA4">
        <w:rPr>
          <w:rFonts w:cstheme="majorBidi"/>
          <w:sz w:val="24"/>
          <w:szCs w:val="24"/>
          <w:lang w:bidi="fa-IR"/>
        </w:rPr>
        <w:t xml:space="preserve"> the most disadvantaged neighbo</w:t>
      </w:r>
      <w:r w:rsidRPr="00FB2CA4">
        <w:rPr>
          <w:rFonts w:cstheme="majorBidi"/>
          <w:sz w:val="24"/>
          <w:szCs w:val="24"/>
          <w:lang w:bidi="fa-IR"/>
        </w:rPr>
        <w:t>rhoods can expect to live</w:t>
      </w:r>
      <w:r w:rsidR="00591242" w:rsidRPr="00FB2CA4">
        <w:rPr>
          <w:rFonts w:cstheme="majorBidi"/>
          <w:sz w:val="24"/>
          <w:szCs w:val="24"/>
          <w:lang w:bidi="fa-IR"/>
        </w:rPr>
        <w:t>.</w:t>
      </w:r>
      <w:r w:rsidR="00591242" w:rsidRPr="00FB2CA4">
        <w:rPr>
          <w:rStyle w:val="FootnoteReference"/>
          <w:rFonts w:cstheme="majorBidi"/>
          <w:sz w:val="24"/>
          <w:szCs w:val="24"/>
          <w:lang w:bidi="fa-IR"/>
        </w:rPr>
        <w:footnoteReference w:id="2"/>
      </w:r>
    </w:p>
    <w:p w14:paraId="36EC3E95" w14:textId="0A2E58DB" w:rsidR="00FC18D8" w:rsidRPr="00FB2CA4" w:rsidRDefault="00FC18D8" w:rsidP="00261628">
      <w:pPr>
        <w:pStyle w:val="ListParagraph"/>
        <w:numPr>
          <w:ilvl w:val="1"/>
          <w:numId w:val="11"/>
        </w:numPr>
        <w:ind w:left="900"/>
        <w:jc w:val="both"/>
        <w:rPr>
          <w:rFonts w:cstheme="majorBidi"/>
          <w:sz w:val="24"/>
          <w:szCs w:val="24"/>
          <w:lang w:bidi="fa-IR"/>
        </w:rPr>
      </w:pPr>
      <w:r w:rsidRPr="00FB2CA4">
        <w:rPr>
          <w:rFonts w:cstheme="majorBidi"/>
          <w:sz w:val="24"/>
          <w:szCs w:val="24"/>
          <w:lang w:bidi="fa-IR"/>
        </w:rPr>
        <w:t>Men in the most disadvantaged parts of England can expect to live 52.3 years in good health. In the least disadvantaged, this is 70.5 years – a gap of 18.2 years. This is a significant gulf; men in the most disadvantaged areas are expected to live in poor health long before they reach retirement age. These statistics demonstrates an enormous gap in the quality and quantity of life in England.</w:t>
      </w:r>
    </w:p>
    <w:p w14:paraId="4ECEE02A" w14:textId="216C020F" w:rsidR="00EF2542" w:rsidRPr="00FB2CA4" w:rsidRDefault="00EF2542" w:rsidP="00261628">
      <w:pPr>
        <w:pStyle w:val="ListParagraph"/>
        <w:numPr>
          <w:ilvl w:val="1"/>
          <w:numId w:val="8"/>
        </w:numPr>
        <w:ind w:left="900"/>
        <w:jc w:val="both"/>
        <w:rPr>
          <w:rFonts w:cstheme="majorBidi"/>
          <w:color w:val="121212"/>
          <w:sz w:val="24"/>
          <w:szCs w:val="24"/>
        </w:rPr>
      </w:pPr>
      <w:r w:rsidRPr="00FB2CA4">
        <w:rPr>
          <w:rFonts w:cstheme="majorBidi"/>
          <w:sz w:val="24"/>
          <w:szCs w:val="24"/>
          <w:lang w:bidi="fa-IR"/>
        </w:rPr>
        <w:t xml:space="preserve"> There are substantial inequalities in life expectancy. People living in more deprived areas of the UK tend to die earlier than people living in the least deprived areas and spend a more significant proportion of their lives in poor health.</w:t>
      </w:r>
      <w:r w:rsidRPr="00FB2CA4">
        <w:rPr>
          <w:rFonts w:cstheme="majorBidi"/>
          <w:sz w:val="24"/>
          <w:szCs w:val="24"/>
          <w:rtl/>
          <w:lang w:bidi="fa-IR"/>
        </w:rPr>
        <w:t xml:space="preserve"> </w:t>
      </w:r>
      <w:r w:rsidRPr="00FB2CA4">
        <w:rPr>
          <w:rFonts w:cstheme="majorBidi"/>
          <w:sz w:val="24"/>
          <w:szCs w:val="24"/>
          <w:lang w:bidi="fa-IR"/>
        </w:rPr>
        <w:t>There is currently a gap of almost 20 years in how long a woman can expect to live in good health, depending on whether she lives in England's most or least deprived areas. These inequalities have persisted and increased over time.</w:t>
      </w:r>
      <w:r w:rsidR="00323491" w:rsidRPr="00FB2CA4">
        <w:rPr>
          <w:rFonts w:cstheme="majorBidi"/>
          <w:sz w:val="24"/>
          <w:szCs w:val="24"/>
          <w:lang w:bidi="fa-IR"/>
        </w:rPr>
        <w:t xml:space="preserve"> </w:t>
      </w:r>
      <w:r w:rsidRPr="00FB2CA4">
        <w:rPr>
          <w:rFonts w:cstheme="majorBidi"/>
          <w:sz w:val="24"/>
          <w:szCs w:val="24"/>
          <w:lang w:bidi="fa-IR"/>
        </w:rPr>
        <w:t>COVID-19 led to a sharp fall in life expectancy across the population – the biggest fall in England since World War II – but the impact of the pandemic was unequal and exacerbated existing inequalities further.</w:t>
      </w:r>
      <w:r w:rsidRPr="00FB2CA4">
        <w:rPr>
          <w:rStyle w:val="FootnoteReference"/>
          <w:rFonts w:cstheme="majorBidi"/>
          <w:sz w:val="24"/>
          <w:szCs w:val="24"/>
          <w:lang w:bidi="fa-IR"/>
        </w:rPr>
        <w:footnoteReference w:id="3"/>
      </w:r>
    </w:p>
    <w:p w14:paraId="717A8BC3" w14:textId="4CC724D8" w:rsidR="00EF2542" w:rsidRPr="00FB2CA4" w:rsidRDefault="00EF2542" w:rsidP="00261628">
      <w:pPr>
        <w:pStyle w:val="ListParagraph"/>
        <w:numPr>
          <w:ilvl w:val="1"/>
          <w:numId w:val="8"/>
        </w:numPr>
        <w:ind w:left="900"/>
        <w:jc w:val="both"/>
        <w:rPr>
          <w:rFonts w:cstheme="majorBidi"/>
          <w:color w:val="121212"/>
          <w:sz w:val="24"/>
          <w:szCs w:val="24"/>
        </w:rPr>
      </w:pPr>
      <w:r w:rsidRPr="00FB2CA4">
        <w:rPr>
          <w:rFonts w:cstheme="majorBidi"/>
          <w:color w:val="121212"/>
          <w:sz w:val="24"/>
          <w:szCs w:val="24"/>
        </w:rPr>
        <w:t>In England, a systematic relationship exists between deprivation and life expectancy, sometimes known as the social gradient in health. In 2017–19, women living in the least-deprived 10 percent of areas could, at birth, expect to live to 86.4 years old, whereas women in the most-deprived 10 percent of areas could expect to live to 78.7 years – a gap in life expectancy of almost 8 years. For men, this gap was even wider, with a difference of 9.4 years between the life expectancy for those in the least-deprived 10 percent of areas (83.5 years) and the most-deprived 10 percent of areas (74.1 years). In recent years, inequalities in life expectancy by deprivation have widened.  Life expectancy in the four most southerly English regions was higher than the England average, whereas in all other regions, life expectancy was lower than the England average.</w:t>
      </w:r>
      <w:r w:rsidRPr="00FB2CA4">
        <w:rPr>
          <w:rStyle w:val="FootnoteReference"/>
          <w:rFonts w:cstheme="majorBidi"/>
          <w:color w:val="121212"/>
          <w:sz w:val="24"/>
          <w:szCs w:val="24"/>
        </w:rPr>
        <w:footnoteReference w:id="4"/>
      </w:r>
    </w:p>
    <w:p w14:paraId="54DA6F0A" w14:textId="77777777"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Since 2010 life expectancy in England has stalled; this has not happened since at least 1900. If health has stopped improving, it is a sign that society has stopped improving. When a society is flourishing, health tends to flourish.  The health of the population is </w:t>
      </w:r>
      <w:r w:rsidRPr="00FB2CA4">
        <w:rPr>
          <w:rFonts w:cstheme="majorBidi"/>
          <w:sz w:val="24"/>
          <w:szCs w:val="24"/>
        </w:rPr>
        <w:lastRenderedPageBreak/>
        <w:t xml:space="preserve">not just a matter of how well the health service is funded and functions, as important as that is. Health is closely linked to the conditions in which people are born, grow, live, work and age and inequities in power, money and resources – the social determinants of health. </w:t>
      </w:r>
    </w:p>
    <w:p w14:paraId="5AE2BA08" w14:textId="77777777"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The slowdown in life expectancy increase cannot, for the most part be attributed to severe winters. More than 80 percent of the slowdown between 2011 and 2019 results from influences other than winter-associated mortality. </w:t>
      </w:r>
    </w:p>
    <w:p w14:paraId="4707B839" w14:textId="77777777"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Life expectancy follows the social gradient – the more deprived the area the shorter the life expectancy. This gradient has become steeper; inequalities in life expectancy have increased. Among women in the most deprived 10 percent of areas, life expectancy fell between 2010-12 and 2016-18. </w:t>
      </w:r>
    </w:p>
    <w:p w14:paraId="0E332B17" w14:textId="4C8CEF56"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There are marked regional differences in life expectancy, particularly among people living in more deprived areas. Differences both within and between regions have tended to increase. For both men and women, the largest decreases in life expectancy were seen in the most deprived 10 percent of neighborhoods in the North East and the largest increases in the least deprived 10 percent of neighborhoods in London. </w:t>
      </w:r>
    </w:p>
    <w:p w14:paraId="5C08D6AA" w14:textId="0A1A4D58"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There has been no sign of a decrease in mortality for people under 50. In fact, mortality rates have increased for people aged 45-49. It is likely that social and economic conditions have undermined health at these ages. </w:t>
      </w:r>
    </w:p>
    <w:p w14:paraId="5A201245" w14:textId="77777777"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The gradient in healthy life expectancy is steeper than that of life expectancy. It means that people in more deprived areas spend more of their shorter lives in ill health than those in less deprived areas. </w:t>
      </w:r>
    </w:p>
    <w:p w14:paraId="1B69CB18" w14:textId="749080BC" w:rsidR="007F6C2A" w:rsidRPr="00FB2CA4" w:rsidRDefault="007F6C2A" w:rsidP="00261628">
      <w:pPr>
        <w:pStyle w:val="ListParagraph"/>
        <w:numPr>
          <w:ilvl w:val="1"/>
          <w:numId w:val="8"/>
        </w:numPr>
        <w:ind w:left="900"/>
        <w:jc w:val="both"/>
        <w:rPr>
          <w:rFonts w:cstheme="majorBidi"/>
          <w:sz w:val="24"/>
          <w:szCs w:val="24"/>
        </w:rPr>
      </w:pPr>
      <w:r w:rsidRPr="00FB2CA4">
        <w:rPr>
          <w:rFonts w:cstheme="majorBidi"/>
          <w:sz w:val="24"/>
          <w:szCs w:val="24"/>
        </w:rPr>
        <w:t xml:space="preserve">The amount of time people spend in poor health has increased across England since 2010.  inequalities in poor health harm individuals, families, and communities and are expensive to the public purse. </w:t>
      </w:r>
      <w:r w:rsidR="000227FF" w:rsidRPr="00FB2CA4">
        <w:rPr>
          <w:rStyle w:val="FootnoteReference"/>
          <w:rFonts w:cstheme="majorBidi"/>
          <w:sz w:val="24"/>
          <w:szCs w:val="24"/>
        </w:rPr>
        <w:footnoteReference w:id="5"/>
      </w:r>
    </w:p>
    <w:p w14:paraId="66A79F29" w14:textId="323DE776" w:rsidR="009F42FB" w:rsidRPr="00FB2CA4" w:rsidRDefault="009F42FB" w:rsidP="00261628">
      <w:pPr>
        <w:pStyle w:val="ListParagraph"/>
        <w:numPr>
          <w:ilvl w:val="1"/>
          <w:numId w:val="8"/>
        </w:numPr>
        <w:ind w:left="900"/>
        <w:jc w:val="both"/>
        <w:rPr>
          <w:rFonts w:cstheme="majorBidi"/>
          <w:sz w:val="24"/>
          <w:szCs w:val="24"/>
        </w:rPr>
      </w:pPr>
      <w:r w:rsidRPr="00FB2CA4">
        <w:rPr>
          <w:rFonts w:cstheme="majorBidi"/>
          <w:sz w:val="24"/>
          <w:szCs w:val="24"/>
        </w:rPr>
        <w:t xml:space="preserve">Nearly half (47%) of the UK workforce is without access to essential health support, such as routine health checks or flu vaccinations.  </w:t>
      </w:r>
      <w:r w:rsidRPr="00FB2CA4">
        <w:rPr>
          <w:rStyle w:val="FootnoteReference"/>
          <w:rFonts w:cstheme="majorBidi"/>
          <w:sz w:val="24"/>
          <w:szCs w:val="24"/>
        </w:rPr>
        <w:footnoteReference w:id="6"/>
      </w:r>
    </w:p>
    <w:p w14:paraId="0BE55F8E" w14:textId="1AD72B4F" w:rsidR="0034163C" w:rsidRPr="00FB2CA4" w:rsidRDefault="0034163C" w:rsidP="00261628">
      <w:pPr>
        <w:pStyle w:val="ListParagraph"/>
        <w:numPr>
          <w:ilvl w:val="1"/>
          <w:numId w:val="8"/>
        </w:numPr>
        <w:ind w:left="900"/>
        <w:jc w:val="both"/>
        <w:rPr>
          <w:rFonts w:cstheme="majorBidi"/>
          <w:color w:val="121212"/>
          <w:sz w:val="24"/>
          <w:szCs w:val="24"/>
        </w:rPr>
      </w:pPr>
      <w:r w:rsidRPr="00FB2CA4">
        <w:rPr>
          <w:rFonts w:cstheme="majorBidi"/>
          <w:sz w:val="24"/>
          <w:szCs w:val="24"/>
          <w:lang w:bidi="fa-IR"/>
        </w:rPr>
        <w:t>A report by the Royal Society for Public Health (RSPH) has found that almost half of the UK workforce lacks access to workplace health support, including winter flu vaccinations and checks for cardiovascular diseases. The analysis looked at data from the Department for Work and Pensions and the Department for Business, Energy and Industrial Strategy (DBEIS) and found that more than 10 million UK workers lack access to services, including basic health checks, vaccinations, and smoking or weight loss support, provided by their employer. The report found that the UK’s current workplace health system could further exacerbate existing health inequalities, given that people in lower-paid industries, such as hospitality and agriculture, are even less likely to have access to health protection interventions at work.</w:t>
      </w:r>
      <w:r w:rsidRPr="00FB2CA4">
        <w:rPr>
          <w:rStyle w:val="FootnoteReference"/>
          <w:rFonts w:cstheme="majorBidi"/>
          <w:sz w:val="24"/>
          <w:szCs w:val="24"/>
          <w:lang w:bidi="fa-IR"/>
        </w:rPr>
        <w:footnoteReference w:id="7"/>
      </w:r>
      <w:r w:rsidRPr="00FB2CA4">
        <w:rPr>
          <w:rFonts w:cstheme="majorBidi"/>
          <w:b/>
          <w:bCs/>
          <w:sz w:val="24"/>
          <w:szCs w:val="24"/>
          <w:rtl/>
          <w:lang w:bidi="fa-IR"/>
        </w:rPr>
        <w:t xml:space="preserve"> </w:t>
      </w:r>
    </w:p>
    <w:p w14:paraId="4BA54546" w14:textId="2E12C652" w:rsidR="00661ED5" w:rsidRPr="00FB2CA4" w:rsidRDefault="00661ED5" w:rsidP="00261628">
      <w:pPr>
        <w:pStyle w:val="ListParagraph"/>
        <w:numPr>
          <w:ilvl w:val="1"/>
          <w:numId w:val="8"/>
        </w:numPr>
        <w:ind w:left="900"/>
        <w:jc w:val="both"/>
        <w:rPr>
          <w:rFonts w:cstheme="majorBidi"/>
          <w:color w:val="121212"/>
          <w:sz w:val="24"/>
          <w:szCs w:val="24"/>
        </w:rPr>
      </w:pPr>
      <w:r w:rsidRPr="00FB2CA4">
        <w:rPr>
          <w:rFonts w:cstheme="majorBidi"/>
          <w:color w:val="121212"/>
          <w:sz w:val="24"/>
          <w:szCs w:val="24"/>
        </w:rPr>
        <w:lastRenderedPageBreak/>
        <w:t>As the population grows, ages and develops more complex health needs, the capacity of the health and care system will need to expand to keep up. The number of hospital beds in England has roughly halved over the past 30 years, down to a mix of improvements in care, changes in policy and other factors. But recent projections suggest that simply maintaining 2018/19 standards of NHS care in England may require between 23,000 and 39,000 additional general and acute hospital beds by 2030/31, alongside big increases in staff.</w:t>
      </w:r>
      <w:r w:rsidRPr="00FB2CA4">
        <w:rPr>
          <w:rStyle w:val="FootnoteReference"/>
          <w:rFonts w:cstheme="majorBidi"/>
          <w:color w:val="121212"/>
          <w:sz w:val="24"/>
          <w:szCs w:val="24"/>
        </w:rPr>
        <w:footnoteReference w:id="8"/>
      </w:r>
    </w:p>
    <w:p w14:paraId="214EFB14" w14:textId="20195DC2" w:rsidR="00002B77" w:rsidRPr="00FB2CA4" w:rsidRDefault="00002B77" w:rsidP="00261628">
      <w:pPr>
        <w:pStyle w:val="ListParagraph"/>
        <w:numPr>
          <w:ilvl w:val="1"/>
          <w:numId w:val="8"/>
        </w:numPr>
        <w:ind w:left="900"/>
        <w:jc w:val="both"/>
        <w:rPr>
          <w:rFonts w:cstheme="majorBidi"/>
          <w:color w:val="121212"/>
          <w:sz w:val="24"/>
          <w:szCs w:val="24"/>
        </w:rPr>
      </w:pPr>
      <w:r w:rsidRPr="00FB2CA4">
        <w:rPr>
          <w:rFonts w:cstheme="majorBidi"/>
          <w:color w:val="121212"/>
          <w:sz w:val="24"/>
          <w:szCs w:val="24"/>
        </w:rPr>
        <w:t>There are also inequities in how resources are distributed. GP practices in more deprived areas of England are relatively underfunded and under-doctored compared with GP practices in richer areas.</w:t>
      </w:r>
      <w:r w:rsidRPr="00FB2CA4">
        <w:rPr>
          <w:rStyle w:val="FootnoteReference"/>
          <w:rFonts w:cstheme="majorBidi"/>
          <w:color w:val="121212"/>
          <w:sz w:val="24"/>
          <w:szCs w:val="24"/>
        </w:rPr>
        <w:footnoteReference w:id="9"/>
      </w:r>
    </w:p>
    <w:p w14:paraId="082EAD14" w14:textId="342A0500" w:rsidR="00277F12" w:rsidRPr="00FB2CA4" w:rsidRDefault="00277F12" w:rsidP="00261628">
      <w:pPr>
        <w:pStyle w:val="ListParagraph"/>
        <w:numPr>
          <w:ilvl w:val="1"/>
          <w:numId w:val="8"/>
        </w:numPr>
        <w:ind w:left="900"/>
        <w:jc w:val="both"/>
        <w:rPr>
          <w:rFonts w:cstheme="majorBidi"/>
          <w:color w:val="121212"/>
          <w:sz w:val="24"/>
          <w:szCs w:val="24"/>
        </w:rPr>
      </w:pPr>
      <w:r w:rsidRPr="00FB2CA4">
        <w:rPr>
          <w:rFonts w:cstheme="majorBidi"/>
          <w:color w:val="121212"/>
          <w:sz w:val="24"/>
          <w:szCs w:val="24"/>
        </w:rPr>
        <w:t>Public satisfaction with the NHS is at a 40-year low. The British Social Attitudes survey101 – a representative survey of adults in Britain conducted annually since 1983 – found that in 2022, only 29% of the public was ‘very’ or ‘quite satisfied’ with the NHS. Satisfaction has fallen sharply since the pandemic, with 60% of the public very or quite satisfied in 2019 – though satisfaction in 2019 was still well below its peak in 2010. The main reasons people gave for their dissatisfaction were waiting times for GP and hospital care (69%), staff shortages (55%) and a lack of public spending on the NHS (50%). Satisfaction fell across all ages, income groups and supporters of different political parties.</w:t>
      </w:r>
      <w:r w:rsidRPr="00FB2CA4">
        <w:rPr>
          <w:rStyle w:val="FootnoteReference"/>
          <w:rFonts w:cstheme="majorBidi"/>
          <w:color w:val="121212"/>
          <w:sz w:val="24"/>
          <w:szCs w:val="24"/>
        </w:rPr>
        <w:footnoteReference w:id="10"/>
      </w:r>
    </w:p>
    <w:p w14:paraId="4B0E976F" w14:textId="6B07EC8F" w:rsidR="00F156A1" w:rsidRPr="00FB2CA4" w:rsidRDefault="00F156A1" w:rsidP="00F156A1">
      <w:pPr>
        <w:pStyle w:val="ListParagraph"/>
        <w:numPr>
          <w:ilvl w:val="1"/>
          <w:numId w:val="8"/>
        </w:numPr>
        <w:ind w:left="900"/>
        <w:jc w:val="both"/>
        <w:rPr>
          <w:rFonts w:cstheme="majorBidi"/>
          <w:sz w:val="24"/>
          <w:szCs w:val="24"/>
        </w:rPr>
      </w:pPr>
      <w:r w:rsidRPr="00FB2CA4">
        <w:rPr>
          <w:rFonts w:cstheme="majorBidi"/>
          <w:sz w:val="24"/>
          <w:szCs w:val="24"/>
        </w:rPr>
        <w:t>The level of inequality by ethnic group was 7.4 percentage points in the academic year 2016 to 2017, as measured by the mean deviation, and this inequality has widened since academic year 2013 to 2014. This analysis does not take into account the differences in the level of deprivation between ethnic groups.</w:t>
      </w:r>
      <w:r w:rsidRPr="00FB2CA4">
        <w:rPr>
          <w:rStyle w:val="FootnoteReference"/>
          <w:rFonts w:cstheme="majorBidi"/>
          <w:sz w:val="24"/>
          <w:szCs w:val="24"/>
        </w:rPr>
        <w:footnoteReference w:id="11"/>
      </w:r>
    </w:p>
    <w:p w14:paraId="2A0B24AF" w14:textId="77777777" w:rsidR="00F5739D" w:rsidRPr="00FB2CA4" w:rsidRDefault="00F5739D" w:rsidP="00F5739D">
      <w:pPr>
        <w:pStyle w:val="ListParagraph"/>
        <w:ind w:left="900"/>
        <w:jc w:val="both"/>
        <w:rPr>
          <w:rFonts w:cstheme="majorBidi"/>
          <w:sz w:val="24"/>
          <w:szCs w:val="24"/>
        </w:rPr>
      </w:pPr>
    </w:p>
    <w:p w14:paraId="654DCAF6" w14:textId="7DD94FA2" w:rsidR="00711C43" w:rsidRPr="00FB2CA4" w:rsidRDefault="00711C43" w:rsidP="00711C43">
      <w:pPr>
        <w:pStyle w:val="ListParagraph"/>
        <w:numPr>
          <w:ilvl w:val="0"/>
          <w:numId w:val="8"/>
        </w:numPr>
        <w:jc w:val="both"/>
        <w:rPr>
          <w:rFonts w:cstheme="majorBidi"/>
          <w:b/>
          <w:bCs/>
          <w:sz w:val="24"/>
          <w:szCs w:val="24"/>
          <w:u w:val="single"/>
        </w:rPr>
      </w:pPr>
      <w:r w:rsidRPr="00FB2CA4">
        <w:rPr>
          <w:rFonts w:cstheme="majorBidi"/>
          <w:b/>
          <w:bCs/>
          <w:sz w:val="24"/>
          <w:szCs w:val="24"/>
          <w:u w:val="single"/>
        </w:rPr>
        <w:t>Inequalities in child health</w:t>
      </w:r>
    </w:p>
    <w:p w14:paraId="7470391F" w14:textId="77777777"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t>In the most deprived areas of England, in 2014 to 2016, the percentage of term babies born with a low birthweight was twice as high as in the least deprived areas (as measured by the relative index of inequality), and there has been no change in this level of inequality.</w:t>
      </w:r>
    </w:p>
    <w:p w14:paraId="104C60D6" w14:textId="77777777"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t>The infant mortality rate in the most deprived areas was over twice as high as the rate in the least deprived areas in 2014 to 2016 (as measured by the relative index of inequality), and there has been no change in this level of inequality since 2010 to 2012.</w:t>
      </w:r>
    </w:p>
    <w:p w14:paraId="5D2BADE8" w14:textId="77777777"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t>In addition, large social gradients exist for other child health indicators. The percentage of children with dental decay was over three times higher in the most deprived areas than the least deprived areas (measured by the relative index of inequality). There has been a narrowing of inequality in absolute terms between academic years 2011 to 2012 and 2016 to 2017.</w:t>
      </w:r>
    </w:p>
    <w:p w14:paraId="6FBB9803" w14:textId="77777777"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lastRenderedPageBreak/>
        <w:t>Among 10 to 11 year olds in the most deprived areas, 40.9% were overweight or obese in academic year 2016 to 2017. The proportion of children overweight or obese was 1.8 times higher in the most deprived areas compared with the least deprived areas (based on the relative index of inequality). There has been a significant widening of this inequality since academic year 2013 to 2014.</w:t>
      </w:r>
    </w:p>
    <w:p w14:paraId="0AC3992A" w14:textId="77777777"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t>There are also large variations in the percentage of children who are overweight or obese by ethnic group. Among children aged 10 to 11 years, in the academic year 2016 to 2017, children in the Black African and Black Caribbean ethnic groups were most likely to be overweight or obese. However, almost all Black and Minority Ethnic (BME) groups had high percentages of 10 to 11 year olds with excess weight.</w:t>
      </w:r>
    </w:p>
    <w:p w14:paraId="44543017" w14:textId="77B5F63E" w:rsidR="00711C43" w:rsidRPr="00FB2CA4" w:rsidRDefault="00711C43" w:rsidP="00810862">
      <w:pPr>
        <w:pStyle w:val="ListParagraph"/>
        <w:numPr>
          <w:ilvl w:val="1"/>
          <w:numId w:val="8"/>
        </w:numPr>
        <w:ind w:left="900"/>
        <w:jc w:val="both"/>
        <w:rPr>
          <w:rFonts w:cstheme="majorBidi"/>
          <w:sz w:val="24"/>
          <w:szCs w:val="24"/>
        </w:rPr>
      </w:pPr>
      <w:r w:rsidRPr="00FB2CA4">
        <w:rPr>
          <w:rFonts w:cstheme="majorBidi"/>
          <w:sz w:val="24"/>
          <w:szCs w:val="24"/>
        </w:rPr>
        <w:t>Inequalities in the percentage of children aged 4 to 5 years who are overweight or obese also exist, although these inequalities are narrower than those at age 10 to 11 years.</w:t>
      </w:r>
      <w:r w:rsidR="00A71DD0" w:rsidRPr="00FB2CA4">
        <w:rPr>
          <w:rStyle w:val="FootnoteReference"/>
          <w:rFonts w:cstheme="majorBidi"/>
          <w:sz w:val="24"/>
          <w:szCs w:val="24"/>
        </w:rPr>
        <w:footnoteReference w:id="12"/>
      </w:r>
    </w:p>
    <w:p w14:paraId="1AB49A7E" w14:textId="53751D50" w:rsidR="008A706F" w:rsidRPr="00FB2CA4" w:rsidRDefault="008A706F" w:rsidP="00810862">
      <w:pPr>
        <w:pStyle w:val="ListParagraph"/>
        <w:numPr>
          <w:ilvl w:val="1"/>
          <w:numId w:val="8"/>
        </w:numPr>
        <w:ind w:left="900"/>
        <w:jc w:val="both"/>
        <w:rPr>
          <w:rFonts w:cstheme="majorBidi"/>
          <w:sz w:val="24"/>
          <w:szCs w:val="24"/>
        </w:rPr>
      </w:pPr>
      <w:r w:rsidRPr="00FB2CA4">
        <w:rPr>
          <w:rFonts w:cstheme="majorBidi"/>
          <w:sz w:val="24"/>
          <w:szCs w:val="24"/>
        </w:rPr>
        <w:t>children's health services, and sexual health services – has been cut by 26% per person in real terms since 2015/16.</w:t>
      </w:r>
      <w:r w:rsidRPr="00FB2CA4">
        <w:rPr>
          <w:rStyle w:val="FootnoteReference"/>
          <w:rFonts w:cstheme="majorBidi"/>
          <w:sz w:val="24"/>
          <w:szCs w:val="24"/>
        </w:rPr>
        <w:footnoteReference w:id="13"/>
      </w:r>
    </w:p>
    <w:p w14:paraId="4EF27674" w14:textId="77777777" w:rsidR="00F5739D" w:rsidRPr="00FB2CA4" w:rsidRDefault="00F5739D" w:rsidP="00F5739D">
      <w:pPr>
        <w:pStyle w:val="ListParagraph"/>
        <w:ind w:left="900"/>
        <w:jc w:val="both"/>
        <w:rPr>
          <w:rFonts w:cstheme="majorBidi"/>
          <w:sz w:val="24"/>
          <w:szCs w:val="24"/>
        </w:rPr>
      </w:pPr>
    </w:p>
    <w:p w14:paraId="259AA8F4" w14:textId="53107F02" w:rsidR="000B344C" w:rsidRPr="00FB2CA4" w:rsidRDefault="00460D03" w:rsidP="00460D03">
      <w:pPr>
        <w:spacing w:after="0"/>
        <w:ind w:left="360"/>
        <w:jc w:val="both"/>
        <w:rPr>
          <w:rFonts w:cstheme="majorBidi"/>
          <w:sz w:val="24"/>
          <w:szCs w:val="24"/>
          <w:lang w:bidi="fa-IR"/>
        </w:rPr>
      </w:pPr>
      <w:r w:rsidRPr="00FB2CA4">
        <w:rPr>
          <w:rFonts w:cstheme="majorBidi"/>
          <w:b/>
          <w:bCs/>
          <w:sz w:val="24"/>
          <w:szCs w:val="24"/>
          <w:u w:val="single"/>
          <w:lang w:bidi="fa-IR"/>
        </w:rPr>
        <w:t xml:space="preserve">3. </w:t>
      </w:r>
      <w:r w:rsidR="00CA49AE" w:rsidRPr="00FB2CA4">
        <w:rPr>
          <w:rFonts w:cstheme="majorBidi"/>
          <w:b/>
          <w:bCs/>
          <w:sz w:val="24"/>
          <w:szCs w:val="24"/>
          <w:u w:val="single"/>
          <w:lang w:bidi="fa-IR"/>
        </w:rPr>
        <w:t>The impact of the pandemic on population health and health inequalities</w:t>
      </w:r>
    </w:p>
    <w:p w14:paraId="5566999D" w14:textId="314B789B" w:rsidR="007B55A9" w:rsidRPr="00FB2CA4" w:rsidRDefault="007B55A9"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The impact of the pandemic on people’s physical and mental health has not been equal across society. Some groups were more deeply affected – especially those who already had worse health outcomes before COVID-19.</w:t>
      </w:r>
    </w:p>
    <w:p w14:paraId="1863C866" w14:textId="6A0ED0A1" w:rsidR="00916D6B" w:rsidRPr="00FB2CA4" w:rsidRDefault="00916D6B"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The pandemic has worsened health inequalities, affecting physical and mental health.  The COVID-19 pandemic has worsened health inequalities and highlighted the need for better funding and cross-government strategies to improve population health.</w:t>
      </w:r>
    </w:p>
    <w:p w14:paraId="7C4B8FA7" w14:textId="77777777" w:rsidR="004F72A2" w:rsidRPr="00FB2CA4" w:rsidRDefault="004F72A2"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The pandemic has affected the population’s physical and mental health, and hampered access to care. Over half of the UK population has had COVID-19 since the start of the pandemic, and millions have developed long COVID, suffering long-term effects after infection.  over 200,000 people in the UK have lost their lives to COVID-19.</w:t>
      </w:r>
    </w:p>
    <w:p w14:paraId="79D2E137" w14:textId="77777777" w:rsidR="004F72A2" w:rsidRPr="00FB2CA4" w:rsidRDefault="004F72A2"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The restrictions designed to mitigate viral spread have also influenced mental health and wellbeing: in March 2022, one in three UK adults reported that their mental health had deteriorated because of the pandemic.</w:t>
      </w:r>
    </w:p>
    <w:p w14:paraId="2ED2FEB0" w14:textId="0A8602DE" w:rsidR="0066727A" w:rsidRPr="00FB2CA4" w:rsidRDefault="004F72A2"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 xml:space="preserve">In addition, accessing care has at times been more difficult. When COVID-19 care was </w:t>
      </w:r>
      <w:r w:rsidR="00FB2CA4" w:rsidRPr="00FB2CA4">
        <w:rPr>
          <w:rFonts w:cstheme="majorBidi"/>
          <w:sz w:val="24"/>
          <w:szCs w:val="24"/>
          <w:lang w:bidi="fa-IR"/>
        </w:rPr>
        <w:t>prioritized</w:t>
      </w:r>
      <w:r w:rsidRPr="00FB2CA4">
        <w:rPr>
          <w:rFonts w:cstheme="majorBidi"/>
          <w:sz w:val="24"/>
          <w:szCs w:val="24"/>
          <w:lang w:bidi="fa-IR"/>
        </w:rPr>
        <w:t xml:space="preserve"> in hospitals across the UK, delivery of non-COVID healthcare became more difficult. Whilst this was necessary to protect under-resourced healthcare systems, it resulted in growing unmet need, and medical professionals are understandably worried about this situation.</w:t>
      </w:r>
    </w:p>
    <w:p w14:paraId="7B583433" w14:textId="0D221795" w:rsidR="00A5721E" w:rsidRPr="00FB2CA4" w:rsidRDefault="00A5721E"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t>The mental health impact of the pandemic was also more keenly felt among certain groups, such as young people, disabled people, and people living in more deprived areas. Reduced social interaction, concerns about access to healthcare and medication, and financial stress are among the contributing factors. For older people and people advised to shield, isolation and loneliness have been common.</w:t>
      </w:r>
    </w:p>
    <w:p w14:paraId="59E1FDF9" w14:textId="14D100F3" w:rsidR="00F70252" w:rsidRPr="00FB2CA4" w:rsidRDefault="00F63CED" w:rsidP="00810862">
      <w:pPr>
        <w:pStyle w:val="ListParagraph"/>
        <w:numPr>
          <w:ilvl w:val="1"/>
          <w:numId w:val="11"/>
        </w:numPr>
        <w:spacing w:after="0"/>
        <w:ind w:left="900"/>
        <w:jc w:val="both"/>
        <w:rPr>
          <w:rFonts w:cstheme="majorBidi"/>
          <w:sz w:val="24"/>
          <w:szCs w:val="24"/>
          <w:lang w:bidi="fa-IR"/>
        </w:rPr>
      </w:pPr>
      <w:r w:rsidRPr="00FB2CA4">
        <w:rPr>
          <w:rFonts w:cstheme="majorBidi"/>
          <w:sz w:val="24"/>
          <w:szCs w:val="24"/>
          <w:lang w:bidi="fa-IR"/>
        </w:rPr>
        <w:lastRenderedPageBreak/>
        <w:t>Underlying many health inequalities is the inverse care law – groups who are more in need of healthcare are less likely to receive it – and this trend has been exacerbated by COVID-19, as reduced access to care has disproportionally affected certain at-risk groups. For example, the move to a digital-first approach, mandated across UK health services, may have led to the digital exclusion of some groups, such as older people or those with certain disabilities</w:t>
      </w:r>
      <w:r w:rsidR="0036714B" w:rsidRPr="00FB2CA4">
        <w:rPr>
          <w:rFonts w:cstheme="majorBidi"/>
          <w:sz w:val="24"/>
          <w:szCs w:val="24"/>
          <w:lang w:bidi="fa-IR"/>
        </w:rPr>
        <w:t>.</w:t>
      </w:r>
      <w:r w:rsidR="007B2D3F" w:rsidRPr="00FB2CA4">
        <w:rPr>
          <w:rStyle w:val="FootnoteReference"/>
          <w:rFonts w:cstheme="majorBidi"/>
          <w:sz w:val="24"/>
          <w:szCs w:val="24"/>
          <w:lang w:bidi="fa-IR"/>
        </w:rPr>
        <w:footnoteReference w:id="14"/>
      </w:r>
    </w:p>
    <w:p w14:paraId="311E30F0" w14:textId="77777777" w:rsidR="00B532A6" w:rsidRPr="00FB2CA4" w:rsidRDefault="00B532A6" w:rsidP="00B532A6">
      <w:pPr>
        <w:pStyle w:val="ListParagraph"/>
        <w:spacing w:after="0"/>
        <w:ind w:left="900"/>
        <w:jc w:val="both"/>
        <w:rPr>
          <w:rFonts w:cstheme="majorBidi"/>
          <w:sz w:val="24"/>
          <w:szCs w:val="24"/>
          <w:lang w:bidi="fa-IR"/>
        </w:rPr>
      </w:pPr>
    </w:p>
    <w:p w14:paraId="34719F90" w14:textId="7E070A23" w:rsidR="00641654" w:rsidRPr="00FB2CA4" w:rsidRDefault="00460D03" w:rsidP="00460D03">
      <w:pPr>
        <w:ind w:left="360"/>
        <w:jc w:val="both"/>
        <w:rPr>
          <w:rFonts w:cstheme="majorBidi"/>
          <w:sz w:val="24"/>
          <w:szCs w:val="24"/>
          <w:rtl/>
          <w:lang w:bidi="fa-IR"/>
        </w:rPr>
      </w:pPr>
      <w:r w:rsidRPr="00FB2CA4">
        <w:rPr>
          <w:rFonts w:cstheme="majorBidi"/>
          <w:b/>
          <w:bCs/>
          <w:sz w:val="24"/>
          <w:szCs w:val="24"/>
          <w:u w:val="single"/>
          <w:lang w:bidi="fa-IR"/>
        </w:rPr>
        <w:t xml:space="preserve">4. </w:t>
      </w:r>
      <w:r w:rsidR="00641654" w:rsidRPr="00FB2CA4">
        <w:rPr>
          <w:rFonts w:cstheme="majorBidi"/>
          <w:b/>
          <w:bCs/>
          <w:sz w:val="24"/>
          <w:szCs w:val="24"/>
          <w:u w:val="single"/>
          <w:lang w:bidi="fa-IR"/>
        </w:rPr>
        <w:t>Long Waiting Times</w:t>
      </w:r>
    </w:p>
    <w:p w14:paraId="6FC8625E" w14:textId="79DC6218" w:rsidR="00396BC9" w:rsidRPr="00FB2CA4" w:rsidRDefault="00AA6017"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Record numbers of people are </w:t>
      </w:r>
      <w:r w:rsidR="00916D6B" w:rsidRPr="00FB2CA4">
        <w:rPr>
          <w:rFonts w:cstheme="majorBidi"/>
          <w:sz w:val="24"/>
          <w:szCs w:val="24"/>
          <w:lang w:bidi="fa-IR"/>
        </w:rPr>
        <w:t xml:space="preserve">waiting for planned care and treatment. As of June 2023, over 7 million people were on elective care waiting lists2. Many people </w:t>
      </w:r>
      <w:r w:rsidR="005A6C39" w:rsidRPr="00FB2CA4">
        <w:rPr>
          <w:rFonts w:cstheme="majorBidi"/>
          <w:sz w:val="24"/>
          <w:szCs w:val="24"/>
          <w:lang w:bidi="fa-IR"/>
        </w:rPr>
        <w:t>struggle</w:t>
      </w:r>
      <w:r w:rsidR="00916D6B" w:rsidRPr="00FB2CA4">
        <w:rPr>
          <w:rFonts w:cstheme="majorBidi"/>
          <w:sz w:val="24"/>
          <w:szCs w:val="24"/>
          <w:lang w:bidi="fa-IR"/>
        </w:rPr>
        <w:t xml:space="preserve"> to get referrals from their GPs, leading to delays in receiving necessary treatment. Once at the hospital, people </w:t>
      </w:r>
      <w:r w:rsidR="005A6C39" w:rsidRPr="00FB2CA4">
        <w:rPr>
          <w:rFonts w:cstheme="majorBidi"/>
          <w:sz w:val="24"/>
          <w:szCs w:val="24"/>
          <w:lang w:bidi="fa-IR"/>
        </w:rPr>
        <w:t>face</w:t>
      </w:r>
      <w:r w:rsidR="00916D6B" w:rsidRPr="00FB2CA4">
        <w:rPr>
          <w:rFonts w:cstheme="majorBidi"/>
          <w:sz w:val="24"/>
          <w:szCs w:val="24"/>
          <w:lang w:bidi="fa-IR"/>
        </w:rPr>
        <w:t xml:space="preserve"> longer delays in getting the care they need. In 2022, over half of respondents to an urgent and emergency care survey reported waiting more than an hour before being examined by a nurse or doctor.</w:t>
      </w:r>
    </w:p>
    <w:p w14:paraId="16AC27D6" w14:textId="2C77B4C4" w:rsidR="00FF6B87" w:rsidRPr="00FB2CA4" w:rsidRDefault="00DC5638"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According to the Royal College of General Practitioners, there are nearly 30 million GP appointments in the UK every month. Of these, 85% are scheduled within two weeks, and around 5 million are scheduled over two weeks. The UK government has set a target for patients to be seen by a GP within two weeks. The Royal College of General Practitioners claims that appointments over two weeks are non-urgent and routine.</w:t>
      </w:r>
      <w:r w:rsidRPr="00FB2CA4">
        <w:rPr>
          <w:rStyle w:val="FootnoteReference"/>
          <w:rFonts w:cstheme="majorBidi"/>
          <w:sz w:val="24"/>
          <w:szCs w:val="24"/>
          <w:lang w:bidi="fa-IR"/>
        </w:rPr>
        <w:footnoteReference w:id="15"/>
      </w:r>
    </w:p>
    <w:p w14:paraId="5E1B8447" w14:textId="77777777" w:rsidR="00B736C4" w:rsidRPr="00FB2CA4" w:rsidRDefault="00B736C4"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The number of people waiting longer than 18 months for NHS treatment in England is growing, figures show, despite ministers vowing to have eliminated such long waits six months ago.</w:t>
      </w:r>
    </w:p>
    <w:p w14:paraId="60AE8C4E" w14:textId="77777777" w:rsidR="00B736C4" w:rsidRPr="00FB2CA4" w:rsidRDefault="00B736C4"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Figures published show 8,998 people were waiting more than 18 months for treatment at the end of August 2023, up from 7,289 at the end of July. Overall, NHS waiting lists have hit a record high. NHS England figures show 7.75 million people were waiting at the end of August 2023, up from 7.68 million in July. It is the highest number since records began in August 2007.</w:t>
      </w:r>
    </w:p>
    <w:p w14:paraId="2349777C" w14:textId="77777777" w:rsidR="00B736C4" w:rsidRPr="00FB2CA4" w:rsidRDefault="00B736C4"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The data also showed the number of patients waiting longer than 62 days since an urgent GP referral for suspected cancer was 23,809 in the week ending 3 September, up from 21,016 to 6 August.</w:t>
      </w:r>
    </w:p>
    <w:p w14:paraId="075E982D" w14:textId="27731A03" w:rsidR="00B736C4" w:rsidRPr="00FB2CA4" w:rsidRDefault="00B736C4" w:rsidP="00810862">
      <w:pPr>
        <w:pStyle w:val="ListParagraph"/>
        <w:numPr>
          <w:ilvl w:val="1"/>
          <w:numId w:val="11"/>
        </w:numPr>
        <w:ind w:left="900"/>
        <w:jc w:val="both"/>
        <w:rPr>
          <w:rFonts w:cstheme="majorBidi"/>
          <w:sz w:val="24"/>
          <w:szCs w:val="24"/>
          <w:lang w:bidi="fa-IR"/>
        </w:rPr>
      </w:pPr>
      <w:r w:rsidRPr="00FB2CA4">
        <w:rPr>
          <w:rFonts w:cstheme="majorBidi"/>
          <w:sz w:val="24"/>
          <w:szCs w:val="24"/>
          <w:lang w:bidi="fa-IR"/>
        </w:rPr>
        <w:t>Among cancer patients who had their first treatment in August after an urgent GP referral, 62.8% waited less than two months, up slightly from 62.6% in July. The target is 85%.</w:t>
      </w:r>
      <w:r w:rsidR="003C7430" w:rsidRPr="00FB2CA4">
        <w:rPr>
          <w:rStyle w:val="FootnoteReference"/>
          <w:rFonts w:cstheme="majorBidi"/>
          <w:sz w:val="24"/>
          <w:szCs w:val="24"/>
          <w:lang w:bidi="fa-IR"/>
        </w:rPr>
        <w:footnoteReference w:id="16"/>
      </w:r>
    </w:p>
    <w:p w14:paraId="41AAC476" w14:textId="77777777" w:rsidR="00657379" w:rsidRPr="00FB2CA4" w:rsidRDefault="00657379" w:rsidP="00657379">
      <w:pPr>
        <w:pStyle w:val="ListParagraph"/>
        <w:numPr>
          <w:ilvl w:val="1"/>
          <w:numId w:val="11"/>
        </w:numPr>
        <w:ind w:left="900"/>
        <w:jc w:val="both"/>
        <w:rPr>
          <w:rFonts w:cstheme="majorBidi"/>
          <w:sz w:val="24"/>
          <w:szCs w:val="24"/>
          <w:lang w:bidi="fa-IR"/>
        </w:rPr>
      </w:pPr>
      <w:r w:rsidRPr="00FB2CA4">
        <w:rPr>
          <w:rFonts w:cstheme="majorBidi"/>
          <w:sz w:val="24"/>
          <w:szCs w:val="24"/>
          <w:lang w:bidi="fa-IR"/>
        </w:rPr>
        <w:t>In July 2023, the waiting list for routine hospital treatment in England stood at 7.68 million – the highest since records began. Nearly 390,000 people had been waiting more than a year.</w:t>
      </w:r>
      <w:r w:rsidRPr="00FB2CA4">
        <w:rPr>
          <w:rStyle w:val="FootnoteReference"/>
          <w:rFonts w:cstheme="majorBidi"/>
          <w:sz w:val="24"/>
          <w:szCs w:val="24"/>
          <w:lang w:bidi="fa-IR"/>
        </w:rPr>
        <w:footnoteReference w:id="17"/>
      </w:r>
      <w:r w:rsidRPr="00FB2CA4">
        <w:rPr>
          <w:rFonts w:cstheme="majorBidi"/>
          <w:sz w:val="24"/>
          <w:szCs w:val="24"/>
          <w:lang w:bidi="fa-IR"/>
        </w:rPr>
        <w:t xml:space="preserve"> NHS waiting lists grew substantially in the decade prior to the pandemic, from 2.32 million in January 2010 to 4.57 million in January 2020. Targets for patient </w:t>
      </w:r>
      <w:r w:rsidRPr="00FB2CA4">
        <w:rPr>
          <w:rFonts w:cstheme="majorBidi"/>
          <w:sz w:val="24"/>
          <w:szCs w:val="24"/>
          <w:lang w:bidi="fa-IR"/>
        </w:rPr>
        <w:lastRenderedPageBreak/>
        <w:t>care are routinely being missed. The NHS constitutional standard that at least 92% of patients should wait no more than 18 weeks from referral to starting treatment has not been met nationally since 2016.</w:t>
      </w:r>
      <w:r w:rsidRPr="00FB2CA4">
        <w:rPr>
          <w:rStyle w:val="FootnoteReference"/>
          <w:rFonts w:cstheme="majorBidi"/>
          <w:sz w:val="24"/>
          <w:szCs w:val="24"/>
          <w:lang w:bidi="fa-IR"/>
        </w:rPr>
        <w:footnoteReference w:id="18"/>
      </w:r>
      <w:r w:rsidRPr="00FB2CA4">
        <w:rPr>
          <w:rFonts w:cstheme="majorBidi"/>
          <w:sz w:val="24"/>
          <w:szCs w:val="24"/>
          <w:lang w:bidi="fa-IR"/>
        </w:rPr>
        <w:t xml:space="preserve"> In cancer care, the 62-day waiting time target – that at least 85% of patients should start treatment within 62 days of an urgent GP referral – was last met in 2015.</w:t>
      </w:r>
      <w:r w:rsidRPr="00FB2CA4">
        <w:rPr>
          <w:rStyle w:val="FootnoteReference"/>
          <w:rFonts w:cstheme="majorBidi"/>
          <w:sz w:val="24"/>
          <w:szCs w:val="24"/>
          <w:lang w:bidi="fa-IR"/>
        </w:rPr>
        <w:footnoteReference w:id="19"/>
      </w:r>
    </w:p>
    <w:p w14:paraId="4F3FB9B5" w14:textId="77777777" w:rsidR="00657379" w:rsidRPr="00FB2CA4" w:rsidRDefault="00657379" w:rsidP="00657379">
      <w:pPr>
        <w:pStyle w:val="ListParagraph"/>
        <w:numPr>
          <w:ilvl w:val="1"/>
          <w:numId w:val="11"/>
        </w:numPr>
        <w:ind w:left="900"/>
        <w:jc w:val="both"/>
        <w:rPr>
          <w:rFonts w:cstheme="majorBidi"/>
          <w:sz w:val="24"/>
          <w:szCs w:val="24"/>
          <w:lang w:bidi="fa-IR"/>
        </w:rPr>
      </w:pPr>
      <w:r w:rsidRPr="00FB2CA4">
        <w:rPr>
          <w:rFonts w:cstheme="majorBidi"/>
          <w:sz w:val="24"/>
          <w:szCs w:val="24"/>
          <w:lang w:bidi="fa-IR"/>
        </w:rPr>
        <w:t>Emergency care is under intense pressure, too. In 2022/23, only 70.8% of patients were admitted, discharged, or transferred within 4 hours of arrival in A&amp;E – well below the 95% target, which was last met in July 2015. In the same year, 410,092 people waited more than 12 hours on trolleys in emergency departments for a hospital bed – more than double the total in the preceding 10 years combined (151,120 from 2012/13 to 2021/22).</w:t>
      </w:r>
      <w:r w:rsidRPr="00FB2CA4">
        <w:rPr>
          <w:rStyle w:val="FootnoteReference"/>
          <w:rFonts w:cstheme="majorBidi"/>
          <w:sz w:val="24"/>
          <w:szCs w:val="24"/>
          <w:lang w:bidi="fa-IR"/>
        </w:rPr>
        <w:footnoteReference w:id="20"/>
      </w:r>
      <w:r w:rsidRPr="00FB2CA4">
        <w:rPr>
          <w:rFonts w:cstheme="majorBidi"/>
          <w:sz w:val="24"/>
          <w:szCs w:val="24"/>
          <w:lang w:bidi="fa-IR"/>
        </w:rPr>
        <w:t xml:space="preserve"> Long delays in emergency departments are associated with increased risk of harm and deaths.</w:t>
      </w:r>
      <w:r w:rsidRPr="00FB2CA4">
        <w:rPr>
          <w:rStyle w:val="FootnoteReference"/>
          <w:rFonts w:cstheme="majorBidi"/>
          <w:sz w:val="24"/>
          <w:szCs w:val="24"/>
          <w:lang w:bidi="fa-IR"/>
        </w:rPr>
        <w:footnoteReference w:id="21"/>
      </w:r>
    </w:p>
    <w:p w14:paraId="05B9BD96" w14:textId="6E4825AD" w:rsidR="00657379" w:rsidRPr="00FB2CA4" w:rsidRDefault="00657379" w:rsidP="00657379">
      <w:pPr>
        <w:pStyle w:val="ListParagraph"/>
        <w:numPr>
          <w:ilvl w:val="1"/>
          <w:numId w:val="11"/>
        </w:numPr>
        <w:ind w:left="900"/>
        <w:jc w:val="both"/>
        <w:rPr>
          <w:rFonts w:cstheme="majorBidi"/>
          <w:sz w:val="24"/>
          <w:szCs w:val="24"/>
          <w:lang w:bidi="fa-IR"/>
        </w:rPr>
      </w:pPr>
      <w:r w:rsidRPr="00FB2CA4">
        <w:rPr>
          <w:rFonts w:cstheme="majorBidi"/>
          <w:sz w:val="24"/>
          <w:szCs w:val="24"/>
          <w:lang w:bidi="fa-IR"/>
        </w:rPr>
        <w:t>Pressure on services outside hospital are harder to measure but also substantial. Large numbers of patients experiencing delayed discharges from hospital is a sign of limited capacity in social care and other community-based services to support people when they leave hospital. On an average day in July 2023, nearly 12,000 acute hospital beds – out of a total bed stock of around 100,000 in England – were occupied by patients who no longer had a medical need to be in acute care but could not be discharged home or elsewhere (though the majority of delays are likely to be attributable to the NHS, for instance due to difficulties arranging NHS rehabilitation support, rather than social care services).</w:t>
      </w:r>
      <w:r w:rsidRPr="00FB2CA4">
        <w:rPr>
          <w:rStyle w:val="FootnoteReference"/>
          <w:rFonts w:cstheme="majorBidi"/>
          <w:sz w:val="24"/>
          <w:szCs w:val="24"/>
          <w:lang w:bidi="fa-IR"/>
        </w:rPr>
        <w:footnoteReference w:id="22"/>
      </w:r>
    </w:p>
    <w:p w14:paraId="60DA4A6B" w14:textId="77777777" w:rsidR="00B532A6" w:rsidRPr="00FB2CA4" w:rsidRDefault="00B532A6" w:rsidP="00B532A6">
      <w:pPr>
        <w:pStyle w:val="ListParagraph"/>
        <w:ind w:left="900"/>
        <w:jc w:val="both"/>
        <w:rPr>
          <w:rFonts w:cstheme="majorBidi"/>
          <w:sz w:val="24"/>
          <w:szCs w:val="24"/>
          <w:lang w:bidi="fa-IR"/>
        </w:rPr>
      </w:pPr>
    </w:p>
    <w:p w14:paraId="6EC0F6C4" w14:textId="43F2D1D7" w:rsidR="0033111E" w:rsidRPr="00FB2CA4" w:rsidRDefault="00460D03" w:rsidP="00460D03">
      <w:pPr>
        <w:ind w:left="360"/>
        <w:jc w:val="both"/>
        <w:rPr>
          <w:rFonts w:cstheme="majorBidi"/>
          <w:sz w:val="24"/>
          <w:szCs w:val="24"/>
          <w:u w:val="single"/>
          <w:lang w:bidi="fa-IR"/>
        </w:rPr>
      </w:pPr>
      <w:r w:rsidRPr="00FB2CA4">
        <w:rPr>
          <w:rFonts w:cstheme="majorBidi"/>
          <w:b/>
          <w:bCs/>
          <w:sz w:val="24"/>
          <w:szCs w:val="24"/>
          <w:u w:val="single"/>
          <w:lang w:bidi="fa-IR"/>
        </w:rPr>
        <w:t xml:space="preserve">5. </w:t>
      </w:r>
      <w:r w:rsidR="006D0D0D" w:rsidRPr="00FB2CA4">
        <w:rPr>
          <w:rFonts w:cstheme="majorBidi"/>
          <w:b/>
          <w:bCs/>
          <w:sz w:val="24"/>
          <w:szCs w:val="24"/>
          <w:u w:val="single"/>
          <w:lang w:bidi="fa-IR"/>
        </w:rPr>
        <w:t>Lack of Access to Healthcare</w:t>
      </w:r>
    </w:p>
    <w:p w14:paraId="6E9933C9" w14:textId="4ED9F754" w:rsidR="00F16AE3" w:rsidRPr="00FB2CA4" w:rsidRDefault="00F16AE3" w:rsidP="00790F99">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In June 2023, an estimated 992,189 people – children and adults – were waiting for community health services in England, such as community </w:t>
      </w:r>
      <w:r w:rsidR="00AE6094" w:rsidRPr="00FB2CA4">
        <w:rPr>
          <w:rFonts w:cstheme="majorBidi"/>
          <w:sz w:val="24"/>
          <w:szCs w:val="24"/>
          <w:lang w:bidi="fa-IR"/>
        </w:rPr>
        <w:t>nursing and intermediate care.</w:t>
      </w:r>
      <w:r w:rsidR="00AE6094" w:rsidRPr="00FB2CA4">
        <w:rPr>
          <w:rStyle w:val="FootnoteReference"/>
          <w:rFonts w:cstheme="majorBidi"/>
          <w:sz w:val="24"/>
          <w:szCs w:val="24"/>
          <w:lang w:bidi="fa-IR"/>
        </w:rPr>
        <w:footnoteReference w:id="23"/>
      </w:r>
      <w:r w:rsidRPr="00FB2CA4">
        <w:rPr>
          <w:rFonts w:cstheme="majorBidi"/>
          <w:sz w:val="24"/>
          <w:szCs w:val="24"/>
          <w:lang w:bidi="fa-IR"/>
        </w:rPr>
        <w:t xml:space="preserve">   </w:t>
      </w:r>
    </w:p>
    <w:p w14:paraId="5D01F932" w14:textId="1159E182" w:rsidR="00F16AE3" w:rsidRPr="00FB2CA4" w:rsidRDefault="00F16AE3" w:rsidP="00790F99">
      <w:pPr>
        <w:pStyle w:val="ListParagraph"/>
        <w:numPr>
          <w:ilvl w:val="1"/>
          <w:numId w:val="11"/>
        </w:numPr>
        <w:ind w:left="900"/>
        <w:jc w:val="both"/>
        <w:rPr>
          <w:rFonts w:cstheme="majorBidi"/>
          <w:sz w:val="24"/>
          <w:szCs w:val="24"/>
          <w:lang w:bidi="fa-IR"/>
        </w:rPr>
      </w:pPr>
      <w:r w:rsidRPr="00FB2CA4">
        <w:rPr>
          <w:rFonts w:cstheme="majorBidi"/>
          <w:sz w:val="24"/>
          <w:szCs w:val="24"/>
          <w:lang w:bidi="fa-IR"/>
        </w:rPr>
        <w:t>GP appointment numbers are at near-record levels, but increasing numbers of people are finding it hard to get an appointment. People still rate the overall quality of primary care highly. But the 2023 GP patient survey found half of people (50.2%) reported difficulties getting through to their practice on the phone – the highest rate ever and up sharply from 31.7% in 2019.</w:t>
      </w:r>
      <w:r w:rsidR="008355F4" w:rsidRPr="00FB2CA4">
        <w:rPr>
          <w:rStyle w:val="FootnoteReference"/>
          <w:rFonts w:cstheme="majorBidi"/>
          <w:sz w:val="24"/>
          <w:szCs w:val="24"/>
          <w:lang w:bidi="fa-IR"/>
        </w:rPr>
        <w:footnoteReference w:id="24"/>
      </w:r>
      <w:r w:rsidRPr="00FB2CA4">
        <w:rPr>
          <w:rFonts w:cstheme="majorBidi"/>
          <w:sz w:val="24"/>
          <w:szCs w:val="24"/>
          <w:lang w:bidi="fa-IR"/>
        </w:rPr>
        <w:t xml:space="preserve"> 27.9% said they had avoided making an appointment when they needed one in the past 12 months because they found it too difficult. Waiting times for GP and hospital care are the biggest factor behind people’s dissatisfaction with the NHS.</w:t>
      </w:r>
    </w:p>
    <w:p w14:paraId="2090142C" w14:textId="3165CC5B" w:rsidR="007C7FB1" w:rsidRPr="00FB2CA4" w:rsidRDefault="00F16AE3" w:rsidP="00790F99">
      <w:pPr>
        <w:pStyle w:val="ListParagraph"/>
        <w:numPr>
          <w:ilvl w:val="1"/>
          <w:numId w:val="11"/>
        </w:numPr>
        <w:ind w:left="900"/>
        <w:jc w:val="both"/>
        <w:rPr>
          <w:rFonts w:cstheme="majorBidi"/>
          <w:sz w:val="24"/>
          <w:szCs w:val="24"/>
          <w:lang w:bidi="fa-IR"/>
        </w:rPr>
      </w:pPr>
      <w:r w:rsidRPr="00FB2CA4">
        <w:rPr>
          <w:rFonts w:cstheme="majorBidi"/>
          <w:sz w:val="24"/>
          <w:szCs w:val="24"/>
          <w:lang w:bidi="fa-IR"/>
        </w:rPr>
        <w:t xml:space="preserve">State-funded social care services are under extreme strain, struggling to provide care to people who need it. The number of requests to local authorities in England for social care </w:t>
      </w:r>
      <w:r w:rsidRPr="00FB2CA4">
        <w:rPr>
          <w:rFonts w:cstheme="majorBidi"/>
          <w:sz w:val="24"/>
          <w:szCs w:val="24"/>
          <w:lang w:bidi="fa-IR"/>
        </w:rPr>
        <w:lastRenderedPageBreak/>
        <w:t>support rose steadily between 2015 and 2021, yet the number of people accessing publicly funded long-term care fell.</w:t>
      </w:r>
      <w:r w:rsidR="00BA7659" w:rsidRPr="00FB2CA4">
        <w:rPr>
          <w:rStyle w:val="FootnoteReference"/>
          <w:rFonts w:cstheme="majorBidi"/>
          <w:sz w:val="24"/>
          <w:szCs w:val="24"/>
          <w:lang w:bidi="fa-IR"/>
        </w:rPr>
        <w:footnoteReference w:id="25"/>
      </w:r>
      <w:r w:rsidRPr="00FB2CA4">
        <w:rPr>
          <w:rFonts w:cstheme="majorBidi"/>
          <w:sz w:val="24"/>
          <w:szCs w:val="24"/>
          <w:lang w:bidi="fa-IR"/>
        </w:rPr>
        <w:t xml:space="preserve"> Compared with other OECD countries, the UK has a high level of informal care provided by families and friends,</w:t>
      </w:r>
      <w:r w:rsidR="005E1740" w:rsidRPr="00FB2CA4">
        <w:rPr>
          <w:rStyle w:val="FootnoteReference"/>
          <w:rFonts w:cstheme="majorBidi"/>
          <w:sz w:val="24"/>
          <w:szCs w:val="24"/>
          <w:lang w:bidi="fa-IR"/>
        </w:rPr>
        <w:footnoteReference w:id="26"/>
      </w:r>
      <w:r w:rsidR="005E1740" w:rsidRPr="00FB2CA4">
        <w:rPr>
          <w:rFonts w:cstheme="majorBidi"/>
          <w:sz w:val="24"/>
          <w:szCs w:val="24"/>
          <w:lang w:bidi="fa-IR"/>
        </w:rPr>
        <w:t xml:space="preserve"> </w:t>
      </w:r>
      <w:r w:rsidRPr="00FB2CA4">
        <w:rPr>
          <w:rFonts w:cstheme="majorBidi"/>
          <w:sz w:val="24"/>
          <w:szCs w:val="24"/>
          <w:lang w:bidi="fa-IR"/>
        </w:rPr>
        <w:t>and support for them is limited.</w:t>
      </w:r>
      <w:r w:rsidR="005E1740" w:rsidRPr="00FB2CA4">
        <w:rPr>
          <w:rStyle w:val="FootnoteReference"/>
          <w:rFonts w:cstheme="majorBidi"/>
          <w:sz w:val="24"/>
          <w:szCs w:val="24"/>
          <w:lang w:bidi="fa-IR"/>
        </w:rPr>
        <w:footnoteReference w:id="27"/>
      </w:r>
    </w:p>
    <w:p w14:paraId="295D7E99" w14:textId="77777777" w:rsidR="00B532A6" w:rsidRPr="00FB2CA4" w:rsidRDefault="00B532A6" w:rsidP="00B532A6">
      <w:pPr>
        <w:jc w:val="both"/>
        <w:rPr>
          <w:rFonts w:cstheme="majorBidi"/>
          <w:sz w:val="24"/>
          <w:szCs w:val="24"/>
          <w:lang w:bidi="fa-IR"/>
        </w:rPr>
      </w:pPr>
    </w:p>
    <w:p w14:paraId="30CBEFDE" w14:textId="73D2C896" w:rsidR="00366198" w:rsidRPr="00FB2CA4" w:rsidRDefault="00E25689" w:rsidP="00C748CE">
      <w:pPr>
        <w:jc w:val="both"/>
        <w:rPr>
          <w:rFonts w:cstheme="majorBidi"/>
          <w:b/>
          <w:bCs/>
          <w:sz w:val="24"/>
          <w:szCs w:val="24"/>
          <w:rtl/>
          <w:lang w:bidi="fa-IR"/>
        </w:rPr>
      </w:pPr>
      <w:r w:rsidRPr="00FB2CA4">
        <w:rPr>
          <w:rFonts w:cstheme="majorBidi"/>
          <w:b/>
          <w:bCs/>
          <w:sz w:val="24"/>
          <w:szCs w:val="24"/>
          <w:lang w:bidi="fa-IR"/>
        </w:rPr>
        <w:t>Recommendation</w:t>
      </w:r>
    </w:p>
    <w:p w14:paraId="0172E875" w14:textId="3AF00178" w:rsidR="0065532D" w:rsidRPr="00FB2CA4" w:rsidRDefault="0065532D" w:rsidP="00BA1F7E">
      <w:pPr>
        <w:pStyle w:val="ListParagraph"/>
        <w:numPr>
          <w:ilvl w:val="0"/>
          <w:numId w:val="15"/>
        </w:numPr>
        <w:spacing w:line="276" w:lineRule="auto"/>
        <w:jc w:val="both"/>
        <w:rPr>
          <w:rFonts w:cstheme="majorBidi"/>
          <w:sz w:val="24"/>
          <w:szCs w:val="24"/>
          <w:rtl/>
          <w:lang w:bidi="fa-IR"/>
        </w:rPr>
      </w:pPr>
      <w:r w:rsidRPr="00FB2CA4">
        <w:rPr>
          <w:rFonts w:cstheme="majorBidi"/>
          <w:sz w:val="24"/>
          <w:szCs w:val="24"/>
          <w:lang w:bidi="fa-IR"/>
        </w:rPr>
        <w:t>The UK must ensure that vulnerable people, such as people with disabilities, children</w:t>
      </w:r>
      <w:r w:rsidR="00746E53" w:rsidRPr="00FB2CA4">
        <w:rPr>
          <w:rFonts w:cstheme="majorBidi"/>
          <w:sz w:val="24"/>
          <w:szCs w:val="24"/>
          <w:lang w:bidi="fa-IR"/>
        </w:rPr>
        <w:t>,</w:t>
      </w:r>
      <w:r w:rsidRPr="00FB2CA4">
        <w:rPr>
          <w:rFonts w:cstheme="majorBidi"/>
          <w:sz w:val="24"/>
          <w:szCs w:val="24"/>
          <w:lang w:bidi="fa-IR"/>
        </w:rPr>
        <w:t xml:space="preserve"> and women living in deprived areas, have their rights to access health as a basic need guaranteed.</w:t>
      </w:r>
    </w:p>
    <w:p w14:paraId="5D7003A3" w14:textId="791F70E3" w:rsidR="006F660C" w:rsidRPr="00FB2CA4" w:rsidRDefault="006F660C" w:rsidP="00BA1F7E">
      <w:pPr>
        <w:pStyle w:val="ListParagraph"/>
        <w:numPr>
          <w:ilvl w:val="0"/>
          <w:numId w:val="15"/>
        </w:numPr>
        <w:spacing w:line="276" w:lineRule="auto"/>
        <w:jc w:val="both"/>
        <w:rPr>
          <w:rFonts w:cstheme="majorBidi"/>
          <w:sz w:val="24"/>
          <w:szCs w:val="24"/>
          <w:rtl/>
          <w:lang w:bidi="fa-IR"/>
        </w:rPr>
      </w:pPr>
      <w:r w:rsidRPr="00FB2CA4">
        <w:rPr>
          <w:rFonts w:cstheme="majorBidi"/>
          <w:sz w:val="24"/>
          <w:szCs w:val="24"/>
          <w:lang w:bidi="fa-IR"/>
        </w:rPr>
        <w:t>The UK must ensure access and improve conditions for people with specific situations in response to issues related to long hospital admission and discharge queues, particularly for people with particular conditions.</w:t>
      </w:r>
    </w:p>
    <w:p w14:paraId="67832308" w14:textId="41C397D4" w:rsidR="00BC1F87" w:rsidRPr="00FB2CA4" w:rsidRDefault="00BC1F87" w:rsidP="00BA1F7E">
      <w:pPr>
        <w:pStyle w:val="ListParagraph"/>
        <w:numPr>
          <w:ilvl w:val="0"/>
          <w:numId w:val="15"/>
        </w:numPr>
        <w:spacing w:line="276" w:lineRule="auto"/>
        <w:jc w:val="both"/>
        <w:rPr>
          <w:rFonts w:cstheme="majorBidi"/>
          <w:sz w:val="24"/>
          <w:szCs w:val="24"/>
          <w:lang w:bidi="fa-IR"/>
        </w:rPr>
      </w:pPr>
      <w:r w:rsidRPr="00FB2CA4">
        <w:rPr>
          <w:rFonts w:cstheme="majorBidi"/>
          <w:sz w:val="24"/>
          <w:szCs w:val="24"/>
          <w:lang w:bidi="fa-IR"/>
        </w:rPr>
        <w:t>The UK should ensure minimum targets for equitable and affordable access to health and wellbeing and provide strong accountability mechanisms to ensure ongoing implementation of commitments.</w:t>
      </w:r>
    </w:p>
    <w:p w14:paraId="463AAAC7" w14:textId="35BD620C" w:rsidR="00BC1F87" w:rsidRPr="00FB2CA4" w:rsidRDefault="00BC1F87" w:rsidP="00BA1F7E">
      <w:pPr>
        <w:pStyle w:val="ListParagraph"/>
        <w:numPr>
          <w:ilvl w:val="0"/>
          <w:numId w:val="15"/>
        </w:numPr>
        <w:spacing w:line="276" w:lineRule="auto"/>
        <w:jc w:val="both"/>
        <w:rPr>
          <w:rFonts w:cstheme="majorBidi"/>
          <w:sz w:val="24"/>
          <w:szCs w:val="24"/>
          <w:rtl/>
          <w:lang w:bidi="fa-IR"/>
        </w:rPr>
      </w:pPr>
      <w:r w:rsidRPr="00FB2CA4">
        <w:rPr>
          <w:rFonts w:cstheme="majorBidi"/>
          <w:sz w:val="24"/>
          <w:szCs w:val="24"/>
          <w:lang w:bidi="fa-IR"/>
        </w:rPr>
        <w:t>The UK authorities should commit to ensuring access to public health and wellbeing services for all while supporting health and wellbeing.</w:t>
      </w:r>
    </w:p>
    <w:p w14:paraId="3CA97B1D" w14:textId="2EFB2738" w:rsidR="00BA1F7E" w:rsidRPr="00FB2CA4" w:rsidRDefault="00BA1F7E" w:rsidP="00BA1F7E">
      <w:pPr>
        <w:pStyle w:val="ListParagraph"/>
        <w:numPr>
          <w:ilvl w:val="0"/>
          <w:numId w:val="15"/>
        </w:numPr>
        <w:spacing w:line="276" w:lineRule="auto"/>
        <w:jc w:val="both"/>
        <w:rPr>
          <w:rFonts w:cstheme="majorBidi"/>
          <w:sz w:val="24"/>
          <w:szCs w:val="24"/>
          <w:lang w:bidi="fa-IR"/>
        </w:rPr>
      </w:pPr>
      <w:r w:rsidRPr="00FB2CA4">
        <w:rPr>
          <w:rFonts w:cstheme="majorBidi"/>
          <w:sz w:val="24"/>
          <w:szCs w:val="24"/>
          <w:lang w:bidi="fa-IR"/>
        </w:rPr>
        <w:t>It is recommended that the UK government develop a cross-government strategy to improve population health, adequately fund public health infrastructure, and reverse recent cuts to public services.</w:t>
      </w:r>
    </w:p>
    <w:p w14:paraId="3D673D5A" w14:textId="77777777" w:rsidR="00BA1F7E" w:rsidRPr="00FB2CA4" w:rsidRDefault="00BA1F7E" w:rsidP="00BC1F87">
      <w:pPr>
        <w:spacing w:line="276" w:lineRule="auto"/>
        <w:jc w:val="both"/>
        <w:rPr>
          <w:rFonts w:cstheme="majorBidi"/>
          <w:sz w:val="24"/>
          <w:szCs w:val="24"/>
          <w:rtl/>
          <w:lang w:bidi="fa-IR"/>
        </w:rPr>
      </w:pPr>
    </w:p>
    <w:sectPr w:rsidR="00BA1F7E" w:rsidRPr="00FB2CA4" w:rsidSect="008440CD">
      <w:headerReference w:type="default" r:id="rId9"/>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831C8" w14:textId="77777777" w:rsidR="00114510" w:rsidRDefault="00114510" w:rsidP="004F4108">
      <w:pPr>
        <w:spacing w:after="0" w:line="240" w:lineRule="auto"/>
      </w:pPr>
      <w:r>
        <w:separator/>
      </w:r>
    </w:p>
  </w:endnote>
  <w:endnote w:type="continuationSeparator" w:id="0">
    <w:p w14:paraId="4B6E4292" w14:textId="77777777" w:rsidR="00114510" w:rsidRDefault="00114510" w:rsidP="004F4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B Nazanin">
    <w:panose1 w:val="00000400000000000000"/>
    <w:charset w:val="B2"/>
    <w:family w:val="auto"/>
    <w:pitch w:val="variable"/>
    <w:sig w:usb0="00002001"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4964772"/>
      <w:docPartObj>
        <w:docPartGallery w:val="Page Numbers (Bottom of Page)"/>
        <w:docPartUnique/>
      </w:docPartObj>
    </w:sdtPr>
    <w:sdtEndPr>
      <w:rPr>
        <w:noProof/>
      </w:rPr>
    </w:sdtEndPr>
    <w:sdtContent>
      <w:p w14:paraId="438F2F22" w14:textId="56A09255" w:rsidR="00FB2CA4" w:rsidRDefault="00FB2CA4">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C4087EC" w14:textId="77777777" w:rsidR="00FB2CA4" w:rsidRDefault="00FB2C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0EA8D" w14:textId="77777777" w:rsidR="00114510" w:rsidRDefault="00114510" w:rsidP="004F4108">
      <w:pPr>
        <w:spacing w:after="0" w:line="240" w:lineRule="auto"/>
      </w:pPr>
      <w:r>
        <w:separator/>
      </w:r>
    </w:p>
  </w:footnote>
  <w:footnote w:type="continuationSeparator" w:id="0">
    <w:p w14:paraId="3CF81D62" w14:textId="77777777" w:rsidR="00114510" w:rsidRDefault="00114510" w:rsidP="004F4108">
      <w:pPr>
        <w:spacing w:after="0" w:line="240" w:lineRule="auto"/>
      </w:pPr>
      <w:r>
        <w:continuationSeparator/>
      </w:r>
    </w:p>
  </w:footnote>
  <w:footnote w:id="1">
    <w:p w14:paraId="641F4C3A" w14:textId="360B0A25" w:rsidR="00B94E52" w:rsidRPr="00CD5FFB" w:rsidRDefault="00B94E52"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sidRPr="00CD5FFB">
        <w:rPr>
          <w:rFonts w:cstheme="majorBidi"/>
          <w:sz w:val="18"/>
          <w:szCs w:val="18"/>
        </w:rPr>
        <w:t>.</w:t>
      </w:r>
      <w:r w:rsidRPr="00CD5FFB">
        <w:rPr>
          <w:rFonts w:cstheme="majorBidi"/>
          <w:sz w:val="18"/>
          <w:szCs w:val="18"/>
        </w:rPr>
        <w:t xml:space="preserve"> https://www.peopleshealthtrust.org.uk/health-inequalities/the-national-picture/england</w:t>
      </w:r>
    </w:p>
  </w:footnote>
  <w:footnote w:id="2">
    <w:p w14:paraId="1AC5911A" w14:textId="057C5E16" w:rsidR="00591242" w:rsidRPr="00CD5FFB" w:rsidRDefault="00591242"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Pr>
          <w:rFonts w:cstheme="majorBidi"/>
          <w:sz w:val="18"/>
          <w:szCs w:val="18"/>
        </w:rPr>
        <w:t>.</w:t>
      </w:r>
      <w:r w:rsidR="002B7BB4">
        <w:rPr>
          <w:rFonts w:cstheme="majorBidi" w:hint="cs"/>
          <w:sz w:val="18"/>
          <w:szCs w:val="18"/>
          <w:rtl/>
        </w:rPr>
        <w:t xml:space="preserve"> </w:t>
      </w:r>
      <w:r w:rsidRPr="00CD5FFB">
        <w:rPr>
          <w:rFonts w:cstheme="majorBidi"/>
          <w:sz w:val="18"/>
          <w:szCs w:val="18"/>
        </w:rPr>
        <w:t>https://www.ons.gov.uk/peoplepopulationandcommunity/healthandsocialcare/healthinequalities/bulletins/healthstatelifeexpectanciesbyindexofmultipledeprivationimd/2017to2019</w:t>
      </w:r>
    </w:p>
  </w:footnote>
  <w:footnote w:id="3">
    <w:p w14:paraId="0550B63F" w14:textId="58ACB568" w:rsidR="00EF2542" w:rsidRPr="00CD5FFB" w:rsidRDefault="00EF2542" w:rsidP="00065E6D">
      <w:pPr>
        <w:pStyle w:val="FootnoteText"/>
        <w:rPr>
          <w:rFonts w:cstheme="majorBidi"/>
          <w:sz w:val="18"/>
          <w:szCs w:val="18"/>
          <w:rtl/>
          <w:lang w:bidi="fa-IR"/>
        </w:rPr>
      </w:pPr>
      <w:r w:rsidRPr="00CD5FFB">
        <w:rPr>
          <w:rStyle w:val="FootnoteReference"/>
          <w:rFonts w:cstheme="majorBidi"/>
          <w:sz w:val="18"/>
          <w:szCs w:val="18"/>
          <w:vertAlign w:val="baseline"/>
        </w:rPr>
        <w:footnoteRef/>
      </w:r>
      <w:r w:rsidR="00CD5FFB">
        <w:rPr>
          <w:rFonts w:cstheme="majorBidi"/>
          <w:sz w:val="18"/>
          <w:szCs w:val="18"/>
        </w:rPr>
        <w:t>.</w:t>
      </w:r>
      <w:r w:rsidRPr="00CD5FFB">
        <w:rPr>
          <w:rFonts w:cstheme="majorBidi"/>
          <w:sz w:val="18"/>
          <w:szCs w:val="18"/>
        </w:rPr>
        <w:t xml:space="preserve"> https://www.health.org.uk/reports-and-analysis/briefings/nine-major-challenges-facing-health-and-care-in-england</w:t>
      </w:r>
    </w:p>
  </w:footnote>
  <w:footnote w:id="4">
    <w:p w14:paraId="046C52DA" w14:textId="169ABEC8" w:rsidR="00EF2542" w:rsidRPr="00CD5FFB" w:rsidRDefault="00EF2542"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Pr>
          <w:rFonts w:cstheme="majorBidi"/>
          <w:sz w:val="18"/>
          <w:szCs w:val="18"/>
        </w:rPr>
        <w:t xml:space="preserve">. </w:t>
      </w:r>
      <w:r w:rsidRPr="00CD5FFB">
        <w:rPr>
          <w:rFonts w:cstheme="majorBidi"/>
          <w:sz w:val="18"/>
          <w:szCs w:val="18"/>
        </w:rPr>
        <w:t>https://www.kingsfund.org.uk/insight-and-analysis/long-reads/what-are-health-inequalities</w:t>
      </w:r>
    </w:p>
  </w:footnote>
  <w:footnote w:id="5">
    <w:p w14:paraId="217E3E17" w14:textId="4995C191" w:rsidR="000227FF" w:rsidRPr="00CD5FFB" w:rsidRDefault="000227FF"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Pr>
          <w:rFonts w:cstheme="majorBidi"/>
          <w:sz w:val="18"/>
          <w:szCs w:val="18"/>
        </w:rPr>
        <w:t>.</w:t>
      </w:r>
      <w:r w:rsidRPr="00CD5FFB">
        <w:rPr>
          <w:rFonts w:cstheme="majorBidi"/>
          <w:sz w:val="18"/>
          <w:szCs w:val="18"/>
        </w:rPr>
        <w:t xml:space="preserve"> </w:t>
      </w:r>
      <w:r w:rsidR="00AA4C8C" w:rsidRPr="00CD5FFB">
        <w:rPr>
          <w:rFonts w:cstheme="majorBidi"/>
          <w:sz w:val="18"/>
          <w:szCs w:val="18"/>
        </w:rPr>
        <w:t>https://www.health.org.uk/reports-and-analysis/reports/health-equity-in-england-the-marmot-review-10-years-on-0</w:t>
      </w:r>
    </w:p>
  </w:footnote>
  <w:footnote w:id="6">
    <w:p w14:paraId="3AEAF019" w14:textId="112FB963" w:rsidR="009F42FB" w:rsidRPr="00CD5FFB" w:rsidRDefault="009F42FB"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Pr>
          <w:rFonts w:cstheme="majorBidi"/>
          <w:sz w:val="18"/>
          <w:szCs w:val="18"/>
        </w:rPr>
        <w:t>.</w:t>
      </w:r>
      <w:r w:rsidRPr="00CD5FFB">
        <w:rPr>
          <w:rFonts w:cstheme="majorBidi"/>
          <w:sz w:val="18"/>
          <w:szCs w:val="18"/>
        </w:rPr>
        <w:t xml:space="preserve"> </w:t>
      </w:r>
      <w:r w:rsidR="004E648B" w:rsidRPr="00CD5FFB">
        <w:rPr>
          <w:rFonts w:cstheme="majorBidi"/>
          <w:sz w:val="18"/>
          <w:szCs w:val="18"/>
        </w:rPr>
        <w:t>https://hrreview.co.uk/hr-news/wellbeing-news/over-10-million-uk-workers-lack-access-to-workplace-health-support/377425</w:t>
      </w:r>
    </w:p>
  </w:footnote>
  <w:footnote w:id="7">
    <w:p w14:paraId="1076C267" w14:textId="582D66CA" w:rsidR="0034163C" w:rsidRPr="00CD5FFB" w:rsidRDefault="0034163C" w:rsidP="00065E6D">
      <w:pPr>
        <w:pStyle w:val="FootnoteText"/>
        <w:rPr>
          <w:rFonts w:cstheme="majorBidi"/>
          <w:sz w:val="18"/>
          <w:szCs w:val="18"/>
        </w:rPr>
      </w:pPr>
      <w:r w:rsidRPr="00CD5FFB">
        <w:rPr>
          <w:rStyle w:val="FootnoteReference"/>
          <w:rFonts w:cstheme="majorBidi"/>
          <w:sz w:val="18"/>
          <w:szCs w:val="18"/>
          <w:vertAlign w:val="baseline"/>
        </w:rPr>
        <w:footnoteRef/>
      </w:r>
      <w:r w:rsidR="00CD5FFB">
        <w:rPr>
          <w:rFonts w:cstheme="majorBidi"/>
          <w:sz w:val="18"/>
          <w:szCs w:val="18"/>
        </w:rPr>
        <w:t xml:space="preserve">. </w:t>
      </w:r>
      <w:r w:rsidRPr="00CD5FFB">
        <w:rPr>
          <w:rFonts w:cstheme="majorBidi"/>
          <w:sz w:val="18"/>
          <w:szCs w:val="18"/>
        </w:rPr>
        <w:t>https://www.theguardian.com/society/2024/oct/21/half-of-uk-workforce-lack-access-to-workplace-health-support-report-finds?CMP=share_btn_url</w:t>
      </w:r>
    </w:p>
  </w:footnote>
  <w:footnote w:id="8">
    <w:p w14:paraId="2D054601" w14:textId="0FB87DE6" w:rsidR="00661ED5" w:rsidRPr="00CD5FFB" w:rsidRDefault="00661ED5"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 xml:space="preserve">. </w:t>
      </w:r>
      <w:r w:rsidR="00A44705" w:rsidRPr="00CD5FFB">
        <w:rPr>
          <w:rFonts w:cstheme="majorBidi"/>
          <w:sz w:val="18"/>
          <w:szCs w:val="18"/>
        </w:rPr>
        <w:t>https://ifs.org.uk/publications/nhs-funding-resources-and-treatment-volumes</w:t>
      </w:r>
    </w:p>
  </w:footnote>
  <w:footnote w:id="9">
    <w:p w14:paraId="0C12C075" w14:textId="55AE5944" w:rsidR="00002B77" w:rsidRPr="00CD5FFB" w:rsidRDefault="00002B77"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 xml:space="preserve">. </w:t>
      </w:r>
      <w:r w:rsidR="0099678E" w:rsidRPr="00CD5FFB">
        <w:rPr>
          <w:rFonts w:cstheme="majorBidi"/>
          <w:sz w:val="18"/>
          <w:szCs w:val="18"/>
        </w:rPr>
        <w:t>https://www.health.org.uk/reports-and-analysis/reports/tackling-the-inverse-care-law</w:t>
      </w:r>
    </w:p>
  </w:footnote>
  <w:footnote w:id="10">
    <w:p w14:paraId="4500ECE8" w14:textId="1CA3756C" w:rsidR="00277F12" w:rsidRPr="00CD5FFB" w:rsidRDefault="00277F12"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w:t>
      </w:r>
      <w:r w:rsidR="00831428" w:rsidRPr="00CD5FFB">
        <w:rPr>
          <w:rFonts w:cstheme="majorBidi"/>
          <w:sz w:val="18"/>
          <w:szCs w:val="18"/>
        </w:rPr>
        <w:t>https://www.kingsfund.org.uk/publications/public-satisfaction-nhs-and-social-care-2022</w:t>
      </w:r>
    </w:p>
  </w:footnote>
  <w:footnote w:id="11">
    <w:p w14:paraId="30A54900" w14:textId="77777777" w:rsidR="00F156A1" w:rsidRPr="00CD5FFB" w:rsidRDefault="00F156A1" w:rsidP="00F156A1">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https://www.gov.uk/government/publications/health-profile-for-england-2018/chapter-5-inequalities-in-health</w:t>
      </w:r>
    </w:p>
  </w:footnote>
  <w:footnote w:id="12">
    <w:p w14:paraId="063E6985" w14:textId="45DC8368" w:rsidR="00A71DD0" w:rsidRPr="00CD5FFB" w:rsidRDefault="00A71DD0"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w:t>
      </w:r>
      <w:r w:rsidR="00DF0F64" w:rsidRPr="00CD5FFB">
        <w:rPr>
          <w:rFonts w:cstheme="majorBidi"/>
          <w:sz w:val="18"/>
          <w:szCs w:val="18"/>
        </w:rPr>
        <w:t>https://www.gov.uk/government/publications/health-profile-for-england-2018/chapter-5-inequalities-in-health</w:t>
      </w:r>
    </w:p>
  </w:footnote>
  <w:footnote w:id="13">
    <w:p w14:paraId="603047F8" w14:textId="2AE3CD5F" w:rsidR="008A706F" w:rsidRPr="00CD5FFB" w:rsidRDefault="008A706F"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 xml:space="preserve">. </w:t>
      </w:r>
      <w:r w:rsidR="00515DB5" w:rsidRPr="00CD5FFB">
        <w:rPr>
          <w:rFonts w:cstheme="majorBidi"/>
          <w:sz w:val="18"/>
          <w:szCs w:val="18"/>
        </w:rPr>
        <w:t>https://www.health.org.uk/node/16261</w:t>
      </w:r>
    </w:p>
  </w:footnote>
  <w:footnote w:id="14">
    <w:p w14:paraId="29A17BB0" w14:textId="004A79ED" w:rsidR="007B2D3F" w:rsidRPr="00CD5FFB" w:rsidRDefault="007B2D3F"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www.bma.org.uk/advice-and-support/covid-19/what-the-bma-is-doing/the-impact-of-the-pandemic-on-population-health-and-health-inequalities#:~:text=The%20pandemic%20has%20affected%20the%20population's%20physical%20and%20mental%20health,long%2Dterm%20effects%20after%20infection.</w:t>
      </w:r>
    </w:p>
  </w:footnote>
  <w:footnote w:id="15">
    <w:p w14:paraId="7906A3FA" w14:textId="7F97D8CF" w:rsidR="00DC5638" w:rsidRPr="00CD5FFB" w:rsidRDefault="00DC5638" w:rsidP="00065E6D">
      <w:pPr>
        <w:pStyle w:val="FootnoteText"/>
        <w:rPr>
          <w:rFonts w:cstheme="majorBidi"/>
          <w:sz w:val="18"/>
          <w:szCs w:val="18"/>
          <w:rtl/>
          <w:lang w:bidi="fa-IR"/>
        </w:rPr>
      </w:pPr>
      <w:r w:rsidRPr="00CD5FFB">
        <w:rPr>
          <w:rStyle w:val="FootnoteReference"/>
          <w:rFonts w:cstheme="majorBidi"/>
          <w:sz w:val="18"/>
          <w:szCs w:val="18"/>
          <w:vertAlign w:val="baseline"/>
        </w:rPr>
        <w:footnoteRef/>
      </w:r>
      <w:r w:rsidR="00EF30FE">
        <w:rPr>
          <w:rFonts w:cstheme="majorBidi"/>
          <w:sz w:val="18"/>
          <w:szCs w:val="18"/>
        </w:rPr>
        <w:t xml:space="preserve">. </w:t>
      </w:r>
      <w:r w:rsidRPr="00CD5FFB">
        <w:rPr>
          <w:rFonts w:cstheme="majorBidi"/>
          <w:sz w:val="18"/>
          <w:szCs w:val="18"/>
        </w:rPr>
        <w:t>https://www.rcgp.org.uk/News/mass-exodus-retention-gps-prioritised</w:t>
      </w:r>
    </w:p>
  </w:footnote>
  <w:footnote w:id="16">
    <w:p w14:paraId="0A4B29F3" w14:textId="57192FD4" w:rsidR="003C7430" w:rsidRPr="00CD5FFB" w:rsidRDefault="003C7430"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 xml:space="preserve">. </w:t>
      </w:r>
      <w:r w:rsidR="00DD5032" w:rsidRPr="00CD5FFB">
        <w:rPr>
          <w:rFonts w:cstheme="majorBidi"/>
          <w:sz w:val="18"/>
          <w:szCs w:val="18"/>
        </w:rPr>
        <w:t>https://www.theguardian.com/society/2023/oct/12/growing-number-people-face-18-month-waits-nhs-care-england</w:t>
      </w:r>
    </w:p>
  </w:footnote>
  <w:footnote w:id="17">
    <w:p w14:paraId="363BCC5D"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https://www.nuffieldtrust.org.uk/qualitywatch/nhs-performance-summary</w:t>
      </w:r>
    </w:p>
  </w:footnote>
  <w:footnote w:id="18">
    <w:p w14:paraId="2F1BCB07"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https://www.england.nhs.uk/statistics/statistical-work-areas/rtt-waiting-times/</w:t>
      </w:r>
    </w:p>
  </w:footnote>
  <w:footnote w:id="19">
    <w:p w14:paraId="58488AB5"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 xml:space="preserve">. </w:t>
      </w:r>
      <w:r w:rsidRPr="00CD5FFB">
        <w:rPr>
          <w:rFonts w:cstheme="majorBidi"/>
          <w:sz w:val="18"/>
          <w:szCs w:val="18"/>
        </w:rPr>
        <w:t>https://www.nuffieldtrust.org.uk/qualitywatch/nhs-performance-summary</w:t>
      </w:r>
    </w:p>
  </w:footnote>
  <w:footnote w:id="20">
    <w:p w14:paraId="71FE2050"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https://www.nuffieldtrust.org.uk/qualitywatch/nhs-performance-summary</w:t>
      </w:r>
    </w:p>
  </w:footnote>
  <w:footnote w:id="21">
    <w:p w14:paraId="3D2A7FBE"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https://pubmed.ncbi.nlm.nih.gov/35042695/</w:t>
      </w:r>
    </w:p>
  </w:footnote>
  <w:footnote w:id="22">
    <w:p w14:paraId="22737E68" w14:textId="77777777" w:rsidR="00657379" w:rsidRPr="00CD5FFB" w:rsidRDefault="00657379" w:rsidP="00657379">
      <w:pPr>
        <w:pStyle w:val="FootnoteText"/>
        <w:rPr>
          <w:rFonts w:cstheme="majorBidi"/>
          <w:sz w:val="18"/>
          <w:szCs w:val="18"/>
        </w:rPr>
      </w:pPr>
      <w:r w:rsidRPr="00CD5FFB">
        <w:rPr>
          <w:rStyle w:val="FootnoteReference"/>
          <w:rFonts w:cstheme="majorBidi"/>
          <w:sz w:val="18"/>
          <w:szCs w:val="18"/>
          <w:vertAlign w:val="baseline"/>
        </w:rPr>
        <w:footnoteRef/>
      </w:r>
      <w:r>
        <w:rPr>
          <w:rFonts w:cstheme="majorBidi"/>
          <w:sz w:val="18"/>
          <w:szCs w:val="18"/>
        </w:rPr>
        <w:t>.</w:t>
      </w:r>
      <w:r w:rsidRPr="00CD5FFB">
        <w:rPr>
          <w:rFonts w:cstheme="majorBidi"/>
          <w:sz w:val="18"/>
          <w:szCs w:val="18"/>
        </w:rPr>
        <w:t xml:space="preserve"> https://www.england.nhs.uk/statistics/statistical-work-areas/discharge-delays-acute-data/</w:t>
      </w:r>
    </w:p>
  </w:footnote>
  <w:footnote w:id="23">
    <w:p w14:paraId="1AF23B78" w14:textId="20B2DCD4" w:rsidR="00AE6094" w:rsidRPr="00CD5FFB" w:rsidRDefault="00AE6094"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https://www.england.nhs.uk/statistics/statistical-work-areas/community-health-services-waiting-lists/</w:t>
      </w:r>
    </w:p>
  </w:footnote>
  <w:footnote w:id="24">
    <w:p w14:paraId="3128CBCF" w14:textId="08CE7A26" w:rsidR="008355F4" w:rsidRPr="00CD5FFB" w:rsidRDefault="008355F4"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https://gp-patient.co.uk/surveysandreports</w:t>
      </w:r>
    </w:p>
  </w:footnote>
  <w:footnote w:id="25">
    <w:p w14:paraId="2360C1D9" w14:textId="7430C211" w:rsidR="00BA7659" w:rsidRPr="00CD5FFB" w:rsidRDefault="00BA7659"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https://www.health.org.uk/reports-and-analysis/briefings/www.kingsfund.org.uk/publications/social-care-360</w:t>
      </w:r>
    </w:p>
  </w:footnote>
  <w:footnote w:id="26">
    <w:p w14:paraId="04C2AA32" w14:textId="0D920435" w:rsidR="005E1740" w:rsidRPr="00CD5FFB" w:rsidRDefault="005E1740"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https://www.health.org.uk/reports-and-analysis/briefings/www.oecd-ilibrary.org/sites/a80d9f62-en/index.html?itemId=/content/component/a80d9f62-en</w:t>
      </w:r>
    </w:p>
  </w:footnote>
  <w:footnote w:id="27">
    <w:p w14:paraId="5F3F47B5" w14:textId="35B82CD0" w:rsidR="005E1740" w:rsidRPr="00CD5FFB" w:rsidRDefault="005E1740" w:rsidP="00065E6D">
      <w:pPr>
        <w:pStyle w:val="FootnoteText"/>
        <w:rPr>
          <w:rFonts w:cstheme="majorBidi"/>
          <w:sz w:val="18"/>
          <w:szCs w:val="18"/>
        </w:rPr>
      </w:pPr>
      <w:r w:rsidRPr="00CD5FFB">
        <w:rPr>
          <w:rStyle w:val="FootnoteReference"/>
          <w:rFonts w:cstheme="majorBidi"/>
          <w:sz w:val="18"/>
          <w:szCs w:val="18"/>
          <w:vertAlign w:val="baseline"/>
        </w:rPr>
        <w:footnoteRef/>
      </w:r>
      <w:r w:rsidR="00EF30FE">
        <w:rPr>
          <w:rFonts w:cstheme="majorBidi"/>
          <w:sz w:val="18"/>
          <w:szCs w:val="18"/>
        </w:rPr>
        <w:t>.</w:t>
      </w:r>
      <w:r w:rsidRPr="00CD5FFB">
        <w:rPr>
          <w:rFonts w:cstheme="majorBidi"/>
          <w:sz w:val="18"/>
          <w:szCs w:val="18"/>
        </w:rPr>
        <w:t xml:space="preserve"> https://www.health.org.uk/reports-and-analysis/reports/social-care-for-adults-aged-18-64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B75BC" w14:textId="6097BB4D" w:rsidR="0045746A" w:rsidRDefault="0045746A" w:rsidP="0045746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142EA"/>
    <w:multiLevelType w:val="hybridMultilevel"/>
    <w:tmpl w:val="A0323BF0"/>
    <w:lvl w:ilvl="0" w:tplc="2E7466D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7628FA"/>
    <w:multiLevelType w:val="hybridMultilevel"/>
    <w:tmpl w:val="51EC50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327F6"/>
    <w:multiLevelType w:val="hybridMultilevel"/>
    <w:tmpl w:val="8B8ABB54"/>
    <w:lvl w:ilvl="0" w:tplc="2E7466D2">
      <w:numFmt w:val="bullet"/>
      <w:lvlText w:val="-"/>
      <w:lvlJc w:val="left"/>
      <w:pPr>
        <w:ind w:left="720" w:hanging="360"/>
      </w:pPr>
      <w:rPr>
        <w:rFonts w:asciiTheme="minorHAnsi" w:eastAsiaTheme="minorHAnsi" w:hAnsiTheme="minorHAnsi" w:cs="B Nazani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33D527FA"/>
    <w:multiLevelType w:val="hybridMultilevel"/>
    <w:tmpl w:val="ADA63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1F624A"/>
    <w:multiLevelType w:val="hybridMultilevel"/>
    <w:tmpl w:val="196C9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231A24"/>
    <w:multiLevelType w:val="hybridMultilevel"/>
    <w:tmpl w:val="F81E4D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B302A31"/>
    <w:multiLevelType w:val="hybridMultilevel"/>
    <w:tmpl w:val="973C6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79132F"/>
    <w:multiLevelType w:val="hybridMultilevel"/>
    <w:tmpl w:val="3F8A0FA2"/>
    <w:lvl w:ilvl="0" w:tplc="0409000F">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8" w15:restartNumberingAfterBreak="0">
    <w:nsid w:val="509827AD"/>
    <w:multiLevelType w:val="hybridMultilevel"/>
    <w:tmpl w:val="83223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BF3D14"/>
    <w:multiLevelType w:val="hybridMultilevel"/>
    <w:tmpl w:val="FB2A258C"/>
    <w:lvl w:ilvl="0" w:tplc="D222ECD0">
      <w:start w:val="1"/>
      <w:numFmt w:val="decimal"/>
      <w:lvlText w:val="%1."/>
      <w:lvlJc w:val="left"/>
      <w:pPr>
        <w:ind w:left="720" w:hanging="360"/>
      </w:pPr>
      <w:rPr>
        <w:rFonts w:asciiTheme="majorBidi" w:hAnsiTheme="majorBidi" w:cstheme="majorBidi" w:hint="default"/>
        <w:b/>
        <w:bCs/>
        <w:sz w:val="28"/>
        <w:szCs w:val="28"/>
      </w:rPr>
    </w:lvl>
    <w:lvl w:ilvl="1" w:tplc="2E7466D2">
      <w:numFmt w:val="bullet"/>
      <w:lvlText w:val="-"/>
      <w:lvlJc w:val="left"/>
      <w:pPr>
        <w:ind w:left="1440" w:hanging="360"/>
      </w:pPr>
      <w:rPr>
        <w:rFonts w:asciiTheme="minorHAnsi" w:eastAsiaTheme="minorHAnsi" w:hAnsiTheme="minorHAnsi" w:cs="B Nazani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8B2171"/>
    <w:multiLevelType w:val="hybridMultilevel"/>
    <w:tmpl w:val="69766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3F389F"/>
    <w:multiLevelType w:val="hybridMultilevel"/>
    <w:tmpl w:val="691CD6EE"/>
    <w:lvl w:ilvl="0" w:tplc="587CFCD0">
      <w:start w:val="1"/>
      <w:numFmt w:val="decimal"/>
      <w:lvlText w:val="%1."/>
      <w:lvlJc w:val="left"/>
      <w:pPr>
        <w:ind w:left="720" w:hanging="360"/>
      </w:pPr>
      <w:rPr>
        <w:rFonts w:asciiTheme="majorBidi" w:hAnsiTheme="majorBidi" w:cstheme="majorBidi" w:hint="default"/>
        <w:sz w:val="28"/>
        <w:szCs w:val="28"/>
      </w:rPr>
    </w:lvl>
    <w:lvl w:ilvl="1" w:tplc="3462EE4E">
      <w:numFmt w:val="bullet"/>
      <w:lvlText w:val="-"/>
      <w:lvlJc w:val="left"/>
      <w:pPr>
        <w:ind w:left="1440" w:hanging="360"/>
      </w:pPr>
      <w:rPr>
        <w:rFonts w:asciiTheme="majorBidi" w:eastAsiaTheme="minorHAnsi" w:hAnsiTheme="majorBidi" w:cstheme="majorBidi" w:hint="default"/>
        <w:sz w:val="28"/>
        <w:szCs w:val="28"/>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845392"/>
    <w:multiLevelType w:val="hybridMultilevel"/>
    <w:tmpl w:val="1CD44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7F256A"/>
    <w:multiLevelType w:val="hybridMultilevel"/>
    <w:tmpl w:val="08088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9E2EB5"/>
    <w:multiLevelType w:val="hybridMultilevel"/>
    <w:tmpl w:val="19401610"/>
    <w:lvl w:ilvl="0" w:tplc="2E7466D2">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981306">
    <w:abstractNumId w:val="1"/>
  </w:num>
  <w:num w:numId="2" w16cid:durableId="1731806106">
    <w:abstractNumId w:val="13"/>
  </w:num>
  <w:num w:numId="3" w16cid:durableId="1434323856">
    <w:abstractNumId w:val="8"/>
  </w:num>
  <w:num w:numId="4" w16cid:durableId="227107940">
    <w:abstractNumId w:val="5"/>
  </w:num>
  <w:num w:numId="5" w16cid:durableId="740172630">
    <w:abstractNumId w:val="2"/>
  </w:num>
  <w:num w:numId="6" w16cid:durableId="1652097157">
    <w:abstractNumId w:val="3"/>
  </w:num>
  <w:num w:numId="7" w16cid:durableId="726994887">
    <w:abstractNumId w:val="0"/>
  </w:num>
  <w:num w:numId="8" w16cid:durableId="1874802195">
    <w:abstractNumId w:val="11"/>
  </w:num>
  <w:num w:numId="9" w16cid:durableId="227306626">
    <w:abstractNumId w:val="4"/>
  </w:num>
  <w:num w:numId="10" w16cid:durableId="701133559">
    <w:abstractNumId w:val="12"/>
  </w:num>
  <w:num w:numId="11" w16cid:durableId="672799350">
    <w:abstractNumId w:val="9"/>
  </w:num>
  <w:num w:numId="12" w16cid:durableId="1516187468">
    <w:abstractNumId w:val="10"/>
  </w:num>
  <w:num w:numId="13" w16cid:durableId="532159564">
    <w:abstractNumId w:val="6"/>
  </w:num>
  <w:num w:numId="14" w16cid:durableId="121773003">
    <w:abstractNumId w:val="7"/>
  </w:num>
  <w:num w:numId="15" w16cid:durableId="13983613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47B5"/>
    <w:rsid w:val="00002B77"/>
    <w:rsid w:val="0000563B"/>
    <w:rsid w:val="0001559E"/>
    <w:rsid w:val="00017773"/>
    <w:rsid w:val="000209A0"/>
    <w:rsid w:val="000227FF"/>
    <w:rsid w:val="00031B66"/>
    <w:rsid w:val="00033505"/>
    <w:rsid w:val="00034279"/>
    <w:rsid w:val="00040902"/>
    <w:rsid w:val="00042BEB"/>
    <w:rsid w:val="00055EDC"/>
    <w:rsid w:val="000565D9"/>
    <w:rsid w:val="00061CB3"/>
    <w:rsid w:val="00064707"/>
    <w:rsid w:val="00065E6D"/>
    <w:rsid w:val="00086887"/>
    <w:rsid w:val="000914E8"/>
    <w:rsid w:val="000B344C"/>
    <w:rsid w:val="000C66BF"/>
    <w:rsid w:val="000D2318"/>
    <w:rsid w:val="000D5790"/>
    <w:rsid w:val="00110A6A"/>
    <w:rsid w:val="00111F34"/>
    <w:rsid w:val="00114510"/>
    <w:rsid w:val="001172CE"/>
    <w:rsid w:val="00134636"/>
    <w:rsid w:val="00136024"/>
    <w:rsid w:val="001555DF"/>
    <w:rsid w:val="00163DD7"/>
    <w:rsid w:val="001669CA"/>
    <w:rsid w:val="001673AA"/>
    <w:rsid w:val="00167BA1"/>
    <w:rsid w:val="0018193C"/>
    <w:rsid w:val="001825C7"/>
    <w:rsid w:val="00191BEA"/>
    <w:rsid w:val="001A1581"/>
    <w:rsid w:val="001C0041"/>
    <w:rsid w:val="001D142C"/>
    <w:rsid w:val="001E049B"/>
    <w:rsid w:val="001E0B66"/>
    <w:rsid w:val="001E2862"/>
    <w:rsid w:val="001F27C6"/>
    <w:rsid w:val="00201283"/>
    <w:rsid w:val="00205EEB"/>
    <w:rsid w:val="00220F3B"/>
    <w:rsid w:val="002218AC"/>
    <w:rsid w:val="00225DBE"/>
    <w:rsid w:val="00225F46"/>
    <w:rsid w:val="00237986"/>
    <w:rsid w:val="002431CE"/>
    <w:rsid w:val="00245102"/>
    <w:rsid w:val="002469E6"/>
    <w:rsid w:val="0025659A"/>
    <w:rsid w:val="00261628"/>
    <w:rsid w:val="0026569E"/>
    <w:rsid w:val="00266B0C"/>
    <w:rsid w:val="00277F12"/>
    <w:rsid w:val="00281224"/>
    <w:rsid w:val="002877C5"/>
    <w:rsid w:val="00293477"/>
    <w:rsid w:val="00295CEE"/>
    <w:rsid w:val="002B2B45"/>
    <w:rsid w:val="002B3507"/>
    <w:rsid w:val="002B5301"/>
    <w:rsid w:val="002B60CE"/>
    <w:rsid w:val="002B7BB4"/>
    <w:rsid w:val="002C1D16"/>
    <w:rsid w:val="002C4774"/>
    <w:rsid w:val="002D0547"/>
    <w:rsid w:val="002E26B7"/>
    <w:rsid w:val="002E6A9B"/>
    <w:rsid w:val="002E6E3A"/>
    <w:rsid w:val="002F0EC8"/>
    <w:rsid w:val="003035B8"/>
    <w:rsid w:val="00323491"/>
    <w:rsid w:val="0033111E"/>
    <w:rsid w:val="00331D54"/>
    <w:rsid w:val="00332103"/>
    <w:rsid w:val="003351FD"/>
    <w:rsid w:val="0034163C"/>
    <w:rsid w:val="003467A3"/>
    <w:rsid w:val="0034790C"/>
    <w:rsid w:val="0035494C"/>
    <w:rsid w:val="003566E9"/>
    <w:rsid w:val="00366198"/>
    <w:rsid w:val="0036714B"/>
    <w:rsid w:val="00370AA3"/>
    <w:rsid w:val="00377659"/>
    <w:rsid w:val="003938DA"/>
    <w:rsid w:val="00396BC9"/>
    <w:rsid w:val="003B4DB7"/>
    <w:rsid w:val="003C0E21"/>
    <w:rsid w:val="003C7430"/>
    <w:rsid w:val="003D06BB"/>
    <w:rsid w:val="003D4918"/>
    <w:rsid w:val="003D7BA9"/>
    <w:rsid w:val="003E233F"/>
    <w:rsid w:val="003F13A7"/>
    <w:rsid w:val="003F1BE5"/>
    <w:rsid w:val="003F2988"/>
    <w:rsid w:val="003F3B45"/>
    <w:rsid w:val="004063E3"/>
    <w:rsid w:val="0040709D"/>
    <w:rsid w:val="004179A5"/>
    <w:rsid w:val="0042290A"/>
    <w:rsid w:val="004266F1"/>
    <w:rsid w:val="00442EB1"/>
    <w:rsid w:val="00442F38"/>
    <w:rsid w:val="004541E7"/>
    <w:rsid w:val="00456898"/>
    <w:rsid w:val="0045746A"/>
    <w:rsid w:val="00460D03"/>
    <w:rsid w:val="0046530C"/>
    <w:rsid w:val="00471879"/>
    <w:rsid w:val="00472922"/>
    <w:rsid w:val="0048446A"/>
    <w:rsid w:val="0048672E"/>
    <w:rsid w:val="00487934"/>
    <w:rsid w:val="00491630"/>
    <w:rsid w:val="0049778F"/>
    <w:rsid w:val="004B1147"/>
    <w:rsid w:val="004B6326"/>
    <w:rsid w:val="004C23D0"/>
    <w:rsid w:val="004C3E01"/>
    <w:rsid w:val="004E161B"/>
    <w:rsid w:val="004E648B"/>
    <w:rsid w:val="004F148E"/>
    <w:rsid w:val="004F4108"/>
    <w:rsid w:val="004F72A2"/>
    <w:rsid w:val="004F790A"/>
    <w:rsid w:val="005063DA"/>
    <w:rsid w:val="00515DB5"/>
    <w:rsid w:val="00523A8E"/>
    <w:rsid w:val="00523B34"/>
    <w:rsid w:val="00537C61"/>
    <w:rsid w:val="00570E40"/>
    <w:rsid w:val="00581726"/>
    <w:rsid w:val="00583432"/>
    <w:rsid w:val="00591242"/>
    <w:rsid w:val="005951F8"/>
    <w:rsid w:val="005A2517"/>
    <w:rsid w:val="005A6C39"/>
    <w:rsid w:val="005A731D"/>
    <w:rsid w:val="005B3180"/>
    <w:rsid w:val="005C09B3"/>
    <w:rsid w:val="005C0DF2"/>
    <w:rsid w:val="005C3267"/>
    <w:rsid w:val="005D253D"/>
    <w:rsid w:val="005D2DBA"/>
    <w:rsid w:val="005D6849"/>
    <w:rsid w:val="005E1740"/>
    <w:rsid w:val="005E5806"/>
    <w:rsid w:val="005E5C6D"/>
    <w:rsid w:val="005E7591"/>
    <w:rsid w:val="005E798C"/>
    <w:rsid w:val="005F255B"/>
    <w:rsid w:val="006066AC"/>
    <w:rsid w:val="0061090C"/>
    <w:rsid w:val="00615EA5"/>
    <w:rsid w:val="0062757D"/>
    <w:rsid w:val="00627B5E"/>
    <w:rsid w:val="006301E9"/>
    <w:rsid w:val="00641654"/>
    <w:rsid w:val="00641CF0"/>
    <w:rsid w:val="0064227F"/>
    <w:rsid w:val="00644BE0"/>
    <w:rsid w:val="0065532D"/>
    <w:rsid w:val="00657379"/>
    <w:rsid w:val="00661ED5"/>
    <w:rsid w:val="00666C7A"/>
    <w:rsid w:val="00666EF0"/>
    <w:rsid w:val="0066727A"/>
    <w:rsid w:val="006748C1"/>
    <w:rsid w:val="00686328"/>
    <w:rsid w:val="00691361"/>
    <w:rsid w:val="00691574"/>
    <w:rsid w:val="00693DE7"/>
    <w:rsid w:val="00693E1F"/>
    <w:rsid w:val="006978AF"/>
    <w:rsid w:val="00697CE3"/>
    <w:rsid w:val="006B6B16"/>
    <w:rsid w:val="006D0D0D"/>
    <w:rsid w:val="006D4424"/>
    <w:rsid w:val="006D4D44"/>
    <w:rsid w:val="006E2D13"/>
    <w:rsid w:val="006F660C"/>
    <w:rsid w:val="0071168C"/>
    <w:rsid w:val="00711C2A"/>
    <w:rsid w:val="00711C43"/>
    <w:rsid w:val="00733472"/>
    <w:rsid w:val="00736CC6"/>
    <w:rsid w:val="00746056"/>
    <w:rsid w:val="00746E53"/>
    <w:rsid w:val="007549A3"/>
    <w:rsid w:val="007560C4"/>
    <w:rsid w:val="00766E66"/>
    <w:rsid w:val="0077056E"/>
    <w:rsid w:val="00786E9D"/>
    <w:rsid w:val="0078756C"/>
    <w:rsid w:val="00787D9F"/>
    <w:rsid w:val="00790F99"/>
    <w:rsid w:val="00791D07"/>
    <w:rsid w:val="007A103B"/>
    <w:rsid w:val="007A3B5C"/>
    <w:rsid w:val="007A3C6D"/>
    <w:rsid w:val="007A55D8"/>
    <w:rsid w:val="007B2D3F"/>
    <w:rsid w:val="007B55A9"/>
    <w:rsid w:val="007C1D58"/>
    <w:rsid w:val="007C7FB1"/>
    <w:rsid w:val="007E52BD"/>
    <w:rsid w:val="007E623F"/>
    <w:rsid w:val="007E6FAC"/>
    <w:rsid w:val="007F02F4"/>
    <w:rsid w:val="007F6C2A"/>
    <w:rsid w:val="007F73DE"/>
    <w:rsid w:val="00802292"/>
    <w:rsid w:val="008061DF"/>
    <w:rsid w:val="00810862"/>
    <w:rsid w:val="00815452"/>
    <w:rsid w:val="008212D9"/>
    <w:rsid w:val="00823F73"/>
    <w:rsid w:val="00827599"/>
    <w:rsid w:val="008312DB"/>
    <w:rsid w:val="00831428"/>
    <w:rsid w:val="008355F4"/>
    <w:rsid w:val="008359C6"/>
    <w:rsid w:val="008440CD"/>
    <w:rsid w:val="00844FA2"/>
    <w:rsid w:val="00854783"/>
    <w:rsid w:val="0086006F"/>
    <w:rsid w:val="0086193F"/>
    <w:rsid w:val="00861C78"/>
    <w:rsid w:val="00862E4A"/>
    <w:rsid w:val="0086559D"/>
    <w:rsid w:val="008A0477"/>
    <w:rsid w:val="008A6F71"/>
    <w:rsid w:val="008A706F"/>
    <w:rsid w:val="008B35AC"/>
    <w:rsid w:val="008C539E"/>
    <w:rsid w:val="008D7DF0"/>
    <w:rsid w:val="008E7556"/>
    <w:rsid w:val="008F01D1"/>
    <w:rsid w:val="009069E0"/>
    <w:rsid w:val="00915C60"/>
    <w:rsid w:val="00916D6B"/>
    <w:rsid w:val="00942EBD"/>
    <w:rsid w:val="009502D2"/>
    <w:rsid w:val="0095281A"/>
    <w:rsid w:val="00953CE2"/>
    <w:rsid w:val="0095763E"/>
    <w:rsid w:val="00963585"/>
    <w:rsid w:val="00965A4B"/>
    <w:rsid w:val="00993150"/>
    <w:rsid w:val="0099422A"/>
    <w:rsid w:val="00994401"/>
    <w:rsid w:val="0099678E"/>
    <w:rsid w:val="009D2074"/>
    <w:rsid w:val="009D7CD1"/>
    <w:rsid w:val="009F2768"/>
    <w:rsid w:val="009F2DE2"/>
    <w:rsid w:val="009F42FB"/>
    <w:rsid w:val="00A0126C"/>
    <w:rsid w:val="00A01743"/>
    <w:rsid w:val="00A10D4B"/>
    <w:rsid w:val="00A11463"/>
    <w:rsid w:val="00A1619E"/>
    <w:rsid w:val="00A17DE3"/>
    <w:rsid w:val="00A334E5"/>
    <w:rsid w:val="00A3510B"/>
    <w:rsid w:val="00A37114"/>
    <w:rsid w:val="00A4322C"/>
    <w:rsid w:val="00A44705"/>
    <w:rsid w:val="00A50160"/>
    <w:rsid w:val="00A50663"/>
    <w:rsid w:val="00A51710"/>
    <w:rsid w:val="00A5721E"/>
    <w:rsid w:val="00A6097B"/>
    <w:rsid w:val="00A632CE"/>
    <w:rsid w:val="00A66EC7"/>
    <w:rsid w:val="00A71DD0"/>
    <w:rsid w:val="00A82C57"/>
    <w:rsid w:val="00A8540E"/>
    <w:rsid w:val="00A879AE"/>
    <w:rsid w:val="00A90A7B"/>
    <w:rsid w:val="00A93BAC"/>
    <w:rsid w:val="00A941FC"/>
    <w:rsid w:val="00AA4C8C"/>
    <w:rsid w:val="00AA6017"/>
    <w:rsid w:val="00AA68AB"/>
    <w:rsid w:val="00AC058D"/>
    <w:rsid w:val="00AC3655"/>
    <w:rsid w:val="00AC4132"/>
    <w:rsid w:val="00AD781A"/>
    <w:rsid w:val="00AE47B5"/>
    <w:rsid w:val="00AE4FD6"/>
    <w:rsid w:val="00AE548C"/>
    <w:rsid w:val="00AE6094"/>
    <w:rsid w:val="00AE6AA3"/>
    <w:rsid w:val="00AE7A2F"/>
    <w:rsid w:val="00AE7E94"/>
    <w:rsid w:val="00B22BD1"/>
    <w:rsid w:val="00B276EF"/>
    <w:rsid w:val="00B532A6"/>
    <w:rsid w:val="00B64F5D"/>
    <w:rsid w:val="00B7360A"/>
    <w:rsid w:val="00B736C4"/>
    <w:rsid w:val="00B74DDC"/>
    <w:rsid w:val="00B77FF1"/>
    <w:rsid w:val="00B83F7D"/>
    <w:rsid w:val="00B85ABC"/>
    <w:rsid w:val="00B86B33"/>
    <w:rsid w:val="00B86F9D"/>
    <w:rsid w:val="00B92B27"/>
    <w:rsid w:val="00B94E52"/>
    <w:rsid w:val="00B978D5"/>
    <w:rsid w:val="00BA1F7E"/>
    <w:rsid w:val="00BA7659"/>
    <w:rsid w:val="00BB2C3B"/>
    <w:rsid w:val="00BC1F87"/>
    <w:rsid w:val="00BC76B7"/>
    <w:rsid w:val="00BD378D"/>
    <w:rsid w:val="00BE1EEC"/>
    <w:rsid w:val="00BE61FF"/>
    <w:rsid w:val="00BF3C73"/>
    <w:rsid w:val="00C02CFD"/>
    <w:rsid w:val="00C15B63"/>
    <w:rsid w:val="00C17C3C"/>
    <w:rsid w:val="00C37F4B"/>
    <w:rsid w:val="00C5419A"/>
    <w:rsid w:val="00C748CE"/>
    <w:rsid w:val="00C75DF5"/>
    <w:rsid w:val="00C84B51"/>
    <w:rsid w:val="00C85C28"/>
    <w:rsid w:val="00C87379"/>
    <w:rsid w:val="00C92561"/>
    <w:rsid w:val="00C95FA1"/>
    <w:rsid w:val="00CA49AE"/>
    <w:rsid w:val="00CC4B5D"/>
    <w:rsid w:val="00CC7452"/>
    <w:rsid w:val="00CD1B66"/>
    <w:rsid w:val="00CD5FFB"/>
    <w:rsid w:val="00D0509E"/>
    <w:rsid w:val="00D232C6"/>
    <w:rsid w:val="00D2703B"/>
    <w:rsid w:val="00D424BC"/>
    <w:rsid w:val="00D4480B"/>
    <w:rsid w:val="00D53CD2"/>
    <w:rsid w:val="00D5523A"/>
    <w:rsid w:val="00D62021"/>
    <w:rsid w:val="00D625BD"/>
    <w:rsid w:val="00D67B7B"/>
    <w:rsid w:val="00D92F99"/>
    <w:rsid w:val="00D962DC"/>
    <w:rsid w:val="00DA1321"/>
    <w:rsid w:val="00DB071F"/>
    <w:rsid w:val="00DB18E0"/>
    <w:rsid w:val="00DC5638"/>
    <w:rsid w:val="00DC753F"/>
    <w:rsid w:val="00DD4B9E"/>
    <w:rsid w:val="00DD5032"/>
    <w:rsid w:val="00DF0F64"/>
    <w:rsid w:val="00DF4371"/>
    <w:rsid w:val="00DF4D40"/>
    <w:rsid w:val="00E030CF"/>
    <w:rsid w:val="00E047EA"/>
    <w:rsid w:val="00E11EC3"/>
    <w:rsid w:val="00E246FC"/>
    <w:rsid w:val="00E25689"/>
    <w:rsid w:val="00E363E6"/>
    <w:rsid w:val="00E40C8E"/>
    <w:rsid w:val="00E41662"/>
    <w:rsid w:val="00E474EC"/>
    <w:rsid w:val="00E479BE"/>
    <w:rsid w:val="00E52C2A"/>
    <w:rsid w:val="00E603F9"/>
    <w:rsid w:val="00E61265"/>
    <w:rsid w:val="00E6207B"/>
    <w:rsid w:val="00E7016E"/>
    <w:rsid w:val="00E71624"/>
    <w:rsid w:val="00E722E2"/>
    <w:rsid w:val="00E74111"/>
    <w:rsid w:val="00E75849"/>
    <w:rsid w:val="00E75D20"/>
    <w:rsid w:val="00E841EA"/>
    <w:rsid w:val="00E90DAE"/>
    <w:rsid w:val="00E95EFE"/>
    <w:rsid w:val="00EA67E3"/>
    <w:rsid w:val="00EB3326"/>
    <w:rsid w:val="00EB4A10"/>
    <w:rsid w:val="00ED6FFB"/>
    <w:rsid w:val="00EF08BE"/>
    <w:rsid w:val="00EF2542"/>
    <w:rsid w:val="00EF30FE"/>
    <w:rsid w:val="00F052E7"/>
    <w:rsid w:val="00F149E4"/>
    <w:rsid w:val="00F156A1"/>
    <w:rsid w:val="00F16AE3"/>
    <w:rsid w:val="00F174C7"/>
    <w:rsid w:val="00F23D2C"/>
    <w:rsid w:val="00F243DF"/>
    <w:rsid w:val="00F246CE"/>
    <w:rsid w:val="00F2539E"/>
    <w:rsid w:val="00F2716D"/>
    <w:rsid w:val="00F30E28"/>
    <w:rsid w:val="00F47696"/>
    <w:rsid w:val="00F50514"/>
    <w:rsid w:val="00F52195"/>
    <w:rsid w:val="00F55BF8"/>
    <w:rsid w:val="00F56492"/>
    <w:rsid w:val="00F5739D"/>
    <w:rsid w:val="00F61D9C"/>
    <w:rsid w:val="00F63CED"/>
    <w:rsid w:val="00F67B3B"/>
    <w:rsid w:val="00F70252"/>
    <w:rsid w:val="00F72E9E"/>
    <w:rsid w:val="00F828DC"/>
    <w:rsid w:val="00F837B3"/>
    <w:rsid w:val="00F907E7"/>
    <w:rsid w:val="00F95D3C"/>
    <w:rsid w:val="00F9796F"/>
    <w:rsid w:val="00F97C8B"/>
    <w:rsid w:val="00FB168C"/>
    <w:rsid w:val="00FB2CA4"/>
    <w:rsid w:val="00FB68E9"/>
    <w:rsid w:val="00FC18D8"/>
    <w:rsid w:val="00FC5B21"/>
    <w:rsid w:val="00FF6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60147"/>
  <w15:chartTrackingRefBased/>
  <w15:docId w15:val="{79FDECF4-0D9F-4584-80BD-1F95B8C2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6CE"/>
    <w:rPr>
      <w:rFonts w:asciiTheme="majorBidi" w:hAnsiTheme="majorBidi"/>
      <w:sz w:val="28"/>
    </w:rPr>
  </w:style>
  <w:style w:type="paragraph" w:styleId="Heading1">
    <w:name w:val="heading 1"/>
    <w:basedOn w:val="Normal"/>
    <w:next w:val="Normal"/>
    <w:link w:val="Heading1Char"/>
    <w:uiPriority w:val="9"/>
    <w:qFormat/>
    <w:rsid w:val="00F56492"/>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uiPriority w:val="9"/>
    <w:semiHidden/>
    <w:unhideWhenUsed/>
    <w:qFormat/>
    <w:rsid w:val="005C09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91D0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F4108"/>
    <w:pPr>
      <w:spacing w:after="0" w:line="240" w:lineRule="auto"/>
    </w:pPr>
    <w:rPr>
      <w:sz w:val="20"/>
      <w:szCs w:val="20"/>
    </w:rPr>
  </w:style>
  <w:style w:type="character" w:customStyle="1" w:styleId="FootnoteTextChar">
    <w:name w:val="Footnote Text Char"/>
    <w:basedOn w:val="DefaultParagraphFont"/>
    <w:link w:val="FootnoteText"/>
    <w:uiPriority w:val="99"/>
    <w:rsid w:val="004F4108"/>
    <w:rPr>
      <w:sz w:val="20"/>
      <w:szCs w:val="20"/>
    </w:rPr>
  </w:style>
  <w:style w:type="character" w:styleId="FootnoteReference">
    <w:name w:val="footnote reference"/>
    <w:basedOn w:val="DefaultParagraphFont"/>
    <w:uiPriority w:val="99"/>
    <w:semiHidden/>
    <w:unhideWhenUsed/>
    <w:rsid w:val="004F4108"/>
    <w:rPr>
      <w:vertAlign w:val="superscript"/>
    </w:rPr>
  </w:style>
  <w:style w:type="paragraph" w:styleId="ListParagraph">
    <w:name w:val="List Paragraph"/>
    <w:basedOn w:val="Normal"/>
    <w:uiPriority w:val="34"/>
    <w:qFormat/>
    <w:rsid w:val="00AA68AB"/>
    <w:pPr>
      <w:spacing w:after="120" w:line="264" w:lineRule="auto"/>
      <w:ind w:left="720"/>
      <w:contextualSpacing/>
    </w:pPr>
    <w:rPr>
      <w:rFonts w:eastAsiaTheme="minorEastAsia"/>
      <w:sz w:val="20"/>
      <w:szCs w:val="20"/>
    </w:rPr>
  </w:style>
  <w:style w:type="character" w:styleId="Hyperlink">
    <w:name w:val="Hyperlink"/>
    <w:basedOn w:val="DefaultParagraphFont"/>
    <w:uiPriority w:val="99"/>
    <w:unhideWhenUsed/>
    <w:rsid w:val="002D0547"/>
    <w:rPr>
      <w:color w:val="0563C1" w:themeColor="hyperlink"/>
      <w:u w:val="single"/>
    </w:rPr>
  </w:style>
  <w:style w:type="character" w:customStyle="1" w:styleId="Heading1Char">
    <w:name w:val="Heading 1 Char"/>
    <w:basedOn w:val="DefaultParagraphFont"/>
    <w:link w:val="Heading1"/>
    <w:uiPriority w:val="9"/>
    <w:rsid w:val="00F56492"/>
    <w:rPr>
      <w:rFonts w:asciiTheme="majorBidi" w:eastAsiaTheme="majorEastAsia" w:hAnsiTheme="majorBidi" w:cstheme="majorBidi"/>
      <w:b/>
      <w:bCs/>
      <w:color w:val="000000" w:themeColor="text1"/>
      <w:sz w:val="32"/>
      <w:szCs w:val="32"/>
    </w:rPr>
  </w:style>
  <w:style w:type="paragraph" w:styleId="EndnoteText">
    <w:name w:val="endnote text"/>
    <w:basedOn w:val="Normal"/>
    <w:link w:val="EndnoteTextChar"/>
    <w:uiPriority w:val="99"/>
    <w:semiHidden/>
    <w:unhideWhenUsed/>
    <w:rsid w:val="001346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34636"/>
    <w:rPr>
      <w:sz w:val="20"/>
      <w:szCs w:val="20"/>
    </w:rPr>
  </w:style>
  <w:style w:type="character" w:styleId="EndnoteReference">
    <w:name w:val="endnote reference"/>
    <w:basedOn w:val="DefaultParagraphFont"/>
    <w:uiPriority w:val="99"/>
    <w:semiHidden/>
    <w:unhideWhenUsed/>
    <w:rsid w:val="00134636"/>
    <w:rPr>
      <w:vertAlign w:val="superscript"/>
    </w:rPr>
  </w:style>
  <w:style w:type="character" w:customStyle="1" w:styleId="Heading4Char">
    <w:name w:val="Heading 4 Char"/>
    <w:basedOn w:val="DefaultParagraphFont"/>
    <w:link w:val="Heading4"/>
    <w:uiPriority w:val="9"/>
    <w:semiHidden/>
    <w:rsid w:val="00791D07"/>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91D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D07"/>
  </w:style>
  <w:style w:type="paragraph" w:styleId="Footer">
    <w:name w:val="footer"/>
    <w:basedOn w:val="Normal"/>
    <w:link w:val="FooterChar"/>
    <w:uiPriority w:val="99"/>
    <w:unhideWhenUsed/>
    <w:rsid w:val="00791D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D07"/>
  </w:style>
  <w:style w:type="character" w:customStyle="1" w:styleId="sessionsubtitle">
    <w:name w:val="sessionsubtitle"/>
    <w:basedOn w:val="DefaultParagraphFont"/>
    <w:rsid w:val="00802292"/>
  </w:style>
  <w:style w:type="character" w:customStyle="1" w:styleId="Heading2Char">
    <w:name w:val="Heading 2 Char"/>
    <w:basedOn w:val="DefaultParagraphFont"/>
    <w:link w:val="Heading2"/>
    <w:uiPriority w:val="9"/>
    <w:semiHidden/>
    <w:rsid w:val="005C09B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230288">
      <w:bodyDiv w:val="1"/>
      <w:marLeft w:val="0"/>
      <w:marRight w:val="0"/>
      <w:marTop w:val="0"/>
      <w:marBottom w:val="0"/>
      <w:divBdr>
        <w:top w:val="none" w:sz="0" w:space="0" w:color="auto"/>
        <w:left w:val="none" w:sz="0" w:space="0" w:color="auto"/>
        <w:bottom w:val="none" w:sz="0" w:space="0" w:color="auto"/>
        <w:right w:val="none" w:sz="0" w:space="0" w:color="auto"/>
      </w:divBdr>
    </w:div>
    <w:div w:id="985400585">
      <w:bodyDiv w:val="1"/>
      <w:marLeft w:val="0"/>
      <w:marRight w:val="0"/>
      <w:marTop w:val="0"/>
      <w:marBottom w:val="0"/>
      <w:divBdr>
        <w:top w:val="none" w:sz="0" w:space="0" w:color="auto"/>
        <w:left w:val="none" w:sz="0" w:space="0" w:color="auto"/>
        <w:bottom w:val="none" w:sz="0" w:space="0" w:color="auto"/>
        <w:right w:val="none" w:sz="0" w:space="0" w:color="auto"/>
      </w:divBdr>
      <w:divsChild>
        <w:div w:id="1093548753">
          <w:marLeft w:val="0"/>
          <w:marRight w:val="0"/>
          <w:marTop w:val="0"/>
          <w:marBottom w:val="0"/>
          <w:divBdr>
            <w:top w:val="none" w:sz="0" w:space="0" w:color="auto"/>
            <w:left w:val="none" w:sz="0" w:space="0" w:color="auto"/>
            <w:bottom w:val="none" w:sz="0" w:space="0" w:color="auto"/>
            <w:right w:val="none" w:sz="0" w:space="0" w:color="auto"/>
          </w:divBdr>
          <w:divsChild>
            <w:div w:id="1510676132">
              <w:marLeft w:val="0"/>
              <w:marRight w:val="0"/>
              <w:marTop w:val="0"/>
              <w:marBottom w:val="0"/>
              <w:divBdr>
                <w:top w:val="none" w:sz="0" w:space="0" w:color="auto"/>
                <w:left w:val="none" w:sz="0" w:space="0" w:color="auto"/>
                <w:bottom w:val="none" w:sz="0" w:space="0" w:color="auto"/>
                <w:right w:val="none" w:sz="0" w:space="0" w:color="auto"/>
              </w:divBdr>
            </w:div>
            <w:div w:id="261645467">
              <w:marLeft w:val="0"/>
              <w:marRight w:val="0"/>
              <w:marTop w:val="0"/>
              <w:marBottom w:val="0"/>
              <w:divBdr>
                <w:top w:val="none" w:sz="0" w:space="0" w:color="auto"/>
                <w:left w:val="none" w:sz="0" w:space="0" w:color="auto"/>
                <w:bottom w:val="none" w:sz="0" w:space="0" w:color="auto"/>
                <w:right w:val="none" w:sz="0" w:space="0" w:color="auto"/>
              </w:divBdr>
            </w:div>
          </w:divsChild>
        </w:div>
        <w:div w:id="2012681798">
          <w:marLeft w:val="0"/>
          <w:marRight w:val="0"/>
          <w:marTop w:val="0"/>
          <w:marBottom w:val="0"/>
          <w:divBdr>
            <w:top w:val="none" w:sz="0" w:space="0" w:color="auto"/>
            <w:left w:val="none" w:sz="0" w:space="0" w:color="auto"/>
            <w:bottom w:val="none" w:sz="0" w:space="0" w:color="auto"/>
            <w:right w:val="none" w:sz="0" w:space="0" w:color="auto"/>
          </w:divBdr>
          <w:divsChild>
            <w:div w:id="1421683478">
              <w:marLeft w:val="0"/>
              <w:marRight w:val="0"/>
              <w:marTop w:val="0"/>
              <w:marBottom w:val="0"/>
              <w:divBdr>
                <w:top w:val="none" w:sz="0" w:space="0" w:color="auto"/>
                <w:left w:val="none" w:sz="0" w:space="0" w:color="auto"/>
                <w:bottom w:val="none" w:sz="0" w:space="0" w:color="auto"/>
                <w:right w:val="none" w:sz="0" w:space="0" w:color="auto"/>
              </w:divBdr>
              <w:divsChild>
                <w:div w:id="15415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639761">
      <w:bodyDiv w:val="1"/>
      <w:marLeft w:val="0"/>
      <w:marRight w:val="0"/>
      <w:marTop w:val="0"/>
      <w:marBottom w:val="0"/>
      <w:divBdr>
        <w:top w:val="none" w:sz="0" w:space="0" w:color="auto"/>
        <w:left w:val="none" w:sz="0" w:space="0" w:color="auto"/>
        <w:bottom w:val="none" w:sz="0" w:space="0" w:color="auto"/>
        <w:right w:val="none" w:sz="0" w:space="0" w:color="auto"/>
      </w:divBdr>
    </w:div>
    <w:div w:id="1520435999">
      <w:bodyDiv w:val="1"/>
      <w:marLeft w:val="0"/>
      <w:marRight w:val="0"/>
      <w:marTop w:val="0"/>
      <w:marBottom w:val="0"/>
      <w:divBdr>
        <w:top w:val="none" w:sz="0" w:space="0" w:color="auto"/>
        <w:left w:val="none" w:sz="0" w:space="0" w:color="auto"/>
        <w:bottom w:val="none" w:sz="0" w:space="0" w:color="auto"/>
        <w:right w:val="none" w:sz="0" w:space="0" w:color="auto"/>
      </w:divBdr>
    </w:div>
    <w:div w:id="1631860227">
      <w:bodyDiv w:val="1"/>
      <w:marLeft w:val="0"/>
      <w:marRight w:val="0"/>
      <w:marTop w:val="0"/>
      <w:marBottom w:val="0"/>
      <w:divBdr>
        <w:top w:val="none" w:sz="0" w:space="0" w:color="auto"/>
        <w:left w:val="none" w:sz="0" w:space="0" w:color="auto"/>
        <w:bottom w:val="none" w:sz="0" w:space="0" w:color="auto"/>
        <w:right w:val="none" w:sz="0" w:space="0" w:color="auto"/>
      </w:divBdr>
      <w:divsChild>
        <w:div w:id="2036925191">
          <w:marLeft w:val="0"/>
          <w:marRight w:val="0"/>
          <w:marTop w:val="0"/>
          <w:marBottom w:val="0"/>
          <w:divBdr>
            <w:top w:val="none" w:sz="0" w:space="0" w:color="auto"/>
            <w:left w:val="none" w:sz="0" w:space="0" w:color="auto"/>
            <w:bottom w:val="none" w:sz="0" w:space="0" w:color="auto"/>
            <w:right w:val="none" w:sz="0" w:space="0" w:color="auto"/>
          </w:divBdr>
        </w:div>
        <w:div w:id="605238145">
          <w:marLeft w:val="0"/>
          <w:marRight w:val="0"/>
          <w:marTop w:val="0"/>
          <w:marBottom w:val="0"/>
          <w:divBdr>
            <w:top w:val="none" w:sz="0" w:space="0" w:color="auto"/>
            <w:left w:val="none" w:sz="0" w:space="0" w:color="auto"/>
            <w:bottom w:val="none" w:sz="0" w:space="0" w:color="auto"/>
            <w:right w:val="none" w:sz="0" w:space="0" w:color="auto"/>
          </w:divBdr>
        </w:div>
      </w:divsChild>
    </w:div>
    <w:div w:id="1689912863">
      <w:bodyDiv w:val="1"/>
      <w:marLeft w:val="0"/>
      <w:marRight w:val="0"/>
      <w:marTop w:val="0"/>
      <w:marBottom w:val="0"/>
      <w:divBdr>
        <w:top w:val="none" w:sz="0" w:space="0" w:color="auto"/>
        <w:left w:val="none" w:sz="0" w:space="0" w:color="auto"/>
        <w:bottom w:val="none" w:sz="0" w:space="0" w:color="auto"/>
        <w:right w:val="none" w:sz="0" w:space="0" w:color="auto"/>
      </w:divBdr>
    </w:div>
    <w:div w:id="1712336731">
      <w:bodyDiv w:val="1"/>
      <w:marLeft w:val="0"/>
      <w:marRight w:val="0"/>
      <w:marTop w:val="0"/>
      <w:marBottom w:val="0"/>
      <w:divBdr>
        <w:top w:val="none" w:sz="0" w:space="0" w:color="auto"/>
        <w:left w:val="none" w:sz="0" w:space="0" w:color="auto"/>
        <w:bottom w:val="none" w:sz="0" w:space="0" w:color="auto"/>
        <w:right w:val="none" w:sz="0" w:space="0" w:color="auto"/>
      </w:divBdr>
      <w:divsChild>
        <w:div w:id="893321757">
          <w:marLeft w:val="0"/>
          <w:marRight w:val="0"/>
          <w:marTop w:val="0"/>
          <w:marBottom w:val="0"/>
          <w:divBdr>
            <w:top w:val="none" w:sz="0" w:space="0" w:color="auto"/>
            <w:left w:val="none" w:sz="0" w:space="0" w:color="auto"/>
            <w:bottom w:val="none" w:sz="0" w:space="0" w:color="auto"/>
            <w:right w:val="none" w:sz="0" w:space="0" w:color="auto"/>
          </w:divBdr>
          <w:divsChild>
            <w:div w:id="1963921582">
              <w:marLeft w:val="0"/>
              <w:marRight w:val="0"/>
              <w:marTop w:val="0"/>
              <w:marBottom w:val="0"/>
              <w:divBdr>
                <w:top w:val="none" w:sz="0" w:space="0" w:color="auto"/>
                <w:left w:val="none" w:sz="0" w:space="0" w:color="auto"/>
                <w:bottom w:val="none" w:sz="0" w:space="0" w:color="auto"/>
                <w:right w:val="none" w:sz="0" w:space="0" w:color="auto"/>
              </w:divBdr>
            </w:div>
            <w:div w:id="1755320923">
              <w:marLeft w:val="0"/>
              <w:marRight w:val="0"/>
              <w:marTop w:val="0"/>
              <w:marBottom w:val="0"/>
              <w:divBdr>
                <w:top w:val="none" w:sz="0" w:space="0" w:color="auto"/>
                <w:left w:val="none" w:sz="0" w:space="0" w:color="auto"/>
                <w:bottom w:val="none" w:sz="0" w:space="0" w:color="auto"/>
                <w:right w:val="none" w:sz="0" w:space="0" w:color="auto"/>
              </w:divBdr>
            </w:div>
          </w:divsChild>
        </w:div>
        <w:div w:id="1222328485">
          <w:marLeft w:val="0"/>
          <w:marRight w:val="0"/>
          <w:marTop w:val="0"/>
          <w:marBottom w:val="0"/>
          <w:divBdr>
            <w:top w:val="none" w:sz="0" w:space="0" w:color="auto"/>
            <w:left w:val="none" w:sz="0" w:space="0" w:color="auto"/>
            <w:bottom w:val="none" w:sz="0" w:space="0" w:color="auto"/>
            <w:right w:val="none" w:sz="0" w:space="0" w:color="auto"/>
          </w:divBdr>
          <w:divsChild>
            <w:div w:id="321852212">
              <w:marLeft w:val="0"/>
              <w:marRight w:val="0"/>
              <w:marTop w:val="0"/>
              <w:marBottom w:val="0"/>
              <w:divBdr>
                <w:top w:val="none" w:sz="0" w:space="0" w:color="auto"/>
                <w:left w:val="none" w:sz="0" w:space="0" w:color="auto"/>
                <w:bottom w:val="none" w:sz="0" w:space="0" w:color="auto"/>
                <w:right w:val="none" w:sz="0" w:space="0" w:color="auto"/>
              </w:divBdr>
              <w:divsChild>
                <w:div w:id="63729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368439">
      <w:bodyDiv w:val="1"/>
      <w:marLeft w:val="0"/>
      <w:marRight w:val="0"/>
      <w:marTop w:val="0"/>
      <w:marBottom w:val="0"/>
      <w:divBdr>
        <w:top w:val="none" w:sz="0" w:space="0" w:color="auto"/>
        <w:left w:val="none" w:sz="0" w:space="0" w:color="auto"/>
        <w:bottom w:val="none" w:sz="0" w:space="0" w:color="auto"/>
        <w:right w:val="none" w:sz="0" w:space="0" w:color="auto"/>
      </w:divBdr>
    </w:div>
    <w:div w:id="1918442730">
      <w:bodyDiv w:val="1"/>
      <w:marLeft w:val="0"/>
      <w:marRight w:val="0"/>
      <w:marTop w:val="0"/>
      <w:marBottom w:val="0"/>
      <w:divBdr>
        <w:top w:val="none" w:sz="0" w:space="0" w:color="auto"/>
        <w:left w:val="none" w:sz="0" w:space="0" w:color="auto"/>
        <w:bottom w:val="none" w:sz="0" w:space="0" w:color="auto"/>
        <w:right w:val="none" w:sz="0" w:space="0" w:color="auto"/>
      </w:divBdr>
    </w:div>
    <w:div w:id="1999528961">
      <w:bodyDiv w:val="1"/>
      <w:marLeft w:val="0"/>
      <w:marRight w:val="0"/>
      <w:marTop w:val="0"/>
      <w:marBottom w:val="0"/>
      <w:divBdr>
        <w:top w:val="none" w:sz="0" w:space="0" w:color="auto"/>
        <w:left w:val="none" w:sz="0" w:space="0" w:color="auto"/>
        <w:bottom w:val="none" w:sz="0" w:space="0" w:color="auto"/>
        <w:right w:val="none" w:sz="0" w:space="0" w:color="auto"/>
      </w:divBdr>
      <w:divsChild>
        <w:div w:id="1272587276">
          <w:marLeft w:val="0"/>
          <w:marRight w:val="0"/>
          <w:marTop w:val="0"/>
          <w:marBottom w:val="0"/>
          <w:divBdr>
            <w:top w:val="none" w:sz="0" w:space="0" w:color="auto"/>
            <w:left w:val="none" w:sz="0" w:space="0" w:color="auto"/>
            <w:bottom w:val="none" w:sz="0" w:space="0" w:color="auto"/>
            <w:right w:val="none" w:sz="0" w:space="0" w:color="auto"/>
          </w:divBdr>
          <w:divsChild>
            <w:div w:id="319316008">
              <w:marLeft w:val="0"/>
              <w:marRight w:val="0"/>
              <w:marTop w:val="0"/>
              <w:marBottom w:val="0"/>
              <w:divBdr>
                <w:top w:val="none" w:sz="0" w:space="0" w:color="auto"/>
                <w:left w:val="none" w:sz="0" w:space="0" w:color="auto"/>
                <w:bottom w:val="none" w:sz="0" w:space="0" w:color="auto"/>
                <w:right w:val="none" w:sz="0" w:space="0" w:color="auto"/>
              </w:divBdr>
            </w:div>
            <w:div w:id="291719562">
              <w:marLeft w:val="0"/>
              <w:marRight w:val="0"/>
              <w:marTop w:val="0"/>
              <w:marBottom w:val="0"/>
              <w:divBdr>
                <w:top w:val="none" w:sz="0" w:space="0" w:color="auto"/>
                <w:left w:val="none" w:sz="0" w:space="0" w:color="auto"/>
                <w:bottom w:val="none" w:sz="0" w:space="0" w:color="auto"/>
                <w:right w:val="none" w:sz="0" w:space="0" w:color="auto"/>
              </w:divBdr>
            </w:div>
          </w:divsChild>
        </w:div>
        <w:div w:id="23290182">
          <w:marLeft w:val="0"/>
          <w:marRight w:val="0"/>
          <w:marTop w:val="0"/>
          <w:marBottom w:val="0"/>
          <w:divBdr>
            <w:top w:val="none" w:sz="0" w:space="0" w:color="auto"/>
            <w:left w:val="none" w:sz="0" w:space="0" w:color="auto"/>
            <w:bottom w:val="none" w:sz="0" w:space="0" w:color="auto"/>
            <w:right w:val="none" w:sz="0" w:space="0" w:color="auto"/>
          </w:divBdr>
          <w:divsChild>
            <w:div w:id="704599446">
              <w:marLeft w:val="0"/>
              <w:marRight w:val="0"/>
              <w:marTop w:val="0"/>
              <w:marBottom w:val="0"/>
              <w:divBdr>
                <w:top w:val="none" w:sz="0" w:space="0" w:color="auto"/>
                <w:left w:val="none" w:sz="0" w:space="0" w:color="auto"/>
                <w:bottom w:val="none" w:sz="0" w:space="0" w:color="auto"/>
                <w:right w:val="none" w:sz="0" w:space="0" w:color="auto"/>
              </w:divBdr>
              <w:divsChild>
                <w:div w:id="200373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84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3700A-EDBB-4FD1-80C6-192A1C704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3159</Words>
  <Characters>18011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2</cp:revision>
  <dcterms:created xsi:type="dcterms:W3CDTF">2025-01-12T13:12:00Z</dcterms:created>
  <dcterms:modified xsi:type="dcterms:W3CDTF">2025-01-12T13:12:00Z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5b878378a1ceab067ed4023c548129bb8767645e8832de04ad77ff3652607243</vt:lpwstr>
  </property>
</Properties>
</file>