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rtl w:val="0"/>
        </w:rPr>
      </w:r>
    </w:p>
    <w:p w:rsidR="00000000" w:rsidDel="00000000" w:rsidP="00000000" w:rsidRDefault="00000000" w:rsidRPr="00000000" w14:paraId="00000003">
      <w:pPr>
        <w:widowControl w:val="0"/>
        <w:spacing w:line="213" w:lineRule="auto"/>
        <w:ind w:right="-40"/>
        <w:jc w:val="center"/>
        <w:rPr/>
      </w:pPr>
      <w:r w:rsidDel="00000000" w:rsidR="00000000" w:rsidRPr="00000000">
        <w:rPr>
          <w:rtl w:val="0"/>
        </w:rPr>
      </w:r>
    </w:p>
    <w:p w:rsidR="00000000" w:rsidDel="00000000" w:rsidP="00000000" w:rsidRDefault="00000000" w:rsidRPr="00000000" w14:paraId="00000004">
      <w:pPr>
        <w:widowControl w:val="0"/>
        <w:spacing w:line="213" w:lineRule="auto"/>
        <w:ind w:right="-40"/>
        <w:jc w:val="center"/>
        <w:rPr/>
      </w:pPr>
      <w:r w:rsidDel="00000000" w:rsidR="00000000" w:rsidRPr="00000000">
        <w:rPr>
          <w:rtl w:val="0"/>
        </w:rPr>
      </w:r>
    </w:p>
    <w:p w:rsidR="00000000" w:rsidDel="00000000" w:rsidP="00000000" w:rsidRDefault="00000000" w:rsidRPr="00000000" w14:paraId="00000005">
      <w:pPr>
        <w:widowControl w:val="0"/>
        <w:spacing w:line="213" w:lineRule="auto"/>
        <w:ind w:right="-40"/>
        <w:jc w:val="center"/>
        <w:rPr>
          <w:b w:val="1"/>
        </w:rPr>
      </w:pPr>
      <w:r w:rsidDel="00000000" w:rsidR="00000000" w:rsidRPr="00000000">
        <w:rPr>
          <w:rtl w:val="0"/>
        </w:rPr>
      </w:r>
    </w:p>
    <w:p w:rsidR="00000000" w:rsidDel="00000000" w:rsidP="00000000" w:rsidRDefault="00000000" w:rsidRPr="00000000" w14:paraId="00000006">
      <w:pPr>
        <w:jc w:val="center"/>
        <w:rPr>
          <w:b w:val="1"/>
        </w:rPr>
      </w:pPr>
      <w:r w:rsidDel="00000000" w:rsidR="00000000" w:rsidRPr="00000000">
        <w:rPr>
          <w:rtl w:val="0"/>
        </w:rPr>
      </w:r>
    </w:p>
    <w:p w:rsidR="00000000" w:rsidDel="00000000" w:rsidP="00000000" w:rsidRDefault="00000000" w:rsidRPr="00000000" w14:paraId="00000007">
      <w:pPr>
        <w:jc w:val="center"/>
        <w:rPr>
          <w:b w:val="1"/>
        </w:rPr>
      </w:pPr>
      <w:r w:rsidDel="00000000" w:rsidR="00000000" w:rsidRPr="00000000">
        <w:rPr>
          <w:b w:val="1"/>
          <w:rtl w:val="0"/>
        </w:rPr>
        <w:t xml:space="preserve">OVERVIEW OF VIOLENCES AND VIOLATIONS AGAINST THE BLACK LGBTI+ POPULATION LIVING IN FAVELAS IN RIO DE JANEIRO, BRAZIL</w:t>
      </w:r>
    </w:p>
    <w:p w:rsidR="00000000" w:rsidDel="00000000" w:rsidP="00000000" w:rsidRDefault="00000000" w:rsidRPr="00000000" w14:paraId="00000008">
      <w:pPr>
        <w:jc w:val="center"/>
        <w:rPr>
          <w:b w:val="1"/>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rtl w:val="0"/>
        </w:rPr>
      </w:r>
    </w:p>
    <w:p w:rsidR="00000000" w:rsidDel="00000000" w:rsidP="00000000" w:rsidRDefault="00000000" w:rsidRPr="00000000" w14:paraId="0000000A">
      <w:pPr>
        <w:jc w:val="center"/>
        <w:rPr>
          <w:b w:val="1"/>
        </w:rPr>
      </w:pPr>
      <w:r w:rsidDel="00000000" w:rsidR="00000000" w:rsidRPr="00000000">
        <w:rPr>
          <w:rtl w:val="0"/>
        </w:rPr>
      </w:r>
    </w:p>
    <w:p w:rsidR="00000000" w:rsidDel="00000000" w:rsidP="00000000" w:rsidRDefault="00000000" w:rsidRPr="00000000" w14:paraId="0000000B">
      <w:pPr>
        <w:jc w:val="center"/>
        <w:rPr>
          <w:b w:val="1"/>
        </w:rPr>
      </w:pPr>
      <w:r w:rsidDel="00000000" w:rsidR="00000000" w:rsidRPr="00000000">
        <w:rPr>
          <w:rtl w:val="0"/>
        </w:rPr>
      </w:r>
    </w:p>
    <w:p w:rsidR="00000000" w:rsidDel="00000000" w:rsidP="00000000" w:rsidRDefault="00000000" w:rsidRPr="00000000" w14:paraId="0000000C">
      <w:pPr>
        <w:jc w:val="center"/>
        <w:rPr>
          <w:b w:val="1"/>
        </w:rPr>
      </w:pPr>
      <w:r w:rsidDel="00000000" w:rsidR="00000000" w:rsidRPr="00000000">
        <w:rPr>
          <w:rtl w:val="0"/>
        </w:rPr>
      </w:r>
    </w:p>
    <w:p w:rsidR="00000000" w:rsidDel="00000000" w:rsidP="00000000" w:rsidRDefault="00000000" w:rsidRPr="00000000" w14:paraId="0000000D">
      <w:pPr>
        <w:jc w:val="center"/>
        <w:rPr>
          <w:b w:val="1"/>
        </w:rPr>
      </w:pPr>
      <w:r w:rsidDel="00000000" w:rsidR="00000000" w:rsidRPr="00000000">
        <w:rPr>
          <w:rtl w:val="0"/>
        </w:rPr>
      </w:r>
    </w:p>
    <w:p w:rsidR="00000000" w:rsidDel="00000000" w:rsidP="00000000" w:rsidRDefault="00000000" w:rsidRPr="00000000" w14:paraId="0000000E">
      <w:pPr>
        <w:jc w:val="center"/>
        <w:rPr>
          <w:b w:val="1"/>
        </w:rPr>
      </w:pPr>
      <w:r w:rsidDel="00000000" w:rsidR="00000000" w:rsidRPr="00000000">
        <w:rPr>
          <w:rtl w:val="0"/>
        </w:rPr>
      </w:r>
    </w:p>
    <w:p w:rsidR="00000000" w:rsidDel="00000000" w:rsidP="00000000" w:rsidRDefault="00000000" w:rsidRPr="00000000" w14:paraId="0000000F">
      <w:pPr>
        <w:jc w:val="center"/>
        <w:rPr>
          <w:b w:val="1"/>
        </w:rPr>
      </w:pPr>
      <w:r w:rsidDel="00000000" w:rsidR="00000000" w:rsidRPr="00000000">
        <w:rPr>
          <w:rtl w:val="0"/>
        </w:rPr>
      </w:r>
    </w:p>
    <w:p w:rsidR="00000000" w:rsidDel="00000000" w:rsidP="00000000" w:rsidRDefault="00000000" w:rsidRPr="00000000" w14:paraId="00000010">
      <w:pPr>
        <w:jc w:val="center"/>
        <w:rPr>
          <w:b w:val="1"/>
        </w:rPr>
      </w:pPr>
      <w:r w:rsidDel="00000000" w:rsidR="00000000" w:rsidRPr="00000000">
        <w:rPr>
          <w:b w:val="1"/>
          <w:rtl w:val="0"/>
        </w:rPr>
        <w:t xml:space="preserve">CERD Committee - Review of Brazil in 2022</w:t>
      </w:r>
    </w:p>
    <w:p w:rsidR="00000000" w:rsidDel="00000000" w:rsidP="00000000" w:rsidRDefault="00000000" w:rsidRPr="00000000" w14:paraId="00000011">
      <w:pPr>
        <w:jc w:val="left"/>
        <w:rPr>
          <w:b w:val="1"/>
        </w:rPr>
      </w:pPr>
      <w:r w:rsidDel="00000000" w:rsidR="00000000" w:rsidRPr="00000000">
        <w:rPr>
          <w:rtl w:val="0"/>
        </w:rPr>
      </w:r>
    </w:p>
    <w:p w:rsidR="00000000" w:rsidDel="00000000" w:rsidP="00000000" w:rsidRDefault="00000000" w:rsidRPr="00000000" w14:paraId="00000012">
      <w:pPr>
        <w:jc w:val="center"/>
        <w:rPr>
          <w:b w:val="1"/>
        </w:rPr>
      </w:pPr>
      <w:r w:rsidDel="00000000" w:rsidR="00000000" w:rsidRPr="00000000">
        <w:rPr>
          <w:rtl w:val="0"/>
        </w:rPr>
      </w:r>
    </w:p>
    <w:p w:rsidR="00000000" w:rsidDel="00000000" w:rsidP="00000000" w:rsidRDefault="00000000" w:rsidRPr="00000000" w14:paraId="00000013">
      <w:pPr>
        <w:jc w:val="left"/>
        <w:rPr>
          <w:b w:val="1"/>
        </w:rPr>
      </w:pPr>
      <w:r w:rsidDel="00000000" w:rsidR="00000000" w:rsidRPr="00000000">
        <w:rPr>
          <w:rtl w:val="0"/>
        </w:rPr>
      </w:r>
    </w:p>
    <w:p w:rsidR="00000000" w:rsidDel="00000000" w:rsidP="00000000" w:rsidRDefault="00000000" w:rsidRPr="00000000" w14:paraId="00000014">
      <w:pPr>
        <w:jc w:val="center"/>
        <w:rPr>
          <w:b w:val="1"/>
        </w:rPr>
      </w:pPr>
      <w:r w:rsidDel="00000000" w:rsidR="00000000" w:rsidRPr="00000000">
        <w:rPr>
          <w:rtl w:val="0"/>
        </w:rPr>
      </w:r>
    </w:p>
    <w:p w:rsidR="00000000" w:rsidDel="00000000" w:rsidP="00000000" w:rsidRDefault="00000000" w:rsidRPr="00000000" w14:paraId="00000015">
      <w:pPr>
        <w:jc w:val="center"/>
        <w:rPr>
          <w:b w:val="1"/>
        </w:rPr>
      </w:pPr>
      <w:r w:rsidDel="00000000" w:rsidR="00000000" w:rsidRPr="00000000">
        <w:rPr>
          <w:b w:val="1"/>
          <w:rtl w:val="0"/>
        </w:rPr>
        <w:t xml:space="preserve">Grupo Conexão G de Cidadania LGBT de Favelas</w:t>
      </w:r>
    </w:p>
    <w:p w:rsidR="00000000" w:rsidDel="00000000" w:rsidP="00000000" w:rsidRDefault="00000000" w:rsidRPr="00000000" w14:paraId="00000016">
      <w:pPr>
        <w:jc w:val="center"/>
        <w:rPr>
          <w:b w:val="1"/>
        </w:rPr>
      </w:pPr>
      <w:r w:rsidDel="00000000" w:rsidR="00000000" w:rsidRPr="00000000">
        <w:rPr>
          <w:rtl w:val="0"/>
        </w:rPr>
      </w:r>
    </w:p>
    <w:p w:rsidR="00000000" w:rsidDel="00000000" w:rsidP="00000000" w:rsidRDefault="00000000" w:rsidRPr="00000000" w14:paraId="00000017">
      <w:pPr>
        <w:jc w:val="center"/>
        <w:rPr>
          <w:b w:val="1"/>
        </w:rPr>
      </w:pPr>
      <w:r w:rsidDel="00000000" w:rsidR="00000000" w:rsidRPr="00000000">
        <w:rPr>
          <w:rtl w:val="0"/>
        </w:rPr>
      </w:r>
    </w:p>
    <w:p w:rsidR="00000000" w:rsidDel="00000000" w:rsidP="00000000" w:rsidRDefault="00000000" w:rsidRPr="00000000" w14:paraId="00000018">
      <w:pPr>
        <w:jc w:val="center"/>
        <w:rPr>
          <w:b w:val="1"/>
        </w:rPr>
      </w:pPr>
      <w:r w:rsidDel="00000000" w:rsidR="00000000" w:rsidRPr="00000000">
        <w:rPr>
          <w:rtl w:val="0"/>
        </w:rPr>
      </w:r>
    </w:p>
    <w:p w:rsidR="00000000" w:rsidDel="00000000" w:rsidP="00000000" w:rsidRDefault="00000000" w:rsidRPr="00000000" w14:paraId="00000019">
      <w:pPr>
        <w:jc w:val="center"/>
        <w:rPr>
          <w:b w:val="1"/>
        </w:rPr>
      </w:pPr>
      <w:r w:rsidDel="00000000" w:rsidR="00000000" w:rsidRPr="00000000">
        <w:rPr>
          <w:rtl w:val="0"/>
        </w:rPr>
      </w:r>
    </w:p>
    <w:p w:rsidR="00000000" w:rsidDel="00000000" w:rsidP="00000000" w:rsidRDefault="00000000" w:rsidRPr="00000000" w14:paraId="0000001A">
      <w:pPr>
        <w:jc w:val="center"/>
        <w:rPr>
          <w:b w:val="1"/>
        </w:rPr>
      </w:pPr>
      <w:r w:rsidDel="00000000" w:rsidR="00000000" w:rsidRPr="00000000">
        <w:rPr>
          <w:rtl w:val="0"/>
        </w:rPr>
      </w:r>
    </w:p>
    <w:p w:rsidR="00000000" w:rsidDel="00000000" w:rsidP="00000000" w:rsidRDefault="00000000" w:rsidRPr="00000000" w14:paraId="0000001B">
      <w:pPr>
        <w:jc w:val="center"/>
        <w:rPr>
          <w:b w:val="1"/>
        </w:rPr>
      </w:pPr>
      <w:r w:rsidDel="00000000" w:rsidR="00000000" w:rsidRPr="00000000">
        <w:rPr>
          <w:rtl w:val="0"/>
        </w:rPr>
      </w:r>
    </w:p>
    <w:p w:rsidR="00000000" w:rsidDel="00000000" w:rsidP="00000000" w:rsidRDefault="00000000" w:rsidRPr="00000000" w14:paraId="0000001C">
      <w:pPr>
        <w:jc w:val="center"/>
        <w:rPr>
          <w:b w:val="1"/>
        </w:rPr>
      </w:pPr>
      <w:r w:rsidDel="00000000" w:rsidR="00000000" w:rsidRPr="00000000">
        <w:rPr>
          <w:rtl w:val="0"/>
        </w:rPr>
      </w:r>
    </w:p>
    <w:p w:rsidR="00000000" w:rsidDel="00000000" w:rsidP="00000000" w:rsidRDefault="00000000" w:rsidRPr="00000000" w14:paraId="0000001D">
      <w:pPr>
        <w:jc w:val="center"/>
        <w:rPr>
          <w:b w:val="1"/>
        </w:rPr>
      </w:pPr>
      <w:r w:rsidDel="00000000" w:rsidR="00000000" w:rsidRPr="00000000">
        <w:rPr>
          <w:rtl w:val="0"/>
        </w:rPr>
      </w:r>
    </w:p>
    <w:p w:rsidR="00000000" w:rsidDel="00000000" w:rsidP="00000000" w:rsidRDefault="00000000" w:rsidRPr="00000000" w14:paraId="0000001E">
      <w:pPr>
        <w:jc w:val="center"/>
        <w:rPr>
          <w:b w:val="1"/>
        </w:rPr>
      </w:pPr>
      <w:r w:rsidDel="00000000" w:rsidR="00000000" w:rsidRPr="00000000">
        <w:rPr>
          <w:rtl w:val="0"/>
        </w:rPr>
      </w:r>
    </w:p>
    <w:p w:rsidR="00000000" w:rsidDel="00000000" w:rsidP="00000000" w:rsidRDefault="00000000" w:rsidRPr="00000000" w14:paraId="0000001F">
      <w:pPr>
        <w:jc w:val="center"/>
        <w:rPr>
          <w:b w:val="1"/>
        </w:rPr>
      </w:pPr>
      <w:r w:rsidDel="00000000" w:rsidR="00000000" w:rsidRPr="00000000">
        <w:rPr>
          <w:rtl w:val="0"/>
        </w:rPr>
      </w:r>
    </w:p>
    <w:p w:rsidR="00000000" w:rsidDel="00000000" w:rsidP="00000000" w:rsidRDefault="00000000" w:rsidRPr="00000000" w14:paraId="00000020">
      <w:pPr>
        <w:jc w:val="center"/>
        <w:rPr>
          <w:b w:val="1"/>
        </w:rPr>
      </w:pPr>
      <w:r w:rsidDel="00000000" w:rsidR="00000000" w:rsidRPr="00000000">
        <w:rPr>
          <w:rtl w:val="0"/>
        </w:rPr>
      </w:r>
    </w:p>
    <w:p w:rsidR="00000000" w:rsidDel="00000000" w:rsidP="00000000" w:rsidRDefault="00000000" w:rsidRPr="00000000" w14:paraId="00000021">
      <w:pPr>
        <w:jc w:val="center"/>
        <w:rPr>
          <w:b w:val="1"/>
        </w:rPr>
      </w:pPr>
      <w:r w:rsidDel="00000000" w:rsidR="00000000" w:rsidRPr="00000000">
        <w:rPr>
          <w:rtl w:val="0"/>
        </w:rPr>
      </w:r>
    </w:p>
    <w:p w:rsidR="00000000" w:rsidDel="00000000" w:rsidP="00000000" w:rsidRDefault="00000000" w:rsidRPr="00000000" w14:paraId="00000022">
      <w:pPr>
        <w:jc w:val="center"/>
        <w:rPr>
          <w:b w:val="1"/>
        </w:rPr>
      </w:pPr>
      <w:r w:rsidDel="00000000" w:rsidR="00000000" w:rsidRPr="00000000">
        <w:rPr>
          <w:b w:val="1"/>
          <w:rtl w:val="0"/>
        </w:rPr>
        <w:t xml:space="preserve">Submitted by Conexão G to the CERD Committee for the Brazil Review in 2022</w:t>
        <w:tab/>
      </w:r>
    </w:p>
    <w:p w:rsidR="00000000" w:rsidDel="00000000" w:rsidP="00000000" w:rsidRDefault="00000000" w:rsidRPr="00000000" w14:paraId="00000023">
      <w:pPr>
        <w:jc w:val="center"/>
        <w:rPr>
          <w:b w:val="1"/>
        </w:rPr>
      </w:pPr>
      <w:r w:rsidDel="00000000" w:rsidR="00000000" w:rsidRPr="00000000">
        <w:rPr>
          <w:rtl w:val="0"/>
        </w:rPr>
      </w:r>
    </w:p>
    <w:p w:rsidR="00000000" w:rsidDel="00000000" w:rsidP="00000000" w:rsidRDefault="00000000" w:rsidRPr="00000000" w14:paraId="00000024">
      <w:pPr>
        <w:jc w:val="center"/>
        <w:rPr>
          <w:b w:val="1"/>
        </w:rPr>
      </w:pPr>
      <w:r w:rsidDel="00000000" w:rsidR="00000000" w:rsidRPr="00000000">
        <w:rPr>
          <w:rtl w:val="0"/>
        </w:rPr>
      </w:r>
    </w:p>
    <w:p w:rsidR="00000000" w:rsidDel="00000000" w:rsidP="00000000" w:rsidRDefault="00000000" w:rsidRPr="00000000" w14:paraId="00000025">
      <w:pPr>
        <w:jc w:val="center"/>
        <w:rPr>
          <w:b w:val="1"/>
        </w:rPr>
      </w:pPr>
      <w:r w:rsidDel="00000000" w:rsidR="00000000" w:rsidRPr="00000000">
        <w:rPr>
          <w:rtl w:val="0"/>
        </w:rPr>
      </w:r>
    </w:p>
    <w:p w:rsidR="00000000" w:rsidDel="00000000" w:rsidP="00000000" w:rsidRDefault="00000000" w:rsidRPr="00000000" w14:paraId="00000026">
      <w:pPr>
        <w:jc w:val="center"/>
        <w:rPr>
          <w:b w:val="1"/>
        </w:rPr>
      </w:pPr>
      <w:r w:rsidDel="00000000" w:rsidR="00000000" w:rsidRPr="00000000">
        <w:rPr>
          <w:b w:val="1"/>
          <w:rtl w:val="0"/>
        </w:rPr>
        <w:tab/>
      </w:r>
    </w:p>
    <w:p w:rsidR="00000000" w:rsidDel="00000000" w:rsidP="00000000" w:rsidRDefault="00000000" w:rsidRPr="00000000" w14:paraId="00000027">
      <w:pPr>
        <w:jc w:val="center"/>
        <w:rPr/>
      </w:pPr>
      <w:r w:rsidDel="00000000" w:rsidR="00000000" w:rsidRPr="00000000">
        <w:rPr>
          <w:rtl w:val="0"/>
        </w:rPr>
      </w:r>
    </w:p>
    <w:p w:rsidR="00000000" w:rsidDel="00000000" w:rsidP="00000000" w:rsidRDefault="00000000" w:rsidRPr="00000000" w14:paraId="00000028">
      <w:pPr>
        <w:jc w:val="center"/>
        <w:rPr/>
      </w:pPr>
      <w:r w:rsidDel="00000000" w:rsidR="00000000" w:rsidRPr="00000000">
        <w:rPr>
          <w:rtl w:val="0"/>
        </w:rPr>
      </w:r>
    </w:p>
    <w:p w:rsidR="00000000" w:rsidDel="00000000" w:rsidP="00000000" w:rsidRDefault="00000000" w:rsidRPr="00000000" w14:paraId="00000029">
      <w:pPr>
        <w:jc w:val="center"/>
        <w:rPr/>
      </w:pPr>
      <w:r w:rsidDel="00000000" w:rsidR="00000000" w:rsidRPr="00000000">
        <w:rPr>
          <w:rtl w:val="0"/>
        </w:rPr>
      </w:r>
    </w:p>
    <w:p w:rsidR="00000000" w:rsidDel="00000000" w:rsidP="00000000" w:rsidRDefault="00000000" w:rsidRPr="00000000" w14:paraId="0000002A">
      <w:pPr>
        <w:jc w:val="center"/>
        <w:rPr>
          <w:b w:val="1"/>
        </w:rPr>
      </w:pPr>
      <w:r w:rsidDel="00000000" w:rsidR="00000000" w:rsidRPr="00000000">
        <w:rPr>
          <w:rtl w:val="0"/>
        </w:rPr>
      </w:r>
    </w:p>
    <w:p w:rsidR="00000000" w:rsidDel="00000000" w:rsidP="00000000" w:rsidRDefault="00000000" w:rsidRPr="00000000" w14:paraId="0000002B">
      <w:pPr>
        <w:jc w:val="left"/>
        <w:rPr>
          <w:b w:val="1"/>
        </w:rPr>
      </w:pPr>
      <w:r w:rsidDel="00000000" w:rsidR="00000000" w:rsidRPr="00000000">
        <w:rPr>
          <w:rtl w:val="0"/>
        </w:rPr>
      </w:r>
    </w:p>
    <w:p w:rsidR="00000000" w:rsidDel="00000000" w:rsidP="00000000" w:rsidRDefault="00000000" w:rsidRPr="00000000" w14:paraId="0000002C">
      <w:pPr>
        <w:jc w:val="center"/>
        <w:rPr/>
      </w:pPr>
      <w:r w:rsidDel="00000000" w:rsidR="00000000" w:rsidRPr="00000000">
        <w:rPr>
          <w:b w:val="1"/>
          <w:rtl w:val="0"/>
        </w:rPr>
        <w:t xml:space="preserve">Brazil, October 21, 2022</w:t>
      </w:r>
      <w:r w:rsidDel="00000000" w:rsidR="00000000" w:rsidRPr="00000000">
        <w:br w:type="page"/>
      </w:r>
      <w:r w:rsidDel="00000000" w:rsidR="00000000" w:rsidRPr="00000000">
        <w:rPr>
          <w:rtl w:val="0"/>
        </w:rPr>
      </w:r>
    </w:p>
    <w:p w:rsidR="00000000" w:rsidDel="00000000" w:rsidP="00000000" w:rsidRDefault="00000000" w:rsidRPr="00000000" w14:paraId="0000002D">
      <w:pPr>
        <w:spacing w:line="360" w:lineRule="auto"/>
        <w:jc w:val="both"/>
        <w:rPr>
          <w:b w:val="1"/>
        </w:rPr>
      </w:pPr>
      <w:r w:rsidDel="00000000" w:rsidR="00000000" w:rsidRPr="00000000">
        <w:rPr>
          <w:b w:val="1"/>
          <w:rtl w:val="0"/>
        </w:rPr>
        <w:t xml:space="preserve">INTRODUCTION</w:t>
      </w:r>
    </w:p>
    <w:p w:rsidR="00000000" w:rsidDel="00000000" w:rsidP="00000000" w:rsidRDefault="00000000" w:rsidRPr="00000000" w14:paraId="0000002E">
      <w:pPr>
        <w:spacing w:line="360" w:lineRule="auto"/>
        <w:jc w:val="both"/>
        <w:rPr/>
      </w:pPr>
      <w:r w:rsidDel="00000000" w:rsidR="00000000" w:rsidRPr="00000000">
        <w:rPr>
          <w:rtl w:val="0"/>
        </w:rPr>
      </w:r>
    </w:p>
    <w:p w:rsidR="00000000" w:rsidDel="00000000" w:rsidP="00000000" w:rsidRDefault="00000000" w:rsidRPr="00000000" w14:paraId="0000002F">
      <w:pPr>
        <w:spacing w:line="360" w:lineRule="auto"/>
        <w:jc w:val="both"/>
        <w:rPr/>
      </w:pPr>
      <w:r w:rsidDel="00000000" w:rsidR="00000000" w:rsidRPr="00000000">
        <w:rPr>
          <w:rtl w:val="0"/>
        </w:rPr>
        <w:t xml:space="preserve">‘Grupo Conexão G de Cidadania LGBT de Favelas’ is a non-profit civil society organization founded by a group of young people in March 2006 in Nova Holanda, in Maré Favela Complex. To minimize prejudices experienced by black and brown LGBTQIA+ people in Brazilian favelas – especially the ones located in Rio de Janeiro –, we have acted with a focus on human rights, health promotion, culture, education, territorial development, and public safety policies (focusing on mitigating the consequences of police raids in slum territories). Since its foundation, the group has served as a reference for the debate on such topics in favelas and peripheries, being responsible for organizing various seminars, meetings, events, and workshops.</w:t>
      </w:r>
    </w:p>
    <w:p w:rsidR="00000000" w:rsidDel="00000000" w:rsidP="00000000" w:rsidRDefault="00000000" w:rsidRPr="00000000" w14:paraId="00000030">
      <w:pPr>
        <w:spacing w:line="360" w:lineRule="auto"/>
        <w:jc w:val="both"/>
        <w:rPr/>
      </w:pPr>
      <w:r w:rsidDel="00000000" w:rsidR="00000000" w:rsidRPr="00000000">
        <w:rPr>
          <w:rtl w:val="0"/>
        </w:rPr>
      </w:r>
    </w:p>
    <w:p w:rsidR="00000000" w:rsidDel="00000000" w:rsidP="00000000" w:rsidRDefault="00000000" w:rsidRPr="00000000" w14:paraId="00000031">
      <w:pPr>
        <w:spacing w:line="360" w:lineRule="auto"/>
        <w:jc w:val="both"/>
        <w:rPr/>
      </w:pPr>
      <w:r w:rsidDel="00000000" w:rsidR="00000000" w:rsidRPr="00000000">
        <w:rPr>
          <w:rtl w:val="0"/>
        </w:rPr>
        <w:t xml:space="preserve">Our interventions are carried out based on principles of intersectionality, that is, we seek to cross social markers of difference that are used for the production of social inequalities and expansion of historical and social asymmetries, having in race/ethnicity, sexual orientation/gender identity, origin or social class their tools of differentiation and subordination in these territories.</w:t>
      </w:r>
    </w:p>
    <w:p w:rsidR="00000000" w:rsidDel="00000000" w:rsidP="00000000" w:rsidRDefault="00000000" w:rsidRPr="00000000" w14:paraId="00000032">
      <w:pPr>
        <w:spacing w:line="360" w:lineRule="auto"/>
        <w:jc w:val="both"/>
        <w:rPr/>
      </w:pPr>
      <w:r w:rsidDel="00000000" w:rsidR="00000000" w:rsidRPr="00000000">
        <w:rPr>
          <w:rtl w:val="0"/>
        </w:rPr>
      </w:r>
    </w:p>
    <w:p w:rsidR="00000000" w:rsidDel="00000000" w:rsidP="00000000" w:rsidRDefault="00000000" w:rsidRPr="00000000" w14:paraId="00000033">
      <w:pPr>
        <w:spacing w:line="360" w:lineRule="auto"/>
        <w:jc w:val="both"/>
        <w:rPr/>
      </w:pPr>
      <w:r w:rsidDel="00000000" w:rsidR="00000000" w:rsidRPr="00000000">
        <w:rPr>
          <w:rtl w:val="0"/>
        </w:rPr>
        <w:t xml:space="preserve">Thus, in continuity with the work that we have carried out over the sixteen years of the organization's existence, for the present report, we will review Article II; Article V; and Article VI of the International Convention on the Elimination of All Forms of Racial Discrimination, focusing on violations of the rights of Black LGBTI+ people living in favelas in the state of Rio de Janeiro, considering Black people are the majority of people living in these territories. The time frame from which the considerations will be made comprises the period from 2018 to 2022. The violations which we will address are related, especially, to the scope of public security, as well as the themes of access to health, the right to free movement, and housing.</w:t>
      </w:r>
    </w:p>
    <w:p w:rsidR="00000000" w:rsidDel="00000000" w:rsidP="00000000" w:rsidRDefault="00000000" w:rsidRPr="00000000" w14:paraId="00000034">
      <w:pPr>
        <w:spacing w:line="360" w:lineRule="auto"/>
        <w:jc w:val="both"/>
        <w:rPr/>
      </w:pPr>
      <w:r w:rsidDel="00000000" w:rsidR="00000000" w:rsidRPr="00000000">
        <w:rPr>
          <w:rtl w:val="0"/>
        </w:rPr>
      </w:r>
    </w:p>
    <w:p w:rsidR="00000000" w:rsidDel="00000000" w:rsidP="00000000" w:rsidRDefault="00000000" w:rsidRPr="00000000" w14:paraId="00000035">
      <w:pPr>
        <w:spacing w:line="360" w:lineRule="auto"/>
        <w:jc w:val="both"/>
        <w:rPr/>
      </w:pPr>
      <w:r w:rsidDel="00000000" w:rsidR="00000000" w:rsidRPr="00000000">
        <w:rPr>
          <w:rtl w:val="0"/>
        </w:rPr>
        <w:t xml:space="preserve">For the construction of this report and the recommendations addressed by Grupo Conexão G, in addition to the meta-analyses carried out with data produced by other research and/or civil society organizations, we work with the data produced by ‘Observatório de Violências LGBTI+ em Favelas’, an ongoing project held by Grupo Conexão G that aims to produce specific data about episodes of violence and violations of rights against the LGBTI+ population of favelas</w:t>
      </w:r>
      <w:r w:rsidDel="00000000" w:rsidR="00000000" w:rsidRPr="00000000">
        <w:rPr>
          <w:vertAlign w:val="superscript"/>
        </w:rPr>
        <w:footnoteReference w:customMarkFollows="0" w:id="0"/>
      </w:r>
      <w:r w:rsidDel="00000000" w:rsidR="00000000" w:rsidRPr="00000000">
        <w:rPr>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36">
      <w:pPr>
        <w:spacing w:line="360" w:lineRule="auto"/>
        <w:jc w:val="both"/>
        <w:rPr>
          <w:b w:val="1"/>
        </w:rPr>
      </w:pPr>
      <w:r w:rsidDel="00000000" w:rsidR="00000000" w:rsidRPr="00000000">
        <w:rPr>
          <w:b w:val="1"/>
          <w:rtl w:val="0"/>
        </w:rPr>
        <w:t xml:space="preserve">Article II – Obligation to adopt all appropriate measures to eliminate racial discrimination</w:t>
      </w:r>
    </w:p>
    <w:p w:rsidR="00000000" w:rsidDel="00000000" w:rsidP="00000000" w:rsidRDefault="00000000" w:rsidRPr="00000000" w14:paraId="00000037">
      <w:pPr>
        <w:spacing w:line="360" w:lineRule="auto"/>
        <w:jc w:val="both"/>
        <w:rPr/>
      </w:pPr>
      <w:r w:rsidDel="00000000" w:rsidR="00000000" w:rsidRPr="00000000">
        <w:rPr>
          <w:rtl w:val="0"/>
        </w:rPr>
      </w:r>
    </w:p>
    <w:p w:rsidR="00000000" w:rsidDel="00000000" w:rsidP="00000000" w:rsidRDefault="00000000" w:rsidRPr="00000000" w14:paraId="00000038">
      <w:pPr>
        <w:spacing w:line="360" w:lineRule="auto"/>
        <w:jc w:val="both"/>
        <w:rPr/>
      </w:pPr>
      <w:r w:rsidDel="00000000" w:rsidR="00000000" w:rsidRPr="00000000">
        <w:rPr>
          <w:rtl w:val="0"/>
        </w:rPr>
        <w:t xml:space="preserve">We understand that the State Party fails to comply with the fundamental precepts of both paragraphs of Article II of the International Convention on the Elimination of All Forms of Racial Discrimination.</w:t>
      </w:r>
    </w:p>
    <w:p w:rsidR="00000000" w:rsidDel="00000000" w:rsidP="00000000" w:rsidRDefault="00000000" w:rsidRPr="00000000" w14:paraId="00000039">
      <w:pPr>
        <w:spacing w:line="360" w:lineRule="auto"/>
        <w:jc w:val="both"/>
        <w:rPr/>
      </w:pPr>
      <w:r w:rsidDel="00000000" w:rsidR="00000000" w:rsidRPr="00000000">
        <w:rPr>
          <w:rtl w:val="0"/>
        </w:rPr>
      </w:r>
    </w:p>
    <w:p w:rsidR="00000000" w:rsidDel="00000000" w:rsidP="00000000" w:rsidRDefault="00000000" w:rsidRPr="00000000" w14:paraId="0000003A">
      <w:pPr>
        <w:spacing w:line="360" w:lineRule="auto"/>
        <w:jc w:val="both"/>
        <w:rPr/>
      </w:pPr>
      <w:r w:rsidDel="00000000" w:rsidR="00000000" w:rsidRPr="00000000">
        <w:rPr>
          <w:b w:val="1"/>
          <w:rtl w:val="0"/>
        </w:rPr>
        <w:t xml:space="preserve">Paragraph 1, items a); b); c); Paragraph 2:</w:t>
      </w:r>
      <w:r w:rsidDel="00000000" w:rsidR="00000000" w:rsidRPr="00000000">
        <w:rPr>
          <w:rtl w:val="0"/>
        </w:rPr>
      </w:r>
    </w:p>
    <w:p w:rsidR="00000000" w:rsidDel="00000000" w:rsidP="00000000" w:rsidRDefault="00000000" w:rsidRPr="00000000" w14:paraId="0000003B">
      <w:pPr>
        <w:spacing w:line="360" w:lineRule="auto"/>
        <w:jc w:val="both"/>
        <w:rPr/>
      </w:pPr>
      <w:r w:rsidDel="00000000" w:rsidR="00000000" w:rsidRPr="00000000">
        <w:rPr>
          <w:rtl w:val="0"/>
        </w:rPr>
      </w:r>
    </w:p>
    <w:p w:rsidR="00000000" w:rsidDel="00000000" w:rsidP="00000000" w:rsidRDefault="00000000" w:rsidRPr="00000000" w14:paraId="0000003C">
      <w:pPr>
        <w:spacing w:line="360" w:lineRule="auto"/>
        <w:jc w:val="both"/>
        <w:rPr/>
      </w:pPr>
      <w:r w:rsidDel="00000000" w:rsidR="00000000" w:rsidRPr="00000000">
        <w:rPr>
          <w:rtl w:val="0"/>
        </w:rPr>
        <w:t xml:space="preserve">Over the last four years – especially since the beginning of the COVID-19 pandemic –, through our direct action in the territory, we were able to identify circumstances that reinforced conditions of the great vulnerability of Black LGBTI+ people living in favelas. In addition to the lack of structure in medical care units, housing, schools, and general infrastructure, there was a resurgence of police operations in favelas, culminating in a series of episodes of violence and very serious violations.</w:t>
      </w:r>
    </w:p>
    <w:p w:rsidR="00000000" w:rsidDel="00000000" w:rsidP="00000000" w:rsidRDefault="00000000" w:rsidRPr="00000000" w14:paraId="0000003D">
      <w:pPr>
        <w:spacing w:line="360" w:lineRule="auto"/>
        <w:jc w:val="both"/>
        <w:rPr/>
      </w:pPr>
      <w:r w:rsidDel="00000000" w:rsidR="00000000" w:rsidRPr="00000000">
        <w:rPr>
          <w:rtl w:val="0"/>
        </w:rPr>
      </w:r>
    </w:p>
    <w:p w:rsidR="00000000" w:rsidDel="00000000" w:rsidP="00000000" w:rsidRDefault="00000000" w:rsidRPr="00000000" w14:paraId="0000003E">
      <w:pPr>
        <w:spacing w:line="360" w:lineRule="auto"/>
        <w:jc w:val="both"/>
        <w:rPr>
          <w:vertAlign w:val="subscript"/>
        </w:rPr>
      </w:pPr>
      <w:r w:rsidDel="00000000" w:rsidR="00000000" w:rsidRPr="00000000">
        <w:rPr>
          <w:rtl w:val="0"/>
        </w:rPr>
        <w:t xml:space="preserve">In view of the recurring episodes of abuse of power committed by the police in Rio de Janeiro, the Federal Supreme Court (STF), through the Arguição de Descumprimento de Preceito Fundamental (ADPF) 635, which became known as “ADPF das Favelas”</w:t>
      </w:r>
      <w:r w:rsidDel="00000000" w:rsidR="00000000" w:rsidRPr="00000000">
        <w:rPr>
          <w:vertAlign w:val="superscript"/>
        </w:rPr>
        <w:footnoteReference w:customMarkFollows="0" w:id="1"/>
      </w:r>
      <w:r w:rsidDel="00000000" w:rsidR="00000000" w:rsidRPr="00000000">
        <w:rPr>
          <w:rtl w:val="0"/>
        </w:rPr>
        <w:t xml:space="preserve">,</w:t>
      </w:r>
      <w:r w:rsidDel="00000000" w:rsidR="00000000" w:rsidRPr="00000000">
        <w:rPr>
          <w:vertAlign w:val="superscript"/>
          <w:rtl w:val="0"/>
        </w:rPr>
        <w:t xml:space="preserve"> </w:t>
      </w:r>
      <w:r w:rsidDel="00000000" w:rsidR="00000000" w:rsidRPr="00000000">
        <w:rPr>
          <w:rtl w:val="0"/>
        </w:rPr>
        <w:t xml:space="preserve">upheld in 2020 the demand of various civil society organizations, determining in advance that (i) “police operations are not carried out in communities in Rio de Janeiro during the COVID-19 epidemic, except in absolutely exceptional cases [...]”</w:t>
      </w:r>
      <w:r w:rsidDel="00000000" w:rsidR="00000000" w:rsidRPr="00000000">
        <w:rPr>
          <w:vertAlign w:val="superscript"/>
        </w:rPr>
        <w:footnoteReference w:customMarkFollows="0" w:id="2"/>
      </w:r>
      <w:r w:rsidDel="00000000" w:rsidR="00000000" w:rsidRPr="00000000">
        <w:rPr>
          <w:rtl w:val="0"/>
        </w:rPr>
        <w:t xml:space="preserve"> and that ( ii) “in extraordinary cases of carrying out these operations during the pandemic, exceptional care is taken [...]˜</w:t>
      </w:r>
      <w:r w:rsidDel="00000000" w:rsidR="00000000" w:rsidRPr="00000000">
        <w:rPr>
          <w:vertAlign w:val="superscript"/>
        </w:rPr>
        <w:footnoteReference w:customMarkFollows="0" w:id="3"/>
      </w:r>
      <w:r w:rsidDel="00000000" w:rsidR="00000000" w:rsidRPr="00000000">
        <w:rPr>
          <w:vertAlign w:val="subscript"/>
          <w:rtl w:val="0"/>
        </w:rPr>
        <w:t xml:space="preserve">.</w:t>
      </w:r>
    </w:p>
    <w:p w:rsidR="00000000" w:rsidDel="00000000" w:rsidP="00000000" w:rsidRDefault="00000000" w:rsidRPr="00000000" w14:paraId="0000003F">
      <w:pPr>
        <w:spacing w:line="360" w:lineRule="auto"/>
        <w:jc w:val="both"/>
        <w:rPr/>
      </w:pPr>
      <w:r w:rsidDel="00000000" w:rsidR="00000000" w:rsidRPr="00000000">
        <w:rPr>
          <w:rtl w:val="0"/>
        </w:rPr>
      </w:r>
    </w:p>
    <w:p w:rsidR="00000000" w:rsidDel="00000000" w:rsidP="00000000" w:rsidRDefault="00000000" w:rsidRPr="00000000" w14:paraId="00000040">
      <w:pPr>
        <w:spacing w:line="360" w:lineRule="auto"/>
        <w:jc w:val="both"/>
        <w:rPr/>
      </w:pPr>
      <w:r w:rsidDel="00000000" w:rsidR="00000000" w:rsidRPr="00000000">
        <w:rPr>
          <w:rtl w:val="0"/>
        </w:rPr>
        <w:t xml:space="preserve">Despite the ADPF, police operations continued to happen very often in 2021. According to data from the collaborative platform Fogo Cruzado, which monitors data on armed violence, 4,653 shootings were identified in the metropolitan region of Rio de Janeiro in 2021, an average of 13 shootings per day; 2,098 people were shot, completing about five every 24 hours; and 64% of these people (1,342) were specifically targeted during police operations, which take place primarily in favela territories</w:t>
      </w:r>
      <w:r w:rsidDel="00000000" w:rsidR="00000000" w:rsidRPr="00000000">
        <w:rPr>
          <w:vertAlign w:val="superscript"/>
        </w:rPr>
        <w:footnoteReference w:customMarkFollows="0" w:id="4"/>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1">
      <w:pPr>
        <w:spacing w:line="360" w:lineRule="auto"/>
        <w:jc w:val="both"/>
        <w:rPr/>
      </w:pPr>
      <w:r w:rsidDel="00000000" w:rsidR="00000000" w:rsidRPr="00000000">
        <w:rPr>
          <w:rtl w:val="0"/>
        </w:rPr>
      </w:r>
    </w:p>
    <w:p w:rsidR="00000000" w:rsidDel="00000000" w:rsidP="00000000" w:rsidRDefault="00000000" w:rsidRPr="00000000" w14:paraId="00000042">
      <w:pPr>
        <w:spacing w:line="360" w:lineRule="auto"/>
        <w:jc w:val="both"/>
        <w:rPr/>
      </w:pPr>
      <w:r w:rsidDel="00000000" w:rsidR="00000000" w:rsidRPr="00000000">
        <w:rPr>
          <w:rtl w:val="0"/>
        </w:rPr>
        <w:t xml:space="preserve">This is a trend that has been confirmed since the last quarter of 2020, according to data from the Rede de Observatórios de Segurança</w:t>
      </w:r>
      <w:r w:rsidDel="00000000" w:rsidR="00000000" w:rsidRPr="00000000">
        <w:rPr>
          <w:vertAlign w:val="superscript"/>
        </w:rPr>
        <w:footnoteReference w:customMarkFollows="0" w:id="5"/>
      </w:r>
      <w:r w:rsidDel="00000000" w:rsidR="00000000" w:rsidRPr="00000000">
        <w:rPr>
          <w:rtl w:val="0"/>
        </w:rPr>
        <w:t xml:space="preserve">, when the security forces returned to acting as before. The actions resulted in an increase of 8.8% in deaths from intervention in 2021, similar to what happened in the favelas of Salgueiro and Jacarezinho – in Jacarezinho, the police operation left the highest number of deaths in the history of Rio de Janeiro: 27 people</w:t>
      </w:r>
      <w:r w:rsidDel="00000000" w:rsidR="00000000" w:rsidRPr="00000000">
        <w:rPr>
          <w:vertAlign w:val="superscript"/>
        </w:rPr>
        <w:footnoteReference w:customMarkFollows="0" w:id="6"/>
      </w:r>
      <w:r w:rsidDel="00000000" w:rsidR="00000000" w:rsidRPr="00000000">
        <w:rPr>
          <w:rtl w:val="0"/>
        </w:rPr>
        <w:t xml:space="preserve">. These two locations stand out among the episodes of violence, but they are not isolated cases. In Belford Roxo, 36% of violent deaths resulted from police action</w:t>
      </w:r>
      <w:r w:rsidDel="00000000" w:rsidR="00000000" w:rsidRPr="00000000">
        <w:rPr>
          <w:vertAlign w:val="superscript"/>
        </w:rPr>
        <w:footnoteReference w:customMarkFollows="0" w:id="7"/>
      </w:r>
      <w:r w:rsidDel="00000000" w:rsidR="00000000" w:rsidRPr="00000000">
        <w:rPr>
          <w:rtl w:val="0"/>
        </w:rPr>
        <w:t xml:space="preserve">.</w:t>
      </w:r>
    </w:p>
    <w:p w:rsidR="00000000" w:rsidDel="00000000" w:rsidP="00000000" w:rsidRDefault="00000000" w:rsidRPr="00000000" w14:paraId="00000043">
      <w:pPr>
        <w:spacing w:line="360" w:lineRule="auto"/>
        <w:jc w:val="both"/>
        <w:rPr/>
      </w:pPr>
      <w:r w:rsidDel="00000000" w:rsidR="00000000" w:rsidRPr="00000000">
        <w:rPr>
          <w:rtl w:val="0"/>
        </w:rPr>
      </w:r>
    </w:p>
    <w:p w:rsidR="00000000" w:rsidDel="00000000" w:rsidP="00000000" w:rsidRDefault="00000000" w:rsidRPr="00000000" w14:paraId="00000044">
      <w:pPr>
        <w:spacing w:line="360" w:lineRule="auto"/>
        <w:jc w:val="both"/>
        <w:rPr>
          <w:vertAlign w:val="superscript"/>
        </w:rPr>
      </w:pPr>
      <w:r w:rsidDel="00000000" w:rsidR="00000000" w:rsidRPr="00000000">
        <w:rPr>
          <w:rtl w:val="0"/>
        </w:rPr>
        <w:t xml:space="preserve">According to the bulletin of Redes da Maré</w:t>
      </w:r>
      <w:r w:rsidDel="00000000" w:rsidR="00000000" w:rsidRPr="00000000">
        <w:rPr>
          <w:vertAlign w:val="superscript"/>
        </w:rPr>
        <w:footnoteReference w:customMarkFollows="0" w:id="8"/>
      </w:r>
      <w:r w:rsidDel="00000000" w:rsidR="00000000" w:rsidRPr="00000000">
        <w:rPr>
          <w:rtl w:val="0"/>
        </w:rPr>
        <w:t xml:space="preserve">, Complexo da Maré lived a total of 20 days of police operation in 2021, with the registration of 11 deaths and only one investigation according to the protocol’s legal parameters. In 60% of police operations, residents reported violations related to their homes</w:t>
      </w:r>
      <w:r w:rsidDel="00000000" w:rsidR="00000000" w:rsidRPr="00000000">
        <w:rPr>
          <w:vertAlign w:val="superscript"/>
        </w:rPr>
        <w:footnoteReference w:customMarkFollows="0" w:id="9"/>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5">
      <w:pPr>
        <w:spacing w:line="360" w:lineRule="auto"/>
        <w:jc w:val="both"/>
        <w:rPr/>
      </w:pPr>
      <w:r w:rsidDel="00000000" w:rsidR="00000000" w:rsidRPr="00000000">
        <w:rPr>
          <w:rtl w:val="0"/>
        </w:rPr>
      </w:r>
    </w:p>
    <w:p w:rsidR="00000000" w:rsidDel="00000000" w:rsidP="00000000" w:rsidRDefault="00000000" w:rsidRPr="00000000" w14:paraId="00000046">
      <w:pPr>
        <w:widowControl w:val="0"/>
        <w:spacing w:before="26.63238525390625" w:line="360" w:lineRule="auto"/>
        <w:ind w:left="0" w:right="22.03369140625" w:firstLine="0"/>
        <w:jc w:val="both"/>
        <w:rPr/>
      </w:pPr>
      <w:r w:rsidDel="00000000" w:rsidR="00000000" w:rsidRPr="00000000">
        <w:rPr>
          <w:rtl w:val="0"/>
        </w:rPr>
        <w:t xml:space="preserve">The scenario set today in favelas for LGBTI+ people, especially when considered black and brown populations, is of widespread lack of guarantee of rights. The state fails to promote citizenship and dignity. Making itself present almost only through police raids, the violence that crosses the territory has impacted not only the safety and well-being of residents, but also access to education, health, work, and the inviolability of housing. While outside the favelas the struggle of the LGBTI+ population has been guided by the advancement of civil rights such as adoption and marriage with recognition of an expanded concept of family, in the territories of favelas the fight is still for life and access to basic human rights. </w:t>
      </w:r>
      <w:r w:rsidDel="00000000" w:rsidR="00000000" w:rsidRPr="00000000">
        <w:rPr>
          <w:rtl w:val="0"/>
        </w:rPr>
      </w:r>
    </w:p>
    <w:p w:rsidR="00000000" w:rsidDel="00000000" w:rsidP="00000000" w:rsidRDefault="00000000" w:rsidRPr="00000000" w14:paraId="00000047">
      <w:pPr>
        <w:spacing w:line="360" w:lineRule="auto"/>
        <w:jc w:val="both"/>
        <w:rPr/>
      </w:pPr>
      <w:r w:rsidDel="00000000" w:rsidR="00000000" w:rsidRPr="00000000">
        <w:rPr>
          <w:rtl w:val="0"/>
        </w:rPr>
      </w:r>
    </w:p>
    <w:p w:rsidR="00000000" w:rsidDel="00000000" w:rsidP="00000000" w:rsidRDefault="00000000" w:rsidRPr="00000000" w14:paraId="00000048">
      <w:pPr>
        <w:spacing w:line="360" w:lineRule="auto"/>
        <w:jc w:val="both"/>
        <w:rPr/>
      </w:pPr>
      <w:r w:rsidDel="00000000" w:rsidR="00000000" w:rsidRPr="00000000">
        <w:rPr>
          <w:rtl w:val="0"/>
        </w:rPr>
        <w:t xml:space="preserve">Thus, regarding Article II, the State Party has not acted effectively to make all public authorities and public institutions (national and local) act in a proper way to adopt a policy of elimination of racial discrimination in all its forms (Paragraph 1). Actually, the current federal and local governments maintain a relationship of mutual support, including with regard to discourses and agendas favorable to police incursions into favela territories, so that the State Party does take measures to eliminate racial discrimination in its territorial dimension. In addition, such policies have not been effectively reviewed.</w:t>
      </w:r>
      <w:r w:rsidDel="00000000" w:rsidR="00000000" w:rsidRPr="00000000">
        <w:br w:type="page"/>
      </w:r>
      <w:r w:rsidDel="00000000" w:rsidR="00000000" w:rsidRPr="00000000">
        <w:rPr>
          <w:rtl w:val="0"/>
        </w:rPr>
      </w:r>
    </w:p>
    <w:p w:rsidR="00000000" w:rsidDel="00000000" w:rsidP="00000000" w:rsidRDefault="00000000" w:rsidRPr="00000000" w14:paraId="00000049">
      <w:pPr>
        <w:spacing w:line="360" w:lineRule="auto"/>
        <w:jc w:val="both"/>
        <w:rPr>
          <w:b w:val="1"/>
        </w:rPr>
      </w:pPr>
      <w:r w:rsidDel="00000000" w:rsidR="00000000" w:rsidRPr="00000000">
        <w:rPr>
          <w:b w:val="1"/>
          <w:rtl w:val="0"/>
        </w:rPr>
        <w:t xml:space="preserve">ARTICLE V – Equality of civil and political rights. Equality of economic, social, and cultural rights</w:t>
      </w:r>
    </w:p>
    <w:p w:rsidR="00000000" w:rsidDel="00000000" w:rsidP="00000000" w:rsidRDefault="00000000" w:rsidRPr="00000000" w14:paraId="0000004A">
      <w:pPr>
        <w:spacing w:line="360" w:lineRule="auto"/>
        <w:jc w:val="both"/>
        <w:rPr>
          <w:b w:val="1"/>
        </w:rPr>
      </w:pPr>
      <w:r w:rsidDel="00000000" w:rsidR="00000000" w:rsidRPr="00000000">
        <w:rPr>
          <w:rtl w:val="0"/>
        </w:rPr>
      </w:r>
    </w:p>
    <w:p w:rsidR="00000000" w:rsidDel="00000000" w:rsidP="00000000" w:rsidRDefault="00000000" w:rsidRPr="00000000" w14:paraId="0000004B">
      <w:pPr>
        <w:spacing w:line="360" w:lineRule="auto"/>
        <w:jc w:val="both"/>
        <w:rPr>
          <w:b w:val="1"/>
        </w:rPr>
      </w:pPr>
      <w:r w:rsidDel="00000000" w:rsidR="00000000" w:rsidRPr="00000000">
        <w:rPr>
          <w:b w:val="1"/>
          <w:rtl w:val="0"/>
        </w:rPr>
        <w:t xml:space="preserve">Item b):</w:t>
      </w:r>
    </w:p>
    <w:p w:rsidR="00000000" w:rsidDel="00000000" w:rsidP="00000000" w:rsidRDefault="00000000" w:rsidRPr="00000000" w14:paraId="0000004C">
      <w:pPr>
        <w:spacing w:line="360" w:lineRule="auto"/>
        <w:jc w:val="both"/>
        <w:rPr>
          <w:b w:val="1"/>
        </w:rPr>
      </w:pPr>
      <w:r w:rsidDel="00000000" w:rsidR="00000000" w:rsidRPr="00000000">
        <w:rPr>
          <w:rtl w:val="0"/>
        </w:rPr>
      </w:r>
    </w:p>
    <w:p w:rsidR="00000000" w:rsidDel="00000000" w:rsidP="00000000" w:rsidRDefault="00000000" w:rsidRPr="00000000" w14:paraId="0000004D">
      <w:pPr>
        <w:spacing w:line="360" w:lineRule="auto"/>
        <w:jc w:val="both"/>
        <w:rPr/>
      </w:pPr>
      <w:r w:rsidDel="00000000" w:rsidR="00000000" w:rsidRPr="00000000">
        <w:rPr>
          <w:rtl w:val="0"/>
        </w:rPr>
        <w:t xml:space="preserve">Data from ‘</w:t>
      </w:r>
      <w:r w:rsidDel="00000000" w:rsidR="00000000" w:rsidRPr="00000000">
        <w:rPr>
          <w:rtl w:val="0"/>
        </w:rPr>
        <w:t xml:space="preserve">Observatório de Violências LGBTI+ em Favelas’</w:t>
      </w:r>
      <w:r w:rsidDel="00000000" w:rsidR="00000000" w:rsidRPr="00000000">
        <w:rPr>
          <w:rtl w:val="0"/>
        </w:rPr>
        <w:t xml:space="preserve"> also show that Black people are the most frequently approached by the police, before or after 18 years old. When gender markers were applied to the indices, the data showed that 67% of the people approached are trans people. This data seems to reveal that there is an ongoing process of more intense violence towards Black trans people.</w:t>
      </w:r>
    </w:p>
    <w:p w:rsidR="00000000" w:rsidDel="00000000" w:rsidP="00000000" w:rsidRDefault="00000000" w:rsidRPr="00000000" w14:paraId="0000004E">
      <w:pPr>
        <w:spacing w:line="360" w:lineRule="auto"/>
        <w:ind w:firstLine="720"/>
        <w:jc w:val="both"/>
        <w:rPr/>
      </w:pPr>
      <w:r w:rsidDel="00000000" w:rsidR="00000000" w:rsidRPr="00000000">
        <w:rPr>
          <w:rtl w:val="0"/>
        </w:rPr>
      </w:r>
    </w:p>
    <w:p w:rsidR="00000000" w:rsidDel="00000000" w:rsidP="00000000" w:rsidRDefault="00000000" w:rsidRPr="00000000" w14:paraId="0000004F">
      <w:pPr>
        <w:spacing w:line="360" w:lineRule="auto"/>
        <w:jc w:val="both"/>
        <w:rPr/>
      </w:pPr>
      <w:r w:rsidDel="00000000" w:rsidR="00000000" w:rsidRPr="00000000">
        <w:rPr>
          <w:rtl w:val="0"/>
        </w:rPr>
        <w:t xml:space="preserve">The percentage of trans people who have suffered police violence in the context of an approach is an extremely important issue that deserves attention. During a group activity on the topic of public security, one of the participants, who we will call “P” as a way of maintaining her security and confidentiality, brought us an important report on police approaches, when she said that she was searched by male police, which shows us an attitude in disagreement with Art. 249. of Decree-Law No. 3,689 of October 3, 1941, which determines that “The search for a woman will be carried out by another woman if there is no delay or damage to the diligence”</w:t>
      </w:r>
      <w:r w:rsidDel="00000000" w:rsidR="00000000" w:rsidRPr="00000000">
        <w:rPr>
          <w:vertAlign w:val="superscript"/>
        </w:rPr>
        <w:footnoteReference w:customMarkFollows="0" w:id="10"/>
      </w:r>
      <w:r w:rsidDel="00000000" w:rsidR="00000000" w:rsidRPr="00000000">
        <w:rPr>
          <w:rtl w:val="0"/>
        </w:rPr>
        <w:t xml:space="preserve">.</w:t>
      </w:r>
    </w:p>
    <w:p w:rsidR="00000000" w:rsidDel="00000000" w:rsidP="00000000" w:rsidRDefault="00000000" w:rsidRPr="00000000" w14:paraId="00000050">
      <w:pPr>
        <w:spacing w:line="360" w:lineRule="auto"/>
        <w:jc w:val="both"/>
        <w:rPr/>
      </w:pPr>
      <w:r w:rsidDel="00000000" w:rsidR="00000000" w:rsidRPr="00000000">
        <w:rPr>
          <w:rtl w:val="0"/>
        </w:rPr>
      </w:r>
    </w:p>
    <w:p w:rsidR="00000000" w:rsidDel="00000000" w:rsidP="00000000" w:rsidRDefault="00000000" w:rsidRPr="00000000" w14:paraId="00000051">
      <w:pPr>
        <w:spacing w:line="360" w:lineRule="auto"/>
        <w:jc w:val="both"/>
        <w:rPr>
          <w:b w:val="1"/>
        </w:rPr>
      </w:pPr>
      <w:r w:rsidDel="00000000" w:rsidR="00000000" w:rsidRPr="00000000">
        <w:rPr>
          <w:rtl w:val="0"/>
        </w:rPr>
        <w:t xml:space="preserve">The situations of violence in which these people are placed allow fear to be created in any police approach since it is not possible to predict whether the contexts of approach will follow as determined by law. An unfolding of this insecurity also appears in the speech of “J” in the same group activity, where she points out the identity and moral disrespect on the part of the authorities: “when we are against reciprocating or offering the sex that they so much want, they already transform us into a man [...], then their facial expression already changes, gestured aggression begins, then comes verbal aggression, and from verbal to physical aggression”.</w:t>
      </w:r>
      <w:r w:rsidDel="00000000" w:rsidR="00000000" w:rsidRPr="00000000">
        <w:rPr>
          <w:rtl w:val="0"/>
        </w:rPr>
      </w:r>
    </w:p>
    <w:p w:rsidR="00000000" w:rsidDel="00000000" w:rsidP="00000000" w:rsidRDefault="00000000" w:rsidRPr="00000000" w14:paraId="00000052">
      <w:pPr>
        <w:spacing w:line="360" w:lineRule="auto"/>
        <w:jc w:val="both"/>
        <w:rPr>
          <w:b w:val="1"/>
        </w:rPr>
      </w:pPr>
      <w:r w:rsidDel="00000000" w:rsidR="00000000" w:rsidRPr="00000000">
        <w:rPr>
          <w:rtl w:val="0"/>
        </w:rPr>
      </w:r>
    </w:p>
    <w:p w:rsidR="00000000" w:rsidDel="00000000" w:rsidP="00000000" w:rsidRDefault="00000000" w:rsidRPr="00000000" w14:paraId="00000053">
      <w:pPr>
        <w:spacing w:line="360" w:lineRule="auto"/>
        <w:jc w:val="both"/>
        <w:rPr>
          <w:b w:val="1"/>
        </w:rPr>
      </w:pPr>
      <w:r w:rsidDel="00000000" w:rsidR="00000000" w:rsidRPr="00000000">
        <w:rPr>
          <w:rtl w:val="0"/>
        </w:rPr>
      </w:r>
    </w:p>
    <w:p w:rsidR="00000000" w:rsidDel="00000000" w:rsidP="00000000" w:rsidRDefault="00000000" w:rsidRPr="00000000" w14:paraId="00000054">
      <w:pPr>
        <w:spacing w:line="360" w:lineRule="auto"/>
        <w:jc w:val="both"/>
        <w:rPr>
          <w:b w:val="1"/>
        </w:rPr>
      </w:pPr>
      <w:r w:rsidDel="00000000" w:rsidR="00000000" w:rsidRPr="00000000">
        <w:rPr>
          <w:b w:val="1"/>
          <w:rtl w:val="0"/>
        </w:rPr>
        <w:t xml:space="preserve">Item e):</w:t>
      </w:r>
    </w:p>
    <w:p w:rsidR="00000000" w:rsidDel="00000000" w:rsidP="00000000" w:rsidRDefault="00000000" w:rsidRPr="00000000" w14:paraId="00000055">
      <w:pPr>
        <w:spacing w:line="360" w:lineRule="auto"/>
        <w:jc w:val="both"/>
        <w:rPr>
          <w:b w:val="1"/>
        </w:rPr>
      </w:pPr>
      <w:r w:rsidDel="00000000" w:rsidR="00000000" w:rsidRPr="00000000">
        <w:rPr>
          <w:rtl w:val="0"/>
        </w:rPr>
      </w:r>
    </w:p>
    <w:p w:rsidR="00000000" w:rsidDel="00000000" w:rsidP="00000000" w:rsidRDefault="00000000" w:rsidRPr="00000000" w14:paraId="00000056">
      <w:pPr>
        <w:spacing w:line="360" w:lineRule="auto"/>
        <w:jc w:val="both"/>
        <w:rPr/>
      </w:pPr>
      <w:r w:rsidDel="00000000" w:rsidR="00000000" w:rsidRPr="00000000">
        <w:rPr>
          <w:rtl w:val="0"/>
        </w:rPr>
        <w:t xml:space="preserve">The State Party has not attempted to undermine the violations against the civil rights of the population in the country. This situation implies a decrease in the population's economic rights, and, in particular, in the impossibility of exercising citizenship and access to cultural rights. The culture sector actively returned after the peak period of the pandemic (2020-2021), and adjustments to the values ​​of cultural activities increased, given the need to adapt spaces and products to the period, while the economy of the country was fundamental in these increases. Not only in the cultural sector, the population with whom we work has also always been placed on the sidelines of discussions about the right to housing</w:t>
      </w:r>
      <w:r w:rsidDel="00000000" w:rsidR="00000000" w:rsidRPr="00000000">
        <w:rPr>
          <w:rtl w:val="0"/>
        </w:rPr>
        <w:t xml:space="preserve">, which is evident in the period reviewed in this report through, mainly, the dismantling of the housing assistance program 'Minha Casa Minha Vida', responsible for housing many impoverished families in the country.</w:t>
      </w:r>
    </w:p>
    <w:p w:rsidR="00000000" w:rsidDel="00000000" w:rsidP="00000000" w:rsidRDefault="00000000" w:rsidRPr="00000000" w14:paraId="00000057">
      <w:pPr>
        <w:spacing w:line="360" w:lineRule="auto"/>
        <w:jc w:val="both"/>
        <w:rPr/>
      </w:pPr>
      <w:r w:rsidDel="00000000" w:rsidR="00000000" w:rsidRPr="00000000">
        <w:rPr>
          <w:rtl w:val="0"/>
        </w:rPr>
      </w:r>
    </w:p>
    <w:p w:rsidR="00000000" w:rsidDel="00000000" w:rsidP="00000000" w:rsidRDefault="00000000" w:rsidRPr="00000000" w14:paraId="00000058">
      <w:pPr>
        <w:spacing w:line="360" w:lineRule="auto"/>
        <w:jc w:val="both"/>
        <w:rPr/>
      </w:pPr>
      <w:r w:rsidDel="00000000" w:rsidR="00000000" w:rsidRPr="00000000">
        <w:rPr>
          <w:rtl w:val="0"/>
        </w:rPr>
      </w:r>
    </w:p>
    <w:p w:rsidR="00000000" w:rsidDel="00000000" w:rsidP="00000000" w:rsidRDefault="00000000" w:rsidRPr="00000000" w14:paraId="00000059">
      <w:pPr>
        <w:spacing w:line="360" w:lineRule="auto"/>
        <w:jc w:val="both"/>
        <w:rPr>
          <w:b w:val="1"/>
        </w:rPr>
      </w:pPr>
      <w:r w:rsidDel="00000000" w:rsidR="00000000" w:rsidRPr="00000000">
        <w:rPr>
          <w:b w:val="1"/>
          <w:rtl w:val="0"/>
        </w:rPr>
        <w:t xml:space="preserve">Number III), in item e):</w:t>
      </w:r>
    </w:p>
    <w:p w:rsidR="00000000" w:rsidDel="00000000" w:rsidP="00000000" w:rsidRDefault="00000000" w:rsidRPr="00000000" w14:paraId="0000005A">
      <w:pPr>
        <w:spacing w:line="360" w:lineRule="auto"/>
        <w:jc w:val="both"/>
        <w:rPr>
          <w:b w:val="1"/>
        </w:rPr>
      </w:pPr>
      <w:r w:rsidDel="00000000" w:rsidR="00000000" w:rsidRPr="00000000">
        <w:rPr>
          <w:rtl w:val="0"/>
        </w:rPr>
      </w:r>
    </w:p>
    <w:p w:rsidR="00000000" w:rsidDel="00000000" w:rsidP="00000000" w:rsidRDefault="00000000" w:rsidRPr="00000000" w14:paraId="0000005B">
      <w:pPr>
        <w:spacing w:line="360" w:lineRule="auto"/>
        <w:jc w:val="both"/>
        <w:rPr>
          <w:highlight w:val="white"/>
        </w:rPr>
      </w:pPr>
      <w:r w:rsidDel="00000000" w:rsidR="00000000" w:rsidRPr="00000000">
        <w:rPr>
          <w:highlight w:val="white"/>
          <w:rtl w:val="0"/>
        </w:rPr>
        <w:t xml:space="preserve">As a result of the scarce housing policies, the data produced by ‘</w:t>
      </w:r>
      <w:r w:rsidDel="00000000" w:rsidR="00000000" w:rsidRPr="00000000">
        <w:rPr>
          <w:rtl w:val="0"/>
        </w:rPr>
        <w:t xml:space="preserve">Observatório de Violências LGBTI+ em Favelas’ </w:t>
      </w:r>
      <w:r w:rsidDel="00000000" w:rsidR="00000000" w:rsidRPr="00000000">
        <w:rPr>
          <w:highlight w:val="white"/>
          <w:rtl w:val="0"/>
        </w:rPr>
        <w:t xml:space="preserve">show that only 23% of the participants have minimum basic sanitation conditions in their homes, such as </w:t>
      </w:r>
      <w:r w:rsidDel="00000000" w:rsidR="00000000" w:rsidRPr="00000000">
        <w:rPr>
          <w:rtl w:val="0"/>
        </w:rPr>
        <w:t xml:space="preserve">piped water connected to the public supply system, bathroom connected to the sewage network, water tank or cistern and regular electricity. </w:t>
      </w:r>
      <w:r w:rsidDel="00000000" w:rsidR="00000000" w:rsidRPr="00000000">
        <w:rPr>
          <w:highlight w:val="white"/>
          <w:rtl w:val="0"/>
        </w:rPr>
        <w:t xml:space="preserve">In addition, another 23% have access to electricity only irregularly.</w:t>
      </w:r>
    </w:p>
    <w:p w:rsidR="00000000" w:rsidDel="00000000" w:rsidP="00000000" w:rsidRDefault="00000000" w:rsidRPr="00000000" w14:paraId="0000005C">
      <w:pPr>
        <w:spacing w:line="360" w:lineRule="auto"/>
        <w:ind w:left="0" w:firstLine="0"/>
        <w:jc w:val="both"/>
        <w:rPr>
          <w:b w:val="1"/>
        </w:rPr>
      </w:pPr>
      <w:r w:rsidDel="00000000" w:rsidR="00000000" w:rsidRPr="00000000">
        <w:rPr>
          <w:rtl w:val="0"/>
        </w:rPr>
      </w:r>
    </w:p>
    <w:p w:rsidR="00000000" w:rsidDel="00000000" w:rsidP="00000000" w:rsidRDefault="00000000" w:rsidRPr="00000000" w14:paraId="0000005D">
      <w:pPr>
        <w:spacing w:line="360" w:lineRule="auto"/>
        <w:ind w:left="0" w:firstLine="0"/>
        <w:jc w:val="both"/>
        <w:rPr>
          <w:b w:val="1"/>
        </w:rPr>
      </w:pPr>
      <w:r w:rsidDel="00000000" w:rsidR="00000000" w:rsidRPr="00000000">
        <w:rPr>
          <w:rtl w:val="0"/>
        </w:rPr>
      </w:r>
    </w:p>
    <w:p w:rsidR="00000000" w:rsidDel="00000000" w:rsidP="00000000" w:rsidRDefault="00000000" w:rsidRPr="00000000" w14:paraId="0000005E">
      <w:pPr>
        <w:spacing w:line="360" w:lineRule="auto"/>
        <w:jc w:val="both"/>
        <w:rPr>
          <w:b w:val="1"/>
        </w:rPr>
      </w:pPr>
      <w:r w:rsidDel="00000000" w:rsidR="00000000" w:rsidRPr="00000000">
        <w:rPr>
          <w:b w:val="1"/>
          <w:rtl w:val="0"/>
        </w:rPr>
        <w:t xml:space="preserve">Number IV), in item e):</w:t>
      </w:r>
    </w:p>
    <w:p w:rsidR="00000000" w:rsidDel="00000000" w:rsidP="00000000" w:rsidRDefault="00000000" w:rsidRPr="00000000" w14:paraId="0000005F">
      <w:pPr>
        <w:widowControl w:val="0"/>
        <w:spacing w:before="200" w:line="360" w:lineRule="auto"/>
        <w:ind w:right="25"/>
        <w:jc w:val="both"/>
        <w:rPr/>
      </w:pPr>
      <w:r w:rsidDel="00000000" w:rsidR="00000000" w:rsidRPr="00000000">
        <w:rPr>
          <w:rtl w:val="0"/>
        </w:rPr>
        <w:t xml:space="preserve">Access to healthcare is a basic and inviolable right guaranteed in the Universal Declaration of Human Rights (UDHR)</w:t>
      </w:r>
      <w:r w:rsidDel="00000000" w:rsidR="00000000" w:rsidRPr="00000000">
        <w:rPr>
          <w:vertAlign w:val="superscript"/>
        </w:rPr>
        <w:footnoteReference w:customMarkFollows="0" w:id="11"/>
      </w:r>
      <w:r w:rsidDel="00000000" w:rsidR="00000000" w:rsidRPr="00000000">
        <w:rPr>
          <w:rtl w:val="0"/>
        </w:rPr>
        <w:t xml:space="preserve">, but this guarantee has not been consolidated as a fact in the favela territories of Rio de Janeiro. As data from the 6th edition of the newsletter 'Right to Public Security in Maré', by Redes da Maré (2021), in at least 38 days of 2021</w:t>
      </w:r>
      <w:r w:rsidDel="00000000" w:rsidR="00000000" w:rsidRPr="00000000">
        <w:rPr>
          <w:vertAlign w:val="superscript"/>
        </w:rPr>
        <w:footnoteReference w:customMarkFollows="0" w:id="12"/>
      </w:r>
      <w:r w:rsidDel="00000000" w:rsidR="00000000" w:rsidRPr="00000000">
        <w:rPr>
          <w:rtl w:val="0"/>
        </w:rPr>
        <w:t xml:space="preserve">, there was an interruption of services or total closure of basic health units in the Favelas da Maré Complex. Thus, it appears that violent state actions within the scope of public security maintain a direct relationship with several other social spheres, making it evident that these intersections constitute the processes of vulnerability that specifically impact LGBTI+ populations in favelas.</w:t>
      </w:r>
    </w:p>
    <w:p w:rsidR="00000000" w:rsidDel="00000000" w:rsidP="00000000" w:rsidRDefault="00000000" w:rsidRPr="00000000" w14:paraId="00000060">
      <w:pPr>
        <w:widowControl w:val="0"/>
        <w:spacing w:before="200" w:line="360" w:lineRule="auto"/>
        <w:ind w:right="25"/>
        <w:jc w:val="both"/>
        <w:rPr/>
      </w:pPr>
      <w:r w:rsidDel="00000000" w:rsidR="00000000" w:rsidRPr="00000000">
        <w:rPr>
          <w:rtl w:val="0"/>
        </w:rPr>
      </w:r>
    </w:p>
    <w:p w:rsidR="00000000" w:rsidDel="00000000" w:rsidP="00000000" w:rsidRDefault="00000000" w:rsidRPr="00000000" w14:paraId="00000061">
      <w:pPr>
        <w:spacing w:line="360" w:lineRule="auto"/>
        <w:jc w:val="both"/>
        <w:rPr/>
      </w:pPr>
      <w:r w:rsidDel="00000000" w:rsidR="00000000" w:rsidRPr="00000000">
        <w:rPr>
          <w:rtl w:val="0"/>
        </w:rPr>
        <w:t xml:space="preserve">LGBTI+ health care was instituted nationally in the Unified Health System</w:t>
      </w:r>
      <w:r w:rsidDel="00000000" w:rsidR="00000000" w:rsidRPr="00000000">
        <w:rPr>
          <w:vertAlign w:val="superscript"/>
        </w:rPr>
        <w:footnoteReference w:customMarkFollows="0" w:id="13"/>
      </w:r>
      <w:r w:rsidDel="00000000" w:rsidR="00000000" w:rsidRPr="00000000">
        <w:rPr>
          <w:rtl w:val="0"/>
        </w:rPr>
        <w:t xml:space="preserve"> through the National LGBT Comprehensive Health Policy, through Ordinance No. 2,836 of 2011, of the Ministry of Health. In addition to recognizing the specific demands of the LGBTI+ population, the policy plan also provides for the construction and systematization of data on the use of the Unified Health System by this population, considering the production of data as a fundamental factor for its effectiveness and improvement, which has not happened. It should be also considered that psychological factors should be taken into account in the consultations, in addition to the emphasis given to discrimination in public health services, which is configured as a recognition of institutionalized LGBTphobia in public health services in Brazil.</w:t>
      </w:r>
    </w:p>
    <w:p w:rsidR="00000000" w:rsidDel="00000000" w:rsidP="00000000" w:rsidRDefault="00000000" w:rsidRPr="00000000" w14:paraId="00000062">
      <w:pPr>
        <w:spacing w:line="360" w:lineRule="auto"/>
        <w:jc w:val="both"/>
        <w:rPr/>
      </w:pPr>
      <w:r w:rsidDel="00000000" w:rsidR="00000000" w:rsidRPr="00000000">
        <w:rPr>
          <w:rtl w:val="0"/>
        </w:rPr>
      </w:r>
    </w:p>
    <w:p w:rsidR="00000000" w:rsidDel="00000000" w:rsidP="00000000" w:rsidRDefault="00000000" w:rsidRPr="00000000" w14:paraId="00000063">
      <w:pPr>
        <w:spacing w:line="360" w:lineRule="auto"/>
        <w:jc w:val="both"/>
        <w:rPr>
          <w:highlight w:val="white"/>
        </w:rPr>
      </w:pPr>
      <w:r w:rsidDel="00000000" w:rsidR="00000000" w:rsidRPr="00000000">
        <w:rPr>
          <w:highlight w:val="white"/>
          <w:rtl w:val="0"/>
        </w:rPr>
        <w:t xml:space="preserve">However, it is noted that, despite legal determinations and even the creation of policy plans at the national level, as in the case of the National LGBT Comprehensive Health Policy itself, the implementation of normative acts does not take place effectively in public health care services, which should guarantee full access, free from stigma and prejudice</w:t>
      </w:r>
      <w:r w:rsidDel="00000000" w:rsidR="00000000" w:rsidRPr="00000000">
        <w:rPr>
          <w:rtl w:val="0"/>
        </w:rPr>
        <w:t xml:space="preserve">. There is still a great recurrence of reports about episodes of insults and transphobia suffered in public health services, inside and outside communities</w:t>
      </w:r>
      <w:r w:rsidDel="00000000" w:rsidR="00000000" w:rsidRPr="00000000">
        <w:rPr>
          <w:highlight w:val="white"/>
          <w:rtl w:val="0"/>
        </w:rPr>
        <w:t xml:space="preserve">, which indicates a mentality spread in and by public facilities.</w:t>
      </w:r>
    </w:p>
    <w:p w:rsidR="00000000" w:rsidDel="00000000" w:rsidP="00000000" w:rsidRDefault="00000000" w:rsidRPr="00000000" w14:paraId="00000064">
      <w:pPr>
        <w:spacing w:line="360" w:lineRule="auto"/>
        <w:jc w:val="both"/>
        <w:rPr>
          <w:highlight w:val="white"/>
        </w:rPr>
      </w:pPr>
      <w:r w:rsidDel="00000000" w:rsidR="00000000" w:rsidRPr="00000000">
        <w:rPr>
          <w:rtl w:val="0"/>
        </w:rPr>
      </w:r>
    </w:p>
    <w:p w:rsidR="00000000" w:rsidDel="00000000" w:rsidP="00000000" w:rsidRDefault="00000000" w:rsidRPr="00000000" w14:paraId="00000065">
      <w:pPr>
        <w:spacing w:line="360" w:lineRule="auto"/>
        <w:jc w:val="both"/>
        <w:rPr/>
      </w:pPr>
      <w:r w:rsidDel="00000000" w:rsidR="00000000" w:rsidRPr="00000000">
        <w:rPr>
          <w:rtl w:val="0"/>
        </w:rPr>
        <w:t xml:space="preserve">In observing the questions of </w:t>
      </w:r>
      <w:r w:rsidDel="00000000" w:rsidR="00000000" w:rsidRPr="00000000">
        <w:rPr>
          <w:rtl w:val="0"/>
        </w:rPr>
        <w:t xml:space="preserve">Observatório’</w:t>
      </w:r>
      <w:r w:rsidDel="00000000" w:rsidR="00000000" w:rsidRPr="00000000">
        <w:rPr>
          <w:rtl w:val="0"/>
        </w:rPr>
        <w:t xml:space="preserve">s analytical tool on episodes of violence and discrimination in a health service, 32% of the participants stated that it had already happened and 10% indicated that they did not know what to answer. Considering racial markers, 39% of white participants stated that they had already suffered violence in this context (out of 9 white respondents); while 30% of black participants stated the same thing (out of 26 black or racialized respondents). Proportionally, it appears that black people are the most recurrently violated.</w:t>
      </w:r>
    </w:p>
    <w:p w:rsidR="00000000" w:rsidDel="00000000" w:rsidP="00000000" w:rsidRDefault="00000000" w:rsidRPr="00000000" w14:paraId="00000066">
      <w:pPr>
        <w:spacing w:line="360" w:lineRule="auto"/>
        <w:jc w:val="both"/>
        <w:rPr/>
      </w:pPr>
      <w:r w:rsidDel="00000000" w:rsidR="00000000" w:rsidRPr="00000000">
        <w:rPr>
          <w:rtl w:val="0"/>
        </w:rPr>
      </w:r>
    </w:p>
    <w:p w:rsidR="00000000" w:rsidDel="00000000" w:rsidP="00000000" w:rsidRDefault="00000000" w:rsidRPr="00000000" w14:paraId="00000067">
      <w:pPr>
        <w:spacing w:line="360" w:lineRule="auto"/>
        <w:jc w:val="both"/>
        <w:rPr/>
      </w:pPr>
      <w:r w:rsidDel="00000000" w:rsidR="00000000" w:rsidRPr="00000000">
        <w:rPr>
          <w:rtl w:val="0"/>
        </w:rPr>
      </w:r>
    </w:p>
    <w:p w:rsidR="00000000" w:rsidDel="00000000" w:rsidP="00000000" w:rsidRDefault="00000000" w:rsidRPr="00000000" w14:paraId="00000068">
      <w:pPr>
        <w:spacing w:line="360" w:lineRule="auto"/>
        <w:jc w:val="both"/>
        <w:rPr>
          <w:b w:val="1"/>
        </w:rPr>
      </w:pPr>
      <w:r w:rsidDel="00000000" w:rsidR="00000000" w:rsidRPr="00000000">
        <w:rPr>
          <w:b w:val="1"/>
          <w:rtl w:val="0"/>
        </w:rPr>
        <w:t xml:space="preserve">Number V), in item e):</w:t>
      </w:r>
    </w:p>
    <w:p w:rsidR="00000000" w:rsidDel="00000000" w:rsidP="00000000" w:rsidRDefault="00000000" w:rsidRPr="00000000" w14:paraId="00000069">
      <w:pPr>
        <w:spacing w:line="360" w:lineRule="auto"/>
        <w:jc w:val="both"/>
        <w:rPr>
          <w:b w:val="1"/>
        </w:rPr>
      </w:pPr>
      <w:r w:rsidDel="00000000" w:rsidR="00000000" w:rsidRPr="00000000">
        <w:rPr>
          <w:rtl w:val="0"/>
        </w:rPr>
      </w:r>
    </w:p>
    <w:p w:rsidR="00000000" w:rsidDel="00000000" w:rsidP="00000000" w:rsidRDefault="00000000" w:rsidRPr="00000000" w14:paraId="0000006A">
      <w:pPr>
        <w:spacing w:line="360" w:lineRule="auto"/>
        <w:jc w:val="both"/>
        <w:rPr/>
      </w:pPr>
      <w:r w:rsidDel="00000000" w:rsidR="00000000" w:rsidRPr="00000000">
        <w:rPr>
          <w:rtl w:val="0"/>
        </w:rPr>
        <w:t xml:space="preserve">The impoverishment of the favela population, from the curtailment of their economic rights, also reflects on the access to education and professional training of this population. When viewing data from ‘</w:t>
      </w:r>
      <w:r w:rsidDel="00000000" w:rsidR="00000000" w:rsidRPr="00000000">
        <w:rPr>
          <w:rtl w:val="0"/>
        </w:rPr>
        <w:t xml:space="preserve">Observatório de Violências LGBTI+’ </w:t>
      </w:r>
      <w:r w:rsidDel="00000000" w:rsidR="00000000" w:rsidRPr="00000000">
        <w:rPr>
          <w:rtl w:val="0"/>
        </w:rPr>
        <w:t xml:space="preserve">on employability, income, and schooling, we came across only 1% of participants who indicated they had completed postgraduate studies, in contrast to 31% who had completed high school. Even so, school dropout appears to us as an important nuance to direct the demand for public policies. 18% of LGBTI+ respondents do not have completed high school, as well as 17% that do not have completed elementary school.</w:t>
      </w:r>
    </w:p>
    <w:p w:rsidR="00000000" w:rsidDel="00000000" w:rsidP="00000000" w:rsidRDefault="00000000" w:rsidRPr="00000000" w14:paraId="0000006B">
      <w:pPr>
        <w:spacing w:line="360" w:lineRule="auto"/>
        <w:jc w:val="both"/>
        <w:rPr/>
      </w:pPr>
      <w:r w:rsidDel="00000000" w:rsidR="00000000" w:rsidRPr="00000000">
        <w:rPr>
          <w:rtl w:val="0"/>
        </w:rPr>
      </w:r>
    </w:p>
    <w:p w:rsidR="00000000" w:rsidDel="00000000" w:rsidP="00000000" w:rsidRDefault="00000000" w:rsidRPr="00000000" w14:paraId="0000006C">
      <w:pPr>
        <w:spacing w:line="360" w:lineRule="auto"/>
        <w:jc w:val="both"/>
        <w:rPr/>
      </w:pPr>
      <w:r w:rsidDel="00000000" w:rsidR="00000000" w:rsidRPr="00000000">
        <w:rPr>
          <w:rtl w:val="0"/>
        </w:rPr>
        <w:t xml:space="preserve">The dismantling of education in Brazil echoes even more intensely when we think about favela territories since it appears to be difficult or of little interest for the State to implement and create strategies that offer quality education and prepare children and young people for the dynamics of the market. of work.</w:t>
      </w:r>
    </w:p>
    <w:p w:rsidR="00000000" w:rsidDel="00000000" w:rsidP="00000000" w:rsidRDefault="00000000" w:rsidRPr="00000000" w14:paraId="0000006D">
      <w:pPr>
        <w:spacing w:line="360" w:lineRule="auto"/>
        <w:jc w:val="both"/>
        <w:rPr/>
      </w:pPr>
      <w:r w:rsidDel="00000000" w:rsidR="00000000" w:rsidRPr="00000000">
        <w:rPr>
          <w:rtl w:val="0"/>
        </w:rPr>
      </w:r>
    </w:p>
    <w:p w:rsidR="00000000" w:rsidDel="00000000" w:rsidP="00000000" w:rsidRDefault="00000000" w:rsidRPr="00000000" w14:paraId="0000006E">
      <w:pPr>
        <w:spacing w:line="360" w:lineRule="auto"/>
        <w:jc w:val="both"/>
        <w:rPr/>
      </w:pPr>
      <w:r w:rsidDel="00000000" w:rsidR="00000000" w:rsidRPr="00000000">
        <w:rPr>
          <w:rtl w:val="0"/>
        </w:rPr>
        <w:t xml:space="preserve">Beyond this point, LGBTIphobia in the labor market appears as another obstacle to the insertion of this population in the formal work system. Still analyzing the data produced by ‘Observatório’, 41% of the participants indicated that they had never worked with a formal contract, 45% indicated that they were unemployed and 23% considered themselves informal workers. Thus, from the barriers imposed by racial discrimination in schooling to the difficulties of entering the labor market, the precariousness of the lives of these populations is in process, which infrequently has a fixed monthly income. 24% of LGBTI+ people claimed to have between R$100.00 and R$499.00 per month.</w:t>
      </w:r>
    </w:p>
    <w:p w:rsidR="00000000" w:rsidDel="00000000" w:rsidP="00000000" w:rsidRDefault="00000000" w:rsidRPr="00000000" w14:paraId="0000006F">
      <w:pPr>
        <w:spacing w:line="360" w:lineRule="auto"/>
        <w:jc w:val="both"/>
        <w:rPr>
          <w:b w:val="1"/>
        </w:rPr>
      </w:pPr>
      <w:r w:rsidDel="00000000" w:rsidR="00000000" w:rsidRPr="00000000">
        <w:rPr>
          <w:rtl w:val="0"/>
        </w:rPr>
      </w:r>
    </w:p>
    <w:p w:rsidR="00000000" w:rsidDel="00000000" w:rsidP="00000000" w:rsidRDefault="00000000" w:rsidRPr="00000000" w14:paraId="00000070">
      <w:pPr>
        <w:spacing w:line="360" w:lineRule="auto"/>
        <w:jc w:val="both"/>
        <w:rPr/>
      </w:pPr>
      <w:r w:rsidDel="00000000" w:rsidR="00000000" w:rsidRPr="00000000">
        <w:rPr>
          <w:rtl w:val="0"/>
        </w:rPr>
        <w:t xml:space="preserve">Thus, with regard to Article V, the State Party has not acted effectively to guarantee the State's right to security and protection against violence or bodily harm committed against black LGBTI+ people (item b)); guarantee access to economic and social support, and to culture (item e); guarantee the right to housing (number III), in item e); guarantee the right to public health and access to medical treatment (number IV), in item e); as well as guaranteeing the right to education and professional training. In addition, it can be assumed that the constant imminence of police incursions into favela territories, added to the deprivations of even basic rights, directly impact the right to move freely within the borders of the State (number I), item d).</w:t>
      </w:r>
      <w:r w:rsidDel="00000000" w:rsidR="00000000" w:rsidRPr="00000000">
        <w:br w:type="page"/>
      </w:r>
      <w:r w:rsidDel="00000000" w:rsidR="00000000" w:rsidRPr="00000000">
        <w:rPr>
          <w:rtl w:val="0"/>
        </w:rPr>
      </w:r>
    </w:p>
    <w:p w:rsidR="00000000" w:rsidDel="00000000" w:rsidP="00000000" w:rsidRDefault="00000000" w:rsidRPr="00000000" w14:paraId="00000071">
      <w:pPr>
        <w:spacing w:line="360" w:lineRule="auto"/>
        <w:jc w:val="both"/>
        <w:rPr>
          <w:b w:val="1"/>
          <w:i w:val="1"/>
        </w:rPr>
      </w:pPr>
      <w:r w:rsidDel="00000000" w:rsidR="00000000" w:rsidRPr="00000000">
        <w:rPr>
          <w:b w:val="1"/>
          <w:rtl w:val="0"/>
        </w:rPr>
        <w:t xml:space="preserve">Article VI: The right to effective resources against racial discrimination (access to justice)</w:t>
      </w:r>
      <w:r w:rsidDel="00000000" w:rsidR="00000000" w:rsidRPr="00000000">
        <w:rPr>
          <w:rtl w:val="0"/>
        </w:rPr>
      </w:r>
    </w:p>
    <w:p w:rsidR="00000000" w:rsidDel="00000000" w:rsidP="00000000" w:rsidRDefault="00000000" w:rsidRPr="00000000" w14:paraId="00000072">
      <w:pPr>
        <w:spacing w:line="360" w:lineRule="auto"/>
        <w:jc w:val="both"/>
        <w:rPr/>
      </w:pPr>
      <w:r w:rsidDel="00000000" w:rsidR="00000000" w:rsidRPr="00000000">
        <w:rPr>
          <w:rtl w:val="0"/>
        </w:rPr>
        <w:tab/>
      </w:r>
    </w:p>
    <w:p w:rsidR="00000000" w:rsidDel="00000000" w:rsidP="00000000" w:rsidRDefault="00000000" w:rsidRPr="00000000" w14:paraId="00000073">
      <w:pPr>
        <w:spacing w:line="360" w:lineRule="auto"/>
        <w:jc w:val="both"/>
        <w:rPr/>
      </w:pPr>
      <w:r w:rsidDel="00000000" w:rsidR="00000000" w:rsidRPr="00000000">
        <w:rPr>
          <w:rtl w:val="0"/>
        </w:rPr>
        <w:t xml:space="preserve">The favela territories in the State Party have been systematically suffering from the gentrification policies of the cities and the public security actions that are anchored in fallacious discourses about the fight against drug trafficking, but which have been responsible for the exercise of a policy of death without monitoring by the authorities.</w:t>
      </w:r>
    </w:p>
    <w:p w:rsidR="00000000" w:rsidDel="00000000" w:rsidP="00000000" w:rsidRDefault="00000000" w:rsidRPr="00000000" w14:paraId="00000074">
      <w:pPr>
        <w:spacing w:line="360" w:lineRule="auto"/>
        <w:jc w:val="both"/>
        <w:rPr/>
      </w:pPr>
      <w:r w:rsidDel="00000000" w:rsidR="00000000" w:rsidRPr="00000000">
        <w:rPr>
          <w:rtl w:val="0"/>
        </w:rPr>
      </w:r>
    </w:p>
    <w:p w:rsidR="00000000" w:rsidDel="00000000" w:rsidP="00000000" w:rsidRDefault="00000000" w:rsidRPr="00000000" w14:paraId="00000075">
      <w:pPr>
        <w:spacing w:line="360" w:lineRule="auto"/>
        <w:jc w:val="both"/>
        <w:rPr/>
      </w:pPr>
      <w:r w:rsidDel="00000000" w:rsidR="00000000" w:rsidRPr="00000000">
        <w:rPr>
          <w:rtl w:val="0"/>
        </w:rPr>
        <w:t xml:space="preserve">Data from a survey by Instituto Locomotiva, together with Data Favela and Central Única das Favelas (CUFA), showed that of the 8% of the Brazilian population residing in favela territories, the black population represents 67%</w:t>
      </w:r>
      <w:r w:rsidDel="00000000" w:rsidR="00000000" w:rsidRPr="00000000">
        <w:rPr>
          <w:vertAlign w:val="superscript"/>
        </w:rPr>
        <w:footnoteReference w:customMarkFollows="0" w:id="14"/>
      </w:r>
      <w:r w:rsidDel="00000000" w:rsidR="00000000" w:rsidRPr="00000000">
        <w:rPr>
          <w:rtl w:val="0"/>
        </w:rPr>
        <w:t xml:space="preserve">. Accordingly, it is these same territories that are excluded in public administrations when thinking about the elaboration and execution of public policies that can reach this population in an equal way with the rest of the resident population of the asphalt. The existing public services in these territories have to deal with the precariousness of spaces, the body of employees, and the supply of inputs and services that should be performed on a regular basis.</w:t>
      </w:r>
    </w:p>
    <w:p w:rsidR="00000000" w:rsidDel="00000000" w:rsidP="00000000" w:rsidRDefault="00000000" w:rsidRPr="00000000" w14:paraId="00000076">
      <w:pPr>
        <w:spacing w:line="360" w:lineRule="auto"/>
        <w:jc w:val="both"/>
        <w:rPr/>
      </w:pPr>
      <w:r w:rsidDel="00000000" w:rsidR="00000000" w:rsidRPr="00000000">
        <w:rPr>
          <w:rtl w:val="0"/>
        </w:rPr>
      </w:r>
    </w:p>
    <w:p w:rsidR="00000000" w:rsidDel="00000000" w:rsidP="00000000" w:rsidRDefault="00000000" w:rsidRPr="00000000" w14:paraId="00000077">
      <w:pPr>
        <w:spacing w:line="360" w:lineRule="auto"/>
        <w:jc w:val="both"/>
        <w:rPr/>
      </w:pPr>
      <w:r w:rsidDel="00000000" w:rsidR="00000000" w:rsidRPr="00000000">
        <w:rPr>
          <w:rtl w:val="0"/>
        </w:rPr>
        <w:t xml:space="preserve">In addition, public security policies see these territories as centers of danger, without taking into account that the absence of the State forces favela populations to reinvent themselves and create their own subsistence mechanisms through services created and performed by the residents themselves in these territories. This scenario of the precariousness of life for black people contributes to the increase in the mortality of black youth (by police operations), to the reduction of the quality and expectation of life (given the precariousness of health services and access to culture, for example), in addition to the high unemployment rate.</w:t>
      </w:r>
    </w:p>
    <w:p w:rsidR="00000000" w:rsidDel="00000000" w:rsidP="00000000" w:rsidRDefault="00000000" w:rsidRPr="00000000" w14:paraId="00000078">
      <w:pPr>
        <w:spacing w:line="360" w:lineRule="auto"/>
        <w:jc w:val="both"/>
        <w:rPr/>
      </w:pPr>
      <w:r w:rsidDel="00000000" w:rsidR="00000000" w:rsidRPr="00000000">
        <w:rPr>
          <w:rtl w:val="0"/>
        </w:rPr>
      </w:r>
    </w:p>
    <w:p w:rsidR="00000000" w:rsidDel="00000000" w:rsidP="00000000" w:rsidRDefault="00000000" w:rsidRPr="00000000" w14:paraId="00000079">
      <w:pPr>
        <w:spacing w:line="360" w:lineRule="auto"/>
        <w:jc w:val="both"/>
        <w:rPr/>
      </w:pPr>
      <w:r w:rsidDel="00000000" w:rsidR="00000000" w:rsidRPr="00000000">
        <w:rPr>
          <w:rtl w:val="0"/>
        </w:rPr>
        <w:t xml:space="preserve">The consequences of this scenario are the growth in the number of armed groups in these territories, which have management over some services and over the individual right of consumption of this population, as well as the right to come and go. The report Historical Map of Armed Groups of Rio de Janeiro (2022) shows a growing increase, from 2016 to 2020, of militias in the state, as well as the significant permanence of criminal factions in various territories of the city.</w:t>
      </w:r>
    </w:p>
    <w:p w:rsidR="00000000" w:rsidDel="00000000" w:rsidP="00000000" w:rsidRDefault="00000000" w:rsidRPr="00000000" w14:paraId="0000007A">
      <w:pPr>
        <w:spacing w:line="360" w:lineRule="auto"/>
        <w:ind w:firstLine="720"/>
        <w:jc w:val="both"/>
        <w:rPr/>
      </w:pPr>
      <w:r w:rsidDel="00000000" w:rsidR="00000000" w:rsidRPr="00000000">
        <w:rPr>
          <w:rtl w:val="0"/>
        </w:rPr>
      </w:r>
    </w:p>
    <w:p w:rsidR="00000000" w:rsidDel="00000000" w:rsidP="00000000" w:rsidRDefault="00000000" w:rsidRPr="00000000" w14:paraId="0000007B">
      <w:pPr>
        <w:spacing w:line="360" w:lineRule="auto"/>
        <w:jc w:val="both"/>
        <w:rPr>
          <w:highlight w:val="yellow"/>
        </w:rPr>
      </w:pPr>
      <w:r w:rsidDel="00000000" w:rsidR="00000000" w:rsidRPr="00000000">
        <w:rPr>
          <w:rtl w:val="0"/>
        </w:rPr>
        <w:t xml:space="preserve">The dominance of militias and armed groups is a consequence of the lack of implementation of laws and policies to combat organized crime, intensified in the decrees that made the carrying of weapons more flexible for the population, which ends up strengthening these groups. The invasion of indigenous territories in the Amazon, also related to the formation of criminal groups, is another reflection of the interest in the unbridled expansion of agribusiness and illegal mining in the country. These groups act incisively against indigenous populations. It can be said that the pandemic period contributed to the organization of these groups and did not prevent them from expanding their domains. On the contrary, they took advantage of the attention focused on health issues to expand their domains.</w:t>
      </w:r>
      <w:r w:rsidDel="00000000" w:rsidR="00000000" w:rsidRPr="00000000">
        <w:rPr>
          <w:rtl w:val="0"/>
        </w:rPr>
      </w:r>
    </w:p>
    <w:p w:rsidR="00000000" w:rsidDel="00000000" w:rsidP="00000000" w:rsidRDefault="00000000" w:rsidRPr="00000000" w14:paraId="0000007C">
      <w:pPr>
        <w:spacing w:line="360" w:lineRule="auto"/>
        <w:jc w:val="both"/>
        <w:rPr>
          <w:highlight w:val="yellow"/>
        </w:rPr>
      </w:pPr>
      <w:r w:rsidDel="00000000" w:rsidR="00000000" w:rsidRPr="00000000">
        <w:rPr>
          <w:rtl w:val="0"/>
        </w:rPr>
      </w:r>
    </w:p>
    <w:p w:rsidR="00000000" w:rsidDel="00000000" w:rsidP="00000000" w:rsidRDefault="00000000" w:rsidRPr="00000000" w14:paraId="0000007D">
      <w:pPr>
        <w:widowControl w:val="0"/>
        <w:spacing w:before="26.63238525390625" w:line="360" w:lineRule="auto"/>
        <w:ind w:right="22.03369140625"/>
        <w:jc w:val="both"/>
        <w:rPr/>
      </w:pPr>
      <w:r w:rsidDel="00000000" w:rsidR="00000000" w:rsidRPr="00000000">
        <w:rPr>
          <w:rtl w:val="0"/>
        </w:rPr>
        <w:t xml:space="preserve">It is identified, then, that the presence of militias and armed groups in favelas, in addition to the aforementioned public security actions (police incursions) promoted by the state, directly impact the slum LGBTI+ populations. The dominance of these groups, often related to ex-military and ex-police officers, effectively curtails rights in favela territories. In this gradient of social oppression, trans people continue to be the favorite targets of predation by an institutional system that does not recognize them as citizens of law, especially when they are black or brown people, who are so exposed to psychological, gender, sexual and other acts of violence that make them vulnerable and modify their relationship with the territory.</w:t>
      </w:r>
      <w:r w:rsidDel="00000000" w:rsidR="00000000" w:rsidRPr="00000000">
        <w:rPr>
          <w:rtl w:val="0"/>
        </w:rPr>
      </w:r>
    </w:p>
    <w:p w:rsidR="00000000" w:rsidDel="00000000" w:rsidP="00000000" w:rsidRDefault="00000000" w:rsidRPr="00000000" w14:paraId="0000007E">
      <w:pPr>
        <w:spacing w:line="360" w:lineRule="auto"/>
        <w:jc w:val="both"/>
        <w:rPr/>
      </w:pPr>
      <w:r w:rsidDel="00000000" w:rsidR="00000000" w:rsidRPr="00000000">
        <w:rPr>
          <w:rtl w:val="0"/>
        </w:rPr>
      </w:r>
    </w:p>
    <w:p w:rsidR="00000000" w:rsidDel="00000000" w:rsidP="00000000" w:rsidRDefault="00000000" w:rsidRPr="00000000" w14:paraId="0000007F">
      <w:pPr>
        <w:spacing w:line="360" w:lineRule="auto"/>
        <w:jc w:val="both"/>
        <w:rPr/>
      </w:pPr>
      <w:r w:rsidDel="00000000" w:rsidR="00000000" w:rsidRPr="00000000">
        <w:rPr>
          <w:rtl w:val="0"/>
        </w:rPr>
        <w:t xml:space="preserve">Thus, with regard to Article VI, the State Party has not acted effectively to combat racism and the many ways in which racial discrimination manifests itself in its territorial dimension. Here, this is evident by the scarcity of effective security policies for slum populations, as well as the scarcity of violations reporting mechanisms, so that such populations remain deprived of the rights to effective resources against racial discrimination and access to justice.</w:t>
      </w:r>
      <w:r w:rsidDel="00000000" w:rsidR="00000000" w:rsidRPr="00000000">
        <w:br w:type="page"/>
      </w:r>
      <w:r w:rsidDel="00000000" w:rsidR="00000000" w:rsidRPr="00000000">
        <w:rPr>
          <w:rtl w:val="0"/>
        </w:rPr>
      </w:r>
    </w:p>
    <w:p w:rsidR="00000000" w:rsidDel="00000000" w:rsidP="00000000" w:rsidRDefault="00000000" w:rsidRPr="00000000" w14:paraId="00000080">
      <w:pPr>
        <w:spacing w:line="360" w:lineRule="auto"/>
        <w:jc w:val="both"/>
        <w:rPr>
          <w:b w:val="1"/>
        </w:rPr>
      </w:pPr>
      <w:r w:rsidDel="00000000" w:rsidR="00000000" w:rsidRPr="00000000">
        <w:rPr>
          <w:b w:val="1"/>
          <w:rtl w:val="0"/>
        </w:rPr>
        <w:t xml:space="preserve">RECOMMENDATIONS</w:t>
      </w:r>
    </w:p>
    <w:p w:rsidR="00000000" w:rsidDel="00000000" w:rsidP="00000000" w:rsidRDefault="00000000" w:rsidRPr="00000000" w14:paraId="00000081">
      <w:pPr>
        <w:spacing w:line="360" w:lineRule="auto"/>
        <w:jc w:val="both"/>
        <w:rPr>
          <w:b w:val="1"/>
        </w:rPr>
      </w:pPr>
      <w:r w:rsidDel="00000000" w:rsidR="00000000" w:rsidRPr="00000000">
        <w:rPr>
          <w:rtl w:val="0"/>
        </w:rPr>
      </w:r>
    </w:p>
    <w:p w:rsidR="00000000" w:rsidDel="00000000" w:rsidP="00000000" w:rsidRDefault="00000000" w:rsidRPr="00000000" w14:paraId="00000082">
      <w:pPr>
        <w:spacing w:line="360" w:lineRule="auto"/>
        <w:jc w:val="both"/>
        <w:rPr/>
      </w:pPr>
      <w:r w:rsidDel="00000000" w:rsidR="00000000" w:rsidRPr="00000000">
        <w:rPr>
          <w:rtl w:val="0"/>
        </w:rPr>
        <w:t xml:space="preserve">1) Improve access to safe reporting systems of police violence and brutality. Ensure that reporting mechanisms allow for the inclusion of perspectives that consider gender, sexuality, and race identity;</w:t>
      </w:r>
    </w:p>
    <w:p w:rsidR="00000000" w:rsidDel="00000000" w:rsidP="00000000" w:rsidRDefault="00000000" w:rsidRPr="00000000" w14:paraId="00000083">
      <w:pPr>
        <w:spacing w:line="360" w:lineRule="auto"/>
        <w:jc w:val="both"/>
        <w:rPr/>
      </w:pPr>
      <w:r w:rsidDel="00000000" w:rsidR="00000000" w:rsidRPr="00000000">
        <w:rPr>
          <w:rtl w:val="0"/>
        </w:rPr>
      </w:r>
    </w:p>
    <w:p w:rsidR="00000000" w:rsidDel="00000000" w:rsidP="00000000" w:rsidRDefault="00000000" w:rsidRPr="00000000" w14:paraId="00000084">
      <w:pPr>
        <w:spacing w:line="360" w:lineRule="auto"/>
        <w:jc w:val="both"/>
        <w:rPr/>
      </w:pPr>
      <w:r w:rsidDel="00000000" w:rsidR="00000000" w:rsidRPr="00000000">
        <w:rPr>
          <w:rtl w:val="0"/>
        </w:rPr>
        <w:t xml:space="preserve">2) It is necessary to create legal and social mechanisms that allow monitoring of police actions with the aim of mitigating abuse of authority and especially sexual violence committed by agents;</w:t>
      </w:r>
    </w:p>
    <w:p w:rsidR="00000000" w:rsidDel="00000000" w:rsidP="00000000" w:rsidRDefault="00000000" w:rsidRPr="00000000" w14:paraId="00000085">
      <w:pPr>
        <w:spacing w:line="360" w:lineRule="auto"/>
        <w:jc w:val="both"/>
        <w:rPr/>
      </w:pPr>
      <w:r w:rsidDel="00000000" w:rsidR="00000000" w:rsidRPr="00000000">
        <w:rPr>
          <w:rtl w:val="0"/>
        </w:rPr>
      </w:r>
    </w:p>
    <w:p w:rsidR="00000000" w:rsidDel="00000000" w:rsidP="00000000" w:rsidRDefault="00000000" w:rsidRPr="00000000" w14:paraId="00000086">
      <w:pPr>
        <w:spacing w:line="360" w:lineRule="auto"/>
        <w:jc w:val="both"/>
        <w:rPr/>
      </w:pPr>
      <w:r w:rsidDel="00000000" w:rsidR="00000000" w:rsidRPr="00000000">
        <w:rPr>
          <w:highlight w:val="white"/>
          <w:rtl w:val="0"/>
        </w:rPr>
        <w:t xml:space="preserve">3) Prohibit presence and action by police during school hours and promote efforts to build spaces for culture, art, leisure, and education in favelas with a view to strengthening education through diversity and reducing social inequalities based on gender and sexuality principles.</w:t>
      </w:r>
      <w:r w:rsidDel="00000000" w:rsidR="00000000" w:rsidRPr="00000000">
        <w:rPr>
          <w:rtl w:val="0"/>
        </w:rPr>
      </w:r>
    </w:p>
    <w:p w:rsidR="00000000" w:rsidDel="00000000" w:rsidP="00000000" w:rsidRDefault="00000000" w:rsidRPr="00000000" w14:paraId="00000087">
      <w:pPr>
        <w:spacing w:line="360" w:lineRule="auto"/>
        <w:jc w:val="both"/>
        <w:rPr/>
      </w:pPr>
      <w:r w:rsidDel="00000000" w:rsidR="00000000" w:rsidRPr="00000000">
        <w:rPr>
          <w:rtl w:val="0"/>
        </w:rPr>
      </w:r>
    </w:p>
    <w:p w:rsidR="00000000" w:rsidDel="00000000" w:rsidP="00000000" w:rsidRDefault="00000000" w:rsidRPr="00000000" w14:paraId="00000088">
      <w:pPr>
        <w:spacing w:line="360" w:lineRule="auto"/>
        <w:jc w:val="both"/>
        <w:rPr/>
      </w:pPr>
      <w:r w:rsidDel="00000000" w:rsidR="00000000" w:rsidRPr="00000000">
        <w:rPr>
          <w:rtl w:val="0"/>
        </w:rPr>
        <w:t xml:space="preserve">4) Black LGBTI+ persons who face police brutality must have access to justice and redress, as well as easier access to psychological treatment;</w:t>
      </w:r>
    </w:p>
    <w:p w:rsidR="00000000" w:rsidDel="00000000" w:rsidP="00000000" w:rsidRDefault="00000000" w:rsidRPr="00000000" w14:paraId="00000089">
      <w:pPr>
        <w:spacing w:line="360" w:lineRule="auto"/>
        <w:jc w:val="both"/>
        <w:rPr/>
      </w:pPr>
      <w:r w:rsidDel="00000000" w:rsidR="00000000" w:rsidRPr="00000000">
        <w:rPr>
          <w:rtl w:val="0"/>
        </w:rPr>
      </w:r>
    </w:p>
    <w:p w:rsidR="00000000" w:rsidDel="00000000" w:rsidP="00000000" w:rsidRDefault="00000000" w:rsidRPr="00000000" w14:paraId="0000008A">
      <w:pPr>
        <w:spacing w:line="360" w:lineRule="auto"/>
        <w:jc w:val="both"/>
        <w:rPr/>
      </w:pPr>
      <w:r w:rsidDel="00000000" w:rsidR="00000000" w:rsidRPr="00000000">
        <w:rPr>
          <w:highlight w:val="white"/>
          <w:rtl w:val="0"/>
        </w:rPr>
        <w:t xml:space="preserve">5) Ensure and implement policies for inclusive education, consistent with the parameters of the National Education Plan 2014-2024, taking as an ethical principle the promotion of sexual and gender diversity for Black people and considering the historical asymmetries that fall on favela territories;</w:t>
      </w:r>
      <w:r w:rsidDel="00000000" w:rsidR="00000000" w:rsidRPr="00000000">
        <w:rPr>
          <w:rtl w:val="0"/>
        </w:rPr>
      </w:r>
    </w:p>
    <w:p w:rsidR="00000000" w:rsidDel="00000000" w:rsidP="00000000" w:rsidRDefault="00000000" w:rsidRPr="00000000" w14:paraId="0000008B">
      <w:pPr>
        <w:spacing w:line="360" w:lineRule="auto"/>
        <w:ind w:left="720" w:firstLine="0"/>
        <w:jc w:val="both"/>
        <w:rPr/>
      </w:pPr>
      <w:r w:rsidDel="00000000" w:rsidR="00000000" w:rsidRPr="00000000">
        <w:rPr>
          <w:rtl w:val="0"/>
        </w:rPr>
      </w:r>
    </w:p>
    <w:p w:rsidR="00000000" w:rsidDel="00000000" w:rsidP="00000000" w:rsidRDefault="00000000" w:rsidRPr="00000000" w14:paraId="0000008C">
      <w:pPr>
        <w:spacing w:line="360" w:lineRule="auto"/>
        <w:jc w:val="both"/>
        <w:rPr/>
      </w:pPr>
      <w:r w:rsidDel="00000000" w:rsidR="00000000" w:rsidRPr="00000000">
        <w:rPr>
          <w:rtl w:val="0"/>
        </w:rPr>
        <w:t xml:space="preserve">6) It is recommended to adopt measures to collect data and specific information on the quality, protection, and social participation of LGBTI+ people, taking into account criteria such as race, class, gender, and territory, in order to build public policies more effective;</w:t>
      </w:r>
    </w:p>
    <w:p w:rsidR="00000000" w:rsidDel="00000000" w:rsidP="00000000" w:rsidRDefault="00000000" w:rsidRPr="00000000" w14:paraId="0000008D">
      <w:pPr>
        <w:spacing w:line="360" w:lineRule="auto"/>
        <w:ind w:left="720" w:firstLine="0"/>
        <w:jc w:val="both"/>
        <w:rPr/>
      </w:pPr>
      <w:r w:rsidDel="00000000" w:rsidR="00000000" w:rsidRPr="00000000">
        <w:rPr>
          <w:rtl w:val="0"/>
        </w:rPr>
      </w:r>
    </w:p>
    <w:p w:rsidR="00000000" w:rsidDel="00000000" w:rsidP="00000000" w:rsidRDefault="00000000" w:rsidRPr="00000000" w14:paraId="0000008E">
      <w:pPr>
        <w:spacing w:line="360" w:lineRule="auto"/>
        <w:jc w:val="both"/>
        <w:rPr/>
      </w:pPr>
      <w:r w:rsidDel="00000000" w:rsidR="00000000" w:rsidRPr="00000000">
        <w:rPr>
          <w:rtl w:val="0"/>
        </w:rPr>
        <w:t xml:space="preserve">7) Access and continuity of actions for the LGBTI+ population offered in health services in favela territories (such as reception groups, hormone treatment, training, and actions to promote rights) through programs, guidelines, guidelines, and lines of financing;</w:t>
      </w:r>
    </w:p>
    <w:p w:rsidR="00000000" w:rsidDel="00000000" w:rsidP="00000000" w:rsidRDefault="00000000" w:rsidRPr="00000000" w14:paraId="0000008F">
      <w:pPr>
        <w:spacing w:line="360" w:lineRule="auto"/>
        <w:ind w:left="720" w:firstLine="0"/>
        <w:jc w:val="both"/>
        <w:rPr/>
      </w:pPr>
      <w:r w:rsidDel="00000000" w:rsidR="00000000" w:rsidRPr="00000000">
        <w:rPr>
          <w:rtl w:val="0"/>
        </w:rPr>
      </w:r>
    </w:p>
    <w:p w:rsidR="00000000" w:rsidDel="00000000" w:rsidP="00000000" w:rsidRDefault="00000000" w:rsidRPr="00000000" w14:paraId="00000090">
      <w:pPr>
        <w:spacing w:line="360" w:lineRule="auto"/>
        <w:jc w:val="both"/>
        <w:rPr/>
      </w:pPr>
      <w:r w:rsidDel="00000000" w:rsidR="00000000" w:rsidRPr="00000000">
        <w:rPr>
          <w:rtl w:val="0"/>
        </w:rPr>
        <w:t xml:space="preserve">8) We recommend the implementation and financing of professional training projects and insertion in the job market for the LGBTI+ population of favelas and the promotion of universities and federal institutes for the development of local actions;</w:t>
      </w:r>
    </w:p>
    <w:p w:rsidR="00000000" w:rsidDel="00000000" w:rsidP="00000000" w:rsidRDefault="00000000" w:rsidRPr="00000000" w14:paraId="00000091">
      <w:pPr>
        <w:spacing w:line="360" w:lineRule="auto"/>
        <w:ind w:left="720" w:firstLine="0"/>
        <w:jc w:val="both"/>
        <w:rPr/>
      </w:pPr>
      <w:r w:rsidDel="00000000" w:rsidR="00000000" w:rsidRPr="00000000">
        <w:rPr>
          <w:rtl w:val="0"/>
        </w:rPr>
      </w:r>
    </w:p>
    <w:p w:rsidR="00000000" w:rsidDel="00000000" w:rsidP="00000000" w:rsidRDefault="00000000" w:rsidRPr="00000000" w14:paraId="00000092">
      <w:pPr>
        <w:spacing w:line="360" w:lineRule="auto"/>
        <w:jc w:val="both"/>
        <w:rPr>
          <w:highlight w:val="white"/>
        </w:rPr>
      </w:pPr>
      <w:r w:rsidDel="00000000" w:rsidR="00000000" w:rsidRPr="00000000">
        <w:rPr>
          <w:rtl w:val="0"/>
        </w:rPr>
        <w:t xml:space="preserve">9) It should be </w:t>
      </w:r>
      <w:r w:rsidDel="00000000" w:rsidR="00000000" w:rsidRPr="00000000">
        <w:rPr>
          <w:highlight w:val="white"/>
          <w:rtl w:val="0"/>
        </w:rPr>
        <w:t xml:space="preserve">abolished the militarization of the police as a public security policy tool, building a stronger civil and citizen police committed to the application of the Constitution and the protection of life;</w:t>
      </w:r>
    </w:p>
    <w:p w:rsidR="00000000" w:rsidDel="00000000" w:rsidP="00000000" w:rsidRDefault="00000000" w:rsidRPr="00000000" w14:paraId="00000093">
      <w:pPr>
        <w:spacing w:line="360" w:lineRule="auto"/>
        <w:ind w:left="720" w:firstLine="0"/>
        <w:jc w:val="both"/>
        <w:rPr>
          <w:highlight w:val="white"/>
        </w:rPr>
      </w:pPr>
      <w:r w:rsidDel="00000000" w:rsidR="00000000" w:rsidRPr="00000000">
        <w:rPr>
          <w:rtl w:val="0"/>
        </w:rPr>
      </w:r>
    </w:p>
    <w:p w:rsidR="00000000" w:rsidDel="00000000" w:rsidP="00000000" w:rsidRDefault="00000000" w:rsidRPr="00000000" w14:paraId="00000094">
      <w:pPr>
        <w:spacing w:line="360" w:lineRule="auto"/>
        <w:jc w:val="both"/>
        <w:rPr>
          <w:highlight w:val="white"/>
        </w:rPr>
      </w:pPr>
      <w:r w:rsidDel="00000000" w:rsidR="00000000" w:rsidRPr="00000000">
        <w:rPr>
          <w:rtl w:val="0"/>
        </w:rPr>
        <w:t xml:space="preserve">10) Affirmative actions should be created for the black and brown LGBTI+ population's access to housing policies.</w:t>
      </w:r>
      <w:r w:rsidDel="00000000" w:rsidR="00000000" w:rsidRPr="00000000">
        <w:rPr>
          <w:rtl w:val="0"/>
        </w:rPr>
      </w:r>
    </w:p>
    <w:p w:rsidR="00000000" w:rsidDel="00000000" w:rsidP="00000000" w:rsidRDefault="00000000" w:rsidRPr="00000000" w14:paraId="00000095">
      <w:pPr>
        <w:spacing w:line="360" w:lineRule="auto"/>
        <w:jc w:val="both"/>
        <w:rPr>
          <w:highlight w:val="white"/>
        </w:rPr>
      </w:pPr>
      <w:r w:rsidDel="00000000" w:rsidR="00000000" w:rsidRPr="00000000">
        <w:rPr>
          <w:rtl w:val="0"/>
        </w:rPr>
      </w:r>
    </w:p>
    <w:p w:rsidR="00000000" w:rsidDel="00000000" w:rsidP="00000000" w:rsidRDefault="00000000" w:rsidRPr="00000000" w14:paraId="00000096">
      <w:pPr>
        <w:spacing w:line="360" w:lineRule="auto"/>
        <w:jc w:val="both"/>
        <w:rPr>
          <w:highlight w:val="white"/>
        </w:rPr>
      </w:pPr>
      <w:r w:rsidDel="00000000" w:rsidR="00000000" w:rsidRPr="00000000">
        <w:rPr>
          <w:rtl w:val="0"/>
        </w:rPr>
      </w:r>
    </w:p>
    <w:p w:rsidR="00000000" w:rsidDel="00000000" w:rsidP="00000000" w:rsidRDefault="00000000" w:rsidRPr="00000000" w14:paraId="00000097">
      <w:pPr>
        <w:spacing w:line="360" w:lineRule="auto"/>
        <w:jc w:val="both"/>
        <w:rPr>
          <w:highlight w:val="white"/>
        </w:rPr>
      </w:pPr>
      <w:r w:rsidDel="00000000" w:rsidR="00000000" w:rsidRPr="00000000">
        <w:rPr>
          <w:rtl w:val="0"/>
        </w:rPr>
      </w:r>
    </w:p>
    <w:sectPr>
      <w:headerReference r:id="rId8" w:type="default"/>
      <w:headerReference r:id="rId9" w:type="first"/>
      <w:footerReference r:id="rId10"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2">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Idem.</w:t>
      </w:r>
    </w:p>
  </w:footnote>
  <w:footnote w:id="3">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Idem.</w:t>
      </w:r>
    </w:p>
  </w:footnote>
  <w:footnote w:id="4">
    <w:p w:rsidR="00000000" w:rsidDel="00000000" w:rsidP="00000000" w:rsidRDefault="00000000" w:rsidRPr="00000000" w14:paraId="0000009A">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INSTITUTO FOGO CRUZADO. Relatório Anual 2021: Região Metropolitana do Rio de Janeiro. Rio de Janeiro, 2021. Disponível em: https://drive.google.com/file/d/1gyizjq_XFEc2ViMZOFDAp_NEWVDZIVfa/view.</w:t>
      </w:r>
    </w:p>
  </w:footnote>
  <w:footnote w:id="6">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Idem.</w:t>
      </w:r>
    </w:p>
  </w:footnote>
  <w:footnote w:id="7">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Idem.</w:t>
      </w:r>
    </w:p>
  </w:footnote>
  <w:footnote w:id="10">
    <w:p w:rsidR="00000000" w:rsidDel="00000000" w:rsidP="00000000" w:rsidRDefault="00000000" w:rsidRPr="00000000" w14:paraId="0000009D">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BRAZIL. DECREE No. 3689, OF OCTOBER 03, 1941. Search and seizure, Brasília, DF, Oct 1941. Available at: &lt;http://www.planalto.gov.br/ccivil_03/decreto-lei/del3689.htm&gt; .</w:t>
      </w:r>
    </w:p>
  </w:footnote>
  <w:footnote w:id="11">
    <w:p w:rsidR="00000000" w:rsidDel="00000000" w:rsidP="00000000" w:rsidRDefault="00000000" w:rsidRPr="00000000" w14:paraId="0000009E">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first paragraph of Article 25 of the UDHR states that: “Everyone has the right to a standard of living adequate for the health and well-being of himself and of his family, including food, clothing, housing, medical care and necessary social services. , and the right to security in the event of unemployment, illness, disability, widowhood, old age or other loss of livelihoods beyond their control”.</w:t>
      </w:r>
    </w:p>
  </w:footnote>
  <w:footnote w:id="13">
    <w:p w:rsidR="00000000" w:rsidDel="00000000" w:rsidP="00000000" w:rsidRDefault="00000000" w:rsidRPr="00000000" w14:paraId="0000009F">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Public health system in force in the State Party.</w:t>
      </w:r>
    </w:p>
  </w:footnote>
  <w:footnote w:id="5">
    <w:p w:rsidR="00000000" w:rsidDel="00000000" w:rsidP="00000000" w:rsidRDefault="00000000" w:rsidRPr="00000000" w14:paraId="000000A3">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REDE DE OBSERVATÓRIOS DA SEGURANÇA. ADPF 635: uma dose de reforço necessária. Rio de Janeiro, 2022. Disponível em: http://observatorioseguranca.com.br/adpf-635-uma-dose-de-reforco-necessaria/.</w:t>
      </w:r>
    </w:p>
  </w:footnote>
  <w:footnote w:id="0">
    <w:p w:rsidR="00000000" w:rsidDel="00000000" w:rsidP="00000000" w:rsidRDefault="00000000" w:rsidRPr="00000000" w14:paraId="000000A4">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Among the survey participants throughout 2022 (111 responses so far), 77% of people identify as black or brown; 21% identify as white; 2% identify as indigenous; and there is 1% without information. When observing sexual orientation, 34% identify as heterosexual (trans heterosexual people); 23% as gay; 19% as bisexual; 13% as a lesbian; 4% as homosexual; 4% as pansexual; 2% stated that they do not identify with any of the options; 1% as asexual; 1% without information. When gender identity markers are observed, 34%, identify as trans women; 22% cisgender man; 21% cisgender woman; 14% travesti (somewhat similar to “transvestite”); 5% trans man; 5% non-binary people.</w:t>
      </w:r>
      <w:r w:rsidDel="00000000" w:rsidR="00000000" w:rsidRPr="00000000">
        <w:rPr>
          <w:rtl w:val="0"/>
        </w:rPr>
      </w:r>
    </w:p>
  </w:footnote>
  <w:footnote w:id="14">
    <w:p w:rsidR="00000000" w:rsidDel="00000000" w:rsidP="00000000" w:rsidRDefault="00000000" w:rsidRPr="00000000" w14:paraId="000000A5">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Available in: </w:t>
      </w:r>
      <w:r w:rsidDel="00000000" w:rsidR="00000000" w:rsidRPr="00000000">
        <w:rPr>
          <w:sz w:val="20"/>
          <w:szCs w:val="20"/>
          <w:highlight w:val="white"/>
          <w:rtl w:val="0"/>
        </w:rPr>
        <w:t xml:space="preserve">https://www.cnnbrasil.com.br/nacional/cerca-de-8-da-populacao-brasileira-mora-em-favelas-diz-instituto-locomotiva/</w:t>
      </w:r>
      <w:r w:rsidDel="00000000" w:rsidR="00000000" w:rsidRPr="00000000">
        <w:rPr>
          <w:sz w:val="20"/>
          <w:szCs w:val="20"/>
          <w:rtl w:val="0"/>
        </w:rPr>
        <w:t xml:space="preserve">.</w:t>
      </w:r>
    </w:p>
  </w:footnote>
  <w:footnote w:id="1">
    <w:p w:rsidR="00000000" w:rsidDel="00000000" w:rsidP="00000000" w:rsidRDefault="00000000" w:rsidRPr="00000000" w14:paraId="000000A6">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BRASIL. Supremo Tribunal Federal. Arguição de Descumprimento de Preceito Fundamental nº 635/RJ – Rio de Janeiro. Relator: Ministro Edson Fachin. Disponível em: https://redir.stf.jus.br/paginadorpub/paginador.jsp?docTP=TP&amp;amp;docID=754312998&amp;amp;prcID=5816502.</w:t>
      </w:r>
    </w:p>
  </w:footnote>
  <w:footnote w:id="8">
    <w:p w:rsidR="00000000" w:rsidDel="00000000" w:rsidP="00000000" w:rsidRDefault="00000000" w:rsidRPr="00000000" w14:paraId="000000A7">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TIDE NETWORKS. Bulletin: Right to public safety in Maré. 6th Edition. Rio de Janeiro, 2021. Available at: https://www.redesdamare.org.br/media/downloads/arquivos/seguranca-publica-mare-2022.pdf.</w:t>
      </w:r>
    </w:p>
  </w:footnote>
  <w:footnote w:id="9">
    <w:p w:rsidR="00000000" w:rsidDel="00000000" w:rsidP="00000000" w:rsidRDefault="00000000" w:rsidRPr="00000000" w14:paraId="000000A8">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Idem.</w:t>
      </w:r>
    </w:p>
  </w:footnote>
  <w:footnote w:id="12">
    <w:p w:rsidR="00000000" w:rsidDel="00000000" w:rsidP="00000000" w:rsidRDefault="00000000" w:rsidRPr="00000000" w14:paraId="000000A9">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14 days with full closing of the units. 8 days with partial closing of the units and 16 days with the suspension of external activities. (REDES DA MARÉ, 2021) Available at: https://www.redesdamare.org.br/br/publicacoes?download_tipo_id=7.</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0">
    <w:pPr>
      <w:widowControl w:val="0"/>
      <w:spacing w:line="213" w:lineRule="auto"/>
      <w:ind w:right="-40"/>
      <w:jc w:val="center"/>
      <w:rPr/>
    </w:pPr>
    <w:r w:rsidDel="00000000" w:rsidR="00000000" w:rsidRPr="00000000">
      <w:rPr/>
      <w:drawing>
        <wp:inline distB="19050" distT="19050" distL="19050" distR="19050">
          <wp:extent cx="3211350" cy="1063588"/>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211350" cy="1063588"/>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00"/>
      <w:outlineLvl w:val="0"/>
    </w:pPr>
    <w:rPr>
      <w:sz w:val="40"/>
      <w:szCs w:val="40"/>
    </w:rPr>
  </w:style>
  <w:style w:type="paragraph" w:styleId="Ttulo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Ttulo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Ttulo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Ttulo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Ttulo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60"/>
    </w:pPr>
    <w:rPr>
      <w:sz w:val="52"/>
      <w:szCs w:val="52"/>
    </w:rPr>
  </w:style>
  <w:style w:type="paragraph" w:styleId="Subttulo">
    <w:name w:val="Subtitle"/>
    <w:basedOn w:val="Normal"/>
    <w:next w:val="Normal"/>
    <w:uiPriority w:val="11"/>
    <w:qFormat w:val="1"/>
    <w:pPr>
      <w:keepNext w:val="1"/>
      <w:keepLines w:val="1"/>
      <w:spacing w:after="320"/>
    </w:pPr>
    <w:rPr>
      <w:color w:val="666666"/>
      <w:sz w:val="30"/>
      <w:szCs w:val="30"/>
    </w:rPr>
  </w:style>
  <w:style w:type="paragraph" w:styleId="Textodenotaderodap">
    <w:name w:val="footnote text"/>
    <w:basedOn w:val="Normal"/>
    <w:link w:val="TextodenotaderodapChar"/>
    <w:uiPriority w:val="99"/>
    <w:semiHidden w:val="1"/>
    <w:unhideWhenUsed w:val="1"/>
    <w:rsid w:val="00651FB7"/>
    <w:pPr>
      <w:spacing w:line="240" w:lineRule="auto"/>
    </w:pPr>
    <w:rPr>
      <w:sz w:val="20"/>
      <w:szCs w:val="20"/>
    </w:rPr>
  </w:style>
  <w:style w:type="character" w:styleId="TextodenotaderodapChar" w:customStyle="1">
    <w:name w:val="Texto de nota de rodapé Char"/>
    <w:basedOn w:val="Fontepargpadro"/>
    <w:link w:val="Textodenotaderodap"/>
    <w:uiPriority w:val="99"/>
    <w:semiHidden w:val="1"/>
    <w:rsid w:val="00651FB7"/>
    <w:rPr>
      <w:sz w:val="20"/>
      <w:szCs w:val="20"/>
    </w:rPr>
  </w:style>
  <w:style w:type="character" w:styleId="Refdenotaderodap">
    <w:name w:val="footnote reference"/>
    <w:basedOn w:val="Fontepargpadro"/>
    <w:uiPriority w:val="99"/>
    <w:semiHidden w:val="1"/>
    <w:unhideWhenUsed w:val="1"/>
    <w:rsid w:val="00651FB7"/>
    <w:rPr>
      <w:vertAlign w:val="superscript"/>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4.xml"/><Relationship Id="rId3" Type="http://schemas.openxmlformats.org/officeDocument/2006/relationships/fontTable" Target="fontTable.xml"/><Relationship Id="rId7" Type="http://schemas.openxmlformats.org/officeDocument/2006/relationships/customXml" Target="../customXML/item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2.xml"/><Relationship Id="rId5" Type="http://schemas.openxmlformats.org/officeDocument/2006/relationships/numbering" Target="numbering.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VORHEQcnHMyi+26ZzPuDIzeqeQ==">AMUW2mVplrIw9234F2epkUj0GgOw00XwYpO793F3FxOIb0ividJORpiP66ARph43ajInWEy/DM2N+hwQTmH1wUyDrkkVToZsw/8WK/5vIHzaaF8UOV4Eu+Y=</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2C4F235-E5A0-4F7E-B749-3FE961024B33}"/>
</file>

<file path=customXML/itemProps3.xml><?xml version="1.0" encoding="utf-8"?>
<ds:datastoreItem xmlns:ds="http://schemas.openxmlformats.org/officeDocument/2006/customXml" ds:itemID="{8540E534-59B6-4B4C-A452-9D06AA340280}"/>
</file>

<file path=customXML/itemProps4.xml><?xml version="1.0" encoding="utf-8"?>
<ds:datastoreItem xmlns:ds="http://schemas.openxmlformats.org/officeDocument/2006/customXml" ds:itemID="{27638090-F33D-4C88-9F06-517D2232D963}"/>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2022-10-23T17:31:00Z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