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02">
      <w:pPr>
        <w:pStyle w:val="Heading1"/>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Addressing Socio-Economic Rights Violations and Systemic Discrimination Against LGBTIQ+ Individuals in Kenya: A Submission to the Committee on Economic, Social, and Cultural Rights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pStyle w:val="Heading1"/>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Joint Submission Prepared by Key Populations and SOGIESC groups in Kenya</w:t>
      </w:r>
      <w:r w:rsidDel="00000000" w:rsidR="00000000" w:rsidRPr="00000000">
        <w:rPr>
          <w:rtl w:val="0"/>
        </w:rPr>
      </w:r>
    </w:p>
    <w:p w:rsidR="00000000" w:rsidDel="00000000" w:rsidP="00000000" w:rsidRDefault="00000000" w:rsidRPr="00000000" w14:paraId="00000015">
      <w:pPr>
        <w:widowControl w:val="0"/>
        <w:spacing w:after="40" w:before="40" w:line="240" w:lineRule="auto"/>
        <w:jc w:val="center"/>
        <w:rPr>
          <w:rFonts w:ascii="Times New Roman" w:cs="Times New Roman" w:eastAsia="Times New Roman" w:hAnsi="Times New Roman"/>
          <w:b w:val="1"/>
          <w:color w:val="4f81bd"/>
          <w:sz w:val="32"/>
          <w:szCs w:val="32"/>
        </w:rPr>
      </w:pPr>
      <w:r w:rsidDel="00000000" w:rsidR="00000000" w:rsidRPr="00000000">
        <w:rPr>
          <w:rFonts w:ascii="Times New Roman" w:cs="Times New Roman" w:eastAsia="Times New Roman" w:hAnsi="Times New Roman"/>
          <w:b w:val="1"/>
          <w:sz w:val="32"/>
          <w:szCs w:val="32"/>
          <w:rtl w:val="0"/>
        </w:rPr>
        <w:t xml:space="preserve">Date Submitted: 13th January 2024</w:t>
      </w:r>
      <w:r w:rsidDel="00000000" w:rsidR="00000000" w:rsidRPr="00000000">
        <w:rPr>
          <w:rtl w:val="0"/>
        </w:rPr>
      </w:r>
    </w:p>
    <w:p w:rsidR="00000000" w:rsidDel="00000000" w:rsidP="00000000" w:rsidRDefault="00000000" w:rsidRPr="00000000" w14:paraId="00000016">
      <w:pPr>
        <w:widowControl w:val="0"/>
        <w:spacing w:after="40" w:before="40" w:line="240" w:lineRule="auto"/>
        <w:jc w:val="center"/>
        <w:rPr>
          <w:rFonts w:ascii="Cambria" w:cs="Cambria" w:eastAsia="Cambria" w:hAnsi="Cambria"/>
          <w:b w:val="1"/>
          <w:color w:val="4bacc6"/>
          <w:sz w:val="24"/>
          <w:szCs w:val="24"/>
        </w:rPr>
      </w:pPr>
      <w:r w:rsidDel="00000000" w:rsidR="00000000" w:rsidRPr="00000000">
        <w:rPr>
          <w:rtl w:val="0"/>
        </w:rPr>
      </w:r>
    </w:p>
    <w:p w:rsidR="00000000" w:rsidDel="00000000" w:rsidP="00000000" w:rsidRDefault="00000000" w:rsidRPr="00000000" w14:paraId="00000017">
      <w:pPr>
        <w:pStyle w:val="Heading1"/>
        <w:rPr/>
      </w:pPr>
      <w:r w:rsidDel="00000000" w:rsidR="00000000" w:rsidRPr="00000000">
        <w:rPr>
          <w:rtl w:val="0"/>
        </w:rPr>
        <w:t xml:space="preserve">Abo</w:t>
      </w:r>
      <w:r w:rsidDel="00000000" w:rsidR="00000000" w:rsidRPr="00000000">
        <w:rPr>
          <w:rtl w:val="0"/>
        </w:rPr>
        <w:t xml:space="preserve">ut us</w:t>
        <w:tab/>
      </w:r>
    </w:p>
    <w:p w:rsidR="00000000" w:rsidDel="00000000" w:rsidP="00000000" w:rsidRDefault="00000000" w:rsidRPr="00000000" w14:paraId="00000018">
      <w:pPr>
        <w:tabs>
          <w:tab w:val="center" w:leader="none" w:pos="4680"/>
        </w:tabs>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(5) premier SOGIESC and Key population human rights organisations in Kenya.  have drafted and submitted this report. They include:</w:t>
      </w:r>
    </w:p>
    <w:p w:rsidR="00000000" w:rsidDel="00000000" w:rsidP="00000000" w:rsidRDefault="00000000" w:rsidRPr="00000000" w14:paraId="00000019">
      <w:pPr>
        <w:numPr>
          <w:ilvl w:val="0"/>
          <w:numId w:val="1"/>
        </w:numPr>
        <w:tabs>
          <w:tab w:val="center" w:leader="none" w:pos="4680"/>
        </w:tabs>
        <w:spacing w:after="0" w:line="24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galck+</w:t>
      </w:r>
    </w:p>
    <w:p w:rsidR="00000000" w:rsidDel="00000000" w:rsidP="00000000" w:rsidRDefault="00000000" w:rsidRPr="00000000" w14:paraId="0000001A">
      <w:pPr>
        <w:tabs>
          <w:tab w:val="center" w:leader="none" w:pos="4680"/>
        </w:tabs>
        <w:spacing w:after="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galck+ is the national umbrella body for 18 LGBTQ+-led organizations working to advance the health and human rights of lesbian, gay, bisexual, transgender, gender non-conforming and queer people in Kenya. We are a representation and celebration of the Kenyan LGBTQ+ community. Our work has so far inspired cohesion amongst people who appreciate diversity and recognize that everyone has a right to equal opportunities irrespective of their real or perceived sexual orientation, gender and expression. </w:t>
      </w:r>
    </w:p>
    <w:p w:rsidR="00000000" w:rsidDel="00000000" w:rsidP="00000000" w:rsidRDefault="00000000" w:rsidRPr="00000000" w14:paraId="0000001B">
      <w:pPr>
        <w:tabs>
          <w:tab w:val="center" w:leader="none" w:pos="4680"/>
        </w:tabs>
        <w:spacing w:after="0"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numPr>
          <w:ilvl w:val="0"/>
          <w:numId w:val="1"/>
        </w:numPr>
        <w:tabs>
          <w:tab w:val="center" w:leader="none" w:pos="4680"/>
        </w:tabs>
        <w:spacing w:after="0" w:line="24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WorldPost Changers Network</w:t>
      </w:r>
    </w:p>
    <w:p w:rsidR="00000000" w:rsidDel="00000000" w:rsidP="00000000" w:rsidRDefault="00000000" w:rsidRPr="00000000" w14:paraId="0000001D">
      <w:pPr>
        <w:tabs>
          <w:tab w:val="center" w:leader="none" w:pos="4680"/>
        </w:tabs>
        <w:spacing w:after="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 Post Changers Network (WPCN) is a gender &amp; distinct sexual orientation network, formed by multicultural and multi-distinct women, sexuality, expression and gender identity in 2011. Legally registered as a community-based organization, WPCN's mission is to create spaces and advocate access to quality services, justice and meaningful involvement. We envision a safe society. Our strength is responding to safety and security and strengthening the legal system. We are committed to our mission: to transform the community to an understanding and acceptance of the degree of distinct sexuality hence creating meaningful involvement in decision-making, policy-making, planning, and programming. WPCN will create spaces and advocate access to quality services, justice, and meaningful involvement. The call is to create meaningful involvement through the participation and contribution of minorities through distinct interventions that focus on; human rights-based approaches and justice, the right to health, good governance, inclusion, climate change, education, and enterprise’s social welfare.</w:t>
      </w:r>
    </w:p>
    <w:p w:rsidR="00000000" w:rsidDel="00000000" w:rsidP="00000000" w:rsidRDefault="00000000" w:rsidRPr="00000000" w14:paraId="0000001E">
      <w:pPr>
        <w:tabs>
          <w:tab w:val="center" w:leader="none" w:pos="4680"/>
        </w:tabs>
        <w:spacing w:after="0"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numPr>
          <w:ilvl w:val="0"/>
          <w:numId w:val="1"/>
        </w:numPr>
        <w:tabs>
          <w:tab w:val="center" w:leader="none" w:pos="4680"/>
        </w:tabs>
        <w:spacing w:after="0" w:line="24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Youth for Change Network</w:t>
      </w:r>
    </w:p>
    <w:p w:rsidR="00000000" w:rsidDel="00000000" w:rsidP="00000000" w:rsidRDefault="00000000" w:rsidRPr="00000000" w14:paraId="00000020">
      <w:pPr>
        <w:tabs>
          <w:tab w:val="center" w:leader="none" w:pos="4680"/>
        </w:tabs>
        <w:spacing w:after="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Youth for Change Network (YCN) is a feminist-led grassroots organization based in Nakuru County, Kenya. Founded in 2021, YCN strives to empower womxn, especially those from marginalized communities, by advocating for gender equality and promoting their rights in various sectors, including sports, health, and economic development. The organization focuses on creating inclusive spaces for womxn and LBQI GNC individuals, offering programs on sexual and reproductive health, mental health, financial literacy, and leadership. YCN works to break down barriers, amplify voices, and ensure the well-being and prosperity of women in their diversity.</w:t>
      </w:r>
    </w:p>
    <w:p w:rsidR="00000000" w:rsidDel="00000000" w:rsidP="00000000" w:rsidRDefault="00000000" w:rsidRPr="00000000" w14:paraId="00000021">
      <w:pPr>
        <w:tabs>
          <w:tab w:val="center" w:leader="none" w:pos="4680"/>
        </w:tabs>
        <w:spacing w:after="0"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numPr>
          <w:ilvl w:val="0"/>
          <w:numId w:val="1"/>
        </w:numPr>
        <w:tabs>
          <w:tab w:val="center" w:leader="none" w:pos="4680"/>
        </w:tabs>
        <w:spacing w:after="0" w:line="24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Queer Kenya</w:t>
      </w:r>
    </w:p>
    <w:p w:rsidR="00000000" w:rsidDel="00000000" w:rsidP="00000000" w:rsidRDefault="00000000" w:rsidRPr="00000000" w14:paraId="00000023">
      <w:pPr>
        <w:tabs>
          <w:tab w:val="center" w:leader="none" w:pos="4680"/>
        </w:tabs>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Central to our mission is the principle of intersectionality, which recognizes the interconnectedness of LGBTQ+ rights with other social justice movements, including feminism, racial justice, and mental health advocacy. By embracing diversity and amplifying marginalized voices, we strive to build solidarity and foster meaningful collaborations that uplift and empower all members of our community.</w:t>
      </w:r>
    </w:p>
    <w:p w:rsidR="00000000" w:rsidDel="00000000" w:rsidP="00000000" w:rsidRDefault="00000000" w:rsidRPr="00000000" w14:paraId="00000024">
      <w:pPr>
        <w:tabs>
          <w:tab w:val="center" w:leader="none" w:pos="4680"/>
        </w:tabs>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numPr>
          <w:ilvl w:val="0"/>
          <w:numId w:val="1"/>
        </w:numPr>
        <w:tabs>
          <w:tab w:val="center" w:leader="none" w:pos="4680"/>
        </w:tabs>
        <w:spacing w:after="0" w:line="240" w:lineRule="auto"/>
        <w:ind w:left="720" w:hanging="360"/>
        <w:jc w:val="both"/>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Lake Region Womxn Health and Equal Rights (LARWHER)</w:t>
      </w:r>
    </w:p>
    <w:p w:rsidR="00000000" w:rsidDel="00000000" w:rsidP="00000000" w:rsidRDefault="00000000" w:rsidRPr="00000000" w14:paraId="00000026">
      <w:pPr>
        <w:tabs>
          <w:tab w:val="center" w:leader="none" w:pos="4680"/>
        </w:tabs>
        <w:spacing w:after="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LARWHER provides accessible comprehensive healthcare services inclusive of SRHR commodities, HIV/Aids services, lab testing, STI screening, and counselling for LBQ Womxn in Western Kenya</w:t>
      </w:r>
    </w:p>
    <w:p w:rsidR="00000000" w:rsidDel="00000000" w:rsidP="00000000" w:rsidRDefault="00000000" w:rsidRPr="00000000" w14:paraId="00000027">
      <w:pPr>
        <w:tabs>
          <w:tab w:val="center" w:leader="none" w:pos="4680"/>
        </w:tabs>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pStyle w:val="Heading1"/>
        <w:rPr/>
      </w:pPr>
      <w:r w:rsidDel="00000000" w:rsidR="00000000" w:rsidRPr="00000000">
        <w:rPr>
          <w:rtl w:val="0"/>
        </w:rPr>
        <w:t xml:space="preserve">Introduction</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write in advance of the 77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session of the Committee on Economic, Social and Cultural Rights (CESCR) regarding its review of the Republic of Kenya’s compliance with the International Covenant on Economic, Social and Cultural Rights. In light of the Committee’s 2016 Concluding Observations recommending that Kenya “decriminalize sexual relations between consenting adults of the same sex…take the steps necessary to put an end to the social stigmatization of homosexuality and ensure that no one is discriminated in accessing health care and other social services owing to their sexual orientation or gender identity”, this submission addresses the following issues:</w:t>
      </w:r>
    </w:p>
    <w:p w:rsidR="00000000" w:rsidDel="00000000" w:rsidP="00000000" w:rsidRDefault="00000000" w:rsidRPr="00000000" w14:paraId="0000002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punitive and discriminatory laws create a climate of discrimination and stigma impeding lesbian, gay, bisexual, transgender, intersex, and queer (LGBTIQ+) individuals’ ability to access their rights to health, employment, education and housing.</w:t>
      </w:r>
    </w:p>
    <w:p w:rsidR="00000000" w:rsidDel="00000000" w:rsidP="00000000" w:rsidRDefault="00000000" w:rsidRPr="00000000" w14:paraId="0000002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Specific violations to the LGBTIQ+ people’s access to healthcare services</w:t>
      </w:r>
    </w:p>
    <w:p w:rsidR="00000000" w:rsidDel="00000000" w:rsidP="00000000" w:rsidRDefault="00000000" w:rsidRPr="00000000" w14:paraId="0000002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Discrimination in accessing healthcare services</w:t>
      </w:r>
    </w:p>
    <w:p w:rsidR="00000000" w:rsidDel="00000000" w:rsidP="00000000" w:rsidRDefault="00000000" w:rsidRPr="00000000" w14:paraId="0000002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Limited access to comprehensive sexuality education </w:t>
      </w:r>
    </w:p>
    <w:p w:rsidR="00000000" w:rsidDel="00000000" w:rsidP="00000000" w:rsidRDefault="00000000" w:rsidRPr="00000000" w14:paraId="0000002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Discrimination in housing, employment and education</w:t>
      </w:r>
    </w:p>
    <w:p w:rsidR="00000000" w:rsidDel="00000000" w:rsidP="00000000" w:rsidRDefault="00000000" w:rsidRPr="00000000" w14:paraId="0000002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Conversion practices</w:t>
      </w:r>
    </w:p>
    <w:p w:rsidR="00000000" w:rsidDel="00000000" w:rsidP="00000000" w:rsidRDefault="00000000" w:rsidRPr="00000000" w14:paraId="00000030">
      <w:pPr>
        <w:pStyle w:val="Heading1"/>
        <w:rPr/>
      </w:pPr>
      <w:r w:rsidDel="00000000" w:rsidR="00000000" w:rsidRPr="00000000">
        <w:rPr>
          <w:rtl w:val="0"/>
        </w:rPr>
        <w:t xml:space="preserve">Background</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Kenya, there is an overall environment of hostility towards LGBTIQ+ individuals, who commonly suffer harassment and discrimination because of their sexual orientation, gender identity, gender expression and sex characteristics. Such discrimination affects LGBTIQ+ persons in many areas of life, preventing them from exercising fundamental rights, such as accessing healthcare, employment, and education.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pStyle w:val="Heading2"/>
        <w:rPr/>
      </w:pPr>
      <w:r w:rsidDel="00000000" w:rsidR="00000000" w:rsidRPr="00000000">
        <w:rPr>
          <w:rtl w:val="0"/>
        </w:rPr>
        <w:t xml:space="preserve">Criminalization of same-sex sexual activities fuels violations of LGBTIQ+ socio-economic rights</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Constitution of Kenya prohibits discrimination under Article 27. Although “sexual orientation” and “gender identity” are not specifically mentioned under Article 27(4) of the Constitution, which provides grounds under which discrimination is prohibited, this list is not exhaustive, and the High Court has determined that sexual orientation is a protected category under the Kenyan Constitution.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Despite this prohibition, the Penal Code criminalizes same-sex activities leaving LGBTQ+ people  vulnerable to discrimination in employment, housing, education, healthcare, and access to public services.. Section 162 of the Penal Code criminalizes acts “against the order of nature”, which has been interpreted by the High Court as including anal sex. Section 165 of the Penal Code criminalizes any act of “gross indecency” between male individuals. These offences carry a penalty of up to fourteen and five years of imprisonment, respectively.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2015, sections 162 and 165 were challenged in the High Court as being unconstitutional. In 2019 the High Court upheld the sections, ruling that such offences did not violate any constitutional right, including the rights to privacy, and to freedom and security of person, when read in conjunction with the right to marry only a person of the opposite sex. The High Court considered that if acts described in those sections of the Penal Code were legal, it would result in same-sex couples being allowed to live together as a couple and “such relationships, whether in private or not, formal or not would be in violation of the tenor and spirit of the Constitution… therefore, decriminalizing the impugned provisions would indirectly open the door for unions among persons of the same sex.”</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decision is currently under appeal.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criminalization of same-sex conduct or other behavior linked to non-normative sexual orientation or gender identity tends both to encourage discriminatory and violent behavior by State and non-State actors and legitimize discriminatory laws, policies and practices enacted by State actors. In the context of such criminalization, LGBTIQ+ persons face continued barriers to accessing health, housing, employment and education.</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pStyle w:val="Heading1"/>
        <w:rPr/>
      </w:pPr>
      <w:r w:rsidDel="00000000" w:rsidR="00000000" w:rsidRPr="00000000">
        <w:rPr>
          <w:rtl w:val="0"/>
        </w:rPr>
        <w:t xml:space="preserve">Violations of the International Covenant on Economic, Social and Cultural Rights</w:t>
      </w:r>
    </w:p>
    <w:p w:rsidR="00000000" w:rsidDel="00000000" w:rsidP="00000000" w:rsidRDefault="00000000" w:rsidRPr="00000000" w14:paraId="0000003C">
      <w:pPr>
        <w:pStyle w:val="Heading2"/>
        <w:rPr/>
      </w:pPr>
      <w:r w:rsidDel="00000000" w:rsidR="00000000" w:rsidRPr="00000000">
        <w:rPr>
          <w:rtl w:val="0"/>
        </w:rPr>
        <w:t xml:space="preserve">Access to healthcare services</w:t>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4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Kenyan health policies do not explicitly include LGBTQ+ individuals in violation of the right to health and right to be free from discrimination. However, their failure to explicitly include LGBTQ+ individuals by specifically ensuring appropriate treatment and prohibiting discrimination coupled with high levels of stigma often results in refusal of treatment, further exacerbating health disparities.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was especially a huge issue in 2023 following the anti-LGBTQ+ protests held in various parts of the country and the Supreme Court ruling permitting the registration of an LGBTQ+ organization. According to a rapid community survey, over one-third of those surveyed reported avoiding healthcare services since the Supreme Court ruling.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Survey respondents also noted that the anti-LGBTQ+ political climate exacerbated by the protests has increased fear of violence amongst the LGBTQ+ community.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3"/>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Furthermore, LGBTIQ+ persons in Kenya face a disproportionately high burden of HIV.</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Despite this, their access to essential prevention, treatment, and care services remains severely limited. This is due to a variety of factors, including an erratic supply of prevention commodities like condoms, lubricants, and medical health products; outdated policy guidelines; stigma and discrimination amongst healthcare workers; and inadequate data on the LGBTIQ+ community. In addition, laws that criminalize LGBTIQ+ people limit the ability of local implementers to effectively deliver biomedical prevention tools.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HIV-related funding for key populations, which include the LGBTIQ+ community is low with an estimated budget of USD 2.8 million specifically allocated for key population programming.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underfunding exacerbates existing barriers faced by LGBTIQ+ people in accessing quality HIV services and threatens the sustainability and reach of HIV programs.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Further, we welcome the Intersex Bill which seeks to prohibit forced surgeries on intersex children and expect it to be enacted and fully enforced and implemented once enacted.</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Kenya has made significant progress in expanding healthcare services. However, there remain gaps in services addressing the specific needs of the LGBTIQ+ community. For instance, hormone therapy and other gender-affirming treatment is not available in Kenya leading many intersex, transgender and gender non-conforming (ITGNC) persons to self-medicate.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pStyle w:val="Heading2"/>
        <w:rPr/>
      </w:pPr>
      <w:r w:rsidDel="00000000" w:rsidR="00000000" w:rsidRPr="00000000">
        <w:rPr>
          <w:rtl w:val="0"/>
        </w:rPr>
        <w:t xml:space="preserve">Healthcare discrimination</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welcome the government of Kenya’s acknowledgement that “stigma is one of the greatest barriers to accessing services for [LGBTIQ+]. Men having sex with men who are living with HIV are particularly unlikely to take up services, with a consequent negative impact.”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further welcome the measures the government has taken to address this issue, including “sensitize[ing] healthcare workers to reduce stigmatizing attitudes in healthcare settings; the development and dissemination of population-specific and user-friendly information; and the promotion of the acceptance of all persons as part of the community for increased service uptake.”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7"/>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Unfortunately, these efforts have failed to effectively address the barriers LGBTIQ+ people face in accessing healthcare services. Healthcare providers often exhibit bias or hostility towards LGBTIQ+ individuals due to personal beliefs or societal norms which discourages community members from seeking care. For many LGBTQI+ people, visiting a public hospital or clinic comes with a sense of fear of being outed, having their confidential information compromised or judged resulting in a reluctance to access services, particularly for sensitive issues like sexual and reproductive health. This is in part due to the failure of medical professionals being trained on the specific health needs of LGBTQ+ individuals. Further, LGBTQ+ individuals often face socio-economic marginalisation, leading to financial constraints that hinder access to affordable healthcare services.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ITGNC people face a particularly hostile healthcare system. When seeking healthcare aimed at affirming their gender identities transgender persons are often either denied services or become targets of violence.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8"/>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Few available health care practitioners are knowledgeable on ITGNC persons’ anatomy and health care needs. To the extent, they can access gender-affirming health care services, they are often expensive.</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study of 30 men who have sex with men (MSM) in Nairobi published in 2021 found that many MSM did not consider public healthcare facilities safe spaces for discussing MSM-specific sexual behavior and raised concerns about the stigma and discrimination from some healthcare workers at public hospitals.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9"/>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Another 2018 study exploring “how stigma influences and relates to satisfaction with healthcare providers” found that gay men had more experiences of stigma from healthcare providers resulted in higher distrust of healthcare services compared to heterosexual and bisexual men.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Specifically with respect to accessing mental health services, a report by a presidential taskforce established to investigate the situation regarding mental health in the country found that LGBTQI+ people faced challenges when accessing mental health services such as accessibility challenges as well as discrimination from mental health service providers.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stigma and fear of accessing healthcare services is exacerbated by healthcare policies that often do not account for the specific needs of LGBTQI+ individuals, such as mental health services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gender-affirming care, or HIV prevention and treatment tailored to key populations.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pStyle w:val="Heading2"/>
        <w:rPr/>
      </w:pPr>
      <w:r w:rsidDel="00000000" w:rsidR="00000000" w:rsidRPr="00000000">
        <w:rPr>
          <w:rtl w:val="0"/>
        </w:rPr>
        <w:t xml:space="preserve">Access to comprehensive sexuality education</w:t>
      </w:r>
    </w:p>
    <w:p w:rsidR="00000000" w:rsidDel="00000000" w:rsidP="00000000" w:rsidRDefault="00000000" w:rsidRPr="00000000" w14:paraId="000000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Kenya has a number of policies aimed at providing comprehensive sexuality education to adolescents and youth. However, it does not include the specific needs of LGBTQI+ learners in the country in violation of the right to health and right to be free from discrimination. In particular, it does not cover equality and non-discrimination, sexual diversity, violence and bullying due to one’s sexual orientation and gender identity, and LGBTQI+ people’s sexual and reproductive health needs, among other topics.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Further, we have observed strong opposition from religious leaders, including the Archbishop of the Anglican Church, which has shaped public opinion and policy against inclusive comprehensive sexuality education.  Religious leaders often promote abstinence-only programmes or advocate for alternative curricula that avoid discussions on sexual diversity, further marginalising LGBTQ+ individuals. Their influence has stalled efforts to introduce more progressive and inclusive comprehensive sexuality education.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Deeply ingrained cultural taboos around sexuality prevent open discussions about sexual diversity in schools. LGBTQ+ identities are often dismissed as "un-African" or linked to Western influences, leading to the exclusion of their realities from educational programmes. This leaves LGBTIQ+ youth without access to information about their own identities and health needs.</w:t>
      </w:r>
    </w:p>
    <w:p w:rsidR="00000000" w:rsidDel="00000000" w:rsidP="00000000" w:rsidRDefault="00000000" w:rsidRPr="00000000" w14:paraId="00000060">
      <w:pPr>
        <w:pStyle w:val="Heading2"/>
        <w:rPr/>
      </w:pPr>
      <w:r w:rsidDel="00000000" w:rsidR="00000000" w:rsidRPr="00000000">
        <w:rPr>
          <w:rtl w:val="0"/>
        </w:rPr>
      </w:r>
    </w:p>
    <w:p w:rsidR="00000000" w:rsidDel="00000000" w:rsidP="00000000" w:rsidRDefault="00000000" w:rsidRPr="00000000" w14:paraId="00000061">
      <w:pPr>
        <w:pStyle w:val="Heading2"/>
        <w:rPr/>
      </w:pPr>
      <w:r w:rsidDel="00000000" w:rsidR="00000000" w:rsidRPr="00000000">
        <w:rPr>
          <w:rtl w:val="0"/>
        </w:rPr>
        <w:t xml:space="preserve">Discrimination in housing, employment and education</w:t>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LGBTIQ+ persons face high levels of discrimination in accessing housing, employment and education in violation of the rights to housing, work, education and to be free from discrimination. For instance, in 2017, the National Gay and Lesbian Human Rights Commission received a total of 433 reports of human rights violations through its legal aid clinic. Of those, 64 were for evictions from rental property and three were for dismissal from employment.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the Employment Act prohibits workplace discrimination, it does not explicitly prohibit discrimination on the basis of sexual orientation or gender identity. This gap leaves LGBTQ+ workers unprotected from workplace harassment, unequal pay, or termination based on their identity.</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Working Group on the issue of human rights and transnational corporations and other business enterprises highlighted the high levels of stigma and discrimination LGBTIQ+ people face in the workplace and when seeking employment and recommended that Kenya step up efforts to address gender-based discrimination and sexual harassment in the workplace, including with a view to protecting all individuals, irrespective of their sexual orientation or gender identity.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5"/>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ITGNC people, the inability to legally change their gender marker on legal identity documents results in significant barriers in accessing employment and housing.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LGBTQ+ students also often face stigma and bullying from peers, educators, and other leaders in society. In 2021, the Cabinet Secretary of Education called for LBGTQ+ students to be barred from being in boarding schools. This led to a protest from LGBTQ+ activists to raise awareness on the repercussions of creating an environment where they feel unsafe.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violations are further exacerbated by the lack of data on LGBTQ+ individuals. Kenya’s socio-economic policies are often based on data that excludes LGBTQ+ individuals.</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pStyle w:val="Heading2"/>
        <w:rPr/>
      </w:pPr>
      <w:r w:rsidDel="00000000" w:rsidR="00000000" w:rsidRPr="00000000">
        <w:rPr>
          <w:rtl w:val="0"/>
        </w:rPr>
        <w:t xml:space="preserve">Conversion practices</w:t>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LGBTQ+ individuals continue to be subjected to conversion practices in violation of their right to health. The practices, often disguised as “therapy” is deeply harmful and pervasive, with specific implications for children and mental health. In a 2022 report documented 547 cases of LGBTQ+ individuals under 18 years of age subjected to conversion practices resulting in devastating mental health consequences, including increased rates of depression, anxiety, PTSD, and suicidal ideation among survivors.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Almost all of the respondents expressed concerns that young people between 12 and 18 years old were especially vulnerable to abusive “conversion” efforts, as they were still in school and </w:t>
      </w:r>
      <w:r w:rsidDel="00000000" w:rsidR="00000000" w:rsidRPr="00000000">
        <w:rPr>
          <w:rFonts w:ascii="Times New Roman" w:cs="Times New Roman" w:eastAsia="Times New Roman" w:hAnsi="Times New Roman"/>
          <w:sz w:val="24"/>
          <w:szCs w:val="24"/>
          <w:rtl w:val="0"/>
        </w:rPr>
        <w:t xml:space="preserve">remained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financially dependent on family.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8"/>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normalisation of conversion practices within some religious and cultural contexts discourages LGBTQ+ individuals from seeking legitimate mental health support. Fear of stigma and harmful "treatments" pushes many to avoid healthcare services altogether, exacerbating health inequities.</w:t>
      </w:r>
    </w:p>
    <w:p w:rsidR="00000000" w:rsidDel="00000000" w:rsidP="00000000" w:rsidRDefault="00000000" w:rsidRPr="00000000" w14:paraId="00000072">
      <w:pPr>
        <w:pStyle w:val="Heading1"/>
        <w:rPr/>
      </w:pPr>
      <w:r w:rsidDel="00000000" w:rsidR="00000000" w:rsidRPr="00000000">
        <w:rPr>
          <w:rtl w:val="0"/>
        </w:rPr>
        <w:t xml:space="preserve">Recommendations</w:t>
      </w:r>
    </w:p>
    <w:p w:rsidR="00000000" w:rsidDel="00000000" w:rsidP="00000000" w:rsidRDefault="00000000" w:rsidRPr="00000000" w14:paraId="000000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Government of Kenya (GoK) should do the following:</w:t>
      </w:r>
    </w:p>
    <w:p w:rsidR="00000000" w:rsidDel="00000000" w:rsidP="00000000" w:rsidRDefault="00000000" w:rsidRPr="00000000" w14:paraId="0000007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Amend all punitive and discriminatory laws, including sections 162, 163 and 165 of the Penal Code, to decriminalize consensual sexual relations between adults of the same sex.</w:t>
      </w:r>
    </w:p>
    <w:p w:rsidR="00000000" w:rsidDel="00000000" w:rsidP="00000000" w:rsidRDefault="00000000" w:rsidRPr="00000000" w14:paraId="0000007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Enact comprehensive anti-discrimination legislation that prohibits discrimination on the basis of real or imputed sexual orientation and/or gender identity in the public and private sphere, including in access to education, employment, healthcare and other public services. Ensure all current laws and policies prohibiting discrimination include sexual orientation and gender identity as prohibited grounds. </w:t>
      </w:r>
    </w:p>
    <w:p w:rsidR="00000000" w:rsidDel="00000000" w:rsidP="00000000" w:rsidRDefault="00000000" w:rsidRPr="00000000" w14:paraId="0000007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Take concrete steps, such as comprehensive, national awareness-raising campaigns and sensitization activities, to address stigma and discriminatory attitudes and promote sensitivity and respect for LGBTIQ+.</w:t>
      </w:r>
    </w:p>
    <w:p w:rsidR="00000000" w:rsidDel="00000000" w:rsidP="00000000" w:rsidRDefault="00000000" w:rsidRPr="00000000" w14:paraId="0000007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Take steps to reduce barriers to LGBTIQ+ people from accessing healthcare services, including expanding sensitization programmes for healthcare workers to reduce stigmatizing attitudes towards LGBTIQ+ individuals.</w:t>
      </w:r>
    </w:p>
    <w:p w:rsidR="00000000" w:rsidDel="00000000" w:rsidP="00000000" w:rsidRDefault="00000000" w:rsidRPr="00000000" w14:paraId="0000007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Draft a comprehensive sexuality education curriculum in line with the United Nations International Technical Guidance on Sexuality Education and effectively implement it in school curricula. </w:t>
      </w:r>
    </w:p>
    <w:p w:rsidR="00000000" w:rsidDel="00000000" w:rsidP="00000000" w:rsidRDefault="00000000" w:rsidRPr="00000000" w14:paraId="0000007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Increase funding for LGBTIQ+ health programs, including HIV prevention and gender-affirming care. Ensure consistent access to essential health commodities and provide access to gender-affirming healthcare services within the public sector.</w:t>
      </w:r>
    </w:p>
    <w:p w:rsidR="00000000" w:rsidDel="00000000" w:rsidP="00000000" w:rsidRDefault="00000000" w:rsidRPr="00000000" w14:paraId="0000007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Ban conversion practices and criminalize such harmful interventions, including those promoted by religious or cultural institutions.</w:t>
      </w:r>
    </w:p>
    <w:p w:rsidR="00000000" w:rsidDel="00000000" w:rsidP="00000000" w:rsidRDefault="00000000" w:rsidRPr="00000000" w14:paraId="0000007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Enact relevant policies enabling individuals to change their gender marker on official identification documents.</w:t>
      </w:r>
    </w:p>
    <w:p w:rsidR="00000000" w:rsidDel="00000000" w:rsidP="00000000" w:rsidRDefault="00000000" w:rsidRPr="00000000" w14:paraId="0000007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Include questions related to sexual orientation, gender identity, and expression in national surveys and censuses and develop evidence-based policies that address the socio-economic barriers faced by LGBTIQ+ individuals using inclusive data.</w:t>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drawing>
        <wp:inline distB="114300" distT="114300" distL="114300" distR="114300">
          <wp:extent cx="785813" cy="471488"/>
          <wp:effectExtent b="0" l="0" r="0" t="0"/>
          <wp:docPr id="2" name="image2.png"/>
          <a:graphic>
            <a:graphicData uri="http://schemas.openxmlformats.org/drawingml/2006/picture">
              <pic:pic>
                <pic:nvPicPr>
                  <pic:cNvPr id="0" name="image2.png"/>
                  <pic:cNvPicPr preferRelativeResize="0"/>
                </pic:nvPicPr>
                <pic:blipFill>
                  <a:blip r:embed="rId1"/>
                  <a:srcRect b="22997" l="6089" r="6410" t="23180"/>
                  <a:stretch>
                    <a:fillRect/>
                  </a:stretch>
                </pic:blipFill>
                <pic:spPr>
                  <a:xfrm>
                    <a:off x="0" y="0"/>
                    <a:ext cx="785813" cy="471488"/>
                  </a:xfrm>
                  <a:prstGeom prst="rect"/>
                  <a:ln/>
                </pic:spPr>
              </pic:pic>
            </a:graphicData>
          </a:graphic>
        </wp:inline>
      </w:drawing>
    </w:r>
    <w:r w:rsidDel="00000000" w:rsidR="00000000" w:rsidRPr="00000000">
      <w:rPr>
        <w:rtl w:val="0"/>
      </w:rPr>
      <w:tab/>
      <w:t xml:space="preserve">    </w:t>
    </w:r>
    <w:r w:rsidDel="00000000" w:rsidR="00000000" w:rsidRPr="00000000">
      <w:rPr/>
      <w:drawing>
        <wp:inline distB="114300" distT="114300" distL="114300" distR="114300">
          <wp:extent cx="1522988" cy="392113"/>
          <wp:effectExtent b="0" l="0" r="0" t="0"/>
          <wp:docPr id="1" name="image5.jpg"/>
          <a:graphic>
            <a:graphicData uri="http://schemas.openxmlformats.org/drawingml/2006/picture">
              <pic:pic>
                <pic:nvPicPr>
                  <pic:cNvPr id="0" name="image5.jpg"/>
                  <pic:cNvPicPr preferRelativeResize="0"/>
                </pic:nvPicPr>
                <pic:blipFill>
                  <a:blip r:embed="rId2"/>
                  <a:srcRect b="41711" l="4807" r="4647" t="34908"/>
                  <a:stretch>
                    <a:fillRect/>
                  </a:stretch>
                </pic:blipFill>
                <pic:spPr>
                  <a:xfrm>
                    <a:off x="0" y="0"/>
                    <a:ext cx="1522988" cy="392113"/>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871538" cy="624064"/>
          <wp:effectExtent b="0" l="0" r="0" t="0"/>
          <wp:docPr id="5" name="image1.jpg"/>
          <a:graphic>
            <a:graphicData uri="http://schemas.openxmlformats.org/drawingml/2006/picture">
              <pic:pic>
                <pic:nvPicPr>
                  <pic:cNvPr id="0" name="image1.jpg"/>
                  <pic:cNvPicPr preferRelativeResize="0"/>
                </pic:nvPicPr>
                <pic:blipFill>
                  <a:blip r:embed="rId3"/>
                  <a:srcRect b="16327" l="12019" r="18429" t="11046"/>
                  <a:stretch>
                    <a:fillRect/>
                  </a:stretch>
                </pic:blipFill>
                <pic:spPr>
                  <a:xfrm>
                    <a:off x="0" y="0"/>
                    <a:ext cx="871538" cy="624064"/>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1059231" cy="420688"/>
          <wp:effectExtent b="0" l="0" r="0" t="0"/>
          <wp:docPr id="3" name="image4.jpg"/>
          <a:graphic>
            <a:graphicData uri="http://schemas.openxmlformats.org/drawingml/2006/picture">
              <pic:pic>
                <pic:nvPicPr>
                  <pic:cNvPr id="0" name="image4.jpg"/>
                  <pic:cNvPicPr preferRelativeResize="0"/>
                </pic:nvPicPr>
                <pic:blipFill>
                  <a:blip r:embed="rId4"/>
                  <a:srcRect b="34560" l="8012" r="6410" t="41191"/>
                  <a:stretch>
                    <a:fillRect/>
                  </a:stretch>
                </pic:blipFill>
                <pic:spPr>
                  <a:xfrm>
                    <a:off x="0" y="0"/>
                    <a:ext cx="1059231" cy="420688"/>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611187" cy="611187"/>
          <wp:effectExtent b="0" l="0" r="0" t="0"/>
          <wp:docPr id="4" name="image3.jpg"/>
          <a:graphic>
            <a:graphicData uri="http://schemas.openxmlformats.org/drawingml/2006/picture">
              <pic:pic>
                <pic:nvPicPr>
                  <pic:cNvPr id="0" name="image3.jpg"/>
                  <pic:cNvPicPr preferRelativeResize="0"/>
                </pic:nvPicPr>
                <pic:blipFill>
                  <a:blip r:embed="rId5"/>
                  <a:srcRect b="0" l="0" r="0" t="0"/>
                  <a:stretch>
                    <a:fillRect/>
                  </a:stretch>
                </pic:blipFill>
                <pic:spPr>
                  <a:xfrm>
                    <a:off x="0" y="0"/>
                    <a:ext cx="611187" cy="611187"/>
                  </a:xfrm>
                  <a:prstGeom prst="rect"/>
                  <a:ln/>
                </pic:spPr>
              </pic:pic>
            </a:graphicData>
          </a:graphic>
        </wp:inline>
      </w:drawing>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See NGOs Co-ordination Board v EG &amp; 4 others; Katiba Institute (Amicus Curiae) [2023] KESC 17 (KLR).</w:t>
      </w:r>
    </w:p>
  </w:footnote>
  <w:footnote w:id="1">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EG, JM, MO, MAO, YP, MO, Gay and Lesbian Coalition of Kenya &amp; Nyanza Western and Rift Valley Network &amp; Kenya Human Rights Commission v Attorney General; DKM, AO, IR, GN, YH, JT, Kenya Christian Professional Forum, Kenya Legal &amp; Ethical Issues Network on HIV &amp; AIDS, Irungu Kangata, Registered Trustees Jamie Masjid Ahle, Sunneit Waljamait &amp; Registered Trustees Ummah Foundation (Interested Parties); Katiba Institute &amp; Kenya National Commission On Human Rights (Amicus Curiae) (Petition 150 &amp; 234 of 2016) [2019] KEHC 11288 (KLR) (Constitutional and Human Rights) (24 May 2019), para 396-397.</w:t>
      </w:r>
    </w:p>
  </w:footnote>
  <w:footnote w:id="2">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Walimbwa J, Macharia P, Wambua S, Lazarus L, Lorway R. Political homophobia and the effect on GBMSM programmes in Kenya: The significance of a community-led rapid agency assessment. Glob Public Health. 2023 Jan;18(1):2271989.</w:t>
      </w:r>
    </w:p>
  </w:footnote>
  <w:footnote w:id="3">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Ibid.</w:t>
      </w:r>
    </w:p>
  </w:footnote>
  <w:footnote w:id="4">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Bridging the gaps. Reaching key populations and improving their access to HIV services in Kenya. 2015. Available</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from: http://fileserver.idpc.net/library/.pdf Research‐report‐Reaching‐key‐populations‐and‐improving‐their‐access‐to‐HIV‐services‐in‐</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Kenya‐</w:t>
      </w:r>
    </w:p>
  </w:footnote>
  <w:footnote w:id="5">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Republic of Kenya. A case for smart investments in HIV and AIDS in Kenya. Available at https://nsdcc.go.ke/wp-content/uploads/2016/03/HIV-Investment-Case_Kenya1.pdf</w:t>
      </w:r>
    </w:p>
  </w:footnote>
  <w:footnote w:id="6">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Government of Kenya. Fourth periodic report submitted by Kenya under article 40 of the Covenant (26 April 2019), para 63.</w:t>
      </w:r>
    </w:p>
  </w:footnote>
  <w:footnote w:id="7">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Ibid.</w:t>
      </w:r>
    </w:p>
  </w:footnote>
  <w:footnote w:id="8">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Arcus Foundation. Data Collection and Reporting on Violence Perpetrated Against LGBTQI Persons in Botswana, Kenya, Malawi, South Africa and Uganda (Oct 2019). Available at https://www.arcusfoundation.org/wp-content/uploads/2020/04/Iranti-Violence-Against-LGBTQI-Persons-in-Botswana-Kenya-Malawi-South-Africa-Uganda.pdf</w:t>
      </w:r>
    </w:p>
  </w:footnote>
  <w:footnote w:id="9">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Bourne, Adam, et al. ‘Experiences and Challenges in Sexual Health Service Access among Men Who Have Sex with Men in Kenya’. Global Public Health, 2021, pp. 1–12. Crossref, https://doi.org/10.1080/17441692.2021.1987501</w:t>
      </w:r>
    </w:p>
  </w:footnote>
  <w:footnote w:id="10">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Shangani, Sylvia, Violet Naanyu, et al. ‘Stigma and Healthcare-Seeking Practices of Men Who Have Sex with Men in Western Kenya: A Mixed-Methods Approach for Scale Validation’. AIDS Patient Care and STDs, vol. 32, no. 11, 2018, pp. 477–86. Crossref, https://doi.org/10.1089/apc.2018.0101</w:t>
      </w:r>
    </w:p>
  </w:footnote>
  <w:footnote w:id="11">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Ibid.; Bourne, above n 6.</w:t>
      </w:r>
    </w:p>
  </w:footnote>
  <w:footnote w:id="12">
    <w:p w:rsidR="00000000" w:rsidDel="00000000" w:rsidP="00000000" w:rsidRDefault="00000000" w:rsidRPr="00000000" w14:paraId="0000008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Harper GW, Crawford J, Lewis K, Mwochi CR, Johnson G, Okoth C, Jadwin-Cakmak L, Onyango DP, Kumar M, Wilson BDM. Mental Health Challenges and Needs among Sexual and Gender Minority People in Western Kenya. Int J Environ Res Public Health. 2021 Feb 1;18(3):1311. Available at https://pmc.ncbi.nlm.nih.gov/articles/PMC7908383/</w:t>
      </w:r>
    </w:p>
  </w:footnote>
  <w:footnote w:id="13">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United Nations Development Program and Kenya National Commission on Human Rights. Inclusive Governance Initiative Kenya Baseline Report (2022). Available at https://www.undp.org/sites/g/files/zskgke326/files/2023-02/undp-igi-kenya-baseline-report.pdf</w:t>
      </w:r>
    </w:p>
  </w:footnote>
  <w:footnote w:id="14">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Arcus Foundation, above n 9.</w:t>
      </w:r>
    </w:p>
  </w:footnote>
  <w:footnote w:id="15">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Human Rights Council. Visit to Kenya Report of the Working Group on the issue of human rights and transnational corporations and other business enterprises (21 May 2019) A/HRC/41/43/Add.2</w:t>
      </w:r>
    </w:p>
  </w:footnote>
  <w:footnote w:id="16">
    <w:p w:rsidR="00000000" w:rsidDel="00000000" w:rsidP="00000000" w:rsidRDefault="00000000" w:rsidRPr="00000000" w14:paraId="0000008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Soita Khatondi Wepukhulu. LGBTIQ students kicked out of school in East Africa are fighting back. </w:t>
      </w:r>
      <w:r w:rsidDel="00000000" w:rsidR="00000000" w:rsidRPr="00000000">
        <w:rPr>
          <w:i w:val="1"/>
          <w:sz w:val="20"/>
          <w:szCs w:val="20"/>
          <w:rtl w:val="0"/>
        </w:rPr>
        <w:t xml:space="preserve">Open Democracy </w:t>
      </w:r>
      <w:r w:rsidDel="00000000" w:rsidR="00000000" w:rsidRPr="00000000">
        <w:rPr>
          <w:sz w:val="20"/>
          <w:szCs w:val="20"/>
          <w:rtl w:val="0"/>
        </w:rPr>
        <w:t xml:space="preserve">(11 Feb 2022). Available at https://www.opendemocracy.net/en/5050/lgbtiq-students-kicked-out-of-school-in-east-africa-are-fighting-back/</w:t>
      </w:r>
    </w:p>
  </w:footnote>
  <w:footnote w:id="17">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GALCK+. Shame is a not a Cure: So-Called Conversion “Therapy” Practices in Kenya (2022). Available at https://outrightinternational.org/sites/default/files/2022-08/galck%2BConversion_Practices_in_Kenya.pdf</w:t>
      </w:r>
    </w:p>
  </w:footnote>
  <w:footnote w:id="18">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Ibid.</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224FC0"/>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224FC0"/>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noteText">
    <w:name w:val="footnote text"/>
    <w:basedOn w:val="Normal"/>
    <w:link w:val="FootnoteTextChar"/>
    <w:uiPriority w:val="99"/>
    <w:semiHidden w:val="1"/>
    <w:unhideWhenUsed w:val="1"/>
    <w:rsid w:val="00287258"/>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287258"/>
    <w:rPr>
      <w:sz w:val="20"/>
      <w:szCs w:val="20"/>
    </w:rPr>
  </w:style>
  <w:style w:type="character" w:styleId="FootnoteReference">
    <w:name w:val="footnote reference"/>
    <w:basedOn w:val="DefaultParagraphFont"/>
    <w:uiPriority w:val="99"/>
    <w:semiHidden w:val="1"/>
    <w:unhideWhenUsed w:val="1"/>
    <w:rsid w:val="00287258"/>
    <w:rPr>
      <w:vertAlign w:val="superscript"/>
    </w:rPr>
  </w:style>
  <w:style w:type="character" w:styleId="Heading1Char" w:customStyle="1">
    <w:name w:val="Heading 1 Char"/>
    <w:basedOn w:val="DefaultParagraphFont"/>
    <w:link w:val="Heading1"/>
    <w:uiPriority w:val="9"/>
    <w:rsid w:val="00224FC0"/>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rsid w:val="00224FC0"/>
    <w:rPr>
      <w:rFonts w:asciiTheme="majorHAnsi" w:cstheme="majorBidi" w:eastAsiaTheme="majorEastAsia" w:hAnsiTheme="majorHAnsi"/>
      <w:color w:val="2f5496" w:themeColor="accent1" w:themeShade="0000BF"/>
      <w:sz w:val="26"/>
      <w:szCs w:val="26"/>
    </w:rPr>
  </w:style>
  <w:style w:type="paragraph" w:styleId="Header">
    <w:name w:val="header"/>
    <w:basedOn w:val="Normal"/>
    <w:link w:val="HeaderChar"/>
    <w:uiPriority w:val="99"/>
    <w:unhideWhenUsed w:val="1"/>
    <w:rsid w:val="00B17A19"/>
    <w:pPr>
      <w:tabs>
        <w:tab w:val="center" w:pos="4680"/>
        <w:tab w:val="right" w:pos="9360"/>
      </w:tabs>
      <w:spacing w:after="0" w:line="240" w:lineRule="auto"/>
    </w:pPr>
  </w:style>
  <w:style w:type="character" w:styleId="HeaderChar" w:customStyle="1">
    <w:name w:val="Header Char"/>
    <w:basedOn w:val="DefaultParagraphFont"/>
    <w:link w:val="Header"/>
    <w:uiPriority w:val="99"/>
    <w:rsid w:val="00B17A19"/>
  </w:style>
  <w:style w:type="paragraph" w:styleId="Footer">
    <w:name w:val="footer"/>
    <w:basedOn w:val="Normal"/>
    <w:link w:val="FooterChar"/>
    <w:uiPriority w:val="99"/>
    <w:unhideWhenUsed w:val="1"/>
    <w:rsid w:val="00B17A19"/>
    <w:pPr>
      <w:tabs>
        <w:tab w:val="center" w:pos="4680"/>
        <w:tab w:val="right" w:pos="9360"/>
      </w:tabs>
      <w:spacing w:after="0" w:line="240" w:lineRule="auto"/>
    </w:pPr>
  </w:style>
  <w:style w:type="character" w:styleId="FooterChar" w:customStyle="1">
    <w:name w:val="Footer Char"/>
    <w:basedOn w:val="DefaultParagraphFont"/>
    <w:link w:val="Footer"/>
    <w:uiPriority w:val="99"/>
    <w:rsid w:val="00B17A19"/>
  </w:style>
  <w:style w:type="paragraph" w:styleId="ListParagraph">
    <w:name w:val="List Paragraph"/>
    <w:basedOn w:val="Normal"/>
    <w:uiPriority w:val="34"/>
    <w:qFormat w:val="1"/>
    <w:rsid w:val="006921BA"/>
    <w:pPr>
      <w:spacing w:after="0" w:line="240" w:lineRule="auto"/>
      <w:ind w:left="720"/>
      <w:contextualSpacing w:val="1"/>
    </w:pPr>
    <w:rPr>
      <w:rFonts w:ascii="Times New Roman" w:cs="Times New Roman" w:eastAsia="Calibri" w:hAnsi="Times New Roman"/>
      <w:kern w:val="0"/>
      <w:sz w:val="24"/>
    </w:rPr>
  </w:style>
  <w:style w:type="character" w:styleId="Hyperlink">
    <w:name w:val="Hyperlink"/>
    <w:basedOn w:val="DefaultParagraphFont"/>
    <w:uiPriority w:val="99"/>
    <w:unhideWhenUsed w:val="1"/>
    <w:rsid w:val="0055533D"/>
    <w:rPr>
      <w:color w:val="0563c1" w:themeColor="hyperlink"/>
      <w:u w:val="single"/>
    </w:rPr>
  </w:style>
  <w:style w:type="character" w:styleId="UnresolvedMention">
    <w:name w:val="Unresolved Mention"/>
    <w:basedOn w:val="DefaultParagraphFont"/>
    <w:uiPriority w:val="99"/>
    <w:semiHidden w:val="1"/>
    <w:unhideWhenUsed w:val="1"/>
    <w:rsid w:val="0055533D"/>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5.jpg"/><Relationship Id="rId3" Type="http://schemas.openxmlformats.org/officeDocument/2006/relationships/image" Target="media/image1.jpg"/><Relationship Id="rId4" Type="http://schemas.openxmlformats.org/officeDocument/2006/relationships/image" Target="media/image4.jpg"/><Relationship Id="rId5"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QZEFB2gab2YMDjOQvOzFlmWQUw==">CgMxLjA4AHIhMWt3T1NtaWVIQzBLVW1vMXVHblZwX3NtVTQ2QjBVUFRy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2025-01-13T07:07:00Z</dcterms:created>
  <dc:creator>Priti Patel</dc:creator>
</cp:coreProperties>
</file>