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A631E7" w14:textId="44618E3B" w:rsidR="0093793B" w:rsidRDefault="0093793B" w:rsidP="0093793B">
      <w:pPr>
        <w:spacing w:line="276" w:lineRule="auto"/>
        <w:ind w:hanging="1700"/>
        <w:jc w:val="both"/>
        <w:rPr>
          <w:rFonts w:ascii="Arial" w:eastAsia="Arial" w:hAnsi="Arial" w:cs="Arial"/>
          <w:sz w:val="24"/>
          <w:szCs w:val="24"/>
          <w:lang w:val="es-PE"/>
        </w:rPr>
      </w:pPr>
      <w:bookmarkStart w:id="0" w:name="_gjdgxs" w:colFirst="0" w:colLast="0"/>
      <w:bookmarkEnd w:id="0"/>
      <w:r w:rsidRPr="0093793B">
        <w:rPr>
          <w:rFonts w:ascii="Arial" w:eastAsia="Arial" w:hAnsi="Arial" w:cs="Arial"/>
          <w:noProof/>
          <w:sz w:val="24"/>
          <w:szCs w:val="24"/>
          <w:lang w:val="es-PE"/>
        </w:rPr>
        <w:drawing>
          <wp:inline distT="0" distB="0" distL="0" distR="0" wp14:anchorId="6D9A3D9B" wp14:editId="5BFA1197">
            <wp:extent cx="7814930" cy="1946219"/>
            <wp:effectExtent l="0" t="0" r="0" b="0"/>
            <wp:docPr id="3150480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7009" t="6061" r="8132" b="45629"/>
                    <a:stretch/>
                  </pic:blipFill>
                  <pic:spPr bwMode="auto">
                    <a:xfrm>
                      <a:off x="0" y="0"/>
                      <a:ext cx="7851702" cy="1955377"/>
                    </a:xfrm>
                    <a:prstGeom prst="rect">
                      <a:avLst/>
                    </a:prstGeom>
                    <a:noFill/>
                    <a:ln>
                      <a:noFill/>
                    </a:ln>
                    <a:extLst>
                      <a:ext uri="{53640926-AAD7-44D8-BBD7-CCE9431645EC}">
                        <a14:shadowObscured xmlns:a14="http://schemas.microsoft.com/office/drawing/2010/main"/>
                      </a:ext>
                    </a:extLst>
                  </pic:spPr>
                </pic:pic>
              </a:graphicData>
            </a:graphic>
          </wp:inline>
        </w:drawing>
      </w:r>
    </w:p>
    <w:p w14:paraId="7DDFAF30" w14:textId="1A578DEA" w:rsidR="0093793B" w:rsidRPr="0093793B" w:rsidRDefault="0093793B" w:rsidP="0093793B">
      <w:pPr>
        <w:spacing w:line="276" w:lineRule="auto"/>
        <w:ind w:hanging="1700"/>
        <w:jc w:val="both"/>
        <w:rPr>
          <w:rFonts w:ascii="Arial" w:eastAsia="Arial" w:hAnsi="Arial" w:cs="Arial"/>
          <w:sz w:val="24"/>
          <w:szCs w:val="24"/>
          <w:lang w:val="es-PE"/>
        </w:rPr>
      </w:pPr>
    </w:p>
    <w:p w14:paraId="40A8E8BD" w14:textId="77777777" w:rsidR="00CD10AD" w:rsidRDefault="00CD10AD" w:rsidP="00820937">
      <w:pPr>
        <w:spacing w:line="276" w:lineRule="auto"/>
        <w:jc w:val="both"/>
        <w:rPr>
          <w:rFonts w:ascii="Arial" w:eastAsia="Arial" w:hAnsi="Arial" w:cs="Arial"/>
          <w:sz w:val="24"/>
          <w:szCs w:val="24"/>
        </w:rPr>
      </w:pPr>
    </w:p>
    <w:p w14:paraId="2AF57AB8" w14:textId="77777777" w:rsidR="00CD10AD" w:rsidRDefault="00CD10AD" w:rsidP="00820937">
      <w:pPr>
        <w:spacing w:line="276" w:lineRule="auto"/>
        <w:jc w:val="both"/>
        <w:rPr>
          <w:rFonts w:ascii="Arial" w:eastAsia="Arial" w:hAnsi="Arial" w:cs="Arial"/>
          <w:sz w:val="24"/>
          <w:szCs w:val="24"/>
        </w:rPr>
      </w:pPr>
    </w:p>
    <w:p w14:paraId="2671B971" w14:textId="77777777" w:rsidR="00CD10AD" w:rsidRDefault="00CD10AD" w:rsidP="00820937">
      <w:pPr>
        <w:spacing w:line="276" w:lineRule="auto"/>
        <w:jc w:val="both"/>
        <w:rPr>
          <w:rFonts w:ascii="Arial" w:eastAsia="Arial" w:hAnsi="Arial" w:cs="Arial"/>
          <w:sz w:val="24"/>
          <w:szCs w:val="24"/>
        </w:rPr>
      </w:pPr>
    </w:p>
    <w:p w14:paraId="73E3DA4C" w14:textId="77777777" w:rsidR="00CD10AD" w:rsidRDefault="00CD10AD" w:rsidP="00820937">
      <w:pPr>
        <w:spacing w:line="276" w:lineRule="auto"/>
        <w:jc w:val="both"/>
        <w:rPr>
          <w:rFonts w:ascii="Arial" w:eastAsia="Arial" w:hAnsi="Arial" w:cs="Arial"/>
          <w:sz w:val="24"/>
          <w:szCs w:val="24"/>
        </w:rPr>
      </w:pPr>
    </w:p>
    <w:p w14:paraId="073A82EF" w14:textId="77777777" w:rsidR="00CD10AD" w:rsidRDefault="00CD10AD" w:rsidP="00820937">
      <w:pPr>
        <w:spacing w:line="276" w:lineRule="auto"/>
        <w:jc w:val="both"/>
        <w:rPr>
          <w:rFonts w:ascii="Arial" w:eastAsia="Arial" w:hAnsi="Arial" w:cs="Arial"/>
          <w:sz w:val="24"/>
          <w:szCs w:val="24"/>
        </w:rPr>
      </w:pPr>
    </w:p>
    <w:p w14:paraId="28F41F75" w14:textId="12450183" w:rsidR="00CD10AD" w:rsidRPr="006E2C60" w:rsidRDefault="006E2C60" w:rsidP="00820937">
      <w:pPr>
        <w:spacing w:line="276" w:lineRule="auto"/>
        <w:jc w:val="center"/>
        <w:rPr>
          <w:rFonts w:ascii="Arial" w:eastAsia="Arial" w:hAnsi="Arial" w:cs="Arial"/>
          <w:b/>
          <w:sz w:val="28"/>
          <w:szCs w:val="28"/>
        </w:rPr>
      </w:pPr>
      <w:r>
        <w:rPr>
          <w:rFonts w:ascii="Arial" w:eastAsia="Arial" w:hAnsi="Arial" w:cs="Arial"/>
          <w:b/>
          <w:sz w:val="28"/>
          <w:szCs w:val="28"/>
        </w:rPr>
        <w:t>R</w:t>
      </w:r>
      <w:r w:rsidR="00CD10AD" w:rsidRPr="006E2C60">
        <w:rPr>
          <w:rFonts w:ascii="Arial" w:eastAsia="Arial" w:hAnsi="Arial" w:cs="Arial"/>
          <w:b/>
          <w:sz w:val="28"/>
          <w:szCs w:val="28"/>
        </w:rPr>
        <w:t>EPORTE</w:t>
      </w:r>
    </w:p>
    <w:p w14:paraId="38679CBA" w14:textId="77777777" w:rsidR="00CD10AD" w:rsidRPr="006E2C60" w:rsidRDefault="00CD10AD" w:rsidP="00820937">
      <w:pPr>
        <w:spacing w:line="276" w:lineRule="auto"/>
        <w:jc w:val="center"/>
        <w:rPr>
          <w:rFonts w:ascii="Arial" w:eastAsia="Arial" w:hAnsi="Arial" w:cs="Arial"/>
          <w:b/>
          <w:sz w:val="28"/>
          <w:szCs w:val="28"/>
        </w:rPr>
      </w:pPr>
      <w:r w:rsidRPr="006E2C60">
        <w:rPr>
          <w:rFonts w:ascii="Arial" w:eastAsia="Arial" w:hAnsi="Arial" w:cs="Arial"/>
          <w:b/>
          <w:sz w:val="28"/>
          <w:szCs w:val="28"/>
        </w:rPr>
        <w:t>PERÚ</w:t>
      </w:r>
    </w:p>
    <w:p w14:paraId="2F4DC58B" w14:textId="5D2FB471" w:rsidR="00CD10AD" w:rsidRPr="006E2C60" w:rsidRDefault="00AB672A" w:rsidP="00820937">
      <w:pPr>
        <w:spacing w:line="276" w:lineRule="auto"/>
        <w:jc w:val="center"/>
        <w:rPr>
          <w:rFonts w:ascii="Arial" w:eastAsia="Arial" w:hAnsi="Arial" w:cs="Arial"/>
          <w:sz w:val="24"/>
          <w:szCs w:val="24"/>
        </w:rPr>
      </w:pPr>
      <w:r w:rsidRPr="006E2C60">
        <w:rPr>
          <w:rFonts w:ascii="Arial" w:eastAsia="Arial" w:hAnsi="Arial" w:cs="Arial"/>
          <w:b/>
          <w:sz w:val="28"/>
          <w:szCs w:val="28"/>
        </w:rPr>
        <w:t xml:space="preserve">AL </w:t>
      </w:r>
      <w:r w:rsidR="00CD10AD" w:rsidRPr="006E2C60">
        <w:rPr>
          <w:rFonts w:ascii="Arial" w:eastAsia="Arial" w:hAnsi="Arial" w:cs="Arial"/>
          <w:b/>
          <w:sz w:val="28"/>
          <w:szCs w:val="28"/>
        </w:rPr>
        <w:t>COMITÉ DERECHOS ECONÓMICOS SOCIALES Y CULTURALES.</w:t>
      </w:r>
    </w:p>
    <w:p w14:paraId="55A02F26" w14:textId="77777777" w:rsidR="00CD10AD" w:rsidRPr="006E2C60" w:rsidRDefault="00CD10AD" w:rsidP="00820937">
      <w:pPr>
        <w:spacing w:line="276" w:lineRule="auto"/>
        <w:jc w:val="both"/>
        <w:rPr>
          <w:rFonts w:ascii="Arial" w:eastAsia="Arial" w:hAnsi="Arial" w:cs="Arial"/>
          <w:sz w:val="24"/>
          <w:szCs w:val="24"/>
        </w:rPr>
      </w:pPr>
    </w:p>
    <w:p w14:paraId="7D3DB3D8" w14:textId="77777777" w:rsidR="00CD10AD" w:rsidRPr="006E2C60" w:rsidRDefault="00CD10AD" w:rsidP="00820937">
      <w:pPr>
        <w:spacing w:line="276" w:lineRule="auto"/>
        <w:jc w:val="both"/>
        <w:rPr>
          <w:rFonts w:ascii="Arial" w:eastAsia="Arial" w:hAnsi="Arial" w:cs="Arial"/>
          <w:sz w:val="24"/>
          <w:szCs w:val="24"/>
        </w:rPr>
      </w:pPr>
    </w:p>
    <w:p w14:paraId="43296D04" w14:textId="77777777" w:rsidR="00CD10AD" w:rsidRPr="006E2C60" w:rsidRDefault="00CD10AD" w:rsidP="00820937">
      <w:pPr>
        <w:spacing w:line="276" w:lineRule="auto"/>
        <w:jc w:val="both"/>
        <w:rPr>
          <w:rFonts w:ascii="Arial" w:eastAsia="Arial" w:hAnsi="Arial" w:cs="Arial"/>
          <w:sz w:val="24"/>
          <w:szCs w:val="24"/>
        </w:rPr>
      </w:pPr>
    </w:p>
    <w:p w14:paraId="2747FC8F" w14:textId="77777777" w:rsidR="00CD10AD" w:rsidRPr="006E2C60" w:rsidRDefault="00CD10AD" w:rsidP="00820937">
      <w:pPr>
        <w:spacing w:line="276" w:lineRule="auto"/>
        <w:jc w:val="both"/>
        <w:rPr>
          <w:rFonts w:ascii="Arial" w:eastAsia="Arial" w:hAnsi="Arial" w:cs="Arial"/>
          <w:sz w:val="24"/>
          <w:szCs w:val="24"/>
        </w:rPr>
      </w:pPr>
    </w:p>
    <w:p w14:paraId="7607D970" w14:textId="146DE48B" w:rsidR="00CD10AD" w:rsidRPr="006E2C60" w:rsidRDefault="006E2C60" w:rsidP="00820937">
      <w:pPr>
        <w:spacing w:after="0" w:line="276" w:lineRule="auto"/>
        <w:jc w:val="both"/>
        <w:rPr>
          <w:rFonts w:ascii="Arial" w:eastAsia="Arial" w:hAnsi="Arial" w:cs="Arial"/>
          <w:sz w:val="20"/>
          <w:szCs w:val="20"/>
        </w:rPr>
      </w:pPr>
      <w:r w:rsidRPr="006E2C60">
        <w:rPr>
          <w:rFonts w:ascii="Arial" w:eastAsia="Arial" w:hAnsi="Arial" w:cs="Arial"/>
          <w:sz w:val="20"/>
          <w:szCs w:val="20"/>
        </w:rPr>
        <w:t>E</w:t>
      </w:r>
      <w:r w:rsidR="00AB672A" w:rsidRPr="006E2C60">
        <w:rPr>
          <w:rFonts w:ascii="Arial" w:eastAsia="Arial" w:hAnsi="Arial" w:cs="Arial"/>
          <w:sz w:val="20"/>
          <w:szCs w:val="20"/>
        </w:rPr>
        <w:t xml:space="preserve">l </w:t>
      </w:r>
      <w:r w:rsidRPr="006E2C60">
        <w:rPr>
          <w:rFonts w:ascii="Arial" w:eastAsia="Arial" w:hAnsi="Arial" w:cs="Arial"/>
          <w:sz w:val="20"/>
          <w:szCs w:val="20"/>
        </w:rPr>
        <w:t xml:space="preserve">Colectivo Dignidad “Micaela Bastidas” </w:t>
      </w:r>
      <w:r w:rsidR="00AB672A" w:rsidRPr="006E2C60">
        <w:rPr>
          <w:rFonts w:ascii="Arial" w:eastAsia="Arial" w:hAnsi="Arial" w:cs="Arial"/>
          <w:sz w:val="20"/>
          <w:szCs w:val="20"/>
        </w:rPr>
        <w:t xml:space="preserve">es una coordinadora de peruanos en el exterior quienes </w:t>
      </w:r>
      <w:r w:rsidR="00E4671C">
        <w:rPr>
          <w:rFonts w:ascii="Arial" w:eastAsia="Arial" w:hAnsi="Arial" w:cs="Arial"/>
          <w:sz w:val="20"/>
          <w:szCs w:val="20"/>
        </w:rPr>
        <w:t xml:space="preserve">se han </w:t>
      </w:r>
      <w:r w:rsidR="00AB672A" w:rsidRPr="006E2C60">
        <w:rPr>
          <w:rFonts w:ascii="Arial" w:eastAsia="Arial" w:hAnsi="Arial" w:cs="Arial"/>
          <w:sz w:val="20"/>
          <w:szCs w:val="20"/>
        </w:rPr>
        <w:t>unido para reaccionar y dar frente a la constante negación de derechos existentes en la actualidad, tales como la vida, la salud y la integridad física y moral de nuestros hermanos peruanos</w:t>
      </w:r>
      <w:r w:rsidR="00820937">
        <w:rPr>
          <w:rFonts w:ascii="Arial" w:eastAsia="Arial" w:hAnsi="Arial" w:cs="Arial"/>
          <w:sz w:val="20"/>
          <w:szCs w:val="20"/>
        </w:rPr>
        <w:t xml:space="preserve">, </w:t>
      </w:r>
      <w:r w:rsidR="00AB672A" w:rsidRPr="006E2C60">
        <w:rPr>
          <w:rFonts w:ascii="Arial" w:eastAsia="Arial" w:hAnsi="Arial" w:cs="Arial"/>
          <w:sz w:val="20"/>
          <w:szCs w:val="20"/>
        </w:rPr>
        <w:t xml:space="preserve">en el Perú. El colectivo </w:t>
      </w:r>
      <w:r w:rsidR="00CD10AD" w:rsidRPr="006E2C60">
        <w:rPr>
          <w:rFonts w:ascii="Arial" w:eastAsia="Arial" w:hAnsi="Arial" w:cs="Arial"/>
          <w:sz w:val="20"/>
          <w:szCs w:val="20"/>
        </w:rPr>
        <w:t xml:space="preserve">tiene como misión: </w:t>
      </w:r>
      <w:r w:rsidR="00AB672A" w:rsidRPr="006E2C60">
        <w:rPr>
          <w:rFonts w:ascii="Arial" w:eastAsia="Arial" w:hAnsi="Arial" w:cs="Arial"/>
          <w:sz w:val="20"/>
          <w:szCs w:val="20"/>
        </w:rPr>
        <w:t>llegar a ser a voz de quienes no son escuchados y que son víctimas del modelo neoliberal imperante existente en nuestro país</w:t>
      </w:r>
      <w:r w:rsidRPr="006E2C60">
        <w:rPr>
          <w:rFonts w:ascii="Arial" w:eastAsia="Arial" w:hAnsi="Arial" w:cs="Arial"/>
          <w:sz w:val="20"/>
          <w:szCs w:val="20"/>
        </w:rPr>
        <w:t>;</w:t>
      </w:r>
      <w:r w:rsidR="00AB672A" w:rsidRPr="006E2C60">
        <w:rPr>
          <w:rFonts w:ascii="Arial" w:eastAsia="Arial" w:hAnsi="Arial" w:cs="Arial"/>
          <w:sz w:val="20"/>
          <w:szCs w:val="20"/>
        </w:rPr>
        <w:t xml:space="preserve"> cuya aplicación abierta y desmedida </w:t>
      </w:r>
      <w:r w:rsidRPr="006E2C60">
        <w:rPr>
          <w:rFonts w:ascii="Arial" w:eastAsia="Arial" w:hAnsi="Arial" w:cs="Arial"/>
          <w:sz w:val="20"/>
          <w:szCs w:val="20"/>
        </w:rPr>
        <w:t xml:space="preserve">tiene en la actualidad la violación de los principios democráticos, la negación de un Estado de Derecho y el debilitamiento de una cierta y real democratización para toda la sociedad peruana en su conjunto. </w:t>
      </w:r>
      <w:r w:rsidR="00AB672A" w:rsidRPr="006E2C60">
        <w:rPr>
          <w:rFonts w:ascii="Arial" w:eastAsia="Arial" w:hAnsi="Arial" w:cs="Arial"/>
          <w:sz w:val="20"/>
          <w:szCs w:val="20"/>
        </w:rPr>
        <w:t xml:space="preserve">  </w:t>
      </w:r>
      <w:r w:rsidR="00CD10AD" w:rsidRPr="006E2C60">
        <w:rPr>
          <w:rFonts w:ascii="Arial" w:eastAsia="Arial" w:hAnsi="Arial" w:cs="Arial"/>
          <w:sz w:val="20"/>
          <w:szCs w:val="20"/>
        </w:rPr>
        <w:t xml:space="preserve"> </w:t>
      </w:r>
      <w:r w:rsidRPr="006E2C60">
        <w:rPr>
          <w:rFonts w:ascii="Arial" w:eastAsia="Arial" w:hAnsi="Arial" w:cs="Arial"/>
          <w:sz w:val="20"/>
          <w:szCs w:val="20"/>
        </w:rPr>
        <w:t xml:space="preserve">El colectivo se </w:t>
      </w:r>
      <w:r w:rsidR="00CD10AD" w:rsidRPr="006E2C60">
        <w:rPr>
          <w:rFonts w:ascii="Arial" w:eastAsia="Arial" w:hAnsi="Arial" w:cs="Arial"/>
          <w:sz w:val="20"/>
          <w:szCs w:val="20"/>
        </w:rPr>
        <w:t>funda en los valores de justicia</w:t>
      </w:r>
      <w:r w:rsidRPr="006E2C60">
        <w:rPr>
          <w:rFonts w:ascii="Arial" w:eastAsia="Arial" w:hAnsi="Arial" w:cs="Arial"/>
          <w:sz w:val="20"/>
          <w:szCs w:val="20"/>
        </w:rPr>
        <w:t>,</w:t>
      </w:r>
      <w:r w:rsidR="00CD10AD" w:rsidRPr="006E2C60">
        <w:rPr>
          <w:rFonts w:ascii="Arial" w:eastAsia="Arial" w:hAnsi="Arial" w:cs="Arial"/>
          <w:sz w:val="20"/>
          <w:szCs w:val="20"/>
        </w:rPr>
        <w:t xml:space="preserve"> equidad</w:t>
      </w:r>
      <w:r w:rsidRPr="006E2C60">
        <w:rPr>
          <w:rFonts w:ascii="Arial" w:eastAsia="Arial" w:hAnsi="Arial" w:cs="Arial"/>
          <w:sz w:val="20"/>
          <w:szCs w:val="20"/>
        </w:rPr>
        <w:t>,</w:t>
      </w:r>
      <w:r w:rsidR="00CD10AD" w:rsidRPr="006E2C60">
        <w:rPr>
          <w:rFonts w:ascii="Arial" w:eastAsia="Arial" w:hAnsi="Arial" w:cs="Arial"/>
          <w:sz w:val="20"/>
          <w:szCs w:val="20"/>
        </w:rPr>
        <w:t xml:space="preserve"> igualdad</w:t>
      </w:r>
      <w:r w:rsidRPr="006E2C60">
        <w:rPr>
          <w:rFonts w:ascii="Arial" w:eastAsia="Arial" w:hAnsi="Arial" w:cs="Arial"/>
          <w:sz w:val="20"/>
          <w:szCs w:val="20"/>
        </w:rPr>
        <w:t>,</w:t>
      </w:r>
      <w:r w:rsidR="00CD10AD" w:rsidRPr="006E2C60">
        <w:rPr>
          <w:rFonts w:ascii="Arial" w:eastAsia="Arial" w:hAnsi="Arial" w:cs="Arial"/>
          <w:sz w:val="20"/>
          <w:szCs w:val="20"/>
        </w:rPr>
        <w:t xml:space="preserve"> libertad</w:t>
      </w:r>
      <w:r w:rsidRPr="006E2C60">
        <w:rPr>
          <w:rFonts w:ascii="Arial" w:eastAsia="Arial" w:hAnsi="Arial" w:cs="Arial"/>
          <w:sz w:val="20"/>
          <w:szCs w:val="20"/>
        </w:rPr>
        <w:t>,</w:t>
      </w:r>
      <w:r w:rsidR="00CD10AD" w:rsidRPr="006E2C60">
        <w:rPr>
          <w:rFonts w:ascii="Arial" w:eastAsia="Arial" w:hAnsi="Arial" w:cs="Arial"/>
          <w:sz w:val="20"/>
          <w:szCs w:val="20"/>
        </w:rPr>
        <w:t xml:space="preserve"> cooperación</w:t>
      </w:r>
      <w:r w:rsidRPr="006E2C60">
        <w:rPr>
          <w:rFonts w:ascii="Arial" w:eastAsia="Arial" w:hAnsi="Arial" w:cs="Arial"/>
          <w:sz w:val="20"/>
          <w:szCs w:val="20"/>
        </w:rPr>
        <w:t>,</w:t>
      </w:r>
      <w:r w:rsidR="00CD10AD" w:rsidRPr="006E2C60">
        <w:rPr>
          <w:rFonts w:ascii="Arial" w:eastAsia="Arial" w:hAnsi="Arial" w:cs="Arial"/>
          <w:sz w:val="20"/>
          <w:szCs w:val="20"/>
        </w:rPr>
        <w:t xml:space="preserve"> </w:t>
      </w:r>
      <w:r w:rsidR="0093793B">
        <w:rPr>
          <w:rFonts w:ascii="Arial" w:eastAsia="Arial" w:hAnsi="Arial" w:cs="Arial"/>
          <w:sz w:val="20"/>
          <w:szCs w:val="20"/>
        </w:rPr>
        <w:t>inclusión social</w:t>
      </w:r>
      <w:r w:rsidRPr="006E2C60">
        <w:rPr>
          <w:rFonts w:ascii="Arial" w:eastAsia="Arial" w:hAnsi="Arial" w:cs="Arial"/>
          <w:sz w:val="20"/>
          <w:szCs w:val="20"/>
        </w:rPr>
        <w:t>,</w:t>
      </w:r>
      <w:r w:rsidR="00CD10AD" w:rsidRPr="006E2C60">
        <w:rPr>
          <w:rFonts w:ascii="Arial" w:eastAsia="Arial" w:hAnsi="Arial" w:cs="Arial"/>
          <w:sz w:val="20"/>
          <w:szCs w:val="20"/>
        </w:rPr>
        <w:t xml:space="preserve"> honestidad y corresponsabilidad de acuerdo al Estado Social de Derecho y de Justicia.</w:t>
      </w:r>
    </w:p>
    <w:p w14:paraId="262D8816" w14:textId="77777777" w:rsidR="00CD10AD" w:rsidRPr="006E2C60" w:rsidRDefault="00CD10AD" w:rsidP="00820937">
      <w:pPr>
        <w:spacing w:after="0" w:line="276" w:lineRule="auto"/>
        <w:jc w:val="both"/>
        <w:rPr>
          <w:rFonts w:ascii="Arial" w:eastAsia="Arial" w:hAnsi="Arial" w:cs="Arial"/>
          <w:sz w:val="20"/>
          <w:szCs w:val="20"/>
        </w:rPr>
      </w:pPr>
    </w:p>
    <w:p w14:paraId="3BCA8B22" w14:textId="77777777" w:rsidR="00CD10AD" w:rsidRPr="00CD10AD" w:rsidRDefault="00CD10AD" w:rsidP="00820937">
      <w:pPr>
        <w:spacing w:after="0" w:line="276" w:lineRule="auto"/>
        <w:jc w:val="both"/>
        <w:rPr>
          <w:rFonts w:ascii="Arial" w:eastAsia="Arial" w:hAnsi="Arial" w:cs="Arial"/>
          <w:sz w:val="20"/>
          <w:szCs w:val="20"/>
          <w:highlight w:val="yellow"/>
        </w:rPr>
      </w:pPr>
    </w:p>
    <w:p w14:paraId="7ECD56CB" w14:textId="77777777" w:rsidR="00820937" w:rsidRDefault="00820937" w:rsidP="00820937">
      <w:pPr>
        <w:pBdr>
          <w:top w:val="nil"/>
          <w:left w:val="nil"/>
          <w:bottom w:val="nil"/>
          <w:right w:val="nil"/>
          <w:between w:val="nil"/>
        </w:pBdr>
        <w:spacing w:after="0" w:line="276" w:lineRule="auto"/>
        <w:ind w:left="720"/>
        <w:jc w:val="center"/>
        <w:rPr>
          <w:rFonts w:ascii="Arial" w:eastAsia="Arial" w:hAnsi="Arial" w:cs="Arial"/>
          <w:b/>
          <w:sz w:val="28"/>
          <w:szCs w:val="28"/>
        </w:rPr>
      </w:pPr>
    </w:p>
    <w:p w14:paraId="766AEA87" w14:textId="2687B291" w:rsidR="00820937" w:rsidRDefault="00820937" w:rsidP="00820937">
      <w:pPr>
        <w:pBdr>
          <w:top w:val="nil"/>
          <w:left w:val="nil"/>
          <w:bottom w:val="nil"/>
          <w:right w:val="nil"/>
          <w:between w:val="nil"/>
        </w:pBdr>
        <w:spacing w:after="0" w:line="276" w:lineRule="auto"/>
        <w:ind w:left="720"/>
        <w:jc w:val="center"/>
        <w:rPr>
          <w:rFonts w:ascii="Arial" w:eastAsia="Arial" w:hAnsi="Arial" w:cs="Arial"/>
          <w:b/>
          <w:sz w:val="28"/>
          <w:szCs w:val="28"/>
        </w:rPr>
      </w:pPr>
      <w:r w:rsidRPr="00820937">
        <w:rPr>
          <w:rFonts w:ascii="Arial" w:eastAsia="Arial" w:hAnsi="Arial" w:cs="Arial"/>
          <w:b/>
          <w:sz w:val="28"/>
          <w:szCs w:val="28"/>
        </w:rPr>
        <w:t xml:space="preserve">PERU, LA IMPUNIDAD DEL HAMBRE: ABIERTA NEGACION AL </w:t>
      </w:r>
      <w:r w:rsidR="00CD10AD" w:rsidRPr="00820937">
        <w:rPr>
          <w:rFonts w:ascii="Arial" w:eastAsia="Arial" w:hAnsi="Arial" w:cs="Arial"/>
          <w:b/>
          <w:sz w:val="28"/>
          <w:szCs w:val="28"/>
        </w:rPr>
        <w:t>DERECHO SOCIAL A LA ALIMENTACION</w:t>
      </w:r>
    </w:p>
    <w:p w14:paraId="66B4333F" w14:textId="77777777" w:rsidR="00820937" w:rsidRPr="00820937" w:rsidRDefault="00820937" w:rsidP="00820937">
      <w:pPr>
        <w:pBdr>
          <w:top w:val="nil"/>
          <w:left w:val="nil"/>
          <w:bottom w:val="nil"/>
          <w:right w:val="nil"/>
          <w:between w:val="nil"/>
        </w:pBdr>
        <w:spacing w:after="0" w:line="276" w:lineRule="auto"/>
        <w:ind w:left="720"/>
        <w:jc w:val="center"/>
        <w:rPr>
          <w:rFonts w:ascii="Arial" w:eastAsia="Arial" w:hAnsi="Arial" w:cs="Arial"/>
          <w:b/>
          <w:sz w:val="28"/>
          <w:szCs w:val="28"/>
        </w:rPr>
      </w:pPr>
    </w:p>
    <w:p w14:paraId="0C6894C1" w14:textId="3A2BD65E" w:rsidR="00113C09" w:rsidRPr="00822B0C" w:rsidRDefault="00CD10AD" w:rsidP="00597D12">
      <w:pPr>
        <w:pStyle w:val="Prrafodelista"/>
        <w:numPr>
          <w:ilvl w:val="0"/>
          <w:numId w:val="1"/>
        </w:numPr>
        <w:pBdr>
          <w:top w:val="nil"/>
          <w:left w:val="nil"/>
          <w:bottom w:val="nil"/>
          <w:right w:val="nil"/>
          <w:between w:val="nil"/>
        </w:pBdr>
        <w:spacing w:after="0" w:line="276" w:lineRule="auto"/>
        <w:ind w:left="426" w:hanging="284"/>
        <w:jc w:val="both"/>
        <w:rPr>
          <w:rFonts w:ascii="Arial" w:eastAsia="Arial" w:hAnsi="Arial" w:cs="Arial"/>
          <w:sz w:val="24"/>
          <w:szCs w:val="24"/>
          <w:lang w:val="es-ES"/>
        </w:rPr>
      </w:pPr>
      <w:r w:rsidRPr="00820937">
        <w:rPr>
          <w:rFonts w:ascii="Arial" w:eastAsia="Arial" w:hAnsi="Arial" w:cs="Arial"/>
          <w:b/>
          <w:bCs/>
          <w:sz w:val="24"/>
          <w:szCs w:val="24"/>
        </w:rPr>
        <w:t>El Estado peruano</w:t>
      </w:r>
      <w:r w:rsidR="00820937">
        <w:rPr>
          <w:rFonts w:ascii="Arial" w:eastAsia="Arial" w:hAnsi="Arial" w:cs="Arial"/>
          <w:b/>
          <w:bCs/>
          <w:sz w:val="24"/>
          <w:szCs w:val="24"/>
        </w:rPr>
        <w:t xml:space="preserve"> es responsable de</w:t>
      </w:r>
      <w:r w:rsidRPr="00820937">
        <w:rPr>
          <w:rFonts w:ascii="Arial" w:eastAsia="Arial" w:hAnsi="Arial" w:cs="Arial"/>
          <w:b/>
          <w:bCs/>
          <w:sz w:val="24"/>
          <w:szCs w:val="24"/>
        </w:rPr>
        <w:t xml:space="preserve"> la crisis alimentaria y la falta de una alimentación cierta y real se haya extendido a niveles alarmantes</w:t>
      </w:r>
      <w:r w:rsidRPr="00820937">
        <w:rPr>
          <w:rFonts w:ascii="Arial" w:eastAsia="Arial" w:hAnsi="Arial" w:cs="Arial"/>
          <w:sz w:val="24"/>
          <w:szCs w:val="24"/>
        </w:rPr>
        <w:t xml:space="preserve">:  </w:t>
      </w:r>
      <w:r w:rsidR="00EE3263">
        <w:rPr>
          <w:rFonts w:ascii="Arial" w:eastAsia="Arial" w:hAnsi="Arial" w:cs="Arial"/>
          <w:sz w:val="24"/>
          <w:szCs w:val="24"/>
        </w:rPr>
        <w:t>L</w:t>
      </w:r>
      <w:r w:rsidR="00EE3263" w:rsidRPr="00820937">
        <w:rPr>
          <w:rFonts w:ascii="Arial" w:eastAsia="Arial" w:hAnsi="Arial" w:cs="Arial"/>
          <w:sz w:val="24"/>
          <w:szCs w:val="24"/>
        </w:rPr>
        <w:t>a desnutrición infantil en Perú ha aumentado alarmantemente a un 12,2%, afectando principalmente a las zonas rurales y urbanas del país</w:t>
      </w:r>
      <w:r w:rsidRPr="00CD10AD">
        <w:rPr>
          <w:vertAlign w:val="superscript"/>
        </w:rPr>
        <w:footnoteReference w:id="1"/>
      </w:r>
      <w:r w:rsidR="00EE3263" w:rsidRPr="00820937">
        <w:rPr>
          <w:rFonts w:ascii="Arial" w:eastAsia="Arial" w:hAnsi="Arial" w:cs="Arial"/>
          <w:sz w:val="24"/>
          <w:szCs w:val="24"/>
        </w:rPr>
        <w:t xml:space="preserve">, según los resultados de la encuesta </w:t>
      </w:r>
      <w:r w:rsidR="00524D58" w:rsidRPr="00E4671C">
        <w:rPr>
          <w:rFonts w:ascii="Arial" w:eastAsia="Arial" w:hAnsi="Arial" w:cs="Arial"/>
          <w:b/>
          <w:bCs/>
          <w:sz w:val="24"/>
          <w:szCs w:val="24"/>
        </w:rPr>
        <w:t>ENDES 2024-I</w:t>
      </w:r>
      <w:r w:rsidR="00524D58" w:rsidRPr="00820937">
        <w:rPr>
          <w:rFonts w:ascii="Arial" w:eastAsia="Arial" w:hAnsi="Arial" w:cs="Arial"/>
          <w:sz w:val="24"/>
          <w:szCs w:val="24"/>
        </w:rPr>
        <w:t>.</w:t>
      </w:r>
      <w:r w:rsidRPr="00CD10AD">
        <w:rPr>
          <w:vertAlign w:val="superscript"/>
        </w:rPr>
        <w:footnoteReference w:id="2"/>
      </w:r>
      <w:r w:rsidR="00524D58" w:rsidRPr="00820937">
        <w:rPr>
          <w:rFonts w:ascii="Arial" w:eastAsia="Arial" w:hAnsi="Arial" w:cs="Arial"/>
          <w:sz w:val="24"/>
          <w:szCs w:val="24"/>
        </w:rPr>
        <w:t xml:space="preserve"> </w:t>
      </w:r>
      <w:r w:rsidR="00820937">
        <w:rPr>
          <w:rFonts w:ascii="Arial" w:eastAsia="Arial" w:hAnsi="Arial" w:cs="Arial"/>
          <w:sz w:val="24"/>
          <w:szCs w:val="24"/>
        </w:rPr>
        <w:t>En abierta contradicción</w:t>
      </w:r>
      <w:r w:rsidRPr="00820937">
        <w:rPr>
          <w:rFonts w:ascii="Arial" w:eastAsia="Arial" w:hAnsi="Arial" w:cs="Arial"/>
          <w:sz w:val="24"/>
          <w:szCs w:val="24"/>
        </w:rPr>
        <w:t xml:space="preserve"> con los informes presentados por el </w:t>
      </w:r>
      <w:r w:rsidR="00113C09" w:rsidRPr="00820937">
        <w:rPr>
          <w:rFonts w:ascii="Arial" w:eastAsia="Arial" w:hAnsi="Arial" w:cs="Arial"/>
          <w:sz w:val="24"/>
          <w:szCs w:val="24"/>
        </w:rPr>
        <w:t>Estado</w:t>
      </w:r>
      <w:r w:rsidRPr="00820937">
        <w:rPr>
          <w:rFonts w:ascii="Arial" w:eastAsia="Arial" w:hAnsi="Arial" w:cs="Arial"/>
          <w:sz w:val="24"/>
          <w:szCs w:val="24"/>
        </w:rPr>
        <w:t xml:space="preserve"> peruano ante los </w:t>
      </w:r>
      <w:r w:rsidR="00113C09" w:rsidRPr="00820937">
        <w:rPr>
          <w:rFonts w:ascii="Arial" w:eastAsia="Arial" w:hAnsi="Arial" w:cs="Arial"/>
          <w:sz w:val="24"/>
          <w:szCs w:val="24"/>
        </w:rPr>
        <w:t>organismos</w:t>
      </w:r>
      <w:r w:rsidRPr="00820937">
        <w:rPr>
          <w:rFonts w:ascii="Arial" w:eastAsia="Arial" w:hAnsi="Arial" w:cs="Arial"/>
          <w:sz w:val="24"/>
          <w:szCs w:val="24"/>
        </w:rPr>
        <w:t xml:space="preserve"> de </w:t>
      </w:r>
      <w:r w:rsidR="00113C09" w:rsidRPr="00820937">
        <w:rPr>
          <w:rFonts w:ascii="Arial" w:eastAsia="Arial" w:hAnsi="Arial" w:cs="Arial"/>
          <w:sz w:val="24"/>
          <w:szCs w:val="24"/>
        </w:rPr>
        <w:t>supervisión</w:t>
      </w:r>
      <w:r w:rsidR="00822B0C">
        <w:rPr>
          <w:rFonts w:ascii="Arial" w:eastAsia="Arial" w:hAnsi="Arial" w:cs="Arial"/>
          <w:sz w:val="24"/>
          <w:szCs w:val="24"/>
        </w:rPr>
        <w:t>; y</w:t>
      </w:r>
      <w:r w:rsidRPr="00820937">
        <w:rPr>
          <w:rFonts w:ascii="Arial" w:eastAsia="Arial" w:hAnsi="Arial" w:cs="Arial"/>
          <w:sz w:val="24"/>
          <w:szCs w:val="24"/>
        </w:rPr>
        <w:t xml:space="preserve"> </w:t>
      </w:r>
      <w:r w:rsidR="00113C09" w:rsidRPr="00820937">
        <w:rPr>
          <w:rFonts w:ascii="Arial" w:eastAsia="Arial" w:hAnsi="Arial" w:cs="Arial"/>
          <w:sz w:val="24"/>
          <w:szCs w:val="24"/>
        </w:rPr>
        <w:t>en contraste con los resultados de La Encuesta Nacional de Demografía y Salud (ENDES) 2024-I, elaborada por el </w:t>
      </w:r>
      <w:r w:rsidR="00113C09" w:rsidRPr="00820937">
        <w:rPr>
          <w:rFonts w:ascii="Arial" w:eastAsia="Arial" w:hAnsi="Arial" w:cs="Arial"/>
          <w:b/>
          <w:bCs/>
          <w:sz w:val="24"/>
          <w:szCs w:val="24"/>
        </w:rPr>
        <w:t>Instituto Nacional de Estadística e Informática (INEI)</w:t>
      </w:r>
      <w:r w:rsidR="00113C09" w:rsidRPr="00820937">
        <w:rPr>
          <w:rFonts w:ascii="Arial" w:eastAsia="Arial" w:hAnsi="Arial" w:cs="Arial"/>
          <w:sz w:val="24"/>
          <w:szCs w:val="24"/>
        </w:rPr>
        <w:t xml:space="preserve">, </w:t>
      </w:r>
      <w:r w:rsidR="00822B0C">
        <w:rPr>
          <w:rFonts w:ascii="Arial" w:eastAsia="Arial" w:hAnsi="Arial" w:cs="Arial"/>
          <w:sz w:val="24"/>
          <w:szCs w:val="24"/>
        </w:rPr>
        <w:t xml:space="preserve">que </w:t>
      </w:r>
      <w:r w:rsidR="00113C09" w:rsidRPr="00820937">
        <w:rPr>
          <w:rFonts w:ascii="Arial" w:eastAsia="Arial" w:hAnsi="Arial" w:cs="Arial"/>
          <w:sz w:val="24"/>
          <w:szCs w:val="24"/>
        </w:rPr>
        <w:t>ha revelado datos alarmantes sobre la nutrición y salud en el país. El hallazgo más preocupante es el notable </w:t>
      </w:r>
      <w:hyperlink r:id="rId9" w:history="1">
        <w:r w:rsidR="00113C09" w:rsidRPr="00820937">
          <w:rPr>
            <w:rStyle w:val="Hipervnculo"/>
            <w:rFonts w:ascii="Arial" w:eastAsia="Arial" w:hAnsi="Arial" w:cs="Arial"/>
            <w:sz w:val="24"/>
            <w:szCs w:val="24"/>
          </w:rPr>
          <w:t>aumento en los índices de desnutrición crónica infantil</w:t>
        </w:r>
      </w:hyperlink>
      <w:r w:rsidR="00113C09" w:rsidRPr="00820937">
        <w:rPr>
          <w:rFonts w:ascii="Arial" w:eastAsia="Arial" w:hAnsi="Arial" w:cs="Arial"/>
          <w:sz w:val="24"/>
          <w:szCs w:val="24"/>
        </w:rPr>
        <w:t xml:space="preserve">, </w:t>
      </w:r>
      <w:r w:rsidR="00113C09" w:rsidRPr="00113C09">
        <w:rPr>
          <w:vertAlign w:val="superscript"/>
        </w:rPr>
        <w:footnoteReference w:id="3"/>
      </w:r>
      <w:r w:rsidR="00113C09" w:rsidRPr="00820937">
        <w:rPr>
          <w:rFonts w:ascii="Arial" w:eastAsia="Arial" w:hAnsi="Arial" w:cs="Arial"/>
          <w:sz w:val="24"/>
          <w:szCs w:val="24"/>
        </w:rPr>
        <w:t>que ha escalado del 11,5% al 12,2% entre los niños menores de cinco años.</w:t>
      </w:r>
    </w:p>
    <w:p w14:paraId="78E29B38" w14:textId="77777777" w:rsidR="00822B0C" w:rsidRPr="00820937" w:rsidRDefault="00822B0C" w:rsidP="00597D12">
      <w:pPr>
        <w:pStyle w:val="Prrafodelista"/>
        <w:pBdr>
          <w:top w:val="nil"/>
          <w:left w:val="nil"/>
          <w:bottom w:val="nil"/>
          <w:right w:val="nil"/>
          <w:between w:val="nil"/>
        </w:pBdr>
        <w:spacing w:after="0" w:line="276" w:lineRule="auto"/>
        <w:ind w:left="426" w:hanging="284"/>
        <w:jc w:val="both"/>
        <w:rPr>
          <w:rFonts w:ascii="Arial" w:eastAsia="Arial" w:hAnsi="Arial" w:cs="Arial"/>
          <w:sz w:val="24"/>
          <w:szCs w:val="24"/>
          <w:lang w:val="es-ES"/>
        </w:rPr>
      </w:pPr>
    </w:p>
    <w:p w14:paraId="5528872A" w14:textId="7A573C9C" w:rsidR="00113C09" w:rsidRPr="00113C09" w:rsidRDefault="00822B0C" w:rsidP="00597D12">
      <w:pPr>
        <w:numPr>
          <w:ilvl w:val="0"/>
          <w:numId w:val="1"/>
        </w:numPr>
        <w:pBdr>
          <w:top w:val="nil"/>
          <w:left w:val="nil"/>
          <w:bottom w:val="nil"/>
          <w:right w:val="nil"/>
          <w:between w:val="nil"/>
        </w:pBdr>
        <w:spacing w:after="0" w:line="276" w:lineRule="auto"/>
        <w:ind w:left="426" w:hanging="284"/>
        <w:jc w:val="both"/>
        <w:rPr>
          <w:rFonts w:ascii="Arial" w:eastAsia="Arial" w:hAnsi="Arial" w:cs="Arial"/>
          <w:sz w:val="24"/>
          <w:szCs w:val="24"/>
          <w:lang w:val="es-ES"/>
        </w:rPr>
      </w:pPr>
      <w:r>
        <w:rPr>
          <w:rFonts w:ascii="Arial" w:eastAsia="Arial" w:hAnsi="Arial" w:cs="Arial"/>
          <w:b/>
          <w:bCs/>
          <w:sz w:val="24"/>
          <w:szCs w:val="24"/>
          <w:lang w:val="es-PE"/>
        </w:rPr>
        <w:t xml:space="preserve">El fracaso de las metas previstas es la hegemonía de la </w:t>
      </w:r>
      <w:r w:rsidR="00113C09" w:rsidRPr="007C7F94">
        <w:rPr>
          <w:rFonts w:ascii="Arial" w:eastAsia="Arial" w:hAnsi="Arial" w:cs="Arial"/>
          <w:b/>
          <w:bCs/>
          <w:sz w:val="24"/>
          <w:szCs w:val="24"/>
          <w:lang w:val="es-PE"/>
        </w:rPr>
        <w:t>DCI</w:t>
      </w:r>
      <w:r>
        <w:rPr>
          <w:rStyle w:val="Refdenotaalpie"/>
          <w:rFonts w:ascii="Arial" w:eastAsia="Arial" w:hAnsi="Arial" w:cs="Arial"/>
          <w:b/>
          <w:bCs/>
          <w:sz w:val="24"/>
          <w:szCs w:val="24"/>
          <w:lang w:val="es-PE"/>
        </w:rPr>
        <w:footnoteReference w:id="4"/>
      </w:r>
      <w:r>
        <w:rPr>
          <w:rFonts w:ascii="Arial" w:eastAsia="Arial" w:hAnsi="Arial" w:cs="Arial"/>
          <w:sz w:val="24"/>
          <w:szCs w:val="24"/>
          <w:lang w:val="es-PE"/>
        </w:rPr>
        <w:t xml:space="preserve">: </w:t>
      </w:r>
      <w:r w:rsidR="00113C09" w:rsidRPr="00524D58">
        <w:rPr>
          <w:rFonts w:ascii="Arial" w:eastAsia="Arial" w:hAnsi="Arial" w:cs="Arial"/>
          <w:b/>
          <w:bCs/>
          <w:sz w:val="24"/>
          <w:szCs w:val="24"/>
        </w:rPr>
        <w:t xml:space="preserve">ha aumentado de 7,1% a 8,1% en niños menores de 5 años en las zonas </w:t>
      </w:r>
      <w:r w:rsidR="00113C09" w:rsidRPr="00524D58">
        <w:rPr>
          <w:rFonts w:ascii="Arial" w:eastAsia="Arial" w:hAnsi="Arial" w:cs="Arial"/>
          <w:b/>
          <w:bCs/>
          <w:sz w:val="24"/>
          <w:szCs w:val="24"/>
        </w:rPr>
        <w:lastRenderedPageBreak/>
        <w:t>urbanas, mientras que la anemia infantil también se ha incrementado de 39% a 40,2% en niños de 6 a 35 meses de edad de las zonas urbanas</w:t>
      </w:r>
      <w:r w:rsidR="00113C09" w:rsidRPr="00113C09">
        <w:rPr>
          <w:rFonts w:ascii="Arial" w:eastAsia="Arial" w:hAnsi="Arial" w:cs="Arial"/>
          <w:sz w:val="24"/>
          <w:szCs w:val="24"/>
        </w:rPr>
        <w:t>, sumándose a esto la preocupación de que la pobreza monetaria se está concentrando en el 43,3% de los niños menores de 6 años de edad</w:t>
      </w:r>
      <w:r w:rsidR="00113C09" w:rsidRPr="00113C09">
        <w:rPr>
          <w:rFonts w:ascii="Arial" w:eastAsia="Arial" w:hAnsi="Arial" w:cs="Arial"/>
          <w:sz w:val="24"/>
          <w:szCs w:val="24"/>
          <w:vertAlign w:val="superscript"/>
        </w:rPr>
        <w:footnoteReference w:id="5"/>
      </w:r>
    </w:p>
    <w:p w14:paraId="7A3AFDCA" w14:textId="179D5D0E" w:rsidR="00113C09" w:rsidRPr="00822B0C" w:rsidRDefault="00113C09" w:rsidP="00597D12">
      <w:pPr>
        <w:numPr>
          <w:ilvl w:val="0"/>
          <w:numId w:val="1"/>
        </w:numPr>
        <w:pBdr>
          <w:top w:val="nil"/>
          <w:left w:val="nil"/>
          <w:bottom w:val="nil"/>
          <w:right w:val="nil"/>
          <w:between w:val="nil"/>
        </w:pBdr>
        <w:spacing w:after="0" w:line="276" w:lineRule="auto"/>
        <w:ind w:left="426" w:hanging="284"/>
        <w:jc w:val="both"/>
        <w:rPr>
          <w:rFonts w:ascii="Arial" w:eastAsia="Arial" w:hAnsi="Arial" w:cs="Arial"/>
          <w:sz w:val="24"/>
          <w:szCs w:val="24"/>
          <w:lang w:val="es-ES"/>
        </w:rPr>
      </w:pPr>
      <w:r w:rsidRPr="007C7F94">
        <w:rPr>
          <w:rFonts w:ascii="Arial" w:eastAsia="Arial" w:hAnsi="Arial" w:cs="Arial"/>
          <w:b/>
          <w:bCs/>
          <w:sz w:val="24"/>
          <w:szCs w:val="24"/>
          <w:lang w:val="es-PE"/>
        </w:rPr>
        <w:t>Los bajos índices de desnutrición del año 2011 que resalta el actual régimen en anteriores informes</w:t>
      </w:r>
      <w:r w:rsidRPr="007C7F94">
        <w:rPr>
          <w:rStyle w:val="Refdenotaalpie"/>
          <w:rFonts w:ascii="Arial" w:eastAsia="Arial" w:hAnsi="Arial" w:cs="Arial"/>
          <w:b/>
          <w:bCs/>
          <w:sz w:val="24"/>
          <w:szCs w:val="24"/>
          <w:lang w:val="es-PE"/>
        </w:rPr>
        <w:footnoteReference w:id="6"/>
      </w:r>
      <w:r w:rsidRPr="007C7F94">
        <w:rPr>
          <w:rFonts w:ascii="Arial" w:eastAsia="Arial" w:hAnsi="Arial" w:cs="Arial"/>
          <w:b/>
          <w:bCs/>
          <w:sz w:val="24"/>
          <w:szCs w:val="24"/>
          <w:lang w:val="es-PE"/>
        </w:rPr>
        <w:t xml:space="preserve"> han quedado estancados</w:t>
      </w:r>
      <w:r>
        <w:rPr>
          <w:rFonts w:ascii="Arial" w:eastAsia="Arial" w:hAnsi="Arial" w:cs="Arial"/>
          <w:sz w:val="24"/>
          <w:szCs w:val="24"/>
          <w:lang w:val="es-PE"/>
        </w:rPr>
        <w:t xml:space="preserve"> tanto con respecto a la </w:t>
      </w:r>
      <w:r w:rsidR="001B1BAB">
        <w:rPr>
          <w:rFonts w:ascii="Arial" w:eastAsia="Arial" w:hAnsi="Arial" w:cs="Arial"/>
          <w:sz w:val="24"/>
          <w:szCs w:val="24"/>
          <w:lang w:val="es-PE"/>
        </w:rPr>
        <w:t xml:space="preserve">variable </w:t>
      </w:r>
      <w:r w:rsidRPr="00822B0C">
        <w:rPr>
          <w:rFonts w:ascii="Arial" w:eastAsia="Arial" w:hAnsi="Arial" w:cs="Arial"/>
          <w:sz w:val="24"/>
          <w:szCs w:val="24"/>
          <w:u w:val="single"/>
          <w:lang w:val="es-PE"/>
        </w:rPr>
        <w:t>edad de</w:t>
      </w:r>
      <w:r w:rsidR="001B1BAB" w:rsidRPr="00822B0C">
        <w:rPr>
          <w:rFonts w:ascii="Arial" w:eastAsia="Arial" w:hAnsi="Arial" w:cs="Arial"/>
          <w:sz w:val="24"/>
          <w:szCs w:val="24"/>
          <w:u w:val="single"/>
          <w:lang w:val="es-PE"/>
        </w:rPr>
        <w:t xml:space="preserve"> la</w:t>
      </w:r>
      <w:r w:rsidRPr="00822B0C">
        <w:rPr>
          <w:rFonts w:ascii="Arial" w:eastAsia="Arial" w:hAnsi="Arial" w:cs="Arial"/>
          <w:sz w:val="24"/>
          <w:szCs w:val="24"/>
          <w:u w:val="single"/>
          <w:lang w:val="es-PE"/>
        </w:rPr>
        <w:t xml:space="preserve"> anemia y desnutrición</w:t>
      </w:r>
      <w:r>
        <w:rPr>
          <w:rFonts w:ascii="Arial" w:eastAsia="Arial" w:hAnsi="Arial" w:cs="Arial"/>
          <w:sz w:val="24"/>
          <w:szCs w:val="24"/>
          <w:lang w:val="es-PE"/>
        </w:rPr>
        <w:t xml:space="preserve"> como la sectorización</w:t>
      </w:r>
      <w:r w:rsidR="001B1BAB">
        <w:rPr>
          <w:rFonts w:ascii="Arial" w:eastAsia="Arial" w:hAnsi="Arial" w:cs="Arial"/>
          <w:sz w:val="24"/>
          <w:szCs w:val="24"/>
          <w:lang w:val="es-PE"/>
        </w:rPr>
        <w:t xml:space="preserve"> </w:t>
      </w:r>
      <w:r w:rsidR="00822B0C" w:rsidRPr="00822B0C">
        <w:rPr>
          <w:rFonts w:ascii="Arial" w:eastAsia="Arial" w:hAnsi="Arial" w:cs="Arial"/>
          <w:sz w:val="24"/>
          <w:szCs w:val="24"/>
          <w:u w:val="single"/>
          <w:lang w:val="es-PE"/>
        </w:rPr>
        <w:t>geográfica</w:t>
      </w:r>
      <w:r w:rsidRPr="00822B0C">
        <w:rPr>
          <w:rFonts w:ascii="Arial" w:eastAsia="Arial" w:hAnsi="Arial" w:cs="Arial"/>
          <w:sz w:val="24"/>
          <w:szCs w:val="24"/>
          <w:u w:val="single"/>
          <w:lang w:val="es-PE"/>
        </w:rPr>
        <w:t xml:space="preserve"> en el nivel urbano como rural</w:t>
      </w:r>
      <w:r>
        <w:rPr>
          <w:rFonts w:ascii="Arial" w:eastAsia="Arial" w:hAnsi="Arial" w:cs="Arial"/>
          <w:sz w:val="24"/>
          <w:szCs w:val="24"/>
          <w:lang w:val="es-PE"/>
        </w:rPr>
        <w:t xml:space="preserve">: </w:t>
      </w:r>
      <w:r w:rsidRPr="00113C09">
        <w:rPr>
          <w:rFonts w:ascii="Arial" w:eastAsia="Arial" w:hAnsi="Arial" w:cs="Arial"/>
          <w:sz w:val="24"/>
          <w:szCs w:val="24"/>
        </w:rPr>
        <w:t>En el año 2023, el 33,4% de niñas y niños de 6 a 59 meses de edad tuvieron anemia. En comparación con el año anterior, la prevalencia de anemia en niñas y niños de este grupo de edad no tuvo mayor variación; no obstante, en comparación con el 2018, el porcentaje tendió a incrementar.</w:t>
      </w:r>
      <w:r w:rsidRPr="00113C09">
        <w:rPr>
          <w:rFonts w:ascii="Arial" w:eastAsia="Arial" w:hAnsi="Arial" w:cs="Arial"/>
          <w:sz w:val="24"/>
          <w:szCs w:val="24"/>
          <w:vertAlign w:val="superscript"/>
        </w:rPr>
        <w:footnoteReference w:id="7"/>
      </w:r>
    </w:p>
    <w:p w14:paraId="3818FBB0" w14:textId="77777777" w:rsidR="00822B0C" w:rsidRPr="00113C09" w:rsidRDefault="00822B0C" w:rsidP="00597D12">
      <w:pPr>
        <w:pBdr>
          <w:top w:val="nil"/>
          <w:left w:val="nil"/>
          <w:bottom w:val="nil"/>
          <w:right w:val="nil"/>
          <w:between w:val="nil"/>
        </w:pBdr>
        <w:spacing w:after="0" w:line="276" w:lineRule="auto"/>
        <w:ind w:left="426" w:hanging="284"/>
        <w:jc w:val="both"/>
        <w:rPr>
          <w:rFonts w:ascii="Arial" w:eastAsia="Arial" w:hAnsi="Arial" w:cs="Arial"/>
          <w:sz w:val="24"/>
          <w:szCs w:val="24"/>
          <w:lang w:val="es-ES"/>
        </w:rPr>
      </w:pPr>
    </w:p>
    <w:p w14:paraId="775EA626" w14:textId="2D678D23" w:rsidR="001B1BAB" w:rsidRPr="00822B0C" w:rsidRDefault="00EE3263" w:rsidP="00597D12">
      <w:pPr>
        <w:pStyle w:val="Prrafodelista"/>
        <w:numPr>
          <w:ilvl w:val="0"/>
          <w:numId w:val="1"/>
        </w:numPr>
        <w:spacing w:line="276" w:lineRule="auto"/>
        <w:ind w:left="426" w:hanging="284"/>
        <w:jc w:val="both"/>
        <w:rPr>
          <w:rFonts w:ascii="Arial" w:hAnsi="Arial" w:cs="Arial"/>
          <w:sz w:val="24"/>
          <w:szCs w:val="24"/>
          <w:lang w:val="es-ES"/>
        </w:rPr>
      </w:pPr>
      <w:r>
        <w:rPr>
          <w:rFonts w:ascii="Arial" w:hAnsi="Arial" w:cs="Arial"/>
          <w:b/>
          <w:bCs/>
          <w:sz w:val="24"/>
          <w:szCs w:val="24"/>
        </w:rPr>
        <w:t>L</w:t>
      </w:r>
      <w:r w:rsidRPr="00822B0C">
        <w:rPr>
          <w:rFonts w:ascii="Arial" w:hAnsi="Arial" w:cs="Arial"/>
          <w:b/>
          <w:bCs/>
          <w:sz w:val="24"/>
          <w:szCs w:val="24"/>
        </w:rPr>
        <w:t>a anemia</w:t>
      </w:r>
      <w:r w:rsidRPr="00822B0C">
        <w:rPr>
          <w:rFonts w:ascii="Arial" w:hAnsi="Arial" w:cs="Arial"/>
          <w:sz w:val="24"/>
          <w:szCs w:val="24"/>
        </w:rPr>
        <w:t xml:space="preserve"> </w:t>
      </w:r>
      <w:r w:rsidRPr="00822B0C">
        <w:rPr>
          <w:rFonts w:ascii="Arial" w:hAnsi="Arial" w:cs="Arial"/>
          <w:b/>
          <w:bCs/>
          <w:sz w:val="24"/>
          <w:szCs w:val="24"/>
        </w:rPr>
        <w:t>en niñas y niños de 6 a 59 meses</w:t>
      </w:r>
      <w:r w:rsidRPr="00822B0C">
        <w:rPr>
          <w:rFonts w:ascii="Arial" w:hAnsi="Arial" w:cs="Arial"/>
          <w:sz w:val="24"/>
          <w:szCs w:val="24"/>
        </w:rPr>
        <w:t xml:space="preserve"> </w:t>
      </w:r>
      <w:r w:rsidRPr="00524D58">
        <w:rPr>
          <w:rFonts w:ascii="Arial" w:hAnsi="Arial" w:cs="Arial"/>
          <w:b/>
          <w:bCs/>
          <w:sz w:val="24"/>
          <w:szCs w:val="24"/>
        </w:rPr>
        <w:t>afectó más a las niñas y niños del área rural (40,9%);</w:t>
      </w:r>
      <w:r w:rsidRPr="00822B0C">
        <w:rPr>
          <w:rFonts w:ascii="Arial" w:hAnsi="Arial" w:cs="Arial"/>
          <w:sz w:val="24"/>
          <w:szCs w:val="24"/>
        </w:rPr>
        <w:t xml:space="preserve"> esta misma tendencia se aprecia entre ambos tipos de área si se compara en los últimos cinco años</w:t>
      </w:r>
      <w:r w:rsidR="001B1BAB" w:rsidRPr="00822B0C">
        <w:rPr>
          <w:rFonts w:ascii="Arial" w:hAnsi="Arial" w:cs="Arial"/>
          <w:sz w:val="24"/>
          <w:szCs w:val="24"/>
        </w:rPr>
        <w:t>.</w:t>
      </w:r>
      <w:r w:rsidR="001B1BAB" w:rsidRPr="001B1BAB">
        <w:rPr>
          <w:rStyle w:val="Refdenotaalpie"/>
          <w:rFonts w:ascii="Arial" w:hAnsi="Arial" w:cs="Arial"/>
          <w:sz w:val="24"/>
          <w:szCs w:val="24"/>
        </w:rPr>
        <w:footnoteReference w:id="8"/>
      </w:r>
      <w:r w:rsidR="00822B0C" w:rsidRPr="00822B0C">
        <w:rPr>
          <w:rFonts w:ascii="Arial" w:hAnsi="Arial" w:cs="Arial"/>
          <w:sz w:val="24"/>
          <w:szCs w:val="24"/>
        </w:rPr>
        <w:t xml:space="preserve"> </w:t>
      </w:r>
      <w:r>
        <w:rPr>
          <w:rFonts w:ascii="Arial" w:hAnsi="Arial" w:cs="Arial"/>
          <w:b/>
          <w:bCs/>
          <w:sz w:val="24"/>
          <w:szCs w:val="24"/>
        </w:rPr>
        <w:t>S</w:t>
      </w:r>
      <w:r w:rsidRPr="00524D58">
        <w:rPr>
          <w:rFonts w:ascii="Arial" w:hAnsi="Arial" w:cs="Arial"/>
          <w:b/>
          <w:bCs/>
          <w:sz w:val="24"/>
          <w:szCs w:val="24"/>
        </w:rPr>
        <w:t>egún área de residencia, la prevalencia de anemia en niñas y niños de 6 a 35 meses afectó más a las niñas y niños del área rural (50,3%);</w:t>
      </w:r>
      <w:r w:rsidRPr="00822B0C">
        <w:rPr>
          <w:rFonts w:ascii="Arial" w:hAnsi="Arial" w:cs="Arial"/>
          <w:sz w:val="24"/>
          <w:szCs w:val="24"/>
        </w:rPr>
        <w:t xml:space="preserve"> esta misma tendencia se aprecia entre ambos tipos de área si se compara en los últimos cinco años</w:t>
      </w:r>
      <w:r w:rsidR="001B1BAB" w:rsidRPr="001B1BAB">
        <w:rPr>
          <w:rStyle w:val="Refdenotaalpie"/>
          <w:rFonts w:ascii="Arial" w:hAnsi="Arial" w:cs="Arial"/>
          <w:sz w:val="24"/>
          <w:szCs w:val="24"/>
        </w:rPr>
        <w:footnoteReference w:id="9"/>
      </w:r>
    </w:p>
    <w:p w14:paraId="38FD0B9A" w14:textId="6E1F5E39" w:rsidR="001B1BAB" w:rsidRPr="00822B0C" w:rsidRDefault="007C7F94" w:rsidP="00597D12">
      <w:pPr>
        <w:numPr>
          <w:ilvl w:val="0"/>
          <w:numId w:val="1"/>
        </w:numPr>
        <w:pBdr>
          <w:top w:val="nil"/>
          <w:left w:val="nil"/>
          <w:bottom w:val="nil"/>
          <w:right w:val="nil"/>
          <w:between w:val="nil"/>
        </w:pBdr>
        <w:spacing w:before="240" w:after="0" w:line="276" w:lineRule="auto"/>
        <w:ind w:left="426" w:hanging="284"/>
        <w:jc w:val="both"/>
        <w:rPr>
          <w:rFonts w:ascii="Arial" w:eastAsia="Arial" w:hAnsi="Arial" w:cs="Arial"/>
          <w:sz w:val="24"/>
          <w:szCs w:val="24"/>
          <w:lang w:val="es-ES"/>
        </w:rPr>
      </w:pPr>
      <w:r w:rsidRPr="007C7F94">
        <w:rPr>
          <w:rFonts w:ascii="Arial" w:eastAsia="Arial" w:hAnsi="Arial" w:cs="Arial"/>
          <w:b/>
          <w:bCs/>
          <w:sz w:val="24"/>
          <w:szCs w:val="24"/>
        </w:rPr>
        <w:t>Existe manipulación en</w:t>
      </w:r>
      <w:r w:rsidR="001B1BAB" w:rsidRPr="007C7F94">
        <w:rPr>
          <w:rFonts w:ascii="Arial" w:eastAsia="Arial" w:hAnsi="Arial" w:cs="Arial"/>
          <w:b/>
          <w:bCs/>
          <w:sz w:val="24"/>
          <w:szCs w:val="24"/>
        </w:rPr>
        <w:t xml:space="preserve"> el uso de los datos</w:t>
      </w:r>
      <w:r w:rsidR="00822B0C">
        <w:rPr>
          <w:rFonts w:ascii="Arial" w:eastAsia="Arial" w:hAnsi="Arial" w:cs="Arial"/>
          <w:b/>
          <w:bCs/>
          <w:sz w:val="24"/>
          <w:szCs w:val="24"/>
        </w:rPr>
        <w:t>;</w:t>
      </w:r>
      <w:r w:rsidR="001B1BAB" w:rsidRPr="007C7F94">
        <w:rPr>
          <w:rFonts w:ascii="Arial" w:eastAsia="Arial" w:hAnsi="Arial" w:cs="Arial"/>
          <w:b/>
          <w:bCs/>
          <w:sz w:val="24"/>
          <w:szCs w:val="24"/>
        </w:rPr>
        <w:t xml:space="preserve"> y </w:t>
      </w:r>
      <w:r w:rsidRPr="007C7F94">
        <w:rPr>
          <w:rFonts w:ascii="Arial" w:eastAsia="Arial" w:hAnsi="Arial" w:cs="Arial"/>
          <w:b/>
          <w:bCs/>
          <w:sz w:val="24"/>
          <w:szCs w:val="24"/>
        </w:rPr>
        <w:t xml:space="preserve">de </w:t>
      </w:r>
      <w:r w:rsidR="001B1BAB" w:rsidRPr="007C7F94">
        <w:rPr>
          <w:rFonts w:ascii="Arial" w:eastAsia="Arial" w:hAnsi="Arial" w:cs="Arial"/>
          <w:b/>
          <w:bCs/>
          <w:sz w:val="24"/>
          <w:szCs w:val="24"/>
        </w:rPr>
        <w:t>su presentación para tergiversar la realidad</w:t>
      </w:r>
      <w:r w:rsidR="001B1BAB">
        <w:rPr>
          <w:rFonts w:ascii="Arial" w:eastAsia="Arial" w:hAnsi="Arial" w:cs="Arial"/>
          <w:sz w:val="24"/>
          <w:szCs w:val="24"/>
        </w:rPr>
        <w:t xml:space="preserve"> con lo que busca demostrar el Estado peruano de falsos cumplimientos: </w:t>
      </w:r>
      <w:r w:rsidR="001B1BAB" w:rsidRPr="001B1BAB">
        <w:rPr>
          <w:rFonts w:ascii="Arial" w:eastAsia="Arial" w:hAnsi="Arial" w:cs="Arial"/>
          <w:sz w:val="24"/>
          <w:szCs w:val="24"/>
          <w:lang w:val="es-PE"/>
        </w:rPr>
        <w:t xml:space="preserve">La proporción de Desnutrición Crónica en nuestro país mostró en el tiempo una tendencia a decrecer, </w:t>
      </w:r>
      <w:r w:rsidR="001B1BAB" w:rsidRPr="007C7F94">
        <w:rPr>
          <w:rFonts w:ascii="Arial" w:eastAsia="Arial" w:hAnsi="Arial" w:cs="Arial"/>
          <w:sz w:val="24"/>
          <w:szCs w:val="24"/>
          <w:u w:val="single"/>
          <w:lang w:val="es-PE"/>
        </w:rPr>
        <w:t>disminuyendo del 2009 al 2021</w:t>
      </w:r>
      <w:r w:rsidR="001B1BAB" w:rsidRPr="001B1BAB">
        <w:rPr>
          <w:rFonts w:ascii="Arial" w:eastAsia="Arial" w:hAnsi="Arial" w:cs="Arial"/>
          <w:sz w:val="24"/>
          <w:szCs w:val="24"/>
          <w:lang w:val="es-PE"/>
        </w:rPr>
        <w:t xml:space="preserve"> un total de 10,1 puntos porcentuales según el patrón de crecimiento de OMS 2006. </w:t>
      </w:r>
      <w:r w:rsidR="00EE3263">
        <w:rPr>
          <w:rFonts w:ascii="Arial" w:eastAsia="Arial" w:hAnsi="Arial" w:cs="Arial"/>
          <w:sz w:val="24"/>
          <w:szCs w:val="24"/>
          <w:u w:val="single"/>
          <w:lang w:val="es-PE"/>
        </w:rPr>
        <w:t>P</w:t>
      </w:r>
      <w:r w:rsidR="00EE3263" w:rsidRPr="00822B0C">
        <w:rPr>
          <w:rFonts w:ascii="Arial" w:eastAsia="Arial" w:hAnsi="Arial" w:cs="Arial"/>
          <w:sz w:val="24"/>
          <w:szCs w:val="24"/>
          <w:u w:val="single"/>
          <w:lang w:val="es-PE"/>
        </w:rPr>
        <w:t>osteriormente se incrementó en 0,8 puntos porcentuales hasta el 2023 y, para el primer semestre 2024</w:t>
      </w:r>
      <w:r w:rsidR="00EE3263" w:rsidRPr="001B1BAB">
        <w:rPr>
          <w:rFonts w:ascii="Arial" w:eastAsia="Arial" w:hAnsi="Arial" w:cs="Arial"/>
          <w:sz w:val="24"/>
          <w:szCs w:val="24"/>
          <w:lang w:val="es-PE"/>
        </w:rPr>
        <w:t xml:space="preserve"> se evidencia la tendencia al alza, incrementándose en 0,3 puntos porcentuales respecto al año anterior</w:t>
      </w:r>
      <w:r w:rsidR="001B1BAB" w:rsidRPr="001B1BAB">
        <w:rPr>
          <w:rFonts w:ascii="Arial" w:eastAsia="Arial" w:hAnsi="Arial" w:cs="Arial"/>
          <w:sz w:val="24"/>
          <w:szCs w:val="24"/>
          <w:vertAlign w:val="superscript"/>
          <w:lang w:val="es-PE"/>
        </w:rPr>
        <w:footnoteReference w:id="10"/>
      </w:r>
    </w:p>
    <w:p w14:paraId="078C51EE" w14:textId="77777777" w:rsidR="00822B0C" w:rsidRDefault="00822B0C" w:rsidP="00597D12">
      <w:pPr>
        <w:pStyle w:val="Prrafodelista"/>
        <w:ind w:left="426" w:hanging="284"/>
        <w:rPr>
          <w:rFonts w:ascii="Arial" w:eastAsia="Arial" w:hAnsi="Arial" w:cs="Arial"/>
          <w:sz w:val="24"/>
          <w:szCs w:val="24"/>
          <w:lang w:val="es-ES"/>
        </w:rPr>
      </w:pPr>
    </w:p>
    <w:p w14:paraId="655AE891" w14:textId="42A8A171" w:rsidR="001B1BAB" w:rsidRPr="007C7F94" w:rsidRDefault="004E4362" w:rsidP="00597D12">
      <w:pPr>
        <w:numPr>
          <w:ilvl w:val="0"/>
          <w:numId w:val="1"/>
        </w:numPr>
        <w:pBdr>
          <w:top w:val="nil"/>
          <w:left w:val="nil"/>
          <w:bottom w:val="nil"/>
          <w:right w:val="nil"/>
          <w:between w:val="nil"/>
        </w:pBdr>
        <w:spacing w:after="0" w:line="276" w:lineRule="auto"/>
        <w:ind w:left="426" w:hanging="284"/>
        <w:jc w:val="both"/>
        <w:rPr>
          <w:rFonts w:ascii="Arial" w:eastAsia="Arial" w:hAnsi="Arial" w:cs="Arial"/>
          <w:sz w:val="24"/>
          <w:szCs w:val="24"/>
          <w:lang w:val="es-ES"/>
        </w:rPr>
      </w:pPr>
      <w:r w:rsidRPr="004E4362">
        <w:rPr>
          <w:rFonts w:ascii="Arial" w:eastAsia="Arial" w:hAnsi="Arial" w:cs="Arial"/>
          <w:b/>
          <w:bCs/>
          <w:sz w:val="24"/>
          <w:szCs w:val="24"/>
        </w:rPr>
        <w:t>Los logros de la primera década del siglo han sido abandonados por el</w:t>
      </w:r>
      <w:r w:rsidR="001B1BAB" w:rsidRPr="004E4362">
        <w:rPr>
          <w:rFonts w:ascii="Arial" w:eastAsia="Arial" w:hAnsi="Arial" w:cs="Arial"/>
          <w:b/>
          <w:bCs/>
          <w:sz w:val="24"/>
          <w:szCs w:val="24"/>
        </w:rPr>
        <w:t xml:space="preserve"> Estado peruano con consecuencia progresiva en retroceso y aumento de la falta de alimentos para los mas necesitados como de severa crisis para dar efectivamente de comer a los peruanos</w:t>
      </w:r>
      <w:r w:rsidR="001B1BAB">
        <w:rPr>
          <w:rFonts w:ascii="Arial" w:eastAsia="Arial" w:hAnsi="Arial" w:cs="Arial"/>
          <w:sz w:val="24"/>
          <w:szCs w:val="24"/>
        </w:rPr>
        <w:t xml:space="preserve">. </w:t>
      </w:r>
      <w:r w:rsidR="00EE3263">
        <w:rPr>
          <w:rFonts w:ascii="Arial" w:eastAsia="Arial" w:hAnsi="Arial" w:cs="Arial"/>
          <w:sz w:val="24"/>
          <w:szCs w:val="24"/>
        </w:rPr>
        <w:t xml:space="preserve">Así: </w:t>
      </w:r>
      <w:bookmarkStart w:id="7" w:name="_Hlk184425720"/>
      <w:r w:rsidR="00EE3263">
        <w:rPr>
          <w:rFonts w:ascii="Arial" w:eastAsia="Arial" w:hAnsi="Arial" w:cs="Arial"/>
          <w:sz w:val="24"/>
          <w:szCs w:val="24"/>
          <w:lang w:val="es-PE"/>
        </w:rPr>
        <w:t>l</w:t>
      </w:r>
      <w:r w:rsidR="00EE3263" w:rsidRPr="001B1BAB">
        <w:rPr>
          <w:rFonts w:ascii="Arial" w:eastAsia="Arial" w:hAnsi="Arial" w:cs="Arial"/>
          <w:sz w:val="24"/>
          <w:szCs w:val="24"/>
          <w:lang w:val="es-PE"/>
        </w:rPr>
        <w:t>a proporción de desnutrición crónica en nuestro país mostró en el tiempo una tendencia a decrecer, disminuyendo del 2009 al 2021 un total de 10,1 puntos porcentuales según el patrón de crecimiento de</w:t>
      </w:r>
      <w:r w:rsidR="00EE3263">
        <w:rPr>
          <w:rFonts w:ascii="Arial" w:eastAsia="Arial" w:hAnsi="Arial" w:cs="Arial"/>
          <w:sz w:val="24"/>
          <w:szCs w:val="24"/>
          <w:lang w:val="es-PE"/>
        </w:rPr>
        <w:t xml:space="preserve"> la</w:t>
      </w:r>
      <w:r w:rsidR="00EE3263" w:rsidRPr="001B1BAB">
        <w:rPr>
          <w:rFonts w:ascii="Arial" w:eastAsia="Arial" w:hAnsi="Arial" w:cs="Arial"/>
          <w:sz w:val="24"/>
          <w:szCs w:val="24"/>
          <w:lang w:val="es-PE"/>
        </w:rPr>
        <w:t xml:space="preserve"> OMS 2006. </w:t>
      </w:r>
      <w:r w:rsidR="00EE3263">
        <w:rPr>
          <w:rFonts w:ascii="Arial" w:eastAsia="Arial" w:hAnsi="Arial" w:cs="Arial"/>
          <w:sz w:val="24"/>
          <w:szCs w:val="24"/>
          <w:lang w:val="es-PE"/>
        </w:rPr>
        <w:t>P</w:t>
      </w:r>
      <w:r w:rsidR="00EE3263" w:rsidRPr="001B1BAB">
        <w:rPr>
          <w:rFonts w:ascii="Arial" w:eastAsia="Arial" w:hAnsi="Arial" w:cs="Arial"/>
          <w:sz w:val="24"/>
          <w:szCs w:val="24"/>
          <w:lang w:val="es-PE"/>
        </w:rPr>
        <w:t>osteriormente se incrementó en 0,8 puntos porcentuales hasta el 2023 y, para el primer semestre 2024 se evidencia la tendencia al alza, incrementándose en 0,3 puntos porcentuales respecto al año anterior</w:t>
      </w:r>
      <w:r w:rsidR="001B1BAB" w:rsidRPr="001B1BAB">
        <w:rPr>
          <w:rFonts w:ascii="Arial" w:eastAsia="Arial" w:hAnsi="Arial" w:cs="Arial"/>
          <w:sz w:val="24"/>
          <w:szCs w:val="24"/>
          <w:vertAlign w:val="superscript"/>
          <w:lang w:val="es-PE"/>
        </w:rPr>
        <w:footnoteReference w:id="11"/>
      </w:r>
    </w:p>
    <w:p w14:paraId="33CFD38D" w14:textId="77777777" w:rsidR="007C7F94" w:rsidRPr="001B1BAB" w:rsidRDefault="007C7F94" w:rsidP="00597D12">
      <w:pPr>
        <w:pBdr>
          <w:top w:val="nil"/>
          <w:left w:val="nil"/>
          <w:bottom w:val="nil"/>
          <w:right w:val="nil"/>
          <w:between w:val="nil"/>
        </w:pBdr>
        <w:spacing w:after="0" w:line="276" w:lineRule="auto"/>
        <w:ind w:left="426" w:hanging="284"/>
        <w:jc w:val="both"/>
        <w:rPr>
          <w:rFonts w:ascii="Arial" w:eastAsia="Arial" w:hAnsi="Arial" w:cs="Arial"/>
          <w:sz w:val="24"/>
          <w:szCs w:val="24"/>
          <w:lang w:val="es-ES"/>
        </w:rPr>
      </w:pPr>
    </w:p>
    <w:bookmarkEnd w:id="7"/>
    <w:p w14:paraId="2E688DFD" w14:textId="6BBA29FC" w:rsidR="002F1B50" w:rsidRPr="002F1B50" w:rsidRDefault="00EE3263" w:rsidP="00597D12">
      <w:pPr>
        <w:numPr>
          <w:ilvl w:val="0"/>
          <w:numId w:val="1"/>
        </w:numPr>
        <w:pBdr>
          <w:top w:val="nil"/>
          <w:left w:val="nil"/>
          <w:bottom w:val="nil"/>
          <w:right w:val="nil"/>
          <w:between w:val="nil"/>
        </w:pBdr>
        <w:spacing w:after="0" w:line="276" w:lineRule="auto"/>
        <w:ind w:left="426" w:hanging="284"/>
        <w:jc w:val="both"/>
        <w:rPr>
          <w:rFonts w:ascii="Arial" w:eastAsia="Arial" w:hAnsi="Arial" w:cs="Arial"/>
          <w:sz w:val="24"/>
          <w:szCs w:val="24"/>
          <w:lang w:val="es-ES"/>
        </w:rPr>
      </w:pPr>
      <w:r>
        <w:rPr>
          <w:rFonts w:ascii="Arial" w:eastAsia="Arial" w:hAnsi="Arial" w:cs="Arial"/>
          <w:b/>
          <w:bCs/>
          <w:sz w:val="24"/>
          <w:szCs w:val="24"/>
        </w:rPr>
        <w:t>L</w:t>
      </w:r>
      <w:r w:rsidRPr="004E4362">
        <w:rPr>
          <w:rFonts w:ascii="Arial" w:eastAsia="Arial" w:hAnsi="Arial" w:cs="Arial"/>
          <w:b/>
          <w:bCs/>
          <w:sz w:val="24"/>
          <w:szCs w:val="24"/>
        </w:rPr>
        <w:t>os resultados en el actual año 2024 son una violación al artículo 2° en su primer párrafo de los derechos económicos, sociales y culturales consagrados en el pacto</w:t>
      </w:r>
      <w:r w:rsidR="002F1B50">
        <w:rPr>
          <w:rStyle w:val="Refdenotaalpie"/>
          <w:rFonts w:ascii="Arial" w:eastAsia="Arial" w:hAnsi="Arial" w:cs="Arial"/>
          <w:sz w:val="24"/>
          <w:szCs w:val="24"/>
        </w:rPr>
        <w:footnoteReference w:id="12"/>
      </w:r>
      <w:r w:rsidR="002F1B50">
        <w:rPr>
          <w:rFonts w:ascii="Arial" w:eastAsia="Arial" w:hAnsi="Arial" w:cs="Arial"/>
          <w:sz w:val="24"/>
          <w:szCs w:val="24"/>
        </w:rPr>
        <w:t xml:space="preserve"> y su evolución en los últimos diez años</w:t>
      </w:r>
      <w:r w:rsidR="002F1B50">
        <w:rPr>
          <w:rStyle w:val="Refdenotaalpie"/>
          <w:rFonts w:ascii="Arial" w:eastAsia="Arial" w:hAnsi="Arial" w:cs="Arial"/>
          <w:sz w:val="24"/>
          <w:szCs w:val="24"/>
        </w:rPr>
        <w:footnoteReference w:id="13"/>
      </w:r>
      <w:r w:rsidR="002F1B50">
        <w:rPr>
          <w:rFonts w:ascii="Arial" w:eastAsia="Arial" w:hAnsi="Arial" w:cs="Arial"/>
          <w:sz w:val="24"/>
          <w:szCs w:val="24"/>
        </w:rPr>
        <w:t xml:space="preserve">: </w:t>
      </w:r>
      <w:r w:rsidR="002F1B50" w:rsidRPr="002F1B50">
        <w:rPr>
          <w:rFonts w:ascii="Arial" w:eastAsia="Arial" w:hAnsi="Arial" w:cs="Arial"/>
          <w:sz w:val="24"/>
          <w:szCs w:val="24"/>
          <w:lang w:val="es-ES"/>
        </w:rPr>
        <w:t xml:space="preserve">En el primer trimestre de 2024, la desnutrición crónica en niños menores de cinco años habría alcanzado un 12.2% a nivel nacional. Este resultado representaría un aumento de 0.7 puntos porcentuales (pp.) respecto del año previo, según el </w:t>
      </w:r>
      <w:r w:rsidR="00597D12">
        <w:rPr>
          <w:rFonts w:ascii="Arial" w:eastAsia="Arial" w:hAnsi="Arial" w:cs="Arial"/>
          <w:sz w:val="24"/>
          <w:szCs w:val="24"/>
          <w:lang w:val="es-ES"/>
        </w:rPr>
        <w:t>I</w:t>
      </w:r>
      <w:r w:rsidR="002F1B50" w:rsidRPr="002F1B50">
        <w:rPr>
          <w:rFonts w:ascii="Arial" w:eastAsia="Arial" w:hAnsi="Arial" w:cs="Arial"/>
          <w:sz w:val="24"/>
          <w:szCs w:val="24"/>
          <w:lang w:val="es-ES"/>
        </w:rPr>
        <w:t xml:space="preserve">nforme de resultados preliminares de la Encuesta Demográfica y de Salud Familiar del Instituto Nacional de Estadística e Informática (INEI). </w:t>
      </w:r>
      <w:r w:rsidR="002F1B50" w:rsidRPr="002F1B50">
        <w:rPr>
          <w:rFonts w:ascii="Arial" w:eastAsia="Arial" w:hAnsi="Arial" w:cs="Arial"/>
          <w:sz w:val="24"/>
          <w:szCs w:val="24"/>
          <w:vertAlign w:val="superscript"/>
          <w:lang w:val="es-ES"/>
        </w:rPr>
        <w:footnoteReference w:id="14"/>
      </w:r>
    </w:p>
    <w:p w14:paraId="2346B999" w14:textId="77777777" w:rsidR="00CD10AD" w:rsidRDefault="00CD10AD" w:rsidP="00597D12">
      <w:pPr>
        <w:spacing w:after="0" w:line="276" w:lineRule="auto"/>
        <w:ind w:left="426" w:hanging="284"/>
        <w:jc w:val="both"/>
        <w:rPr>
          <w:rFonts w:ascii="Arial" w:eastAsia="Arial" w:hAnsi="Arial" w:cs="Arial"/>
          <w:b/>
          <w:sz w:val="24"/>
          <w:szCs w:val="24"/>
        </w:rPr>
      </w:pPr>
    </w:p>
    <w:p w14:paraId="0D16C167" w14:textId="53D58DFE" w:rsidR="00A44DB3" w:rsidRPr="00A44DB3" w:rsidRDefault="00EE3263" w:rsidP="00597D12">
      <w:pPr>
        <w:numPr>
          <w:ilvl w:val="0"/>
          <w:numId w:val="1"/>
        </w:numPr>
        <w:pBdr>
          <w:top w:val="nil"/>
          <w:left w:val="nil"/>
          <w:bottom w:val="nil"/>
          <w:right w:val="nil"/>
          <w:between w:val="nil"/>
        </w:pBdr>
        <w:spacing w:line="276" w:lineRule="auto"/>
        <w:ind w:left="426" w:hanging="284"/>
        <w:jc w:val="both"/>
        <w:rPr>
          <w:rFonts w:ascii="Arial" w:eastAsia="Arial" w:hAnsi="Arial" w:cs="Arial"/>
          <w:sz w:val="24"/>
          <w:szCs w:val="24"/>
          <w:lang w:val="es-ES"/>
        </w:rPr>
      </w:pPr>
      <w:r>
        <w:rPr>
          <w:rFonts w:ascii="Arial" w:eastAsia="Arial" w:hAnsi="Arial" w:cs="Arial"/>
          <w:b/>
          <w:bCs/>
          <w:sz w:val="24"/>
          <w:szCs w:val="24"/>
        </w:rPr>
        <w:t>E</w:t>
      </w:r>
      <w:r w:rsidRPr="004E4362">
        <w:rPr>
          <w:rFonts w:ascii="Arial" w:eastAsia="Arial" w:hAnsi="Arial" w:cs="Arial"/>
          <w:b/>
          <w:bCs/>
          <w:sz w:val="24"/>
          <w:szCs w:val="24"/>
        </w:rPr>
        <w:t xml:space="preserve">l derroche del gasto público se ha descubierto con el escándalo de </w:t>
      </w:r>
      <w:bookmarkStart w:id="9" w:name="_Hlk184705448"/>
      <w:r w:rsidRPr="004E4362">
        <w:rPr>
          <w:rFonts w:ascii="Arial" w:eastAsia="Arial" w:hAnsi="Arial" w:cs="Arial"/>
          <w:b/>
          <w:bCs/>
          <w:sz w:val="24"/>
          <w:szCs w:val="24"/>
          <w:lang w:val="es-ES"/>
        </w:rPr>
        <w:t>Qali Warma</w:t>
      </w:r>
      <w:bookmarkEnd w:id="9"/>
      <w:r w:rsidRPr="004E4362">
        <w:rPr>
          <w:rFonts w:ascii="Arial" w:eastAsia="Arial" w:hAnsi="Arial" w:cs="Arial"/>
          <w:b/>
          <w:bCs/>
          <w:sz w:val="24"/>
          <w:szCs w:val="24"/>
          <w:lang w:val="es-ES"/>
        </w:rPr>
        <w:t>, que fue un programa social de asistencia alimentaria a niños y niñas de instituciones educativas públicas del nivel inicial y primario</w:t>
      </w:r>
      <w:r w:rsidRPr="00A44DB3">
        <w:rPr>
          <w:rFonts w:ascii="Arial" w:eastAsia="Arial" w:hAnsi="Arial" w:cs="Arial"/>
          <w:sz w:val="24"/>
          <w:szCs w:val="24"/>
          <w:lang w:val="es-ES"/>
        </w:rPr>
        <w:t xml:space="preserve"> </w:t>
      </w:r>
      <w:r w:rsidR="00A44DB3" w:rsidRPr="00A44DB3">
        <w:rPr>
          <w:rFonts w:ascii="Arial" w:eastAsia="Arial" w:hAnsi="Arial" w:cs="Arial"/>
          <w:sz w:val="24"/>
          <w:szCs w:val="24"/>
          <w:lang w:val="es-ES"/>
        </w:rPr>
        <w:lastRenderedPageBreak/>
        <w:t>(principalmente)</w:t>
      </w:r>
      <w:r w:rsidR="004E4362">
        <w:rPr>
          <w:rFonts w:ascii="Arial" w:eastAsia="Arial" w:hAnsi="Arial" w:cs="Arial"/>
          <w:sz w:val="24"/>
          <w:szCs w:val="24"/>
          <w:lang w:val="es-ES"/>
        </w:rPr>
        <w:t>. S</w:t>
      </w:r>
      <w:r w:rsidR="00A44DB3" w:rsidRPr="00A44DB3">
        <w:rPr>
          <w:rFonts w:ascii="Arial" w:eastAsia="Arial" w:hAnsi="Arial" w:cs="Arial"/>
          <w:sz w:val="24"/>
          <w:szCs w:val="24"/>
          <w:lang w:val="es-ES"/>
        </w:rPr>
        <w:t xml:space="preserve">e creó en </w:t>
      </w:r>
      <w:r w:rsidR="00A44DB3" w:rsidRPr="007C7F94">
        <w:rPr>
          <w:rFonts w:ascii="Arial" w:eastAsia="Arial" w:hAnsi="Arial" w:cs="Arial"/>
          <w:b/>
          <w:bCs/>
          <w:sz w:val="24"/>
          <w:szCs w:val="24"/>
          <w:lang w:val="es-ES"/>
        </w:rPr>
        <w:t>2012</w:t>
      </w:r>
      <w:r w:rsidR="00A44DB3" w:rsidRPr="00A44DB3">
        <w:rPr>
          <w:rFonts w:ascii="Arial" w:eastAsia="Arial" w:hAnsi="Arial" w:cs="Arial"/>
          <w:sz w:val="24"/>
          <w:szCs w:val="24"/>
          <w:lang w:val="es-ES"/>
        </w:rPr>
        <w:t xml:space="preserve"> con el fin de otorgar un servicio de alimentación de calidad durante todo el año escolar, </w:t>
      </w:r>
      <w:r w:rsidR="004E4362">
        <w:rPr>
          <w:rFonts w:ascii="Arial" w:eastAsia="Arial" w:hAnsi="Arial" w:cs="Arial"/>
          <w:sz w:val="24"/>
          <w:szCs w:val="24"/>
          <w:lang w:val="es-ES"/>
        </w:rPr>
        <w:t>para</w:t>
      </w:r>
      <w:r w:rsidR="00A44DB3" w:rsidRPr="00A44DB3">
        <w:rPr>
          <w:rFonts w:ascii="Arial" w:eastAsia="Arial" w:hAnsi="Arial" w:cs="Arial"/>
          <w:sz w:val="24"/>
          <w:szCs w:val="24"/>
          <w:lang w:val="es-ES"/>
        </w:rPr>
        <w:t xml:space="preserve"> que las niñas y niños mejoren su atención y aprendizaje en clase. </w:t>
      </w:r>
      <w:r>
        <w:rPr>
          <w:rFonts w:ascii="Arial" w:eastAsia="Arial" w:hAnsi="Arial" w:cs="Arial"/>
          <w:sz w:val="24"/>
          <w:szCs w:val="24"/>
          <w:lang w:val="es-ES"/>
        </w:rPr>
        <w:t>E</w:t>
      </w:r>
      <w:r w:rsidRPr="00A44DB3">
        <w:rPr>
          <w:rFonts w:ascii="Arial" w:eastAsia="Arial" w:hAnsi="Arial" w:cs="Arial"/>
          <w:sz w:val="24"/>
          <w:szCs w:val="24"/>
          <w:lang w:val="es-ES"/>
        </w:rPr>
        <w:t>sta iniciativa estatal</w:t>
      </w:r>
      <w:r>
        <w:rPr>
          <w:rFonts w:ascii="Arial" w:eastAsia="Arial" w:hAnsi="Arial" w:cs="Arial"/>
          <w:sz w:val="24"/>
          <w:szCs w:val="24"/>
          <w:lang w:val="es-ES"/>
        </w:rPr>
        <w:t xml:space="preserve"> ha fracasado y</w:t>
      </w:r>
      <w:r w:rsidRPr="00A44DB3">
        <w:rPr>
          <w:rFonts w:ascii="Arial" w:eastAsia="Arial" w:hAnsi="Arial" w:cs="Arial"/>
          <w:sz w:val="24"/>
          <w:szCs w:val="24"/>
          <w:lang w:val="es-ES"/>
        </w:rPr>
        <w:t xml:space="preserve"> no ha logrado </w:t>
      </w:r>
      <w:r>
        <w:rPr>
          <w:rFonts w:ascii="Arial" w:eastAsia="Arial" w:hAnsi="Arial" w:cs="Arial"/>
          <w:sz w:val="24"/>
          <w:szCs w:val="24"/>
          <w:lang w:val="es-ES"/>
        </w:rPr>
        <w:t xml:space="preserve">ninguna clase de </w:t>
      </w:r>
      <w:r w:rsidRPr="00A44DB3">
        <w:rPr>
          <w:rFonts w:ascii="Arial" w:eastAsia="Arial" w:hAnsi="Arial" w:cs="Arial"/>
          <w:sz w:val="24"/>
          <w:szCs w:val="24"/>
          <w:lang w:val="es-ES"/>
        </w:rPr>
        <w:t>efectos significativos en la reducción de la anemia y la DCI en el grupo de niñas y niños de 3 a 5 años que fueron evaluados para el periodo 2014-2017</w:t>
      </w:r>
      <w:r w:rsidR="00A44DB3" w:rsidRPr="00A44DB3">
        <w:rPr>
          <w:rFonts w:ascii="Arial" w:eastAsia="Arial" w:hAnsi="Arial" w:cs="Arial"/>
          <w:sz w:val="24"/>
          <w:szCs w:val="24"/>
          <w:vertAlign w:val="superscript"/>
          <w:lang w:val="es-ES"/>
        </w:rPr>
        <w:footnoteReference w:id="15"/>
      </w:r>
      <w:r w:rsidR="004E4362" w:rsidRPr="00A44DB3">
        <w:rPr>
          <w:rFonts w:ascii="Arial" w:eastAsia="Arial" w:hAnsi="Arial" w:cs="Arial"/>
          <w:sz w:val="24"/>
          <w:szCs w:val="24"/>
          <w:lang w:val="es-ES"/>
        </w:rPr>
        <w:t xml:space="preserve">. </w:t>
      </w:r>
    </w:p>
    <w:p w14:paraId="17F5C402" w14:textId="6E9478BE" w:rsidR="00A44DB3" w:rsidRDefault="00EE3263" w:rsidP="00597D12">
      <w:pPr>
        <w:pStyle w:val="Prrafodelista"/>
        <w:numPr>
          <w:ilvl w:val="0"/>
          <w:numId w:val="1"/>
        </w:numPr>
        <w:spacing w:before="240" w:after="0" w:line="276" w:lineRule="auto"/>
        <w:ind w:left="426" w:hanging="284"/>
        <w:jc w:val="both"/>
        <w:rPr>
          <w:rFonts w:ascii="Arial" w:hAnsi="Arial" w:cs="Arial"/>
          <w:sz w:val="24"/>
          <w:szCs w:val="24"/>
          <w:lang w:val="es-ES"/>
        </w:rPr>
      </w:pPr>
      <w:r>
        <w:rPr>
          <w:rFonts w:ascii="Arial" w:hAnsi="Arial" w:cs="Arial"/>
          <w:b/>
          <w:bCs/>
          <w:sz w:val="24"/>
          <w:szCs w:val="24"/>
          <w:lang w:val="es-ES"/>
        </w:rPr>
        <w:t xml:space="preserve">Las denuncias del programa </w:t>
      </w:r>
      <w:r w:rsidRPr="00EE3263">
        <w:rPr>
          <w:rFonts w:ascii="Arial" w:hAnsi="Arial" w:cs="Arial"/>
          <w:b/>
          <w:bCs/>
          <w:sz w:val="24"/>
          <w:szCs w:val="24"/>
          <w:lang w:val="es-ES"/>
        </w:rPr>
        <w:t>Qali Warma</w:t>
      </w:r>
      <w:r w:rsidRPr="007C7F94">
        <w:rPr>
          <w:rFonts w:ascii="Arial" w:hAnsi="Arial" w:cs="Arial"/>
          <w:b/>
          <w:bCs/>
          <w:sz w:val="24"/>
          <w:szCs w:val="24"/>
          <w:lang w:val="es-ES"/>
        </w:rPr>
        <w:t xml:space="preserve"> </w:t>
      </w:r>
      <w:r>
        <w:rPr>
          <w:rFonts w:ascii="Arial" w:hAnsi="Arial" w:cs="Arial"/>
          <w:b/>
          <w:bCs/>
          <w:sz w:val="24"/>
          <w:szCs w:val="24"/>
          <w:lang w:val="es-ES"/>
        </w:rPr>
        <w:t>es</w:t>
      </w:r>
      <w:r w:rsidRPr="007C7F94">
        <w:rPr>
          <w:rFonts w:ascii="Arial" w:hAnsi="Arial" w:cs="Arial"/>
          <w:b/>
          <w:bCs/>
          <w:sz w:val="24"/>
          <w:szCs w:val="24"/>
          <w:lang w:val="es-ES"/>
        </w:rPr>
        <w:t xml:space="preserve"> que son insuficientes</w:t>
      </w:r>
      <w:r w:rsidRPr="00A44DB3">
        <w:rPr>
          <w:rFonts w:ascii="Arial" w:hAnsi="Arial" w:cs="Arial"/>
          <w:sz w:val="24"/>
          <w:szCs w:val="24"/>
          <w:lang w:val="es-ES"/>
        </w:rPr>
        <w:t xml:space="preserve"> </w:t>
      </w:r>
      <w:r w:rsidRPr="00822B0C">
        <w:rPr>
          <w:rFonts w:ascii="Arial" w:hAnsi="Arial" w:cs="Arial"/>
          <w:b/>
          <w:bCs/>
          <w:sz w:val="24"/>
          <w:szCs w:val="24"/>
          <w:lang w:val="es-ES"/>
        </w:rPr>
        <w:t>los meses en los que se recibe alimentos desde el programa, la pésima calidad de los mismos, la forma de entrega y la receptibilidad de las niñas y niños respecto a los alimentos desprovistos de los nutrientes</w:t>
      </w:r>
      <w:r>
        <w:rPr>
          <w:rFonts w:ascii="Arial" w:hAnsi="Arial" w:cs="Arial"/>
          <w:sz w:val="24"/>
          <w:szCs w:val="24"/>
          <w:lang w:val="es-ES"/>
        </w:rPr>
        <w:t xml:space="preserve"> </w:t>
      </w:r>
      <w:r w:rsidR="00A44DB3">
        <w:rPr>
          <w:rFonts w:ascii="Arial" w:hAnsi="Arial" w:cs="Arial"/>
          <w:sz w:val="24"/>
          <w:szCs w:val="24"/>
          <w:lang w:val="es-ES"/>
        </w:rPr>
        <w:t xml:space="preserve">que debía </w:t>
      </w:r>
      <w:r w:rsidR="00A44DB3" w:rsidRPr="00A44DB3">
        <w:rPr>
          <w:rFonts w:ascii="Arial" w:hAnsi="Arial" w:cs="Arial"/>
          <w:sz w:val="24"/>
          <w:szCs w:val="24"/>
          <w:lang w:val="es-ES"/>
        </w:rPr>
        <w:t>entrega</w:t>
      </w:r>
      <w:r w:rsidR="00A44DB3">
        <w:rPr>
          <w:rFonts w:ascii="Arial" w:hAnsi="Arial" w:cs="Arial"/>
          <w:sz w:val="24"/>
          <w:szCs w:val="24"/>
          <w:lang w:val="es-ES"/>
        </w:rPr>
        <w:t>r</w:t>
      </w:r>
      <w:r w:rsidR="00A44DB3" w:rsidRPr="00A44DB3">
        <w:rPr>
          <w:rFonts w:ascii="Arial" w:hAnsi="Arial" w:cs="Arial"/>
          <w:sz w:val="24"/>
          <w:szCs w:val="24"/>
          <w:lang w:val="es-ES"/>
        </w:rPr>
        <w:t xml:space="preserve"> el programa</w:t>
      </w:r>
      <w:r w:rsidR="00A44DB3">
        <w:rPr>
          <w:rStyle w:val="Refdenotaalpie"/>
          <w:rFonts w:ascii="Arial" w:hAnsi="Arial" w:cs="Arial"/>
          <w:sz w:val="24"/>
          <w:szCs w:val="24"/>
          <w:lang w:val="es-ES"/>
        </w:rPr>
        <w:footnoteReference w:id="16"/>
      </w:r>
      <w:r w:rsidR="00A44DB3" w:rsidRPr="00A44DB3">
        <w:rPr>
          <w:rFonts w:ascii="Arial" w:hAnsi="Arial" w:cs="Arial"/>
          <w:sz w:val="24"/>
          <w:szCs w:val="24"/>
          <w:lang w:val="es-ES"/>
        </w:rPr>
        <w:t xml:space="preserve">.  </w:t>
      </w:r>
      <w:r>
        <w:rPr>
          <w:rFonts w:ascii="Arial" w:hAnsi="Arial" w:cs="Arial"/>
          <w:sz w:val="24"/>
          <w:szCs w:val="24"/>
          <w:lang w:val="es-ES"/>
        </w:rPr>
        <w:t>E</w:t>
      </w:r>
      <w:r w:rsidRPr="00A44DB3">
        <w:rPr>
          <w:rFonts w:ascii="Arial" w:hAnsi="Arial" w:cs="Arial"/>
          <w:sz w:val="24"/>
          <w:szCs w:val="24"/>
          <w:lang w:val="es-ES"/>
        </w:rPr>
        <w:t xml:space="preserve">n 2022, un estudio del propio ministerio de desarrollo e inclusión social (MIDIS), evidenció que para el 2019 el 95.3% de estudiantes de primaria de siete regiones evaluadas (Áncash, </w:t>
      </w:r>
      <w:r>
        <w:rPr>
          <w:rFonts w:ascii="Arial" w:hAnsi="Arial" w:cs="Arial"/>
          <w:sz w:val="24"/>
          <w:szCs w:val="24"/>
          <w:lang w:val="es-ES"/>
        </w:rPr>
        <w:t>C</w:t>
      </w:r>
      <w:r w:rsidRPr="00A44DB3">
        <w:rPr>
          <w:rFonts w:ascii="Arial" w:hAnsi="Arial" w:cs="Arial"/>
          <w:sz w:val="24"/>
          <w:szCs w:val="24"/>
          <w:lang w:val="es-ES"/>
        </w:rPr>
        <w:t xml:space="preserve">usco, </w:t>
      </w:r>
      <w:r>
        <w:rPr>
          <w:rFonts w:ascii="Arial" w:hAnsi="Arial" w:cs="Arial"/>
          <w:sz w:val="24"/>
          <w:szCs w:val="24"/>
          <w:lang w:val="es-ES"/>
        </w:rPr>
        <w:t>I</w:t>
      </w:r>
      <w:r w:rsidRPr="00A44DB3">
        <w:rPr>
          <w:rFonts w:ascii="Arial" w:hAnsi="Arial" w:cs="Arial"/>
          <w:sz w:val="24"/>
          <w:szCs w:val="24"/>
          <w:lang w:val="es-ES"/>
        </w:rPr>
        <w:t xml:space="preserve">ca, </w:t>
      </w:r>
      <w:r>
        <w:rPr>
          <w:rFonts w:ascii="Arial" w:hAnsi="Arial" w:cs="Arial"/>
          <w:sz w:val="24"/>
          <w:szCs w:val="24"/>
          <w:lang w:val="es-ES"/>
        </w:rPr>
        <w:t>L</w:t>
      </w:r>
      <w:r w:rsidRPr="00A44DB3">
        <w:rPr>
          <w:rFonts w:ascii="Arial" w:hAnsi="Arial" w:cs="Arial"/>
          <w:sz w:val="24"/>
          <w:szCs w:val="24"/>
          <w:lang w:val="es-ES"/>
        </w:rPr>
        <w:t xml:space="preserve">ambayeque, </w:t>
      </w:r>
      <w:r>
        <w:rPr>
          <w:rFonts w:ascii="Arial" w:hAnsi="Arial" w:cs="Arial"/>
          <w:sz w:val="24"/>
          <w:szCs w:val="24"/>
          <w:lang w:val="es-ES"/>
        </w:rPr>
        <w:t>L</w:t>
      </w:r>
      <w:r w:rsidRPr="00A44DB3">
        <w:rPr>
          <w:rFonts w:ascii="Arial" w:hAnsi="Arial" w:cs="Arial"/>
          <w:sz w:val="24"/>
          <w:szCs w:val="24"/>
          <w:lang w:val="es-ES"/>
        </w:rPr>
        <w:t xml:space="preserve">ima, </w:t>
      </w:r>
      <w:r>
        <w:rPr>
          <w:rFonts w:ascii="Arial" w:hAnsi="Arial" w:cs="Arial"/>
          <w:sz w:val="24"/>
          <w:szCs w:val="24"/>
          <w:lang w:val="es-ES"/>
        </w:rPr>
        <w:t>L</w:t>
      </w:r>
      <w:r w:rsidRPr="00A44DB3">
        <w:rPr>
          <w:rFonts w:ascii="Arial" w:hAnsi="Arial" w:cs="Arial"/>
          <w:sz w:val="24"/>
          <w:szCs w:val="24"/>
          <w:lang w:val="es-ES"/>
        </w:rPr>
        <w:t xml:space="preserve">oreto y Huancavelica) que dependen únicamente de estos alimentos, </w:t>
      </w:r>
      <w:r w:rsidRPr="00822B0C">
        <w:rPr>
          <w:rFonts w:ascii="Arial" w:hAnsi="Arial" w:cs="Arial"/>
          <w:sz w:val="24"/>
          <w:szCs w:val="24"/>
          <w:u w:val="single"/>
          <w:lang w:val="es-ES"/>
        </w:rPr>
        <w:t>no recibían ni la cantidad mínima de hierro para el desayuno</w:t>
      </w:r>
      <w:r w:rsidRPr="00A44DB3">
        <w:rPr>
          <w:rFonts w:ascii="Arial" w:hAnsi="Arial" w:cs="Arial"/>
          <w:sz w:val="24"/>
          <w:szCs w:val="24"/>
          <w:lang w:val="es-ES"/>
        </w:rPr>
        <w:t>.</w:t>
      </w:r>
    </w:p>
    <w:p w14:paraId="7597EE11" w14:textId="77777777" w:rsidR="00E424C7" w:rsidRPr="00A44DB3" w:rsidRDefault="00E424C7" w:rsidP="00597D12">
      <w:pPr>
        <w:pStyle w:val="Prrafodelista"/>
        <w:spacing w:before="240" w:after="0" w:line="276" w:lineRule="auto"/>
        <w:ind w:left="426" w:hanging="284"/>
        <w:jc w:val="both"/>
        <w:rPr>
          <w:rFonts w:ascii="Arial" w:hAnsi="Arial" w:cs="Arial"/>
          <w:sz w:val="24"/>
          <w:szCs w:val="24"/>
          <w:lang w:val="es-ES"/>
        </w:rPr>
      </w:pPr>
    </w:p>
    <w:p w14:paraId="26F16CB0" w14:textId="542D18F4" w:rsidR="00A44DB3" w:rsidRPr="00E424C7" w:rsidRDefault="00EE3263" w:rsidP="00597D12">
      <w:pPr>
        <w:pStyle w:val="Prrafodelista"/>
        <w:numPr>
          <w:ilvl w:val="0"/>
          <w:numId w:val="1"/>
        </w:numPr>
        <w:spacing w:line="276" w:lineRule="auto"/>
        <w:ind w:left="426" w:hanging="284"/>
        <w:jc w:val="both"/>
        <w:rPr>
          <w:rFonts w:ascii="Arial" w:hAnsi="Arial" w:cs="Arial"/>
          <w:sz w:val="24"/>
          <w:szCs w:val="24"/>
          <w:lang w:val="es-ES"/>
        </w:rPr>
      </w:pPr>
      <w:r>
        <w:rPr>
          <w:rFonts w:ascii="Arial" w:hAnsi="Arial" w:cs="Arial"/>
          <w:b/>
          <w:bCs/>
          <w:sz w:val="24"/>
          <w:szCs w:val="24"/>
        </w:rPr>
        <w:t>L</w:t>
      </w:r>
      <w:r w:rsidRPr="00FC6F44">
        <w:rPr>
          <w:rFonts w:ascii="Arial" w:hAnsi="Arial" w:cs="Arial"/>
          <w:b/>
          <w:bCs/>
          <w:sz w:val="24"/>
          <w:szCs w:val="24"/>
        </w:rPr>
        <w:t>a corrupción y la falta de control descubierto y denunciado por años en Qali Warma ha estado en el ojo de la tormenta tales como la distribución de conservas para los niños de escuela con contenido de carne de caballo</w:t>
      </w:r>
      <w:r w:rsidR="00A44DB3" w:rsidRPr="00E424C7">
        <w:rPr>
          <w:rStyle w:val="Refdenotaalpie"/>
          <w:rFonts w:ascii="Arial" w:hAnsi="Arial" w:cs="Arial"/>
          <w:sz w:val="24"/>
          <w:szCs w:val="24"/>
          <w:lang w:val="es-ES"/>
        </w:rPr>
        <w:footnoteReference w:id="17"/>
      </w:r>
      <w:r w:rsidRPr="00E424C7">
        <w:rPr>
          <w:rFonts w:ascii="Arial" w:hAnsi="Arial" w:cs="Arial"/>
          <w:sz w:val="24"/>
          <w:szCs w:val="24"/>
        </w:rPr>
        <w:t xml:space="preserve">. </w:t>
      </w:r>
      <w:r>
        <w:rPr>
          <w:rFonts w:ascii="Arial" w:hAnsi="Arial" w:cs="Arial"/>
          <w:sz w:val="24"/>
          <w:szCs w:val="24"/>
        </w:rPr>
        <w:t>E</w:t>
      </w:r>
      <w:r w:rsidRPr="00E424C7">
        <w:rPr>
          <w:rFonts w:ascii="Arial" w:hAnsi="Arial" w:cs="Arial"/>
          <w:sz w:val="24"/>
          <w:szCs w:val="24"/>
        </w:rPr>
        <w:t xml:space="preserve">stas conservas venían siendo entregadas desde </w:t>
      </w:r>
      <w:r w:rsidRPr="00E4671C">
        <w:rPr>
          <w:rFonts w:ascii="Arial" w:hAnsi="Arial" w:cs="Arial"/>
          <w:sz w:val="24"/>
          <w:szCs w:val="24"/>
          <w:u w:val="single"/>
        </w:rPr>
        <w:t>el 2021</w:t>
      </w:r>
      <w:r w:rsidRPr="00E424C7">
        <w:rPr>
          <w:rFonts w:ascii="Arial" w:hAnsi="Arial" w:cs="Arial"/>
          <w:sz w:val="24"/>
          <w:szCs w:val="24"/>
        </w:rPr>
        <w:t xml:space="preserve">, </w:t>
      </w:r>
      <w:r w:rsidRPr="00524D58">
        <w:rPr>
          <w:rFonts w:ascii="Arial" w:hAnsi="Arial" w:cs="Arial"/>
          <w:sz w:val="24"/>
          <w:szCs w:val="24"/>
          <w:u w:val="single"/>
        </w:rPr>
        <w:t xml:space="preserve">época en que la </w:t>
      </w:r>
      <w:proofErr w:type="gramStart"/>
      <w:r>
        <w:rPr>
          <w:rFonts w:ascii="Arial" w:hAnsi="Arial" w:cs="Arial"/>
          <w:sz w:val="24"/>
          <w:szCs w:val="24"/>
          <w:u w:val="single"/>
        </w:rPr>
        <w:t>P</w:t>
      </w:r>
      <w:r w:rsidRPr="00524D58">
        <w:rPr>
          <w:rFonts w:ascii="Arial" w:hAnsi="Arial" w:cs="Arial"/>
          <w:sz w:val="24"/>
          <w:szCs w:val="24"/>
          <w:u w:val="single"/>
        </w:rPr>
        <w:t>residenta</w:t>
      </w:r>
      <w:proofErr w:type="gramEnd"/>
      <w:r w:rsidRPr="00524D58">
        <w:rPr>
          <w:rFonts w:ascii="Arial" w:hAnsi="Arial" w:cs="Arial"/>
          <w:sz w:val="24"/>
          <w:szCs w:val="24"/>
          <w:u w:val="single"/>
        </w:rPr>
        <w:t xml:space="preserve"> de la república estaba al mando del MIDIS</w:t>
      </w:r>
      <w:r w:rsidR="00E424C7" w:rsidRPr="00524D58">
        <w:rPr>
          <w:rStyle w:val="Refdenotaalpie"/>
          <w:rFonts w:ascii="Arial" w:hAnsi="Arial" w:cs="Arial"/>
          <w:sz w:val="24"/>
          <w:szCs w:val="24"/>
          <w:u w:val="single"/>
        </w:rPr>
        <w:footnoteReference w:id="18"/>
      </w:r>
      <w:r>
        <w:rPr>
          <w:rFonts w:ascii="Arial" w:hAnsi="Arial" w:cs="Arial"/>
          <w:sz w:val="24"/>
          <w:szCs w:val="24"/>
          <w:u w:val="single"/>
        </w:rPr>
        <w:t xml:space="preserve"> como Ministra;</w:t>
      </w:r>
      <w:r w:rsidRPr="00524D58">
        <w:rPr>
          <w:rFonts w:ascii="Arial" w:hAnsi="Arial" w:cs="Arial"/>
          <w:sz w:val="24"/>
          <w:szCs w:val="24"/>
          <w:u w:val="single"/>
        </w:rPr>
        <w:t xml:space="preserve"> y </w:t>
      </w:r>
      <w:r>
        <w:rPr>
          <w:rFonts w:ascii="Arial" w:hAnsi="Arial" w:cs="Arial"/>
          <w:sz w:val="24"/>
          <w:szCs w:val="24"/>
          <w:u w:val="single"/>
        </w:rPr>
        <w:t xml:space="preserve">que </w:t>
      </w:r>
      <w:r w:rsidRPr="00524D58">
        <w:rPr>
          <w:rFonts w:ascii="Arial" w:hAnsi="Arial" w:cs="Arial"/>
          <w:sz w:val="24"/>
          <w:szCs w:val="24"/>
          <w:u w:val="single"/>
        </w:rPr>
        <w:t xml:space="preserve">el actual vocero de la </w:t>
      </w:r>
      <w:r>
        <w:rPr>
          <w:rFonts w:ascii="Arial" w:hAnsi="Arial" w:cs="Arial"/>
          <w:sz w:val="24"/>
          <w:szCs w:val="24"/>
          <w:u w:val="single"/>
        </w:rPr>
        <w:t>P</w:t>
      </w:r>
      <w:r w:rsidRPr="00524D58">
        <w:rPr>
          <w:rFonts w:ascii="Arial" w:hAnsi="Arial" w:cs="Arial"/>
          <w:sz w:val="24"/>
          <w:szCs w:val="24"/>
          <w:u w:val="single"/>
        </w:rPr>
        <w:t>residencia de la república, quien entre el 2019 y 2022, era el director ejecutivo de Qali Warma</w:t>
      </w:r>
      <w:r w:rsidR="00A44DB3" w:rsidRPr="00E424C7">
        <w:rPr>
          <w:rStyle w:val="Refdenotaalpie"/>
          <w:rFonts w:ascii="Arial" w:hAnsi="Arial" w:cs="Arial"/>
          <w:sz w:val="24"/>
          <w:szCs w:val="24"/>
        </w:rPr>
        <w:footnoteReference w:id="19"/>
      </w:r>
      <w:r w:rsidR="004E4362" w:rsidRPr="00E424C7">
        <w:rPr>
          <w:rFonts w:ascii="Arial" w:hAnsi="Arial" w:cs="Arial"/>
          <w:sz w:val="24"/>
          <w:szCs w:val="24"/>
        </w:rPr>
        <w:t>.</w:t>
      </w:r>
    </w:p>
    <w:p w14:paraId="7E682F4A" w14:textId="14E2E4BF" w:rsidR="00A44DB3" w:rsidRDefault="00EE3263" w:rsidP="00597D12">
      <w:pPr>
        <w:numPr>
          <w:ilvl w:val="0"/>
          <w:numId w:val="1"/>
        </w:numPr>
        <w:pBdr>
          <w:top w:val="nil"/>
          <w:left w:val="nil"/>
          <w:bottom w:val="nil"/>
          <w:right w:val="nil"/>
          <w:between w:val="nil"/>
        </w:pBdr>
        <w:spacing w:after="0" w:line="276" w:lineRule="auto"/>
        <w:ind w:left="426" w:hanging="284"/>
        <w:jc w:val="both"/>
        <w:rPr>
          <w:rFonts w:ascii="Arial" w:eastAsia="Arial" w:hAnsi="Arial" w:cs="Arial"/>
          <w:sz w:val="24"/>
          <w:szCs w:val="24"/>
        </w:rPr>
      </w:pPr>
      <w:r>
        <w:rPr>
          <w:rFonts w:ascii="Arial" w:eastAsia="Arial" w:hAnsi="Arial" w:cs="Arial"/>
          <w:b/>
          <w:bCs/>
          <w:sz w:val="24"/>
          <w:szCs w:val="24"/>
        </w:rPr>
        <w:t>L</w:t>
      </w:r>
      <w:r w:rsidRPr="007C7F94">
        <w:rPr>
          <w:rFonts w:ascii="Arial" w:eastAsia="Arial" w:hAnsi="Arial" w:cs="Arial"/>
          <w:b/>
          <w:bCs/>
          <w:sz w:val="24"/>
          <w:szCs w:val="24"/>
        </w:rPr>
        <w:t>as denuncias sobre el manejo del programa nacional de alimentación escolar Qali Warma son de  una dimensión penal</w:t>
      </w:r>
      <w:r w:rsidRPr="00B46B62">
        <w:rPr>
          <w:rFonts w:ascii="Arial" w:eastAsia="Arial" w:hAnsi="Arial" w:cs="Arial"/>
          <w:sz w:val="24"/>
          <w:szCs w:val="24"/>
        </w:rPr>
        <w:t xml:space="preserve">, </w:t>
      </w:r>
      <w:r w:rsidRPr="007C7F94">
        <w:rPr>
          <w:rFonts w:ascii="Arial" w:eastAsia="Arial" w:hAnsi="Arial" w:cs="Arial"/>
          <w:b/>
          <w:bCs/>
          <w:sz w:val="24"/>
          <w:szCs w:val="24"/>
        </w:rPr>
        <w:t xml:space="preserve">en tanto se denuncia una red de corrupción destinada a manipular el proceso de compra de </w:t>
      </w:r>
      <w:r w:rsidRPr="007C7F94">
        <w:rPr>
          <w:rFonts w:ascii="Arial" w:eastAsia="Arial" w:hAnsi="Arial" w:cs="Arial"/>
          <w:b/>
          <w:bCs/>
          <w:sz w:val="24"/>
          <w:szCs w:val="24"/>
        </w:rPr>
        <w:lastRenderedPageBreak/>
        <w:t>insumos o provisiones</w:t>
      </w:r>
      <w:r w:rsidR="00A41A51">
        <w:rPr>
          <w:rStyle w:val="Refdenotaalpie"/>
          <w:rFonts w:ascii="Arial" w:eastAsia="Arial" w:hAnsi="Arial" w:cs="Arial"/>
          <w:sz w:val="24"/>
          <w:szCs w:val="24"/>
        </w:rPr>
        <w:footnoteReference w:id="20"/>
      </w:r>
      <w:r w:rsidR="00B46B62" w:rsidRPr="00B46B62">
        <w:rPr>
          <w:rFonts w:ascii="Arial" w:eastAsia="Arial" w:hAnsi="Arial" w:cs="Arial"/>
          <w:sz w:val="24"/>
          <w:szCs w:val="24"/>
        </w:rPr>
        <w:t xml:space="preserve">; una dimensión de política pública, </w:t>
      </w:r>
      <w:r w:rsidR="00B46B62">
        <w:rPr>
          <w:rFonts w:ascii="Arial" w:eastAsia="Arial" w:hAnsi="Arial" w:cs="Arial"/>
          <w:sz w:val="24"/>
          <w:szCs w:val="24"/>
        </w:rPr>
        <w:t>que denuncia el absoluto</w:t>
      </w:r>
      <w:r w:rsidR="00B46B62" w:rsidRPr="00B46B62">
        <w:rPr>
          <w:rFonts w:ascii="Arial" w:eastAsia="Arial" w:hAnsi="Arial" w:cs="Arial"/>
          <w:sz w:val="24"/>
          <w:szCs w:val="24"/>
        </w:rPr>
        <w:t xml:space="preserve"> debilitamiento de los sistemas de control y fiscalización; y, sobre todo, una dimensión de derechos humanos, pues </w:t>
      </w:r>
      <w:r w:rsidRPr="004E4362">
        <w:rPr>
          <w:rFonts w:ascii="Arial" w:eastAsia="Arial" w:hAnsi="Arial" w:cs="Arial"/>
          <w:b/>
          <w:bCs/>
          <w:sz w:val="24"/>
          <w:szCs w:val="24"/>
        </w:rPr>
        <w:t>se denuncia la violación del derecho a la vida, la salud y la alimentación de la población en edad escolar en el Perú</w:t>
      </w:r>
      <w:r w:rsidR="00B46B62" w:rsidRPr="00B46B62">
        <w:rPr>
          <w:rFonts w:ascii="Arial" w:eastAsia="Arial" w:hAnsi="Arial" w:cs="Arial"/>
          <w:sz w:val="24"/>
          <w:szCs w:val="24"/>
        </w:rPr>
        <w:t>.</w:t>
      </w:r>
      <w:r w:rsidR="00B46B62">
        <w:rPr>
          <w:rStyle w:val="Refdenotaalpie"/>
          <w:rFonts w:ascii="Arial" w:eastAsia="Arial" w:hAnsi="Arial" w:cs="Arial"/>
          <w:sz w:val="24"/>
          <w:szCs w:val="24"/>
        </w:rPr>
        <w:footnoteReference w:id="21"/>
      </w:r>
      <w:r w:rsidR="00B46B62" w:rsidRPr="00B46B62">
        <w:rPr>
          <w:rFonts w:ascii="Roboto" w:hAnsi="Roboto"/>
          <w:color w:val="042354"/>
          <w:shd w:val="clear" w:color="auto" w:fill="FFFFFF"/>
        </w:rPr>
        <w:t xml:space="preserve"> </w:t>
      </w:r>
      <w:r w:rsidR="00B46B62">
        <w:rPr>
          <w:rFonts w:ascii="Arial" w:hAnsi="Arial" w:cs="Arial"/>
          <w:sz w:val="24"/>
          <w:szCs w:val="24"/>
          <w:shd w:val="clear" w:color="auto" w:fill="FFFFFF"/>
        </w:rPr>
        <w:t>H</w:t>
      </w:r>
      <w:r w:rsidR="00B46B62" w:rsidRPr="00B46B62">
        <w:rPr>
          <w:rFonts w:ascii="Arial" w:hAnsi="Arial" w:cs="Arial"/>
          <w:sz w:val="24"/>
          <w:szCs w:val="24"/>
          <w:shd w:val="clear" w:color="auto" w:fill="FFFFFF"/>
        </w:rPr>
        <w:t>asta el día de hoy</w:t>
      </w:r>
      <w:r w:rsidR="00B46B62">
        <w:rPr>
          <w:rFonts w:ascii="Arial" w:hAnsi="Arial" w:cs="Arial"/>
          <w:sz w:val="24"/>
          <w:szCs w:val="24"/>
          <w:shd w:val="clear" w:color="auto" w:fill="FFFFFF"/>
        </w:rPr>
        <w:t>,</w:t>
      </w:r>
      <w:r w:rsidR="00B46B62" w:rsidRPr="00B46B62">
        <w:rPr>
          <w:rFonts w:ascii="Roboto" w:hAnsi="Roboto"/>
          <w:shd w:val="clear" w:color="auto" w:fill="FFFFFF"/>
        </w:rPr>
        <w:t xml:space="preserve"> </w:t>
      </w:r>
      <w:r w:rsidR="00B46B62" w:rsidRPr="00B46B62">
        <w:rPr>
          <w:rFonts w:ascii="Arial" w:eastAsia="Arial" w:hAnsi="Arial" w:cs="Arial"/>
          <w:sz w:val="24"/>
          <w:szCs w:val="24"/>
        </w:rPr>
        <w:t xml:space="preserve">siguen surgiendo informaciones </w:t>
      </w:r>
      <w:r w:rsidRPr="00B46B62">
        <w:rPr>
          <w:rFonts w:ascii="Arial" w:eastAsia="Arial" w:hAnsi="Arial" w:cs="Arial"/>
          <w:sz w:val="24"/>
          <w:szCs w:val="24"/>
        </w:rPr>
        <w:t>que comprometen a funcionarios de diverso rango y próximos al despacho presidencial, y que repiten la pauta ya conocida: arreglos bajo la mesa, con la intervención de personajes en capacidad de tomar decisiones por parte del estado, para favorecer intereses empresariales pasando por encima de reglamentos, protocolos y todo criterio destinado a asegurar la idoneidad de la gestión pública.</w:t>
      </w:r>
    </w:p>
    <w:p w14:paraId="21ABC078" w14:textId="77777777" w:rsidR="004E4362" w:rsidRDefault="004E4362" w:rsidP="00597D12">
      <w:pPr>
        <w:pBdr>
          <w:top w:val="nil"/>
          <w:left w:val="nil"/>
          <w:bottom w:val="nil"/>
          <w:right w:val="nil"/>
          <w:between w:val="nil"/>
        </w:pBdr>
        <w:spacing w:after="0" w:line="276" w:lineRule="auto"/>
        <w:ind w:left="426" w:hanging="284"/>
        <w:jc w:val="both"/>
        <w:rPr>
          <w:rFonts w:ascii="Arial" w:eastAsia="Arial" w:hAnsi="Arial" w:cs="Arial"/>
          <w:sz w:val="24"/>
          <w:szCs w:val="24"/>
        </w:rPr>
      </w:pPr>
    </w:p>
    <w:p w14:paraId="29800CE4" w14:textId="67A963DB" w:rsidR="004E4362" w:rsidRDefault="00E424C7" w:rsidP="00597D12">
      <w:pPr>
        <w:numPr>
          <w:ilvl w:val="0"/>
          <w:numId w:val="1"/>
        </w:numPr>
        <w:pBdr>
          <w:top w:val="nil"/>
          <w:left w:val="nil"/>
          <w:bottom w:val="nil"/>
          <w:right w:val="nil"/>
          <w:between w:val="nil"/>
        </w:pBdr>
        <w:spacing w:after="0" w:line="276" w:lineRule="auto"/>
        <w:ind w:left="426" w:hanging="284"/>
        <w:jc w:val="both"/>
        <w:rPr>
          <w:rFonts w:ascii="Arial" w:eastAsia="Arial" w:hAnsi="Arial" w:cs="Arial"/>
          <w:sz w:val="24"/>
          <w:szCs w:val="24"/>
        </w:rPr>
      </w:pPr>
      <w:r w:rsidRPr="00A44768">
        <w:rPr>
          <w:rFonts w:ascii="Arial" w:eastAsia="Arial" w:hAnsi="Arial" w:cs="Arial"/>
          <w:sz w:val="24"/>
          <w:szCs w:val="24"/>
        </w:rPr>
        <w:t xml:space="preserve"> </w:t>
      </w:r>
      <w:r w:rsidR="00EE3263">
        <w:rPr>
          <w:rFonts w:ascii="Arial" w:eastAsia="Arial" w:hAnsi="Arial" w:cs="Arial"/>
          <w:b/>
          <w:bCs/>
          <w:sz w:val="24"/>
          <w:szCs w:val="24"/>
          <w:lang w:val="es-ES"/>
        </w:rPr>
        <w:t>E</w:t>
      </w:r>
      <w:r w:rsidR="00EE3263" w:rsidRPr="004E4362">
        <w:rPr>
          <w:rFonts w:ascii="Arial" w:eastAsia="Arial" w:hAnsi="Arial" w:cs="Arial"/>
          <w:b/>
          <w:bCs/>
          <w:sz w:val="24"/>
          <w:szCs w:val="24"/>
          <w:lang w:val="es-ES"/>
        </w:rPr>
        <w:t xml:space="preserve">l </w:t>
      </w:r>
      <w:r w:rsidR="00EE3263">
        <w:rPr>
          <w:rFonts w:ascii="Arial" w:eastAsia="Arial" w:hAnsi="Arial" w:cs="Arial"/>
          <w:b/>
          <w:bCs/>
          <w:sz w:val="24"/>
          <w:szCs w:val="24"/>
          <w:lang w:val="es-ES"/>
        </w:rPr>
        <w:t>E</w:t>
      </w:r>
      <w:r w:rsidR="00EE3263" w:rsidRPr="004E4362">
        <w:rPr>
          <w:rFonts w:ascii="Arial" w:eastAsia="Arial" w:hAnsi="Arial" w:cs="Arial"/>
          <w:b/>
          <w:bCs/>
          <w:sz w:val="24"/>
          <w:szCs w:val="24"/>
          <w:lang w:val="es-ES"/>
        </w:rPr>
        <w:t xml:space="preserve">stado peruano ha </w:t>
      </w:r>
      <w:r w:rsidR="00EE3263" w:rsidRPr="004E4362">
        <w:rPr>
          <w:rFonts w:ascii="Arial" w:eastAsia="Arial" w:hAnsi="Arial" w:cs="Arial"/>
          <w:b/>
          <w:bCs/>
          <w:sz w:val="24"/>
          <w:szCs w:val="24"/>
          <w:lang w:val="es-PE"/>
        </w:rPr>
        <w:t>buscado presentar la creación de un programa alimenticio que se disponga al servicio de la comunidad con alto porcentajes de población anémica o desnutrida, en estado de pobreza o extrema pobreza apostando por Qali Warma, pero cuya aplicación ha ido desmoronándose en el tiempo</w:t>
      </w:r>
      <w:r w:rsidR="00A41A51" w:rsidRPr="00A41A51">
        <w:rPr>
          <w:rFonts w:ascii="Arial" w:eastAsia="Arial" w:hAnsi="Arial" w:cs="Arial"/>
          <w:sz w:val="24"/>
          <w:szCs w:val="24"/>
          <w:vertAlign w:val="superscript"/>
          <w:lang w:val="es-PE"/>
        </w:rPr>
        <w:footnoteReference w:id="22"/>
      </w:r>
      <w:r w:rsidR="00A41A51" w:rsidRPr="00A44768">
        <w:rPr>
          <w:rFonts w:ascii="Arial" w:eastAsia="Arial" w:hAnsi="Arial" w:cs="Arial"/>
          <w:sz w:val="24"/>
          <w:szCs w:val="24"/>
          <w:lang w:val="es-PE"/>
        </w:rPr>
        <w:t>.</w:t>
      </w:r>
      <w:r w:rsidR="00CE3777" w:rsidRPr="00A44768">
        <w:rPr>
          <w:rFonts w:ascii="Arial" w:eastAsia="Arial" w:hAnsi="Arial" w:cs="Arial"/>
          <w:sz w:val="24"/>
          <w:szCs w:val="24"/>
          <w:lang w:val="es-PE"/>
        </w:rPr>
        <w:t xml:space="preserve"> Denuncias </w:t>
      </w:r>
      <w:r w:rsidR="00A41A51" w:rsidRPr="00A44768">
        <w:rPr>
          <w:rFonts w:ascii="Arial" w:eastAsia="Arial" w:hAnsi="Arial" w:cs="Arial"/>
          <w:sz w:val="24"/>
          <w:szCs w:val="24"/>
        </w:rPr>
        <w:t>identificad</w:t>
      </w:r>
      <w:r w:rsidR="00CE3777" w:rsidRPr="00A44768">
        <w:rPr>
          <w:rFonts w:ascii="Arial" w:eastAsia="Arial" w:hAnsi="Arial" w:cs="Arial"/>
          <w:sz w:val="24"/>
          <w:szCs w:val="24"/>
        </w:rPr>
        <w:t>a</w:t>
      </w:r>
      <w:r w:rsidR="00A41A51" w:rsidRPr="00A44768">
        <w:rPr>
          <w:rFonts w:ascii="Arial" w:eastAsia="Arial" w:hAnsi="Arial" w:cs="Arial"/>
          <w:sz w:val="24"/>
          <w:szCs w:val="24"/>
        </w:rPr>
        <w:t xml:space="preserve">s en el trabajo </w:t>
      </w:r>
      <w:r w:rsidR="00CE3777" w:rsidRPr="00A44768">
        <w:rPr>
          <w:rFonts w:ascii="Arial" w:eastAsia="Arial" w:hAnsi="Arial" w:cs="Arial"/>
          <w:sz w:val="24"/>
          <w:szCs w:val="24"/>
        </w:rPr>
        <w:t>mismo como</w:t>
      </w:r>
      <w:r w:rsidR="00A41A51" w:rsidRPr="00A44768">
        <w:rPr>
          <w:rFonts w:ascii="Arial" w:eastAsia="Arial" w:hAnsi="Arial" w:cs="Arial"/>
          <w:sz w:val="24"/>
          <w:szCs w:val="24"/>
        </w:rPr>
        <w:t xml:space="preserve"> desorganización y la ausencia de un alcance eficiente. Se denuncia un aumento excesivo de presupuesto para detalles logísticos o ejecutivos del Ministerio</w:t>
      </w:r>
      <w:r w:rsidR="004E4362">
        <w:rPr>
          <w:rFonts w:ascii="Arial" w:eastAsia="Arial" w:hAnsi="Arial" w:cs="Arial"/>
          <w:sz w:val="24"/>
          <w:szCs w:val="24"/>
        </w:rPr>
        <w:t>, derroche en propaganda, en altos sueldos y asesores,</w:t>
      </w:r>
      <w:r w:rsidR="00A41A51" w:rsidRPr="00A44768">
        <w:rPr>
          <w:rFonts w:ascii="Arial" w:eastAsia="Arial" w:hAnsi="Arial" w:cs="Arial"/>
          <w:sz w:val="24"/>
          <w:szCs w:val="24"/>
        </w:rPr>
        <w:t xml:space="preserve"> un enfoque populista debido a la gran cantidad de denuncias por niños intoxicados y la </w:t>
      </w:r>
      <w:r w:rsidR="00A41A51" w:rsidRPr="00A44768">
        <w:rPr>
          <w:rFonts w:ascii="Arial" w:eastAsia="Arial" w:hAnsi="Arial" w:cs="Arial"/>
          <w:sz w:val="24"/>
          <w:szCs w:val="24"/>
        </w:rPr>
        <w:lastRenderedPageBreak/>
        <w:t>gestión de alimentos en mal Estado</w:t>
      </w:r>
      <w:r w:rsidR="000A7363">
        <w:rPr>
          <w:rStyle w:val="Refdenotaalpie"/>
          <w:rFonts w:ascii="Arial" w:eastAsia="Arial" w:hAnsi="Arial" w:cs="Arial"/>
          <w:sz w:val="24"/>
          <w:szCs w:val="24"/>
        </w:rPr>
        <w:footnoteReference w:id="23"/>
      </w:r>
      <w:r w:rsidR="00A44768">
        <w:rPr>
          <w:rFonts w:ascii="Arial" w:eastAsia="Arial" w:hAnsi="Arial" w:cs="Arial"/>
          <w:sz w:val="24"/>
          <w:szCs w:val="24"/>
        </w:rPr>
        <w:t>. La violación a la ley se evidencia en la plena corrupción de sus funcionarios</w:t>
      </w:r>
      <w:r w:rsidR="00A44768">
        <w:rPr>
          <w:rStyle w:val="Refdenotaalpie"/>
          <w:rFonts w:ascii="Arial" w:eastAsia="Arial" w:hAnsi="Arial" w:cs="Arial"/>
          <w:sz w:val="24"/>
          <w:szCs w:val="24"/>
        </w:rPr>
        <w:footnoteReference w:id="24"/>
      </w:r>
      <w:r w:rsidR="00A44768">
        <w:rPr>
          <w:rFonts w:ascii="Arial" w:eastAsia="Arial" w:hAnsi="Arial" w:cs="Arial"/>
          <w:sz w:val="24"/>
          <w:szCs w:val="24"/>
        </w:rPr>
        <w:t xml:space="preserve"> y en la misma aplicación del programa</w:t>
      </w:r>
      <w:r w:rsidR="00A44768">
        <w:rPr>
          <w:rStyle w:val="Refdenotaalpie"/>
          <w:rFonts w:ascii="Arial" w:eastAsia="Arial" w:hAnsi="Arial" w:cs="Arial"/>
          <w:sz w:val="24"/>
          <w:szCs w:val="24"/>
        </w:rPr>
        <w:footnoteReference w:id="25"/>
      </w:r>
    </w:p>
    <w:p w14:paraId="307B4E50" w14:textId="77777777" w:rsidR="004E4362" w:rsidRDefault="004E4362" w:rsidP="00597D12">
      <w:pPr>
        <w:pStyle w:val="Prrafodelista"/>
        <w:ind w:left="426" w:hanging="284"/>
        <w:rPr>
          <w:rFonts w:ascii="Arial" w:eastAsia="Arial" w:hAnsi="Arial" w:cs="Arial"/>
          <w:sz w:val="24"/>
          <w:szCs w:val="24"/>
        </w:rPr>
      </w:pPr>
    </w:p>
    <w:p w14:paraId="79B47240" w14:textId="26DE986E" w:rsidR="00CF7C5D" w:rsidRPr="001D758A" w:rsidRDefault="001D758A" w:rsidP="00597D12">
      <w:pPr>
        <w:pStyle w:val="Prrafodelista"/>
        <w:numPr>
          <w:ilvl w:val="0"/>
          <w:numId w:val="1"/>
        </w:numPr>
        <w:spacing w:line="276" w:lineRule="auto"/>
        <w:ind w:left="426" w:hanging="284"/>
        <w:jc w:val="both"/>
        <w:rPr>
          <w:rFonts w:ascii="Arial" w:hAnsi="Arial" w:cs="Arial"/>
          <w:sz w:val="24"/>
          <w:szCs w:val="24"/>
          <w:lang w:val="es-ES"/>
        </w:rPr>
      </w:pPr>
      <w:r>
        <w:rPr>
          <w:rFonts w:ascii="Arial" w:hAnsi="Arial" w:cs="Arial"/>
          <w:sz w:val="24"/>
          <w:szCs w:val="24"/>
        </w:rPr>
        <w:t>L</w:t>
      </w:r>
      <w:r w:rsidRPr="004E4362">
        <w:rPr>
          <w:rFonts w:ascii="Arial" w:hAnsi="Arial" w:cs="Arial"/>
          <w:sz w:val="24"/>
          <w:szCs w:val="24"/>
        </w:rPr>
        <w:t>a corrupción dentro de Qali Warma evidencia la falta de voluntad del estado en cumplir los acuerdos del pacto y denuncia la inercia y complicidad para combatir la corrupció</w:t>
      </w:r>
      <w:r>
        <w:rPr>
          <w:rFonts w:ascii="Arial" w:hAnsi="Arial" w:cs="Arial"/>
          <w:sz w:val="24"/>
          <w:szCs w:val="24"/>
        </w:rPr>
        <w:t xml:space="preserve">n. </w:t>
      </w:r>
      <w:hyperlink r:id="rId10" w:tgtFrame="_blank" w:history="1">
        <w:r w:rsidR="00FC6F44">
          <w:rPr>
            <w:rStyle w:val="Hipervnculo"/>
            <w:rFonts w:ascii="Arial" w:hAnsi="Arial" w:cs="Arial"/>
            <w:color w:val="auto"/>
            <w:sz w:val="24"/>
            <w:szCs w:val="24"/>
            <w:u w:val="none"/>
          </w:rPr>
          <w:t>E</w:t>
        </w:r>
        <w:r w:rsidR="00CF7C5D" w:rsidRPr="00524D58">
          <w:rPr>
            <w:rStyle w:val="Hipervnculo"/>
            <w:rFonts w:ascii="Arial" w:hAnsi="Arial" w:cs="Arial"/>
            <w:color w:val="auto"/>
            <w:sz w:val="24"/>
            <w:szCs w:val="24"/>
            <w:u w:val="none"/>
          </w:rPr>
          <w:t>ntre el 2022 y 2023 se observó una reducción significativa en el presupuesto destinado a la contratación de supervisores en un 98%</w:t>
        </w:r>
      </w:hyperlink>
      <w:r w:rsidR="00CF7C5D" w:rsidRPr="00524D58">
        <w:rPr>
          <w:rFonts w:ascii="Arial" w:hAnsi="Arial" w:cs="Arial"/>
          <w:sz w:val="24"/>
          <w:szCs w:val="24"/>
        </w:rPr>
        <w:t xml:space="preserve">  </w:t>
      </w:r>
      <w:r w:rsidR="00CF7C5D" w:rsidRPr="00CF7C5D">
        <w:rPr>
          <w:rFonts w:ascii="Arial" w:hAnsi="Arial" w:cs="Arial"/>
          <w:sz w:val="24"/>
          <w:szCs w:val="24"/>
        </w:rPr>
        <w:t>(de S/ 51.1 millones a S/ 1.3 millones), favoreciendo las condiciones para que hechos condenables</w:t>
      </w:r>
      <w:r w:rsidR="00CF7C5D">
        <w:rPr>
          <w:rFonts w:ascii="Arial" w:hAnsi="Arial" w:cs="Arial"/>
          <w:sz w:val="24"/>
          <w:szCs w:val="24"/>
        </w:rPr>
        <w:t xml:space="preserve"> de corrupción,</w:t>
      </w:r>
      <w:r w:rsidR="00CF7C5D" w:rsidRPr="00CF7C5D">
        <w:rPr>
          <w:rFonts w:ascii="Arial" w:hAnsi="Arial" w:cs="Arial"/>
          <w:sz w:val="24"/>
          <w:szCs w:val="24"/>
        </w:rPr>
        <w:t xml:space="preserve"> como los que hoy se denuncian</w:t>
      </w:r>
      <w:r w:rsidR="00CF7C5D">
        <w:rPr>
          <w:rFonts w:ascii="Arial" w:hAnsi="Arial" w:cs="Arial"/>
          <w:sz w:val="24"/>
          <w:szCs w:val="24"/>
        </w:rPr>
        <w:t>,</w:t>
      </w:r>
      <w:r w:rsidR="00CF7C5D" w:rsidRPr="00CF7C5D">
        <w:rPr>
          <w:rFonts w:ascii="Arial" w:hAnsi="Arial" w:cs="Arial"/>
          <w:sz w:val="24"/>
          <w:szCs w:val="24"/>
        </w:rPr>
        <w:t xml:space="preserve"> se sigan repitiendo</w:t>
      </w:r>
      <w:r w:rsidR="00CF7C5D" w:rsidRPr="00CF7C5D">
        <w:rPr>
          <w:rStyle w:val="Refdenotaalpie"/>
          <w:rFonts w:ascii="Arial" w:hAnsi="Arial" w:cs="Arial"/>
          <w:sz w:val="24"/>
          <w:szCs w:val="24"/>
        </w:rPr>
        <w:footnoteReference w:id="26"/>
      </w:r>
      <w:r w:rsidR="00CF7C5D" w:rsidRPr="00CF7C5D">
        <w:rPr>
          <w:rFonts w:ascii="Arial" w:hAnsi="Arial" w:cs="Arial"/>
          <w:sz w:val="24"/>
          <w:szCs w:val="24"/>
        </w:rPr>
        <w:t>.</w:t>
      </w:r>
    </w:p>
    <w:p w14:paraId="04BFA28C" w14:textId="77777777" w:rsidR="001D758A" w:rsidRPr="001D758A" w:rsidRDefault="001D758A" w:rsidP="00597D12">
      <w:pPr>
        <w:pStyle w:val="Prrafodelista"/>
        <w:ind w:left="426" w:hanging="284"/>
        <w:rPr>
          <w:rFonts w:ascii="Arial" w:hAnsi="Arial" w:cs="Arial"/>
          <w:sz w:val="24"/>
          <w:szCs w:val="24"/>
          <w:lang w:val="es-ES"/>
        </w:rPr>
      </w:pPr>
    </w:p>
    <w:p w14:paraId="0E192782" w14:textId="5D858AE8" w:rsidR="00D27B79" w:rsidRPr="00597D12" w:rsidRDefault="00597D12" w:rsidP="00597D12">
      <w:pPr>
        <w:spacing w:line="276" w:lineRule="auto"/>
        <w:ind w:left="426" w:hanging="284"/>
        <w:jc w:val="both"/>
        <w:rPr>
          <w:rFonts w:ascii="Arial" w:hAnsi="Arial" w:cs="Arial"/>
          <w:sz w:val="24"/>
          <w:szCs w:val="24"/>
          <w:lang w:val="es-ES"/>
        </w:rPr>
      </w:pPr>
      <w:proofErr w:type="spellStart"/>
      <w:r>
        <w:rPr>
          <w:rFonts w:ascii="Arial" w:hAnsi="Arial" w:cs="Arial"/>
          <w:b/>
          <w:bCs/>
          <w:sz w:val="24"/>
          <w:szCs w:val="24"/>
          <w:lang w:val="es-ES"/>
        </w:rPr>
        <w:t>e</w:t>
      </w:r>
      <w:r w:rsidR="001D758A" w:rsidRPr="00597D12">
        <w:rPr>
          <w:rFonts w:ascii="Arial" w:hAnsi="Arial" w:cs="Arial"/>
          <w:b/>
          <w:bCs/>
          <w:sz w:val="24"/>
          <w:szCs w:val="24"/>
          <w:lang w:val="es-ES"/>
        </w:rPr>
        <w:t>la</w:t>
      </w:r>
      <w:proofErr w:type="spellEnd"/>
      <w:r w:rsidR="001D758A" w:rsidRPr="00597D12">
        <w:rPr>
          <w:rFonts w:ascii="Arial" w:hAnsi="Arial" w:cs="Arial"/>
          <w:b/>
          <w:bCs/>
          <w:sz w:val="24"/>
          <w:szCs w:val="24"/>
          <w:lang w:val="es-ES"/>
        </w:rPr>
        <w:t xml:space="preserve"> inseguridad alimentaria se ha extendido y no disminuye en el actual régimen. </w:t>
      </w:r>
      <w:r w:rsidR="001D758A" w:rsidRPr="00597D12">
        <w:rPr>
          <w:rFonts w:ascii="Arial" w:hAnsi="Arial" w:cs="Arial"/>
          <w:b/>
          <w:bCs/>
          <w:sz w:val="24"/>
          <w:szCs w:val="24"/>
        </w:rPr>
        <w:t>según la F.A.O. tras dispararse entre 2019 y 2021, el hambre mundial, medida por la prevalencia de la subalimentación, se ha mantenido tres años consecutivos prácticamente en el mismo nivel, y en 2023 seguía afectando al 9,1 % de la población, frente al 7,5 % en 2019</w:t>
      </w:r>
      <w:r w:rsidR="00D27B79" w:rsidRPr="00D27B79">
        <w:rPr>
          <w:rStyle w:val="Refdenotaalpie"/>
          <w:rFonts w:ascii="Arial" w:hAnsi="Arial" w:cs="Arial"/>
          <w:sz w:val="24"/>
          <w:szCs w:val="24"/>
        </w:rPr>
        <w:footnoteReference w:id="27"/>
      </w:r>
      <w:r w:rsidR="00D27B79" w:rsidRPr="00597D12">
        <w:rPr>
          <w:rFonts w:ascii="Arial" w:hAnsi="Arial" w:cs="Arial"/>
          <w:sz w:val="24"/>
          <w:szCs w:val="24"/>
        </w:rPr>
        <w:t>. Por lo que se refiere a la población, se calcula que aproximadamente entre 713 y 757 millones de personas (8,9 % y 9,4 % de la población mundial, respectivamente) se encontraban subalimentadas en 2023. Si se considera la estimación del valor medio (733 millones), puede que en 2023 hayan padecido hambre unos 152 millones de personas más que en 2019</w:t>
      </w:r>
      <w:r w:rsidR="00D27B79" w:rsidRPr="00D27B79">
        <w:rPr>
          <w:rStyle w:val="Refdenotaalpie"/>
          <w:rFonts w:ascii="Arial" w:hAnsi="Arial" w:cs="Arial"/>
          <w:sz w:val="24"/>
          <w:szCs w:val="24"/>
        </w:rPr>
        <w:footnoteReference w:id="28"/>
      </w:r>
    </w:p>
    <w:p w14:paraId="760D7054" w14:textId="044C57B5" w:rsidR="00D27B79" w:rsidRPr="00FC6F44" w:rsidRDefault="001D758A" w:rsidP="00597D12">
      <w:pPr>
        <w:pStyle w:val="Prrafodelista"/>
        <w:numPr>
          <w:ilvl w:val="0"/>
          <w:numId w:val="1"/>
        </w:numPr>
        <w:spacing w:line="276" w:lineRule="auto"/>
        <w:ind w:left="426" w:hanging="284"/>
        <w:jc w:val="both"/>
        <w:rPr>
          <w:rFonts w:ascii="Arial" w:hAnsi="Arial" w:cs="Arial"/>
          <w:sz w:val="24"/>
          <w:szCs w:val="24"/>
          <w:lang w:val="es-ES"/>
        </w:rPr>
      </w:pPr>
      <w:r>
        <w:rPr>
          <w:rFonts w:ascii="Arial" w:hAnsi="Arial" w:cs="Arial"/>
          <w:b/>
          <w:bCs/>
          <w:sz w:val="24"/>
          <w:szCs w:val="24"/>
          <w:lang w:val="es-ES"/>
        </w:rPr>
        <w:t>E</w:t>
      </w:r>
      <w:r w:rsidRPr="00346DF5">
        <w:rPr>
          <w:rFonts w:ascii="Arial" w:hAnsi="Arial" w:cs="Arial"/>
          <w:b/>
          <w:bCs/>
          <w:sz w:val="24"/>
          <w:szCs w:val="24"/>
          <w:lang w:val="es-ES"/>
        </w:rPr>
        <w:t>n el Perú</w:t>
      </w:r>
      <w:r w:rsidR="00D27B79" w:rsidRPr="00346DF5">
        <w:rPr>
          <w:rFonts w:ascii="Arial" w:hAnsi="Arial" w:cs="Arial"/>
          <w:b/>
          <w:bCs/>
          <w:sz w:val="24"/>
          <w:szCs w:val="24"/>
          <w:lang w:val="es-ES"/>
        </w:rPr>
        <w:t>, hacia el año 2000, la anemia en niños entre 6 y 36 meses de edad estaba en un 60 %,</w:t>
      </w:r>
      <w:r w:rsidR="00D27B79" w:rsidRPr="00346DF5">
        <w:rPr>
          <w:rFonts w:ascii="Arial" w:hAnsi="Arial" w:cs="Arial"/>
          <w:sz w:val="24"/>
          <w:szCs w:val="24"/>
          <w:lang w:val="es-ES"/>
        </w:rPr>
        <w:t xml:space="preserve"> [y] en 20 años se había reducido 20 puntos. Esta </w:t>
      </w:r>
      <w:r w:rsidR="00D27B79" w:rsidRPr="00346DF5">
        <w:rPr>
          <w:rFonts w:ascii="Arial" w:hAnsi="Arial" w:cs="Arial"/>
          <w:sz w:val="24"/>
          <w:szCs w:val="24"/>
          <w:lang w:val="es-ES"/>
        </w:rPr>
        <w:lastRenderedPageBreak/>
        <w:t xml:space="preserve">reducción correspondía especialmente al periodo 2000 al 2010, llegando ese año al 41%. </w:t>
      </w:r>
      <w:r>
        <w:rPr>
          <w:rFonts w:ascii="Arial" w:hAnsi="Arial" w:cs="Arial"/>
          <w:sz w:val="24"/>
          <w:szCs w:val="24"/>
          <w:u w:val="single"/>
          <w:lang w:val="es-ES"/>
        </w:rPr>
        <w:t>P</w:t>
      </w:r>
      <w:r w:rsidRPr="00524D58">
        <w:rPr>
          <w:rFonts w:ascii="Arial" w:hAnsi="Arial" w:cs="Arial"/>
          <w:sz w:val="24"/>
          <w:szCs w:val="24"/>
          <w:u w:val="single"/>
          <w:lang w:val="es-ES"/>
        </w:rPr>
        <w:t>ero desde ese periodo se tuvo un estancamiento que se mantiene vigente hasta la actualidad</w:t>
      </w:r>
      <w:r w:rsidR="00D27B79" w:rsidRPr="00D27B79">
        <w:rPr>
          <w:rStyle w:val="Refdenotaalpie"/>
          <w:rFonts w:ascii="Arial" w:hAnsi="Arial" w:cs="Arial"/>
          <w:sz w:val="24"/>
          <w:szCs w:val="24"/>
          <w:lang w:val="es-ES"/>
        </w:rPr>
        <w:footnoteReference w:id="29"/>
      </w:r>
    </w:p>
    <w:p w14:paraId="5ABD9541" w14:textId="77777777" w:rsidR="00FC6F44" w:rsidRPr="00346DF5" w:rsidRDefault="00FC6F44" w:rsidP="00597D12">
      <w:pPr>
        <w:pStyle w:val="Prrafodelista"/>
        <w:spacing w:line="276" w:lineRule="auto"/>
        <w:ind w:left="426" w:hanging="284"/>
        <w:jc w:val="both"/>
        <w:rPr>
          <w:rFonts w:ascii="Arial" w:hAnsi="Arial" w:cs="Arial"/>
          <w:sz w:val="24"/>
          <w:szCs w:val="24"/>
          <w:lang w:val="es-ES"/>
        </w:rPr>
      </w:pPr>
    </w:p>
    <w:p w14:paraId="7C9B3901" w14:textId="699C4FD3" w:rsidR="00D27B79" w:rsidRPr="00FC6F44" w:rsidRDefault="001D758A" w:rsidP="00597D12">
      <w:pPr>
        <w:pStyle w:val="Prrafodelista"/>
        <w:numPr>
          <w:ilvl w:val="0"/>
          <w:numId w:val="1"/>
        </w:numPr>
        <w:spacing w:line="276" w:lineRule="auto"/>
        <w:ind w:left="426" w:hanging="284"/>
        <w:jc w:val="both"/>
        <w:rPr>
          <w:rFonts w:ascii="Arial" w:hAnsi="Arial" w:cs="Arial"/>
          <w:sz w:val="24"/>
          <w:szCs w:val="24"/>
          <w:lang w:val="es-ES"/>
        </w:rPr>
      </w:pPr>
      <w:r>
        <w:rPr>
          <w:rFonts w:ascii="Arial" w:hAnsi="Arial" w:cs="Arial"/>
          <w:b/>
          <w:bCs/>
          <w:sz w:val="24"/>
          <w:szCs w:val="24"/>
        </w:rPr>
        <w:t>E</w:t>
      </w:r>
      <w:r w:rsidRPr="00346DF5">
        <w:rPr>
          <w:rFonts w:ascii="Arial" w:hAnsi="Arial" w:cs="Arial"/>
          <w:b/>
          <w:bCs/>
          <w:sz w:val="24"/>
          <w:szCs w:val="24"/>
        </w:rPr>
        <w:t>n 2023, en nuestro país, 17.6 millones de personas padecieron de inseguridad alimentaria</w:t>
      </w:r>
      <w:r w:rsidRPr="00346DF5">
        <w:rPr>
          <w:rFonts w:ascii="Arial" w:hAnsi="Arial" w:cs="Arial"/>
          <w:sz w:val="24"/>
          <w:szCs w:val="24"/>
        </w:rPr>
        <w:t xml:space="preserve"> </w:t>
      </w:r>
      <w:r w:rsidRPr="00FC6F44">
        <w:rPr>
          <w:rFonts w:ascii="Arial" w:hAnsi="Arial" w:cs="Arial"/>
          <w:b/>
          <w:bCs/>
          <w:sz w:val="24"/>
          <w:szCs w:val="24"/>
        </w:rPr>
        <w:t>moderada o grave</w:t>
      </w:r>
      <w:r w:rsidRPr="00346DF5">
        <w:rPr>
          <w:rFonts w:ascii="Arial" w:hAnsi="Arial" w:cs="Arial"/>
          <w:sz w:val="24"/>
          <w:szCs w:val="24"/>
        </w:rPr>
        <w:t>, según el</w:t>
      </w:r>
      <w:hyperlink r:id="rId11" w:anchor="gsc.tab=0" w:history="1">
        <w:r w:rsidRPr="00346DF5">
          <w:rPr>
            <w:rStyle w:val="Hipervnculo"/>
            <w:rFonts w:ascii="Arial" w:hAnsi="Arial" w:cs="Arial"/>
            <w:color w:val="auto"/>
            <w:sz w:val="24"/>
            <w:szCs w:val="24"/>
            <w:u w:val="none"/>
          </w:rPr>
          <w:t xml:space="preserve"> </w:t>
        </w:r>
        <w:r>
          <w:rPr>
            <w:rStyle w:val="Hipervnculo"/>
            <w:rFonts w:ascii="Arial" w:hAnsi="Arial" w:cs="Arial"/>
            <w:color w:val="auto"/>
            <w:sz w:val="24"/>
            <w:szCs w:val="24"/>
          </w:rPr>
          <w:t>I</w:t>
        </w:r>
        <w:r w:rsidRPr="00346DF5">
          <w:rPr>
            <w:rStyle w:val="Hipervnculo"/>
            <w:rFonts w:ascii="Arial" w:hAnsi="Arial" w:cs="Arial"/>
            <w:color w:val="auto"/>
            <w:sz w:val="24"/>
            <w:szCs w:val="24"/>
          </w:rPr>
          <w:t>nforme</w:t>
        </w:r>
      </w:hyperlink>
      <w:r w:rsidRPr="00346DF5">
        <w:rPr>
          <w:rFonts w:ascii="Arial" w:hAnsi="Arial" w:cs="Arial"/>
          <w:sz w:val="24"/>
          <w:szCs w:val="24"/>
          <w:lang w:val="es-ES"/>
        </w:rPr>
        <w:t>:</w:t>
      </w:r>
      <w:r w:rsidRPr="00346DF5">
        <w:rPr>
          <w:rFonts w:ascii="Arial" w:hAnsi="Arial" w:cs="Arial"/>
          <w:sz w:val="24"/>
          <w:szCs w:val="24"/>
        </w:rPr>
        <w:t xml:space="preserve"> “</w:t>
      </w:r>
      <w:r w:rsidRPr="00346DF5">
        <w:rPr>
          <w:rFonts w:ascii="Arial" w:hAnsi="Arial" w:cs="Arial"/>
          <w:i/>
          <w:iCs/>
          <w:sz w:val="24"/>
          <w:szCs w:val="24"/>
        </w:rPr>
        <w:t>el estado de la seguridad alimentaria y la nutrición en el mundo 2024”</w:t>
      </w:r>
      <w:r w:rsidRPr="00346DF5">
        <w:rPr>
          <w:rFonts w:ascii="Arial" w:hAnsi="Arial" w:cs="Arial"/>
          <w:sz w:val="24"/>
          <w:szCs w:val="24"/>
        </w:rPr>
        <w:t>, de la fao. esto significa que</w:t>
      </w:r>
      <w:r>
        <w:rPr>
          <w:rFonts w:ascii="Arial" w:hAnsi="Arial" w:cs="Arial"/>
          <w:sz w:val="24"/>
          <w:szCs w:val="24"/>
        </w:rPr>
        <w:t>,</w:t>
      </w:r>
      <w:r w:rsidRPr="00346DF5">
        <w:rPr>
          <w:rFonts w:ascii="Arial" w:hAnsi="Arial" w:cs="Arial"/>
          <w:sz w:val="24"/>
          <w:szCs w:val="24"/>
        </w:rPr>
        <w:t xml:space="preserve"> en estos momentos, </w:t>
      </w:r>
      <w:r w:rsidRPr="00524D58">
        <w:rPr>
          <w:rFonts w:ascii="Arial" w:hAnsi="Arial" w:cs="Arial"/>
          <w:sz w:val="24"/>
          <w:szCs w:val="24"/>
          <w:u w:val="single"/>
        </w:rPr>
        <w:t>el 51.7% de la población peruana se encuentra en esta situación de inseguridad alimentaria</w:t>
      </w:r>
      <w:r w:rsidRPr="00346DF5">
        <w:rPr>
          <w:rFonts w:ascii="Arial" w:hAnsi="Arial" w:cs="Arial"/>
          <w:sz w:val="24"/>
          <w:szCs w:val="24"/>
        </w:rPr>
        <w:t>. de esta cifra, 6.9 millones padecieron de inseguridad alimentaria grave, lo que representa un 20.3% de la población. así, en comparación con los demás países de Sudamérica, el Perú presenta el porcentaje más alto</w:t>
      </w:r>
      <w:r w:rsidR="00D27B79" w:rsidRPr="00D27B79">
        <w:rPr>
          <w:rStyle w:val="Refdenotaalpie"/>
          <w:rFonts w:ascii="Arial" w:hAnsi="Arial" w:cs="Arial"/>
          <w:sz w:val="24"/>
          <w:szCs w:val="24"/>
        </w:rPr>
        <w:footnoteReference w:id="30"/>
      </w:r>
    </w:p>
    <w:p w14:paraId="3A44FD1A" w14:textId="77777777" w:rsidR="00FC6F44" w:rsidRPr="00346DF5" w:rsidRDefault="00FC6F44" w:rsidP="00597D12">
      <w:pPr>
        <w:pStyle w:val="Prrafodelista"/>
        <w:spacing w:line="276" w:lineRule="auto"/>
        <w:ind w:left="426" w:hanging="284"/>
        <w:jc w:val="both"/>
        <w:rPr>
          <w:rFonts w:ascii="Arial" w:hAnsi="Arial" w:cs="Arial"/>
          <w:sz w:val="24"/>
          <w:szCs w:val="24"/>
          <w:lang w:val="es-ES"/>
        </w:rPr>
      </w:pPr>
    </w:p>
    <w:p w14:paraId="69E6CA2E" w14:textId="2D63611A" w:rsidR="00D27B79" w:rsidRPr="00346DF5" w:rsidRDefault="007F0676" w:rsidP="00597D12">
      <w:pPr>
        <w:pStyle w:val="Prrafodelista"/>
        <w:numPr>
          <w:ilvl w:val="0"/>
          <w:numId w:val="1"/>
        </w:numPr>
        <w:spacing w:line="276" w:lineRule="auto"/>
        <w:ind w:left="426" w:hanging="284"/>
        <w:jc w:val="both"/>
        <w:rPr>
          <w:rFonts w:ascii="Arial" w:hAnsi="Arial" w:cs="Arial"/>
          <w:sz w:val="24"/>
          <w:szCs w:val="24"/>
          <w:lang w:val="es-ES"/>
        </w:rPr>
      </w:pPr>
      <w:r w:rsidRPr="00346DF5">
        <w:rPr>
          <w:rFonts w:ascii="Arial" w:hAnsi="Arial" w:cs="Arial"/>
          <w:b/>
          <w:bCs/>
          <w:sz w:val="24"/>
          <w:szCs w:val="24"/>
        </w:rPr>
        <w:t xml:space="preserve">El SIEN - Sistema de información del Estado Nutricional de niños y gestantes Perú - INS/CENAN (Instituto Nacional de Salud - Centro Nacional de Alimentación y Nutrición) </w:t>
      </w:r>
      <w:r w:rsidR="001D758A">
        <w:rPr>
          <w:rFonts w:ascii="Arial" w:hAnsi="Arial" w:cs="Arial"/>
          <w:b/>
          <w:bCs/>
          <w:sz w:val="24"/>
          <w:szCs w:val="24"/>
        </w:rPr>
        <w:t>hace notar la falta de planificación por</w:t>
      </w:r>
      <w:r w:rsidR="001D758A" w:rsidRPr="00346DF5">
        <w:rPr>
          <w:rFonts w:ascii="Arial" w:hAnsi="Arial" w:cs="Arial"/>
          <w:b/>
          <w:bCs/>
          <w:sz w:val="24"/>
          <w:szCs w:val="24"/>
        </w:rPr>
        <w:t xml:space="preserve"> la institución gubernamental</w:t>
      </w:r>
      <w:r w:rsidR="001D758A" w:rsidRPr="00346DF5">
        <w:rPr>
          <w:rFonts w:ascii="Arial" w:hAnsi="Arial" w:cs="Arial"/>
          <w:sz w:val="24"/>
          <w:szCs w:val="24"/>
        </w:rPr>
        <w:t xml:space="preserve"> </w:t>
      </w:r>
      <w:r w:rsidR="001D758A" w:rsidRPr="00FC6F44">
        <w:rPr>
          <w:rFonts w:ascii="Arial" w:hAnsi="Arial" w:cs="Arial"/>
          <w:b/>
          <w:bCs/>
          <w:sz w:val="24"/>
          <w:szCs w:val="24"/>
        </w:rPr>
        <w:t>la cual ha sido remarcada por especialistas de este organismos de salud</w:t>
      </w:r>
      <w:r w:rsidR="00D27B79" w:rsidRPr="00D27B79">
        <w:rPr>
          <w:rStyle w:val="Refdenotaalpie"/>
          <w:rFonts w:ascii="Arial" w:hAnsi="Arial" w:cs="Arial"/>
          <w:sz w:val="24"/>
          <w:szCs w:val="24"/>
        </w:rPr>
        <w:footnoteReference w:id="31"/>
      </w:r>
      <w:r w:rsidR="00D27B79" w:rsidRPr="00346DF5">
        <w:rPr>
          <w:rFonts w:ascii="Arial" w:hAnsi="Arial" w:cs="Arial"/>
          <w:sz w:val="24"/>
          <w:szCs w:val="24"/>
        </w:rPr>
        <w:t xml:space="preserve"> esclareciendo que no todo pasa por la suplementación con hierro y que hay que tener un enfoque global de la anemia,</w:t>
      </w:r>
      <w:r w:rsidRPr="00346DF5">
        <w:rPr>
          <w:rFonts w:ascii="Arial" w:hAnsi="Arial" w:cs="Arial"/>
          <w:sz w:val="24"/>
          <w:szCs w:val="24"/>
        </w:rPr>
        <w:t xml:space="preserve"> socializar los indicadores (</w:t>
      </w:r>
      <w:r w:rsidRPr="00346DF5">
        <w:rPr>
          <w:rFonts w:ascii="Arial" w:hAnsi="Arial" w:cs="Arial"/>
          <w:i/>
          <w:iCs/>
          <w:sz w:val="24"/>
          <w:szCs w:val="24"/>
        </w:rPr>
        <w:t>es decir, no ocultar la realidad</w:t>
      </w:r>
      <w:r w:rsidRPr="00346DF5">
        <w:rPr>
          <w:rFonts w:ascii="Arial" w:hAnsi="Arial" w:cs="Arial"/>
          <w:sz w:val="24"/>
          <w:szCs w:val="24"/>
        </w:rPr>
        <w:t xml:space="preserve">) </w:t>
      </w:r>
      <w:r w:rsidR="00D27B79" w:rsidRPr="00346DF5">
        <w:rPr>
          <w:rFonts w:ascii="Arial" w:hAnsi="Arial" w:cs="Arial"/>
          <w:sz w:val="24"/>
          <w:szCs w:val="24"/>
        </w:rPr>
        <w:t xml:space="preserve"> siendo las causas de carácter multifactorial y, además, que tiene que ser abordado para su manejo por diferentes sectores públicos</w:t>
      </w:r>
      <w:r w:rsidR="00464115" w:rsidRPr="00346DF5">
        <w:rPr>
          <w:rFonts w:ascii="Arial" w:hAnsi="Arial" w:cs="Arial"/>
          <w:sz w:val="24"/>
          <w:szCs w:val="24"/>
        </w:rPr>
        <w:t>, asegurando presupuesto e inversión (</w:t>
      </w:r>
      <w:r w:rsidR="00464115" w:rsidRPr="00346DF5">
        <w:rPr>
          <w:rFonts w:ascii="Arial" w:hAnsi="Arial" w:cs="Arial"/>
          <w:i/>
          <w:iCs/>
          <w:sz w:val="24"/>
          <w:szCs w:val="24"/>
        </w:rPr>
        <w:t>no corrupción, no desfalco ni despilfarro</w:t>
      </w:r>
      <w:r w:rsidR="00464115" w:rsidRPr="00346DF5">
        <w:rPr>
          <w:rFonts w:ascii="Arial" w:hAnsi="Arial" w:cs="Arial"/>
          <w:sz w:val="24"/>
          <w:szCs w:val="24"/>
        </w:rPr>
        <w:t>)</w:t>
      </w:r>
      <w:r w:rsidR="00D27B79" w:rsidRPr="00D27B79">
        <w:rPr>
          <w:rStyle w:val="Refdenotaalpie"/>
          <w:rFonts w:ascii="Arial" w:hAnsi="Arial" w:cs="Arial"/>
          <w:sz w:val="24"/>
          <w:szCs w:val="24"/>
        </w:rPr>
        <w:footnoteReference w:id="32"/>
      </w:r>
      <w:r w:rsidRPr="00346DF5">
        <w:rPr>
          <w:rFonts w:ascii="Arial" w:hAnsi="Arial" w:cs="Arial"/>
          <w:sz w:val="24"/>
          <w:szCs w:val="24"/>
        </w:rPr>
        <w:t>. Sin embargo, la política de asistencia por parte del Estado peruano a través del denominado programa Qali Warma, para el propio INS/CENAN “</w:t>
      </w:r>
      <w:r w:rsidRPr="00346DF5">
        <w:rPr>
          <w:rFonts w:ascii="Arial" w:hAnsi="Arial" w:cs="Arial"/>
          <w:i/>
          <w:iCs/>
          <w:sz w:val="24"/>
          <w:szCs w:val="24"/>
          <w:lang w:val="es-VE"/>
        </w:rPr>
        <w:t>no resulta significativo en ninguna estimación; es decir, la intensidad de tratamiento tampoco colaboraría con reducir ni la anemia ni la DCI</w:t>
      </w:r>
      <w:r w:rsidRPr="00346DF5">
        <w:rPr>
          <w:rFonts w:ascii="Arial" w:hAnsi="Arial" w:cs="Arial"/>
          <w:sz w:val="24"/>
          <w:szCs w:val="24"/>
          <w:lang w:val="es-VE"/>
        </w:rPr>
        <w:t>”</w:t>
      </w:r>
      <w:r>
        <w:rPr>
          <w:rStyle w:val="Refdenotaalpie"/>
          <w:rFonts w:ascii="Arial" w:hAnsi="Arial" w:cs="Arial"/>
          <w:sz w:val="24"/>
          <w:szCs w:val="24"/>
          <w:lang w:val="es-VE"/>
        </w:rPr>
        <w:footnoteReference w:id="33"/>
      </w:r>
    </w:p>
    <w:p w14:paraId="2292E7F6" w14:textId="34C36C72" w:rsidR="00D27B79" w:rsidRPr="00FC6F44" w:rsidRDefault="00877438" w:rsidP="00597D12">
      <w:pPr>
        <w:pStyle w:val="Prrafodelista"/>
        <w:numPr>
          <w:ilvl w:val="0"/>
          <w:numId w:val="1"/>
        </w:numPr>
        <w:spacing w:line="276" w:lineRule="auto"/>
        <w:ind w:left="426" w:hanging="284"/>
        <w:jc w:val="both"/>
        <w:rPr>
          <w:rFonts w:ascii="Arial" w:hAnsi="Arial" w:cs="Arial"/>
          <w:sz w:val="24"/>
          <w:szCs w:val="24"/>
          <w:lang w:val="es-ES"/>
        </w:rPr>
      </w:pPr>
      <w:r w:rsidRPr="00FC6F44">
        <w:rPr>
          <w:rFonts w:ascii="Arial" w:hAnsi="Arial" w:cs="Arial"/>
          <w:b/>
          <w:bCs/>
          <w:sz w:val="24"/>
          <w:szCs w:val="24"/>
        </w:rPr>
        <w:lastRenderedPageBreak/>
        <w:t>El Colegio Médico del Perú mediante estudios de investigación y seminarios ha llegado a la conclusión</w:t>
      </w:r>
      <w:r w:rsidRPr="00FC6F44">
        <w:rPr>
          <w:rFonts w:ascii="Arial" w:hAnsi="Arial" w:cs="Arial"/>
          <w:sz w:val="24"/>
          <w:szCs w:val="24"/>
        </w:rPr>
        <w:t xml:space="preserve"> </w:t>
      </w:r>
      <w:r w:rsidR="00D27B79" w:rsidRPr="00FC6F44">
        <w:rPr>
          <w:rFonts w:ascii="Arial" w:hAnsi="Arial" w:cs="Arial"/>
          <w:sz w:val="24"/>
          <w:szCs w:val="24"/>
        </w:rPr>
        <w:t>que los programas nacionales de lucha contra la anemia basados primariamente en la administración de hierro durante la gestación, acompañada de ácido fólico, así como en los primeros años de vida</w:t>
      </w:r>
      <w:r w:rsidR="00FC6F44" w:rsidRPr="00FC6F44">
        <w:rPr>
          <w:rFonts w:ascii="Arial" w:hAnsi="Arial" w:cs="Arial"/>
          <w:sz w:val="24"/>
          <w:szCs w:val="24"/>
        </w:rPr>
        <w:t xml:space="preserve"> n</w:t>
      </w:r>
      <w:r w:rsidR="00D27B79" w:rsidRPr="00FC6F44">
        <w:rPr>
          <w:rFonts w:ascii="Arial" w:hAnsi="Arial" w:cs="Arial"/>
          <w:sz w:val="24"/>
          <w:szCs w:val="24"/>
        </w:rPr>
        <w:t>o ha dado</w:t>
      </w:r>
      <w:r w:rsidR="00FC6F44" w:rsidRPr="00FC6F44">
        <w:rPr>
          <w:rFonts w:ascii="Arial" w:hAnsi="Arial" w:cs="Arial"/>
          <w:sz w:val="24"/>
          <w:szCs w:val="24"/>
        </w:rPr>
        <w:t>, hasta la fecha,</w:t>
      </w:r>
      <w:r w:rsidR="00D27B79" w:rsidRPr="00FC6F44">
        <w:rPr>
          <w:rFonts w:ascii="Arial" w:hAnsi="Arial" w:cs="Arial"/>
          <w:sz w:val="24"/>
          <w:szCs w:val="24"/>
        </w:rPr>
        <w:t xml:space="preserve"> los resultados esperados, sobre todo en los últimos 10 años</w:t>
      </w:r>
      <w:r w:rsidR="00D27B79" w:rsidRPr="00D27B79">
        <w:rPr>
          <w:rStyle w:val="Refdenotaalpie"/>
          <w:rFonts w:ascii="Arial" w:hAnsi="Arial" w:cs="Arial"/>
          <w:sz w:val="24"/>
          <w:szCs w:val="24"/>
        </w:rPr>
        <w:footnoteReference w:id="34"/>
      </w:r>
      <w:r w:rsidR="00D27B79" w:rsidRPr="00FC6F44">
        <w:rPr>
          <w:rFonts w:ascii="Arial" w:hAnsi="Arial" w:cs="Arial"/>
          <w:sz w:val="24"/>
          <w:szCs w:val="24"/>
        </w:rPr>
        <w:t>.</w:t>
      </w:r>
      <w:r w:rsidRPr="00FC6F44">
        <w:rPr>
          <w:rFonts w:ascii="Arial" w:hAnsi="Arial" w:cs="Arial"/>
          <w:sz w:val="24"/>
          <w:szCs w:val="24"/>
        </w:rPr>
        <w:t xml:space="preserve"> </w:t>
      </w:r>
      <w:r w:rsidR="001D758A">
        <w:rPr>
          <w:rFonts w:ascii="Arial" w:hAnsi="Arial" w:cs="Arial"/>
          <w:b/>
          <w:bCs/>
          <w:sz w:val="24"/>
          <w:szCs w:val="24"/>
        </w:rPr>
        <w:t>S</w:t>
      </w:r>
      <w:r w:rsidR="001D758A" w:rsidRPr="00FC6F44">
        <w:rPr>
          <w:rFonts w:ascii="Arial" w:hAnsi="Arial" w:cs="Arial"/>
          <w:b/>
          <w:bCs/>
          <w:sz w:val="24"/>
          <w:szCs w:val="24"/>
        </w:rPr>
        <w:t>e desconoce la pobreza generalizada y la caída del poder adquisitivo lo cual coincide en porcentajes de la DCI</w:t>
      </w:r>
      <w:r w:rsidR="001D758A" w:rsidRPr="00FC6F44">
        <w:rPr>
          <w:rFonts w:ascii="Arial" w:hAnsi="Arial" w:cs="Arial"/>
          <w:sz w:val="24"/>
          <w:szCs w:val="24"/>
        </w:rPr>
        <w:t xml:space="preserve"> -</w:t>
      </w:r>
      <w:r w:rsidR="001D758A" w:rsidRPr="00FC6F44">
        <w:rPr>
          <w:rFonts w:ascii="Arial" w:hAnsi="Arial" w:cs="Arial"/>
          <w:i/>
          <w:iCs/>
          <w:sz w:val="24"/>
          <w:szCs w:val="24"/>
        </w:rPr>
        <w:t>desnutrición crónica infantil</w:t>
      </w:r>
      <w:r w:rsidR="001D758A" w:rsidRPr="00FC6F44">
        <w:rPr>
          <w:rFonts w:ascii="Arial" w:hAnsi="Arial" w:cs="Arial"/>
          <w:sz w:val="24"/>
          <w:szCs w:val="24"/>
        </w:rPr>
        <w:t xml:space="preserve">-, </w:t>
      </w:r>
      <w:r w:rsidR="001D758A" w:rsidRPr="00FC6F44">
        <w:rPr>
          <w:rFonts w:ascii="Arial" w:hAnsi="Arial" w:cs="Arial"/>
          <w:b/>
          <w:bCs/>
          <w:sz w:val="24"/>
          <w:szCs w:val="24"/>
        </w:rPr>
        <w:t>la anemia, la inseguridad alimentaria y la pobreza</w:t>
      </w:r>
      <w:r w:rsidR="001D758A" w:rsidRPr="00FC6F44">
        <w:rPr>
          <w:rFonts w:ascii="Arial" w:hAnsi="Arial" w:cs="Arial"/>
          <w:sz w:val="24"/>
          <w:szCs w:val="24"/>
        </w:rPr>
        <w:t xml:space="preserve"> [y] según último reporte del </w:t>
      </w:r>
      <w:r w:rsidR="001D758A" w:rsidRPr="00FC6F44">
        <w:rPr>
          <w:rFonts w:ascii="Arial" w:hAnsi="Arial" w:cs="Arial"/>
          <w:b/>
          <w:bCs/>
          <w:sz w:val="24"/>
          <w:szCs w:val="24"/>
        </w:rPr>
        <w:t>INEI</w:t>
      </w:r>
      <w:r w:rsidR="001D758A">
        <w:rPr>
          <w:rStyle w:val="Refdenotaalpie"/>
          <w:rFonts w:ascii="Arial" w:hAnsi="Arial" w:cs="Arial"/>
          <w:b/>
          <w:bCs/>
          <w:sz w:val="24"/>
          <w:szCs w:val="24"/>
        </w:rPr>
        <w:footnoteReference w:id="35"/>
      </w:r>
      <w:r w:rsidR="001D758A" w:rsidRPr="00FC6F44">
        <w:rPr>
          <w:rFonts w:ascii="Arial" w:hAnsi="Arial" w:cs="Arial"/>
          <w:sz w:val="24"/>
          <w:szCs w:val="24"/>
        </w:rPr>
        <w:t>, publicado en mayo de este año, alrededor de 9 millones 184.000 viven en un estado de pobreza, ello representa al 27,5% de la población nacional</w:t>
      </w:r>
      <w:r w:rsidR="00D27B79" w:rsidRPr="00D27B79">
        <w:rPr>
          <w:rStyle w:val="Refdenotaalpie"/>
          <w:rFonts w:ascii="Arial" w:hAnsi="Arial" w:cs="Arial"/>
          <w:sz w:val="24"/>
          <w:szCs w:val="24"/>
        </w:rPr>
        <w:footnoteReference w:id="36"/>
      </w:r>
      <w:r w:rsidR="00D27B79" w:rsidRPr="00FC6F44">
        <w:rPr>
          <w:rFonts w:ascii="Arial" w:hAnsi="Arial" w:cs="Arial"/>
          <w:sz w:val="24"/>
          <w:szCs w:val="24"/>
        </w:rPr>
        <w:t>.</w:t>
      </w:r>
    </w:p>
    <w:p w14:paraId="15C82074" w14:textId="3BD901A1" w:rsidR="00C425FC" w:rsidRDefault="00346DF5" w:rsidP="00597D12">
      <w:pPr>
        <w:pStyle w:val="Prrafodelista"/>
        <w:numPr>
          <w:ilvl w:val="0"/>
          <w:numId w:val="1"/>
        </w:numPr>
        <w:pBdr>
          <w:top w:val="nil"/>
          <w:left w:val="nil"/>
          <w:bottom w:val="nil"/>
          <w:right w:val="nil"/>
          <w:between w:val="nil"/>
        </w:pBdr>
        <w:spacing w:after="0" w:line="276" w:lineRule="auto"/>
        <w:ind w:left="426" w:hanging="284"/>
        <w:jc w:val="both"/>
        <w:rPr>
          <w:rFonts w:ascii="Arial" w:eastAsia="Arial" w:hAnsi="Arial" w:cs="Arial"/>
          <w:sz w:val="24"/>
          <w:szCs w:val="24"/>
        </w:rPr>
      </w:pPr>
      <w:r w:rsidRPr="00C425FC">
        <w:rPr>
          <w:rFonts w:ascii="Arial" w:eastAsia="Arial" w:hAnsi="Arial" w:cs="Arial"/>
          <w:b/>
          <w:bCs/>
          <w:sz w:val="24"/>
          <w:szCs w:val="24"/>
        </w:rPr>
        <w:t>En consecuencia, el Estado peruano no solo no ha logrado la recuperación de la capacidad adquisitiva de los peruanos</w:t>
      </w:r>
      <w:r>
        <w:rPr>
          <w:rFonts w:ascii="Arial" w:eastAsia="Arial" w:hAnsi="Arial" w:cs="Arial"/>
          <w:sz w:val="24"/>
          <w:szCs w:val="24"/>
        </w:rPr>
        <w:t xml:space="preserve">, </w:t>
      </w:r>
      <w:r w:rsidR="00C425FC">
        <w:rPr>
          <w:rFonts w:ascii="Arial" w:eastAsia="Arial" w:hAnsi="Arial" w:cs="Arial"/>
          <w:sz w:val="24"/>
          <w:szCs w:val="24"/>
        </w:rPr>
        <w:t>y por el contrario</w:t>
      </w:r>
      <w:r>
        <w:rPr>
          <w:rFonts w:ascii="Arial" w:eastAsia="Arial" w:hAnsi="Arial" w:cs="Arial"/>
          <w:sz w:val="24"/>
          <w:szCs w:val="24"/>
        </w:rPr>
        <w:t xml:space="preserve"> esta se ha agravado bajo la </w:t>
      </w:r>
      <w:r w:rsidRPr="00FC6F44">
        <w:rPr>
          <w:rFonts w:ascii="Arial" w:eastAsia="Arial" w:hAnsi="Arial" w:cs="Arial"/>
          <w:sz w:val="24"/>
          <w:szCs w:val="24"/>
          <w:u w:val="single"/>
        </w:rPr>
        <w:t>extensión de la inseguridad alimentaria,</w:t>
      </w:r>
      <w:r w:rsidR="00C425FC" w:rsidRPr="00FC6F44">
        <w:rPr>
          <w:rFonts w:ascii="Arial" w:eastAsia="Arial" w:hAnsi="Arial" w:cs="Arial"/>
          <w:sz w:val="24"/>
          <w:szCs w:val="24"/>
          <w:u w:val="single"/>
        </w:rPr>
        <w:t xml:space="preserve"> el hambre, la pobreza, </w:t>
      </w:r>
      <w:r w:rsidRPr="00FC6F44">
        <w:rPr>
          <w:rFonts w:ascii="Arial" w:eastAsia="Arial" w:hAnsi="Arial" w:cs="Arial"/>
          <w:sz w:val="24"/>
          <w:szCs w:val="24"/>
          <w:u w:val="single"/>
        </w:rPr>
        <w:t xml:space="preserve">la desnutrición y la anemia </w:t>
      </w:r>
      <w:r w:rsidR="00C425FC" w:rsidRPr="00FC6F44">
        <w:rPr>
          <w:rFonts w:ascii="Arial" w:eastAsia="Arial" w:hAnsi="Arial" w:cs="Arial"/>
          <w:sz w:val="24"/>
          <w:szCs w:val="24"/>
          <w:u w:val="single"/>
        </w:rPr>
        <w:t xml:space="preserve">desde </w:t>
      </w:r>
      <w:r w:rsidRPr="00FC6F44">
        <w:rPr>
          <w:rFonts w:ascii="Arial" w:eastAsia="Arial" w:hAnsi="Arial" w:cs="Arial"/>
          <w:sz w:val="24"/>
          <w:szCs w:val="24"/>
          <w:u w:val="single"/>
        </w:rPr>
        <w:t>la propia gestación,</w:t>
      </w:r>
      <w:r>
        <w:rPr>
          <w:rFonts w:ascii="Arial" w:eastAsia="Arial" w:hAnsi="Arial" w:cs="Arial"/>
          <w:sz w:val="24"/>
          <w:szCs w:val="24"/>
        </w:rPr>
        <w:t xml:space="preserve"> agravada por </w:t>
      </w:r>
      <w:r w:rsidR="00FC6F44">
        <w:rPr>
          <w:rFonts w:ascii="Arial" w:eastAsia="Arial" w:hAnsi="Arial" w:cs="Arial"/>
          <w:sz w:val="24"/>
          <w:szCs w:val="24"/>
        </w:rPr>
        <w:t>ausencia de</w:t>
      </w:r>
      <w:r>
        <w:rPr>
          <w:rFonts w:ascii="Arial" w:eastAsia="Arial" w:hAnsi="Arial" w:cs="Arial"/>
          <w:sz w:val="24"/>
          <w:szCs w:val="24"/>
        </w:rPr>
        <w:t xml:space="preserve"> planificación</w:t>
      </w:r>
      <w:r w:rsidR="00C425FC">
        <w:rPr>
          <w:rFonts w:ascii="Arial" w:eastAsia="Arial" w:hAnsi="Arial" w:cs="Arial"/>
          <w:sz w:val="24"/>
          <w:szCs w:val="24"/>
        </w:rPr>
        <w:t xml:space="preserve"> gubernamental </w:t>
      </w:r>
      <w:r>
        <w:rPr>
          <w:rFonts w:ascii="Arial" w:eastAsia="Arial" w:hAnsi="Arial" w:cs="Arial"/>
          <w:sz w:val="24"/>
          <w:szCs w:val="24"/>
        </w:rPr>
        <w:t xml:space="preserve">que desconoce la realidad </w:t>
      </w:r>
      <w:r w:rsidR="00C425FC">
        <w:rPr>
          <w:rFonts w:ascii="Arial" w:eastAsia="Arial" w:hAnsi="Arial" w:cs="Arial"/>
          <w:sz w:val="24"/>
          <w:szCs w:val="24"/>
        </w:rPr>
        <w:t>pluri</w:t>
      </w:r>
      <w:r>
        <w:rPr>
          <w:rFonts w:ascii="Arial" w:eastAsia="Arial" w:hAnsi="Arial" w:cs="Arial"/>
          <w:sz w:val="24"/>
          <w:szCs w:val="24"/>
        </w:rPr>
        <w:t xml:space="preserve">social </w:t>
      </w:r>
      <w:r w:rsidR="00C425FC">
        <w:rPr>
          <w:rFonts w:ascii="Arial" w:eastAsia="Arial" w:hAnsi="Arial" w:cs="Arial"/>
          <w:sz w:val="24"/>
          <w:szCs w:val="24"/>
        </w:rPr>
        <w:t xml:space="preserve">y cultural </w:t>
      </w:r>
      <w:r>
        <w:rPr>
          <w:rFonts w:ascii="Arial" w:eastAsia="Arial" w:hAnsi="Arial" w:cs="Arial"/>
          <w:sz w:val="24"/>
          <w:szCs w:val="24"/>
        </w:rPr>
        <w:t>(desempleo, pobreza, inseguridad,</w:t>
      </w:r>
      <w:r w:rsidR="00C425FC">
        <w:rPr>
          <w:rFonts w:ascii="Arial" w:eastAsia="Arial" w:hAnsi="Arial" w:cs="Arial"/>
          <w:sz w:val="24"/>
          <w:szCs w:val="24"/>
        </w:rPr>
        <w:t xml:space="preserve"> discriminación,</w:t>
      </w:r>
      <w:r>
        <w:rPr>
          <w:rFonts w:ascii="Arial" w:eastAsia="Arial" w:hAnsi="Arial" w:cs="Arial"/>
          <w:sz w:val="24"/>
          <w:szCs w:val="24"/>
        </w:rPr>
        <w:t xml:space="preserve"> </w:t>
      </w:r>
      <w:r w:rsidR="00C425FC">
        <w:rPr>
          <w:rFonts w:ascii="Arial" w:eastAsia="Arial" w:hAnsi="Arial" w:cs="Arial"/>
          <w:sz w:val="24"/>
          <w:szCs w:val="24"/>
        </w:rPr>
        <w:t>etc.</w:t>
      </w:r>
      <w:r>
        <w:rPr>
          <w:rFonts w:ascii="Arial" w:eastAsia="Arial" w:hAnsi="Arial" w:cs="Arial"/>
          <w:sz w:val="24"/>
          <w:szCs w:val="24"/>
        </w:rPr>
        <w:t>)</w:t>
      </w:r>
      <w:r w:rsidR="00C425FC">
        <w:rPr>
          <w:rFonts w:ascii="Arial" w:eastAsia="Arial" w:hAnsi="Arial" w:cs="Arial"/>
          <w:sz w:val="24"/>
          <w:szCs w:val="24"/>
        </w:rPr>
        <w:t xml:space="preserve"> del país principalmente rural y amazónico, aunque ahora extendida en las zonas urbano marginales.</w:t>
      </w:r>
    </w:p>
    <w:p w14:paraId="35FEAEDA" w14:textId="61A55D2A" w:rsidR="0093793B" w:rsidRDefault="001D758A" w:rsidP="00597D12">
      <w:pPr>
        <w:pStyle w:val="Prrafodelista"/>
        <w:numPr>
          <w:ilvl w:val="0"/>
          <w:numId w:val="1"/>
        </w:numPr>
        <w:pBdr>
          <w:top w:val="nil"/>
          <w:left w:val="nil"/>
          <w:bottom w:val="nil"/>
          <w:right w:val="nil"/>
          <w:between w:val="nil"/>
        </w:pBdr>
        <w:spacing w:after="0" w:line="276" w:lineRule="auto"/>
        <w:ind w:left="426" w:hanging="284"/>
        <w:jc w:val="both"/>
        <w:rPr>
          <w:rFonts w:ascii="Arial" w:eastAsia="Arial" w:hAnsi="Arial" w:cs="Arial"/>
          <w:b/>
          <w:bCs/>
          <w:sz w:val="24"/>
          <w:szCs w:val="24"/>
        </w:rPr>
      </w:pPr>
      <w:r>
        <w:rPr>
          <w:rFonts w:ascii="Arial" w:eastAsia="Arial" w:hAnsi="Arial" w:cs="Arial"/>
          <w:b/>
          <w:bCs/>
          <w:sz w:val="24"/>
          <w:szCs w:val="24"/>
        </w:rPr>
        <w:t>H</w:t>
      </w:r>
      <w:r w:rsidRPr="00C425FC">
        <w:rPr>
          <w:rFonts w:ascii="Arial" w:eastAsia="Arial" w:hAnsi="Arial" w:cs="Arial"/>
          <w:b/>
          <w:bCs/>
          <w:sz w:val="24"/>
          <w:szCs w:val="24"/>
        </w:rPr>
        <w:t>a fracasado en impedir el avance e institucionalización de la corrupción al más alto nivel y generalizado en la impunidad</w:t>
      </w:r>
      <w:r>
        <w:rPr>
          <w:rFonts w:ascii="Arial" w:eastAsia="Arial" w:hAnsi="Arial" w:cs="Arial"/>
          <w:sz w:val="24"/>
          <w:szCs w:val="24"/>
        </w:rPr>
        <w:t xml:space="preserve"> </w:t>
      </w:r>
      <w:r w:rsidRPr="00FC6F44">
        <w:rPr>
          <w:rFonts w:ascii="Arial" w:eastAsia="Arial" w:hAnsi="Arial" w:cs="Arial"/>
          <w:b/>
          <w:bCs/>
          <w:sz w:val="24"/>
          <w:szCs w:val="24"/>
        </w:rPr>
        <w:t>de una red de protección de funcionarios corruptos coludidos con delincuentes bajo el camuflaje de “</w:t>
      </w:r>
      <w:r w:rsidRPr="00FC6F44">
        <w:rPr>
          <w:rFonts w:ascii="Arial" w:eastAsia="Arial" w:hAnsi="Arial" w:cs="Arial"/>
          <w:b/>
          <w:bCs/>
          <w:i/>
          <w:iCs/>
          <w:sz w:val="24"/>
          <w:szCs w:val="24"/>
        </w:rPr>
        <w:t>empresas proveedoras</w:t>
      </w:r>
      <w:r w:rsidRPr="00FC6F44">
        <w:rPr>
          <w:rFonts w:ascii="Arial" w:eastAsia="Arial" w:hAnsi="Arial" w:cs="Arial"/>
          <w:b/>
          <w:bCs/>
          <w:sz w:val="24"/>
          <w:szCs w:val="24"/>
        </w:rPr>
        <w:t xml:space="preserve">” que han lucrado con el hambre de millones de peruanos dando productos que han atentado contra la vida, la salud y la seguridad personal de miles de niños e infantes y adolescentes por más de una década. </w:t>
      </w:r>
      <w:r w:rsidR="00597D12">
        <w:rPr>
          <w:rFonts w:ascii="Arial" w:eastAsia="Arial" w:hAnsi="Arial" w:cs="Arial"/>
          <w:b/>
          <w:bCs/>
          <w:sz w:val="24"/>
          <w:szCs w:val="24"/>
        </w:rPr>
        <w:t>C</w:t>
      </w:r>
      <w:r w:rsidRPr="00FC6F44">
        <w:rPr>
          <w:rFonts w:ascii="Arial" w:eastAsia="Arial" w:hAnsi="Arial" w:cs="Arial"/>
          <w:b/>
          <w:bCs/>
          <w:sz w:val="24"/>
          <w:szCs w:val="24"/>
        </w:rPr>
        <w:t xml:space="preserve">ondenando al fracaso el futuro del Perú. </w:t>
      </w:r>
      <w:r w:rsidR="00597D12">
        <w:rPr>
          <w:rFonts w:ascii="Arial" w:eastAsia="Arial" w:hAnsi="Arial" w:cs="Arial"/>
          <w:b/>
          <w:bCs/>
          <w:sz w:val="24"/>
          <w:szCs w:val="24"/>
        </w:rPr>
        <w:t>T</w:t>
      </w:r>
      <w:r w:rsidRPr="00FC6F44">
        <w:rPr>
          <w:rFonts w:ascii="Arial" w:eastAsia="Arial" w:hAnsi="Arial" w:cs="Arial"/>
          <w:b/>
          <w:bCs/>
          <w:sz w:val="24"/>
          <w:szCs w:val="24"/>
        </w:rPr>
        <w:t xml:space="preserve">odo ello en abierta violación del </w:t>
      </w:r>
      <w:r w:rsidR="00597D12">
        <w:rPr>
          <w:rFonts w:ascii="Arial" w:eastAsia="Arial" w:hAnsi="Arial" w:cs="Arial"/>
          <w:b/>
          <w:bCs/>
          <w:sz w:val="24"/>
          <w:szCs w:val="24"/>
        </w:rPr>
        <w:t>P</w:t>
      </w:r>
      <w:r w:rsidRPr="00FC6F44">
        <w:rPr>
          <w:rFonts w:ascii="Arial" w:eastAsia="Arial" w:hAnsi="Arial" w:cs="Arial"/>
          <w:b/>
          <w:bCs/>
          <w:sz w:val="24"/>
          <w:szCs w:val="24"/>
        </w:rPr>
        <w:t xml:space="preserve">acto al cual el </w:t>
      </w:r>
      <w:r w:rsidR="00597D12">
        <w:rPr>
          <w:rFonts w:ascii="Arial" w:eastAsia="Arial" w:hAnsi="Arial" w:cs="Arial"/>
          <w:b/>
          <w:bCs/>
          <w:sz w:val="24"/>
          <w:szCs w:val="24"/>
        </w:rPr>
        <w:t>E</w:t>
      </w:r>
      <w:r w:rsidRPr="00FC6F44">
        <w:rPr>
          <w:rFonts w:ascii="Arial" w:eastAsia="Arial" w:hAnsi="Arial" w:cs="Arial"/>
          <w:b/>
          <w:bCs/>
          <w:sz w:val="24"/>
          <w:szCs w:val="24"/>
        </w:rPr>
        <w:t>stado peruano se ha obligado a cumplir y no lo ha realizado</w:t>
      </w:r>
      <w:r w:rsidR="00FC6F44" w:rsidRPr="00FC6F44">
        <w:rPr>
          <w:rFonts w:ascii="Arial" w:eastAsia="Arial" w:hAnsi="Arial" w:cs="Arial"/>
          <w:b/>
          <w:bCs/>
          <w:sz w:val="24"/>
          <w:szCs w:val="24"/>
        </w:rPr>
        <w:t xml:space="preserve">.  </w:t>
      </w:r>
    </w:p>
    <w:p w14:paraId="62638686" w14:textId="12308F5D" w:rsidR="00597D12" w:rsidRPr="00597D12" w:rsidRDefault="00597D12" w:rsidP="00597D12">
      <w:pPr>
        <w:pBdr>
          <w:top w:val="nil"/>
          <w:left w:val="nil"/>
          <w:bottom w:val="nil"/>
          <w:right w:val="nil"/>
          <w:between w:val="nil"/>
        </w:pBdr>
        <w:spacing w:after="0" w:line="276" w:lineRule="auto"/>
        <w:jc w:val="right"/>
        <w:rPr>
          <w:rFonts w:ascii="Arial" w:eastAsia="Arial" w:hAnsi="Arial" w:cs="Arial"/>
          <w:sz w:val="24"/>
          <w:szCs w:val="24"/>
        </w:rPr>
      </w:pPr>
      <w:r w:rsidRPr="00597D12">
        <w:rPr>
          <w:rFonts w:ascii="Arial" w:eastAsia="Arial" w:hAnsi="Arial" w:cs="Arial"/>
          <w:sz w:val="24"/>
          <w:szCs w:val="24"/>
        </w:rPr>
        <w:t>Lima, 10 de diciembre de 2024</w:t>
      </w:r>
    </w:p>
    <w:sectPr w:rsidR="00597D12" w:rsidRPr="00597D12" w:rsidSect="001D758A">
      <w:headerReference w:type="even" r:id="rId12"/>
      <w:headerReference w:type="default" r:id="rId13"/>
      <w:footerReference w:type="default" r:id="rId14"/>
      <w:headerReference w:type="first" r:id="rId15"/>
      <w:pgSz w:w="12240" w:h="15840"/>
      <w:pgMar w:top="1276" w:right="1700" w:bottom="1133" w:left="1700" w:header="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9B61C7" w14:textId="77777777" w:rsidR="00CD10AD" w:rsidRDefault="00CD10AD" w:rsidP="00CD10AD">
      <w:pPr>
        <w:spacing w:after="0" w:line="240" w:lineRule="auto"/>
      </w:pPr>
      <w:r>
        <w:separator/>
      </w:r>
    </w:p>
  </w:endnote>
  <w:endnote w:type="continuationSeparator" w:id="0">
    <w:p w14:paraId="23B13E8F" w14:textId="77777777" w:rsidR="00CD10AD" w:rsidRDefault="00CD10AD" w:rsidP="00CD1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1024702"/>
      <w:docPartObj>
        <w:docPartGallery w:val="Page Numbers (Bottom of Page)"/>
        <w:docPartUnique/>
      </w:docPartObj>
    </w:sdtPr>
    <w:sdtEndPr/>
    <w:sdtContent>
      <w:p w14:paraId="26BD6BA0" w14:textId="23A27E64" w:rsidR="00C425FC" w:rsidRDefault="00CD10AD">
        <w:r>
          <w:rPr>
            <w:noProof/>
          </w:rPr>
          <mc:AlternateContent>
            <mc:Choice Requires="wpg">
              <w:drawing>
                <wp:anchor distT="0" distB="0" distL="114300" distR="114300" simplePos="0" relativeHeight="251659264" behindDoc="0" locked="0" layoutInCell="1" allowOverlap="1" wp14:anchorId="4E85B68F" wp14:editId="17596A1D">
                  <wp:simplePos x="0" y="0"/>
                  <wp:positionH relativeFrom="margin">
                    <wp:align>center</wp:align>
                  </wp:positionH>
                  <wp:positionV relativeFrom="page">
                    <wp:align>bottom</wp:align>
                  </wp:positionV>
                  <wp:extent cx="436880" cy="716915"/>
                  <wp:effectExtent l="9525" t="9525" r="10795" b="6985"/>
                  <wp:wrapNone/>
                  <wp:docPr id="754400949"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407064715"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047047987"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7AB97B5D" w14:textId="77777777" w:rsidR="00CD10AD" w:rsidRDefault="00CD10AD">
                                <w:pPr>
                                  <w:pStyle w:val="Piedepgina"/>
                                  <w:jc w:val="center"/>
                                  <w:rPr>
                                    <w:sz w:val="16"/>
                                    <w:szCs w:val="16"/>
                                  </w:rPr>
                                </w:pPr>
                                <w:r>
                                  <w:fldChar w:fldCharType="begin"/>
                                </w:r>
                                <w:r>
                                  <w:instrText>PAGE    \* MERGEFORMAT</w:instrText>
                                </w:r>
                                <w:r>
                                  <w:fldChar w:fldCharType="separate"/>
                                </w:r>
                                <w:r>
                                  <w:rPr>
                                    <w:sz w:val="16"/>
                                    <w:szCs w:val="16"/>
                                    <w:lang w:val="es-ES"/>
                                  </w:rPr>
                                  <w:t>2</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85B68F" id="Grupo 1" o:spid="_x0000_s1026" style="position:absolute;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" filled="f" strokecolor="#7f7f7f">
                    <v:textbox>
                      <w:txbxContent>
                        <w:p w14:paraId="7AB97B5D" w14:textId="77777777" w:rsidR="00CD10AD" w:rsidRDefault="00CD10AD">
                          <w:pPr>
                            <w:pStyle w:val="Piedepgina"/>
                            <w:jc w:val="center"/>
                            <w:rPr>
                              <w:sz w:val="16"/>
                              <w:szCs w:val="16"/>
                            </w:rPr>
                          </w:pPr>
                          <w:r>
                            <w:fldChar w:fldCharType="begin"/>
                          </w:r>
                          <w:r>
                            <w:instrText>PAGE    \* MERGEFORMAT</w:instrText>
                          </w:r>
                          <w:r>
                            <w:fldChar w:fldCharType="separate"/>
                          </w:r>
                          <w:r>
                            <w:rPr>
                              <w:sz w:val="16"/>
                              <w:szCs w:val="16"/>
                              <w:lang w:val="es-ES"/>
                            </w:rPr>
                            <w:t>2</w:t>
                          </w:r>
                          <w:r>
                            <w:rPr>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963CE0" w14:textId="77777777" w:rsidR="00CD10AD" w:rsidRDefault="00CD10AD" w:rsidP="00CD10AD">
      <w:pPr>
        <w:spacing w:after="0" w:line="240" w:lineRule="auto"/>
      </w:pPr>
      <w:r>
        <w:separator/>
      </w:r>
    </w:p>
  </w:footnote>
  <w:footnote w:type="continuationSeparator" w:id="0">
    <w:p w14:paraId="5B72DBD0" w14:textId="77777777" w:rsidR="00CD10AD" w:rsidRDefault="00CD10AD" w:rsidP="00CD10AD">
      <w:pPr>
        <w:spacing w:after="0" w:line="240" w:lineRule="auto"/>
      </w:pPr>
      <w:r>
        <w:continuationSeparator/>
      </w:r>
    </w:p>
  </w:footnote>
  <w:footnote w:id="1">
    <w:p w14:paraId="7E28E81B" w14:textId="7CEA44C7" w:rsidR="00CD10AD" w:rsidRDefault="001D1AF2" w:rsidP="001D1AF2">
      <w:pPr>
        <w:pStyle w:val="Bibliografa"/>
        <w:ind w:left="142" w:hanging="142"/>
        <w:jc w:val="both"/>
      </w:pPr>
      <w:r>
        <w:fldChar w:fldCharType="begin"/>
      </w:r>
      <w:r>
        <w:instrText xml:space="preserve"> BIBLIOGRAPHY  \l 10250 </w:instrText>
      </w:r>
      <w:r>
        <w:fldChar w:fldCharType="separate"/>
      </w:r>
      <w:r>
        <w:fldChar w:fldCharType="end"/>
      </w:r>
      <w:r w:rsidR="00CD10AD">
        <w:rPr>
          <w:rStyle w:val="Refdenotaalpie"/>
        </w:rPr>
        <w:footnoteRef/>
      </w:r>
      <w:r w:rsidR="00CD10AD">
        <w:t xml:space="preserve"> </w:t>
      </w:r>
      <w:bookmarkStart w:id="1" w:name="_Hlk184636968"/>
      <w:r w:rsidR="00CD10AD" w:rsidRPr="00EE7EC3">
        <w:t xml:space="preserve">“Desnutrición crónica infantil incrementa a más del 12%: afecta a menores de 5 años en zonas rurales y urbanas”: 26 ago. 2024 </w:t>
      </w:r>
      <w:bookmarkEnd w:id="1"/>
      <w:r w:rsidR="00CD10AD" w:rsidRPr="00EE7EC3">
        <w:t>| 22:55 h.</w:t>
      </w:r>
      <w:r>
        <w:t xml:space="preserve"> Fuente:   </w:t>
      </w:r>
      <w:bookmarkStart w:id="2" w:name="_Hlk183983059"/>
      <w:r>
        <w:fldChar w:fldCharType="begin"/>
      </w:r>
      <w:r>
        <w:instrText>HYPERLINK "</w:instrText>
      </w:r>
      <w:r w:rsidRPr="001D1AF2">
        <w:instrText>https://larepublica.pe/sociedad/2024/08/26/desnutricion-cronica-infantil-incrementa-a-mas-del-12-afecta-a-menores-de-5-anos-en-zonas-rurales-y-urbanas-endes-2024-i-1923558</w:instrText>
      </w:r>
      <w:r>
        <w:instrText>"</w:instrText>
      </w:r>
      <w:r>
        <w:fldChar w:fldCharType="separate"/>
      </w:r>
      <w:r w:rsidRPr="00E12733">
        <w:rPr>
          <w:rStyle w:val="Hipervnculo"/>
        </w:rPr>
        <w:t>https://larepublica.pe/sociedad/2024/08/26/desnutricion-cronica-infantil-incrementa-a-mas-del-12-afecta-a-menores-de-5-anos-en-zonas-rurales-y-urbanas-endes-2024-i-1923558</w:t>
      </w:r>
      <w:r>
        <w:fldChar w:fldCharType="end"/>
      </w:r>
      <w:r>
        <w:t xml:space="preserve"> . Rescatado de: </w:t>
      </w:r>
      <w:r w:rsidR="00CD10AD" w:rsidRPr="00563DBB">
        <w:t>Indicadores de Resultados de los Programas Presupuestales, Primer Semestre 2024 Encuesta Demográfica y de SaludFamiliar</w:t>
      </w:r>
      <w:r w:rsidR="00CD10AD">
        <w:t>:</w:t>
      </w:r>
      <w:hyperlink r:id="rId1" w:history="1">
        <w:r w:rsidRPr="00E12733">
          <w:rPr>
            <w:rStyle w:val="Hipervnculo"/>
          </w:rPr>
          <w:t>https://proyectos.inei.gob.pe/endes/2024/ppr/Indicadores_de_Resultados_de_los_Programas_Presupuestales_ENDES_Primer_Semestre_2024.pdf</w:t>
        </w:r>
      </w:hyperlink>
      <w:r>
        <w:t xml:space="preserve"> </w:t>
      </w:r>
    </w:p>
    <w:bookmarkEnd w:id="2"/>
  </w:footnote>
  <w:footnote w:id="2">
    <w:p w14:paraId="025D494D" w14:textId="151338BB" w:rsidR="00CD10AD" w:rsidRPr="00563DBB" w:rsidRDefault="00CD10AD" w:rsidP="00CD10AD">
      <w:pPr>
        <w:pStyle w:val="Textonotapie"/>
      </w:pPr>
      <w:r>
        <w:rPr>
          <w:rStyle w:val="Refdenotaalpie"/>
        </w:rPr>
        <w:footnoteRef/>
      </w:r>
      <w:r>
        <w:t xml:space="preserve"> Perú. </w:t>
      </w:r>
      <w:r w:rsidRPr="00563DBB">
        <w:t xml:space="preserve">Indicadores de Resultados de los Programas Presupuestales, Primer Semestre 2024 Encuesta Demográfica y de Salud Familiar: </w:t>
      </w:r>
      <w:r w:rsidR="001D1AF2">
        <w:t xml:space="preserve">Fuente: </w:t>
      </w:r>
      <w:hyperlink r:id="rId2" w:history="1">
        <w:r w:rsidR="001D1AF2" w:rsidRPr="00E12733">
          <w:rPr>
            <w:rStyle w:val="Hipervnculo"/>
          </w:rPr>
          <w:t>https://proyectos.inei.gob.pe/endes/2024/ppr/Indicadores_de_Resultados_de_los_Programas_Presupuestales_ENDES_Primer_Semestre_2024.pdf</w:t>
        </w:r>
      </w:hyperlink>
      <w:r>
        <w:t xml:space="preserve"> </w:t>
      </w:r>
    </w:p>
    <w:p w14:paraId="4FD1BB41" w14:textId="77777777" w:rsidR="00CD10AD" w:rsidRPr="00217D2C" w:rsidRDefault="00CD10AD" w:rsidP="00CD10AD">
      <w:pPr>
        <w:pStyle w:val="Textonotapie"/>
      </w:pPr>
      <w:r w:rsidRPr="00217D2C">
        <w:t>Autorizan la “Encuesta Demográfica y de Salud Familiar – ENDES 2024” Resolución Jefatura</w:t>
      </w:r>
      <w:r>
        <w:t>l</w:t>
      </w:r>
      <w:r w:rsidRPr="00217D2C">
        <w:t xml:space="preserve"> Nº 034-2024-inei Lima, 31 de enero de 2024</w:t>
      </w:r>
      <w:r>
        <w:t xml:space="preserve">: </w:t>
      </w:r>
      <w:hyperlink r:id="rId3" w:history="1">
        <w:r w:rsidRPr="002871B5">
          <w:rPr>
            <w:rStyle w:val="Hipervnculo"/>
          </w:rPr>
          <w:t>https://busquedas.elperuano.pe/dispositivo/NL/2257695-1?_ga=2.109018438.531217590.1733099848-1209657268.1724187677</w:t>
        </w:r>
      </w:hyperlink>
      <w:r>
        <w:t xml:space="preserve"> </w:t>
      </w:r>
    </w:p>
    <w:p w14:paraId="3C0993DE" w14:textId="77777777" w:rsidR="00CD10AD" w:rsidRPr="00EE7EC3" w:rsidRDefault="00CD10AD" w:rsidP="00CD10AD">
      <w:pPr>
        <w:pStyle w:val="Textonotapie"/>
      </w:pPr>
    </w:p>
  </w:footnote>
  <w:footnote w:id="3">
    <w:p w14:paraId="0417623C" w14:textId="77777777" w:rsidR="00113C09" w:rsidRPr="00C86198" w:rsidRDefault="00113C09" w:rsidP="00113C09">
      <w:pPr>
        <w:pStyle w:val="Textonotapie"/>
      </w:pPr>
      <w:r>
        <w:rPr>
          <w:rStyle w:val="Refdenotaalpie"/>
        </w:rPr>
        <w:footnoteRef/>
      </w:r>
      <w:r>
        <w:t xml:space="preserve"> “</w:t>
      </w:r>
      <w:r w:rsidRPr="00C86198">
        <w:t>Más de 1,9 millones de peruanos no puede cubrir sus gastos mínimos para alimentos</w:t>
      </w:r>
      <w:r>
        <w:t xml:space="preserve">”: </w:t>
      </w:r>
      <w:hyperlink r:id="rId4" w:history="1">
        <w:r w:rsidRPr="00C86198">
          <w:rPr>
            <w:rStyle w:val="Hipervnculo"/>
            <w:b/>
            <w:bCs/>
          </w:rPr>
          <w:t>Economía</w:t>
        </w:r>
      </w:hyperlink>
    </w:p>
    <w:p w14:paraId="10203852" w14:textId="77777777" w:rsidR="00113C09" w:rsidRDefault="00113C09" w:rsidP="00113C09">
      <w:pPr>
        <w:pStyle w:val="Textonotapie"/>
        <w:rPr>
          <w:b/>
          <w:bCs/>
        </w:rPr>
      </w:pPr>
      <w:r w:rsidRPr="00C86198">
        <w:t>14 May 2024 | 11:57 h</w:t>
      </w:r>
      <w:bookmarkStart w:id="3" w:name="_Hlk183983946"/>
      <w:r>
        <w:t xml:space="preserve">: </w:t>
      </w:r>
      <w:hyperlink r:id="rId5" w:history="1">
        <w:r w:rsidRPr="002871B5">
          <w:rPr>
            <w:rStyle w:val="Hipervnculo"/>
          </w:rPr>
          <w:t>https://larepublica.pe/economia/2024/05/14/mas-de-19-millones-de-peruanos-no-puede-cubrir-sus-gastos-minimos-para-alimentos-549416</w:t>
        </w:r>
      </w:hyperlink>
      <w:bookmarkEnd w:id="3"/>
      <w:r>
        <w:t xml:space="preserve"> </w:t>
      </w:r>
    </w:p>
    <w:p w14:paraId="3F1D4ED2" w14:textId="77777777" w:rsidR="00113C09" w:rsidRDefault="00113C09" w:rsidP="00113C09">
      <w:pPr>
        <w:pStyle w:val="Textonotapie"/>
        <w:jc w:val="both"/>
      </w:pPr>
      <w:r>
        <w:t>“DESNUTRICIÓN CRÓNICA INFANTIL SUBIRÍA AL 12.2% EN EL PRIMER TRIMESTRE DE 2024”. Por “</w:t>
      </w:r>
      <w:proofErr w:type="spellStart"/>
      <w:r>
        <w:t>Comexperu</w:t>
      </w:r>
      <w:proofErr w:type="spellEnd"/>
      <w:r>
        <w:t xml:space="preserve">” / Publicado en </w:t>
      </w:r>
      <w:proofErr w:type="gramStart"/>
      <w:r>
        <w:t>Septiembre</w:t>
      </w:r>
      <w:proofErr w:type="gramEnd"/>
      <w:r>
        <w:t xml:space="preserve"> 27, 2024 / Semanario 1227 – Actualidad: </w:t>
      </w:r>
      <w:hyperlink r:id="rId6" w:history="1">
        <w:r w:rsidRPr="002871B5">
          <w:rPr>
            <w:rStyle w:val="Hipervnculo"/>
          </w:rPr>
          <w:t>https://www.comexperu.org.pe/articulo/desnutricion-cronica-infantil-subiria-al-122-en-el-primer-trimestre-de-2024</w:t>
        </w:r>
      </w:hyperlink>
      <w:r>
        <w:t xml:space="preserve"> </w:t>
      </w:r>
    </w:p>
    <w:p w14:paraId="6265AE7F" w14:textId="77777777" w:rsidR="00113C09" w:rsidRDefault="00113C09" w:rsidP="00113C09">
      <w:pPr>
        <w:pStyle w:val="Textonotapie"/>
      </w:pPr>
    </w:p>
  </w:footnote>
  <w:footnote w:id="4">
    <w:p w14:paraId="0D8E30D4" w14:textId="0C36DAE7" w:rsidR="00822B0C" w:rsidRDefault="00822B0C">
      <w:pPr>
        <w:pStyle w:val="Textonotapie"/>
      </w:pPr>
      <w:r>
        <w:rPr>
          <w:rStyle w:val="Refdenotaalpie"/>
        </w:rPr>
        <w:footnoteRef/>
      </w:r>
      <w:r>
        <w:t xml:space="preserve"> DESNUTRICION CRONICA INFANTIL (en adelante DCI)</w:t>
      </w:r>
    </w:p>
  </w:footnote>
  <w:footnote w:id="5">
    <w:p w14:paraId="4A535D01" w14:textId="77777777" w:rsidR="00113C09" w:rsidRDefault="00113C09" w:rsidP="00113C09">
      <w:pPr>
        <w:pStyle w:val="Textonotapie"/>
      </w:pPr>
      <w:r>
        <w:rPr>
          <w:rStyle w:val="Refdenotaalpie"/>
        </w:rPr>
        <w:footnoteRef/>
      </w:r>
      <w:r>
        <w:t xml:space="preserve"> Ib. Ídem, p. 1</w:t>
      </w:r>
      <w:r w:rsidRPr="000642FB">
        <w:t xml:space="preserve">: </w:t>
      </w:r>
      <w:hyperlink r:id="rId7" w:history="1">
        <w:r w:rsidRPr="000642FB">
          <w:rPr>
            <w:rStyle w:val="Hipervnculo"/>
          </w:rPr>
          <w:t>https://larepublica.pe/economia/2024/05/14/mas-de-19-millones-de-peruanos-no-puede-cubrir-sus-gastos-minimos-para-alimentos-549416</w:t>
        </w:r>
      </w:hyperlink>
    </w:p>
  </w:footnote>
  <w:footnote w:id="6">
    <w:p w14:paraId="7DEC95F2" w14:textId="0D1FC940" w:rsidR="00113C09" w:rsidRDefault="00113C09">
      <w:pPr>
        <w:pStyle w:val="Textonotapie"/>
      </w:pPr>
      <w:r>
        <w:rPr>
          <w:rStyle w:val="Refdenotaalpie"/>
        </w:rPr>
        <w:footnoteRef/>
      </w:r>
      <w:r>
        <w:t xml:space="preserve"> </w:t>
      </w:r>
      <w:r w:rsidRPr="00113C09">
        <w:rPr>
          <w:lang w:val="es-ES"/>
        </w:rPr>
        <w:t>Quinto informe periódico que el Perú debía presentar en 2017 en virtud de los artículos 16 y 17 del Pacto</w:t>
      </w:r>
      <w:bookmarkStart w:id="4" w:name="_Hlk183964620"/>
      <w:r w:rsidRPr="00113C09">
        <w:rPr>
          <w:lang w:val="es-ES"/>
        </w:rPr>
        <w:t xml:space="preserve"> [Procedimiento establecido por el DS 010-2020-JUS]. Pág. 23 y ss. “</w:t>
      </w:r>
      <w:r w:rsidRPr="00113C09">
        <w:rPr>
          <w:b/>
          <w:bCs/>
          <w:i/>
          <w:iCs/>
          <w:lang w:val="es-ES"/>
        </w:rPr>
        <w:t>XIV.</w:t>
      </w:r>
      <w:r w:rsidRPr="00113C09">
        <w:rPr>
          <w:b/>
          <w:bCs/>
          <w:i/>
          <w:iCs/>
          <w:lang w:val="es-ES"/>
        </w:rPr>
        <w:tab/>
        <w:t>Respuesta al párrafo 18</w:t>
      </w:r>
      <w:r w:rsidRPr="00113C09">
        <w:rPr>
          <w:lang w:val="es-ES"/>
        </w:rPr>
        <w:t xml:space="preserve">”: </w:t>
      </w:r>
      <w:bookmarkEnd w:id="4"/>
      <w:r w:rsidRPr="00113C09">
        <w:rPr>
          <w:lang w:val="es-ES"/>
        </w:rPr>
        <w:t>fuente: Naciones Unidas</w:t>
      </w:r>
      <w:r w:rsidRPr="00113C09">
        <w:rPr>
          <w:lang w:val="es-ES"/>
        </w:rPr>
        <w:tab/>
        <w:t>E/C.12/PER/5 - Consejo Económico y Social</w:t>
      </w:r>
      <w:r w:rsidRPr="00113C09">
        <w:rPr>
          <w:lang w:val="es-ES"/>
        </w:rPr>
        <w:tab/>
        <w:t xml:space="preserve">- </w:t>
      </w:r>
      <w:proofErr w:type="spellStart"/>
      <w:r w:rsidRPr="00113C09">
        <w:rPr>
          <w:lang w:val="es-ES"/>
        </w:rPr>
        <w:t>Distr</w:t>
      </w:r>
      <w:proofErr w:type="spellEnd"/>
      <w:r w:rsidRPr="00113C09">
        <w:rPr>
          <w:lang w:val="es-ES"/>
        </w:rPr>
        <w:t>. General 10 de enero de 2022.</w:t>
      </w:r>
    </w:p>
  </w:footnote>
  <w:footnote w:id="7">
    <w:p w14:paraId="2C6FB69F" w14:textId="77777777" w:rsidR="00113C09" w:rsidRPr="0034712C" w:rsidRDefault="00113C09" w:rsidP="00113C09">
      <w:pPr>
        <w:pStyle w:val="Textonotapie"/>
      </w:pPr>
      <w:r>
        <w:rPr>
          <w:rStyle w:val="Refdenotaalpie"/>
        </w:rPr>
        <w:footnoteRef/>
      </w:r>
      <w:r>
        <w:t xml:space="preserve"> </w:t>
      </w:r>
      <w:r w:rsidRPr="0034712C">
        <w:t xml:space="preserve">“Perú: Encuesta Demográfica y de Salud Familiar 2023 - Nacional y Departamental”: </w:t>
      </w:r>
      <w:hyperlink r:id="rId8" w:history="1">
        <w:r w:rsidRPr="0034712C">
          <w:rPr>
            <w:rStyle w:val="Hipervnculo"/>
          </w:rPr>
          <w:t>https://proyectos.inei.gob.pe/files/WEB_ENDES/INFORME_PRINCIPAL/2023/INFORME_PRINCIPALINFORME_PRINCIPAL_ENDES_2023.pdf</w:t>
        </w:r>
      </w:hyperlink>
      <w:r w:rsidRPr="0034712C">
        <w:t xml:space="preserve"> pág. </w:t>
      </w:r>
      <w:r>
        <w:t>216</w:t>
      </w:r>
    </w:p>
    <w:p w14:paraId="54BDAD8E" w14:textId="77777777" w:rsidR="00113C09" w:rsidRDefault="00113C09" w:rsidP="00113C09">
      <w:pPr>
        <w:pStyle w:val="Textonotapie"/>
      </w:pPr>
    </w:p>
  </w:footnote>
  <w:footnote w:id="8">
    <w:p w14:paraId="3D83A4D8" w14:textId="77777777" w:rsidR="001B1BAB" w:rsidRDefault="001B1BAB" w:rsidP="001B1BAB">
      <w:pPr>
        <w:pStyle w:val="Textonotapie"/>
        <w:tabs>
          <w:tab w:val="left" w:pos="3828"/>
        </w:tabs>
      </w:pPr>
      <w:r>
        <w:rPr>
          <w:rStyle w:val="Refdenotaalpie"/>
        </w:rPr>
        <w:footnoteRef/>
      </w:r>
      <w:r>
        <w:t xml:space="preserve"> </w:t>
      </w:r>
      <w:bookmarkStart w:id="5" w:name="_Hlk183975642"/>
      <w:bookmarkStart w:id="6" w:name="_Hlk183975643"/>
      <w:r w:rsidRPr="0034712C">
        <w:t>“Perú: Encuesta Demográfica y de Salud Familiar 2023 - Nacional y Departamental”</w:t>
      </w:r>
      <w:r>
        <w:t xml:space="preserve">: </w:t>
      </w:r>
      <w:hyperlink r:id="rId9" w:history="1">
        <w:r w:rsidRPr="002871B5">
          <w:rPr>
            <w:rStyle w:val="Hipervnculo"/>
          </w:rPr>
          <w:t>https://proyectos.inei.gob.pe/files/WEB_ENDES/INFORME_PRINCIPAL/2023/INFORME_PRINCIPALINFORME_PRINCIPAL_ENDES_2023.pdf</w:t>
        </w:r>
      </w:hyperlink>
      <w:r>
        <w:t xml:space="preserve"> pág. </w:t>
      </w:r>
      <w:bookmarkEnd w:id="5"/>
      <w:bookmarkEnd w:id="6"/>
      <w:r>
        <w:t>217</w:t>
      </w:r>
    </w:p>
  </w:footnote>
  <w:footnote w:id="9">
    <w:p w14:paraId="7E57C5B6" w14:textId="77777777" w:rsidR="001B1BAB" w:rsidRDefault="001B1BAB" w:rsidP="001B1BAB">
      <w:pPr>
        <w:pStyle w:val="Textonotapie"/>
      </w:pPr>
      <w:r>
        <w:rPr>
          <w:rStyle w:val="Refdenotaalpie"/>
        </w:rPr>
        <w:footnoteRef/>
      </w:r>
      <w:r>
        <w:t xml:space="preserve"> </w:t>
      </w:r>
      <w:r w:rsidRPr="00A321B1">
        <w:t xml:space="preserve">“Perú: Encuesta Demográfica y de Salud Familiar 2023 - Nacional y Departamental”: </w:t>
      </w:r>
      <w:hyperlink r:id="rId10" w:history="1">
        <w:r w:rsidRPr="00A321B1">
          <w:rPr>
            <w:rStyle w:val="Hipervnculo"/>
          </w:rPr>
          <w:t>https://proyectos.inei.gob.pe/files/WEB_ENDES/INFORME_PRINCIPAL/2023/INFORME_PRINCIPALINFORME_PRINCIPAL_ENDES_2023.pdf</w:t>
        </w:r>
      </w:hyperlink>
      <w:r w:rsidRPr="00A321B1">
        <w:t xml:space="preserve"> pág.</w:t>
      </w:r>
      <w:r>
        <w:t>218</w:t>
      </w:r>
    </w:p>
  </w:footnote>
  <w:footnote w:id="10">
    <w:p w14:paraId="12CDBA33" w14:textId="77777777" w:rsidR="001B1BAB" w:rsidRDefault="001B1BAB" w:rsidP="001B1BAB">
      <w:pPr>
        <w:pStyle w:val="Textonotapie"/>
      </w:pPr>
      <w:r>
        <w:rPr>
          <w:rStyle w:val="Refdenotaalpie"/>
        </w:rPr>
        <w:footnoteRef/>
      </w:r>
      <w:r>
        <w:t xml:space="preserve"> 2024, Primer Semestre. Informe Gerencial SIEN HIS - Estado Nutricional de Niños menores de cinco años que acceden a Establecimientos de Salud del Ministerio de Salud. Informe Gerencial Nacional- Primer Semestre 2024: “</w:t>
      </w:r>
      <w:r w:rsidRPr="002A0B93">
        <w:t>8. RESULTADOS 8.1. ESTADO NUTRICIONAL DE NIÑOS MENORES DE 5 AÑOS</w:t>
      </w:r>
      <w:r>
        <w:t xml:space="preserve">”. Pág. 14: </w:t>
      </w:r>
      <w:hyperlink r:id="rId11" w:history="1">
        <w:r w:rsidRPr="002871B5">
          <w:rPr>
            <w:rStyle w:val="Hipervnculo"/>
          </w:rPr>
          <w:t>https://www.gob.pe/34823-instituto-nacional-de-salud-centro-nacional-de-alimentacion-y-nutricion-cenan</w:t>
        </w:r>
      </w:hyperlink>
      <w:r>
        <w:t xml:space="preserve"> </w:t>
      </w:r>
    </w:p>
  </w:footnote>
  <w:footnote w:id="11">
    <w:p w14:paraId="64FF86B7" w14:textId="77777777" w:rsidR="001B1BAB" w:rsidRDefault="001B1BAB" w:rsidP="001B1BAB">
      <w:pPr>
        <w:pStyle w:val="Textonotapie"/>
      </w:pPr>
      <w:r>
        <w:rPr>
          <w:rStyle w:val="Refdenotaalpie"/>
        </w:rPr>
        <w:footnoteRef/>
      </w:r>
      <w:r>
        <w:t xml:space="preserve"> 2024, Primer Semestre. Informe Gerencial SIEN HIS - Estado Nutricional de Niños menores de cinco años que acceden a Establecimientos de Salud del Ministerio de Salud. Informe Gerencial Nacional- Primer Semestre 2024: “</w:t>
      </w:r>
      <w:r w:rsidRPr="002A0B93">
        <w:t>8. RESULTADOS 8.1. ESTADO NUTRICIONAL DE NIÑOS MENORES DE 5 AÑOS</w:t>
      </w:r>
      <w:r>
        <w:t xml:space="preserve">”. Pág. 14: </w:t>
      </w:r>
      <w:hyperlink r:id="rId12" w:history="1">
        <w:r w:rsidRPr="002871B5">
          <w:rPr>
            <w:rStyle w:val="Hipervnculo"/>
          </w:rPr>
          <w:t>https://www.gob.pe/34823-instituto-nacional-de-salud-centro-nacional-de-alimentacion-y-nutricion-cenan</w:t>
        </w:r>
      </w:hyperlink>
      <w:r>
        <w:t xml:space="preserve"> </w:t>
      </w:r>
    </w:p>
  </w:footnote>
  <w:footnote w:id="12">
    <w:p w14:paraId="27098A26" w14:textId="77777777" w:rsidR="002F1B50" w:rsidRPr="002F1B50" w:rsidRDefault="002F1B50" w:rsidP="002F1B50">
      <w:pPr>
        <w:pStyle w:val="Textonotapie"/>
        <w:jc w:val="both"/>
        <w:rPr>
          <w:b/>
          <w:bCs/>
        </w:rPr>
      </w:pPr>
      <w:r>
        <w:rPr>
          <w:rStyle w:val="Refdenotaalpie"/>
        </w:rPr>
        <w:footnoteRef/>
      </w:r>
      <w:r>
        <w:t xml:space="preserve"> </w:t>
      </w:r>
      <w:r w:rsidRPr="002F1B50">
        <w:t xml:space="preserve">Pacto Internacional de Derechos Económicos, Sociales y Culturales Adoptado y abierto a la firma, ratificación y adhesión por la Asamblea General en su resolución 2200 A (XXI), de 16 de diciembre de 1966 [Entrada en vigor: 3 de enero de 1976, de conformidad con el artículo 27]. </w:t>
      </w:r>
      <w:r w:rsidRPr="002F1B50">
        <w:rPr>
          <w:b/>
          <w:bCs/>
        </w:rPr>
        <w:t xml:space="preserve">Parte II Artículo 2. </w:t>
      </w:r>
    </w:p>
    <w:p w14:paraId="34058C9A" w14:textId="77777777" w:rsidR="002F1B50" w:rsidRPr="002F1B50" w:rsidRDefault="002F1B50" w:rsidP="002F1B50">
      <w:pPr>
        <w:pStyle w:val="Textonotapie"/>
        <w:jc w:val="both"/>
      </w:pPr>
      <w:r w:rsidRPr="002F1B50">
        <w:rPr>
          <w:i/>
          <w:iCs/>
        </w:rPr>
        <w:t>1.</w:t>
      </w:r>
      <w:r w:rsidRPr="002F1B50">
        <w:t xml:space="preserve"> “</w:t>
      </w:r>
      <w:r w:rsidRPr="002F1B50">
        <w:rPr>
          <w:i/>
          <w:iCs/>
        </w:rPr>
        <w:t xml:space="preserve">Cada uno de los Estados Partes en el presente Pacto se compromete a adoptar medidas, tanto por separado como mediante la asistencia y la cooperación internacionales, especialmente económicas y técnicas, </w:t>
      </w:r>
      <w:r w:rsidRPr="002F1B50">
        <w:rPr>
          <w:b/>
          <w:bCs/>
          <w:i/>
          <w:iCs/>
          <w:u w:val="single"/>
        </w:rPr>
        <w:t>hasta el máximo de los recursos de que disponga</w:t>
      </w:r>
      <w:r w:rsidRPr="002F1B50">
        <w:rPr>
          <w:i/>
          <w:iCs/>
        </w:rPr>
        <w:t xml:space="preserve">, para lograr progresivamente, por todos los medios apropiados, inclusive en particular la adopción de medidas legislativas, </w:t>
      </w:r>
      <w:r w:rsidRPr="002F1B50">
        <w:rPr>
          <w:b/>
          <w:bCs/>
          <w:i/>
          <w:iCs/>
          <w:u w:val="single"/>
        </w:rPr>
        <w:t>la plena efectividad de los derechos aquí reconocidos</w:t>
      </w:r>
      <w:r w:rsidRPr="002F1B50">
        <w:t>”.</w:t>
      </w:r>
    </w:p>
    <w:p w14:paraId="1BA10BD1" w14:textId="53EFBDA5" w:rsidR="002F1B50" w:rsidRDefault="002F1B50">
      <w:pPr>
        <w:pStyle w:val="Textonotapie"/>
      </w:pPr>
    </w:p>
  </w:footnote>
  <w:footnote w:id="13">
    <w:p w14:paraId="5719862E" w14:textId="77777777" w:rsidR="002F1B50" w:rsidRPr="002F1B50" w:rsidRDefault="002F1B50" w:rsidP="002F1B50">
      <w:pPr>
        <w:pStyle w:val="Textonotapie"/>
        <w:rPr>
          <w:b/>
          <w:bCs/>
          <w:lang w:val="es-ES"/>
        </w:rPr>
      </w:pPr>
      <w:r>
        <w:rPr>
          <w:rStyle w:val="Refdenotaalpie"/>
        </w:rPr>
        <w:footnoteRef/>
      </w:r>
      <w:r>
        <w:t xml:space="preserve"> </w:t>
      </w:r>
      <w:r w:rsidRPr="002F1B50">
        <w:rPr>
          <w:b/>
          <w:bCs/>
          <w:lang w:val="es-ES"/>
        </w:rPr>
        <w:t xml:space="preserve">DOC. 01: “LISTA DE </w:t>
      </w:r>
      <w:bookmarkStart w:id="8" w:name="_Hlk183968606"/>
      <w:r w:rsidRPr="002F1B50">
        <w:rPr>
          <w:b/>
          <w:bCs/>
          <w:lang w:val="es-ES"/>
        </w:rPr>
        <w:t>CUESTIONES RELATIVA AL QUINTO INFORME PERIÓDICO DEL PERÚ</w:t>
      </w:r>
      <w:bookmarkEnd w:id="8"/>
      <w:r>
        <w:rPr>
          <w:b/>
          <w:bCs/>
          <w:lang w:val="es-ES"/>
        </w:rPr>
        <w:t xml:space="preserve">: </w:t>
      </w:r>
      <w:r w:rsidRPr="002F1B50">
        <w:rPr>
          <w:b/>
          <w:bCs/>
          <w:lang w:val="es-ES"/>
        </w:rPr>
        <w:t>Aprobada por el grupo de trabajo anterior al período de sesiones en su 71</w:t>
      </w:r>
      <w:r w:rsidRPr="002F1B50">
        <w:rPr>
          <w:b/>
          <w:bCs/>
          <w:vertAlign w:val="superscript"/>
          <w:lang w:val="es-ES"/>
        </w:rPr>
        <w:t>er</w:t>
      </w:r>
      <w:r w:rsidRPr="002F1B50">
        <w:rPr>
          <w:b/>
          <w:bCs/>
          <w:lang w:val="es-ES"/>
        </w:rPr>
        <w:t xml:space="preserve"> período de sesiones (17 a 21 de octubre de 2022).</w:t>
      </w:r>
      <w:r w:rsidRPr="002F1B50">
        <w:rPr>
          <w:b/>
          <w:bCs/>
        </w:rPr>
        <w:t xml:space="preserve"> </w:t>
      </w:r>
      <w:hyperlink r:id="rId13" w:history="1">
        <w:r w:rsidRPr="002F1B50">
          <w:rPr>
            <w:rStyle w:val="Hipervnculo"/>
            <w:b/>
            <w:bCs/>
          </w:rPr>
          <w:t>https://tbinternet.ohchr.org/_layouts/15/TreatyBodyExternal/SessionsList.aspx?Treaty=CESCR</w:t>
        </w:r>
      </w:hyperlink>
      <w:r w:rsidRPr="002F1B50">
        <w:rPr>
          <w:b/>
          <w:bCs/>
          <w:lang w:val="es-ES"/>
        </w:rPr>
        <w:t xml:space="preserve"> </w:t>
      </w:r>
    </w:p>
    <w:p w14:paraId="10B05765" w14:textId="093D873A" w:rsidR="002F1B50" w:rsidRDefault="002F1B50">
      <w:pPr>
        <w:pStyle w:val="Textonotapie"/>
      </w:pPr>
    </w:p>
  </w:footnote>
  <w:footnote w:id="14">
    <w:p w14:paraId="595FFC0D" w14:textId="77777777" w:rsidR="002F1B50" w:rsidRPr="002A0B93" w:rsidRDefault="002F1B50" w:rsidP="002F1B50">
      <w:pPr>
        <w:pStyle w:val="Textonotapie"/>
      </w:pPr>
      <w:r>
        <w:rPr>
          <w:rStyle w:val="Refdenotaalpie"/>
        </w:rPr>
        <w:footnoteRef/>
      </w:r>
      <w:r>
        <w:rPr>
          <w:rStyle w:val="Refdenotaalpie"/>
        </w:rPr>
        <w:footnoteRef/>
      </w:r>
      <w:r>
        <w:t xml:space="preserve"> Fuente: “</w:t>
      </w:r>
      <w:proofErr w:type="spellStart"/>
      <w:r w:rsidRPr="002A0B93">
        <w:t>Comexperu</w:t>
      </w:r>
      <w:proofErr w:type="spellEnd"/>
      <w:r>
        <w:t>”</w:t>
      </w:r>
      <w:r w:rsidRPr="002A0B93">
        <w:t>, septiembre 27, 2024 /</w:t>
      </w:r>
      <w:hyperlink r:id="rId14" w:history="1">
        <w:r w:rsidRPr="002A0B93">
          <w:rPr>
            <w:rStyle w:val="Hipervnculo"/>
          </w:rPr>
          <w:t> Semanario 1227</w:t>
        </w:r>
      </w:hyperlink>
      <w:r>
        <w:t xml:space="preserve">: </w:t>
      </w:r>
      <w:r w:rsidRPr="002A0B93">
        <w:t> </w:t>
      </w:r>
      <w:hyperlink r:id="rId15" w:history="1">
        <w:r w:rsidRPr="002871B5">
          <w:rPr>
            <w:rStyle w:val="Hipervnculo"/>
          </w:rPr>
          <w:t>https://www.comexperu.org.pe/articulo/desnutricion-cronica-infantil-subiria-al-122-en-el-primer-trimestre-de-2024</w:t>
        </w:r>
      </w:hyperlink>
      <w:r>
        <w:t xml:space="preserve"> </w:t>
      </w:r>
    </w:p>
  </w:footnote>
  <w:footnote w:id="15">
    <w:p w14:paraId="358E71B0" w14:textId="77777777" w:rsidR="00A44DB3" w:rsidRDefault="00A44DB3" w:rsidP="00A44DB3">
      <w:pPr>
        <w:pStyle w:val="Textonotapie"/>
        <w:jc w:val="both"/>
      </w:pPr>
      <w:r>
        <w:rPr>
          <w:rStyle w:val="Refdenotaalpie"/>
        </w:rPr>
        <w:footnoteRef/>
      </w:r>
      <w:r>
        <w:t xml:space="preserve"> </w:t>
      </w:r>
      <w:bookmarkStart w:id="10" w:name="_Hlk184433643"/>
      <w:r>
        <w:t>“</w:t>
      </w:r>
      <w:r w:rsidRPr="00C554D6">
        <w:t>Impacto del programa de alimentación escolar Qali Warma sobre la anemia y la desnutrición crónica infantil</w:t>
      </w:r>
      <w:r>
        <w:t xml:space="preserve">”: </w:t>
      </w:r>
      <w:r w:rsidRPr="00C554D6">
        <w:t xml:space="preserve">PEDRO FRANCKE Pontificia Universidad Católica del Perú </w:t>
      </w:r>
      <w:r>
        <w:t xml:space="preserve">[ </w:t>
      </w:r>
      <w:hyperlink r:id="rId16" w:history="1">
        <w:r w:rsidRPr="002871B5">
          <w:rPr>
            <w:rStyle w:val="Hipervnculo"/>
          </w:rPr>
          <w:t>pfranck@pucp.edu.pe</w:t>
        </w:r>
      </w:hyperlink>
      <w:r>
        <w:t xml:space="preserve"> ],</w:t>
      </w:r>
      <w:r w:rsidRPr="00C554D6">
        <w:t xml:space="preserve"> GUSTAVO ACOSTA Duke University </w:t>
      </w:r>
      <w:r>
        <w:t>[</w:t>
      </w:r>
      <w:proofErr w:type="spellStart"/>
      <w:r>
        <w:fldChar w:fldCharType="begin"/>
      </w:r>
      <w:r>
        <w:instrText>HYPERLINK "mailto:</w:instrText>
      </w:r>
      <w:r w:rsidRPr="007071A5">
        <w:instrText>gustavo.acosta@ duke.edu</w:instrText>
      </w:r>
      <w:r>
        <w:instrText>"</w:instrText>
      </w:r>
      <w:r>
        <w:fldChar w:fldCharType="separate"/>
      </w:r>
      <w:r w:rsidRPr="002871B5">
        <w:rPr>
          <w:rStyle w:val="Hipervnculo"/>
        </w:rPr>
        <w:t>gustavo.acosta</w:t>
      </w:r>
      <w:proofErr w:type="spellEnd"/>
      <w:r w:rsidRPr="002871B5">
        <w:rPr>
          <w:rStyle w:val="Hipervnculo"/>
        </w:rPr>
        <w:t>@ duke.edu</w:t>
      </w:r>
      <w:r>
        <w:fldChar w:fldCharType="end"/>
      </w:r>
      <w:r>
        <w:t>]: Fuente</w:t>
      </w:r>
      <w:hyperlink r:id="rId17" w:history="1">
        <w:r w:rsidRPr="002871B5">
          <w:rPr>
            <w:rStyle w:val="Hipervnculo"/>
          </w:rPr>
          <w:t>http://www.scielo.org.pe/pdf/apuntes/v48n88/0252-1865-apuntes-48-88-00151.pdf</w:t>
        </w:r>
      </w:hyperlink>
      <w:r>
        <w:t xml:space="preserve"> </w:t>
      </w:r>
    </w:p>
    <w:bookmarkEnd w:id="10"/>
  </w:footnote>
  <w:footnote w:id="16">
    <w:p w14:paraId="5329B4C6" w14:textId="59EB24BF" w:rsidR="00A44DB3" w:rsidRDefault="00A44DB3">
      <w:pPr>
        <w:pStyle w:val="Textonotapie"/>
      </w:pPr>
      <w:r>
        <w:rPr>
          <w:rStyle w:val="Refdenotaalpie"/>
        </w:rPr>
        <w:footnoteRef/>
      </w:r>
      <w:r>
        <w:t xml:space="preserve"> </w:t>
      </w:r>
      <w:r w:rsidRPr="00A44DB3">
        <w:rPr>
          <w:lang w:val="es-VE"/>
        </w:rPr>
        <w:t>Ibidem, p. 38.</w:t>
      </w:r>
      <w:r w:rsidR="00A41A51" w:rsidRPr="00A41A51">
        <w:t xml:space="preserve"> </w:t>
      </w:r>
    </w:p>
  </w:footnote>
  <w:footnote w:id="17">
    <w:p w14:paraId="5F537675" w14:textId="1D68D61F" w:rsidR="00A41A51" w:rsidRDefault="00A44DB3" w:rsidP="00A41A51">
      <w:pPr>
        <w:pStyle w:val="Textonotapie"/>
      </w:pPr>
      <w:r>
        <w:rPr>
          <w:rStyle w:val="Refdenotaalpie"/>
        </w:rPr>
        <w:footnoteRef/>
      </w:r>
      <w:r>
        <w:t xml:space="preserve"> </w:t>
      </w:r>
      <w:r w:rsidR="00A41A51">
        <w:t>“</w:t>
      </w:r>
      <w:r w:rsidR="00A41A51" w:rsidRPr="00A41A51">
        <w:rPr>
          <w:b/>
          <w:bCs/>
        </w:rPr>
        <w:t>Caso Qali Warma: denuncian que conservas que daban a escolares contenía carne de caballo</w:t>
      </w:r>
      <w:r w:rsidR="00A41A51">
        <w:t xml:space="preserve">”: por Oswaldo Palacios; 11 de </w:t>
      </w:r>
      <w:proofErr w:type="gramStart"/>
      <w:r w:rsidR="00A41A51">
        <w:t>Noviembre</w:t>
      </w:r>
      <w:proofErr w:type="gramEnd"/>
      <w:r w:rsidR="00A41A51">
        <w:t xml:space="preserve"> del 2024 12:59 AM: </w:t>
      </w:r>
      <w:hyperlink r:id="rId18" w:history="1">
        <w:r w:rsidR="00A41A51" w:rsidRPr="002871B5">
          <w:rPr>
            <w:rStyle w:val="Hipervnculo"/>
          </w:rPr>
          <w:t>https://rpp.pe/peru/actualidad/qali-warma-denuncian-distribucion-de-carne-de-caballo-en-almuerzos-escolares-noticia-1597461?ref=rpp</w:t>
        </w:r>
      </w:hyperlink>
    </w:p>
    <w:p w14:paraId="16E36EBC" w14:textId="1FF44225" w:rsidR="00A44DB3" w:rsidRPr="00B64F3A" w:rsidRDefault="00A44DB3" w:rsidP="00A44DB3">
      <w:pPr>
        <w:pStyle w:val="Textonotapie"/>
        <w:jc w:val="both"/>
      </w:pPr>
      <w:r>
        <w:t>(“</w:t>
      </w:r>
      <w:r w:rsidRPr="00080803">
        <w:rPr>
          <w:i/>
          <w:iCs/>
        </w:rPr>
        <w:t>De acuerdo con el dominical, los productos defectuosos llegaban a colegios de las regiones La Libertad, Áncash, Cajamarca, Huánuco, San Martín, Amazonas y Lambayeque</w:t>
      </w:r>
      <w:r>
        <w:t>”).</w:t>
      </w:r>
    </w:p>
  </w:footnote>
  <w:footnote w:id="18">
    <w:p w14:paraId="1A642963" w14:textId="1AA5C196" w:rsidR="00E424C7" w:rsidRDefault="00E424C7">
      <w:pPr>
        <w:pStyle w:val="Textonotapie"/>
      </w:pPr>
      <w:r>
        <w:rPr>
          <w:rStyle w:val="Refdenotaalpie"/>
        </w:rPr>
        <w:footnoteRef/>
      </w:r>
      <w:r>
        <w:t xml:space="preserve"> MINISTERIO DE DESARROLLO E INCLUSION SOCIAL.</w:t>
      </w:r>
    </w:p>
  </w:footnote>
  <w:footnote w:id="19">
    <w:p w14:paraId="2E1BF11F" w14:textId="77777777" w:rsidR="00A44DB3" w:rsidRPr="0039503D" w:rsidRDefault="00A44DB3" w:rsidP="00A44DB3">
      <w:pPr>
        <w:pStyle w:val="Textonotapie"/>
        <w:rPr>
          <w:b/>
          <w:bCs/>
        </w:rPr>
      </w:pPr>
      <w:r>
        <w:rPr>
          <w:rStyle w:val="Refdenotaalpie"/>
        </w:rPr>
        <w:footnoteRef/>
      </w:r>
      <w:r>
        <w:t xml:space="preserve"> “</w:t>
      </w:r>
      <w:r w:rsidRPr="00A41A51">
        <w:rPr>
          <w:b/>
          <w:bCs/>
        </w:rPr>
        <w:t>Perú anuncia un nuevo programa de alimentación escolar tras denuncias de corrupción</w:t>
      </w:r>
      <w:r w:rsidRPr="0039503D">
        <w:t>”</w:t>
      </w:r>
      <w:r>
        <w:t xml:space="preserve">; </w:t>
      </w:r>
      <w:r w:rsidRPr="0039503D">
        <w:t>29 noviembre 2024 - 18:52</w:t>
      </w:r>
      <w:r>
        <w:t xml:space="preserve"> :</w:t>
      </w:r>
      <w:r w:rsidRPr="0039503D">
        <w:t xml:space="preserve"> </w:t>
      </w:r>
      <w:hyperlink r:id="rId19" w:history="1">
        <w:r w:rsidRPr="002871B5">
          <w:rPr>
            <w:rStyle w:val="Hipervnculo"/>
          </w:rPr>
          <w:t>https://www.swissinfo.ch/spa/per%C3%BA-anuncia-un-nuevo-programa-de-alimentaci%C3%B3n-escolar-tras-denuncias-de-corrupci%C3%B3n/88388995</w:t>
        </w:r>
      </w:hyperlink>
      <w:r>
        <w:t xml:space="preserve">  (“</w:t>
      </w:r>
      <w:r w:rsidRPr="00080803">
        <w:rPr>
          <w:i/>
          <w:iCs/>
        </w:rPr>
        <w:t>el programa periodístico Punto Final, de la cadena local Latina, informó […] del descubrimiento de una presunta red de corrupción de funcionarios que llevó a la destitución de 22 miembros de ‘Qali Warma’ y de la Dirección General de Sanidad e Inocuidad Alimentaria (</w:t>
      </w:r>
      <w:proofErr w:type="spellStart"/>
      <w:r w:rsidRPr="00080803">
        <w:rPr>
          <w:i/>
          <w:iCs/>
        </w:rPr>
        <w:t>Digesa</w:t>
      </w:r>
      <w:proofErr w:type="spellEnd"/>
      <w:r w:rsidRPr="00080803">
        <w:rPr>
          <w:i/>
          <w:iCs/>
        </w:rPr>
        <w:t>)</w:t>
      </w:r>
      <w:r>
        <w:t>”)</w:t>
      </w:r>
    </w:p>
    <w:p w14:paraId="00FE0F67" w14:textId="77777777" w:rsidR="00A44DB3" w:rsidRDefault="00A44DB3" w:rsidP="00A44DB3">
      <w:pPr>
        <w:pStyle w:val="Textonotapie"/>
      </w:pPr>
    </w:p>
  </w:footnote>
  <w:footnote w:id="20">
    <w:p w14:paraId="6BC705A2" w14:textId="77777777" w:rsidR="00A41A51" w:rsidRPr="00A41A51" w:rsidRDefault="00A41A51" w:rsidP="00A41A51">
      <w:pPr>
        <w:pStyle w:val="Textonotapie"/>
        <w:rPr>
          <w:b/>
          <w:bCs/>
        </w:rPr>
      </w:pPr>
      <w:r>
        <w:rPr>
          <w:rStyle w:val="Refdenotaalpie"/>
        </w:rPr>
        <w:footnoteRef/>
      </w:r>
      <w:r>
        <w:t xml:space="preserve"> </w:t>
      </w:r>
      <w:r w:rsidRPr="00A41A51">
        <w:rPr>
          <w:b/>
          <w:bCs/>
        </w:rPr>
        <w:t>Puno: suspenden a proveedor de alimentos de Qali Warma por presunto acto de corrupción</w:t>
      </w:r>
    </w:p>
    <w:p w14:paraId="4D301B33" w14:textId="30E34A82" w:rsidR="00A41A51" w:rsidRPr="00A41A51" w:rsidRDefault="00A41A51" w:rsidP="00A41A51">
      <w:pPr>
        <w:pStyle w:val="Textonotapie"/>
      </w:pPr>
      <w:proofErr w:type="spellStart"/>
      <w:r w:rsidRPr="00A41A51">
        <w:t>Midis</w:t>
      </w:r>
      <w:proofErr w:type="spellEnd"/>
      <w:r w:rsidRPr="00A41A51">
        <w:t xml:space="preserve"> y Minsa condenan y rechazan actuación inescrupulosa de empresa </w:t>
      </w:r>
      <w:proofErr w:type="spellStart"/>
      <w:r w:rsidRPr="00A41A51">
        <w:t>Frigoinca</w:t>
      </w:r>
      <w:proofErr w:type="spellEnd"/>
      <w:r>
        <w:t xml:space="preserve">: </w:t>
      </w:r>
      <w:hyperlink r:id="rId20" w:history="1">
        <w:r w:rsidRPr="002320DE">
          <w:rPr>
            <w:rStyle w:val="Hipervnculo"/>
          </w:rPr>
          <w:t>https://www.elperuano.pe/noticia/254820-puno-suspenden-a-proveedor-de-alimentos-de-qali-warma-por-presunto-acto-de-corrupcion</w:t>
        </w:r>
      </w:hyperlink>
      <w:r>
        <w:t xml:space="preserve"> </w:t>
      </w:r>
    </w:p>
    <w:p w14:paraId="4851ACE5" w14:textId="49905D67" w:rsidR="00A41A51" w:rsidRDefault="00A41A51">
      <w:pPr>
        <w:pStyle w:val="Textonotapie"/>
      </w:pPr>
    </w:p>
  </w:footnote>
  <w:footnote w:id="21">
    <w:p w14:paraId="4F027CBF" w14:textId="78010C58" w:rsidR="00B46B62" w:rsidRDefault="00B46B62">
      <w:pPr>
        <w:pStyle w:val="Textonotapie"/>
      </w:pPr>
      <w:r>
        <w:rPr>
          <w:rStyle w:val="Refdenotaalpie"/>
        </w:rPr>
        <w:footnoteRef/>
      </w:r>
      <w:r>
        <w:t xml:space="preserve"> </w:t>
      </w:r>
      <w:r w:rsidRPr="00B46B62">
        <w:rPr>
          <w:lang w:val="es-VE"/>
        </w:rPr>
        <w:t xml:space="preserve">A pocas semanas de haber </w:t>
      </w:r>
      <w:r w:rsidRPr="00A41A51">
        <w:rPr>
          <w:b/>
          <w:bCs/>
          <w:lang w:val="es-VE"/>
        </w:rPr>
        <w:t>iniciado</w:t>
      </w:r>
      <w:r w:rsidRPr="00B46B62">
        <w:rPr>
          <w:lang w:val="es-VE"/>
        </w:rPr>
        <w:t> </w:t>
      </w:r>
      <w:r w:rsidRPr="00B46B62">
        <w:rPr>
          <w:b/>
          <w:bCs/>
          <w:lang w:val="es-VE"/>
        </w:rPr>
        <w:t>las clases escolares</w:t>
      </w:r>
      <w:r w:rsidRPr="00B46B62">
        <w:rPr>
          <w:lang w:val="es-VE"/>
        </w:rPr>
        <w:t>, se reportó una intoxicación en la Institución Educativa Secundaria </w:t>
      </w:r>
      <w:r w:rsidRPr="00B46B62">
        <w:rPr>
          <w:b/>
          <w:bCs/>
          <w:lang w:val="es-VE"/>
        </w:rPr>
        <w:t>Gamaliel Churata</w:t>
      </w:r>
      <w:r w:rsidRPr="00B46B62">
        <w:rPr>
          <w:lang w:val="es-VE"/>
        </w:rPr>
        <w:t>, en el distrito de Cabana, provincia de San Román en Puno</w:t>
      </w:r>
      <w:r>
        <w:rPr>
          <w:lang w:val="es-VE"/>
        </w:rPr>
        <w:t xml:space="preserve">. </w:t>
      </w:r>
      <w:r w:rsidRPr="00A41A51">
        <w:rPr>
          <w:b/>
          <w:bCs/>
          <w:lang w:val="es-VE"/>
        </w:rPr>
        <w:t>En abril</w:t>
      </w:r>
      <w:r w:rsidRPr="00B46B62">
        <w:rPr>
          <w:lang w:val="es-VE"/>
        </w:rPr>
        <w:t>, se reportó que al menos 20 estudiantes de la institución educativa </w:t>
      </w:r>
      <w:r w:rsidRPr="00B46B62">
        <w:rPr>
          <w:b/>
          <w:bCs/>
          <w:lang w:val="es-VE"/>
        </w:rPr>
        <w:t>Señor de los Milagros</w:t>
      </w:r>
      <w:r w:rsidRPr="00B46B62">
        <w:rPr>
          <w:lang w:val="es-VE"/>
        </w:rPr>
        <w:t>, ubicada en el distrito de Chota, en la región de </w:t>
      </w:r>
      <w:r w:rsidRPr="00B46B62">
        <w:rPr>
          <w:b/>
          <w:bCs/>
          <w:lang w:val="es-VE"/>
        </w:rPr>
        <w:t>Cajamarca</w:t>
      </w:r>
      <w:r w:rsidRPr="00B46B62">
        <w:rPr>
          <w:lang w:val="es-VE"/>
        </w:rPr>
        <w:t>, presentaron síntomas de intoxicación.</w:t>
      </w:r>
      <w:r w:rsidRPr="00B46B62">
        <w:rPr>
          <w:rFonts w:ascii="Roboto" w:eastAsia="Calibri" w:hAnsi="Roboto" w:cs="Calibri"/>
          <w:color w:val="3B3B3B"/>
          <w:sz w:val="33"/>
          <w:szCs w:val="33"/>
          <w:lang w:val="es-VE" w:eastAsia="es-PE"/>
        </w:rPr>
        <w:t xml:space="preserve"> </w:t>
      </w:r>
      <w:r w:rsidRPr="00A41A51">
        <w:rPr>
          <w:b/>
          <w:bCs/>
          <w:lang w:val="es-VE"/>
        </w:rPr>
        <w:t>En agosto</w:t>
      </w:r>
      <w:r w:rsidRPr="00B46B62">
        <w:rPr>
          <w:lang w:val="es-VE"/>
        </w:rPr>
        <w:t>, un grupo de 20 estudiantes de la Institución Educativa N° 88049 </w:t>
      </w:r>
      <w:r w:rsidRPr="00B46B62">
        <w:rPr>
          <w:b/>
          <w:bCs/>
          <w:lang w:val="es-VE"/>
        </w:rPr>
        <w:t>San Juan Bautista</w:t>
      </w:r>
      <w:r w:rsidRPr="00B46B62">
        <w:rPr>
          <w:lang w:val="es-VE"/>
        </w:rPr>
        <w:t>, ubicada en el centro poblado de Cascajal en el distrito de </w:t>
      </w:r>
      <w:r w:rsidRPr="00B46B62">
        <w:rPr>
          <w:b/>
          <w:bCs/>
          <w:lang w:val="es-VE"/>
        </w:rPr>
        <w:t>Chimbote</w:t>
      </w:r>
      <w:r w:rsidRPr="00B46B62">
        <w:rPr>
          <w:lang w:val="es-VE"/>
        </w:rPr>
        <w:t>, Áncash, resultaron intoxicados tras consumir el almuerzo escolar proporcionado por el Programa Nacional de Alimentación Escolar </w:t>
      </w:r>
      <w:r w:rsidRPr="00A41A51">
        <w:rPr>
          <w:u w:val="single"/>
          <w:lang w:val="es-VE"/>
        </w:rPr>
        <w:t>Qali Warma</w:t>
      </w:r>
      <w:r w:rsidRPr="00B46B62">
        <w:rPr>
          <w:lang w:val="es-VE"/>
        </w:rPr>
        <w:t>.</w:t>
      </w:r>
      <w:r w:rsidR="00A41A51">
        <w:rPr>
          <w:lang w:val="es-VE"/>
        </w:rPr>
        <w:t xml:space="preserve"> Fuente:</w:t>
      </w:r>
      <w:r w:rsidR="00A41A51" w:rsidRPr="00A41A51">
        <w:rPr>
          <w:rFonts w:ascii="Calibri" w:eastAsia="Calibri" w:hAnsi="Calibri" w:cs="Calibri"/>
          <w:sz w:val="22"/>
          <w:szCs w:val="22"/>
          <w:lang w:val="es-VE" w:eastAsia="es-PE"/>
        </w:rPr>
        <w:t xml:space="preserve"> </w:t>
      </w:r>
      <w:r w:rsidR="00A41A51">
        <w:rPr>
          <w:lang w:val="es-VE"/>
        </w:rPr>
        <w:t xml:space="preserve"> “</w:t>
      </w:r>
      <w:r w:rsidR="00A41A51" w:rsidRPr="00A41A51">
        <w:rPr>
          <w:b/>
          <w:bCs/>
        </w:rPr>
        <w:t>Crisis en Qali Warma: corrupción, denuncias y cronología de los casos que han puesto en peligro la salud de millones de escolares en Perú</w:t>
      </w:r>
      <w:r w:rsidR="00A41A51">
        <w:rPr>
          <w:b/>
          <w:bCs/>
        </w:rPr>
        <w:t xml:space="preserve">”: </w:t>
      </w:r>
      <w:hyperlink r:id="rId21" w:history="1">
        <w:r w:rsidR="00A41A51" w:rsidRPr="002320DE">
          <w:rPr>
            <w:rStyle w:val="Hipervnculo"/>
            <w:lang w:val="es-VE"/>
          </w:rPr>
          <w:t>https://www.infobae.com/peru/2024/11/12/crisis-en-qali-warma-corrupcion-denuncias-y-cronologia-de-los-casos-que-han-puesto-en-peligro-la-salud-de-millones-de-escolares-en-peru/</w:t>
        </w:r>
      </w:hyperlink>
      <w:r w:rsidR="00A41A51">
        <w:rPr>
          <w:lang w:val="es-VE"/>
        </w:rPr>
        <w:t xml:space="preserve"> </w:t>
      </w:r>
    </w:p>
  </w:footnote>
  <w:footnote w:id="22">
    <w:p w14:paraId="2B76B042" w14:textId="77777777" w:rsidR="00A41A51" w:rsidRDefault="00A41A51" w:rsidP="00A41A51">
      <w:pPr>
        <w:pStyle w:val="Textonotapie"/>
        <w:jc w:val="both"/>
      </w:pPr>
      <w:r>
        <w:rPr>
          <w:rStyle w:val="Refdenotaalpie"/>
        </w:rPr>
        <w:footnoteRef/>
      </w:r>
      <w:r>
        <w:t xml:space="preserve"> “</w:t>
      </w:r>
      <w:r w:rsidRPr="00DF45BE">
        <w:t>El programa alimentario Qali Warma en el Perú: Análisis político desde la visión estatal de Max Weber, Michael Mann y Guillermo O’Donnell</w:t>
      </w:r>
      <w:r>
        <w:t>”.</w:t>
      </w:r>
      <w:r w:rsidRPr="00DF45BE">
        <w:rPr>
          <w:sz w:val="22"/>
          <w:szCs w:val="22"/>
        </w:rPr>
        <w:t xml:space="preserve"> </w:t>
      </w:r>
      <w:proofErr w:type="spellStart"/>
      <w:r w:rsidRPr="00DF45BE">
        <w:t>Kristell</w:t>
      </w:r>
      <w:proofErr w:type="spellEnd"/>
      <w:r w:rsidRPr="00DF45BE">
        <w:t xml:space="preserve"> </w:t>
      </w:r>
      <w:proofErr w:type="spellStart"/>
      <w:r w:rsidRPr="00DF45BE">
        <w:t>Céspedes</w:t>
      </w:r>
      <w:proofErr w:type="spellEnd"/>
      <w:r w:rsidRPr="00DF45BE">
        <w:t xml:space="preserve"> </w:t>
      </w:r>
      <w:proofErr w:type="gramStart"/>
      <w:r w:rsidRPr="00DF45BE">
        <w:t xml:space="preserve">Aldana </w:t>
      </w:r>
      <w:r>
        <w:t>,</w:t>
      </w:r>
      <w:proofErr w:type="gramEnd"/>
      <w:r>
        <w:t xml:space="preserve"> </w:t>
      </w:r>
      <w:r w:rsidRPr="00DF45BE">
        <w:t xml:space="preserve">Marco Antonio </w:t>
      </w:r>
      <w:proofErr w:type="spellStart"/>
      <w:r w:rsidRPr="00DF45BE">
        <w:t>Lovón</w:t>
      </w:r>
      <w:proofErr w:type="spellEnd"/>
      <w:r w:rsidRPr="00DF45BE">
        <w:t xml:space="preserve"> Cueva</w:t>
      </w:r>
      <w:r>
        <w:t xml:space="preserve">, </w:t>
      </w:r>
      <w:r w:rsidRPr="00DF45BE">
        <w:t xml:space="preserve">Carol </w:t>
      </w:r>
      <w:proofErr w:type="spellStart"/>
      <w:r w:rsidRPr="00DF45BE">
        <w:t>Pflücker</w:t>
      </w:r>
      <w:proofErr w:type="spellEnd"/>
      <w:r w:rsidRPr="00DF45BE">
        <w:t xml:space="preserve"> Romero </w:t>
      </w:r>
      <w:r>
        <w:t>[</w:t>
      </w:r>
      <w:r w:rsidRPr="00DF45BE">
        <w:t>Universidad Nacional Mayor de San Marcos, Lima, Perú</w:t>
      </w:r>
      <w:r>
        <w:t>]</w:t>
      </w:r>
      <w:r w:rsidRPr="00DF45BE">
        <w:t xml:space="preserve"> </w:t>
      </w:r>
      <w:r>
        <w:t xml:space="preserve">Fuente:  </w:t>
      </w:r>
      <w:hyperlink r:id="rId22" w:history="1">
        <w:r w:rsidRPr="002871B5">
          <w:rPr>
            <w:rStyle w:val="Hipervnculo"/>
          </w:rPr>
          <w:t>https://revistas.urp.edu.pe/index.php/pluriversidad/article/download/5434/7260/20766</w:t>
        </w:r>
      </w:hyperlink>
      <w:r>
        <w:t xml:space="preserve">   </w:t>
      </w:r>
    </w:p>
  </w:footnote>
  <w:footnote w:id="23">
    <w:p w14:paraId="077529D4" w14:textId="38B78083" w:rsidR="000A7363" w:rsidRDefault="000A7363">
      <w:pPr>
        <w:pStyle w:val="Textonotapie"/>
      </w:pPr>
      <w:r>
        <w:rPr>
          <w:rStyle w:val="Refdenotaalpie"/>
        </w:rPr>
        <w:footnoteRef/>
      </w:r>
      <w:r>
        <w:t xml:space="preserve"> </w:t>
      </w:r>
      <w:bookmarkStart w:id="11" w:name="_Hlk184429413"/>
      <w:r w:rsidRPr="000A7363">
        <w:rPr>
          <w:lang w:val="es-VE"/>
        </w:rPr>
        <w:t>Ibidem, p. 89, 90.</w:t>
      </w:r>
    </w:p>
    <w:bookmarkEnd w:id="11"/>
  </w:footnote>
  <w:footnote w:id="24">
    <w:p w14:paraId="24EB4EE9" w14:textId="7636076E" w:rsidR="00A44768" w:rsidRDefault="00A44768">
      <w:pPr>
        <w:pStyle w:val="Textonotapie"/>
        <w:rPr>
          <w:lang w:val="es-VE"/>
        </w:rPr>
      </w:pPr>
      <w:r>
        <w:rPr>
          <w:rStyle w:val="Refdenotaalpie"/>
        </w:rPr>
        <w:footnoteRef/>
      </w:r>
      <w:r>
        <w:t xml:space="preserve"> </w:t>
      </w:r>
      <w:r w:rsidRPr="00A44768">
        <w:rPr>
          <w:lang w:val="es-VE"/>
        </w:rPr>
        <w:t>El Comercio. (23 de agosto de 2016). Más de 90 niños se habrían intoxicado con desayuno Qali Warma. Lima, Perú. Recuperado el 8 de diciembre de 2018, de</w:t>
      </w:r>
      <w:r w:rsidR="00CF7C5D">
        <w:rPr>
          <w:lang w:val="es-VE"/>
        </w:rPr>
        <w:t>:</w:t>
      </w:r>
      <w:r w:rsidRPr="00A44768">
        <w:rPr>
          <w:lang w:val="es-VE"/>
        </w:rPr>
        <w:t xml:space="preserve"> https://elcomercio.pe/ peru/ancash/90-ninos-habrian-intoxicado-desayuno-qali-warma-250631</w:t>
      </w:r>
      <w:r w:rsidR="00CF7C5D">
        <w:rPr>
          <w:lang w:val="es-VE"/>
        </w:rPr>
        <w:t xml:space="preserve"> </w:t>
      </w:r>
      <w:r>
        <w:rPr>
          <w:lang w:val="es-VE"/>
        </w:rPr>
        <w:t xml:space="preserve"> </w:t>
      </w:r>
      <w:r w:rsidRPr="00A44768">
        <w:rPr>
          <w:lang w:val="es-VE"/>
        </w:rPr>
        <w:t xml:space="preserve"> </w:t>
      </w:r>
    </w:p>
    <w:p w14:paraId="3A963573" w14:textId="77777777" w:rsidR="00CF7C5D" w:rsidRDefault="00A44768">
      <w:pPr>
        <w:pStyle w:val="Textonotapie"/>
        <w:rPr>
          <w:lang w:val="es-VE"/>
        </w:rPr>
      </w:pPr>
      <w:r w:rsidRPr="00A44768">
        <w:rPr>
          <w:lang w:val="es-VE"/>
        </w:rPr>
        <w:t xml:space="preserve">El Comercio. (17 de octubre de 2016). Qali Warma: denuncian presencia de larvas en conservas de pollo. </w:t>
      </w:r>
      <w:proofErr w:type="spellStart"/>
      <w:r w:rsidRPr="00A44768">
        <w:rPr>
          <w:lang w:val="es-VE"/>
        </w:rPr>
        <w:t>Huanuco</w:t>
      </w:r>
      <w:proofErr w:type="spellEnd"/>
      <w:r w:rsidRPr="00A44768">
        <w:rPr>
          <w:lang w:val="es-VE"/>
        </w:rPr>
        <w:t xml:space="preserve">, Perú. Recuperado el 9 de diciembre de 2018, de https://elcomercio. pe/peru/huanuco/qali-warma-denuncian-presencia-larvas-conservas-pollo-271459 </w:t>
      </w:r>
    </w:p>
    <w:p w14:paraId="5DE18A51" w14:textId="4E478157" w:rsidR="00CF7C5D" w:rsidRDefault="00A44768">
      <w:pPr>
        <w:pStyle w:val="Textonotapie"/>
        <w:rPr>
          <w:lang w:val="es-VE"/>
        </w:rPr>
      </w:pPr>
      <w:r w:rsidRPr="00A44768">
        <w:rPr>
          <w:lang w:val="es-VE"/>
        </w:rPr>
        <w:t xml:space="preserve">El </w:t>
      </w:r>
      <w:proofErr w:type="gramStart"/>
      <w:r w:rsidRPr="00A44768">
        <w:rPr>
          <w:lang w:val="es-VE"/>
        </w:rPr>
        <w:t>Peruano</w:t>
      </w:r>
      <w:proofErr w:type="gramEnd"/>
      <w:r w:rsidRPr="00A44768">
        <w:rPr>
          <w:lang w:val="es-VE"/>
        </w:rPr>
        <w:t xml:space="preserve"> (17 de mayo del 2019). </w:t>
      </w:r>
      <w:proofErr w:type="spellStart"/>
      <w:r w:rsidRPr="00A44768">
        <w:rPr>
          <w:lang w:val="es-VE"/>
        </w:rPr>
        <w:t>Midis</w:t>
      </w:r>
      <w:proofErr w:type="spellEnd"/>
      <w:r w:rsidRPr="00A44768">
        <w:rPr>
          <w:lang w:val="es-VE"/>
        </w:rPr>
        <w:t xml:space="preserve">: No hay tolerancia ni espacio para la corrupción. Lima, Perú. Recuperado el 9 de diciembre del 2019, de: </w:t>
      </w:r>
      <w:hyperlink r:id="rId23" w:history="1">
        <w:r w:rsidR="00CF7C5D" w:rsidRPr="002320DE">
          <w:rPr>
            <w:rStyle w:val="Hipervnculo"/>
            <w:lang w:val="es-VE"/>
          </w:rPr>
          <w:t>http://www.elperuano.pe/noticia-Midis-no-hay-tolerancia-ni-espacio-para-corrupcion-79616.aspx</w:t>
        </w:r>
      </w:hyperlink>
      <w:r w:rsidRPr="00A44768">
        <w:rPr>
          <w:lang w:val="es-VE"/>
        </w:rPr>
        <w:t xml:space="preserve"> </w:t>
      </w:r>
    </w:p>
    <w:p w14:paraId="1F768057" w14:textId="6A15283C" w:rsidR="00A44768" w:rsidRDefault="00A44768">
      <w:pPr>
        <w:pStyle w:val="Textonotapie"/>
      </w:pPr>
      <w:r w:rsidRPr="00A44768">
        <w:rPr>
          <w:lang w:val="es-VE"/>
        </w:rPr>
        <w:t>Gestión (2013). Allá quienes se hicieron millonarios con la corrupción de los programas sociales. Recuperado el 9 de diciembre del 2019 de: https://gestion.pe/peru/politica/ alla-quienes-hicieron-millonarios-corrupcion-programas-sociales-52419-noticia</w:t>
      </w:r>
      <w:r w:rsidR="00CF7C5D">
        <w:rPr>
          <w:lang w:val="es-VE"/>
        </w:rPr>
        <w:t xml:space="preserve">/ </w:t>
      </w:r>
    </w:p>
  </w:footnote>
  <w:footnote w:id="25">
    <w:p w14:paraId="23F31C8C" w14:textId="5EDBCAD7" w:rsidR="00A44768" w:rsidRDefault="00A44768">
      <w:pPr>
        <w:pStyle w:val="Textonotapie"/>
      </w:pPr>
      <w:r>
        <w:rPr>
          <w:rStyle w:val="Refdenotaalpie"/>
        </w:rPr>
        <w:footnoteRef/>
      </w:r>
      <w:r>
        <w:t xml:space="preserve"> Ibidem, p. 95, 96,97,98.</w:t>
      </w:r>
    </w:p>
  </w:footnote>
  <w:footnote w:id="26">
    <w:p w14:paraId="1A90020E" w14:textId="77777777" w:rsidR="00CF7C5D" w:rsidRDefault="00CF7C5D" w:rsidP="00CF7C5D">
      <w:pPr>
        <w:pStyle w:val="Textonotapie"/>
        <w:jc w:val="both"/>
      </w:pPr>
      <w:r>
        <w:rPr>
          <w:rStyle w:val="Refdenotaalpie"/>
        </w:rPr>
        <w:footnoteRef/>
      </w:r>
      <w:r>
        <w:t xml:space="preserve"> “</w:t>
      </w:r>
      <w:r w:rsidRPr="00CF7C5D">
        <w:rPr>
          <w:b/>
          <w:bCs/>
        </w:rPr>
        <w:t>Los desayunos de Qali Warma no garantizan el aporte nutricional que necesitan los escolares</w:t>
      </w:r>
      <w:r>
        <w:t xml:space="preserve">”. Salud con lupa, 19 noviembre, 2024. Fuente: </w:t>
      </w:r>
      <w:hyperlink r:id="rId24" w:history="1">
        <w:r w:rsidRPr="002871B5">
          <w:rPr>
            <w:rStyle w:val="Hipervnculo"/>
          </w:rPr>
          <w:t>https://saludconlupa.com/series/qali-warma/desayunos-qali-warma-aporte-nutricional-escolares/</w:t>
        </w:r>
      </w:hyperlink>
      <w:r>
        <w:t xml:space="preserve"> </w:t>
      </w:r>
    </w:p>
  </w:footnote>
  <w:footnote w:id="27">
    <w:p w14:paraId="78D98847" w14:textId="77777777" w:rsidR="00D27B79" w:rsidRDefault="00D27B79" w:rsidP="00D27B79">
      <w:pPr>
        <w:pStyle w:val="Textonotapie"/>
        <w:jc w:val="both"/>
      </w:pPr>
      <w:r>
        <w:rPr>
          <w:rStyle w:val="Refdenotaalpie"/>
        </w:rPr>
        <w:footnoteRef/>
      </w:r>
      <w:r>
        <w:t xml:space="preserve"> INFORME FAO “EL ESTADO DE </w:t>
      </w:r>
      <w:r w:rsidRPr="007071A5">
        <w:t>LA SEGURIDAD ALIMENTARIA Y LA NUTRICION EN EL MUNDO</w:t>
      </w:r>
      <w:r>
        <w:t xml:space="preserve">”: </w:t>
      </w:r>
      <w:r w:rsidRPr="007071A5">
        <w:t>CAPÍTULO 2</w:t>
      </w:r>
      <w:r>
        <w:t>.</w:t>
      </w:r>
      <w:r w:rsidRPr="007071A5">
        <w:t xml:space="preserve"> LA SEGURIDAD ALIMENTARIA Y LA NUTRICIÓN EN TODO EL MUNDO</w:t>
      </w:r>
      <w:r>
        <w:t xml:space="preserve">. Pág. 37; Fuente: </w:t>
      </w:r>
      <w:hyperlink r:id="rId25" w:history="1">
        <w:r w:rsidRPr="002871B5">
          <w:rPr>
            <w:rStyle w:val="Hipervnculo"/>
          </w:rPr>
          <w:t>https://openknowledge.fao.org/server/api/core/bitstreams/d226ffb1-3e74-43be-aa8b-1d6e5c010c88/content</w:t>
        </w:r>
      </w:hyperlink>
      <w:r>
        <w:t xml:space="preserve"> </w:t>
      </w:r>
    </w:p>
  </w:footnote>
  <w:footnote w:id="28">
    <w:p w14:paraId="4C4E09AC" w14:textId="77777777" w:rsidR="00D27B79" w:rsidRDefault="00D27B79" w:rsidP="00D27B79">
      <w:pPr>
        <w:pStyle w:val="Textonotapie"/>
      </w:pPr>
      <w:r>
        <w:rPr>
          <w:rStyle w:val="Refdenotaalpie"/>
        </w:rPr>
        <w:footnoteRef/>
      </w:r>
      <w:r>
        <w:t xml:space="preserve"> Ibidem, p. 38</w:t>
      </w:r>
    </w:p>
  </w:footnote>
  <w:footnote w:id="29">
    <w:p w14:paraId="68D5EB51" w14:textId="77777777" w:rsidR="00D27B79" w:rsidRDefault="00D27B79" w:rsidP="00D27B79">
      <w:pPr>
        <w:pStyle w:val="Textonotapie"/>
      </w:pPr>
      <w:r>
        <w:rPr>
          <w:rStyle w:val="Refdenotaalpie"/>
        </w:rPr>
        <w:footnoteRef/>
      </w:r>
      <w:r>
        <w:t xml:space="preserve"> </w:t>
      </w:r>
      <w:r w:rsidRPr="003A6512">
        <w:t xml:space="preserve">INFORME DEL SEMINARIO </w:t>
      </w:r>
      <w:r w:rsidRPr="00596069">
        <w:t>LA ANEMIA INFANTIL EN EL PERÚ:</w:t>
      </w:r>
      <w:r w:rsidRPr="003A6512">
        <w:t xml:space="preserve"> </w:t>
      </w:r>
      <w:r w:rsidRPr="00596069">
        <w:t>SITUACIÓN Y RETOS, UNA NUEVA</w:t>
      </w:r>
      <w:r w:rsidRPr="003A6512">
        <w:t xml:space="preserve"> </w:t>
      </w:r>
      <w:r w:rsidRPr="00596069">
        <w:t>PERSPECTIVA</w:t>
      </w:r>
      <w:r w:rsidRPr="003A6512">
        <w:t xml:space="preserve"> </w:t>
      </w:r>
      <w:r w:rsidRPr="00596069">
        <w:t>OBSERVATORIO: “MEDICINA, SALUD Y SOCIEDAD” DEL COLEGIO MÉDICO DEL PERÚ</w:t>
      </w:r>
      <w:r w:rsidRPr="003A6512">
        <w:t xml:space="preserve">. SETIEMBRE 2023: </w:t>
      </w:r>
      <w:proofErr w:type="gramStart"/>
      <w:r w:rsidRPr="003A6512">
        <w:t>Noviembre</w:t>
      </w:r>
      <w:proofErr w:type="gramEnd"/>
      <w:r w:rsidRPr="003A6512">
        <w:t xml:space="preserve"> 2023, Primera edición, Lima, Perú, noviembre de 2023: </w:t>
      </w:r>
      <w:r>
        <w:t xml:space="preserve">Pág. 130 y ss. Fuente: </w:t>
      </w:r>
      <w:hyperlink r:id="rId26" w:history="1">
        <w:r w:rsidRPr="002871B5">
          <w:rPr>
            <w:rStyle w:val="Hipervnculo"/>
          </w:rPr>
          <w:t>https://www.cmp.org.pe/wp-content/uploads/2023/11/INFORME-DEL-SEMINARIO-LA-ANEMIA-INFANTIL-EN-EL-PERU.pdf</w:t>
        </w:r>
      </w:hyperlink>
    </w:p>
  </w:footnote>
  <w:footnote w:id="30">
    <w:p w14:paraId="71B1687A" w14:textId="77777777" w:rsidR="00D27B79" w:rsidRDefault="00D27B79" w:rsidP="00D27B79">
      <w:pPr>
        <w:pStyle w:val="Textonotapie"/>
        <w:jc w:val="both"/>
      </w:pPr>
      <w:r>
        <w:rPr>
          <w:rStyle w:val="Refdenotaalpie"/>
        </w:rPr>
        <w:footnoteRef/>
      </w:r>
      <w:r>
        <w:t xml:space="preserve"> “1 DE CADA 5 PERUANOS PADECE DE INSEGURIDAD ALIMENTARIA GRAVE”, </w:t>
      </w:r>
      <w:proofErr w:type="spellStart"/>
      <w:r>
        <w:t>Comexperu</w:t>
      </w:r>
      <w:proofErr w:type="spellEnd"/>
      <w:r>
        <w:t xml:space="preserve"> / Publicado en </w:t>
      </w:r>
      <w:proofErr w:type="gramStart"/>
      <w:r>
        <w:t>Agosto</w:t>
      </w:r>
      <w:proofErr w:type="gramEnd"/>
      <w:r>
        <w:t xml:space="preserve"> 16, 2024 / Semanario 1221 – Actualidad. Fuente: </w:t>
      </w:r>
      <w:hyperlink r:id="rId27" w:history="1">
        <w:r w:rsidRPr="002871B5">
          <w:rPr>
            <w:rStyle w:val="Hipervnculo"/>
          </w:rPr>
          <w:t>https://www.comexperu.org.pe/articulo/1-de-cada-5-peruanos-padece-de-inseguridad-alimentaria-grave</w:t>
        </w:r>
      </w:hyperlink>
      <w:r>
        <w:t xml:space="preserve"> </w:t>
      </w:r>
    </w:p>
  </w:footnote>
  <w:footnote w:id="31">
    <w:p w14:paraId="3E01F94C" w14:textId="77777777" w:rsidR="00D27B79" w:rsidRDefault="00D27B79" w:rsidP="00D27B79">
      <w:pPr>
        <w:pStyle w:val="Textonotapie"/>
        <w:jc w:val="both"/>
      </w:pPr>
      <w:r>
        <w:rPr>
          <w:rStyle w:val="Refdenotaalpie"/>
        </w:rPr>
        <w:footnoteRef/>
      </w:r>
      <w:r>
        <w:t xml:space="preserve"> </w:t>
      </w:r>
      <w:r w:rsidRPr="00B62F36">
        <w:t>INFORME GERENCIAL SIEN-HIS NIÑOS – PRIMER SEMESTRE 2024 (BASE DATOS HIS)</w:t>
      </w:r>
      <w:r>
        <w:t xml:space="preserve">. PÁG.37: “RECOMENDACIONES”. Fuente: </w:t>
      </w:r>
      <w:hyperlink r:id="rId28" w:history="1">
        <w:r w:rsidRPr="002871B5">
          <w:rPr>
            <w:rStyle w:val="Hipervnculo"/>
          </w:rPr>
          <w:t>https://www.gob.pe/institucion/ins/informes-publicaciones/6049896-informe-gerencial-sien-his-ninos-primer-semestre-2024-base-datos-his</w:t>
        </w:r>
      </w:hyperlink>
      <w:r>
        <w:t xml:space="preserve"> </w:t>
      </w:r>
    </w:p>
  </w:footnote>
  <w:footnote w:id="32">
    <w:p w14:paraId="6CC59E84" w14:textId="77777777" w:rsidR="00D27B79" w:rsidRDefault="00D27B79" w:rsidP="00D27B79">
      <w:pPr>
        <w:pStyle w:val="Textonotapie"/>
        <w:jc w:val="both"/>
      </w:pPr>
      <w:r>
        <w:rPr>
          <w:rStyle w:val="Refdenotaalpie"/>
        </w:rPr>
        <w:footnoteRef/>
      </w:r>
      <w:r>
        <w:t xml:space="preserve"> </w:t>
      </w:r>
      <w:bookmarkStart w:id="12" w:name="_Hlk184000150"/>
      <w:r w:rsidRPr="00596069">
        <w:t>INFORME DEL SEMINARIO</w:t>
      </w:r>
      <w:r>
        <w:t xml:space="preserve"> </w:t>
      </w:r>
      <w:r w:rsidRPr="00596069">
        <w:t>LA ANEMIA INFANTIL EN EL PERÚ:</w:t>
      </w:r>
      <w:r>
        <w:t xml:space="preserve"> </w:t>
      </w:r>
      <w:r w:rsidRPr="00596069">
        <w:t>SITUACIÓN Y RETOS, UNA NUEVA</w:t>
      </w:r>
      <w:r>
        <w:t xml:space="preserve"> </w:t>
      </w:r>
      <w:r w:rsidRPr="00596069">
        <w:t>PERSPECTIVA</w:t>
      </w:r>
      <w:r>
        <w:t xml:space="preserve"> </w:t>
      </w:r>
      <w:r w:rsidRPr="00596069">
        <w:t>OBSERVATORIO: “MEDICINA, SALUD Y SOCIEDAD” DEL COLEGIO MÉDICO DEL PERÚ</w:t>
      </w:r>
      <w:r>
        <w:t xml:space="preserve">. </w:t>
      </w:r>
      <w:r w:rsidRPr="00596069">
        <w:t>SETIEMBRE 2023</w:t>
      </w:r>
      <w:r>
        <w:t xml:space="preserve">: </w:t>
      </w:r>
      <w:proofErr w:type="gramStart"/>
      <w:r>
        <w:t>Noviembre</w:t>
      </w:r>
      <w:proofErr w:type="gramEnd"/>
      <w:r>
        <w:t xml:space="preserve"> 2023, Primera edición, Lima, Perú, noviembre de 2023. Pág. 215.Fuente: </w:t>
      </w:r>
      <w:hyperlink r:id="rId29" w:history="1">
        <w:r w:rsidRPr="002871B5">
          <w:rPr>
            <w:rStyle w:val="Hipervnculo"/>
          </w:rPr>
          <w:t>https://www.cmp.org.pe/wp-content/uploads/2023/11/INFORME-DEL-SEMINARIO-LA-ANEMIA-INFANTIL-EN-EL-PERU.pdf</w:t>
        </w:r>
      </w:hyperlink>
      <w:bookmarkEnd w:id="12"/>
      <w:r>
        <w:t xml:space="preserve"> </w:t>
      </w:r>
    </w:p>
  </w:footnote>
  <w:footnote w:id="33">
    <w:p w14:paraId="78DAA8E5" w14:textId="5DD412A5" w:rsidR="00464115" w:rsidRPr="00464115" w:rsidRDefault="007F0676" w:rsidP="00464115">
      <w:pPr>
        <w:pStyle w:val="Textonotapie"/>
      </w:pPr>
      <w:r>
        <w:rPr>
          <w:rStyle w:val="Refdenotaalpie"/>
        </w:rPr>
        <w:footnoteRef/>
      </w:r>
      <w:r>
        <w:t xml:space="preserve"> </w:t>
      </w:r>
      <w:r w:rsidR="00464115" w:rsidRPr="00464115">
        <w:t xml:space="preserve">“Impacto del programa de alimentación escolar Qali Warma sobre la anemia y la desnutrición crónica infantil”: PEDRO FRANCKE Pontificia Universidad Católica del Perú [ </w:t>
      </w:r>
      <w:hyperlink r:id="rId30" w:history="1">
        <w:r w:rsidR="00464115" w:rsidRPr="00464115">
          <w:rPr>
            <w:rStyle w:val="Hipervnculo"/>
          </w:rPr>
          <w:t>pfranck@pucp.edu.pe</w:t>
        </w:r>
      </w:hyperlink>
      <w:r w:rsidR="00464115" w:rsidRPr="00464115">
        <w:t xml:space="preserve"> ], GUSTAVO ACOSTA Duke University [</w:t>
      </w:r>
      <w:proofErr w:type="spellStart"/>
      <w:r w:rsidR="00464115" w:rsidRPr="00464115">
        <w:fldChar w:fldCharType="begin"/>
      </w:r>
      <w:r w:rsidR="00464115" w:rsidRPr="00464115">
        <w:instrText>HYPERLINK "mailto:gustavo.acosta@ duke.edu"</w:instrText>
      </w:r>
      <w:r w:rsidR="00464115" w:rsidRPr="00464115">
        <w:fldChar w:fldCharType="separate"/>
      </w:r>
      <w:proofErr w:type="spellEnd"/>
      <w:r w:rsidR="00464115" w:rsidRPr="00464115">
        <w:rPr>
          <w:rStyle w:val="Hipervnculo"/>
        </w:rPr>
        <w:t>gustavo.acosta@ duke.edu</w:t>
      </w:r>
      <w:r w:rsidR="00464115" w:rsidRPr="00464115">
        <w:fldChar w:fldCharType="end"/>
      </w:r>
      <w:r w:rsidR="00464115" w:rsidRPr="00464115">
        <w:t>]</w:t>
      </w:r>
      <w:r w:rsidR="00464115">
        <w:t xml:space="preserve">. pág. 188 (38 de 40) </w:t>
      </w:r>
      <w:r w:rsidR="00464115" w:rsidRPr="00464115">
        <w:t>Fuente</w:t>
      </w:r>
      <w:hyperlink r:id="rId31" w:history="1">
        <w:r w:rsidR="00464115" w:rsidRPr="00464115">
          <w:rPr>
            <w:rStyle w:val="Hipervnculo"/>
          </w:rPr>
          <w:t>http://www.scielo.org.pe/pdf/apuntes/v48n88/0252-1865-apuntes-48-88-00151.pdf</w:t>
        </w:r>
      </w:hyperlink>
      <w:r w:rsidR="00464115" w:rsidRPr="00464115">
        <w:t xml:space="preserve"> </w:t>
      </w:r>
    </w:p>
    <w:p w14:paraId="5549FB5E" w14:textId="778E58B7" w:rsidR="007F0676" w:rsidRDefault="007F0676">
      <w:pPr>
        <w:pStyle w:val="Textonotapie"/>
      </w:pPr>
    </w:p>
  </w:footnote>
  <w:footnote w:id="34">
    <w:p w14:paraId="745F19D9" w14:textId="77777777" w:rsidR="00D27B79" w:rsidRDefault="00D27B79" w:rsidP="00D27B79">
      <w:pPr>
        <w:pStyle w:val="Textonotapie"/>
      </w:pPr>
      <w:r>
        <w:rPr>
          <w:rStyle w:val="Refdenotaalpie"/>
        </w:rPr>
        <w:footnoteRef/>
      </w:r>
      <w:r>
        <w:t xml:space="preserve"> Ibidem, p. 101.</w:t>
      </w:r>
    </w:p>
  </w:footnote>
  <w:footnote w:id="35">
    <w:p w14:paraId="4824331F" w14:textId="2D53A947" w:rsidR="001D758A" w:rsidRDefault="001D758A">
      <w:pPr>
        <w:pStyle w:val="Textonotapie"/>
      </w:pPr>
      <w:r>
        <w:rPr>
          <w:rStyle w:val="Refdenotaalpie"/>
        </w:rPr>
        <w:footnoteRef/>
      </w:r>
      <w:r>
        <w:t xml:space="preserve"> INSTITUTO NACIONAL DE ESTADISTICA E INFORMATICA: I.N.E.I.</w:t>
      </w:r>
    </w:p>
  </w:footnote>
  <w:footnote w:id="36">
    <w:p w14:paraId="7F6F893F" w14:textId="508766AC" w:rsidR="00D27B79" w:rsidRDefault="00D27B79" w:rsidP="00D27B79">
      <w:pPr>
        <w:pStyle w:val="Textonotapie"/>
        <w:jc w:val="both"/>
      </w:pPr>
      <w:r>
        <w:rPr>
          <w:rStyle w:val="Refdenotaalpie"/>
        </w:rPr>
        <w:footnoteRef/>
      </w:r>
      <w:r>
        <w:t xml:space="preserve"> “</w:t>
      </w:r>
      <w:r w:rsidRPr="003D49C1">
        <w:t>2023, el año de la recesión económica en el Perú y el deterioro de la inversión privada</w:t>
      </w:r>
      <w:r>
        <w:t xml:space="preserve">”: </w:t>
      </w:r>
      <w:hyperlink r:id="rId32" w:anchor=":~:te" w:history="1">
        <w:r w:rsidRPr="002871B5">
          <w:rPr>
            <w:rStyle w:val="Hipervnculo"/>
          </w:rPr>
          <w:t>https://www.infobae.com/peru/2024/01/01/2023-el-ano-de-la-recesion-economica-en-el-peru-y-el-deterioro-de-la-inversion-privada/#:~:te</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ACF058" w14:textId="61125051" w:rsidR="00820937" w:rsidRDefault="00795119">
    <w:pPr>
      <w:pStyle w:val="Encabezado"/>
    </w:pPr>
    <w:r>
      <w:rPr>
        <w:noProof/>
      </w:rPr>
      <w:pict w14:anchorId="16A00B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52706813" o:spid="_x0000_s1026" type="#_x0000_t75" style="position:absolute;margin-left:0;margin-top:0;width:441.3pt;height:662.4pt;z-index:-251655168;mso-position-horizontal:center;mso-position-horizontal-relative:margin;mso-position-vertical:center;mso-position-vertical-relative:margin" o:allowincell="f">
          <v:imagedata r:id="rId1" o:title="COLLAGE2-HAMBRE Y DENUTRICION"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377C0D" w14:textId="6D100175" w:rsidR="006E2C60" w:rsidRDefault="00795119" w:rsidP="0093793B">
    <w:pPr>
      <w:pStyle w:val="Encabezado"/>
    </w:pPr>
    <w:r>
      <w:rPr>
        <w:noProof/>
      </w:rPr>
      <w:pict w14:anchorId="5B9900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52706814" o:spid="_x0000_s1027" type="#_x0000_t75" style="position:absolute;margin-left:0;margin-top:0;width:441.3pt;height:662.4pt;z-index:-251654144;mso-position-horizontal:center;mso-position-horizontal-relative:margin;mso-position-vertical:center;mso-position-vertical-relative:margin" o:allowincell="f">
          <v:imagedata r:id="rId1" o:title="COLLAGE2-HAMBRE Y DENUTRICION"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197DA" w14:textId="229E4788" w:rsidR="00820937" w:rsidRDefault="00795119">
    <w:pPr>
      <w:pStyle w:val="Encabezado"/>
    </w:pPr>
    <w:r>
      <w:rPr>
        <w:noProof/>
      </w:rPr>
      <w:pict w14:anchorId="2D2AE1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52706812" o:spid="_x0000_s1025" type="#_x0000_t75" style="position:absolute;margin-left:0;margin-top:0;width:441.3pt;height:662.4pt;z-index:-251656192;mso-position-horizontal:center;mso-position-horizontal-relative:margin;mso-position-vertical:center;mso-position-vertical-relative:margin" o:allowincell="f">
          <v:imagedata r:id="rId1" o:title="COLLAGE2-HAMBRE Y DENUTRICION"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01DE8"/>
    <w:multiLevelType w:val="multilevel"/>
    <w:tmpl w:val="C0A2B6EE"/>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i w:val="0"/>
        <w:i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bCs/>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6EF53F3"/>
    <w:multiLevelType w:val="multilevel"/>
    <w:tmpl w:val="979A7F6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CA37AD7"/>
    <w:multiLevelType w:val="multilevel"/>
    <w:tmpl w:val="D83CFF5C"/>
    <w:lvl w:ilvl="0">
      <w:start w:val="1"/>
      <w:numFmt w:val="decimal"/>
      <w:lvlText w:val="%1."/>
      <w:lvlJc w:val="left"/>
      <w:pPr>
        <w:ind w:left="1212"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B891C3A"/>
    <w:multiLevelType w:val="multilevel"/>
    <w:tmpl w:val="2FF40D3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17326536">
    <w:abstractNumId w:val="2"/>
  </w:num>
  <w:num w:numId="2" w16cid:durableId="731849233">
    <w:abstractNumId w:val="1"/>
  </w:num>
  <w:num w:numId="3" w16cid:durableId="51851717">
    <w:abstractNumId w:val="3"/>
  </w:num>
  <w:num w:numId="4" w16cid:durableId="927425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AAE"/>
    <w:rsid w:val="000A7363"/>
    <w:rsid w:val="00113C09"/>
    <w:rsid w:val="001B1BAB"/>
    <w:rsid w:val="001D1AF2"/>
    <w:rsid w:val="001D758A"/>
    <w:rsid w:val="002F1B50"/>
    <w:rsid w:val="00346DF5"/>
    <w:rsid w:val="00464115"/>
    <w:rsid w:val="004E4362"/>
    <w:rsid w:val="00517F38"/>
    <w:rsid w:val="00524D58"/>
    <w:rsid w:val="00597D12"/>
    <w:rsid w:val="006E2C60"/>
    <w:rsid w:val="007C7F94"/>
    <w:rsid w:val="007F0676"/>
    <w:rsid w:val="00820937"/>
    <w:rsid w:val="00822B0C"/>
    <w:rsid w:val="00877438"/>
    <w:rsid w:val="008A6DD6"/>
    <w:rsid w:val="0093793B"/>
    <w:rsid w:val="009B1AA4"/>
    <w:rsid w:val="00A41A51"/>
    <w:rsid w:val="00A44768"/>
    <w:rsid w:val="00A44DB3"/>
    <w:rsid w:val="00A5215E"/>
    <w:rsid w:val="00A74AD8"/>
    <w:rsid w:val="00AB672A"/>
    <w:rsid w:val="00AC0931"/>
    <w:rsid w:val="00B46B62"/>
    <w:rsid w:val="00BF0E62"/>
    <w:rsid w:val="00C425FC"/>
    <w:rsid w:val="00CD10AD"/>
    <w:rsid w:val="00CE3777"/>
    <w:rsid w:val="00CE3EA4"/>
    <w:rsid w:val="00CF7C5D"/>
    <w:rsid w:val="00D27B79"/>
    <w:rsid w:val="00DD6AAE"/>
    <w:rsid w:val="00E424C7"/>
    <w:rsid w:val="00E4671C"/>
    <w:rsid w:val="00EE3263"/>
    <w:rsid w:val="00F47632"/>
    <w:rsid w:val="00FC6F4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BB868"/>
  <w15:chartTrackingRefBased/>
  <w15:docId w15:val="{6939C535-ECA8-4BAC-A785-06F280750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AD"/>
    <w:rPr>
      <w:rFonts w:ascii="Calibri" w:eastAsia="Calibri" w:hAnsi="Calibri" w:cs="Calibri"/>
      <w:lang w:val="es-VE" w:eastAsia="es-PE"/>
    </w:rPr>
  </w:style>
  <w:style w:type="paragraph" w:styleId="Ttulo1">
    <w:name w:val="heading 1"/>
    <w:basedOn w:val="Normal"/>
    <w:next w:val="Normal"/>
    <w:link w:val="Ttulo1Car"/>
    <w:uiPriority w:val="9"/>
    <w:qFormat/>
    <w:rsid w:val="00A41A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D10A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D10AD"/>
    <w:rPr>
      <w:rFonts w:ascii="Calibri" w:eastAsia="Calibri" w:hAnsi="Calibri" w:cs="Calibri"/>
      <w:lang w:val="es-VE" w:eastAsia="es-PE"/>
    </w:rPr>
  </w:style>
  <w:style w:type="paragraph" w:styleId="Piedepgina">
    <w:name w:val="footer"/>
    <w:basedOn w:val="Normal"/>
    <w:link w:val="PiedepginaCar"/>
    <w:uiPriority w:val="99"/>
    <w:unhideWhenUsed/>
    <w:rsid w:val="00CD10A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D10AD"/>
    <w:rPr>
      <w:rFonts w:ascii="Calibri" w:eastAsia="Calibri" w:hAnsi="Calibri" w:cs="Calibri"/>
      <w:lang w:val="es-VE" w:eastAsia="es-PE"/>
    </w:rPr>
  </w:style>
  <w:style w:type="paragraph" w:styleId="Prrafodelista">
    <w:name w:val="List Paragraph"/>
    <w:basedOn w:val="Normal"/>
    <w:uiPriority w:val="1"/>
    <w:qFormat/>
    <w:rsid w:val="00CD10AD"/>
    <w:pPr>
      <w:ind w:left="720"/>
      <w:contextualSpacing/>
    </w:pPr>
    <w:rPr>
      <w:rFonts w:asciiTheme="minorHAnsi" w:eastAsiaTheme="minorHAnsi" w:hAnsiTheme="minorHAnsi" w:cstheme="minorBidi"/>
      <w:lang w:val="es-PE" w:eastAsia="en-US"/>
    </w:rPr>
  </w:style>
  <w:style w:type="paragraph" w:styleId="Textonotapie">
    <w:name w:val="footnote text"/>
    <w:basedOn w:val="Normal"/>
    <w:link w:val="TextonotapieCar"/>
    <w:uiPriority w:val="99"/>
    <w:semiHidden/>
    <w:unhideWhenUsed/>
    <w:rsid w:val="00CD10AD"/>
    <w:pPr>
      <w:spacing w:after="0" w:line="240" w:lineRule="auto"/>
    </w:pPr>
    <w:rPr>
      <w:rFonts w:asciiTheme="minorHAnsi" w:eastAsiaTheme="minorHAnsi" w:hAnsiTheme="minorHAnsi" w:cstheme="minorBidi"/>
      <w:sz w:val="20"/>
      <w:szCs w:val="20"/>
      <w:lang w:val="es-PE" w:eastAsia="en-US"/>
    </w:rPr>
  </w:style>
  <w:style w:type="character" w:customStyle="1" w:styleId="TextonotapieCar">
    <w:name w:val="Texto nota pie Car"/>
    <w:basedOn w:val="Fuentedeprrafopredeter"/>
    <w:link w:val="Textonotapie"/>
    <w:uiPriority w:val="99"/>
    <w:semiHidden/>
    <w:rsid w:val="00CD10AD"/>
    <w:rPr>
      <w:sz w:val="20"/>
      <w:szCs w:val="20"/>
    </w:rPr>
  </w:style>
  <w:style w:type="character" w:styleId="Refdenotaalpie">
    <w:name w:val="footnote reference"/>
    <w:basedOn w:val="Fuentedeprrafopredeter"/>
    <w:uiPriority w:val="99"/>
    <w:semiHidden/>
    <w:unhideWhenUsed/>
    <w:rsid w:val="00CD10AD"/>
    <w:rPr>
      <w:vertAlign w:val="superscript"/>
    </w:rPr>
  </w:style>
  <w:style w:type="character" w:styleId="Hipervnculo">
    <w:name w:val="Hyperlink"/>
    <w:basedOn w:val="Fuentedeprrafopredeter"/>
    <w:uiPriority w:val="99"/>
    <w:unhideWhenUsed/>
    <w:rsid w:val="00CD10AD"/>
    <w:rPr>
      <w:color w:val="0563C1" w:themeColor="hyperlink"/>
      <w:u w:val="single"/>
    </w:rPr>
  </w:style>
  <w:style w:type="character" w:styleId="Mencinsinresolver">
    <w:name w:val="Unresolved Mention"/>
    <w:basedOn w:val="Fuentedeprrafopredeter"/>
    <w:uiPriority w:val="99"/>
    <w:semiHidden/>
    <w:unhideWhenUsed/>
    <w:rsid w:val="00113C09"/>
    <w:rPr>
      <w:color w:val="605E5C"/>
      <w:shd w:val="clear" w:color="auto" w:fill="E1DFDD"/>
    </w:rPr>
  </w:style>
  <w:style w:type="character" w:customStyle="1" w:styleId="Ttulo1Car">
    <w:name w:val="Título 1 Car"/>
    <w:basedOn w:val="Fuentedeprrafopredeter"/>
    <w:link w:val="Ttulo1"/>
    <w:uiPriority w:val="9"/>
    <w:rsid w:val="00A41A51"/>
    <w:rPr>
      <w:rFonts w:asciiTheme="majorHAnsi" w:eastAsiaTheme="majorEastAsia" w:hAnsiTheme="majorHAnsi" w:cstheme="majorBidi"/>
      <w:color w:val="2F5496" w:themeColor="accent1" w:themeShade="BF"/>
      <w:sz w:val="32"/>
      <w:szCs w:val="32"/>
      <w:lang w:val="es-VE" w:eastAsia="es-PE"/>
    </w:rPr>
  </w:style>
  <w:style w:type="character" w:styleId="Hipervnculovisitado">
    <w:name w:val="FollowedHyperlink"/>
    <w:basedOn w:val="Fuentedeprrafopredeter"/>
    <w:uiPriority w:val="99"/>
    <w:semiHidden/>
    <w:unhideWhenUsed/>
    <w:rsid w:val="000A7363"/>
    <w:rPr>
      <w:color w:val="954F72" w:themeColor="followedHyperlink"/>
      <w:u w:val="single"/>
    </w:rPr>
  </w:style>
  <w:style w:type="paragraph" w:styleId="Bibliografa">
    <w:name w:val="Bibliography"/>
    <w:basedOn w:val="Normal"/>
    <w:next w:val="Normal"/>
    <w:uiPriority w:val="37"/>
    <w:unhideWhenUsed/>
    <w:rsid w:val="001D1AF2"/>
  </w:style>
  <w:style w:type="paragraph" w:styleId="Revisin">
    <w:name w:val="Revision"/>
    <w:hidden/>
    <w:uiPriority w:val="99"/>
    <w:semiHidden/>
    <w:rsid w:val="00E4671C"/>
    <w:pPr>
      <w:spacing w:after="0" w:line="240" w:lineRule="auto"/>
    </w:pPr>
    <w:rPr>
      <w:rFonts w:ascii="Calibri" w:eastAsia="Calibri" w:hAnsi="Calibri" w:cs="Calibri"/>
      <w:lang w:val="es-V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905654">
      <w:bodyDiv w:val="1"/>
      <w:marLeft w:val="0"/>
      <w:marRight w:val="0"/>
      <w:marTop w:val="0"/>
      <w:marBottom w:val="0"/>
      <w:divBdr>
        <w:top w:val="none" w:sz="0" w:space="0" w:color="auto"/>
        <w:left w:val="none" w:sz="0" w:space="0" w:color="auto"/>
        <w:bottom w:val="none" w:sz="0" w:space="0" w:color="auto"/>
        <w:right w:val="none" w:sz="0" w:space="0" w:color="auto"/>
      </w:divBdr>
    </w:div>
    <w:div w:id="127481616">
      <w:bodyDiv w:val="1"/>
      <w:marLeft w:val="0"/>
      <w:marRight w:val="0"/>
      <w:marTop w:val="0"/>
      <w:marBottom w:val="0"/>
      <w:divBdr>
        <w:top w:val="none" w:sz="0" w:space="0" w:color="auto"/>
        <w:left w:val="none" w:sz="0" w:space="0" w:color="auto"/>
        <w:bottom w:val="none" w:sz="0" w:space="0" w:color="auto"/>
        <w:right w:val="none" w:sz="0" w:space="0" w:color="auto"/>
      </w:divBdr>
    </w:div>
    <w:div w:id="954213355">
      <w:bodyDiv w:val="1"/>
      <w:marLeft w:val="0"/>
      <w:marRight w:val="0"/>
      <w:marTop w:val="0"/>
      <w:marBottom w:val="0"/>
      <w:divBdr>
        <w:top w:val="none" w:sz="0" w:space="0" w:color="auto"/>
        <w:left w:val="none" w:sz="0" w:space="0" w:color="auto"/>
        <w:bottom w:val="none" w:sz="0" w:space="0" w:color="auto"/>
        <w:right w:val="none" w:sz="0" w:space="0" w:color="auto"/>
      </w:divBdr>
    </w:div>
    <w:div w:id="1458832924">
      <w:bodyDiv w:val="1"/>
      <w:marLeft w:val="0"/>
      <w:marRight w:val="0"/>
      <w:marTop w:val="0"/>
      <w:marBottom w:val="0"/>
      <w:divBdr>
        <w:top w:val="none" w:sz="0" w:space="0" w:color="auto"/>
        <w:left w:val="none" w:sz="0" w:space="0" w:color="auto"/>
        <w:bottom w:val="none" w:sz="0" w:space="0" w:color="auto"/>
        <w:right w:val="none" w:sz="0" w:space="0" w:color="auto"/>
      </w:divBdr>
    </w:div>
    <w:div w:id="1890801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nknowledge.fao.org/server/api/core/bitstreams/371e77a6-d2ac-4117-9697-db5c97df6856/content/cd1254en.html"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saludconlupa.com/series/qali-warma/desayunos-qali-warma-aporte-nutricional-escolares/" TargetMode="External"/><Relationship Id="rId4" Type="http://schemas.openxmlformats.org/officeDocument/2006/relationships/settings" Target="settings.xml"/><Relationship Id="rId9" Type="http://schemas.openxmlformats.org/officeDocument/2006/relationships/hyperlink" Target="https://larepublica.pe/economia/2024/05/14/mas-de-19-millones-de-peruanos-no-puede-cubrir-sus-gastos-minimos-para-alimentos-549416"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proyectos.inei.gob.pe/files/WEB_ENDES/INFORME_PRINCIPAL/2023/INFORME_PRINCIPALINFORME_PRINCIPAL_ENDES_2023.pdf" TargetMode="External"/><Relationship Id="rId13" Type="http://schemas.openxmlformats.org/officeDocument/2006/relationships/hyperlink" Target="https://tbinternet.ohchr.org/_layouts/15/TreatyBodyExternal/SessionsList.aspx?Treaty=CESCR" TargetMode="External"/><Relationship Id="rId18" Type="http://schemas.openxmlformats.org/officeDocument/2006/relationships/hyperlink" Target="https://rpp.pe/peru/actualidad/qali-warma-denuncian-distribucion-de-carne-de-caballo-en-almuerzos-escolares-noticia-1597461?ref=rpp" TargetMode="External"/><Relationship Id="rId26" Type="http://schemas.openxmlformats.org/officeDocument/2006/relationships/hyperlink" Target="https://www.cmp.org.pe/wp-content/uploads/2023/11/INFORME-DEL-SEMINARIO-LA-ANEMIA-INFANTIL-EN-EL-PERU.pdf" TargetMode="External"/><Relationship Id="rId3" Type="http://schemas.openxmlformats.org/officeDocument/2006/relationships/hyperlink" Target="https://busquedas.elperuano.pe/dispositivo/NL/2257695-1?_ga=2.109018438.531217590.1733099848-1209657268.1724187677" TargetMode="External"/><Relationship Id="rId21" Type="http://schemas.openxmlformats.org/officeDocument/2006/relationships/hyperlink" Target="https://www.infobae.com/peru/2024/11/12/crisis-en-qali-warma-corrupcion-denuncias-y-cronologia-de-los-casos-que-han-puesto-en-peligro-la-salud-de-millones-de-escolares-en-peru/" TargetMode="External"/><Relationship Id="rId7" Type="http://schemas.openxmlformats.org/officeDocument/2006/relationships/hyperlink" Target="https://larepublica.pe/economia/2024/05/14/mas-de-19-millones-de-peruanos-no-puede-cubrir-sus-gastos-minimos-para-alimentos-549416" TargetMode="External"/><Relationship Id="rId12" Type="http://schemas.openxmlformats.org/officeDocument/2006/relationships/hyperlink" Target="https://www.gob.pe/34823-instituto-nacional-de-salud-centro-nacional-de-alimentacion-y-nutricion-cenan" TargetMode="External"/><Relationship Id="rId17" Type="http://schemas.openxmlformats.org/officeDocument/2006/relationships/hyperlink" Target="http://www.scielo.org.pe/pdf/apuntes/v48n88/0252-1865-apuntes-48-88-00151.pdf" TargetMode="External"/><Relationship Id="rId25" Type="http://schemas.openxmlformats.org/officeDocument/2006/relationships/hyperlink" Target="https://openknowledge.fao.org/server/api/core/bitstreams/d226ffb1-3e74-43be-aa8b-1d6e5c010c88/content" TargetMode="External"/><Relationship Id="rId2" Type="http://schemas.openxmlformats.org/officeDocument/2006/relationships/hyperlink" Target="https://proyectos.inei.gob.pe/endes/2024/ppr/Indicadores_de_Resultados_de_los_Programas_Presupuestales_ENDES_Primer_Semestre_2024.pdf" TargetMode="External"/><Relationship Id="rId16" Type="http://schemas.openxmlformats.org/officeDocument/2006/relationships/hyperlink" Target="mailto:pfranck@pucp.edu.pe" TargetMode="External"/><Relationship Id="rId20" Type="http://schemas.openxmlformats.org/officeDocument/2006/relationships/hyperlink" Target="https://www.elperuano.pe/noticia/254820-puno-suspenden-a-proveedor-de-alimentos-de-qali-warma-por-presunto-acto-de-corrupcion" TargetMode="External"/><Relationship Id="rId29" Type="http://schemas.openxmlformats.org/officeDocument/2006/relationships/hyperlink" Target="https://www.cmp.org.pe/wp-content/uploads/2023/11/INFORME-DEL-SEMINARIO-LA-ANEMIA-INFANTIL-EN-EL-PERU.pdf" TargetMode="External"/><Relationship Id="rId1" Type="http://schemas.openxmlformats.org/officeDocument/2006/relationships/hyperlink" Target="https://proyectos.inei.gob.pe/endes/2024/ppr/Indicadores_de_Resultados_de_los_Programas_Presupuestales_ENDES_Primer_Semestre_2024.pdf" TargetMode="External"/><Relationship Id="rId6" Type="http://schemas.openxmlformats.org/officeDocument/2006/relationships/hyperlink" Target="https://www.comexperu.org.pe/articulo/desnutricion-cronica-infantil-subiria-al-122-en-el-primer-trimestre-de-2024" TargetMode="External"/><Relationship Id="rId11" Type="http://schemas.openxmlformats.org/officeDocument/2006/relationships/hyperlink" Target="https://www.gob.pe/34823-instituto-nacional-de-salud-centro-nacional-de-alimentacion-y-nutricion-cenan" TargetMode="External"/><Relationship Id="rId24" Type="http://schemas.openxmlformats.org/officeDocument/2006/relationships/hyperlink" Target="https://saludconlupa.com/series/qali-warma/desayunos-qali-warma-aporte-nutricional-escolares/" TargetMode="External"/><Relationship Id="rId32" Type="http://schemas.openxmlformats.org/officeDocument/2006/relationships/hyperlink" Target="https://www.infobae.com/peru/2024/01/01/2023-el-ano-de-la-recesion-economica-en-el-peru-y-el-deterioro-de-la-inversion-privada/" TargetMode="External"/><Relationship Id="rId5" Type="http://schemas.openxmlformats.org/officeDocument/2006/relationships/hyperlink" Target="https://larepublica.pe/economia/2024/05/14/mas-de-19-millones-de-peruanos-no-puede-cubrir-sus-gastos-minimos-para-alimentos-549416" TargetMode="External"/><Relationship Id="rId15" Type="http://schemas.openxmlformats.org/officeDocument/2006/relationships/hyperlink" Target="https://www.comexperu.org.pe/articulo/desnutricion-cronica-infantil-subiria-al-122-en-el-primer-trimestre-de-2024" TargetMode="External"/><Relationship Id="rId23" Type="http://schemas.openxmlformats.org/officeDocument/2006/relationships/hyperlink" Target="http://www.elperuano.pe/noticia-Midis-no-hay-tolerancia-ni-espacio-para-corrupcion-79616.aspx" TargetMode="External"/><Relationship Id="rId28" Type="http://schemas.openxmlformats.org/officeDocument/2006/relationships/hyperlink" Target="https://www.gob.pe/institucion/ins/informes-publicaciones/6049896-informe-gerencial-sien-his-ninos-primer-semestre-2024-base-datos-his" TargetMode="External"/><Relationship Id="rId10" Type="http://schemas.openxmlformats.org/officeDocument/2006/relationships/hyperlink" Target="https://proyectos.inei.gob.pe/files/WEB_ENDES/INFORME_PRINCIPAL/2023/INFORME_PRINCIPALINFORME_PRINCIPAL_ENDES_2023.pdf" TargetMode="External"/><Relationship Id="rId19" Type="http://schemas.openxmlformats.org/officeDocument/2006/relationships/hyperlink" Target="https://www.swissinfo.ch/spa/per%C3%BA-anuncia-un-nuevo-programa-de-alimentaci%C3%B3n-escolar-tras-denuncias-de-corrupci%C3%B3n/88388995" TargetMode="External"/><Relationship Id="rId31" Type="http://schemas.openxmlformats.org/officeDocument/2006/relationships/hyperlink" Target="http://www.scielo.org.pe/pdf/apuntes/v48n88/0252-1865-apuntes-48-88-00151.pdf" TargetMode="External"/><Relationship Id="rId4" Type="http://schemas.openxmlformats.org/officeDocument/2006/relationships/hyperlink" Target="https://larepublica.pe/economia" TargetMode="External"/><Relationship Id="rId9" Type="http://schemas.openxmlformats.org/officeDocument/2006/relationships/hyperlink" Target="https://proyectos.inei.gob.pe/files/WEB_ENDES/INFORME_PRINCIPAL/2023/INFORME_PRINCIPALINFORME_PRINCIPAL_ENDES_2023.pdf" TargetMode="External"/><Relationship Id="rId14" Type="http://schemas.openxmlformats.org/officeDocument/2006/relationships/hyperlink" Target="https://www.comexperu.org.pe/publicaciones?id=1&amp;publicacion=Semanario&amp;edicion=1227" TargetMode="External"/><Relationship Id="rId22" Type="http://schemas.openxmlformats.org/officeDocument/2006/relationships/hyperlink" Target="https://revistas.urp.edu.pe/index.php/pluriversidad/article/download/5434/7260/20766" TargetMode="External"/><Relationship Id="rId27" Type="http://schemas.openxmlformats.org/officeDocument/2006/relationships/hyperlink" Target="https://www.comexperu.org.pe/articulo/1-de-cada-5-peruanos-padece-de-inseguridad-alimentaria-grave" TargetMode="External"/><Relationship Id="rId30" Type="http://schemas.openxmlformats.org/officeDocument/2006/relationships/hyperlink" Target="mailto:pfranck@pucp.edu.p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mar23</b:Tag>
    <b:SourceType>Book</b:SourceType>
    <b:Guid>{A547ACF9-D7B1-4A35-AAC6-68693761D61D}</b:Guid>
    <b:Author>
      <b:Author>
        <b:NameList>
          <b:Person>
            <b:Last>mario</b:Last>
          </b:Person>
        </b:NameList>
      </b:Author>
    </b:Author>
    <b:Title>la desnutricion</b:Title>
    <b:Year>2023</b:Year>
    <b:City>lima</b:City>
    <b:Publisher>investigaciones s.a.</b:Publisher>
    <b:RefOrder>1</b:RefOrder>
  </b:Source>
</b:Sources>
</file>

<file path=customXml/itemProps1.xml><?xml version="1.0" encoding="utf-8"?>
<ds:datastoreItem xmlns:ds="http://schemas.openxmlformats.org/officeDocument/2006/customXml" ds:itemID="{8D4F0D76-5588-47DE-AF87-0E1AA9744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9</Pages>
  <Words>2171</Words>
  <Characters>11945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ANTONIO HUAMANÍ SORIANO</dc:creator>
  <cp:keywords/>
  <dc:description/>
  <cp:lastModifiedBy>MARCO ANTONIO HUAMANÍ SORIANO</cp:lastModifiedBy>
  <cp:revision>5</cp:revision>
  <cp:lastPrinted>2024-12-10T12:13:00Z</cp:lastPrinted>
  <dcterms:created xsi:type="dcterms:W3CDTF">2024-12-07T05:35:00Z</dcterms:created>
  <dcterms:modified xsi:type="dcterms:W3CDTF">2024-12-10T12:14:00Z</dcterms:modified>
</cp:coreProperties>
</file>