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AFB00" w14:textId="77777777" w:rsidR="00614190" w:rsidRPr="001C2975" w:rsidRDefault="00614190" w:rsidP="00614190">
      <w:pPr>
        <w:spacing w:before="100" w:beforeAutospacing="1" w:after="100" w:afterAutospacing="1" w:line="240" w:lineRule="auto"/>
        <w:ind w:left="-450" w:right="-270"/>
        <w:jc w:val="center"/>
        <w:rPr>
          <w:rFonts w:asciiTheme="majorBidi" w:eastAsiaTheme="minorEastAsia" w:hAnsiTheme="majorBidi" w:cstheme="majorBidi"/>
          <w:b/>
          <w:bCs/>
          <w:color w:val="000000" w:themeColor="text1"/>
          <w:sz w:val="24"/>
          <w:szCs w:val="24"/>
          <w:u w:val="single"/>
          <w:lang w:bidi="ar-EG"/>
        </w:rPr>
      </w:pPr>
      <w:r w:rsidRPr="001C2975">
        <w:rPr>
          <w:rFonts w:asciiTheme="majorBidi" w:eastAsiaTheme="minorEastAsia" w:hAnsiTheme="majorBidi" w:cstheme="majorBidi"/>
          <w:b/>
          <w:bCs/>
          <w:color w:val="000000" w:themeColor="text1"/>
          <w:sz w:val="24"/>
          <w:szCs w:val="24"/>
          <w:u w:val="single"/>
          <w:lang w:bidi="ar-EG"/>
        </w:rPr>
        <w:t>Report to the Committee against Torture on Egypt's Review</w:t>
      </w:r>
    </w:p>
    <w:p w14:paraId="684F0ED7" w14:textId="77777777" w:rsidR="00614190" w:rsidRPr="001C2975" w:rsidRDefault="00614190" w:rsidP="00614190">
      <w:pPr>
        <w:shd w:val="clear" w:color="auto" w:fill="00B0F0"/>
        <w:tabs>
          <w:tab w:val="left" w:pos="5572"/>
        </w:tabs>
        <w:spacing w:before="100" w:beforeAutospacing="1" w:after="100" w:afterAutospacing="1" w:line="240" w:lineRule="auto"/>
        <w:ind w:left="-450" w:right="-270"/>
        <w:jc w:val="lowKashida"/>
        <w:rPr>
          <w:rFonts w:asciiTheme="majorBidi" w:eastAsiaTheme="minorEastAsia" w:hAnsiTheme="majorBidi" w:cstheme="majorBidi"/>
          <w:b/>
          <w:bCs/>
          <w:sz w:val="24"/>
          <w:szCs w:val="24"/>
          <w:rtl/>
          <w:lang w:bidi="ar-EG"/>
        </w:rPr>
      </w:pPr>
      <w:r w:rsidRPr="001C2975">
        <w:rPr>
          <w:rFonts w:asciiTheme="majorBidi" w:eastAsiaTheme="minorEastAsia" w:hAnsiTheme="majorBidi" w:cstheme="majorBidi"/>
          <w:b/>
          <w:bCs/>
          <w:sz w:val="24"/>
          <w:szCs w:val="24"/>
          <w:lang w:bidi="ar-EG"/>
        </w:rPr>
        <w:t>Executive Summary</w:t>
      </w:r>
      <w:r w:rsidRPr="001C2975">
        <w:rPr>
          <w:rFonts w:asciiTheme="majorBidi" w:eastAsiaTheme="minorEastAsia" w:hAnsiTheme="majorBidi" w:cstheme="majorBidi"/>
          <w:b/>
          <w:bCs/>
          <w:sz w:val="24"/>
          <w:szCs w:val="24"/>
          <w:rtl/>
          <w:lang w:bidi="ar-EG"/>
        </w:rPr>
        <w:t>:</w:t>
      </w:r>
    </w:p>
    <w:p w14:paraId="3BF934D5"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 xml:space="preserve">In June 1986, Egypt </w:t>
      </w:r>
      <w:r>
        <w:rPr>
          <w:rFonts w:asciiTheme="majorBidi" w:eastAsiaTheme="minorEastAsia" w:hAnsiTheme="majorBidi" w:cstheme="majorBidi"/>
          <w:sz w:val="24"/>
          <w:szCs w:val="24"/>
          <w:lang w:bidi="ar-EG"/>
        </w:rPr>
        <w:t>ratified</w:t>
      </w:r>
      <w:r w:rsidRPr="001C2975">
        <w:rPr>
          <w:rFonts w:asciiTheme="majorBidi" w:eastAsiaTheme="minorEastAsia" w:hAnsiTheme="majorBidi" w:cstheme="majorBidi"/>
          <w:sz w:val="24"/>
          <w:szCs w:val="24"/>
          <w:lang w:bidi="ar-EG"/>
        </w:rPr>
        <w:t xml:space="preserve"> the United Nations Convention against Torture and Other Cruel, Inhuman or Degrading Treatment or Punishment</w:t>
      </w:r>
      <w:r>
        <w:rPr>
          <w:rFonts w:asciiTheme="majorBidi" w:eastAsiaTheme="minorEastAsia" w:hAnsiTheme="majorBidi" w:cstheme="majorBidi"/>
          <w:sz w:val="24"/>
          <w:szCs w:val="24"/>
          <w:lang w:bidi="ar-EG"/>
        </w:rPr>
        <w:t>; thus, it became</w:t>
      </w:r>
      <w:r w:rsidRPr="001C2975">
        <w:rPr>
          <w:rFonts w:asciiTheme="majorBidi" w:eastAsiaTheme="minorEastAsia" w:hAnsiTheme="majorBidi" w:cstheme="majorBidi"/>
          <w:sz w:val="24"/>
          <w:szCs w:val="24"/>
          <w:lang w:bidi="ar-EG"/>
        </w:rPr>
        <w:t xml:space="preserve"> bound by the provisions of the Convention and obligated to adapt its national legislation and laws </w:t>
      </w:r>
      <w:r>
        <w:rPr>
          <w:rFonts w:asciiTheme="majorBidi" w:eastAsiaTheme="minorEastAsia" w:hAnsiTheme="majorBidi" w:cstheme="majorBidi"/>
          <w:sz w:val="24"/>
          <w:szCs w:val="24"/>
          <w:lang w:bidi="ar-EG"/>
        </w:rPr>
        <w:t>with</w:t>
      </w:r>
      <w:r w:rsidRPr="001C2975">
        <w:rPr>
          <w:rFonts w:asciiTheme="majorBidi" w:eastAsiaTheme="minorEastAsia" w:hAnsiTheme="majorBidi" w:cstheme="majorBidi"/>
          <w:sz w:val="24"/>
          <w:szCs w:val="24"/>
          <w:lang w:bidi="ar-EG"/>
        </w:rPr>
        <w:t xml:space="preserve"> the Convention. The Arab Republic of Egypt </w:t>
      </w:r>
      <w:r>
        <w:rPr>
          <w:rFonts w:asciiTheme="majorBidi" w:eastAsiaTheme="minorEastAsia" w:hAnsiTheme="majorBidi" w:cstheme="majorBidi"/>
          <w:sz w:val="24"/>
          <w:szCs w:val="24"/>
          <w:lang w:bidi="ar-EG"/>
        </w:rPr>
        <w:t>has taken</w:t>
      </w:r>
      <w:r w:rsidRPr="001C2975">
        <w:rPr>
          <w:rFonts w:asciiTheme="majorBidi" w:eastAsiaTheme="minorEastAsia" w:hAnsiTheme="majorBidi" w:cstheme="majorBidi"/>
          <w:sz w:val="24"/>
          <w:szCs w:val="24"/>
          <w:lang w:bidi="ar-EG"/>
        </w:rPr>
        <w:t xml:space="preserve"> </w:t>
      </w:r>
      <w:r>
        <w:rPr>
          <w:rFonts w:asciiTheme="majorBidi" w:eastAsiaTheme="minorEastAsia" w:hAnsiTheme="majorBidi" w:cstheme="majorBidi"/>
          <w:sz w:val="24"/>
          <w:szCs w:val="24"/>
          <w:lang w:bidi="ar-EG"/>
        </w:rPr>
        <w:t xml:space="preserve">remarkable </w:t>
      </w:r>
      <w:r w:rsidRPr="001C2975">
        <w:rPr>
          <w:rFonts w:asciiTheme="majorBidi" w:eastAsiaTheme="minorEastAsia" w:hAnsiTheme="majorBidi" w:cstheme="majorBidi"/>
          <w:sz w:val="24"/>
          <w:szCs w:val="24"/>
          <w:lang w:bidi="ar-EG"/>
        </w:rPr>
        <w:t>legal procedures to ad</w:t>
      </w:r>
      <w:r>
        <w:rPr>
          <w:rFonts w:asciiTheme="majorBidi" w:eastAsiaTheme="minorEastAsia" w:hAnsiTheme="majorBidi" w:cstheme="majorBidi"/>
          <w:sz w:val="24"/>
          <w:szCs w:val="24"/>
          <w:lang w:bidi="ar-EG"/>
        </w:rPr>
        <w:t>a</w:t>
      </w:r>
      <w:r w:rsidRPr="001C2975">
        <w:rPr>
          <w:rFonts w:asciiTheme="majorBidi" w:eastAsiaTheme="minorEastAsia" w:hAnsiTheme="majorBidi" w:cstheme="majorBidi"/>
          <w:sz w:val="24"/>
          <w:szCs w:val="24"/>
          <w:lang w:bidi="ar-EG"/>
        </w:rPr>
        <w:t xml:space="preserve">pt </w:t>
      </w:r>
      <w:r>
        <w:rPr>
          <w:rFonts w:asciiTheme="majorBidi" w:eastAsiaTheme="minorEastAsia" w:hAnsiTheme="majorBidi" w:cstheme="majorBidi"/>
          <w:sz w:val="24"/>
          <w:szCs w:val="24"/>
          <w:lang w:bidi="ar-EG"/>
        </w:rPr>
        <w:t xml:space="preserve">its national </w:t>
      </w:r>
      <w:r w:rsidRPr="001C2975">
        <w:rPr>
          <w:rFonts w:asciiTheme="majorBidi" w:eastAsiaTheme="minorEastAsia" w:hAnsiTheme="majorBidi" w:cstheme="majorBidi"/>
          <w:sz w:val="24"/>
          <w:szCs w:val="24"/>
          <w:lang w:bidi="ar-EG"/>
        </w:rPr>
        <w:t xml:space="preserve">legislation </w:t>
      </w:r>
      <w:r>
        <w:rPr>
          <w:rFonts w:asciiTheme="majorBidi" w:eastAsiaTheme="minorEastAsia" w:hAnsiTheme="majorBidi" w:cstheme="majorBidi"/>
          <w:sz w:val="24"/>
          <w:szCs w:val="24"/>
          <w:lang w:bidi="ar-EG"/>
        </w:rPr>
        <w:t>to</w:t>
      </w:r>
      <w:r w:rsidRPr="001C2975">
        <w:rPr>
          <w:rFonts w:asciiTheme="majorBidi" w:eastAsiaTheme="minorEastAsia" w:hAnsiTheme="majorBidi" w:cstheme="majorBidi"/>
          <w:sz w:val="24"/>
          <w:szCs w:val="24"/>
          <w:lang w:bidi="ar-EG"/>
        </w:rPr>
        <w:t xml:space="preserve"> the United Nations Convention against Torture. In legal terms, the Egyptian Constitution and law contain articles and texts that guarantee the protection of all individuals in Egypt from all acts of torture and other forms of ill-treatment</w:t>
      </w:r>
      <w:r w:rsidRPr="001C2975">
        <w:rPr>
          <w:rFonts w:asciiTheme="majorBidi" w:eastAsiaTheme="minorEastAsia" w:hAnsiTheme="majorBidi" w:cstheme="majorBidi"/>
          <w:sz w:val="24"/>
          <w:szCs w:val="24"/>
          <w:rtl/>
          <w:lang w:bidi="ar-EG"/>
        </w:rPr>
        <w:t>.</w:t>
      </w:r>
    </w:p>
    <w:p w14:paraId="626CAA57"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 xml:space="preserve">In recent years, the Egyptian Government has made practical efforts to eliminate all forms of torture and other ill-treatment. During the past years, the Egyptian Government has taken measures, policies, and actions to eliminate all forms of torture and ill-treatment, including addressing the excessive use of force by law enforcement officials, monitor detention facilities and other places of deprivation of liberty, investigate allegations of torture and ill-treatment committed by law enforcement officials, and improve conditions of detention in prisons and other liberty deprivation places. The Egyptian Government has not taken many measures to protect all persons under its jurisdiction from the risk of torture and other ill-treatment. The Egyptian Government </w:t>
      </w:r>
      <w:r>
        <w:rPr>
          <w:rFonts w:asciiTheme="majorBidi" w:eastAsiaTheme="minorEastAsia" w:hAnsiTheme="majorBidi" w:cstheme="majorBidi"/>
          <w:sz w:val="24"/>
          <w:szCs w:val="24"/>
          <w:lang w:bidi="ar-EG"/>
        </w:rPr>
        <w:t xml:space="preserve">still </w:t>
      </w:r>
      <w:proofErr w:type="gramStart"/>
      <w:r>
        <w:rPr>
          <w:rFonts w:asciiTheme="majorBidi" w:eastAsiaTheme="minorEastAsia" w:hAnsiTheme="majorBidi" w:cstheme="majorBidi"/>
          <w:sz w:val="24"/>
          <w:szCs w:val="24"/>
          <w:lang w:bidi="ar-EG"/>
        </w:rPr>
        <w:t>has to</w:t>
      </w:r>
      <w:proofErr w:type="gramEnd"/>
      <w:r>
        <w:rPr>
          <w:rFonts w:asciiTheme="majorBidi" w:eastAsiaTheme="minorEastAsia" w:hAnsiTheme="majorBidi" w:cstheme="majorBidi"/>
          <w:sz w:val="24"/>
          <w:szCs w:val="24"/>
          <w:lang w:bidi="ar-EG"/>
        </w:rPr>
        <w:t xml:space="preserve"> make</w:t>
      </w:r>
      <w:r w:rsidRPr="001C2975">
        <w:rPr>
          <w:rFonts w:asciiTheme="majorBidi" w:eastAsiaTheme="minorEastAsia" w:hAnsiTheme="majorBidi" w:cstheme="majorBidi"/>
          <w:sz w:val="24"/>
          <w:szCs w:val="24"/>
          <w:lang w:bidi="ar-EG"/>
        </w:rPr>
        <w:t xml:space="preserve"> efforts to address individual challenges and practices of torture and ill-treatment</w:t>
      </w:r>
      <w:r w:rsidRPr="001C2975">
        <w:rPr>
          <w:rFonts w:asciiTheme="majorBidi" w:eastAsiaTheme="minorEastAsia" w:hAnsiTheme="majorBidi" w:cstheme="majorBidi"/>
          <w:sz w:val="24"/>
          <w:szCs w:val="24"/>
          <w:rtl/>
          <w:lang w:bidi="ar-EG"/>
        </w:rPr>
        <w:t>.</w:t>
      </w:r>
    </w:p>
    <w:p w14:paraId="7DCFB912" w14:textId="77777777" w:rsidR="00614190" w:rsidRPr="001C2975" w:rsidRDefault="00614190" w:rsidP="00614190">
      <w:pPr>
        <w:spacing w:before="100" w:beforeAutospacing="1" w:after="100" w:afterAutospacing="1" w:line="240" w:lineRule="auto"/>
        <w:ind w:left="-450" w:right="-270" w:firstLine="1170"/>
        <w:jc w:val="lowKashida"/>
        <w:rPr>
          <w:rFonts w:asciiTheme="majorBidi" w:eastAsiaTheme="minorEastAsia" w:hAnsiTheme="majorBidi" w:cstheme="majorBidi"/>
          <w:sz w:val="24"/>
          <w:szCs w:val="24"/>
          <w:lang w:bidi="ar-EG"/>
        </w:rPr>
      </w:pPr>
      <w:proofErr w:type="gramStart"/>
      <w:r w:rsidRPr="001C2975">
        <w:rPr>
          <w:rFonts w:asciiTheme="majorBidi" w:eastAsiaTheme="minorEastAsia" w:hAnsiTheme="majorBidi" w:cstheme="majorBidi"/>
          <w:sz w:val="24"/>
          <w:szCs w:val="24"/>
          <w:lang w:bidi="ar-EG"/>
        </w:rPr>
        <w:t>In light of</w:t>
      </w:r>
      <w:proofErr w:type="gramEnd"/>
      <w:r w:rsidRPr="001C2975">
        <w:rPr>
          <w:rFonts w:asciiTheme="majorBidi" w:eastAsiaTheme="minorEastAsia" w:hAnsiTheme="majorBidi" w:cstheme="majorBidi"/>
          <w:sz w:val="24"/>
          <w:szCs w:val="24"/>
          <w:lang w:bidi="ar-EG"/>
        </w:rPr>
        <w:t xml:space="preserve"> the above, </w:t>
      </w:r>
      <w:r w:rsidRPr="008F0F7A">
        <w:rPr>
          <w:rFonts w:asciiTheme="majorBidi" w:eastAsiaTheme="minorEastAsia" w:hAnsiTheme="majorBidi" w:cstheme="majorBidi"/>
          <w:b/>
          <w:bCs/>
          <w:sz w:val="24"/>
          <w:szCs w:val="24"/>
          <w:lang w:bidi="ar-EG"/>
        </w:rPr>
        <w:t>Partners for Transparency</w:t>
      </w:r>
      <w:r w:rsidRPr="001C2975">
        <w:rPr>
          <w:rFonts w:asciiTheme="majorBidi" w:eastAsiaTheme="minorEastAsia" w:hAnsiTheme="majorBidi" w:cstheme="majorBidi"/>
          <w:sz w:val="24"/>
          <w:szCs w:val="24"/>
          <w:lang w:bidi="ar-EG"/>
        </w:rPr>
        <w:t xml:space="preserve"> submits this report to the Committee against Torture </w:t>
      </w:r>
      <w:r>
        <w:rPr>
          <w:rFonts w:asciiTheme="majorBidi" w:eastAsiaTheme="minorEastAsia" w:hAnsiTheme="majorBidi" w:cstheme="majorBidi"/>
          <w:sz w:val="24"/>
          <w:szCs w:val="24"/>
          <w:lang w:bidi="ar-EG"/>
        </w:rPr>
        <w:t>regarding</w:t>
      </w:r>
      <w:r w:rsidRPr="001C2975">
        <w:rPr>
          <w:rFonts w:asciiTheme="majorBidi" w:eastAsiaTheme="minorEastAsia" w:hAnsiTheme="majorBidi" w:cstheme="majorBidi"/>
          <w:sz w:val="24"/>
          <w:szCs w:val="24"/>
          <w:lang w:bidi="ar-EG"/>
        </w:rPr>
        <w:t xml:space="preserve"> Egypt's review at its 78th session to consider the State Party's progress in applying the provisions of the United Nations Convention against Torture, </w:t>
      </w:r>
      <w:r>
        <w:rPr>
          <w:rFonts w:asciiTheme="majorBidi" w:eastAsiaTheme="minorEastAsia" w:hAnsiTheme="majorBidi" w:cstheme="majorBidi"/>
          <w:sz w:val="24"/>
          <w:szCs w:val="24"/>
          <w:lang w:bidi="ar-EG"/>
        </w:rPr>
        <w:t>as</w:t>
      </w:r>
      <w:r w:rsidRPr="001C2975">
        <w:rPr>
          <w:rFonts w:asciiTheme="majorBidi" w:eastAsiaTheme="minorEastAsia" w:hAnsiTheme="majorBidi" w:cstheme="majorBidi"/>
          <w:sz w:val="24"/>
          <w:szCs w:val="24"/>
          <w:lang w:bidi="ar-EG"/>
        </w:rPr>
        <w:t xml:space="preserve"> will be </w:t>
      </w:r>
      <w:r>
        <w:rPr>
          <w:rFonts w:asciiTheme="majorBidi" w:eastAsiaTheme="minorEastAsia" w:hAnsiTheme="majorBidi" w:cstheme="majorBidi"/>
          <w:sz w:val="24"/>
          <w:szCs w:val="24"/>
          <w:lang w:bidi="ar-EG"/>
        </w:rPr>
        <w:t>addressed</w:t>
      </w:r>
      <w:r w:rsidRPr="001C2975">
        <w:rPr>
          <w:rFonts w:asciiTheme="majorBidi" w:eastAsiaTheme="minorEastAsia" w:hAnsiTheme="majorBidi" w:cstheme="majorBidi"/>
          <w:sz w:val="24"/>
          <w:szCs w:val="24"/>
          <w:lang w:bidi="ar-EG"/>
        </w:rPr>
        <w:t xml:space="preserve"> with some detail as follows</w:t>
      </w:r>
      <w:r w:rsidRPr="001C2975">
        <w:rPr>
          <w:rFonts w:asciiTheme="majorBidi" w:eastAsiaTheme="minorEastAsia" w:hAnsiTheme="majorBidi" w:cstheme="majorBidi"/>
          <w:sz w:val="24"/>
          <w:szCs w:val="24"/>
          <w:rtl/>
          <w:lang w:bidi="ar-EG"/>
        </w:rPr>
        <w:t>:</w:t>
      </w:r>
    </w:p>
    <w:p w14:paraId="24FBF634" w14:textId="77777777" w:rsidR="00614190" w:rsidRPr="001C2975" w:rsidRDefault="00614190" w:rsidP="00614190">
      <w:pPr>
        <w:shd w:val="clear" w:color="auto" w:fill="00B0F0"/>
        <w:tabs>
          <w:tab w:val="left" w:pos="5572"/>
        </w:tabs>
        <w:spacing w:before="100" w:beforeAutospacing="1" w:after="100" w:afterAutospacing="1" w:line="240" w:lineRule="auto"/>
        <w:ind w:left="-450" w:right="-270"/>
        <w:jc w:val="lowKashida"/>
        <w:rPr>
          <w:rFonts w:asciiTheme="majorBidi" w:eastAsiaTheme="minorEastAsia" w:hAnsiTheme="majorBidi" w:cstheme="majorBidi"/>
          <w:b/>
          <w:bCs/>
          <w:sz w:val="24"/>
          <w:szCs w:val="24"/>
          <w:rtl/>
          <w:lang w:bidi="ar-EG"/>
        </w:rPr>
      </w:pPr>
      <w:r w:rsidRPr="001C2975">
        <w:rPr>
          <w:rFonts w:asciiTheme="majorBidi" w:eastAsiaTheme="minorEastAsia" w:hAnsiTheme="majorBidi" w:cstheme="majorBidi"/>
          <w:b/>
          <w:bCs/>
          <w:sz w:val="24"/>
          <w:szCs w:val="24"/>
          <w:lang w:bidi="ar-EG"/>
        </w:rPr>
        <w:t xml:space="preserve">Definition </w:t>
      </w:r>
      <w:r>
        <w:rPr>
          <w:rFonts w:asciiTheme="majorBidi" w:eastAsiaTheme="minorEastAsia" w:hAnsiTheme="majorBidi" w:cstheme="majorBidi"/>
          <w:b/>
          <w:bCs/>
          <w:sz w:val="24"/>
          <w:szCs w:val="24"/>
          <w:lang w:bidi="ar-EG"/>
        </w:rPr>
        <w:t>&amp;</w:t>
      </w:r>
      <w:r w:rsidRPr="001C2975">
        <w:rPr>
          <w:rFonts w:asciiTheme="majorBidi" w:eastAsiaTheme="minorEastAsia" w:hAnsiTheme="majorBidi" w:cstheme="majorBidi"/>
          <w:b/>
          <w:bCs/>
          <w:sz w:val="24"/>
          <w:szCs w:val="24"/>
          <w:lang w:bidi="ar-EG"/>
        </w:rPr>
        <w:t xml:space="preserve"> Criminalization of Torture in Egyptian Law (Articles 1, 2, </w:t>
      </w:r>
      <w:r>
        <w:rPr>
          <w:rFonts w:asciiTheme="majorBidi" w:eastAsiaTheme="minorEastAsia" w:hAnsiTheme="majorBidi" w:cstheme="majorBidi" w:hint="cs"/>
          <w:b/>
          <w:bCs/>
          <w:sz w:val="24"/>
          <w:szCs w:val="24"/>
          <w:rtl/>
          <w:lang w:bidi="ar-EG"/>
        </w:rPr>
        <w:t>&amp;</w:t>
      </w:r>
      <w:r w:rsidRPr="001C2975">
        <w:rPr>
          <w:rFonts w:asciiTheme="majorBidi" w:eastAsiaTheme="minorEastAsia" w:hAnsiTheme="majorBidi" w:cstheme="majorBidi"/>
          <w:b/>
          <w:bCs/>
          <w:sz w:val="24"/>
          <w:szCs w:val="24"/>
          <w:lang w:bidi="ar-EG"/>
        </w:rPr>
        <w:t xml:space="preserve"> 4)</w:t>
      </w:r>
    </w:p>
    <w:p w14:paraId="7120FCBC"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The</w:t>
      </w:r>
      <w:r>
        <w:rPr>
          <w:rFonts w:asciiTheme="majorBidi" w:eastAsiaTheme="minorEastAsia" w:hAnsiTheme="majorBidi" w:cstheme="majorBidi"/>
          <w:sz w:val="24"/>
          <w:szCs w:val="24"/>
          <w:lang w:bidi="ar-EG"/>
        </w:rPr>
        <w:t xml:space="preserve"> </w:t>
      </w:r>
      <w:r w:rsidRPr="001C2975">
        <w:rPr>
          <w:rFonts w:asciiTheme="majorBidi" w:eastAsiaTheme="minorEastAsia" w:hAnsiTheme="majorBidi" w:cstheme="majorBidi"/>
          <w:sz w:val="24"/>
          <w:szCs w:val="24"/>
          <w:lang w:bidi="ar-EG"/>
        </w:rPr>
        <w:t xml:space="preserve">Arab Republic of Egypt is </w:t>
      </w:r>
      <w:r>
        <w:rPr>
          <w:rFonts w:asciiTheme="majorBidi" w:eastAsiaTheme="minorEastAsia" w:hAnsiTheme="majorBidi" w:cstheme="majorBidi"/>
          <w:sz w:val="24"/>
          <w:szCs w:val="24"/>
          <w:lang w:bidi="ar-EG"/>
        </w:rPr>
        <w:t>bound by</w:t>
      </w:r>
      <w:r w:rsidRPr="001C2975">
        <w:rPr>
          <w:rFonts w:asciiTheme="majorBidi" w:eastAsiaTheme="minorEastAsia" w:hAnsiTheme="majorBidi" w:cstheme="majorBidi"/>
          <w:sz w:val="24"/>
          <w:szCs w:val="24"/>
          <w:lang w:bidi="ar-EG"/>
        </w:rPr>
        <w:t xml:space="preserve"> articles 1, 2, and 4 of the Convention against Torture</w:t>
      </w:r>
      <w:r>
        <w:rPr>
          <w:rFonts w:asciiTheme="majorBidi" w:eastAsiaTheme="minorEastAsia" w:hAnsiTheme="majorBidi" w:cstheme="majorBidi"/>
          <w:sz w:val="24"/>
          <w:szCs w:val="24"/>
          <w:lang w:bidi="ar-EG"/>
        </w:rPr>
        <w:t xml:space="preserve"> </w:t>
      </w:r>
      <w:r w:rsidRPr="001C2975">
        <w:rPr>
          <w:rFonts w:asciiTheme="majorBidi" w:eastAsiaTheme="minorEastAsia" w:hAnsiTheme="majorBidi" w:cstheme="majorBidi"/>
          <w:sz w:val="24"/>
          <w:szCs w:val="24"/>
          <w:lang w:bidi="ar-EG"/>
        </w:rPr>
        <w:t>to develop a specific definition of torture that considers all aspects of the Convention, to take legislative action to prevent acts of torture in any territory under its jurisdiction and to ensure that all acts of torture are offenses under its criminal law. The Arab Republic of Egypt has taken some legislative measures to prevent acts of torture within its territory. It has developed certain national norms and laws that criminalize torture and other cruel treatment. The Egyptian Constitution prohibits all forms of torture and ill-treatment; Article 52 stipulates that torture is a statutory offense in all its forms</w:t>
      </w:r>
      <w:r w:rsidRPr="001C2975">
        <w:rPr>
          <w:rFonts w:asciiTheme="majorBidi" w:eastAsiaTheme="minorEastAsia" w:hAnsiTheme="majorBidi" w:cstheme="majorBidi"/>
          <w:sz w:val="24"/>
          <w:szCs w:val="24"/>
          <w:vertAlign w:val="superscript"/>
          <w:rtl/>
          <w:lang w:bidi="ar-EG"/>
        </w:rPr>
        <w:footnoteReference w:id="1"/>
      </w:r>
      <w:r w:rsidRPr="001C2975">
        <w:rPr>
          <w:rFonts w:asciiTheme="majorBidi" w:eastAsiaTheme="minorEastAsia" w:hAnsiTheme="majorBidi" w:cstheme="majorBidi"/>
          <w:sz w:val="24"/>
          <w:szCs w:val="24"/>
          <w:rtl/>
          <w:lang w:bidi="ar-EG"/>
        </w:rPr>
        <w:t>.</w:t>
      </w:r>
    </w:p>
    <w:p w14:paraId="198C9BF4" w14:textId="77777777" w:rsidR="00614190" w:rsidRPr="001C2975" w:rsidRDefault="00614190" w:rsidP="00614190">
      <w:pPr>
        <w:spacing w:before="100" w:beforeAutospacing="1" w:after="100" w:afterAutospacing="1" w:line="240" w:lineRule="auto"/>
        <w:ind w:left="-426" w:right="-270" w:firstLine="1146"/>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 xml:space="preserve">Egypt's Penal Code also criminalizes all acts of torture and inhuman and degrading treatment, whether they take place to obtain information or recognition, punish work, intimidation or coercion, or </w:t>
      </w:r>
      <w:r w:rsidRPr="001C2975">
        <w:rPr>
          <w:rFonts w:asciiTheme="majorBidi" w:eastAsiaTheme="minorEastAsia" w:hAnsiTheme="majorBidi" w:cstheme="majorBidi"/>
          <w:sz w:val="24"/>
          <w:szCs w:val="24"/>
          <w:lang w:bidi="ar-EG"/>
        </w:rPr>
        <w:lastRenderedPageBreak/>
        <w:t>discrimination. Article 126 of the Egyptian Penal Code stipulates that public officials or law enforcement officials who engage in acts of torture against defendants to take their confession are punished and sentenced to 3 to 10 years in prison; if the victim dies due to torture, the penalty could be either life imprisonment or death. By Article 129 of the Penal Code, a public official or law enforcement official can be punished with a term of up to one year if they use cruelty as a part of their job in a manner that harms their honor or their bodies. Articles 375 bis and 375 bis (a) of the Egyptian Penal Code also stipulate that anyone who engages in acts of violence, threats, and other forms of abuse that may be committed with the intention of intimidating, intimidating, or causing material or moral harm to others shall be punished by up to 5 years imprisonment</w:t>
      </w:r>
      <w:r w:rsidRPr="001C2975">
        <w:rPr>
          <w:rFonts w:asciiTheme="majorBidi" w:eastAsiaTheme="minorEastAsia" w:hAnsiTheme="majorBidi" w:cstheme="majorBidi"/>
          <w:sz w:val="24"/>
          <w:szCs w:val="24"/>
          <w:vertAlign w:val="superscript"/>
          <w:rtl/>
          <w:lang w:bidi="ar-EG"/>
        </w:rPr>
        <w:footnoteReference w:id="2"/>
      </w:r>
      <w:r w:rsidRPr="001C2975">
        <w:rPr>
          <w:rFonts w:asciiTheme="majorBidi" w:eastAsiaTheme="minorEastAsia" w:hAnsiTheme="majorBidi" w:cstheme="majorBidi"/>
          <w:sz w:val="24"/>
          <w:szCs w:val="24"/>
          <w:lang w:bidi="ar-EG"/>
        </w:rPr>
        <w:t>.</w:t>
      </w:r>
    </w:p>
    <w:p w14:paraId="4247A998" w14:textId="77777777" w:rsidR="00614190" w:rsidRPr="001C2975" w:rsidRDefault="00614190" w:rsidP="00614190">
      <w:pPr>
        <w:spacing w:before="100" w:beforeAutospacing="1" w:after="100" w:afterAutospacing="1" w:line="240" w:lineRule="auto"/>
        <w:ind w:left="-426" w:right="-270" w:firstLine="1146"/>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In addition, in September 2021, the National Human Rights Strategy launched by the Egyptian Government, under its first item on the right to life and physical integrity, was targeted to continue efforts to combat torture in all its forms, to investigate all allegations of torture and ill-treatment, to protect victims' rights and to limit all forms of individual practices involving torture and other cruel treatment committed by law enforcement officials, whether it's within executive institutions or in public or private settings, by the Constitution and the human rights obligations ratified by Egypt.</w:t>
      </w:r>
    </w:p>
    <w:p w14:paraId="524210C6"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However, Egypt's law still lacks a clear and specific definition of torture that considers all aspects of Article 1 of the Convention. It still contains legislative gaps that enable law enforcement officials to escape punishment or obtain penalties not commensurate with the offense committed. Article 126 of the Penal Code restricts torture crime to acts committed by law enforcement officials to extract confessions from the accused; this article links the act of torture to criminal intention, namely torture to obtain a confession. Accordingly, all practices of torture by security personnel against suspects as a form of punishment, to get information, or for any other purpose that does not involve the extraction of confessions, Egyptian law is not considered as a crime of torture but as ill-treatment, enabling perpetrators to obtain commuted sentences that are not commensurate with the level of the offense committed. Egypt has not yet signed the Optional Protocol to the Convention against Torture.</w:t>
      </w:r>
    </w:p>
    <w:p w14:paraId="4B8A4CA1" w14:textId="77777777" w:rsidR="00614190" w:rsidRPr="001C2975" w:rsidRDefault="00614190" w:rsidP="00614190">
      <w:pPr>
        <w:shd w:val="clear" w:color="auto" w:fill="00B0F0"/>
        <w:tabs>
          <w:tab w:val="left" w:pos="5572"/>
        </w:tabs>
        <w:spacing w:before="100" w:beforeAutospacing="1" w:after="100" w:afterAutospacing="1" w:line="240" w:lineRule="auto"/>
        <w:ind w:left="-450" w:right="-270"/>
        <w:jc w:val="lowKashida"/>
        <w:rPr>
          <w:rFonts w:asciiTheme="majorBidi" w:eastAsiaTheme="minorEastAsia" w:hAnsiTheme="majorBidi" w:cstheme="majorBidi"/>
          <w:b/>
          <w:bCs/>
          <w:sz w:val="24"/>
          <w:szCs w:val="24"/>
          <w:rtl/>
          <w:lang w:bidi="ar-EG"/>
        </w:rPr>
      </w:pPr>
      <w:r w:rsidRPr="001C2975">
        <w:rPr>
          <w:rFonts w:asciiTheme="majorBidi" w:eastAsiaTheme="minorEastAsia" w:hAnsiTheme="majorBidi" w:cstheme="majorBidi"/>
          <w:b/>
          <w:bCs/>
          <w:sz w:val="24"/>
          <w:szCs w:val="24"/>
          <w:lang w:bidi="ar-EG"/>
        </w:rPr>
        <w:t xml:space="preserve">Training </w:t>
      </w:r>
      <w:r>
        <w:rPr>
          <w:rFonts w:asciiTheme="majorBidi" w:eastAsiaTheme="minorEastAsia" w:hAnsiTheme="majorBidi" w:cstheme="majorBidi"/>
          <w:b/>
          <w:bCs/>
          <w:sz w:val="24"/>
          <w:szCs w:val="24"/>
          <w:lang w:bidi="ar-EG"/>
        </w:rPr>
        <w:t>Programs</w:t>
      </w:r>
      <w:r w:rsidRPr="001C2975">
        <w:rPr>
          <w:rFonts w:asciiTheme="majorBidi" w:eastAsiaTheme="minorEastAsia" w:hAnsiTheme="majorBidi" w:cstheme="majorBidi"/>
          <w:b/>
          <w:bCs/>
          <w:sz w:val="24"/>
          <w:szCs w:val="24"/>
          <w:lang w:bidi="ar-EG"/>
        </w:rPr>
        <w:t xml:space="preserve"> for </w:t>
      </w:r>
      <w:r>
        <w:rPr>
          <w:rFonts w:asciiTheme="majorBidi" w:eastAsiaTheme="minorEastAsia" w:hAnsiTheme="majorBidi" w:cstheme="majorBidi"/>
          <w:b/>
          <w:bCs/>
          <w:sz w:val="24"/>
          <w:szCs w:val="24"/>
          <w:lang w:bidi="ar-EG"/>
        </w:rPr>
        <w:t>Law</w:t>
      </w:r>
      <w:r w:rsidRPr="001C2975">
        <w:rPr>
          <w:rFonts w:asciiTheme="majorBidi" w:eastAsiaTheme="minorEastAsia" w:hAnsiTheme="majorBidi" w:cstheme="majorBidi"/>
          <w:b/>
          <w:bCs/>
          <w:sz w:val="24"/>
          <w:szCs w:val="24"/>
          <w:lang w:bidi="ar-EG"/>
        </w:rPr>
        <w:t xml:space="preserve"> Enforcement Officials on Human Rights and the Fight against Torture (Art. 10)</w:t>
      </w:r>
    </w:p>
    <w:p w14:paraId="13AA8805"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 xml:space="preserve">Article 10 of the Convention obliges States parties to </w:t>
      </w:r>
      <w:r>
        <w:rPr>
          <w:rFonts w:asciiTheme="majorBidi" w:eastAsiaTheme="minorEastAsia" w:hAnsiTheme="majorBidi" w:cstheme="majorBidi"/>
          <w:sz w:val="24"/>
          <w:szCs w:val="24"/>
          <w:lang w:bidi="ar-EG"/>
        </w:rPr>
        <w:t>conduct</w:t>
      </w:r>
      <w:r w:rsidRPr="001C2975">
        <w:rPr>
          <w:rFonts w:asciiTheme="majorBidi" w:eastAsiaTheme="minorEastAsia" w:hAnsiTheme="majorBidi" w:cstheme="majorBidi"/>
          <w:sz w:val="24"/>
          <w:szCs w:val="24"/>
          <w:lang w:bidi="ar-EG"/>
        </w:rPr>
        <w:t xml:space="preserve"> human rights and anti-torture education and training programs and courses to ensure that all law enforcement, prison personnel, national security, </w:t>
      </w:r>
      <w:bookmarkStart w:id="0" w:name="OLE_LINK1"/>
      <w:r w:rsidRPr="001C2975">
        <w:rPr>
          <w:rFonts w:asciiTheme="majorBidi" w:eastAsiaTheme="minorEastAsia" w:hAnsiTheme="majorBidi" w:cstheme="majorBidi"/>
          <w:sz w:val="24"/>
          <w:szCs w:val="24"/>
          <w:lang w:bidi="ar-EG"/>
        </w:rPr>
        <w:t xml:space="preserve">border </w:t>
      </w:r>
      <w:bookmarkEnd w:id="0"/>
      <w:r w:rsidRPr="00660A29">
        <w:rPr>
          <w:rFonts w:asciiTheme="majorBidi" w:eastAsiaTheme="minorEastAsia" w:hAnsiTheme="majorBidi" w:cstheme="majorBidi"/>
          <w:sz w:val="24"/>
          <w:szCs w:val="24"/>
          <w:lang w:bidi="ar-EG"/>
        </w:rPr>
        <w:t>guards</w:t>
      </w:r>
      <w:r w:rsidRPr="001C2975">
        <w:rPr>
          <w:rFonts w:asciiTheme="majorBidi" w:eastAsiaTheme="minorEastAsia" w:hAnsiTheme="majorBidi" w:cstheme="majorBidi"/>
          <w:sz w:val="24"/>
          <w:szCs w:val="24"/>
          <w:lang w:bidi="ar-EG"/>
        </w:rPr>
        <w:t>, military personnel, judges, and prosecutors are aware of the provisions of the Convention against Torture and the absolute prohibition of torture</w:t>
      </w:r>
      <w:r w:rsidRPr="001C2975">
        <w:rPr>
          <w:rFonts w:asciiTheme="majorBidi" w:eastAsiaTheme="minorEastAsia" w:hAnsiTheme="majorBidi" w:cstheme="majorBidi"/>
          <w:sz w:val="24"/>
          <w:szCs w:val="24"/>
          <w:rtl/>
          <w:lang w:bidi="ar-EG"/>
        </w:rPr>
        <w:t>.</w:t>
      </w:r>
    </w:p>
    <w:p w14:paraId="1030DEE4"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Over the past years, the Egyptian authorities have carried out several training and educational programs under axis 4 of the National Human Rights Strategy, aimed at training all law enforcement officials, judges, and prosecutors in human rights and combating torture to ensure that they are aware of their obligations under international law, in particular, the United Nations Convention against Torture and provide them with the skills and knowledge necessary to uphold human rights and reduce the number of cases of torture and ill-treatment</w:t>
      </w:r>
      <w:r w:rsidRPr="001C2975">
        <w:rPr>
          <w:rFonts w:asciiTheme="majorBidi" w:eastAsiaTheme="minorEastAsia" w:hAnsiTheme="majorBidi" w:cstheme="majorBidi"/>
          <w:sz w:val="24"/>
          <w:szCs w:val="24"/>
          <w:rtl/>
          <w:lang w:bidi="ar-EG"/>
        </w:rPr>
        <w:t>.</w:t>
      </w:r>
      <w:r w:rsidRPr="001C2975">
        <w:rPr>
          <w:rFonts w:asciiTheme="majorBidi" w:eastAsiaTheme="minorEastAsia" w:hAnsiTheme="majorBidi" w:cstheme="majorBidi"/>
          <w:sz w:val="24"/>
          <w:szCs w:val="24"/>
          <w:lang w:bidi="ar-EG"/>
        </w:rPr>
        <w:t xml:space="preserve"> Between September 2021 and August 2022, the Ministry of the Interior organized more than 100 lectures, panels, and training programs for the Ministry's personnel to disseminate a culture of human rights among police officers and refine their skills in dealing with citizens, deepening their knowledge about human </w:t>
      </w:r>
      <w:proofErr w:type="gramStart"/>
      <w:r w:rsidRPr="001C2975">
        <w:rPr>
          <w:rFonts w:asciiTheme="majorBidi" w:eastAsiaTheme="minorEastAsia" w:hAnsiTheme="majorBidi" w:cstheme="majorBidi"/>
          <w:sz w:val="24"/>
          <w:szCs w:val="24"/>
          <w:lang w:bidi="ar-EG"/>
        </w:rPr>
        <w:t>rights</w:t>
      </w:r>
      <w:proofErr w:type="gramEnd"/>
      <w:r w:rsidRPr="001C2975">
        <w:rPr>
          <w:rFonts w:asciiTheme="majorBidi" w:eastAsiaTheme="minorEastAsia" w:hAnsiTheme="majorBidi" w:cstheme="majorBidi"/>
          <w:sz w:val="24"/>
          <w:szCs w:val="24"/>
          <w:lang w:bidi="ar-EG"/>
        </w:rPr>
        <w:t xml:space="preserve"> and combating torture</w:t>
      </w:r>
      <w:r w:rsidRPr="001C2975">
        <w:rPr>
          <w:rFonts w:asciiTheme="majorBidi" w:eastAsiaTheme="minorEastAsia" w:hAnsiTheme="majorBidi" w:cstheme="majorBidi"/>
          <w:sz w:val="24"/>
          <w:szCs w:val="24"/>
          <w:rtl/>
          <w:lang w:bidi="ar-EG"/>
        </w:rPr>
        <w:t xml:space="preserve">. </w:t>
      </w:r>
      <w:r w:rsidRPr="001C2975">
        <w:rPr>
          <w:rFonts w:asciiTheme="majorBidi" w:eastAsiaTheme="minorEastAsia" w:hAnsiTheme="majorBidi" w:cstheme="majorBidi"/>
          <w:sz w:val="24"/>
          <w:szCs w:val="24"/>
          <w:lang w:bidi="ar-EG"/>
        </w:rPr>
        <w:t xml:space="preserve">The judiciary also organized several seminars and training on human rights and combating torture for its members. Between April 2021 and June 2022, some 18 training sessions for prosecutors on "Protection of human rights in the context of criminal justice" were organized in collaboration with the United Nations Office on Drugs and Crime (UNODC) to train them on a wide range of </w:t>
      </w:r>
      <w:r w:rsidRPr="001C2975">
        <w:rPr>
          <w:rFonts w:asciiTheme="majorBidi" w:eastAsiaTheme="minorEastAsia" w:hAnsiTheme="majorBidi" w:cstheme="majorBidi"/>
          <w:sz w:val="24"/>
          <w:szCs w:val="24"/>
          <w:lang w:bidi="ar-EG"/>
        </w:rPr>
        <w:lastRenderedPageBreak/>
        <w:t>topics that support suspects' human rights in the context of criminal justice including methods of investigating human rights violations, in particular torture and ill-treatment, methods of verifying the admissibility of confessions, and methods of protecting witnesses and victims</w:t>
      </w:r>
      <w:r w:rsidRPr="001C2975">
        <w:rPr>
          <w:rFonts w:asciiTheme="majorBidi" w:eastAsiaTheme="minorEastAsia" w:hAnsiTheme="majorBidi" w:cstheme="majorBidi"/>
          <w:sz w:val="24"/>
          <w:szCs w:val="24"/>
          <w:rtl/>
          <w:lang w:bidi="ar-EG"/>
        </w:rPr>
        <w:t>.</w:t>
      </w:r>
      <w:r w:rsidRPr="001C2975">
        <w:rPr>
          <w:rFonts w:asciiTheme="majorBidi" w:eastAsiaTheme="minorEastAsia" w:hAnsiTheme="majorBidi" w:cstheme="majorBidi"/>
          <w:sz w:val="24"/>
          <w:szCs w:val="24"/>
          <w:vertAlign w:val="superscript"/>
          <w:rtl/>
          <w:lang w:bidi="ar-EG"/>
        </w:rPr>
        <w:t xml:space="preserve"> </w:t>
      </w:r>
      <w:r w:rsidRPr="001C2975">
        <w:rPr>
          <w:rFonts w:asciiTheme="majorBidi" w:eastAsiaTheme="minorEastAsia" w:hAnsiTheme="majorBidi" w:cstheme="majorBidi"/>
          <w:sz w:val="24"/>
          <w:szCs w:val="24"/>
          <w:vertAlign w:val="superscript"/>
          <w:rtl/>
          <w:lang w:bidi="ar-EG"/>
        </w:rPr>
        <w:footnoteReference w:id="3"/>
      </w:r>
    </w:p>
    <w:p w14:paraId="3DE397B6" w14:textId="77777777" w:rsidR="00614190" w:rsidRPr="001C2975" w:rsidRDefault="00614190" w:rsidP="00614190">
      <w:pPr>
        <w:spacing w:before="100" w:beforeAutospacing="1" w:after="100" w:afterAutospacing="1" w:line="240" w:lineRule="auto"/>
        <w:ind w:left="-450" w:right="-270" w:firstLine="1170"/>
        <w:jc w:val="lowKashida"/>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 xml:space="preserve">However, the Egyptian Government </w:t>
      </w:r>
      <w:r>
        <w:rPr>
          <w:rFonts w:asciiTheme="majorBidi" w:eastAsiaTheme="minorEastAsia" w:hAnsiTheme="majorBidi" w:cstheme="majorBidi"/>
          <w:sz w:val="24"/>
          <w:szCs w:val="24"/>
          <w:lang w:bidi="ar-EG"/>
        </w:rPr>
        <w:t>still needs to exert more</w:t>
      </w:r>
      <w:r w:rsidRPr="001C2975">
        <w:rPr>
          <w:rFonts w:asciiTheme="majorBidi" w:eastAsiaTheme="minorEastAsia" w:hAnsiTheme="majorBidi" w:cstheme="majorBidi"/>
          <w:sz w:val="24"/>
          <w:szCs w:val="24"/>
          <w:lang w:bidi="ar-EG"/>
        </w:rPr>
        <w:t xml:space="preserve"> efforts to increase the human rights and anti-torture capacity of law enforcement officials, judges, and prosecutors. The Egyptian Government should make more efforts to educate and train law enforcement officials on human rights standards and the prevention of torture to reduce all individual practices involving a form of torture and ill-treatment</w:t>
      </w:r>
      <w:r w:rsidRPr="001C2975">
        <w:rPr>
          <w:rFonts w:asciiTheme="majorBidi" w:eastAsiaTheme="minorEastAsia" w:hAnsiTheme="majorBidi" w:cstheme="majorBidi"/>
          <w:sz w:val="24"/>
          <w:szCs w:val="24"/>
          <w:rtl/>
          <w:lang w:bidi="ar-EG"/>
        </w:rPr>
        <w:t>.</w:t>
      </w:r>
    </w:p>
    <w:p w14:paraId="5F3FF483" w14:textId="77777777" w:rsidR="00614190" w:rsidRPr="001C2975" w:rsidRDefault="00614190" w:rsidP="00614190">
      <w:pPr>
        <w:shd w:val="clear" w:color="auto" w:fill="00B0F0"/>
        <w:tabs>
          <w:tab w:val="left" w:pos="5572"/>
        </w:tabs>
        <w:spacing w:before="100" w:beforeAutospacing="1" w:after="100" w:afterAutospacing="1" w:line="240" w:lineRule="auto"/>
        <w:ind w:left="-450"/>
        <w:jc w:val="lowKashida"/>
        <w:rPr>
          <w:rFonts w:asciiTheme="majorBidi" w:eastAsiaTheme="minorEastAsia" w:hAnsiTheme="majorBidi" w:cstheme="majorBidi"/>
          <w:b/>
          <w:bCs/>
          <w:sz w:val="24"/>
          <w:szCs w:val="24"/>
          <w:rtl/>
          <w:lang w:bidi="ar-EG"/>
        </w:rPr>
      </w:pPr>
      <w:r w:rsidRPr="001C2975">
        <w:rPr>
          <w:rFonts w:asciiTheme="majorBidi" w:eastAsiaTheme="minorEastAsia" w:hAnsiTheme="majorBidi" w:cstheme="majorBidi"/>
          <w:b/>
          <w:bCs/>
          <w:sz w:val="24"/>
          <w:szCs w:val="24"/>
          <w:lang w:bidi="ar-EG"/>
        </w:rPr>
        <w:t>Arrangements for the Detention and Treatment of Persons Arrested, Arrested</w:t>
      </w:r>
      <w:r>
        <w:rPr>
          <w:rFonts w:asciiTheme="majorBidi" w:eastAsiaTheme="minorEastAsia" w:hAnsiTheme="majorBidi" w:cstheme="majorBidi"/>
          <w:b/>
          <w:bCs/>
          <w:sz w:val="24"/>
          <w:szCs w:val="24"/>
          <w:lang w:bidi="ar-EG"/>
        </w:rPr>
        <w:t>,</w:t>
      </w:r>
      <w:r w:rsidRPr="001C2975">
        <w:rPr>
          <w:rFonts w:asciiTheme="majorBidi" w:eastAsiaTheme="minorEastAsia" w:hAnsiTheme="majorBidi" w:cstheme="majorBidi"/>
          <w:b/>
          <w:bCs/>
          <w:sz w:val="24"/>
          <w:szCs w:val="24"/>
          <w:lang w:bidi="ar-EG"/>
        </w:rPr>
        <w:t xml:space="preserve"> or Imprisoned (Art. 11)</w:t>
      </w:r>
    </w:p>
    <w:p w14:paraId="339425CD"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 xml:space="preserve">Article 11 of the Convention obliges States parties to take the necessary measures to improve conditions of detention in police stations, prisons, and other places of deprivation of liberty, to reduce overcrowding in places of detention, to improve health facilities and the quality and quantity of food and water provided to inmates, and to ensure detainees' access to health care and educational, recreational, vocational, </w:t>
      </w:r>
      <w:proofErr w:type="gramStart"/>
      <w:r w:rsidRPr="001C2975">
        <w:rPr>
          <w:rFonts w:asciiTheme="majorBidi" w:eastAsiaTheme="minorEastAsia" w:hAnsiTheme="majorBidi" w:cstheme="majorBidi"/>
          <w:sz w:val="24"/>
          <w:szCs w:val="24"/>
          <w:lang w:bidi="ar-EG"/>
        </w:rPr>
        <w:t>physical</w:t>
      </w:r>
      <w:proofErr w:type="gramEnd"/>
      <w:r w:rsidRPr="001C2975">
        <w:rPr>
          <w:rFonts w:asciiTheme="majorBidi" w:eastAsiaTheme="minorEastAsia" w:hAnsiTheme="majorBidi" w:cstheme="majorBidi"/>
          <w:sz w:val="24"/>
          <w:szCs w:val="24"/>
          <w:lang w:bidi="ar-EG"/>
        </w:rPr>
        <w:t xml:space="preserve"> and intellectual activities</w:t>
      </w:r>
      <w:r w:rsidRPr="001C2975">
        <w:rPr>
          <w:rFonts w:asciiTheme="majorBidi" w:eastAsiaTheme="minorEastAsia" w:hAnsiTheme="majorBidi" w:cstheme="majorBidi"/>
          <w:sz w:val="24"/>
          <w:szCs w:val="24"/>
          <w:rtl/>
          <w:lang w:bidi="ar-EG"/>
        </w:rPr>
        <w:t>.</w:t>
      </w:r>
    </w:p>
    <w:p w14:paraId="557AE5A4"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In recent years, the Egyptian Government has taken measures to improve detention conditions in places of deprivation of liberty, particularly in reducing prison overcrowding and ensuring that all detainees have access to the necessary health care. In this context, Partners noted that the Egyptian Government developed a new strategy for Egyptian prisons and other deprivation of liberty centers establishment and modernization to reduce overcrowding and improve detention conditions. Based on this strategy, the Egyptian Ministry of Interior has established new prisons in several regions, Wadi al-</w:t>
      </w:r>
      <w:proofErr w:type="spellStart"/>
      <w:r w:rsidRPr="001C2975">
        <w:rPr>
          <w:rFonts w:asciiTheme="majorBidi" w:eastAsiaTheme="minorEastAsia" w:hAnsiTheme="majorBidi" w:cstheme="majorBidi"/>
          <w:sz w:val="24"/>
          <w:szCs w:val="24"/>
          <w:lang w:bidi="ar-EG"/>
        </w:rPr>
        <w:t>Natrun</w:t>
      </w:r>
      <w:proofErr w:type="spellEnd"/>
      <w:r w:rsidRPr="001C2975">
        <w:rPr>
          <w:rFonts w:asciiTheme="majorBidi" w:eastAsiaTheme="minorEastAsia" w:hAnsiTheme="majorBidi" w:cstheme="majorBidi"/>
          <w:sz w:val="24"/>
          <w:szCs w:val="24"/>
          <w:lang w:bidi="ar-EG"/>
        </w:rPr>
        <w:t xml:space="preserve">, Bader, 10th of Ramadan, </w:t>
      </w:r>
      <w:proofErr w:type="spellStart"/>
      <w:r w:rsidRPr="001C2975">
        <w:rPr>
          <w:rFonts w:asciiTheme="majorBidi" w:eastAsiaTheme="minorEastAsia" w:hAnsiTheme="majorBidi" w:cstheme="majorBidi"/>
          <w:sz w:val="24"/>
          <w:szCs w:val="24"/>
          <w:lang w:bidi="ar-EG"/>
        </w:rPr>
        <w:t>Akhmim</w:t>
      </w:r>
      <w:proofErr w:type="spellEnd"/>
      <w:r w:rsidRPr="001C2975">
        <w:rPr>
          <w:rFonts w:asciiTheme="majorBidi" w:eastAsiaTheme="minorEastAsia" w:hAnsiTheme="majorBidi" w:cstheme="majorBidi"/>
          <w:sz w:val="24"/>
          <w:szCs w:val="24"/>
          <w:lang w:bidi="ar-EG"/>
        </w:rPr>
        <w:t>, and 15th of May by the world's most modern models and conform to international human rights standards in terms of room health capacity, lighting, ventilation quality, and equipped medical centers. In contrast, the Egyptian Ministry of Interior has closed some 15 traditional prisons that do not meet international human rights standards</w:t>
      </w:r>
      <w:r w:rsidRPr="001C2975">
        <w:rPr>
          <w:rFonts w:asciiTheme="majorBidi" w:eastAsiaTheme="minorEastAsia" w:hAnsiTheme="majorBidi" w:cstheme="majorBidi"/>
          <w:sz w:val="24"/>
          <w:szCs w:val="24"/>
          <w:vertAlign w:val="superscript"/>
          <w:rtl/>
          <w:lang w:bidi="ar-EG"/>
        </w:rPr>
        <w:footnoteReference w:id="4"/>
      </w:r>
      <w:r w:rsidRPr="001C2975">
        <w:rPr>
          <w:rFonts w:asciiTheme="majorBidi" w:eastAsiaTheme="minorEastAsia" w:hAnsiTheme="majorBidi" w:cstheme="majorBidi"/>
          <w:sz w:val="24"/>
          <w:szCs w:val="24"/>
          <w:lang w:bidi="ar-EG"/>
        </w:rPr>
        <w:t>. Partners for Transparency also noted that the Public Prosecutor's Office considered the conditions associated with the COVID-19 pandemic spread once it issued remand orders. It decided on legal alternatives to preventive detention, obliging the accused not to leave his home or go to the police headquarters at specified times. Between 2020 and the end of 2022, some 4,067 persons were released, which reduced overcrowding in detention centers and other places of deprivation of liberty</w:t>
      </w:r>
      <w:r w:rsidRPr="001C2975">
        <w:rPr>
          <w:rFonts w:asciiTheme="majorBidi" w:eastAsiaTheme="minorEastAsia" w:hAnsiTheme="majorBidi" w:cstheme="majorBidi"/>
          <w:sz w:val="24"/>
          <w:szCs w:val="24"/>
          <w:vertAlign w:val="superscript"/>
          <w:rtl/>
          <w:lang w:bidi="ar-EG"/>
        </w:rPr>
        <w:footnoteReference w:id="5"/>
      </w:r>
      <w:r w:rsidRPr="001C2975">
        <w:rPr>
          <w:rFonts w:asciiTheme="majorBidi" w:eastAsiaTheme="minorEastAsia" w:hAnsiTheme="majorBidi" w:cstheme="majorBidi"/>
          <w:sz w:val="24"/>
          <w:szCs w:val="24"/>
          <w:rtl/>
          <w:lang w:bidi="ar-EG"/>
        </w:rPr>
        <w:t>.</w:t>
      </w:r>
    </w:p>
    <w:p w14:paraId="66C898F2" w14:textId="77777777" w:rsidR="00614190" w:rsidRPr="001C2975" w:rsidRDefault="00614190" w:rsidP="00614190">
      <w:pPr>
        <w:spacing w:before="100" w:beforeAutospacing="1" w:after="100" w:afterAutospacing="1" w:line="240" w:lineRule="auto"/>
        <w:ind w:left="-450" w:right="-270" w:firstLine="1170"/>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 xml:space="preserve">In addition, over the past years, the Egyptian authorities have made efforts to ensure that all detainees have access to the necessary health care. From December 2021 to June 2022, the Ministry of Interior launched medical convoys for some prisons and detention centers in various governorates. The medical examination was carried out on 7027 detainees and provided free treatment and a medical survey to detect diabetic cases in 23,824 detainees. Integrated and equipped medical centers established in the new prisons in the </w:t>
      </w:r>
      <w:proofErr w:type="spellStart"/>
      <w:r w:rsidRPr="001C2975">
        <w:rPr>
          <w:rFonts w:asciiTheme="majorBidi" w:eastAsiaTheme="minorEastAsia" w:hAnsiTheme="majorBidi" w:cstheme="majorBidi"/>
          <w:sz w:val="24"/>
          <w:szCs w:val="24"/>
          <w:lang w:bidi="ar-EG"/>
        </w:rPr>
        <w:t>Natarun</w:t>
      </w:r>
      <w:proofErr w:type="spellEnd"/>
      <w:r w:rsidRPr="001C2975">
        <w:rPr>
          <w:rFonts w:asciiTheme="majorBidi" w:eastAsiaTheme="minorEastAsia" w:hAnsiTheme="majorBidi" w:cstheme="majorBidi"/>
          <w:sz w:val="24"/>
          <w:szCs w:val="24"/>
          <w:lang w:bidi="ar-EG"/>
        </w:rPr>
        <w:t xml:space="preserve"> Valley and Badar regions have also presented many medical services to prisoners and detainees; some 1,270 surgical operations were carried out, and some 27,088 different analyses and radiology for inmates in these prisons in 2022</w:t>
      </w:r>
      <w:r w:rsidRPr="001C2975">
        <w:rPr>
          <w:rFonts w:asciiTheme="majorBidi" w:eastAsiaTheme="minorEastAsia" w:hAnsiTheme="majorBidi" w:cstheme="majorBidi"/>
          <w:sz w:val="24"/>
          <w:szCs w:val="24"/>
          <w:rtl/>
          <w:lang w:bidi="ar-EG"/>
        </w:rPr>
        <w:t>.</w:t>
      </w:r>
      <w:r w:rsidRPr="001C2975">
        <w:rPr>
          <w:rFonts w:asciiTheme="majorBidi" w:eastAsiaTheme="minorEastAsia" w:hAnsiTheme="majorBidi" w:cstheme="majorBidi"/>
          <w:sz w:val="24"/>
          <w:szCs w:val="24"/>
          <w:vertAlign w:val="superscript"/>
          <w:rtl/>
          <w:lang w:bidi="ar-EG"/>
        </w:rPr>
        <w:t xml:space="preserve"> </w:t>
      </w:r>
      <w:r w:rsidRPr="001C2975">
        <w:rPr>
          <w:rFonts w:asciiTheme="majorBidi" w:eastAsiaTheme="minorEastAsia" w:hAnsiTheme="majorBidi" w:cstheme="majorBidi"/>
          <w:sz w:val="24"/>
          <w:szCs w:val="24"/>
          <w:vertAlign w:val="superscript"/>
          <w:rtl/>
          <w:lang w:bidi="ar-EG"/>
        </w:rPr>
        <w:footnoteReference w:id="6"/>
      </w:r>
    </w:p>
    <w:p w14:paraId="38A069FC" w14:textId="77777777" w:rsidR="00614190" w:rsidRPr="001C2975" w:rsidRDefault="00614190" w:rsidP="00614190">
      <w:pPr>
        <w:spacing w:before="100" w:beforeAutospacing="1" w:after="100" w:afterAutospacing="1" w:line="240" w:lineRule="auto"/>
        <w:ind w:left="-450" w:right="-270" w:firstLine="1170"/>
        <w:jc w:val="lowKashida"/>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lastRenderedPageBreak/>
        <w:t xml:space="preserve">However, the Egyptian Government needs </w:t>
      </w:r>
      <w:r>
        <w:rPr>
          <w:rFonts w:asciiTheme="majorBidi" w:eastAsiaTheme="minorEastAsia" w:hAnsiTheme="majorBidi" w:cstheme="majorBidi"/>
          <w:sz w:val="24"/>
          <w:szCs w:val="24"/>
          <w:lang w:bidi="ar-EG"/>
        </w:rPr>
        <w:t>to exert more</w:t>
      </w:r>
      <w:r w:rsidRPr="001C2975">
        <w:rPr>
          <w:rFonts w:asciiTheme="majorBidi" w:eastAsiaTheme="minorEastAsia" w:hAnsiTheme="majorBidi" w:cstheme="majorBidi"/>
          <w:sz w:val="24"/>
          <w:szCs w:val="24"/>
          <w:lang w:bidi="ar-EG"/>
        </w:rPr>
        <w:t xml:space="preserve"> effort</w:t>
      </w:r>
      <w:r>
        <w:rPr>
          <w:rFonts w:asciiTheme="majorBidi" w:eastAsiaTheme="minorEastAsia" w:hAnsiTheme="majorBidi" w:cstheme="majorBidi"/>
          <w:sz w:val="24"/>
          <w:szCs w:val="24"/>
          <w:lang w:bidi="ar-EG"/>
        </w:rPr>
        <w:t>s</w:t>
      </w:r>
      <w:r w:rsidRPr="001C2975">
        <w:rPr>
          <w:rFonts w:asciiTheme="majorBidi" w:eastAsiaTheme="minorEastAsia" w:hAnsiTheme="majorBidi" w:cstheme="majorBidi"/>
          <w:sz w:val="24"/>
          <w:szCs w:val="24"/>
          <w:lang w:bidi="ar-EG"/>
        </w:rPr>
        <w:t xml:space="preserve"> to improve prison conditions and other places of deprivation of liberty. Many detainees suffer from poor detention conditions in traditional prisons and police stations, including severe overcrowding and limited access to healthcare services. The Egyptian Government must continue to implement its new strategy for Egyptian prisons and other places of deprivation of liberty establishment and modernization and make further efforts to improve detention conditions, reduce overcrowding, and improve access to medical care in places of liberty deprivation</w:t>
      </w:r>
      <w:r w:rsidRPr="001C2975">
        <w:rPr>
          <w:rFonts w:asciiTheme="majorBidi" w:eastAsiaTheme="minorEastAsia" w:hAnsiTheme="majorBidi" w:cstheme="majorBidi"/>
          <w:sz w:val="24"/>
          <w:szCs w:val="24"/>
          <w:rtl/>
          <w:lang w:bidi="ar-EG"/>
        </w:rPr>
        <w:t>.</w:t>
      </w:r>
    </w:p>
    <w:p w14:paraId="7D0EBBDD" w14:textId="77777777" w:rsidR="00614190" w:rsidRPr="001C2975" w:rsidRDefault="00614190" w:rsidP="00614190">
      <w:pPr>
        <w:shd w:val="clear" w:color="auto" w:fill="00B0F0"/>
        <w:tabs>
          <w:tab w:val="left" w:pos="5572"/>
        </w:tabs>
        <w:spacing w:before="100" w:beforeAutospacing="1" w:after="100" w:afterAutospacing="1" w:line="240" w:lineRule="auto"/>
        <w:ind w:left="-450"/>
        <w:jc w:val="lowKashida"/>
        <w:rPr>
          <w:rFonts w:asciiTheme="majorBidi" w:eastAsiaTheme="minorEastAsia" w:hAnsiTheme="majorBidi" w:cstheme="majorBidi"/>
          <w:b/>
          <w:bCs/>
          <w:sz w:val="24"/>
          <w:szCs w:val="24"/>
          <w:rtl/>
          <w:lang w:bidi="ar-EG"/>
        </w:rPr>
      </w:pPr>
      <w:r w:rsidRPr="001C2975">
        <w:rPr>
          <w:rFonts w:asciiTheme="majorBidi" w:eastAsiaTheme="minorEastAsia" w:hAnsiTheme="majorBidi" w:cstheme="majorBidi"/>
          <w:b/>
          <w:bCs/>
          <w:sz w:val="24"/>
          <w:szCs w:val="24"/>
          <w:lang w:bidi="ar-EG"/>
        </w:rPr>
        <w:t>Effective Investigation of Allegations of Torture (Art</w:t>
      </w:r>
      <w:r>
        <w:rPr>
          <w:rFonts w:asciiTheme="majorBidi" w:eastAsiaTheme="minorEastAsia" w:hAnsiTheme="majorBidi" w:cstheme="majorBidi"/>
          <w:b/>
          <w:bCs/>
          <w:sz w:val="24"/>
          <w:szCs w:val="24"/>
          <w:lang w:bidi="ar-EG"/>
        </w:rPr>
        <w:t>icles</w:t>
      </w:r>
      <w:r w:rsidRPr="001C2975">
        <w:rPr>
          <w:rFonts w:asciiTheme="majorBidi" w:eastAsiaTheme="minorEastAsia" w:hAnsiTheme="majorBidi" w:cstheme="majorBidi"/>
          <w:b/>
          <w:bCs/>
          <w:sz w:val="24"/>
          <w:szCs w:val="24"/>
          <w:lang w:bidi="ar-EG"/>
        </w:rPr>
        <w:t xml:space="preserve"> 12 </w:t>
      </w:r>
      <w:r>
        <w:rPr>
          <w:rFonts w:asciiTheme="majorBidi" w:eastAsiaTheme="minorEastAsia" w:hAnsiTheme="majorBidi" w:cstheme="majorBidi"/>
          <w:b/>
          <w:bCs/>
          <w:sz w:val="24"/>
          <w:szCs w:val="24"/>
          <w:lang w:bidi="ar-EG"/>
        </w:rPr>
        <w:t>&amp;</w:t>
      </w:r>
      <w:r w:rsidRPr="001C2975">
        <w:rPr>
          <w:rFonts w:asciiTheme="majorBidi" w:eastAsiaTheme="minorEastAsia" w:hAnsiTheme="majorBidi" w:cstheme="majorBidi"/>
          <w:b/>
          <w:bCs/>
          <w:sz w:val="24"/>
          <w:szCs w:val="24"/>
          <w:lang w:bidi="ar-EG"/>
        </w:rPr>
        <w:t xml:space="preserve"> 13)</w:t>
      </w:r>
    </w:p>
    <w:p w14:paraId="394A0CE4" w14:textId="77777777" w:rsidR="00614190" w:rsidRPr="001C2975" w:rsidRDefault="00614190" w:rsidP="00614190">
      <w:pPr>
        <w:spacing w:before="100" w:beforeAutospacing="1" w:after="100" w:afterAutospacing="1" w:line="240" w:lineRule="auto"/>
        <w:ind w:left="-450" w:right="-270" w:firstLine="360"/>
        <w:jc w:val="lowKashida"/>
        <w:rPr>
          <w:rFonts w:asciiTheme="majorBidi" w:eastAsiaTheme="minorEastAsia" w:hAnsiTheme="majorBidi" w:cstheme="majorBidi"/>
          <w:sz w:val="24"/>
          <w:szCs w:val="24"/>
          <w:rtl/>
          <w:lang w:bidi="ar-EG"/>
        </w:rPr>
      </w:pPr>
      <w:r w:rsidRPr="001C2975">
        <w:rPr>
          <w:rFonts w:asciiTheme="majorBidi" w:eastAsiaTheme="minorEastAsia" w:hAnsiTheme="majorBidi" w:cstheme="majorBidi"/>
          <w:sz w:val="24"/>
          <w:szCs w:val="24"/>
          <w:lang w:bidi="ar-EG"/>
        </w:rPr>
        <w:t>Articles 12 and 13 of the United Nations Convention against Torture oblige States parties to ensure that a prompt and impartial investigation is conducted whenever there are reasonable grounds to believe that an act of torture has been committed in any territory under their jurisdiction and that everyone has the right to file a complaint with the competent authorities in the event of torture and ill-treatment and to consider his complaint expeditiously</w:t>
      </w:r>
      <w:r w:rsidRPr="001C2975">
        <w:rPr>
          <w:rFonts w:asciiTheme="majorBidi" w:eastAsiaTheme="minorEastAsia" w:hAnsiTheme="majorBidi" w:cstheme="majorBidi"/>
          <w:sz w:val="24"/>
          <w:szCs w:val="24"/>
          <w:rtl/>
          <w:lang w:bidi="ar-EG"/>
        </w:rPr>
        <w:t>.</w:t>
      </w:r>
    </w:p>
    <w:p w14:paraId="68DD4730" w14:textId="77777777" w:rsidR="00614190" w:rsidRDefault="00614190" w:rsidP="00614190">
      <w:pPr>
        <w:spacing w:before="100" w:beforeAutospacing="1" w:after="100" w:afterAutospacing="1" w:line="240" w:lineRule="auto"/>
        <w:ind w:left="-450" w:right="-270" w:firstLine="360"/>
        <w:jc w:val="lowKashida"/>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Over the past years, the Egyptian authorities have taken measures to address the excessive use of force and other individual practices of torture and ill-treatment committed by law enforcement officials and adopted a legal framework and guidelines governing the use of force and firearms by law enforcement officials, consistent with the international legal framework, as well as conducting impartial investigations into allegations of torture and ill-treatment and the use of excessive force by law enforcement officials, holding those involved accountable for their actions and bringing them to justice.</w:t>
      </w:r>
    </w:p>
    <w:p w14:paraId="0C00FDC4" w14:textId="77777777" w:rsidR="00614190" w:rsidRPr="001C2975" w:rsidRDefault="00614190" w:rsidP="00614190">
      <w:pPr>
        <w:spacing w:before="100" w:beforeAutospacing="1" w:after="100" w:afterAutospacing="1" w:line="240" w:lineRule="auto"/>
        <w:ind w:left="-450" w:right="-270" w:firstLine="360"/>
        <w:jc w:val="lowKashida"/>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In this context, the Arab Republic of Egypt has a legal framework consisting of a set of laws, policies, and guidelines governing the use of force by law enforcement officials, consistent with the international legal framework for using force, which prohibits law enforcement authorities from using it except where necessary. Some of the most important laws, policies, and principles are as follows</w:t>
      </w:r>
      <w:r w:rsidRPr="001C2975">
        <w:rPr>
          <w:rFonts w:asciiTheme="majorBidi" w:eastAsiaTheme="minorEastAsia" w:hAnsiTheme="majorBidi" w:cstheme="majorBidi"/>
          <w:sz w:val="24"/>
          <w:szCs w:val="24"/>
          <w:rtl/>
          <w:lang w:bidi="ar-EG"/>
        </w:rPr>
        <w:t>:</w:t>
      </w:r>
    </w:p>
    <w:p w14:paraId="1D140F50" w14:textId="77777777" w:rsidR="00614190" w:rsidRPr="001C2975" w:rsidRDefault="00614190" w:rsidP="00614190">
      <w:pPr>
        <w:numPr>
          <w:ilvl w:val="0"/>
          <w:numId w:val="12"/>
        </w:numPr>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Egyptian Constitution: Egypt's Constitution recognizes the right to life and prohibits torture and inhuman treatment. Law enforcement officials can use force only when necessary and proportionately</w:t>
      </w:r>
      <w:r w:rsidRPr="001C2975">
        <w:rPr>
          <w:rFonts w:asciiTheme="majorBidi" w:hAnsiTheme="majorBidi" w:cstheme="majorBidi"/>
          <w:sz w:val="24"/>
          <w:szCs w:val="24"/>
          <w:rtl/>
          <w:lang w:bidi="ar-EG"/>
        </w:rPr>
        <w:t>.</w:t>
      </w:r>
    </w:p>
    <w:p w14:paraId="259C3200" w14:textId="77777777" w:rsidR="00614190" w:rsidRPr="001C2975" w:rsidRDefault="00614190" w:rsidP="00614190">
      <w:pPr>
        <w:numPr>
          <w:ilvl w:val="0"/>
          <w:numId w:val="12"/>
        </w:numPr>
        <w:tabs>
          <w:tab w:val="left" w:pos="284"/>
        </w:tabs>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Penal Code: Article 63 of Penal Code No. 58 of 1937 regulates the use of force and firearms by law enforcement officials. The officer who used force and firearms must prove that he committed the act only after confirmation and investigation and on reasonable grounds</w:t>
      </w:r>
      <w:r w:rsidRPr="001C2975">
        <w:rPr>
          <w:rFonts w:asciiTheme="majorBidi" w:hAnsiTheme="majorBidi" w:cstheme="majorBidi"/>
          <w:sz w:val="24"/>
          <w:szCs w:val="24"/>
          <w:vertAlign w:val="superscript"/>
          <w:rtl/>
          <w:lang w:bidi="ar-EG"/>
        </w:rPr>
        <w:footnoteReference w:id="7"/>
      </w:r>
      <w:r w:rsidRPr="001C2975">
        <w:rPr>
          <w:rFonts w:asciiTheme="majorBidi" w:hAnsiTheme="majorBidi" w:cstheme="majorBidi"/>
          <w:sz w:val="24"/>
          <w:szCs w:val="24"/>
          <w:rtl/>
          <w:lang w:bidi="ar-EG"/>
        </w:rPr>
        <w:t>.</w:t>
      </w:r>
    </w:p>
    <w:p w14:paraId="7436FDD8" w14:textId="77777777" w:rsidR="00614190" w:rsidRPr="001C2975" w:rsidRDefault="00614190" w:rsidP="00614190">
      <w:pPr>
        <w:numPr>
          <w:ilvl w:val="0"/>
          <w:numId w:val="12"/>
        </w:numPr>
        <w:spacing w:before="100" w:beforeAutospacing="1" w:after="100" w:afterAutospacing="1" w:line="240" w:lineRule="auto"/>
        <w:ind w:right="-270"/>
        <w:rPr>
          <w:rFonts w:asciiTheme="majorBidi" w:hAnsiTheme="majorBidi" w:cstheme="majorBidi"/>
          <w:sz w:val="24"/>
          <w:szCs w:val="24"/>
          <w:rtl/>
        </w:rPr>
      </w:pPr>
      <w:r w:rsidRPr="001C2975">
        <w:rPr>
          <w:rFonts w:asciiTheme="majorBidi" w:hAnsiTheme="majorBidi" w:cstheme="majorBidi"/>
          <w:sz w:val="24"/>
          <w:szCs w:val="24"/>
        </w:rPr>
        <w:t>Police Authority Act: Article 42, section 10 of the Police Authority Act, promulgated by Act No. 109 of 1971 and amended by Act No. 64 of 2016, prohibits a police officer from using force or firearms in circumstances other than those legally authorized</w:t>
      </w:r>
      <w:r w:rsidRPr="001C2975">
        <w:rPr>
          <w:rFonts w:asciiTheme="majorBidi" w:hAnsiTheme="majorBidi" w:cstheme="majorBidi"/>
          <w:sz w:val="24"/>
          <w:szCs w:val="24"/>
          <w:vertAlign w:val="superscript"/>
          <w:lang w:bidi="ar-EG"/>
        </w:rPr>
        <w:footnoteReference w:id="8"/>
      </w:r>
      <w:r w:rsidRPr="001C2975">
        <w:rPr>
          <w:rFonts w:asciiTheme="majorBidi" w:hAnsiTheme="majorBidi" w:cstheme="majorBidi"/>
          <w:sz w:val="24"/>
          <w:szCs w:val="24"/>
          <w:rtl/>
          <w:lang w:bidi="ar-EG"/>
        </w:rPr>
        <w:t>.</w:t>
      </w:r>
    </w:p>
    <w:p w14:paraId="7CB52B1F" w14:textId="77777777" w:rsidR="00614190" w:rsidRPr="001C2975" w:rsidRDefault="00614190" w:rsidP="00614190">
      <w:pPr>
        <w:numPr>
          <w:ilvl w:val="0"/>
          <w:numId w:val="12"/>
        </w:numPr>
        <w:spacing w:before="100" w:beforeAutospacing="1" w:after="100" w:afterAutospacing="1" w:line="240" w:lineRule="auto"/>
        <w:ind w:right="-270"/>
        <w:jc w:val="lowKashida"/>
        <w:rPr>
          <w:rFonts w:asciiTheme="majorBidi" w:hAnsiTheme="majorBidi" w:cstheme="majorBidi"/>
          <w:sz w:val="24"/>
          <w:szCs w:val="24"/>
        </w:rPr>
      </w:pPr>
      <w:r w:rsidRPr="001C2975">
        <w:rPr>
          <w:rFonts w:asciiTheme="majorBidi" w:hAnsiTheme="majorBidi" w:cstheme="majorBidi"/>
          <w:sz w:val="24"/>
          <w:szCs w:val="24"/>
        </w:rPr>
        <w:t>Minister of Interior Decree No. 156 of 1964 concerning the regulations governing the use of firearms by police forces: This decision set out the rules for the gradual use of force to ensure the preservation of the lives and safety of individuals and public and private property</w:t>
      </w:r>
      <w:r w:rsidRPr="001C2975">
        <w:rPr>
          <w:rFonts w:asciiTheme="majorBidi" w:hAnsiTheme="majorBidi" w:cstheme="majorBidi"/>
          <w:sz w:val="24"/>
          <w:szCs w:val="24"/>
          <w:rtl/>
          <w:lang w:bidi="ar-EG"/>
        </w:rPr>
        <w:t>.</w:t>
      </w:r>
    </w:p>
    <w:p w14:paraId="4D443494" w14:textId="77777777" w:rsidR="00614190" w:rsidRPr="001C2975" w:rsidRDefault="00614190" w:rsidP="00614190">
      <w:pPr>
        <w:numPr>
          <w:ilvl w:val="0"/>
          <w:numId w:val="12"/>
        </w:numPr>
        <w:spacing w:before="100" w:beforeAutospacing="1" w:after="100" w:afterAutospacing="1" w:line="240" w:lineRule="auto"/>
        <w:ind w:right="-270"/>
        <w:jc w:val="lowKashida"/>
        <w:rPr>
          <w:rFonts w:asciiTheme="majorBidi" w:hAnsiTheme="majorBidi" w:cstheme="majorBidi"/>
          <w:sz w:val="24"/>
          <w:szCs w:val="24"/>
        </w:rPr>
      </w:pPr>
      <w:r w:rsidRPr="001C2975">
        <w:rPr>
          <w:rFonts w:asciiTheme="majorBidi" w:hAnsiTheme="majorBidi" w:cstheme="majorBidi"/>
          <w:sz w:val="24"/>
          <w:szCs w:val="24"/>
        </w:rPr>
        <w:t xml:space="preserve">Minister of Interior Decree No. 156 of 1964 concerning the regulations governing the use of firearms by police forces: This decision set out the rules for the gradual use of force to ensure the preservation of the lives and safety of individuals and public and private property. Article 2 of this resolution restricts the use of force only for the performance of the duty of law enforcement forces, and that force is the only means of fulfilling this duty after using all other means, such as advice and the use of sticks or tear gases, and it has been exhausted as appropriate and possible. It should be used to the extent necessary and </w:t>
      </w:r>
      <w:r w:rsidRPr="001C2975">
        <w:rPr>
          <w:rFonts w:asciiTheme="majorBidi" w:hAnsiTheme="majorBidi" w:cstheme="majorBidi"/>
          <w:sz w:val="24"/>
          <w:szCs w:val="24"/>
        </w:rPr>
        <w:lastRenderedPageBreak/>
        <w:t xml:space="preserve">proportionate only to perform it, taking full care that no innocent person is injured, </w:t>
      </w:r>
      <w:proofErr w:type="gramStart"/>
      <w:r w:rsidRPr="001C2975">
        <w:rPr>
          <w:rFonts w:asciiTheme="majorBidi" w:hAnsiTheme="majorBidi" w:cstheme="majorBidi"/>
          <w:sz w:val="24"/>
          <w:szCs w:val="24"/>
        </w:rPr>
        <w:t>It</w:t>
      </w:r>
      <w:proofErr w:type="gramEnd"/>
      <w:r w:rsidRPr="001C2975">
        <w:rPr>
          <w:rFonts w:asciiTheme="majorBidi" w:hAnsiTheme="majorBidi" w:cstheme="majorBidi"/>
          <w:sz w:val="24"/>
          <w:szCs w:val="24"/>
        </w:rPr>
        <w:t xml:space="preserve"> should </w:t>
      </w:r>
      <w:r>
        <w:rPr>
          <w:rFonts w:asciiTheme="majorBidi" w:hAnsiTheme="majorBidi" w:cstheme="majorBidi"/>
          <w:sz w:val="24"/>
          <w:szCs w:val="24"/>
        </w:rPr>
        <w:t>shoot</w:t>
      </w:r>
      <w:r w:rsidRPr="001C2975">
        <w:rPr>
          <w:rFonts w:asciiTheme="majorBidi" w:hAnsiTheme="majorBidi" w:cstheme="majorBidi"/>
          <w:sz w:val="24"/>
          <w:szCs w:val="24"/>
        </w:rPr>
        <w:t xml:space="preserve"> the legs whenever possible</w:t>
      </w:r>
      <w:r w:rsidRPr="001C2975">
        <w:rPr>
          <w:rFonts w:asciiTheme="majorBidi" w:hAnsiTheme="majorBidi" w:cstheme="majorBidi"/>
          <w:sz w:val="24"/>
          <w:szCs w:val="24"/>
          <w:vertAlign w:val="superscript"/>
          <w:lang w:bidi="ar-EG"/>
        </w:rPr>
        <w:footnoteReference w:id="9"/>
      </w:r>
      <w:r w:rsidRPr="001C2975">
        <w:rPr>
          <w:rFonts w:asciiTheme="majorBidi" w:hAnsiTheme="majorBidi" w:cstheme="majorBidi"/>
          <w:sz w:val="24"/>
          <w:szCs w:val="24"/>
        </w:rPr>
        <w:t>.</w:t>
      </w:r>
    </w:p>
    <w:p w14:paraId="4CA1F665" w14:textId="77777777" w:rsidR="00614190" w:rsidRPr="001C2975" w:rsidRDefault="00614190" w:rsidP="00614190">
      <w:pPr>
        <w:numPr>
          <w:ilvl w:val="0"/>
          <w:numId w:val="12"/>
        </w:numPr>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Police Academy training curriculum. The Police Academy provides training to law enforcement officials on the use of force and firearms. The curriculum includes human rights training, the legal framework governing the use of force and firearms, and the procedures that law enforcement officials must follow when using force</w:t>
      </w:r>
      <w:r w:rsidRPr="001C2975">
        <w:rPr>
          <w:rFonts w:asciiTheme="majorBidi" w:hAnsiTheme="majorBidi" w:cstheme="majorBidi"/>
          <w:sz w:val="24"/>
          <w:szCs w:val="24"/>
          <w:rtl/>
          <w:lang w:bidi="ar-EG"/>
        </w:rPr>
        <w:t>.</w:t>
      </w:r>
    </w:p>
    <w:p w14:paraId="7C76585B" w14:textId="77777777" w:rsidR="00614190" w:rsidRDefault="00614190" w:rsidP="00614190">
      <w:pPr>
        <w:numPr>
          <w:ilvl w:val="0"/>
          <w:numId w:val="12"/>
        </w:numPr>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Human rights sector in the Ministry of the Interior: The Ministry of the Interior has a human rights sector that investigates allegations of excessive use of force and firearms by law enforcement officials. It is responsible for ensuring that law enforcement officials comply with the legal framework governing the use of force and firearms</w:t>
      </w:r>
      <w:r w:rsidRPr="001C2975">
        <w:rPr>
          <w:rFonts w:asciiTheme="majorBidi" w:hAnsiTheme="majorBidi" w:cstheme="majorBidi"/>
          <w:sz w:val="24"/>
          <w:szCs w:val="24"/>
          <w:rtl/>
          <w:lang w:bidi="ar-EG"/>
        </w:rPr>
        <w:t>.</w:t>
      </w:r>
    </w:p>
    <w:p w14:paraId="632888D4" w14:textId="77777777" w:rsidR="00614190" w:rsidRPr="00F34649" w:rsidRDefault="00614190" w:rsidP="00614190">
      <w:pPr>
        <w:spacing w:before="100" w:beforeAutospacing="1" w:after="100" w:afterAutospacing="1" w:line="240" w:lineRule="auto"/>
        <w:ind w:left="-90" w:right="-270"/>
        <w:rPr>
          <w:rFonts w:asciiTheme="majorBidi" w:hAnsiTheme="majorBidi" w:cstheme="majorBidi"/>
          <w:sz w:val="24"/>
          <w:szCs w:val="24"/>
        </w:rPr>
      </w:pPr>
      <w:r w:rsidRPr="00F34649">
        <w:rPr>
          <w:rFonts w:asciiTheme="majorBidi" w:hAnsiTheme="majorBidi" w:cstheme="majorBidi"/>
          <w:sz w:val="24"/>
          <w:szCs w:val="24"/>
        </w:rPr>
        <w:t>The Arab Republic of Egypt has a comprehensive legal framework governing the use of force and</w:t>
      </w:r>
      <w:r>
        <w:rPr>
          <w:rFonts w:asciiTheme="majorBidi" w:hAnsiTheme="majorBidi" w:cstheme="majorBidi"/>
          <w:sz w:val="24"/>
          <w:szCs w:val="24"/>
        </w:rPr>
        <w:t xml:space="preserve"> </w:t>
      </w:r>
      <w:r w:rsidRPr="00F34649">
        <w:rPr>
          <w:rFonts w:asciiTheme="majorBidi" w:hAnsiTheme="majorBidi" w:cstheme="majorBidi"/>
          <w:sz w:val="24"/>
          <w:szCs w:val="24"/>
        </w:rPr>
        <w:t xml:space="preserve">firearms by law enforcement officials. These laws, policies, guidelines, and procedures are </w:t>
      </w:r>
      <w:r>
        <w:rPr>
          <w:rFonts w:asciiTheme="majorBidi" w:hAnsiTheme="majorBidi" w:cstheme="majorBidi"/>
          <w:sz w:val="24"/>
          <w:szCs w:val="24"/>
        </w:rPr>
        <w:t>designed to</w:t>
      </w:r>
      <w:r w:rsidRPr="00F34649">
        <w:rPr>
          <w:rFonts w:asciiTheme="majorBidi" w:hAnsiTheme="majorBidi" w:cstheme="majorBidi"/>
          <w:sz w:val="24"/>
          <w:szCs w:val="24"/>
        </w:rPr>
        <w:t xml:space="preserve"> ensure that law enforcement officials use force and firearms only when necessary and, in a manner, commensurate with the situation while protecting individuals' safety and security.</w:t>
      </w:r>
    </w:p>
    <w:p w14:paraId="25160AE7" w14:textId="77777777" w:rsidR="00614190" w:rsidRPr="001C2975" w:rsidRDefault="00614190" w:rsidP="00614190">
      <w:pPr>
        <w:spacing w:before="100" w:beforeAutospacing="1" w:after="100" w:afterAutospacing="1" w:line="240" w:lineRule="auto"/>
        <w:ind w:left="-450" w:right="-270" w:firstLine="360"/>
        <w:jc w:val="lowKashida"/>
        <w:rPr>
          <w:rFonts w:asciiTheme="majorBidi" w:eastAsiaTheme="minorEastAsia" w:hAnsiTheme="majorBidi" w:cstheme="majorBidi"/>
          <w:sz w:val="24"/>
          <w:szCs w:val="24"/>
          <w:lang w:bidi="ar-EG"/>
        </w:rPr>
      </w:pPr>
      <w:r w:rsidRPr="001C2975">
        <w:rPr>
          <w:rFonts w:asciiTheme="majorBidi" w:eastAsiaTheme="minorEastAsia" w:hAnsiTheme="majorBidi" w:cstheme="majorBidi"/>
          <w:sz w:val="24"/>
          <w:szCs w:val="24"/>
          <w:lang w:bidi="ar-EG"/>
        </w:rPr>
        <w:t>Moreover, over the past years, the Egyptian authorities have been interested in investigating allegations of torture, ill-treatment, and excessive use of force by law enforcement officials, holding those involved accountable for their actions, imposing disciplinary sanctions, and bringing them to justice. In recent times, the Egyptian authorities have taken serious steps to curb and prosecute torture. The competent authorities have initiated accountability for any form of individual practice involving a form of torture and other cruel treatment and have not supported any breach of the law's provisions. Between November 10, 2019, and September 15, 2021, the competent authorities of the Ministry of Interior imposed disciplinary sanctions, such as a minimum transfer or non-promotion of 139 officers. The competent judicial authorities, notably the Public Prosecutor's Office, have also initiated investigations into allegations of torture and ill-treatment committed by police officers and brought the perpetrators to justice. According to the latest statistics for 2022, the investigation into accusations of torture and other ill-treatment by police officers was opened in 786 incidents.</w:t>
      </w:r>
    </w:p>
    <w:p w14:paraId="59AD0A3F" w14:textId="77777777" w:rsidR="00614190" w:rsidRPr="001C2975" w:rsidRDefault="00614190" w:rsidP="00614190">
      <w:pPr>
        <w:numPr>
          <w:ilvl w:val="0"/>
          <w:numId w:val="13"/>
        </w:numPr>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In June 2022, the Cairo Criminal Court ruled to punish the former chief of investigations at the Helwan Police Department and another officer with aggravated imprisonment for seven years in Case No. 2153 of 2019 in Helwan. Investigations proved that they were involved in beating a citizen and using cruelty to him during his detention inside the Helwan Police Department in June 2019, which led to his immediate killing</w:t>
      </w:r>
      <w:r w:rsidRPr="001C2975">
        <w:rPr>
          <w:rFonts w:asciiTheme="majorBidi" w:hAnsiTheme="majorBidi" w:cstheme="majorBidi"/>
          <w:sz w:val="24"/>
          <w:szCs w:val="24"/>
          <w:rtl/>
        </w:rPr>
        <w:footnoteReference w:id="10"/>
      </w:r>
      <w:r w:rsidRPr="001C2975">
        <w:rPr>
          <w:rFonts w:asciiTheme="majorBidi" w:hAnsiTheme="majorBidi" w:cstheme="majorBidi"/>
          <w:sz w:val="24"/>
          <w:szCs w:val="24"/>
          <w:rtl/>
          <w:lang w:bidi="ar-EG"/>
        </w:rPr>
        <w:t>.</w:t>
      </w:r>
    </w:p>
    <w:p w14:paraId="5E6EF3EB" w14:textId="77777777" w:rsidR="00614190" w:rsidRPr="001C2975" w:rsidRDefault="00614190" w:rsidP="00614190">
      <w:pPr>
        <w:numPr>
          <w:ilvl w:val="0"/>
          <w:numId w:val="13"/>
        </w:numPr>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 xml:space="preserve">In August 2021, the Public Prosecution issued a statement detaining a police officer working in the </w:t>
      </w:r>
      <w:proofErr w:type="spellStart"/>
      <w:r w:rsidRPr="001C2975">
        <w:rPr>
          <w:rFonts w:asciiTheme="majorBidi" w:hAnsiTheme="majorBidi" w:cstheme="majorBidi"/>
          <w:sz w:val="24"/>
          <w:szCs w:val="24"/>
        </w:rPr>
        <w:t>Montazah</w:t>
      </w:r>
      <w:proofErr w:type="spellEnd"/>
      <w:r w:rsidRPr="001C2975">
        <w:rPr>
          <w:rFonts w:asciiTheme="majorBidi" w:hAnsiTheme="majorBidi" w:cstheme="majorBidi"/>
          <w:sz w:val="24"/>
          <w:szCs w:val="24"/>
        </w:rPr>
        <w:t xml:space="preserve"> First Division in Alexandria Governorate for fifteen days as a precautionary measure pending investigation. After he assaulted a lawyer while performing his work in the department office, the latter suffered brain and head injuries, and the </w:t>
      </w:r>
      <w:proofErr w:type="spellStart"/>
      <w:r w:rsidRPr="001C2975">
        <w:rPr>
          <w:rFonts w:asciiTheme="majorBidi" w:hAnsiTheme="majorBidi" w:cstheme="majorBidi"/>
          <w:sz w:val="24"/>
          <w:szCs w:val="24"/>
        </w:rPr>
        <w:t>Montazah</w:t>
      </w:r>
      <w:proofErr w:type="spellEnd"/>
      <w:r w:rsidRPr="001C2975">
        <w:rPr>
          <w:rFonts w:asciiTheme="majorBidi" w:hAnsiTheme="majorBidi" w:cstheme="majorBidi"/>
          <w:sz w:val="24"/>
          <w:szCs w:val="24"/>
        </w:rPr>
        <w:t xml:space="preserve"> First Misdemeanor Court renewed the officer’s imprisonment twice</w:t>
      </w:r>
      <w:r w:rsidRPr="001C2975">
        <w:rPr>
          <w:rFonts w:asciiTheme="majorBidi" w:hAnsiTheme="majorBidi" w:cstheme="majorBidi"/>
          <w:sz w:val="24"/>
          <w:szCs w:val="24"/>
          <w:vertAlign w:val="superscript"/>
          <w:rtl/>
        </w:rPr>
        <w:footnoteReference w:id="11"/>
      </w:r>
      <w:r w:rsidRPr="001C2975">
        <w:rPr>
          <w:rFonts w:asciiTheme="majorBidi" w:hAnsiTheme="majorBidi" w:cstheme="majorBidi"/>
          <w:sz w:val="24"/>
          <w:szCs w:val="24"/>
          <w:rtl/>
          <w:lang w:bidi="ar-EG"/>
        </w:rPr>
        <w:t>.</w:t>
      </w:r>
    </w:p>
    <w:p w14:paraId="619060D3" w14:textId="77777777" w:rsidR="00614190" w:rsidRPr="001C2975" w:rsidRDefault="00614190" w:rsidP="00614190">
      <w:pPr>
        <w:numPr>
          <w:ilvl w:val="0"/>
          <w:numId w:val="13"/>
        </w:numPr>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In December 2020, the Cairo Criminal Court sentenced nine police officers to 3 years in prison in Case No. 3028 of 2016. After investigations proved their involvement in torturing a fish seller named “M.M.” inside the Al-</w:t>
      </w:r>
      <w:proofErr w:type="spellStart"/>
      <w:r w:rsidRPr="001C2975">
        <w:rPr>
          <w:rFonts w:asciiTheme="majorBidi" w:hAnsiTheme="majorBidi" w:cstheme="majorBidi"/>
          <w:sz w:val="24"/>
          <w:szCs w:val="24"/>
        </w:rPr>
        <w:t>Amiriyah</w:t>
      </w:r>
      <w:proofErr w:type="spellEnd"/>
      <w:r w:rsidRPr="001C2975">
        <w:rPr>
          <w:rFonts w:asciiTheme="majorBidi" w:hAnsiTheme="majorBidi" w:cstheme="majorBidi"/>
          <w:sz w:val="24"/>
          <w:szCs w:val="24"/>
        </w:rPr>
        <w:t xml:space="preserve"> Police Department, which led to his death</w:t>
      </w:r>
      <w:r w:rsidRPr="001C2975">
        <w:rPr>
          <w:rFonts w:asciiTheme="majorBidi" w:hAnsiTheme="majorBidi" w:cstheme="majorBidi"/>
          <w:sz w:val="24"/>
          <w:szCs w:val="24"/>
          <w:rtl/>
          <w:lang w:bidi="ar-EG"/>
        </w:rPr>
        <w:t>.</w:t>
      </w:r>
    </w:p>
    <w:p w14:paraId="7ADF726A" w14:textId="77777777" w:rsidR="00614190" w:rsidRPr="001C2975" w:rsidRDefault="00614190" w:rsidP="00614190">
      <w:pPr>
        <w:numPr>
          <w:ilvl w:val="0"/>
          <w:numId w:val="13"/>
        </w:numPr>
        <w:spacing w:before="100" w:beforeAutospacing="1" w:after="100" w:afterAutospacing="1" w:line="240" w:lineRule="auto"/>
        <w:ind w:right="-270"/>
        <w:rPr>
          <w:rFonts w:asciiTheme="majorBidi" w:hAnsiTheme="majorBidi" w:cstheme="majorBidi"/>
          <w:sz w:val="24"/>
          <w:szCs w:val="24"/>
        </w:rPr>
      </w:pPr>
      <w:r w:rsidRPr="001C2975">
        <w:rPr>
          <w:rFonts w:asciiTheme="majorBidi" w:hAnsiTheme="majorBidi" w:cstheme="majorBidi"/>
          <w:sz w:val="24"/>
          <w:szCs w:val="24"/>
        </w:rPr>
        <w:t xml:space="preserve">In December 2019, the Cairo Criminal Court issued a ruling in Case No. 4126 of 2016, punishing an officer and eight police officers with three years in prison based on accusing them of intentionally </w:t>
      </w:r>
      <w:r w:rsidRPr="001C2975">
        <w:rPr>
          <w:rFonts w:asciiTheme="majorBidi" w:hAnsiTheme="majorBidi" w:cstheme="majorBidi"/>
          <w:sz w:val="24"/>
          <w:szCs w:val="24"/>
        </w:rPr>
        <w:lastRenderedPageBreak/>
        <w:t>beating the victim, “H.F,” until he died, among the accusations leveled against the officer was also the use of cruelty against the victim, his wife, and his son, to exploit his position</w:t>
      </w:r>
      <w:r w:rsidRPr="001C2975">
        <w:rPr>
          <w:rFonts w:asciiTheme="majorBidi" w:hAnsiTheme="majorBidi" w:cstheme="majorBidi"/>
          <w:sz w:val="24"/>
          <w:szCs w:val="24"/>
          <w:vertAlign w:val="superscript"/>
          <w:rtl/>
          <w:lang w:bidi="ar-EG"/>
        </w:rPr>
        <w:footnoteReference w:id="12"/>
      </w:r>
      <w:r w:rsidRPr="001C2975">
        <w:rPr>
          <w:rFonts w:asciiTheme="majorBidi" w:hAnsiTheme="majorBidi" w:cstheme="majorBidi"/>
          <w:sz w:val="24"/>
          <w:szCs w:val="24"/>
          <w:rtl/>
          <w:lang w:bidi="ar-EG"/>
        </w:rPr>
        <w:t>.</w:t>
      </w:r>
    </w:p>
    <w:p w14:paraId="69353EB2" w14:textId="77777777" w:rsidR="00614190" w:rsidRPr="001C2975" w:rsidRDefault="00614190" w:rsidP="00614190">
      <w:pPr>
        <w:spacing w:before="100" w:beforeAutospacing="1" w:after="100" w:afterAutospacing="1" w:line="240" w:lineRule="auto"/>
        <w:ind w:left="-450" w:right="-270"/>
        <w:jc w:val="lowKashida"/>
        <w:rPr>
          <w:rFonts w:asciiTheme="majorBidi" w:eastAsiaTheme="minorEastAsia" w:hAnsiTheme="majorBidi" w:cstheme="majorBidi"/>
          <w:sz w:val="24"/>
          <w:szCs w:val="24"/>
          <w:rtl/>
          <w:lang w:bidi="ar-EG"/>
        </w:rPr>
      </w:pPr>
      <w:r w:rsidRPr="001C2975">
        <w:rPr>
          <w:rFonts w:asciiTheme="majorBidi" w:eastAsiaTheme="minorEastAsia" w:hAnsiTheme="majorBidi" w:cstheme="majorBidi"/>
          <w:sz w:val="24"/>
          <w:szCs w:val="24"/>
          <w:lang w:bidi="ar-EG"/>
        </w:rPr>
        <w:t xml:space="preserve">However, the Egyptian government </w:t>
      </w:r>
      <w:r>
        <w:rPr>
          <w:rFonts w:asciiTheme="majorBidi" w:eastAsiaTheme="minorEastAsia" w:hAnsiTheme="majorBidi" w:cstheme="majorBidi"/>
          <w:sz w:val="24"/>
          <w:szCs w:val="24"/>
          <w:lang w:bidi="ar-EG"/>
        </w:rPr>
        <w:t>should make</w:t>
      </w:r>
      <w:r w:rsidRPr="001C2975">
        <w:rPr>
          <w:rFonts w:asciiTheme="majorBidi" w:eastAsiaTheme="minorEastAsia" w:hAnsiTheme="majorBidi" w:cstheme="majorBidi"/>
          <w:sz w:val="24"/>
          <w:szCs w:val="24"/>
          <w:lang w:bidi="ar-EG"/>
        </w:rPr>
        <w:t xml:space="preserve"> further efforts to educate and train law enforcement officials on the basic principles of the use of force and firearms, human rights standards, and the prevention of torture to reduce all individual practices involving the use of excessive force, torture</w:t>
      </w:r>
      <w:r>
        <w:rPr>
          <w:rFonts w:asciiTheme="majorBidi" w:eastAsiaTheme="minorEastAsia" w:hAnsiTheme="majorBidi" w:cstheme="majorBidi"/>
          <w:sz w:val="24"/>
          <w:szCs w:val="24"/>
          <w:lang w:bidi="ar-EG"/>
        </w:rPr>
        <w:t>,</w:t>
      </w:r>
      <w:r w:rsidRPr="001C2975">
        <w:rPr>
          <w:rFonts w:asciiTheme="majorBidi" w:eastAsiaTheme="minorEastAsia" w:hAnsiTheme="majorBidi" w:cstheme="majorBidi"/>
          <w:sz w:val="24"/>
          <w:szCs w:val="24"/>
          <w:lang w:bidi="ar-EG"/>
        </w:rPr>
        <w:t xml:space="preserve"> and ill-treatment against individuals.</w:t>
      </w:r>
    </w:p>
    <w:p w14:paraId="3AB32BF9" w14:textId="77777777" w:rsidR="00614190" w:rsidRPr="001C2975" w:rsidRDefault="00614190" w:rsidP="00614190">
      <w:pPr>
        <w:shd w:val="clear" w:color="auto" w:fill="00B0F0"/>
        <w:tabs>
          <w:tab w:val="left" w:pos="5572"/>
        </w:tabs>
        <w:spacing w:before="100" w:beforeAutospacing="1" w:after="100" w:afterAutospacing="1" w:line="240" w:lineRule="auto"/>
        <w:ind w:left="-450"/>
        <w:jc w:val="lowKashida"/>
        <w:rPr>
          <w:rFonts w:asciiTheme="majorBidi" w:eastAsiaTheme="minorEastAsia" w:hAnsiTheme="majorBidi" w:cstheme="majorBidi"/>
          <w:b/>
          <w:bCs/>
          <w:sz w:val="24"/>
          <w:szCs w:val="24"/>
          <w:rtl/>
          <w:lang w:bidi="ar-EG"/>
        </w:rPr>
      </w:pPr>
      <w:r w:rsidRPr="001C2975">
        <w:rPr>
          <w:rFonts w:asciiTheme="majorBidi" w:eastAsiaTheme="minorEastAsia" w:hAnsiTheme="majorBidi" w:cstheme="majorBidi"/>
          <w:b/>
          <w:bCs/>
          <w:sz w:val="24"/>
          <w:szCs w:val="24"/>
          <w:lang w:bidi="ar-EG"/>
        </w:rPr>
        <w:t>Recommendations</w:t>
      </w:r>
      <w:r w:rsidRPr="001C2975">
        <w:rPr>
          <w:rFonts w:asciiTheme="majorBidi" w:eastAsiaTheme="minorEastAsia" w:hAnsiTheme="majorBidi" w:cstheme="majorBidi"/>
          <w:b/>
          <w:bCs/>
          <w:sz w:val="24"/>
          <w:szCs w:val="24"/>
          <w:rtl/>
          <w:lang w:bidi="ar-EG"/>
        </w:rPr>
        <w:t>:</w:t>
      </w:r>
    </w:p>
    <w:p w14:paraId="06AACC39" w14:textId="77777777" w:rsidR="00614190" w:rsidRPr="001C2975" w:rsidRDefault="00614190" w:rsidP="00614190">
      <w:pPr>
        <w:spacing w:before="100" w:beforeAutospacing="1" w:after="100" w:afterAutospacing="1" w:line="240" w:lineRule="auto"/>
        <w:rPr>
          <w:rFonts w:asciiTheme="majorBidi" w:eastAsia="Times New Roman" w:hAnsiTheme="majorBidi" w:cstheme="majorBidi"/>
          <w:color w:val="0E101A"/>
          <w:sz w:val="24"/>
          <w:szCs w:val="24"/>
        </w:rPr>
      </w:pPr>
      <w:r w:rsidRPr="001C2975">
        <w:rPr>
          <w:rFonts w:asciiTheme="majorBidi" w:eastAsia="Times New Roman" w:hAnsiTheme="majorBidi" w:cstheme="majorBidi"/>
          <w:color w:val="0E101A"/>
          <w:sz w:val="24"/>
          <w:szCs w:val="24"/>
        </w:rPr>
        <w:t>Based on the above, Partners for Transparency has made the following recommendations to the Egyptian Government.</w:t>
      </w:r>
    </w:p>
    <w:p w14:paraId="6169553C" w14:textId="77777777" w:rsidR="00614190" w:rsidRPr="001C2975" w:rsidRDefault="00614190" w:rsidP="00614190">
      <w:pPr>
        <w:numPr>
          <w:ilvl w:val="0"/>
          <w:numId w:val="11"/>
        </w:numPr>
        <w:spacing w:before="100" w:beforeAutospacing="1" w:after="100" w:afterAutospacing="1" w:line="240" w:lineRule="auto"/>
        <w:rPr>
          <w:rFonts w:asciiTheme="majorBidi" w:eastAsia="Times New Roman" w:hAnsiTheme="majorBidi" w:cstheme="majorBidi"/>
          <w:color w:val="0E101A"/>
          <w:sz w:val="24"/>
          <w:szCs w:val="24"/>
        </w:rPr>
      </w:pPr>
      <w:r w:rsidRPr="001C2975">
        <w:rPr>
          <w:rFonts w:asciiTheme="majorBidi" w:eastAsia="Times New Roman" w:hAnsiTheme="majorBidi" w:cstheme="majorBidi"/>
          <w:color w:val="0E101A"/>
          <w:sz w:val="24"/>
          <w:szCs w:val="24"/>
        </w:rPr>
        <w:t>Creat</w:t>
      </w:r>
      <w:r>
        <w:rPr>
          <w:rFonts w:asciiTheme="majorBidi" w:eastAsia="Times New Roman" w:hAnsiTheme="majorBidi" w:cstheme="majorBidi"/>
          <w:color w:val="0E101A"/>
          <w:sz w:val="24"/>
          <w:szCs w:val="24"/>
        </w:rPr>
        <w:t>ing</w:t>
      </w:r>
      <w:r w:rsidRPr="001C2975">
        <w:rPr>
          <w:rFonts w:asciiTheme="majorBidi" w:eastAsia="Times New Roman" w:hAnsiTheme="majorBidi" w:cstheme="majorBidi"/>
          <w:color w:val="0E101A"/>
          <w:sz w:val="24"/>
          <w:szCs w:val="24"/>
        </w:rPr>
        <w:t xml:space="preserve"> a clear and precise definition of torture, considering all aspects of Article 1 of the Convention, and </w:t>
      </w:r>
      <w:r>
        <w:rPr>
          <w:rFonts w:asciiTheme="majorBidi" w:eastAsia="Times New Roman" w:hAnsiTheme="majorBidi" w:cstheme="majorBidi"/>
          <w:color w:val="0E101A"/>
          <w:sz w:val="24"/>
          <w:szCs w:val="24"/>
        </w:rPr>
        <w:t>imposing</w:t>
      </w:r>
      <w:r w:rsidRPr="001C2975">
        <w:rPr>
          <w:rFonts w:asciiTheme="majorBidi" w:eastAsia="Times New Roman" w:hAnsiTheme="majorBidi" w:cstheme="majorBidi"/>
          <w:color w:val="0E101A"/>
          <w:sz w:val="24"/>
          <w:szCs w:val="24"/>
        </w:rPr>
        <w:t xml:space="preserve"> appropriate penalties for those </w:t>
      </w:r>
      <w:proofErr w:type="gramStart"/>
      <w:r w:rsidRPr="001C2975">
        <w:rPr>
          <w:rFonts w:asciiTheme="majorBidi" w:eastAsia="Times New Roman" w:hAnsiTheme="majorBidi" w:cstheme="majorBidi"/>
          <w:color w:val="0E101A"/>
          <w:sz w:val="24"/>
          <w:szCs w:val="24"/>
        </w:rPr>
        <w:t>accountable</w:t>
      </w:r>
      <w:r>
        <w:rPr>
          <w:rFonts w:asciiTheme="majorBidi" w:eastAsia="Times New Roman" w:hAnsiTheme="majorBidi" w:cstheme="majorBidi"/>
          <w:color w:val="0E101A"/>
          <w:sz w:val="24"/>
          <w:szCs w:val="24"/>
        </w:rPr>
        <w:t>;</w:t>
      </w:r>
      <w:proofErr w:type="gramEnd"/>
    </w:p>
    <w:p w14:paraId="20F7D749" w14:textId="77777777" w:rsidR="00614190" w:rsidRPr="001C2975" w:rsidRDefault="00614190" w:rsidP="00614190">
      <w:pPr>
        <w:numPr>
          <w:ilvl w:val="0"/>
          <w:numId w:val="11"/>
        </w:numPr>
        <w:spacing w:before="100" w:beforeAutospacing="1" w:after="100" w:afterAutospacing="1" w:line="240" w:lineRule="auto"/>
        <w:rPr>
          <w:rFonts w:asciiTheme="majorBidi" w:eastAsia="Times New Roman" w:hAnsiTheme="majorBidi" w:cstheme="majorBidi"/>
          <w:color w:val="0E101A"/>
          <w:sz w:val="24"/>
          <w:szCs w:val="24"/>
        </w:rPr>
      </w:pPr>
      <w:r w:rsidRPr="001C2975">
        <w:rPr>
          <w:rFonts w:asciiTheme="majorBidi" w:eastAsia="Times New Roman" w:hAnsiTheme="majorBidi" w:cstheme="majorBidi"/>
          <w:color w:val="0E101A"/>
          <w:sz w:val="24"/>
          <w:szCs w:val="24"/>
        </w:rPr>
        <w:t>Amend</w:t>
      </w:r>
      <w:r>
        <w:rPr>
          <w:rFonts w:asciiTheme="majorBidi" w:eastAsia="Times New Roman" w:hAnsiTheme="majorBidi" w:cstheme="majorBidi"/>
          <w:color w:val="0E101A"/>
          <w:sz w:val="24"/>
          <w:szCs w:val="24"/>
        </w:rPr>
        <w:t>ing</w:t>
      </w:r>
      <w:r w:rsidRPr="001C2975">
        <w:rPr>
          <w:rFonts w:asciiTheme="majorBidi" w:eastAsia="Times New Roman" w:hAnsiTheme="majorBidi" w:cstheme="majorBidi"/>
          <w:color w:val="0E101A"/>
          <w:sz w:val="24"/>
          <w:szCs w:val="24"/>
        </w:rPr>
        <w:t xml:space="preserve"> or eliminat</w:t>
      </w:r>
      <w:r>
        <w:rPr>
          <w:rFonts w:asciiTheme="majorBidi" w:eastAsia="Times New Roman" w:hAnsiTheme="majorBidi" w:cstheme="majorBidi"/>
          <w:color w:val="0E101A"/>
          <w:sz w:val="24"/>
          <w:szCs w:val="24"/>
        </w:rPr>
        <w:t>ing</w:t>
      </w:r>
      <w:r w:rsidRPr="001C2975">
        <w:rPr>
          <w:rFonts w:asciiTheme="majorBidi" w:eastAsia="Times New Roman" w:hAnsiTheme="majorBidi" w:cstheme="majorBidi"/>
          <w:color w:val="0E101A"/>
          <w:sz w:val="24"/>
          <w:szCs w:val="24"/>
        </w:rPr>
        <w:t xml:space="preserve"> legal provisions and gaps that enable law enforcement officials to escape punishment or obtain penalties that are disproportionate to the offense committed, in particular, article 126 of the Penal Code, which limits the crime of torture to acts committed by law enforcement officials to extract confessions from the </w:t>
      </w:r>
      <w:proofErr w:type="gramStart"/>
      <w:r w:rsidRPr="001C2975">
        <w:rPr>
          <w:rFonts w:asciiTheme="majorBidi" w:eastAsia="Times New Roman" w:hAnsiTheme="majorBidi" w:cstheme="majorBidi"/>
          <w:color w:val="0E101A"/>
          <w:sz w:val="24"/>
          <w:szCs w:val="24"/>
        </w:rPr>
        <w:t>accused</w:t>
      </w:r>
      <w:r>
        <w:rPr>
          <w:rFonts w:asciiTheme="majorBidi" w:eastAsia="Times New Roman" w:hAnsiTheme="majorBidi" w:cstheme="majorBidi"/>
          <w:color w:val="0E101A"/>
          <w:sz w:val="24"/>
          <w:szCs w:val="24"/>
        </w:rPr>
        <w:t>;</w:t>
      </w:r>
      <w:proofErr w:type="gramEnd"/>
    </w:p>
    <w:p w14:paraId="5F0AC1FE" w14:textId="77777777" w:rsidR="00614190" w:rsidRPr="001C2975" w:rsidRDefault="00614190" w:rsidP="00614190">
      <w:pPr>
        <w:numPr>
          <w:ilvl w:val="0"/>
          <w:numId w:val="11"/>
        </w:numPr>
        <w:spacing w:before="100" w:beforeAutospacing="1" w:after="100" w:afterAutospacing="1" w:line="240" w:lineRule="auto"/>
        <w:rPr>
          <w:rFonts w:asciiTheme="majorBidi" w:eastAsia="Times New Roman" w:hAnsiTheme="majorBidi" w:cstheme="majorBidi"/>
          <w:color w:val="0E101A"/>
          <w:sz w:val="24"/>
          <w:szCs w:val="24"/>
        </w:rPr>
      </w:pPr>
      <w:r w:rsidRPr="001C2975">
        <w:rPr>
          <w:rFonts w:asciiTheme="majorBidi" w:eastAsia="Times New Roman" w:hAnsiTheme="majorBidi" w:cstheme="majorBidi"/>
          <w:color w:val="0E101A"/>
          <w:sz w:val="24"/>
          <w:szCs w:val="24"/>
        </w:rPr>
        <w:t>Creat</w:t>
      </w:r>
      <w:r>
        <w:rPr>
          <w:rFonts w:asciiTheme="majorBidi" w:eastAsia="Times New Roman" w:hAnsiTheme="majorBidi" w:cstheme="majorBidi"/>
          <w:color w:val="0E101A"/>
          <w:sz w:val="24"/>
          <w:szCs w:val="24"/>
        </w:rPr>
        <w:t>ing</w:t>
      </w:r>
      <w:r w:rsidRPr="001C2975">
        <w:rPr>
          <w:rFonts w:asciiTheme="majorBidi" w:eastAsia="Times New Roman" w:hAnsiTheme="majorBidi" w:cstheme="majorBidi"/>
          <w:color w:val="0E101A"/>
          <w:sz w:val="24"/>
          <w:szCs w:val="24"/>
        </w:rPr>
        <w:t xml:space="preserve"> an independent mechanism within the Public Prosecutor's Office to monitor prisons and investigate allegations of torture and </w:t>
      </w:r>
      <w:proofErr w:type="gramStart"/>
      <w:r w:rsidRPr="001C2975">
        <w:rPr>
          <w:rFonts w:asciiTheme="majorBidi" w:eastAsia="Times New Roman" w:hAnsiTheme="majorBidi" w:cstheme="majorBidi"/>
          <w:color w:val="0E101A"/>
          <w:sz w:val="24"/>
          <w:szCs w:val="24"/>
        </w:rPr>
        <w:t>ill-treatment</w:t>
      </w:r>
      <w:r>
        <w:rPr>
          <w:rFonts w:asciiTheme="majorBidi" w:eastAsia="Times New Roman" w:hAnsiTheme="majorBidi" w:cstheme="majorBidi"/>
          <w:color w:val="0E101A"/>
          <w:sz w:val="24"/>
          <w:szCs w:val="24"/>
        </w:rPr>
        <w:t>;</w:t>
      </w:r>
      <w:proofErr w:type="gramEnd"/>
    </w:p>
    <w:p w14:paraId="3AC10923" w14:textId="77777777" w:rsidR="00614190" w:rsidRPr="001C2975" w:rsidRDefault="00614190" w:rsidP="00614190">
      <w:pPr>
        <w:numPr>
          <w:ilvl w:val="0"/>
          <w:numId w:val="11"/>
        </w:numPr>
        <w:spacing w:before="100" w:beforeAutospacing="1" w:after="100" w:afterAutospacing="1" w:line="240" w:lineRule="auto"/>
        <w:rPr>
          <w:rFonts w:asciiTheme="majorBidi" w:eastAsia="Times New Roman" w:hAnsiTheme="majorBidi" w:cstheme="majorBidi"/>
          <w:color w:val="0E101A"/>
          <w:sz w:val="24"/>
          <w:szCs w:val="24"/>
        </w:rPr>
      </w:pPr>
      <w:r w:rsidRPr="001C2975">
        <w:rPr>
          <w:rFonts w:asciiTheme="majorBidi" w:eastAsia="Times New Roman" w:hAnsiTheme="majorBidi" w:cstheme="majorBidi"/>
          <w:color w:val="0E101A"/>
          <w:sz w:val="24"/>
          <w:szCs w:val="24"/>
        </w:rPr>
        <w:t>Expand</w:t>
      </w:r>
      <w:r>
        <w:rPr>
          <w:rFonts w:asciiTheme="majorBidi" w:eastAsia="Times New Roman" w:hAnsiTheme="majorBidi" w:cstheme="majorBidi"/>
          <w:color w:val="0E101A"/>
          <w:sz w:val="24"/>
          <w:szCs w:val="24"/>
        </w:rPr>
        <w:t>ing</w:t>
      </w:r>
      <w:r w:rsidRPr="001C2975">
        <w:rPr>
          <w:rFonts w:asciiTheme="majorBidi" w:eastAsia="Times New Roman" w:hAnsiTheme="majorBidi" w:cstheme="majorBidi"/>
          <w:color w:val="0E101A"/>
          <w:sz w:val="24"/>
          <w:szCs w:val="24"/>
        </w:rPr>
        <w:t xml:space="preserve"> the implementation of human rights training for law enforcement officials, including non-coercive interrogation techniques and the absolute prohibition of </w:t>
      </w:r>
      <w:proofErr w:type="gramStart"/>
      <w:r w:rsidRPr="001C2975">
        <w:rPr>
          <w:rFonts w:asciiTheme="majorBidi" w:eastAsia="Times New Roman" w:hAnsiTheme="majorBidi" w:cstheme="majorBidi"/>
          <w:color w:val="0E101A"/>
          <w:sz w:val="24"/>
          <w:szCs w:val="24"/>
        </w:rPr>
        <w:t>torture</w:t>
      </w:r>
      <w:r>
        <w:rPr>
          <w:rFonts w:asciiTheme="majorBidi" w:eastAsia="Times New Roman" w:hAnsiTheme="majorBidi" w:cstheme="majorBidi"/>
          <w:color w:val="0E101A"/>
          <w:sz w:val="24"/>
          <w:szCs w:val="24"/>
        </w:rPr>
        <w:t>;</w:t>
      </w:r>
      <w:proofErr w:type="gramEnd"/>
    </w:p>
    <w:p w14:paraId="1A8851B8" w14:textId="77777777" w:rsidR="00614190" w:rsidRPr="001C2975" w:rsidRDefault="00614190" w:rsidP="00614190">
      <w:pPr>
        <w:numPr>
          <w:ilvl w:val="0"/>
          <w:numId w:val="11"/>
        </w:numPr>
        <w:spacing w:before="100" w:beforeAutospacing="1" w:after="100" w:afterAutospacing="1" w:line="240" w:lineRule="auto"/>
        <w:rPr>
          <w:rFonts w:asciiTheme="majorBidi" w:eastAsia="Times New Roman" w:hAnsiTheme="majorBidi" w:cstheme="majorBidi"/>
          <w:color w:val="0E101A"/>
          <w:sz w:val="24"/>
          <w:szCs w:val="24"/>
        </w:rPr>
      </w:pPr>
      <w:r w:rsidRPr="001C2975">
        <w:rPr>
          <w:rFonts w:asciiTheme="majorBidi" w:eastAsia="Times New Roman" w:hAnsiTheme="majorBidi" w:cstheme="majorBidi"/>
          <w:color w:val="0E101A"/>
          <w:sz w:val="24"/>
          <w:szCs w:val="24"/>
        </w:rPr>
        <w:t>Develop</w:t>
      </w:r>
      <w:r>
        <w:rPr>
          <w:rFonts w:asciiTheme="majorBidi" w:eastAsia="Times New Roman" w:hAnsiTheme="majorBidi" w:cstheme="majorBidi"/>
          <w:color w:val="0E101A"/>
          <w:sz w:val="24"/>
          <w:szCs w:val="24"/>
        </w:rPr>
        <w:t>ing</w:t>
      </w:r>
      <w:r w:rsidRPr="001C2975">
        <w:rPr>
          <w:rFonts w:asciiTheme="majorBidi" w:eastAsia="Times New Roman" w:hAnsiTheme="majorBidi" w:cstheme="majorBidi"/>
          <w:color w:val="0E101A"/>
          <w:sz w:val="24"/>
          <w:szCs w:val="24"/>
        </w:rPr>
        <w:t xml:space="preserve"> comprehensive and ongoing training programs for law enforcement, security officers, and judicial officials on the provisions of the Convention against Torture and international human rights standards.</w:t>
      </w:r>
    </w:p>
    <w:p w14:paraId="7AB3B6B0" w14:textId="77777777" w:rsidR="00614190" w:rsidRPr="001C2975" w:rsidRDefault="00614190" w:rsidP="00614190">
      <w:pPr>
        <w:numPr>
          <w:ilvl w:val="0"/>
          <w:numId w:val="11"/>
        </w:numPr>
        <w:spacing w:before="100" w:beforeAutospacing="1" w:after="100" w:afterAutospacing="1" w:line="240" w:lineRule="auto"/>
        <w:rPr>
          <w:rFonts w:asciiTheme="majorBidi" w:eastAsia="Times New Roman" w:hAnsiTheme="majorBidi" w:cstheme="majorBidi"/>
          <w:color w:val="0E101A"/>
          <w:sz w:val="24"/>
          <w:szCs w:val="24"/>
        </w:rPr>
      </w:pPr>
      <w:r w:rsidRPr="001C2975">
        <w:rPr>
          <w:rFonts w:asciiTheme="majorBidi" w:eastAsia="Times New Roman" w:hAnsiTheme="majorBidi" w:cstheme="majorBidi"/>
          <w:color w:val="0E101A"/>
          <w:sz w:val="24"/>
          <w:szCs w:val="24"/>
        </w:rPr>
        <w:t>Mak</w:t>
      </w:r>
      <w:r>
        <w:rPr>
          <w:rFonts w:asciiTheme="majorBidi" w:eastAsia="Times New Roman" w:hAnsiTheme="majorBidi" w:cstheme="majorBidi"/>
          <w:color w:val="0E101A"/>
          <w:sz w:val="24"/>
          <w:szCs w:val="24"/>
        </w:rPr>
        <w:t>ing</w:t>
      </w:r>
      <w:r w:rsidRPr="001C2975">
        <w:rPr>
          <w:rFonts w:asciiTheme="majorBidi" w:eastAsia="Times New Roman" w:hAnsiTheme="majorBidi" w:cstheme="majorBidi"/>
          <w:color w:val="0E101A"/>
          <w:sz w:val="24"/>
          <w:szCs w:val="24"/>
        </w:rPr>
        <w:t xml:space="preserve"> further efforts to improve detention conditions, reduce overcrowding, and improve access to medical care in places where deprivation of liberty is a concern.</w:t>
      </w:r>
    </w:p>
    <w:p w14:paraId="5B747CA4" w14:textId="77777777" w:rsidR="00614190" w:rsidRPr="001C2975" w:rsidRDefault="00614190" w:rsidP="00614190">
      <w:pPr>
        <w:bidi/>
        <w:spacing w:before="100" w:beforeAutospacing="1" w:after="100" w:afterAutospacing="1" w:line="240" w:lineRule="auto"/>
        <w:ind w:left="300" w:hanging="300"/>
        <w:jc w:val="lowKashida"/>
        <w:rPr>
          <w:rFonts w:asciiTheme="majorBidi" w:eastAsiaTheme="minorEastAsia" w:hAnsiTheme="majorBidi" w:cstheme="majorBidi"/>
          <w:sz w:val="24"/>
          <w:szCs w:val="24"/>
        </w:rPr>
      </w:pPr>
    </w:p>
    <w:p w14:paraId="1EDE7F6A" w14:textId="77777777" w:rsidR="00614190" w:rsidRPr="001C2975" w:rsidRDefault="00614190" w:rsidP="00614190">
      <w:pPr>
        <w:spacing w:before="100" w:beforeAutospacing="1" w:after="100" w:afterAutospacing="1" w:line="240" w:lineRule="auto"/>
        <w:ind w:left="300" w:hanging="300"/>
        <w:jc w:val="lowKashida"/>
        <w:rPr>
          <w:rFonts w:asciiTheme="majorBidi" w:eastAsiaTheme="minorEastAsia" w:hAnsiTheme="majorBidi" w:cstheme="majorBidi"/>
          <w:sz w:val="24"/>
          <w:szCs w:val="24"/>
        </w:rPr>
      </w:pPr>
    </w:p>
    <w:p w14:paraId="58CAC532" w14:textId="77777777" w:rsidR="00614190" w:rsidRPr="001C2975" w:rsidRDefault="00614190" w:rsidP="00614190">
      <w:pPr>
        <w:spacing w:before="100" w:beforeAutospacing="1" w:after="100" w:afterAutospacing="1" w:line="240" w:lineRule="auto"/>
        <w:rPr>
          <w:rFonts w:asciiTheme="majorBidi" w:hAnsiTheme="majorBidi" w:cstheme="majorBidi"/>
          <w:sz w:val="24"/>
          <w:szCs w:val="24"/>
        </w:rPr>
      </w:pPr>
    </w:p>
    <w:p w14:paraId="454F6715" w14:textId="77777777" w:rsidR="00BA1579" w:rsidRDefault="00BA1579" w:rsidP="00BA1579">
      <w:pPr>
        <w:autoSpaceDE w:val="0"/>
        <w:autoSpaceDN w:val="0"/>
        <w:adjustRightInd w:val="0"/>
        <w:spacing w:after="0"/>
        <w:jc w:val="both"/>
        <w:rPr>
          <w:rFonts w:ascii="Times New Roman" w:eastAsia="Calibri" w:hAnsi="Times New Roman" w:cs="Times New Roman"/>
          <w:b/>
          <w:bCs/>
          <w:color w:val="000000"/>
          <w:sz w:val="24"/>
          <w:szCs w:val="24"/>
        </w:rPr>
      </w:pPr>
    </w:p>
    <w:p w14:paraId="222DF931" w14:textId="4CD682B4" w:rsidR="00FD7C38" w:rsidRPr="00BA1579" w:rsidRDefault="00FD7C38" w:rsidP="00BA1579"/>
    <w:sectPr w:rsidR="00FD7C38" w:rsidRPr="00BA1579" w:rsidSect="00D869E9">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10273" w14:textId="77777777" w:rsidR="00024601" w:rsidRDefault="00024601" w:rsidP="0076180A">
      <w:pPr>
        <w:spacing w:after="0" w:line="240" w:lineRule="auto"/>
      </w:pPr>
      <w:r>
        <w:separator/>
      </w:r>
    </w:p>
  </w:endnote>
  <w:endnote w:type="continuationSeparator" w:id="0">
    <w:p w14:paraId="131B4350" w14:textId="77777777" w:rsidR="00024601" w:rsidRDefault="00024601"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D0964" w14:textId="77777777" w:rsidR="00DE52E3" w:rsidRDefault="00DE5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Misr</w:t>
          </w:r>
          <w:proofErr w:type="spellEnd"/>
          <w:r w:rsidRPr="006042B5">
            <w:rPr>
              <w:rFonts w:ascii="Times New Roman" w:hAnsi="Times New Roman" w:cs="Times New Roman"/>
              <w:b/>
              <w:bCs/>
              <w:color w:val="006B86"/>
              <w:sz w:val="20"/>
              <w:szCs w:val="20"/>
            </w:rPr>
            <w:t xml:space="preserve">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w:t>
          </w:r>
          <w:proofErr w:type="gramStart"/>
          <w:r w:rsidRPr="006042B5">
            <w:rPr>
              <w:rFonts w:ascii="Times New Roman" w:hAnsi="Times New Roman" w:cs="Times New Roman"/>
              <w:b/>
              <w:bCs/>
              <w:color w:val="006B86"/>
              <w:sz w:val="20"/>
              <w:szCs w:val="20"/>
            </w:rPr>
            <w:t>Road ,</w:t>
          </w:r>
          <w:proofErr w:type="gramEnd"/>
          <w:r w:rsidRPr="006042B5">
            <w:rPr>
              <w:rFonts w:ascii="Times New Roman" w:hAnsi="Times New Roman" w:cs="Times New Roman"/>
              <w:b/>
              <w:bCs/>
              <w:color w:val="006B86"/>
              <w:sz w:val="20"/>
              <w:szCs w:val="20"/>
            </w:rPr>
            <w:t xml:space="preserve">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Maadi</w:t>
          </w:r>
          <w:proofErr w:type="spellEnd"/>
          <w:r w:rsidRPr="006042B5">
            <w:rPr>
              <w:rFonts w:ascii="Times New Roman" w:hAnsi="Times New Roman" w:cs="Times New Roman"/>
              <w:b/>
              <w:bCs/>
              <w:color w:val="006B86"/>
              <w:sz w:val="20"/>
              <w:szCs w:val="20"/>
            </w:rPr>
            <w:t xml:space="preserve">,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sidR="00694C5A">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04CA8" w14:textId="77777777" w:rsidR="00024601" w:rsidRDefault="00024601" w:rsidP="0076180A">
      <w:pPr>
        <w:spacing w:after="0" w:line="240" w:lineRule="auto"/>
      </w:pPr>
      <w:r>
        <w:separator/>
      </w:r>
    </w:p>
  </w:footnote>
  <w:footnote w:type="continuationSeparator" w:id="0">
    <w:p w14:paraId="243F4358" w14:textId="77777777" w:rsidR="00024601" w:rsidRDefault="00024601" w:rsidP="0076180A">
      <w:pPr>
        <w:spacing w:after="0" w:line="240" w:lineRule="auto"/>
      </w:pPr>
      <w:r>
        <w:continuationSeparator/>
      </w:r>
    </w:p>
  </w:footnote>
  <w:footnote w:id="1">
    <w:p w14:paraId="75FBF823" w14:textId="77777777" w:rsidR="00614190" w:rsidRPr="004B2D24" w:rsidRDefault="00614190" w:rsidP="00614190">
      <w:pPr>
        <w:spacing w:after="0" w:line="240" w:lineRule="auto"/>
        <w:rPr>
          <w:rFonts w:asciiTheme="majorBidi" w:hAnsiTheme="majorBidi" w:cstheme="majorBidi"/>
          <w:sz w:val="20"/>
          <w:szCs w:val="20"/>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tl/>
        </w:rPr>
        <w:t xml:space="preserve"> </w:t>
      </w:r>
      <w:r w:rsidRPr="004B2D24">
        <w:rPr>
          <w:rFonts w:asciiTheme="majorBidi" w:hAnsiTheme="majorBidi" w:cstheme="majorBidi"/>
          <w:sz w:val="20"/>
          <w:szCs w:val="20"/>
        </w:rPr>
        <w:t>Article 52 of the Egyptian Constitution, link</w:t>
      </w:r>
      <w:r w:rsidRPr="004B2D24">
        <w:rPr>
          <w:rFonts w:asciiTheme="majorBidi" w:hAnsiTheme="majorBidi" w:cstheme="majorBidi"/>
          <w:sz w:val="20"/>
          <w:szCs w:val="20"/>
          <w:rtl/>
        </w:rPr>
        <w:t xml:space="preserve">: </w:t>
      </w:r>
      <w:r w:rsidR="00FB34E9">
        <w:fldChar w:fldCharType="begin"/>
      </w:r>
      <w:r w:rsidR="00FB34E9">
        <w:instrText>HYPERLINK "https://bit.ly/44dI09I"</w:instrText>
      </w:r>
      <w:r w:rsidR="00FB34E9">
        <w:fldChar w:fldCharType="separate"/>
      </w:r>
      <w:r w:rsidRPr="004B2D24">
        <w:rPr>
          <w:rStyle w:val="Hyperlink"/>
          <w:rFonts w:asciiTheme="majorBidi" w:hAnsiTheme="majorBidi" w:cstheme="majorBidi"/>
          <w:sz w:val="20"/>
          <w:szCs w:val="20"/>
        </w:rPr>
        <w:t>https://bit.ly/44dI09I</w:t>
      </w:r>
      <w:r w:rsidR="00FB34E9">
        <w:rPr>
          <w:rStyle w:val="Hyperlink"/>
          <w:rFonts w:asciiTheme="majorBidi" w:hAnsiTheme="majorBidi" w:cstheme="majorBidi"/>
          <w:sz w:val="20"/>
          <w:szCs w:val="20"/>
        </w:rPr>
        <w:fldChar w:fldCharType="end"/>
      </w:r>
      <w:r w:rsidRPr="004B2D24">
        <w:rPr>
          <w:rFonts w:asciiTheme="majorBidi" w:hAnsiTheme="majorBidi" w:cstheme="majorBidi"/>
          <w:sz w:val="20"/>
          <w:szCs w:val="20"/>
          <w:rtl/>
        </w:rPr>
        <w:t xml:space="preserve"> </w:t>
      </w:r>
    </w:p>
  </w:footnote>
  <w:footnote w:id="2">
    <w:p w14:paraId="5E6B42E9"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tl/>
        </w:rPr>
        <w:t xml:space="preserve"> </w:t>
      </w:r>
      <w:r w:rsidRPr="004B2D24">
        <w:rPr>
          <w:rFonts w:asciiTheme="majorBidi" w:hAnsiTheme="majorBidi" w:cstheme="majorBidi"/>
          <w:sz w:val="20"/>
          <w:szCs w:val="20"/>
        </w:rPr>
        <w:t xml:space="preserve">Articles 126, 129, 375 bis, and 375 bis (A) of the Egyptian Penal Code, </w:t>
      </w:r>
      <w:proofErr w:type="spellStart"/>
      <w:r w:rsidRPr="004B2D24">
        <w:rPr>
          <w:rFonts w:asciiTheme="majorBidi" w:hAnsiTheme="majorBidi" w:cstheme="majorBidi"/>
          <w:sz w:val="20"/>
          <w:szCs w:val="20"/>
        </w:rPr>
        <w:t>link:</w:t>
      </w:r>
      <w:hyperlink r:id="rId1" w:history="1">
        <w:r w:rsidRPr="004B2D24">
          <w:rPr>
            <w:rStyle w:val="Hyperlink"/>
            <w:rFonts w:asciiTheme="majorBidi" w:hAnsiTheme="majorBidi" w:cstheme="majorBidi"/>
            <w:sz w:val="20"/>
            <w:szCs w:val="20"/>
          </w:rPr>
          <w:t>https</w:t>
        </w:r>
        <w:proofErr w:type="spellEnd"/>
        <w:r w:rsidRPr="004B2D24">
          <w:rPr>
            <w:rStyle w:val="Hyperlink"/>
            <w:rFonts w:asciiTheme="majorBidi" w:hAnsiTheme="majorBidi" w:cstheme="majorBidi"/>
            <w:sz w:val="20"/>
            <w:szCs w:val="20"/>
          </w:rPr>
          <w:t>://bit.ly/3qvy11l</w:t>
        </w:r>
      </w:hyperlink>
      <w:r w:rsidRPr="004B2D24">
        <w:rPr>
          <w:rFonts w:asciiTheme="majorBidi" w:hAnsiTheme="majorBidi" w:cstheme="majorBidi"/>
          <w:sz w:val="20"/>
          <w:szCs w:val="20"/>
          <w:rtl/>
        </w:rPr>
        <w:t xml:space="preserve"> </w:t>
      </w:r>
    </w:p>
  </w:footnote>
  <w:footnote w:id="3">
    <w:p w14:paraId="53F2C992"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Pr>
        <w:t xml:space="preserve"> The National Human Rights </w:t>
      </w:r>
      <w:proofErr w:type="spellStart"/>
      <w:proofErr w:type="gramStart"/>
      <w:r w:rsidRPr="004B2D24">
        <w:rPr>
          <w:rFonts w:asciiTheme="majorBidi" w:hAnsiTheme="majorBidi" w:cstheme="majorBidi"/>
          <w:sz w:val="20"/>
          <w:szCs w:val="20"/>
        </w:rPr>
        <w:t>Strategy..</w:t>
      </w:r>
      <w:proofErr w:type="gramEnd"/>
      <w:r w:rsidRPr="004B2D24">
        <w:rPr>
          <w:rFonts w:asciiTheme="majorBidi" w:hAnsiTheme="majorBidi" w:cstheme="majorBidi"/>
          <w:sz w:val="20"/>
          <w:szCs w:val="20"/>
        </w:rPr>
        <w:t>one</w:t>
      </w:r>
      <w:proofErr w:type="spellEnd"/>
      <w:r w:rsidRPr="004B2D24">
        <w:rPr>
          <w:rFonts w:asciiTheme="majorBidi" w:hAnsiTheme="majorBidi" w:cstheme="majorBidi"/>
          <w:sz w:val="20"/>
          <w:szCs w:val="20"/>
        </w:rPr>
        <w:t xml:space="preserve"> year of implementation. September 2021 - August 2022, Permanent Supreme Committee for Human Rights, link:</w:t>
      </w:r>
      <w:r>
        <w:rPr>
          <w:rFonts w:asciiTheme="majorBidi" w:hAnsiTheme="majorBidi" w:cstheme="majorBidi"/>
          <w:sz w:val="20"/>
          <w:szCs w:val="20"/>
        </w:rPr>
        <w:t xml:space="preserve"> </w:t>
      </w:r>
      <w:hyperlink r:id="rId2" w:history="1">
        <w:r w:rsidRPr="00DD2918">
          <w:rPr>
            <w:rStyle w:val="Hyperlink"/>
            <w:rFonts w:asciiTheme="majorBidi" w:hAnsiTheme="majorBidi" w:cstheme="majorBidi"/>
            <w:sz w:val="20"/>
            <w:szCs w:val="20"/>
          </w:rPr>
          <w:t>https://bit.ly/40xAV2H</w:t>
        </w:r>
      </w:hyperlink>
    </w:p>
  </w:footnote>
  <w:footnote w:id="4">
    <w:p w14:paraId="242BD995"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tl/>
        </w:rPr>
        <w:t xml:space="preserve"> </w:t>
      </w:r>
      <w:r w:rsidRPr="004B2D24">
        <w:rPr>
          <w:rFonts w:asciiTheme="majorBidi" w:hAnsiTheme="majorBidi" w:cstheme="majorBidi"/>
          <w:sz w:val="20"/>
          <w:szCs w:val="20"/>
        </w:rPr>
        <w:t xml:space="preserve">Assistant Minister of the Interior: 15 prisons closed after the opening of new correctional and rehabilitation centers, Sada El </w:t>
      </w:r>
      <w:proofErr w:type="spellStart"/>
      <w:r w:rsidRPr="004B2D24">
        <w:rPr>
          <w:rFonts w:asciiTheme="majorBidi" w:hAnsiTheme="majorBidi" w:cstheme="majorBidi"/>
          <w:sz w:val="20"/>
          <w:szCs w:val="20"/>
        </w:rPr>
        <w:t>Balad</w:t>
      </w:r>
      <w:proofErr w:type="spellEnd"/>
      <w:r w:rsidRPr="004B2D24">
        <w:rPr>
          <w:rFonts w:asciiTheme="majorBidi" w:hAnsiTheme="majorBidi" w:cstheme="majorBidi"/>
          <w:sz w:val="20"/>
          <w:szCs w:val="20"/>
        </w:rPr>
        <w:t>, March 21, 2023, link:</w:t>
      </w:r>
      <w:r>
        <w:rPr>
          <w:rFonts w:asciiTheme="majorBidi" w:hAnsiTheme="majorBidi" w:cstheme="majorBidi"/>
          <w:sz w:val="20"/>
          <w:szCs w:val="20"/>
        </w:rPr>
        <w:t xml:space="preserve"> </w:t>
      </w:r>
      <w:hyperlink r:id="rId3" w:history="1">
        <w:r w:rsidRPr="00DD2918">
          <w:rPr>
            <w:rStyle w:val="Hyperlink"/>
            <w:rFonts w:asciiTheme="majorBidi" w:hAnsiTheme="majorBidi" w:cstheme="majorBidi"/>
            <w:sz w:val="20"/>
            <w:szCs w:val="20"/>
          </w:rPr>
          <w:t>https://bit.ly/3DSmJay</w:t>
        </w:r>
      </w:hyperlink>
    </w:p>
  </w:footnote>
  <w:footnote w:id="5">
    <w:p w14:paraId="4146E00D" w14:textId="77777777" w:rsidR="00614190" w:rsidRPr="004B2D24" w:rsidRDefault="00614190" w:rsidP="00614190">
      <w:pPr>
        <w:spacing w:after="0" w:line="240" w:lineRule="auto"/>
        <w:rPr>
          <w:rFonts w:asciiTheme="majorBidi" w:hAnsiTheme="majorBidi" w:cstheme="majorBidi"/>
          <w:sz w:val="20"/>
          <w:szCs w:val="20"/>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tl/>
        </w:rPr>
        <w:t xml:space="preserve"> </w:t>
      </w:r>
      <w:r w:rsidRPr="004B2D24">
        <w:rPr>
          <w:rFonts w:asciiTheme="majorBidi" w:hAnsiTheme="majorBidi" w:cstheme="majorBidi"/>
          <w:sz w:val="20"/>
          <w:szCs w:val="20"/>
        </w:rPr>
        <w:t>Minister of Justice: Egypt has worked to build an integrated system to promote human rights within 8 years, State Information Service, March 1, 2023, link:</w:t>
      </w:r>
      <w:r>
        <w:rPr>
          <w:rFonts w:asciiTheme="majorBidi" w:hAnsiTheme="majorBidi" w:cstheme="majorBidi"/>
          <w:sz w:val="20"/>
          <w:szCs w:val="20"/>
        </w:rPr>
        <w:t xml:space="preserve"> </w:t>
      </w:r>
      <w:hyperlink r:id="rId4" w:history="1">
        <w:r w:rsidRPr="004B2D24">
          <w:rPr>
            <w:rStyle w:val="Hyperlink"/>
            <w:rFonts w:asciiTheme="majorBidi" w:hAnsiTheme="majorBidi" w:cstheme="majorBidi"/>
            <w:sz w:val="20"/>
            <w:szCs w:val="20"/>
          </w:rPr>
          <w:t>https://bit.ly/3saa0h6</w:t>
        </w:r>
      </w:hyperlink>
      <w:r w:rsidRPr="004B2D24">
        <w:rPr>
          <w:rFonts w:asciiTheme="majorBidi" w:hAnsiTheme="majorBidi" w:cstheme="majorBidi"/>
          <w:sz w:val="20"/>
          <w:szCs w:val="20"/>
          <w:rtl/>
        </w:rPr>
        <w:t xml:space="preserve"> </w:t>
      </w:r>
    </w:p>
  </w:footnote>
  <w:footnote w:id="6">
    <w:p w14:paraId="570E3208" w14:textId="77777777" w:rsidR="00614190" w:rsidRPr="004B2D24" w:rsidRDefault="00614190" w:rsidP="00614190">
      <w:pPr>
        <w:spacing w:after="0" w:line="240" w:lineRule="auto"/>
        <w:rPr>
          <w:rFonts w:asciiTheme="majorBidi" w:hAnsiTheme="majorBidi" w:cstheme="majorBidi"/>
          <w:sz w:val="20"/>
          <w:szCs w:val="20"/>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tl/>
        </w:rPr>
        <w:t xml:space="preserve"> </w:t>
      </w:r>
      <w:r w:rsidRPr="004B2D24">
        <w:rPr>
          <w:rFonts w:asciiTheme="majorBidi" w:hAnsiTheme="majorBidi" w:cstheme="majorBidi"/>
          <w:sz w:val="20"/>
          <w:szCs w:val="20"/>
        </w:rPr>
        <w:t xml:space="preserve">Assistant Minister of Interior: Closing 15 prisons after opening new correctional and rehabilitation </w:t>
      </w:r>
      <w:proofErr w:type="spellStart"/>
      <w:r w:rsidRPr="004B2D24">
        <w:rPr>
          <w:rFonts w:asciiTheme="majorBidi" w:hAnsiTheme="majorBidi" w:cstheme="majorBidi"/>
          <w:sz w:val="20"/>
          <w:szCs w:val="20"/>
        </w:rPr>
        <w:t>centres</w:t>
      </w:r>
      <w:proofErr w:type="spellEnd"/>
      <w:r w:rsidRPr="004B2D24">
        <w:rPr>
          <w:rFonts w:asciiTheme="majorBidi" w:hAnsiTheme="majorBidi" w:cstheme="majorBidi"/>
          <w:sz w:val="20"/>
          <w:szCs w:val="20"/>
        </w:rPr>
        <w:t>, previously mentioned reference</w:t>
      </w:r>
      <w:r w:rsidRPr="004B2D24">
        <w:rPr>
          <w:rFonts w:asciiTheme="majorBidi" w:hAnsiTheme="majorBidi" w:cstheme="majorBidi"/>
          <w:sz w:val="20"/>
          <w:szCs w:val="20"/>
          <w:rtl/>
        </w:rPr>
        <w:t>.</w:t>
      </w:r>
    </w:p>
  </w:footnote>
  <w:footnote w:id="7">
    <w:p w14:paraId="56A2388B"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Pr>
        <w:t xml:space="preserve"> </w:t>
      </w:r>
      <w:r w:rsidRPr="004B2D24">
        <w:rPr>
          <w:rFonts w:asciiTheme="majorBidi" w:hAnsiTheme="majorBidi" w:cstheme="majorBidi"/>
          <w:sz w:val="20"/>
          <w:szCs w:val="20"/>
          <w:rtl/>
        </w:rPr>
        <w:t xml:space="preserve"> </w:t>
      </w:r>
      <w:r w:rsidRPr="004B2D24">
        <w:rPr>
          <w:rFonts w:asciiTheme="majorBidi" w:hAnsiTheme="majorBidi" w:cstheme="majorBidi"/>
          <w:sz w:val="20"/>
          <w:szCs w:val="20"/>
        </w:rPr>
        <w:t xml:space="preserve">Article 63 of the Egyptian Penal Code, </w:t>
      </w:r>
      <w:proofErr w:type="spellStart"/>
      <w:r w:rsidRPr="004B2D24">
        <w:rPr>
          <w:rFonts w:asciiTheme="majorBidi" w:hAnsiTheme="majorBidi" w:cstheme="majorBidi"/>
          <w:sz w:val="20"/>
          <w:szCs w:val="20"/>
        </w:rPr>
        <w:t>link:</w:t>
      </w:r>
      <w:hyperlink r:id="rId5" w:history="1">
        <w:r w:rsidRPr="004B2D24">
          <w:rPr>
            <w:rStyle w:val="Hyperlink"/>
            <w:rFonts w:asciiTheme="majorBidi" w:hAnsiTheme="majorBidi" w:cstheme="majorBidi"/>
            <w:sz w:val="20"/>
            <w:szCs w:val="20"/>
          </w:rPr>
          <w:t>https</w:t>
        </w:r>
        <w:proofErr w:type="spellEnd"/>
        <w:r w:rsidRPr="004B2D24">
          <w:rPr>
            <w:rStyle w:val="Hyperlink"/>
            <w:rFonts w:asciiTheme="majorBidi" w:hAnsiTheme="majorBidi" w:cstheme="majorBidi"/>
            <w:sz w:val="20"/>
            <w:szCs w:val="20"/>
          </w:rPr>
          <w:t>://bit.ly/42Pk3WC</w:t>
        </w:r>
      </w:hyperlink>
      <w:r w:rsidRPr="004B2D24">
        <w:rPr>
          <w:rFonts w:asciiTheme="majorBidi" w:hAnsiTheme="majorBidi" w:cstheme="majorBidi"/>
          <w:sz w:val="20"/>
          <w:szCs w:val="20"/>
          <w:rtl/>
        </w:rPr>
        <w:t xml:space="preserve"> </w:t>
      </w:r>
    </w:p>
  </w:footnote>
  <w:footnote w:id="8">
    <w:p w14:paraId="28600BF5"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Pr>
        <w:t xml:space="preserve"> We publish the articles of the “Police Authority” draft law after Parliament’s approval, Youm7, August 7, 2016, link:</w:t>
      </w:r>
      <w:r>
        <w:rPr>
          <w:rFonts w:asciiTheme="majorBidi" w:hAnsiTheme="majorBidi" w:cstheme="majorBidi"/>
          <w:sz w:val="20"/>
          <w:szCs w:val="20"/>
        </w:rPr>
        <w:t xml:space="preserve"> </w:t>
      </w:r>
      <w:hyperlink r:id="rId6" w:history="1">
        <w:r w:rsidRPr="00DD2918">
          <w:rPr>
            <w:rStyle w:val="Hyperlink"/>
            <w:rFonts w:asciiTheme="majorBidi" w:hAnsiTheme="majorBidi" w:cstheme="majorBidi"/>
            <w:sz w:val="20"/>
            <w:szCs w:val="20"/>
          </w:rPr>
          <w:t>https://bit.ly/40LtCE3</w:t>
        </w:r>
      </w:hyperlink>
      <w:r w:rsidRPr="004B2D24">
        <w:rPr>
          <w:rFonts w:asciiTheme="majorBidi" w:hAnsiTheme="majorBidi" w:cstheme="majorBidi"/>
          <w:sz w:val="20"/>
          <w:szCs w:val="20"/>
          <w:rtl/>
        </w:rPr>
        <w:t xml:space="preserve"> </w:t>
      </w:r>
    </w:p>
  </w:footnote>
  <w:footnote w:id="9">
    <w:p w14:paraId="07B77938"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Pr>
        <w:t xml:space="preserve"> Minister of Interior Resolution No. 156 of 1964 regulating the use of firearms, link </w:t>
      </w:r>
      <w:hyperlink r:id="rId7" w:history="1">
        <w:r w:rsidRPr="004B2D24">
          <w:rPr>
            <w:rStyle w:val="Hyperlink"/>
            <w:rFonts w:asciiTheme="majorBidi" w:hAnsiTheme="majorBidi" w:cstheme="majorBidi"/>
            <w:sz w:val="20"/>
            <w:szCs w:val="20"/>
          </w:rPr>
          <w:t>https://bit.ly/3ZIuaKd</w:t>
        </w:r>
      </w:hyperlink>
      <w:r w:rsidRPr="004B2D24">
        <w:rPr>
          <w:rFonts w:asciiTheme="majorBidi" w:hAnsiTheme="majorBidi" w:cstheme="majorBidi"/>
          <w:sz w:val="20"/>
          <w:szCs w:val="20"/>
          <w:rtl/>
        </w:rPr>
        <w:t xml:space="preserve"> </w:t>
      </w:r>
    </w:p>
  </w:footnote>
  <w:footnote w:id="10">
    <w:p w14:paraId="24B20A33"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Pr>
        <w:t xml:space="preserve"> </w:t>
      </w:r>
      <w:r w:rsidRPr="004B2D24">
        <w:rPr>
          <w:rFonts w:asciiTheme="majorBidi" w:hAnsiTheme="majorBidi" w:cstheme="majorBidi"/>
          <w:sz w:val="20"/>
          <w:szCs w:val="20"/>
          <w:rtl/>
        </w:rPr>
        <w:t>7</w:t>
      </w:r>
      <w:r w:rsidRPr="004B2D24">
        <w:rPr>
          <w:rFonts w:asciiTheme="majorBidi" w:hAnsiTheme="majorBidi" w:cstheme="majorBidi"/>
          <w:sz w:val="20"/>
          <w:szCs w:val="20"/>
        </w:rPr>
        <w:t xml:space="preserve"> </w:t>
      </w:r>
      <w:proofErr w:type="spellStart"/>
      <w:r w:rsidRPr="004B2D24">
        <w:rPr>
          <w:rFonts w:asciiTheme="majorBidi" w:hAnsiTheme="majorBidi" w:cstheme="majorBidi"/>
          <w:sz w:val="20"/>
          <w:szCs w:val="20"/>
        </w:rPr>
        <w:t>years</w:t>
      </w:r>
      <w:proofErr w:type="spellEnd"/>
      <w:r w:rsidRPr="004B2D24">
        <w:rPr>
          <w:rFonts w:asciiTheme="majorBidi" w:hAnsiTheme="majorBidi" w:cstheme="majorBidi"/>
          <w:sz w:val="20"/>
          <w:szCs w:val="20"/>
        </w:rPr>
        <w:t xml:space="preserve"> imprisonment for the former head of Helwan Investigations and an officer on charges of killing a citizen, Youm7, June 9, 2022, link</w:t>
      </w:r>
      <w:r w:rsidRPr="004B2D24">
        <w:rPr>
          <w:rFonts w:asciiTheme="majorBidi" w:hAnsiTheme="majorBidi" w:cstheme="majorBidi"/>
          <w:sz w:val="20"/>
          <w:szCs w:val="20"/>
          <w:rtl/>
        </w:rPr>
        <w:t xml:space="preserve">: </w:t>
      </w:r>
      <w:r w:rsidR="00FB34E9">
        <w:fldChar w:fldCharType="begin"/>
      </w:r>
      <w:r w:rsidR="00FB34E9">
        <w:instrText>HYPERLINK "https://bit.ly/3ztXZVl"</w:instrText>
      </w:r>
      <w:r w:rsidR="00FB34E9">
        <w:fldChar w:fldCharType="separate"/>
      </w:r>
      <w:r w:rsidRPr="004B2D24">
        <w:rPr>
          <w:rStyle w:val="Hyperlink"/>
          <w:rFonts w:asciiTheme="majorBidi" w:hAnsiTheme="majorBidi" w:cstheme="majorBidi"/>
          <w:sz w:val="20"/>
          <w:szCs w:val="20"/>
        </w:rPr>
        <w:t>https://bit.ly/3ztXZVl</w:t>
      </w:r>
      <w:r w:rsidR="00FB34E9">
        <w:rPr>
          <w:rStyle w:val="Hyperlink"/>
          <w:rFonts w:asciiTheme="majorBidi" w:hAnsiTheme="majorBidi" w:cstheme="majorBidi"/>
          <w:sz w:val="20"/>
          <w:szCs w:val="20"/>
        </w:rPr>
        <w:fldChar w:fldCharType="end"/>
      </w:r>
      <w:r w:rsidRPr="004B2D24">
        <w:rPr>
          <w:rFonts w:asciiTheme="majorBidi" w:hAnsiTheme="majorBidi" w:cstheme="majorBidi"/>
          <w:sz w:val="20"/>
          <w:szCs w:val="20"/>
          <w:rtl/>
        </w:rPr>
        <w:t xml:space="preserve"> </w:t>
      </w:r>
    </w:p>
  </w:footnote>
  <w:footnote w:id="11">
    <w:p w14:paraId="5D3E0A7C" w14:textId="77777777" w:rsidR="00614190" w:rsidRPr="004B2D24" w:rsidRDefault="00614190" w:rsidP="00614190">
      <w:pPr>
        <w:spacing w:after="0" w:line="240" w:lineRule="auto"/>
        <w:rPr>
          <w:rFonts w:asciiTheme="majorBidi" w:hAnsiTheme="majorBidi" w:cstheme="majorBidi"/>
          <w:sz w:val="20"/>
          <w:szCs w:val="20"/>
          <w:rtl/>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Pr>
        <w:t xml:space="preserve"> The officer accused of assaulting a lawyer in the </w:t>
      </w:r>
      <w:proofErr w:type="spellStart"/>
      <w:r w:rsidRPr="004B2D24">
        <w:rPr>
          <w:rFonts w:asciiTheme="majorBidi" w:hAnsiTheme="majorBidi" w:cstheme="majorBidi"/>
          <w:sz w:val="20"/>
          <w:szCs w:val="20"/>
        </w:rPr>
        <w:t>Montazah</w:t>
      </w:r>
      <w:proofErr w:type="spellEnd"/>
      <w:r w:rsidRPr="004B2D24">
        <w:rPr>
          <w:rFonts w:asciiTheme="majorBidi" w:hAnsiTheme="majorBidi" w:cstheme="majorBidi"/>
          <w:sz w:val="20"/>
          <w:szCs w:val="20"/>
        </w:rPr>
        <w:t xml:space="preserve"> Department was released on bail of 5,000 pounds, Al-</w:t>
      </w:r>
      <w:proofErr w:type="spellStart"/>
      <w:r w:rsidRPr="004B2D24">
        <w:rPr>
          <w:rFonts w:asciiTheme="majorBidi" w:hAnsiTheme="majorBidi" w:cstheme="majorBidi"/>
          <w:sz w:val="20"/>
          <w:szCs w:val="20"/>
        </w:rPr>
        <w:t>Masry</w:t>
      </w:r>
      <w:proofErr w:type="spellEnd"/>
      <w:r w:rsidRPr="004B2D24">
        <w:rPr>
          <w:rFonts w:asciiTheme="majorBidi" w:hAnsiTheme="majorBidi" w:cstheme="majorBidi"/>
          <w:sz w:val="20"/>
          <w:szCs w:val="20"/>
        </w:rPr>
        <w:t xml:space="preserve"> Al-</w:t>
      </w:r>
      <w:proofErr w:type="spellStart"/>
      <w:r w:rsidRPr="004B2D24">
        <w:rPr>
          <w:rFonts w:asciiTheme="majorBidi" w:hAnsiTheme="majorBidi" w:cstheme="majorBidi"/>
          <w:sz w:val="20"/>
          <w:szCs w:val="20"/>
        </w:rPr>
        <w:t>Youm</w:t>
      </w:r>
      <w:proofErr w:type="spellEnd"/>
      <w:r w:rsidRPr="004B2D24">
        <w:rPr>
          <w:rFonts w:asciiTheme="majorBidi" w:hAnsiTheme="majorBidi" w:cstheme="majorBidi"/>
          <w:sz w:val="20"/>
          <w:szCs w:val="20"/>
        </w:rPr>
        <w:t>, at the following link:</w:t>
      </w:r>
      <w:r>
        <w:rPr>
          <w:rFonts w:asciiTheme="majorBidi" w:hAnsiTheme="majorBidi" w:cstheme="majorBidi"/>
          <w:sz w:val="20"/>
          <w:szCs w:val="20"/>
        </w:rPr>
        <w:t xml:space="preserve"> </w:t>
      </w:r>
      <w:hyperlink r:id="rId8" w:history="1">
        <w:r w:rsidRPr="00DD2918">
          <w:rPr>
            <w:rStyle w:val="Hyperlink"/>
            <w:rFonts w:asciiTheme="majorBidi" w:hAnsiTheme="majorBidi" w:cstheme="majorBidi"/>
            <w:sz w:val="20"/>
            <w:szCs w:val="20"/>
          </w:rPr>
          <w:t>https://www.almasryalyoum.com/news/details/2446992</w:t>
        </w:r>
      </w:hyperlink>
      <w:r w:rsidRPr="004B2D24">
        <w:rPr>
          <w:rFonts w:asciiTheme="majorBidi" w:hAnsiTheme="majorBidi" w:cstheme="majorBidi"/>
          <w:sz w:val="20"/>
          <w:szCs w:val="20"/>
          <w:rtl/>
        </w:rPr>
        <w:t xml:space="preserve"> </w:t>
      </w:r>
    </w:p>
  </w:footnote>
  <w:footnote w:id="12">
    <w:p w14:paraId="30252D96" w14:textId="77777777" w:rsidR="00614190" w:rsidRPr="004B2D24" w:rsidRDefault="00614190" w:rsidP="00614190">
      <w:pPr>
        <w:spacing w:after="0" w:line="240" w:lineRule="auto"/>
        <w:rPr>
          <w:rFonts w:asciiTheme="majorBidi" w:hAnsiTheme="majorBidi" w:cstheme="majorBidi"/>
          <w:sz w:val="20"/>
          <w:szCs w:val="20"/>
        </w:rPr>
      </w:pPr>
      <w:r w:rsidRPr="004B2D24">
        <w:rPr>
          <w:rStyle w:val="FootnoteReference"/>
          <w:rFonts w:asciiTheme="majorBidi" w:hAnsiTheme="majorBidi" w:cstheme="majorBidi"/>
          <w:sz w:val="20"/>
          <w:szCs w:val="20"/>
        </w:rPr>
        <w:footnoteRef/>
      </w:r>
      <w:r w:rsidRPr="004B2D24">
        <w:rPr>
          <w:rFonts w:asciiTheme="majorBidi" w:hAnsiTheme="majorBidi" w:cstheme="majorBidi"/>
          <w:sz w:val="20"/>
          <w:szCs w:val="20"/>
          <w:rtl/>
        </w:rPr>
        <w:t xml:space="preserve"> </w:t>
      </w:r>
      <w:r>
        <w:rPr>
          <w:rFonts w:asciiTheme="majorBidi" w:hAnsiTheme="majorBidi" w:cstheme="majorBidi"/>
          <w:sz w:val="20"/>
          <w:szCs w:val="20"/>
        </w:rPr>
        <w:t>3</w:t>
      </w:r>
      <w:r w:rsidRPr="004B2D24">
        <w:rPr>
          <w:rFonts w:asciiTheme="majorBidi" w:hAnsiTheme="majorBidi" w:cstheme="majorBidi"/>
          <w:sz w:val="20"/>
          <w:szCs w:val="20"/>
          <w:rtl/>
        </w:rPr>
        <w:t xml:space="preserve"> </w:t>
      </w:r>
      <w:r w:rsidRPr="004B2D24">
        <w:rPr>
          <w:rFonts w:asciiTheme="majorBidi" w:hAnsiTheme="majorBidi" w:cstheme="majorBidi"/>
          <w:sz w:val="20"/>
          <w:szCs w:val="20"/>
        </w:rPr>
        <w:t xml:space="preserve">years imprisonment for an officer and 8 police officers for beating a citizen to death, </w:t>
      </w:r>
      <w:proofErr w:type="spellStart"/>
      <w:r w:rsidRPr="004B2D24">
        <w:rPr>
          <w:rFonts w:asciiTheme="majorBidi" w:hAnsiTheme="majorBidi" w:cstheme="majorBidi"/>
          <w:sz w:val="20"/>
          <w:szCs w:val="20"/>
        </w:rPr>
        <w:t>Akhbar</w:t>
      </w:r>
      <w:proofErr w:type="spellEnd"/>
      <w:r w:rsidRPr="004B2D24">
        <w:rPr>
          <w:rFonts w:asciiTheme="majorBidi" w:hAnsiTheme="majorBidi" w:cstheme="majorBidi"/>
          <w:sz w:val="20"/>
          <w:szCs w:val="20"/>
        </w:rPr>
        <w:t xml:space="preserve"> Al-</w:t>
      </w:r>
      <w:proofErr w:type="spellStart"/>
      <w:r w:rsidRPr="004B2D24">
        <w:rPr>
          <w:rFonts w:asciiTheme="majorBidi" w:hAnsiTheme="majorBidi" w:cstheme="majorBidi"/>
          <w:sz w:val="20"/>
          <w:szCs w:val="20"/>
        </w:rPr>
        <w:t>Youm</w:t>
      </w:r>
      <w:proofErr w:type="spellEnd"/>
      <w:r w:rsidRPr="004B2D24">
        <w:rPr>
          <w:rFonts w:asciiTheme="majorBidi" w:hAnsiTheme="majorBidi" w:cstheme="majorBidi"/>
          <w:sz w:val="20"/>
          <w:szCs w:val="20"/>
        </w:rPr>
        <w:t>, December 3, 2019, link:</w:t>
      </w:r>
      <w:r>
        <w:rPr>
          <w:rFonts w:asciiTheme="majorBidi" w:hAnsiTheme="majorBidi" w:cstheme="majorBidi"/>
          <w:sz w:val="20"/>
          <w:szCs w:val="20"/>
        </w:rPr>
        <w:t xml:space="preserve"> </w:t>
      </w:r>
      <w:hyperlink r:id="rId9" w:history="1">
        <w:r w:rsidRPr="00DD2918">
          <w:rPr>
            <w:rStyle w:val="Hyperlink"/>
            <w:rFonts w:asciiTheme="majorBidi" w:hAnsiTheme="majorBidi" w:cstheme="majorBidi"/>
            <w:sz w:val="20"/>
            <w:szCs w:val="20"/>
          </w:rPr>
          <w:t>https://bit.ly/2WE1cwC</w:t>
        </w:r>
      </w:hyperlink>
      <w:r w:rsidRPr="004B2D24">
        <w:rPr>
          <w:rFonts w:asciiTheme="majorBidi" w:hAnsiTheme="majorBidi" w:cstheme="majorBidi"/>
          <w:sz w:val="20"/>
          <w:szCs w:val="2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3818" w14:textId="77777777" w:rsidR="00DE52E3" w:rsidRDefault="00DE52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0C6A" w14:textId="77777777" w:rsidR="00DE52E3" w:rsidRDefault="00DE5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1E0A" w14:textId="74E5FA64" w:rsidR="00D869E9" w:rsidRDefault="000269F3" w:rsidP="00DE52E3">
    <w:pPr>
      <w:pStyle w:val="a"/>
      <w:jc w:val="both"/>
    </w:pPr>
    <w:r>
      <w:rPr>
        <w:noProof/>
        <w:sz w:val="24"/>
        <w:szCs w:val="24"/>
      </w:rPr>
      <w:t xml:space="preserve">   </w:t>
    </w:r>
    <w:r>
      <w:t xml:space="preserve">                                                                         </w:t>
    </w:r>
    <w:r>
      <w:rPr>
        <w:noProof/>
      </w:rPr>
      <w:t xml:space="preserve">  </w:t>
    </w:r>
    <w:r w:rsidR="001A50DF"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A6C77BB"/>
    <w:multiLevelType w:val="hybridMultilevel"/>
    <w:tmpl w:val="49140F7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15:restartNumberingAfterBreak="0">
    <w:nsid w:val="27EC4F98"/>
    <w:multiLevelType w:val="hybridMultilevel"/>
    <w:tmpl w:val="7E089E8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65151FB0"/>
    <w:multiLevelType w:val="multilevel"/>
    <w:tmpl w:val="D922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258940">
    <w:abstractNumId w:val="9"/>
  </w:num>
  <w:num w:numId="2" w16cid:durableId="81529909">
    <w:abstractNumId w:val="7"/>
  </w:num>
  <w:num w:numId="3" w16cid:durableId="1885369276">
    <w:abstractNumId w:val="6"/>
  </w:num>
  <w:num w:numId="4" w16cid:durableId="2136630136">
    <w:abstractNumId w:val="5"/>
  </w:num>
  <w:num w:numId="5" w16cid:durableId="1862356528">
    <w:abstractNumId w:val="3"/>
  </w:num>
  <w:num w:numId="6" w16cid:durableId="1393887156">
    <w:abstractNumId w:val="11"/>
  </w:num>
  <w:num w:numId="7" w16cid:durableId="2015375546">
    <w:abstractNumId w:val="4"/>
  </w:num>
  <w:num w:numId="8" w16cid:durableId="1077902050">
    <w:abstractNumId w:val="12"/>
  </w:num>
  <w:num w:numId="9" w16cid:durableId="698510169">
    <w:abstractNumId w:val="10"/>
  </w:num>
  <w:num w:numId="10" w16cid:durableId="1746490680">
    <w:abstractNumId w:val="0"/>
  </w:num>
  <w:num w:numId="11" w16cid:durableId="14037517">
    <w:abstractNumId w:val="8"/>
  </w:num>
  <w:num w:numId="12" w16cid:durableId="1345546853">
    <w:abstractNumId w:val="2"/>
  </w:num>
  <w:num w:numId="13" w16cid:durableId="1907573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4601"/>
    <w:rsid w:val="0002639C"/>
    <w:rsid w:val="000269F3"/>
    <w:rsid w:val="00041C4C"/>
    <w:rsid w:val="000730E0"/>
    <w:rsid w:val="000A2523"/>
    <w:rsid w:val="000A7F20"/>
    <w:rsid w:val="000E1BCD"/>
    <w:rsid w:val="00101815"/>
    <w:rsid w:val="00106234"/>
    <w:rsid w:val="001436B5"/>
    <w:rsid w:val="00145F87"/>
    <w:rsid w:val="001A50DF"/>
    <w:rsid w:val="001C5F7D"/>
    <w:rsid w:val="001C64AB"/>
    <w:rsid w:val="001F28D8"/>
    <w:rsid w:val="002527B0"/>
    <w:rsid w:val="002E2E4A"/>
    <w:rsid w:val="002E3893"/>
    <w:rsid w:val="002E3FF3"/>
    <w:rsid w:val="002F0247"/>
    <w:rsid w:val="003064CC"/>
    <w:rsid w:val="003B03BD"/>
    <w:rsid w:val="003B299B"/>
    <w:rsid w:val="003E3C8F"/>
    <w:rsid w:val="003F09CF"/>
    <w:rsid w:val="003F3D81"/>
    <w:rsid w:val="003F665D"/>
    <w:rsid w:val="00404238"/>
    <w:rsid w:val="00432973"/>
    <w:rsid w:val="00436E3A"/>
    <w:rsid w:val="00440E3B"/>
    <w:rsid w:val="00455B7A"/>
    <w:rsid w:val="004B17BD"/>
    <w:rsid w:val="004B4B2E"/>
    <w:rsid w:val="004E33FF"/>
    <w:rsid w:val="00512DB7"/>
    <w:rsid w:val="00517683"/>
    <w:rsid w:val="005303EB"/>
    <w:rsid w:val="0054502C"/>
    <w:rsid w:val="00567D23"/>
    <w:rsid w:val="005709FF"/>
    <w:rsid w:val="00592EBC"/>
    <w:rsid w:val="005F646D"/>
    <w:rsid w:val="006042B5"/>
    <w:rsid w:val="00614190"/>
    <w:rsid w:val="0062180F"/>
    <w:rsid w:val="00621DAA"/>
    <w:rsid w:val="0063737F"/>
    <w:rsid w:val="00694C5A"/>
    <w:rsid w:val="006A54D1"/>
    <w:rsid w:val="006C58D1"/>
    <w:rsid w:val="006C5F85"/>
    <w:rsid w:val="006E67C2"/>
    <w:rsid w:val="00722FA1"/>
    <w:rsid w:val="00733B24"/>
    <w:rsid w:val="0076180A"/>
    <w:rsid w:val="007C0349"/>
    <w:rsid w:val="007C7D03"/>
    <w:rsid w:val="007E19CB"/>
    <w:rsid w:val="00800762"/>
    <w:rsid w:val="00800B20"/>
    <w:rsid w:val="00810AC5"/>
    <w:rsid w:val="008B7BAC"/>
    <w:rsid w:val="008C0DE1"/>
    <w:rsid w:val="008E6262"/>
    <w:rsid w:val="008F16E2"/>
    <w:rsid w:val="0095372F"/>
    <w:rsid w:val="009844BD"/>
    <w:rsid w:val="009907BE"/>
    <w:rsid w:val="00992754"/>
    <w:rsid w:val="009E4B4B"/>
    <w:rsid w:val="00A36A7F"/>
    <w:rsid w:val="00A46196"/>
    <w:rsid w:val="00A7639C"/>
    <w:rsid w:val="00AA1D01"/>
    <w:rsid w:val="00AC414B"/>
    <w:rsid w:val="00AC7A72"/>
    <w:rsid w:val="00AD4150"/>
    <w:rsid w:val="00AE20E2"/>
    <w:rsid w:val="00AF738B"/>
    <w:rsid w:val="00B026C1"/>
    <w:rsid w:val="00B1114F"/>
    <w:rsid w:val="00B35444"/>
    <w:rsid w:val="00B478F5"/>
    <w:rsid w:val="00B60CEB"/>
    <w:rsid w:val="00BA1579"/>
    <w:rsid w:val="00BC165B"/>
    <w:rsid w:val="00BD06ED"/>
    <w:rsid w:val="00C014FB"/>
    <w:rsid w:val="00C05380"/>
    <w:rsid w:val="00C06B6E"/>
    <w:rsid w:val="00C66D57"/>
    <w:rsid w:val="00C769F0"/>
    <w:rsid w:val="00CA17E2"/>
    <w:rsid w:val="00CC66BC"/>
    <w:rsid w:val="00CE0CCF"/>
    <w:rsid w:val="00CF60A1"/>
    <w:rsid w:val="00CF78E0"/>
    <w:rsid w:val="00D157B9"/>
    <w:rsid w:val="00D33A6D"/>
    <w:rsid w:val="00D36472"/>
    <w:rsid w:val="00D750C4"/>
    <w:rsid w:val="00D869E9"/>
    <w:rsid w:val="00D86EB3"/>
    <w:rsid w:val="00DB0CAF"/>
    <w:rsid w:val="00DB2C5D"/>
    <w:rsid w:val="00DC50FD"/>
    <w:rsid w:val="00DD2C33"/>
    <w:rsid w:val="00DE52E3"/>
    <w:rsid w:val="00DF42F3"/>
    <w:rsid w:val="00E26840"/>
    <w:rsid w:val="00E46063"/>
    <w:rsid w:val="00E77729"/>
    <w:rsid w:val="00E93E75"/>
    <w:rsid w:val="00ED1C5B"/>
    <w:rsid w:val="00EF6266"/>
    <w:rsid w:val="00F64F2E"/>
    <w:rsid w:val="00F811AF"/>
    <w:rsid w:val="00F85392"/>
    <w:rsid w:val="00F97806"/>
    <w:rsid w:val="00FB34E9"/>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character" w:styleId="FootnoteReference">
    <w:name w:val="footnote reference"/>
    <w:aliases w:val="4_G,4_GA"/>
    <w:basedOn w:val="DefaultParagraphFont"/>
    <w:uiPriority w:val="99"/>
    <w:unhideWhenUsed/>
    <w:qFormat/>
    <w:rsid w:val="006141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lmasryalyoum.com/news/details/2446992" TargetMode="External"/><Relationship Id="rId3" Type="http://schemas.openxmlformats.org/officeDocument/2006/relationships/hyperlink" Target="https://bit.ly/3DSmJay" TargetMode="External"/><Relationship Id="rId7" Type="http://schemas.openxmlformats.org/officeDocument/2006/relationships/hyperlink" Target="https://bit.ly/3ZIuaKd" TargetMode="External"/><Relationship Id="rId2" Type="http://schemas.openxmlformats.org/officeDocument/2006/relationships/hyperlink" Target="https://bit.ly/40xAV2H" TargetMode="External"/><Relationship Id="rId1" Type="http://schemas.openxmlformats.org/officeDocument/2006/relationships/hyperlink" Target="https://bit.ly/3qvy11l" TargetMode="External"/><Relationship Id="rId6" Type="http://schemas.openxmlformats.org/officeDocument/2006/relationships/hyperlink" Target="https://bit.ly/40LtCE3" TargetMode="External"/><Relationship Id="rId5" Type="http://schemas.openxmlformats.org/officeDocument/2006/relationships/hyperlink" Target="https://bit.ly/42Pk3WC" TargetMode="External"/><Relationship Id="rId4" Type="http://schemas.openxmlformats.org/officeDocument/2006/relationships/hyperlink" Target="https://bit.ly/3saa0h6" TargetMode="External"/><Relationship Id="rId9" Type="http://schemas.openxmlformats.org/officeDocument/2006/relationships/hyperlink" Target="https://bit.ly/2WE1cw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Temp.dotx</Template>
  <TotalTime>1</TotalTime>
  <Pages>6</Pages>
  <Words>2981</Words>
  <Characters>16994</Characters>
  <Application>Microsoft Office Word</Application>
  <DocSecurity>0</DocSecurity>
  <Lines>141</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Youssef Hamdan</cp:lastModifiedBy>
  <cp:revision>2</cp:revision>
  <cp:lastPrinted>2015-08-01T10:34:00Z</cp:lastPrinted>
  <dcterms:created xsi:type="dcterms:W3CDTF">2023-10-17T17:50:00Z</dcterms:created>
  <dcterms:modified xsi:type="dcterms:W3CDTF">2023-10-17T17:50:00Z</dcterms:modified>
</cp:coreProperties>
</file>