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297AA" w14:textId="4B4599BA" w:rsidR="00211085" w:rsidRPr="00211085" w:rsidRDefault="00CB26D9" w:rsidP="00211085">
      <w:pPr>
        <w:spacing w:before="100" w:beforeAutospacing="1" w:after="100" w:afterAutospacing="1"/>
        <w:rPr>
          <w:rFonts w:ascii="Times New Roman" w:eastAsia="Times New Roman" w:hAnsi="Times New Roman" w:cs="Times New Roman"/>
          <w:lang w:val="en-US" w:eastAsia="nl-NL"/>
        </w:rPr>
      </w:pPr>
      <w:r>
        <w:rPr>
          <w:rFonts w:ascii="Calibri" w:eastAsia="Times New Roman" w:hAnsi="Calibri" w:cs="Calibri"/>
          <w:b/>
          <w:bCs/>
          <w:sz w:val="22"/>
          <w:szCs w:val="22"/>
          <w:lang w:val="en-US" w:eastAsia="nl-NL"/>
        </w:rPr>
        <w:t xml:space="preserve">The Dutch State, company </w:t>
      </w:r>
      <w:r w:rsidR="00211085" w:rsidRPr="00211085">
        <w:rPr>
          <w:rFonts w:ascii="Calibri" w:eastAsia="Times New Roman" w:hAnsi="Calibri" w:cs="Calibri"/>
          <w:b/>
          <w:bCs/>
          <w:sz w:val="22"/>
          <w:szCs w:val="22"/>
          <w:lang w:val="en-US" w:eastAsia="nl-NL"/>
        </w:rPr>
        <w:t xml:space="preserve">NAM and earthquakes </w:t>
      </w:r>
      <w:r>
        <w:rPr>
          <w:rFonts w:ascii="Calibri" w:eastAsia="Times New Roman" w:hAnsi="Calibri" w:cs="Calibri"/>
          <w:b/>
          <w:bCs/>
          <w:sz w:val="22"/>
          <w:szCs w:val="22"/>
          <w:lang w:val="en-US" w:eastAsia="nl-NL"/>
        </w:rPr>
        <w:t>caused: confirmed as a matter of human rights but in no way addressed as such</w:t>
      </w:r>
    </w:p>
    <w:p w14:paraId="647AF7F3" w14:textId="77777777" w:rsidR="00CB26D9" w:rsidRDefault="00211085" w:rsidP="00211085">
      <w:pPr>
        <w:spacing w:before="100" w:beforeAutospacing="1" w:after="100" w:afterAutospacing="1"/>
        <w:rPr>
          <w:rFonts w:ascii="Calibri" w:eastAsia="Times New Roman" w:hAnsi="Calibri" w:cs="Calibri"/>
          <w:sz w:val="22"/>
          <w:szCs w:val="22"/>
          <w:lang w:val="en-US" w:eastAsia="nl-NL"/>
        </w:rPr>
      </w:pPr>
      <w:r w:rsidRPr="00211085">
        <w:rPr>
          <w:rFonts w:ascii="Calibri" w:eastAsia="Times New Roman" w:hAnsi="Calibri" w:cs="Calibri"/>
          <w:sz w:val="22"/>
          <w:szCs w:val="22"/>
          <w:lang w:val="en-US" w:eastAsia="nl-NL"/>
        </w:rPr>
        <w:t>In Groningen, the Northeastern part of The Netherlands, earthquakes are caused by gas extraction. These ‘</w:t>
      </w:r>
      <w:proofErr w:type="spellStart"/>
      <w:r w:rsidRPr="00211085">
        <w:rPr>
          <w:rFonts w:ascii="Calibri" w:eastAsia="Times New Roman" w:hAnsi="Calibri" w:cs="Calibri"/>
          <w:sz w:val="22"/>
          <w:szCs w:val="22"/>
          <w:lang w:val="en-US" w:eastAsia="nl-NL"/>
        </w:rPr>
        <w:t>gasquakes</w:t>
      </w:r>
      <w:proofErr w:type="spellEnd"/>
      <w:r w:rsidRPr="00211085">
        <w:rPr>
          <w:rFonts w:ascii="Calibri" w:eastAsia="Times New Roman" w:hAnsi="Calibri" w:cs="Calibri"/>
          <w:sz w:val="22"/>
          <w:szCs w:val="22"/>
          <w:lang w:val="en-US" w:eastAsia="nl-NL"/>
        </w:rPr>
        <w:t xml:space="preserve">’ are at a depth of only 3 </w:t>
      </w:r>
      <w:proofErr w:type="spellStart"/>
      <w:proofErr w:type="gramStart"/>
      <w:r w:rsidRPr="00211085">
        <w:rPr>
          <w:rFonts w:ascii="Calibri" w:eastAsia="Times New Roman" w:hAnsi="Calibri" w:cs="Calibri"/>
          <w:sz w:val="22"/>
          <w:szCs w:val="22"/>
          <w:lang w:val="en-US" w:eastAsia="nl-NL"/>
        </w:rPr>
        <w:t>k.m</w:t>
      </w:r>
      <w:proofErr w:type="spellEnd"/>
      <w:r w:rsidRPr="00211085">
        <w:rPr>
          <w:rFonts w:ascii="Calibri" w:eastAsia="Times New Roman" w:hAnsi="Calibri" w:cs="Calibri"/>
          <w:sz w:val="22"/>
          <w:szCs w:val="22"/>
          <w:lang w:val="en-US" w:eastAsia="nl-NL"/>
        </w:rPr>
        <w:t>., and</w:t>
      </w:r>
      <w:proofErr w:type="gramEnd"/>
      <w:r w:rsidRPr="00211085">
        <w:rPr>
          <w:rFonts w:ascii="Calibri" w:eastAsia="Times New Roman" w:hAnsi="Calibri" w:cs="Calibri"/>
          <w:sz w:val="22"/>
          <w:szCs w:val="22"/>
          <w:lang w:val="en-US" w:eastAsia="nl-NL"/>
        </w:rPr>
        <w:t xml:space="preserve"> cause a lot of damage to the houses in the region. Around 50 </w:t>
      </w:r>
      <w:proofErr w:type="spellStart"/>
      <w:r w:rsidRPr="00211085">
        <w:rPr>
          <w:rFonts w:ascii="Calibri" w:eastAsia="Times New Roman" w:hAnsi="Calibri" w:cs="Calibri"/>
          <w:i/>
          <w:iCs/>
          <w:sz w:val="22"/>
          <w:szCs w:val="22"/>
          <w:lang w:val="en-US" w:eastAsia="nl-NL"/>
        </w:rPr>
        <w:t>gasquakes</w:t>
      </w:r>
      <w:proofErr w:type="spellEnd"/>
      <w:r w:rsidRPr="00211085">
        <w:rPr>
          <w:rFonts w:ascii="Calibri" w:eastAsia="Times New Roman" w:hAnsi="Calibri" w:cs="Calibri"/>
          <w:sz w:val="22"/>
          <w:szCs w:val="22"/>
          <w:lang w:val="en-US" w:eastAsia="nl-NL"/>
        </w:rPr>
        <w:t xml:space="preserve"> took place in 2022</w:t>
      </w:r>
      <w:r w:rsidRPr="00211085">
        <w:rPr>
          <w:rStyle w:val="Voetnootmarkering"/>
          <w:rFonts w:ascii="Calibri" w:eastAsia="Times New Roman" w:hAnsi="Calibri" w:cs="Calibri"/>
          <w:sz w:val="22"/>
          <w:szCs w:val="22"/>
          <w:lang w:val="en-US" w:eastAsia="nl-NL"/>
        </w:rPr>
        <w:footnoteReference w:id="1"/>
      </w:r>
      <w:r w:rsidRPr="00211085">
        <w:rPr>
          <w:rFonts w:ascii="Calibri" w:eastAsia="Times New Roman" w:hAnsi="Calibri" w:cs="Calibri"/>
          <w:sz w:val="22"/>
          <w:szCs w:val="22"/>
          <w:lang w:val="en-US" w:eastAsia="nl-NL"/>
        </w:rPr>
        <w:t>. People in this area of the country suffer in their physical health and mental wellbeing, because of the stress they endure. Their houses are unsafe (</w:t>
      </w:r>
      <w:proofErr w:type="gramStart"/>
      <w:r w:rsidRPr="00211085">
        <w:rPr>
          <w:rFonts w:ascii="Calibri" w:eastAsia="Times New Roman" w:hAnsi="Calibri" w:cs="Calibri"/>
          <w:sz w:val="22"/>
          <w:szCs w:val="22"/>
          <w:lang w:val="en-US" w:eastAsia="nl-NL"/>
        </w:rPr>
        <w:t>a number of</w:t>
      </w:r>
      <w:proofErr w:type="gramEnd"/>
      <w:r w:rsidRPr="00211085">
        <w:rPr>
          <w:rFonts w:ascii="Calibri" w:eastAsia="Times New Roman" w:hAnsi="Calibri" w:cs="Calibri"/>
          <w:sz w:val="22"/>
          <w:szCs w:val="22"/>
          <w:lang w:val="en-US" w:eastAsia="nl-NL"/>
        </w:rPr>
        <w:t xml:space="preserve"> houses may collapse when a big </w:t>
      </w:r>
      <w:proofErr w:type="spellStart"/>
      <w:r w:rsidRPr="00211085">
        <w:rPr>
          <w:rFonts w:ascii="Calibri" w:eastAsia="Times New Roman" w:hAnsi="Calibri" w:cs="Calibri"/>
          <w:i/>
          <w:iCs/>
          <w:sz w:val="22"/>
          <w:szCs w:val="22"/>
          <w:lang w:val="en-US" w:eastAsia="nl-NL"/>
        </w:rPr>
        <w:t>gasquake</w:t>
      </w:r>
      <w:proofErr w:type="spellEnd"/>
      <w:r w:rsidRPr="00211085">
        <w:rPr>
          <w:rFonts w:ascii="Calibri" w:eastAsia="Times New Roman" w:hAnsi="Calibri" w:cs="Calibri"/>
          <w:sz w:val="22"/>
          <w:szCs w:val="22"/>
          <w:lang w:val="en-US" w:eastAsia="nl-NL"/>
        </w:rPr>
        <w:t xml:space="preserve"> occurs) and are damaged. The general health is declining, and each year people die due to the stress caused by gas extraction, research shows.</w:t>
      </w:r>
      <w:r w:rsidRPr="00211085">
        <w:rPr>
          <w:rStyle w:val="Voetnootmarkering"/>
          <w:rFonts w:ascii="Calibri" w:eastAsia="Times New Roman" w:hAnsi="Calibri" w:cs="Calibri"/>
          <w:sz w:val="22"/>
          <w:szCs w:val="22"/>
          <w:lang w:val="en-US" w:eastAsia="nl-NL"/>
        </w:rPr>
        <w:footnoteReference w:id="2"/>
      </w:r>
      <w:r w:rsidRPr="00211085">
        <w:rPr>
          <w:rFonts w:ascii="Calibri" w:eastAsia="Times New Roman" w:hAnsi="Calibri" w:cs="Calibri"/>
          <w:sz w:val="22"/>
          <w:szCs w:val="22"/>
          <w:lang w:val="en-US" w:eastAsia="nl-NL"/>
        </w:rPr>
        <w:t xml:space="preserve"> Children also live with the stress they see their parents endure.</w:t>
      </w:r>
      <w:r>
        <w:rPr>
          <w:rStyle w:val="Voetnootmarkering"/>
          <w:rFonts w:ascii="Calibri" w:eastAsia="Times New Roman" w:hAnsi="Calibri" w:cs="Calibri"/>
          <w:sz w:val="22"/>
          <w:szCs w:val="22"/>
          <w:lang w:val="en-US" w:eastAsia="nl-NL"/>
        </w:rPr>
        <w:footnoteReference w:id="3"/>
      </w:r>
      <w:r w:rsidRPr="00211085">
        <w:rPr>
          <w:rFonts w:ascii="Calibri" w:eastAsia="Times New Roman" w:hAnsi="Calibri" w:cs="Calibri"/>
          <w:position w:val="8"/>
          <w:sz w:val="14"/>
          <w:szCs w:val="14"/>
          <w:lang w:val="en-US" w:eastAsia="nl-NL"/>
        </w:rPr>
        <w:t xml:space="preserve"> </w:t>
      </w:r>
      <w:r w:rsidRPr="00211085">
        <w:rPr>
          <w:rFonts w:ascii="Calibri" w:eastAsia="Times New Roman" w:hAnsi="Calibri" w:cs="Calibri"/>
          <w:sz w:val="22"/>
          <w:szCs w:val="22"/>
          <w:lang w:val="en-US" w:eastAsia="nl-NL"/>
        </w:rPr>
        <w:t xml:space="preserve">And at the same time, after many years of struggling, many of the affected are still not adequately compensated by the government and the profiting company. The gas extraction is done by: NAM, which is a Shell and Exxon owned company. </w:t>
      </w:r>
    </w:p>
    <w:p w14:paraId="152139C4" w14:textId="311EC4DB" w:rsidR="00211085" w:rsidRPr="00211085" w:rsidRDefault="00211085" w:rsidP="00211085">
      <w:pPr>
        <w:spacing w:before="100" w:beforeAutospacing="1" w:after="100" w:afterAutospacing="1"/>
        <w:rPr>
          <w:rFonts w:ascii="Times New Roman" w:eastAsia="Times New Roman" w:hAnsi="Times New Roman" w:cs="Times New Roman"/>
          <w:lang w:val="en-US" w:eastAsia="nl-NL"/>
        </w:rPr>
      </w:pPr>
      <w:r w:rsidRPr="00211085">
        <w:rPr>
          <w:rFonts w:ascii="Calibri" w:eastAsia="Times New Roman" w:hAnsi="Calibri" w:cs="Calibri"/>
          <w:sz w:val="22"/>
          <w:szCs w:val="22"/>
          <w:lang w:val="en-US" w:eastAsia="nl-NL"/>
        </w:rPr>
        <w:t>Despite very specific and urgent recommendations by CESCR in 2017 and CCPR in 2019</w:t>
      </w:r>
      <w:r w:rsidR="00CB26D9">
        <w:rPr>
          <w:rFonts w:ascii="Calibri" w:eastAsia="Times New Roman" w:hAnsi="Calibri" w:cs="Calibri"/>
          <w:sz w:val="22"/>
          <w:szCs w:val="22"/>
          <w:lang w:val="en-US" w:eastAsia="nl-NL"/>
        </w:rPr>
        <w:t xml:space="preserve">, </w:t>
      </w:r>
      <w:r w:rsidRPr="00211085">
        <w:rPr>
          <w:rFonts w:ascii="Calibri" w:eastAsia="Times New Roman" w:hAnsi="Calibri" w:cs="Calibri"/>
          <w:sz w:val="22"/>
          <w:szCs w:val="22"/>
          <w:lang w:val="en-US" w:eastAsia="nl-NL"/>
        </w:rPr>
        <w:t xml:space="preserve">no human rights-based action or assessment was implemented, and true meaningful participation has not yet taken place. The government, which is based in The Hague, decides over the people of Groningen. But the people of Groningen are not truly heard, let alone consulted in the process of ending the gas drilling and compensating damages. </w:t>
      </w:r>
    </w:p>
    <w:p w14:paraId="7E598B4E" w14:textId="6ADA3F94" w:rsidR="006D4FEA" w:rsidRPr="00CB26D9" w:rsidRDefault="00211085" w:rsidP="00CB26D9">
      <w:pPr>
        <w:spacing w:before="100" w:beforeAutospacing="1" w:after="100" w:afterAutospacing="1"/>
        <w:rPr>
          <w:rFonts w:ascii="Times New Roman" w:eastAsia="Times New Roman" w:hAnsi="Times New Roman" w:cs="Times New Roman"/>
          <w:lang w:val="en-US" w:eastAsia="nl-NL"/>
        </w:rPr>
      </w:pPr>
      <w:r w:rsidRPr="00211085">
        <w:rPr>
          <w:rFonts w:ascii="Calibri" w:eastAsia="Times New Roman" w:hAnsi="Calibri" w:cs="Calibri"/>
          <w:sz w:val="22"/>
          <w:szCs w:val="22"/>
          <w:lang w:val="en-US" w:eastAsia="nl-NL"/>
        </w:rPr>
        <w:t xml:space="preserve">Besides of the state taking too little action to restrict the amount and impact of the earthquakes, solutions continue to be difficult to impossible for people with damaged and unsafe houses. The state promised their citizens in Groningen to make all the houses safe by judging 27,222 buildings on safety, and by reinforcing or rebuilding them when necessary. They also guaranteed the people in Groningen a reasonable and fair compensation for the damages, like cracks in the walls, caused by the </w:t>
      </w:r>
      <w:proofErr w:type="spellStart"/>
      <w:r w:rsidRPr="00211085">
        <w:rPr>
          <w:rFonts w:ascii="Calibri" w:eastAsia="Times New Roman" w:hAnsi="Calibri" w:cs="Calibri"/>
          <w:i/>
          <w:iCs/>
          <w:sz w:val="22"/>
          <w:szCs w:val="22"/>
          <w:lang w:val="en-US" w:eastAsia="nl-NL"/>
        </w:rPr>
        <w:t>gasquakes</w:t>
      </w:r>
      <w:proofErr w:type="spellEnd"/>
      <w:r w:rsidRPr="00211085">
        <w:rPr>
          <w:rFonts w:ascii="Calibri" w:eastAsia="Times New Roman" w:hAnsi="Calibri" w:cs="Calibri"/>
          <w:sz w:val="22"/>
          <w:szCs w:val="22"/>
          <w:lang w:val="en-US" w:eastAsia="nl-NL"/>
        </w:rPr>
        <w:t>. The implementation leaves much to be desired.</w:t>
      </w:r>
      <w:r w:rsidRPr="00211085">
        <w:rPr>
          <w:rFonts w:ascii="Calibri" w:eastAsia="Times New Roman" w:hAnsi="Calibri" w:cs="Calibri"/>
          <w:sz w:val="22"/>
          <w:szCs w:val="22"/>
          <w:lang w:val="en-US" w:eastAsia="nl-NL"/>
        </w:rPr>
        <w:br/>
      </w:r>
      <w:r w:rsidRPr="00211085">
        <w:rPr>
          <w:rFonts w:ascii="Calibri" w:eastAsia="Times New Roman" w:hAnsi="Calibri" w:cs="Calibri"/>
          <w:sz w:val="22"/>
          <w:szCs w:val="22"/>
          <w:lang w:val="en-US" w:eastAsia="nl-NL"/>
        </w:rPr>
        <w:br/>
        <w:t>Since the start of the reinforcement operation in 2015, at this very moment only 24% of the total scope of 27,222 houses have been judged and when necessary been demolished and rebuilt or reinforced.</w:t>
      </w:r>
      <w:r>
        <w:rPr>
          <w:rStyle w:val="Voetnootmarkering"/>
          <w:rFonts w:ascii="Calibri" w:eastAsia="Times New Roman" w:hAnsi="Calibri" w:cs="Calibri"/>
          <w:sz w:val="22"/>
          <w:szCs w:val="22"/>
          <w:lang w:val="en-US" w:eastAsia="nl-NL"/>
        </w:rPr>
        <w:footnoteReference w:id="4"/>
      </w:r>
      <w:r w:rsidRPr="00211085">
        <w:rPr>
          <w:rFonts w:ascii="Calibri" w:eastAsia="Times New Roman" w:hAnsi="Calibri" w:cs="Calibri"/>
          <w:sz w:val="22"/>
          <w:szCs w:val="22"/>
          <w:lang w:val="en-US" w:eastAsia="nl-NL"/>
        </w:rPr>
        <w:t xml:space="preserve"> The process of damage compensation takes on average an increasing amount of time. There are around 20,000 open files, thus citizens still waiting for compensation.</w:t>
      </w:r>
      <w:r w:rsidRPr="00211085">
        <w:rPr>
          <w:rStyle w:val="Voetnootmarkering"/>
          <w:rFonts w:ascii="Calibri" w:eastAsia="Times New Roman" w:hAnsi="Calibri" w:cs="Calibri"/>
          <w:sz w:val="22"/>
          <w:szCs w:val="22"/>
          <w:lang w:val="en-US" w:eastAsia="nl-NL"/>
        </w:rPr>
        <w:footnoteReference w:id="5"/>
      </w:r>
      <w:r w:rsidRPr="00211085">
        <w:rPr>
          <w:rFonts w:ascii="Calibri" w:eastAsia="Times New Roman" w:hAnsi="Calibri" w:cs="Calibri"/>
          <w:sz w:val="22"/>
          <w:szCs w:val="22"/>
          <w:lang w:val="en-US" w:eastAsia="nl-NL"/>
        </w:rPr>
        <w:t xml:space="preserve"> Over 40% of these files last more than six months from filing to decision. When filling out a new form to report damage, people get a letter which states that the average waiting time is up to 13 months. You can also choose a standard amount of compensation money (5000 euro), but this has a high risk: after accepting the fixed fee, you can’t normally report a new damage</w:t>
      </w:r>
      <w:r>
        <w:rPr>
          <w:rFonts w:ascii="Calibri" w:eastAsia="Times New Roman" w:hAnsi="Calibri" w:cs="Calibri"/>
          <w:sz w:val="22"/>
          <w:szCs w:val="22"/>
          <w:lang w:val="en-US" w:eastAsia="nl-NL"/>
        </w:rPr>
        <w:t>, but</w:t>
      </w:r>
      <w:r w:rsidRPr="00211085">
        <w:rPr>
          <w:rFonts w:ascii="Calibri" w:eastAsia="Times New Roman" w:hAnsi="Calibri" w:cs="Calibri"/>
          <w:sz w:val="22"/>
          <w:szCs w:val="22"/>
          <w:lang w:val="en-US" w:eastAsia="nl-NL"/>
        </w:rPr>
        <w:t xml:space="preserve"> the </w:t>
      </w:r>
      <w:proofErr w:type="spellStart"/>
      <w:r w:rsidRPr="00211085">
        <w:rPr>
          <w:rFonts w:ascii="Calibri" w:eastAsia="Times New Roman" w:hAnsi="Calibri" w:cs="Calibri"/>
          <w:i/>
          <w:iCs/>
          <w:sz w:val="22"/>
          <w:szCs w:val="22"/>
          <w:lang w:val="en-US" w:eastAsia="nl-NL"/>
        </w:rPr>
        <w:t>gasquakes</w:t>
      </w:r>
      <w:proofErr w:type="spellEnd"/>
      <w:r w:rsidRPr="00211085">
        <w:rPr>
          <w:rFonts w:ascii="Calibri" w:eastAsia="Times New Roman" w:hAnsi="Calibri" w:cs="Calibri"/>
          <w:sz w:val="22"/>
          <w:szCs w:val="22"/>
          <w:lang w:val="en-US" w:eastAsia="nl-NL"/>
        </w:rPr>
        <w:t xml:space="preserve"> have not yet stopped. The number of appeals against decisions of the Mining Damage Institute Groningen (IMG) is increasing.</w:t>
      </w:r>
      <w:r w:rsidR="00CB26D9">
        <w:rPr>
          <w:rFonts w:ascii="Times New Roman" w:eastAsia="Times New Roman" w:hAnsi="Times New Roman" w:cs="Times New Roman"/>
          <w:lang w:val="en-US" w:eastAsia="nl-NL"/>
        </w:rPr>
        <w:br/>
      </w:r>
      <w:r w:rsidRPr="00211085">
        <w:rPr>
          <w:rFonts w:ascii="Calibri" w:eastAsia="Times New Roman" w:hAnsi="Calibri" w:cs="Calibri"/>
          <w:sz w:val="22"/>
          <w:szCs w:val="22"/>
          <w:lang w:val="en-US" w:eastAsia="nl-NL"/>
        </w:rPr>
        <w:br/>
        <w:t xml:space="preserve">The NAM, as a company, is also responsible to respect human rights and should – through a proper due diligence process – ensure no human rights violations take place. In the end the Dutch government remains primarily responsible, based on human rights. The Council of State, our highest </w:t>
      </w:r>
      <w:r w:rsidRPr="00211085">
        <w:rPr>
          <w:rFonts w:ascii="Calibri" w:eastAsia="Times New Roman" w:hAnsi="Calibri" w:cs="Calibri"/>
          <w:sz w:val="22"/>
          <w:szCs w:val="22"/>
          <w:lang w:val="en-US" w:eastAsia="nl-NL"/>
        </w:rPr>
        <w:lastRenderedPageBreak/>
        <w:t>administrative court on 3 July 2019 declared</w:t>
      </w:r>
      <w:r>
        <w:rPr>
          <w:rStyle w:val="Voetnootmarkering"/>
          <w:rFonts w:ascii="Calibri" w:eastAsia="Times New Roman" w:hAnsi="Calibri" w:cs="Calibri"/>
          <w:sz w:val="22"/>
          <w:szCs w:val="22"/>
          <w:lang w:val="en-US" w:eastAsia="nl-NL"/>
        </w:rPr>
        <w:footnoteReference w:id="6"/>
      </w:r>
      <w:r w:rsidRPr="00211085">
        <w:rPr>
          <w:rFonts w:ascii="Calibri" w:eastAsia="Times New Roman" w:hAnsi="Calibri" w:cs="Calibri"/>
          <w:position w:val="8"/>
          <w:sz w:val="14"/>
          <w:szCs w:val="14"/>
          <w:lang w:val="en-US" w:eastAsia="nl-NL"/>
        </w:rPr>
        <w:t xml:space="preserve"> </w:t>
      </w:r>
      <w:r w:rsidRPr="00211085">
        <w:rPr>
          <w:rFonts w:ascii="Calibri" w:eastAsia="Times New Roman" w:hAnsi="Calibri" w:cs="Calibri"/>
          <w:sz w:val="22"/>
          <w:szCs w:val="22"/>
          <w:lang w:val="en-US" w:eastAsia="nl-NL"/>
        </w:rPr>
        <w:t>that because of human rights (the right to life and right to family life), the Minister of Economic Affairs and Climate must provide better reasons as to why gas extraction from the Groningen field cannot be phased out more quickly. Other, more recent, rulings and policy continue to cause stress and uncertainty for the people in Groningen. On 15 July 2020 the Council of State</w:t>
      </w:r>
      <w:r>
        <w:rPr>
          <w:rStyle w:val="Voetnootmarkering"/>
          <w:rFonts w:ascii="Calibri" w:eastAsia="Times New Roman" w:hAnsi="Calibri" w:cs="Calibri"/>
          <w:sz w:val="22"/>
          <w:szCs w:val="22"/>
          <w:lang w:val="en-US" w:eastAsia="nl-NL"/>
        </w:rPr>
        <w:footnoteReference w:id="7"/>
      </w:r>
      <w:r w:rsidRPr="00211085">
        <w:rPr>
          <w:rFonts w:ascii="Calibri" w:eastAsia="Times New Roman" w:hAnsi="Calibri" w:cs="Calibri"/>
          <w:position w:val="8"/>
          <w:sz w:val="14"/>
          <w:szCs w:val="14"/>
          <w:lang w:val="en-US" w:eastAsia="nl-NL"/>
        </w:rPr>
        <w:t xml:space="preserve"> </w:t>
      </w:r>
      <w:r w:rsidRPr="00211085">
        <w:rPr>
          <w:rFonts w:ascii="Calibri" w:eastAsia="Times New Roman" w:hAnsi="Calibri" w:cs="Calibri"/>
          <w:sz w:val="22"/>
          <w:szCs w:val="22"/>
          <w:lang w:val="en-US" w:eastAsia="nl-NL"/>
        </w:rPr>
        <w:t xml:space="preserve">ruled that the Minister of Economic Affairs and Climate correctly weighed the safety interests of the inhabitants of Groningen. It affirmed that the reinforcement of houses was too slow but that its pace is increasing. It also concluded that the process of damage compensation was improving. However, when you ask someone in Groningen nowadays, they wouldn’t agree. </w:t>
      </w:r>
      <w:r w:rsidR="00CB26D9">
        <w:rPr>
          <w:rFonts w:ascii="Calibri" w:eastAsia="Times New Roman" w:hAnsi="Calibri" w:cs="Calibri"/>
          <w:sz w:val="22"/>
          <w:szCs w:val="22"/>
          <w:lang w:val="en-US" w:eastAsia="nl-NL"/>
        </w:rPr>
        <w:br/>
      </w:r>
      <w:r w:rsidR="00CB26D9">
        <w:rPr>
          <w:rFonts w:ascii="Calibri" w:eastAsia="Times New Roman" w:hAnsi="Calibri" w:cs="Calibri"/>
          <w:sz w:val="22"/>
          <w:szCs w:val="22"/>
          <w:lang w:val="en-US" w:eastAsia="nl-NL"/>
        </w:rPr>
        <w:br/>
      </w:r>
      <w:r w:rsidRPr="00211085">
        <w:rPr>
          <w:rFonts w:ascii="Calibri" w:eastAsia="Times New Roman" w:hAnsi="Calibri" w:cs="Calibri"/>
          <w:sz w:val="22"/>
          <w:szCs w:val="22"/>
          <w:lang w:val="en-US" w:eastAsia="nl-NL"/>
        </w:rPr>
        <w:t>On 21 July 2021</w:t>
      </w:r>
      <w:r>
        <w:rPr>
          <w:rStyle w:val="Voetnootmarkering"/>
          <w:rFonts w:ascii="Calibri" w:eastAsia="Times New Roman" w:hAnsi="Calibri" w:cs="Calibri"/>
          <w:sz w:val="22"/>
          <w:szCs w:val="22"/>
          <w:lang w:val="en-US" w:eastAsia="nl-NL"/>
        </w:rPr>
        <w:footnoteReference w:id="8"/>
      </w:r>
      <w:r w:rsidRPr="00211085">
        <w:rPr>
          <w:rFonts w:ascii="Calibri" w:eastAsia="Times New Roman" w:hAnsi="Calibri" w:cs="Calibri"/>
          <w:position w:val="8"/>
          <w:sz w:val="14"/>
          <w:szCs w:val="14"/>
          <w:lang w:val="en-US" w:eastAsia="nl-NL"/>
        </w:rPr>
        <w:t xml:space="preserve"> </w:t>
      </w:r>
      <w:r w:rsidRPr="00211085">
        <w:rPr>
          <w:rFonts w:ascii="Calibri" w:eastAsia="Times New Roman" w:hAnsi="Calibri" w:cs="Calibri"/>
          <w:sz w:val="22"/>
          <w:szCs w:val="22"/>
          <w:lang w:val="en-US" w:eastAsia="nl-NL"/>
        </w:rPr>
        <w:t xml:space="preserve">the Council of State stated that the reinforcement of houses was still too </w:t>
      </w:r>
      <w:proofErr w:type="gramStart"/>
      <w:r w:rsidRPr="00211085">
        <w:rPr>
          <w:rFonts w:ascii="Calibri" w:eastAsia="Times New Roman" w:hAnsi="Calibri" w:cs="Calibri"/>
          <w:sz w:val="22"/>
          <w:szCs w:val="22"/>
          <w:lang w:val="en-US" w:eastAsia="nl-NL"/>
        </w:rPr>
        <w:t>slow</w:t>
      </w:r>
      <w:proofErr w:type="gramEnd"/>
      <w:r w:rsidRPr="00211085">
        <w:rPr>
          <w:rFonts w:ascii="Calibri" w:eastAsia="Times New Roman" w:hAnsi="Calibri" w:cs="Calibri"/>
          <w:sz w:val="22"/>
          <w:szCs w:val="22"/>
          <w:lang w:val="en-US" w:eastAsia="nl-NL"/>
        </w:rPr>
        <w:t xml:space="preserve"> and steps should be taken to accelerate the process. However, since the gas extraction was being reduced progressively, it ruled that the slow pace of reinforcement was no obstruction to the Minister’s decree. It further repeated its conclusions regarding the damage compensation scheme and the efforts to end the gas extraction as soon as possible. </w:t>
      </w:r>
      <w:r w:rsidRPr="00211085">
        <w:rPr>
          <w:rFonts w:ascii="Calibri" w:eastAsia="Times New Roman" w:hAnsi="Calibri" w:cs="Calibri"/>
          <w:sz w:val="22"/>
          <w:szCs w:val="22"/>
          <w:lang w:val="en-US" w:eastAsia="nl-NL"/>
        </w:rPr>
        <w:br/>
      </w:r>
      <w:r w:rsidRPr="00211085">
        <w:rPr>
          <w:rFonts w:ascii="Calibri" w:eastAsia="Times New Roman" w:hAnsi="Calibri" w:cs="Calibri"/>
          <w:sz w:val="22"/>
          <w:szCs w:val="22"/>
          <w:lang w:val="en-US" w:eastAsia="nl-NL"/>
        </w:rPr>
        <w:br/>
        <w:t xml:space="preserve">In January 2022 a Secretary of State for Mining was appointed. He now is the one who decides about the gas extraction. The world has changed in 2022 due to the war in Ukraine and the increasing demand of gas in Europe. Still, the Secretary of State for Mining states that only if people become in danger by a gas shortage, he will increase the gas extraction in Groningen. </w:t>
      </w:r>
      <w:r>
        <w:rPr>
          <w:rFonts w:ascii="Calibri" w:eastAsia="Times New Roman" w:hAnsi="Calibri" w:cs="Calibri"/>
          <w:sz w:val="22"/>
          <w:szCs w:val="22"/>
          <w:lang w:val="en-US" w:eastAsia="nl-NL"/>
        </w:rPr>
        <w:t xml:space="preserve">The Dutch government also has </w:t>
      </w:r>
      <w:r w:rsidRPr="00211085">
        <w:rPr>
          <w:rFonts w:ascii="Calibri" w:eastAsia="Times New Roman" w:hAnsi="Calibri" w:cs="Calibri"/>
          <w:sz w:val="22"/>
          <w:szCs w:val="22"/>
          <w:lang w:val="en-US" w:eastAsia="nl-NL"/>
        </w:rPr>
        <w:t xml:space="preserve">contractual obligations with </w:t>
      </w:r>
      <w:r>
        <w:rPr>
          <w:rFonts w:ascii="Calibri" w:eastAsia="Times New Roman" w:hAnsi="Calibri" w:cs="Calibri"/>
          <w:sz w:val="22"/>
          <w:szCs w:val="22"/>
          <w:lang w:val="en-US" w:eastAsia="nl-NL"/>
        </w:rPr>
        <w:t xml:space="preserve">other European countries like </w:t>
      </w:r>
      <w:r w:rsidRPr="00211085">
        <w:rPr>
          <w:rFonts w:ascii="Calibri" w:eastAsia="Times New Roman" w:hAnsi="Calibri" w:cs="Calibri"/>
          <w:sz w:val="22"/>
          <w:szCs w:val="22"/>
          <w:lang w:val="en-US" w:eastAsia="nl-NL"/>
        </w:rPr>
        <w:t>Germany</w:t>
      </w:r>
      <w:r>
        <w:rPr>
          <w:rFonts w:ascii="Calibri" w:eastAsia="Times New Roman" w:hAnsi="Calibri" w:cs="Calibri"/>
          <w:sz w:val="22"/>
          <w:szCs w:val="22"/>
          <w:lang w:val="en-US" w:eastAsia="nl-NL"/>
        </w:rPr>
        <w:t>, which may also lead to a demand for extra gas from Groningen</w:t>
      </w:r>
      <w:r w:rsidRPr="00211085">
        <w:rPr>
          <w:rFonts w:ascii="Calibri" w:eastAsia="Times New Roman" w:hAnsi="Calibri" w:cs="Calibri"/>
          <w:sz w:val="22"/>
          <w:szCs w:val="22"/>
          <w:lang w:val="en-US" w:eastAsia="nl-NL"/>
        </w:rPr>
        <w:t>.</w:t>
      </w:r>
      <w:r>
        <w:rPr>
          <w:rStyle w:val="Voetnootmarkering"/>
          <w:rFonts w:ascii="Calibri" w:eastAsia="Times New Roman" w:hAnsi="Calibri" w:cs="Calibri"/>
          <w:sz w:val="22"/>
          <w:szCs w:val="22"/>
          <w:lang w:val="en-US" w:eastAsia="nl-NL"/>
        </w:rPr>
        <w:footnoteReference w:id="9"/>
      </w:r>
      <w:r w:rsidRPr="00211085">
        <w:rPr>
          <w:rFonts w:ascii="Calibri" w:eastAsia="Times New Roman" w:hAnsi="Calibri" w:cs="Calibri"/>
          <w:position w:val="8"/>
          <w:sz w:val="14"/>
          <w:szCs w:val="14"/>
          <w:lang w:val="en-US" w:eastAsia="nl-NL"/>
        </w:rPr>
        <w:t xml:space="preserve"> </w:t>
      </w:r>
      <w:r>
        <w:rPr>
          <w:rFonts w:ascii="Calibri" w:eastAsia="Times New Roman" w:hAnsi="Calibri" w:cs="Calibri"/>
          <w:position w:val="8"/>
          <w:sz w:val="14"/>
          <w:szCs w:val="14"/>
          <w:lang w:val="en-US" w:eastAsia="nl-NL"/>
        </w:rPr>
        <w:t xml:space="preserve"> </w:t>
      </w:r>
      <w:r>
        <w:rPr>
          <w:rFonts w:ascii="Calibri" w:eastAsia="Times New Roman" w:hAnsi="Calibri" w:cs="Calibri"/>
          <w:sz w:val="22"/>
          <w:szCs w:val="22"/>
          <w:lang w:val="en-US" w:eastAsia="nl-NL"/>
        </w:rPr>
        <w:t>T</w:t>
      </w:r>
      <w:r w:rsidRPr="00211085">
        <w:rPr>
          <w:rFonts w:ascii="Calibri" w:eastAsia="Times New Roman" w:hAnsi="Calibri" w:cs="Calibri"/>
          <w:sz w:val="22"/>
          <w:szCs w:val="22"/>
          <w:lang w:val="en-US" w:eastAsia="nl-NL"/>
        </w:rPr>
        <w:t>he Secretary of State for Mining plans to close the gas field at the end of 2023 or early 2024</w:t>
      </w:r>
      <w:r>
        <w:rPr>
          <w:rFonts w:ascii="Calibri" w:eastAsia="Times New Roman" w:hAnsi="Calibri" w:cs="Calibri"/>
          <w:sz w:val="22"/>
          <w:szCs w:val="22"/>
          <w:lang w:val="en-US" w:eastAsia="nl-NL"/>
        </w:rPr>
        <w:t>.</w:t>
      </w:r>
      <w:r>
        <w:rPr>
          <w:rStyle w:val="Voetnootmarkering"/>
          <w:rFonts w:ascii="Calibri" w:eastAsia="Times New Roman" w:hAnsi="Calibri" w:cs="Calibri"/>
          <w:sz w:val="22"/>
          <w:szCs w:val="22"/>
          <w:lang w:val="en-US" w:eastAsia="nl-NL"/>
        </w:rPr>
        <w:footnoteReference w:id="10"/>
      </w:r>
      <w:r w:rsidRPr="00211085">
        <w:rPr>
          <w:rFonts w:ascii="Calibri" w:eastAsia="Times New Roman" w:hAnsi="Calibri" w:cs="Calibri"/>
          <w:sz w:val="22"/>
          <w:szCs w:val="22"/>
          <w:lang w:val="en-US" w:eastAsia="nl-NL"/>
        </w:rPr>
        <w:t xml:space="preserve"> But because of all the unsure factors, the situation in Groningen </w:t>
      </w:r>
      <w:r>
        <w:rPr>
          <w:rFonts w:ascii="Calibri" w:eastAsia="Times New Roman" w:hAnsi="Calibri" w:cs="Calibri"/>
          <w:sz w:val="22"/>
          <w:szCs w:val="22"/>
          <w:lang w:val="en-US" w:eastAsia="nl-NL"/>
        </w:rPr>
        <w:t xml:space="preserve">stays </w:t>
      </w:r>
      <w:r w:rsidRPr="00211085">
        <w:rPr>
          <w:rFonts w:ascii="Calibri" w:eastAsia="Times New Roman" w:hAnsi="Calibri" w:cs="Calibri"/>
          <w:sz w:val="22"/>
          <w:szCs w:val="22"/>
          <w:lang w:val="en-US" w:eastAsia="nl-NL"/>
        </w:rPr>
        <w:t>uncertain. The closing of the gas field is not enshrined in the law. And even after closing the gas field, it can take up to 10 years for the ground to stabilize. So, it is of utmost importance for the future of Groningen to close the field as soon as possible. Only when the gas</w:t>
      </w:r>
      <w:r>
        <w:rPr>
          <w:rFonts w:ascii="Calibri" w:eastAsia="Times New Roman" w:hAnsi="Calibri" w:cs="Calibri"/>
          <w:sz w:val="22"/>
          <w:szCs w:val="22"/>
          <w:lang w:val="en-US" w:eastAsia="nl-NL"/>
        </w:rPr>
        <w:t xml:space="preserve"> </w:t>
      </w:r>
      <w:r w:rsidRPr="00211085">
        <w:rPr>
          <w:rFonts w:ascii="Calibri" w:eastAsia="Times New Roman" w:hAnsi="Calibri" w:cs="Calibri"/>
          <w:sz w:val="22"/>
          <w:szCs w:val="22"/>
          <w:lang w:val="en-US" w:eastAsia="nl-NL"/>
        </w:rPr>
        <w:t>field is closed</w:t>
      </w:r>
      <w:r>
        <w:rPr>
          <w:rFonts w:ascii="Calibri" w:eastAsia="Times New Roman" w:hAnsi="Calibri" w:cs="Calibri"/>
          <w:sz w:val="22"/>
          <w:szCs w:val="22"/>
          <w:lang w:val="en-US" w:eastAsia="nl-NL"/>
        </w:rPr>
        <w:t xml:space="preserve"> </w:t>
      </w:r>
      <w:r w:rsidRPr="00211085">
        <w:rPr>
          <w:rFonts w:ascii="Calibri" w:eastAsia="Times New Roman" w:hAnsi="Calibri" w:cs="Calibri"/>
          <w:i/>
          <w:iCs/>
          <w:sz w:val="22"/>
          <w:szCs w:val="22"/>
          <w:lang w:val="en-US" w:eastAsia="nl-NL"/>
        </w:rPr>
        <w:t>and</w:t>
      </w:r>
      <w:r w:rsidRPr="00211085">
        <w:rPr>
          <w:rFonts w:ascii="Calibri" w:eastAsia="Times New Roman" w:hAnsi="Calibri" w:cs="Calibri"/>
          <w:sz w:val="22"/>
          <w:szCs w:val="22"/>
          <w:lang w:val="en-US" w:eastAsia="nl-NL"/>
        </w:rPr>
        <w:t xml:space="preserve"> the reinforcement operation is finished, we know for certain that everyone in</w:t>
      </w:r>
      <w:r>
        <w:rPr>
          <w:rFonts w:ascii="Calibri" w:eastAsia="Times New Roman" w:hAnsi="Calibri" w:cs="Calibri"/>
          <w:sz w:val="22"/>
          <w:szCs w:val="22"/>
          <w:lang w:val="en-US" w:eastAsia="nl-NL"/>
        </w:rPr>
        <w:t xml:space="preserve"> Groningen lives </w:t>
      </w:r>
      <w:r w:rsidRPr="00211085">
        <w:rPr>
          <w:rFonts w:ascii="Calibri" w:eastAsia="Times New Roman" w:hAnsi="Calibri" w:cs="Calibri"/>
          <w:sz w:val="22"/>
          <w:szCs w:val="22"/>
          <w:lang w:val="en-US" w:eastAsia="nl-NL"/>
        </w:rPr>
        <w:t>a saf</w:t>
      </w:r>
      <w:r>
        <w:rPr>
          <w:rFonts w:ascii="Calibri" w:eastAsia="Times New Roman" w:hAnsi="Calibri" w:cs="Calibri"/>
          <w:sz w:val="22"/>
          <w:szCs w:val="22"/>
          <w:lang w:val="en-US" w:eastAsia="nl-NL"/>
        </w:rPr>
        <w:t>e hou</w:t>
      </w:r>
      <w:r w:rsidRPr="00211085">
        <w:rPr>
          <w:rFonts w:ascii="Calibri" w:eastAsia="Times New Roman" w:hAnsi="Calibri" w:cs="Calibri"/>
          <w:sz w:val="22"/>
          <w:szCs w:val="22"/>
          <w:lang w:val="en-US" w:eastAsia="nl-NL"/>
        </w:rPr>
        <w:t>se.</w:t>
      </w:r>
      <w:r w:rsidRPr="00211085">
        <w:rPr>
          <w:rStyle w:val="Voetnootmarkering"/>
          <w:rFonts w:ascii="Calibri" w:eastAsia="Times New Roman" w:hAnsi="Calibri" w:cs="Calibri"/>
          <w:sz w:val="22"/>
          <w:szCs w:val="22"/>
          <w:lang w:val="en-US" w:eastAsia="nl-NL"/>
        </w:rPr>
        <w:footnoteReference w:id="11"/>
      </w:r>
      <w:r w:rsidRPr="00211085">
        <w:rPr>
          <w:rFonts w:ascii="Times New Roman" w:eastAsia="Times New Roman" w:hAnsi="Times New Roman" w:cs="Times New Roman"/>
          <w:lang w:val="en-US" w:eastAsia="nl-NL"/>
        </w:rPr>
        <w:t xml:space="preserve"> </w:t>
      </w:r>
    </w:p>
    <w:sectPr w:rsidR="006D4FEA" w:rsidRPr="00CB26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0E6D63" w14:textId="77777777" w:rsidR="007D7E11" w:rsidRDefault="007D7E11" w:rsidP="00211085">
      <w:r>
        <w:separator/>
      </w:r>
    </w:p>
  </w:endnote>
  <w:endnote w:type="continuationSeparator" w:id="0">
    <w:p w14:paraId="07343F3D" w14:textId="77777777" w:rsidR="007D7E11" w:rsidRDefault="007D7E11" w:rsidP="002110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6879B" w14:textId="77777777" w:rsidR="007D7E11" w:rsidRDefault="007D7E11" w:rsidP="00211085">
      <w:r>
        <w:separator/>
      </w:r>
    </w:p>
  </w:footnote>
  <w:footnote w:type="continuationSeparator" w:id="0">
    <w:p w14:paraId="5320D708" w14:textId="77777777" w:rsidR="007D7E11" w:rsidRDefault="007D7E11" w:rsidP="00211085">
      <w:r>
        <w:continuationSeparator/>
      </w:r>
    </w:p>
  </w:footnote>
  <w:footnote w:id="1">
    <w:p w14:paraId="6AD301D1" w14:textId="3ED12B9F" w:rsidR="00211085" w:rsidRPr="00211085" w:rsidRDefault="00211085">
      <w:pPr>
        <w:pStyle w:val="Voetnoottekst"/>
        <w:rPr>
          <w:lang w:val="en-US"/>
        </w:rPr>
      </w:pPr>
      <w:r>
        <w:rPr>
          <w:rStyle w:val="Voetnootmarkering"/>
        </w:rPr>
        <w:footnoteRef/>
      </w:r>
      <w:r w:rsidRPr="00211085">
        <w:rPr>
          <w:lang w:val="en-US"/>
        </w:rPr>
        <w:t xml:space="preserve"> https://dashboardgroningen.nl/aardbevingen-groningen</w:t>
      </w:r>
    </w:p>
  </w:footnote>
  <w:footnote w:id="2">
    <w:p w14:paraId="5C8BD7D1" w14:textId="40923144" w:rsidR="00211085" w:rsidRPr="00211085" w:rsidRDefault="00211085">
      <w:pPr>
        <w:pStyle w:val="Voetnoottekst"/>
        <w:rPr>
          <w:lang w:val="en-US"/>
        </w:rPr>
      </w:pPr>
      <w:r>
        <w:rPr>
          <w:rStyle w:val="Voetnootmarkering"/>
        </w:rPr>
        <w:footnoteRef/>
      </w:r>
      <w:r w:rsidRPr="00211085">
        <w:rPr>
          <w:lang w:val="en-US"/>
        </w:rPr>
        <w:t xml:space="preserve"> See https://www.groningsperspectief.nl/wp-content/uploads/2022/01/De-psychosociale-impact-van-schade-en-versterking-januari-2022.pdf</w:t>
      </w:r>
    </w:p>
  </w:footnote>
  <w:footnote w:id="3">
    <w:p w14:paraId="7ABBCB70" w14:textId="21E166C4" w:rsidR="00211085" w:rsidRPr="00211085" w:rsidRDefault="00211085" w:rsidP="00211085">
      <w:pPr>
        <w:pStyle w:val="Normaalweb"/>
        <w:rPr>
          <w:lang w:val="en-US"/>
        </w:rPr>
      </w:pPr>
      <w:r>
        <w:rPr>
          <w:rStyle w:val="Voetnootmarkering"/>
        </w:rPr>
        <w:footnoteRef/>
      </w:r>
      <w:r w:rsidRPr="00211085">
        <w:rPr>
          <w:lang w:val="en-US"/>
        </w:rPr>
        <w:t xml:space="preserve"> </w:t>
      </w:r>
      <w:r w:rsidRPr="00211085">
        <w:rPr>
          <w:rFonts w:ascii="Calibri" w:hAnsi="Calibri" w:cs="Calibri"/>
          <w:sz w:val="18"/>
          <w:szCs w:val="18"/>
          <w:lang w:val="en-US"/>
        </w:rPr>
        <w:t>Children from the Netherlands have also provided their testimonies on this to the UN Committee on the Rights of the Child in October 2021. Read the additional submission of the Dutch NGO Coalition of the Rights of the Child on this issue here: https://www.kinderrechten.nl/assets/2021/10/21-10-05-Additional-Submission-on-CR-and-the- Environment-</w:t>
      </w:r>
      <w:proofErr w:type="spellStart"/>
      <w:proofErr w:type="gramStart"/>
      <w:r w:rsidRPr="00211085">
        <w:rPr>
          <w:rFonts w:ascii="Calibri" w:hAnsi="Calibri" w:cs="Calibri"/>
          <w:sz w:val="18"/>
          <w:szCs w:val="18"/>
          <w:lang w:val="en-US"/>
        </w:rPr>
        <w:t>NL.pd</w:t>
      </w:r>
      <w:proofErr w:type="spellEnd"/>
      <w:proofErr w:type="gramEnd"/>
    </w:p>
  </w:footnote>
  <w:footnote w:id="4">
    <w:p w14:paraId="61F72CA5" w14:textId="60951D81" w:rsidR="00211085" w:rsidRPr="00211085" w:rsidRDefault="00211085">
      <w:pPr>
        <w:pStyle w:val="Voetnoottekst"/>
        <w:rPr>
          <w:lang w:val="en-US"/>
        </w:rPr>
      </w:pPr>
      <w:r>
        <w:rPr>
          <w:rStyle w:val="Voetnootmarkering"/>
        </w:rPr>
        <w:footnoteRef/>
      </w:r>
      <w:r w:rsidRPr="00211085">
        <w:rPr>
          <w:lang w:val="en-US"/>
        </w:rPr>
        <w:t xml:space="preserve"> https://dashboardgroningen.nl/versterken-en-veiligheid</w:t>
      </w:r>
    </w:p>
  </w:footnote>
  <w:footnote w:id="5">
    <w:p w14:paraId="040B589A" w14:textId="3819E639" w:rsidR="00211085" w:rsidRPr="00211085" w:rsidRDefault="00211085">
      <w:pPr>
        <w:pStyle w:val="Voetnoottekst"/>
        <w:rPr>
          <w:lang w:val="en-US"/>
        </w:rPr>
      </w:pPr>
      <w:r>
        <w:rPr>
          <w:rStyle w:val="Voetnootmarkering"/>
        </w:rPr>
        <w:footnoteRef/>
      </w:r>
      <w:r w:rsidRPr="00211085">
        <w:rPr>
          <w:lang w:val="en-US"/>
        </w:rPr>
        <w:t xml:space="preserve"> https://dashboardgroningen.nl/schadeafhandeling</w:t>
      </w:r>
    </w:p>
  </w:footnote>
  <w:footnote w:id="6">
    <w:p w14:paraId="42D1A789" w14:textId="5A8F7670" w:rsidR="00211085" w:rsidRPr="00211085" w:rsidRDefault="00211085" w:rsidP="00211085">
      <w:pPr>
        <w:pStyle w:val="Normaalweb"/>
        <w:rPr>
          <w:lang w:val="en-US"/>
        </w:rPr>
      </w:pPr>
      <w:r>
        <w:rPr>
          <w:rStyle w:val="Voetnootmarkering"/>
        </w:rPr>
        <w:footnoteRef/>
      </w:r>
      <w:r w:rsidRPr="00211085">
        <w:rPr>
          <w:lang w:val="en-US"/>
        </w:rPr>
        <w:t xml:space="preserve"> </w:t>
      </w:r>
      <w:proofErr w:type="gramStart"/>
      <w:r w:rsidRPr="00211085">
        <w:rPr>
          <w:rFonts w:ascii="Calibri" w:hAnsi="Calibri" w:cs="Calibri"/>
          <w:sz w:val="18"/>
          <w:szCs w:val="18"/>
          <w:lang w:val="en-US"/>
        </w:rPr>
        <w:t>E.g.</w:t>
      </w:r>
      <w:proofErr w:type="gramEnd"/>
      <w:r w:rsidRPr="00211085">
        <w:rPr>
          <w:rFonts w:ascii="Calibri" w:hAnsi="Calibri" w:cs="Calibri"/>
          <w:sz w:val="18"/>
          <w:szCs w:val="18"/>
          <w:lang w:val="en-US"/>
        </w:rPr>
        <w:t xml:space="preserve"> “Since safety is of paramount importance in such decision-making, the Minister must be able to offer a very clear explanation of how he expects to bring an end to gas extraction in the shortest possible term. And because the fundamental rights of Groningen’s residents are at stake, high demands have been placed on this explanation.” English summary https://www.raadvanstate.nl/@116238/council-state/</w:t>
      </w:r>
    </w:p>
  </w:footnote>
  <w:footnote w:id="7">
    <w:p w14:paraId="0D8BD5B6" w14:textId="4CBF9CED" w:rsidR="00211085" w:rsidRPr="00211085" w:rsidRDefault="00211085" w:rsidP="00211085">
      <w:pPr>
        <w:pStyle w:val="Normaalweb"/>
        <w:rPr>
          <w:lang w:val="en-US"/>
        </w:rPr>
      </w:pPr>
      <w:r>
        <w:rPr>
          <w:rStyle w:val="Voetnootmarkering"/>
        </w:rPr>
        <w:footnoteRef/>
      </w:r>
      <w:r w:rsidRPr="00211085">
        <w:rPr>
          <w:lang w:val="en-US"/>
        </w:rPr>
        <w:t xml:space="preserve"> </w:t>
      </w:r>
      <w:r w:rsidRPr="00211085">
        <w:rPr>
          <w:rFonts w:ascii="Calibri" w:hAnsi="Calibri" w:cs="Calibri"/>
          <w:sz w:val="18"/>
          <w:szCs w:val="18"/>
          <w:lang w:val="en-US"/>
        </w:rPr>
        <w:t>https://www.raadvanstate.nl/uitspraken/@121727/201907399-1-r4/</w:t>
      </w:r>
    </w:p>
  </w:footnote>
  <w:footnote w:id="8">
    <w:p w14:paraId="709C36C5" w14:textId="6DF3FBB3" w:rsidR="00211085" w:rsidRPr="00211085" w:rsidRDefault="00211085" w:rsidP="00211085">
      <w:pPr>
        <w:pStyle w:val="Normaalweb"/>
        <w:rPr>
          <w:lang w:val="en-US"/>
        </w:rPr>
      </w:pPr>
      <w:r>
        <w:rPr>
          <w:rStyle w:val="Voetnootmarkering"/>
        </w:rPr>
        <w:footnoteRef/>
      </w:r>
      <w:r w:rsidRPr="00211085">
        <w:rPr>
          <w:lang w:val="en-US"/>
        </w:rPr>
        <w:t xml:space="preserve"> </w:t>
      </w:r>
      <w:r w:rsidRPr="00211085">
        <w:rPr>
          <w:rFonts w:ascii="Calibri" w:hAnsi="Calibri" w:cs="Calibri"/>
          <w:sz w:val="18"/>
          <w:szCs w:val="18"/>
          <w:lang w:val="en-US"/>
        </w:rPr>
        <w:t>https://www.raadvanstate.nl/uitspraken/@126210/202005811-1-r4/</w:t>
      </w:r>
    </w:p>
  </w:footnote>
  <w:footnote w:id="9">
    <w:p w14:paraId="27491579" w14:textId="440BE66E" w:rsidR="00211085" w:rsidRPr="00211085" w:rsidRDefault="00211085" w:rsidP="00211085">
      <w:pPr>
        <w:pStyle w:val="Normaalweb"/>
        <w:rPr>
          <w:lang w:val="en-US"/>
        </w:rPr>
      </w:pPr>
      <w:r>
        <w:rPr>
          <w:rStyle w:val="Voetnootmarkering"/>
        </w:rPr>
        <w:footnoteRef/>
      </w:r>
      <w:r w:rsidRPr="00211085">
        <w:rPr>
          <w:lang w:val="en-US"/>
        </w:rPr>
        <w:t xml:space="preserve"> </w:t>
      </w:r>
      <w:r w:rsidRPr="00211085">
        <w:rPr>
          <w:rFonts w:ascii="Calibri" w:hAnsi="Calibri" w:cs="Calibri"/>
          <w:sz w:val="18"/>
          <w:szCs w:val="18"/>
          <w:lang w:val="en-US"/>
        </w:rPr>
        <w:t>https://www.dutchnews.nl/news/2022/01/groningen-gas-extraction-could-double-this-year-despite- earthquake-problems/</w:t>
      </w:r>
    </w:p>
  </w:footnote>
  <w:footnote w:id="10">
    <w:p w14:paraId="5AFC4764" w14:textId="78362F8E" w:rsidR="00211085" w:rsidRPr="00211085" w:rsidRDefault="00211085">
      <w:pPr>
        <w:pStyle w:val="Voetnoottekst"/>
        <w:rPr>
          <w:lang w:val="en-US"/>
        </w:rPr>
      </w:pPr>
      <w:r>
        <w:rPr>
          <w:rStyle w:val="Voetnootmarkering"/>
        </w:rPr>
        <w:footnoteRef/>
      </w:r>
      <w:r w:rsidRPr="00211085">
        <w:rPr>
          <w:lang w:val="en-US"/>
        </w:rPr>
        <w:t xml:space="preserve"> https://www.rijksoverheid.nl/onderwerpen/gaswinning-in-groningen/documenten/kamerstukken/2022/09/26/22457919bijlage-1-vaststellingsbesluit-groningenveld-2022-2023</w:t>
      </w:r>
    </w:p>
  </w:footnote>
  <w:footnote w:id="11">
    <w:p w14:paraId="69013238" w14:textId="4FFA4679" w:rsidR="00211085" w:rsidRPr="00211085" w:rsidRDefault="00211085">
      <w:pPr>
        <w:pStyle w:val="Voetnoottekst"/>
        <w:rPr>
          <w:lang w:val="en-US"/>
        </w:rPr>
      </w:pPr>
      <w:r>
        <w:rPr>
          <w:rStyle w:val="Voetnootmarkering"/>
        </w:rPr>
        <w:footnoteRef/>
      </w:r>
      <w:r w:rsidRPr="00211085">
        <w:rPr>
          <w:lang w:val="en-US"/>
        </w:rPr>
        <w:t xml:space="preserve"> Stated by </w:t>
      </w:r>
      <w:r>
        <w:rPr>
          <w:lang w:val="en-US"/>
        </w:rPr>
        <w:t xml:space="preserve">state supervision of mines: </w:t>
      </w:r>
      <w:r w:rsidRPr="00211085">
        <w:rPr>
          <w:lang w:val="en-US"/>
        </w:rPr>
        <w:t>https://www.sodm.nl/sectoren/gaswinning-groningen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085"/>
    <w:rsid w:val="00211085"/>
    <w:rsid w:val="002C73BC"/>
    <w:rsid w:val="003062E9"/>
    <w:rsid w:val="006D4FEA"/>
    <w:rsid w:val="00755B4C"/>
    <w:rsid w:val="007D7E11"/>
    <w:rsid w:val="00CB26D9"/>
    <w:rsid w:val="00DB0AF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4:docId w14:val="2380F343"/>
  <w15:chartTrackingRefBased/>
  <w15:docId w15:val="{0D25E450-DC11-724C-8D97-ED55F520E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unhideWhenUsed/>
    <w:rsid w:val="00211085"/>
    <w:pPr>
      <w:spacing w:before="100" w:beforeAutospacing="1" w:after="100" w:afterAutospacing="1"/>
    </w:pPr>
    <w:rPr>
      <w:rFonts w:ascii="Times New Roman" w:eastAsia="Times New Roman" w:hAnsi="Times New Roman" w:cs="Times New Roman"/>
      <w:lang w:eastAsia="nl-NL"/>
    </w:rPr>
  </w:style>
  <w:style w:type="paragraph" w:styleId="Voetnoottekst">
    <w:name w:val="footnote text"/>
    <w:basedOn w:val="Standaard"/>
    <w:link w:val="VoetnoottekstChar"/>
    <w:uiPriority w:val="99"/>
    <w:semiHidden/>
    <w:unhideWhenUsed/>
    <w:rsid w:val="00211085"/>
    <w:rPr>
      <w:sz w:val="20"/>
      <w:szCs w:val="20"/>
    </w:rPr>
  </w:style>
  <w:style w:type="character" w:customStyle="1" w:styleId="VoetnoottekstChar">
    <w:name w:val="Voetnoottekst Char"/>
    <w:basedOn w:val="Standaardalinea-lettertype"/>
    <w:link w:val="Voetnoottekst"/>
    <w:uiPriority w:val="99"/>
    <w:semiHidden/>
    <w:rsid w:val="00211085"/>
    <w:rPr>
      <w:sz w:val="20"/>
      <w:szCs w:val="20"/>
    </w:rPr>
  </w:style>
  <w:style w:type="character" w:styleId="Voetnootmarkering">
    <w:name w:val="footnote reference"/>
    <w:basedOn w:val="Standaardalinea-lettertype"/>
    <w:uiPriority w:val="99"/>
    <w:semiHidden/>
    <w:unhideWhenUsed/>
    <w:rsid w:val="0021108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86649">
      <w:bodyDiv w:val="1"/>
      <w:marLeft w:val="0"/>
      <w:marRight w:val="0"/>
      <w:marTop w:val="0"/>
      <w:marBottom w:val="0"/>
      <w:divBdr>
        <w:top w:val="none" w:sz="0" w:space="0" w:color="auto"/>
        <w:left w:val="none" w:sz="0" w:space="0" w:color="auto"/>
        <w:bottom w:val="none" w:sz="0" w:space="0" w:color="auto"/>
        <w:right w:val="none" w:sz="0" w:space="0" w:color="auto"/>
      </w:divBdr>
      <w:divsChild>
        <w:div w:id="271284326">
          <w:marLeft w:val="0"/>
          <w:marRight w:val="0"/>
          <w:marTop w:val="0"/>
          <w:marBottom w:val="0"/>
          <w:divBdr>
            <w:top w:val="none" w:sz="0" w:space="0" w:color="auto"/>
            <w:left w:val="none" w:sz="0" w:space="0" w:color="auto"/>
            <w:bottom w:val="none" w:sz="0" w:space="0" w:color="auto"/>
            <w:right w:val="none" w:sz="0" w:space="0" w:color="auto"/>
          </w:divBdr>
          <w:divsChild>
            <w:div w:id="365831274">
              <w:marLeft w:val="0"/>
              <w:marRight w:val="0"/>
              <w:marTop w:val="0"/>
              <w:marBottom w:val="0"/>
              <w:divBdr>
                <w:top w:val="none" w:sz="0" w:space="0" w:color="auto"/>
                <w:left w:val="none" w:sz="0" w:space="0" w:color="auto"/>
                <w:bottom w:val="none" w:sz="0" w:space="0" w:color="auto"/>
                <w:right w:val="none" w:sz="0" w:space="0" w:color="auto"/>
              </w:divBdr>
              <w:divsChild>
                <w:div w:id="86096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135836">
      <w:bodyDiv w:val="1"/>
      <w:marLeft w:val="0"/>
      <w:marRight w:val="0"/>
      <w:marTop w:val="0"/>
      <w:marBottom w:val="0"/>
      <w:divBdr>
        <w:top w:val="none" w:sz="0" w:space="0" w:color="auto"/>
        <w:left w:val="none" w:sz="0" w:space="0" w:color="auto"/>
        <w:bottom w:val="none" w:sz="0" w:space="0" w:color="auto"/>
        <w:right w:val="none" w:sz="0" w:space="0" w:color="auto"/>
      </w:divBdr>
      <w:divsChild>
        <w:div w:id="1731072799">
          <w:marLeft w:val="0"/>
          <w:marRight w:val="0"/>
          <w:marTop w:val="0"/>
          <w:marBottom w:val="0"/>
          <w:divBdr>
            <w:top w:val="none" w:sz="0" w:space="0" w:color="auto"/>
            <w:left w:val="none" w:sz="0" w:space="0" w:color="auto"/>
            <w:bottom w:val="none" w:sz="0" w:space="0" w:color="auto"/>
            <w:right w:val="none" w:sz="0" w:space="0" w:color="auto"/>
          </w:divBdr>
          <w:divsChild>
            <w:div w:id="634679443">
              <w:marLeft w:val="0"/>
              <w:marRight w:val="0"/>
              <w:marTop w:val="0"/>
              <w:marBottom w:val="0"/>
              <w:divBdr>
                <w:top w:val="none" w:sz="0" w:space="0" w:color="auto"/>
                <w:left w:val="none" w:sz="0" w:space="0" w:color="auto"/>
                <w:bottom w:val="none" w:sz="0" w:space="0" w:color="auto"/>
                <w:right w:val="none" w:sz="0" w:space="0" w:color="auto"/>
              </w:divBdr>
              <w:divsChild>
                <w:div w:id="6279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525751">
      <w:bodyDiv w:val="1"/>
      <w:marLeft w:val="0"/>
      <w:marRight w:val="0"/>
      <w:marTop w:val="0"/>
      <w:marBottom w:val="0"/>
      <w:divBdr>
        <w:top w:val="none" w:sz="0" w:space="0" w:color="auto"/>
        <w:left w:val="none" w:sz="0" w:space="0" w:color="auto"/>
        <w:bottom w:val="none" w:sz="0" w:space="0" w:color="auto"/>
        <w:right w:val="none" w:sz="0" w:space="0" w:color="auto"/>
      </w:divBdr>
      <w:divsChild>
        <w:div w:id="1987200176">
          <w:marLeft w:val="0"/>
          <w:marRight w:val="0"/>
          <w:marTop w:val="0"/>
          <w:marBottom w:val="0"/>
          <w:divBdr>
            <w:top w:val="none" w:sz="0" w:space="0" w:color="auto"/>
            <w:left w:val="none" w:sz="0" w:space="0" w:color="auto"/>
            <w:bottom w:val="none" w:sz="0" w:space="0" w:color="auto"/>
            <w:right w:val="none" w:sz="0" w:space="0" w:color="auto"/>
          </w:divBdr>
          <w:divsChild>
            <w:div w:id="325208526">
              <w:marLeft w:val="0"/>
              <w:marRight w:val="0"/>
              <w:marTop w:val="0"/>
              <w:marBottom w:val="0"/>
              <w:divBdr>
                <w:top w:val="none" w:sz="0" w:space="0" w:color="auto"/>
                <w:left w:val="none" w:sz="0" w:space="0" w:color="auto"/>
                <w:bottom w:val="none" w:sz="0" w:space="0" w:color="auto"/>
                <w:right w:val="none" w:sz="0" w:space="0" w:color="auto"/>
              </w:divBdr>
              <w:divsChild>
                <w:div w:id="10714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606824">
      <w:bodyDiv w:val="1"/>
      <w:marLeft w:val="0"/>
      <w:marRight w:val="0"/>
      <w:marTop w:val="0"/>
      <w:marBottom w:val="0"/>
      <w:divBdr>
        <w:top w:val="none" w:sz="0" w:space="0" w:color="auto"/>
        <w:left w:val="none" w:sz="0" w:space="0" w:color="auto"/>
        <w:bottom w:val="none" w:sz="0" w:space="0" w:color="auto"/>
        <w:right w:val="none" w:sz="0" w:space="0" w:color="auto"/>
      </w:divBdr>
    </w:div>
    <w:div w:id="1029796351">
      <w:bodyDiv w:val="1"/>
      <w:marLeft w:val="0"/>
      <w:marRight w:val="0"/>
      <w:marTop w:val="0"/>
      <w:marBottom w:val="0"/>
      <w:divBdr>
        <w:top w:val="none" w:sz="0" w:space="0" w:color="auto"/>
        <w:left w:val="none" w:sz="0" w:space="0" w:color="auto"/>
        <w:bottom w:val="none" w:sz="0" w:space="0" w:color="auto"/>
        <w:right w:val="none" w:sz="0" w:space="0" w:color="auto"/>
      </w:divBdr>
    </w:div>
    <w:div w:id="1440444898">
      <w:bodyDiv w:val="1"/>
      <w:marLeft w:val="0"/>
      <w:marRight w:val="0"/>
      <w:marTop w:val="0"/>
      <w:marBottom w:val="0"/>
      <w:divBdr>
        <w:top w:val="none" w:sz="0" w:space="0" w:color="auto"/>
        <w:left w:val="none" w:sz="0" w:space="0" w:color="auto"/>
        <w:bottom w:val="none" w:sz="0" w:space="0" w:color="auto"/>
        <w:right w:val="none" w:sz="0" w:space="0" w:color="auto"/>
      </w:divBdr>
      <w:divsChild>
        <w:div w:id="252053480">
          <w:marLeft w:val="0"/>
          <w:marRight w:val="0"/>
          <w:marTop w:val="0"/>
          <w:marBottom w:val="0"/>
          <w:divBdr>
            <w:top w:val="none" w:sz="0" w:space="0" w:color="auto"/>
            <w:left w:val="none" w:sz="0" w:space="0" w:color="auto"/>
            <w:bottom w:val="none" w:sz="0" w:space="0" w:color="auto"/>
            <w:right w:val="none" w:sz="0" w:space="0" w:color="auto"/>
          </w:divBdr>
          <w:divsChild>
            <w:div w:id="67847023">
              <w:marLeft w:val="0"/>
              <w:marRight w:val="0"/>
              <w:marTop w:val="0"/>
              <w:marBottom w:val="0"/>
              <w:divBdr>
                <w:top w:val="none" w:sz="0" w:space="0" w:color="auto"/>
                <w:left w:val="none" w:sz="0" w:space="0" w:color="auto"/>
                <w:bottom w:val="none" w:sz="0" w:space="0" w:color="auto"/>
                <w:right w:val="none" w:sz="0" w:space="0" w:color="auto"/>
              </w:divBdr>
              <w:divsChild>
                <w:div w:id="181583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282067">
      <w:bodyDiv w:val="1"/>
      <w:marLeft w:val="0"/>
      <w:marRight w:val="0"/>
      <w:marTop w:val="0"/>
      <w:marBottom w:val="0"/>
      <w:divBdr>
        <w:top w:val="none" w:sz="0" w:space="0" w:color="auto"/>
        <w:left w:val="none" w:sz="0" w:space="0" w:color="auto"/>
        <w:bottom w:val="none" w:sz="0" w:space="0" w:color="auto"/>
        <w:right w:val="none" w:sz="0" w:space="0" w:color="auto"/>
      </w:divBdr>
      <w:divsChild>
        <w:div w:id="1442993070">
          <w:marLeft w:val="0"/>
          <w:marRight w:val="0"/>
          <w:marTop w:val="0"/>
          <w:marBottom w:val="0"/>
          <w:divBdr>
            <w:top w:val="none" w:sz="0" w:space="0" w:color="auto"/>
            <w:left w:val="none" w:sz="0" w:space="0" w:color="auto"/>
            <w:bottom w:val="none" w:sz="0" w:space="0" w:color="auto"/>
            <w:right w:val="none" w:sz="0" w:space="0" w:color="auto"/>
          </w:divBdr>
          <w:divsChild>
            <w:div w:id="588462453">
              <w:marLeft w:val="0"/>
              <w:marRight w:val="0"/>
              <w:marTop w:val="0"/>
              <w:marBottom w:val="0"/>
              <w:divBdr>
                <w:top w:val="none" w:sz="0" w:space="0" w:color="auto"/>
                <w:left w:val="none" w:sz="0" w:space="0" w:color="auto"/>
                <w:bottom w:val="none" w:sz="0" w:space="0" w:color="auto"/>
                <w:right w:val="none" w:sz="0" w:space="0" w:color="auto"/>
              </w:divBdr>
              <w:divsChild>
                <w:div w:id="16941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535731">
          <w:marLeft w:val="0"/>
          <w:marRight w:val="0"/>
          <w:marTop w:val="0"/>
          <w:marBottom w:val="0"/>
          <w:divBdr>
            <w:top w:val="none" w:sz="0" w:space="0" w:color="auto"/>
            <w:left w:val="none" w:sz="0" w:space="0" w:color="auto"/>
            <w:bottom w:val="none" w:sz="0" w:space="0" w:color="auto"/>
            <w:right w:val="none" w:sz="0" w:space="0" w:color="auto"/>
          </w:divBdr>
          <w:divsChild>
            <w:div w:id="1215386971">
              <w:marLeft w:val="0"/>
              <w:marRight w:val="0"/>
              <w:marTop w:val="0"/>
              <w:marBottom w:val="0"/>
              <w:divBdr>
                <w:top w:val="none" w:sz="0" w:space="0" w:color="auto"/>
                <w:left w:val="none" w:sz="0" w:space="0" w:color="auto"/>
                <w:bottom w:val="none" w:sz="0" w:space="0" w:color="auto"/>
                <w:right w:val="none" w:sz="0" w:space="0" w:color="auto"/>
              </w:divBdr>
              <w:divsChild>
                <w:div w:id="152478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044448">
          <w:marLeft w:val="0"/>
          <w:marRight w:val="0"/>
          <w:marTop w:val="0"/>
          <w:marBottom w:val="0"/>
          <w:divBdr>
            <w:top w:val="none" w:sz="0" w:space="0" w:color="auto"/>
            <w:left w:val="none" w:sz="0" w:space="0" w:color="auto"/>
            <w:bottom w:val="none" w:sz="0" w:space="0" w:color="auto"/>
            <w:right w:val="none" w:sz="0" w:space="0" w:color="auto"/>
          </w:divBdr>
          <w:divsChild>
            <w:div w:id="2141414682">
              <w:marLeft w:val="0"/>
              <w:marRight w:val="0"/>
              <w:marTop w:val="0"/>
              <w:marBottom w:val="0"/>
              <w:divBdr>
                <w:top w:val="none" w:sz="0" w:space="0" w:color="auto"/>
                <w:left w:val="none" w:sz="0" w:space="0" w:color="auto"/>
                <w:bottom w:val="none" w:sz="0" w:space="0" w:color="auto"/>
                <w:right w:val="none" w:sz="0" w:space="0" w:color="auto"/>
              </w:divBdr>
              <w:divsChild>
                <w:div w:id="1022243326">
                  <w:marLeft w:val="0"/>
                  <w:marRight w:val="0"/>
                  <w:marTop w:val="0"/>
                  <w:marBottom w:val="0"/>
                  <w:divBdr>
                    <w:top w:val="none" w:sz="0" w:space="0" w:color="auto"/>
                    <w:left w:val="none" w:sz="0" w:space="0" w:color="auto"/>
                    <w:bottom w:val="none" w:sz="0" w:space="0" w:color="auto"/>
                    <w:right w:val="none" w:sz="0" w:space="0" w:color="auto"/>
                  </w:divBdr>
                </w:div>
              </w:divsChild>
            </w:div>
            <w:div w:id="886992323">
              <w:marLeft w:val="0"/>
              <w:marRight w:val="0"/>
              <w:marTop w:val="0"/>
              <w:marBottom w:val="0"/>
              <w:divBdr>
                <w:top w:val="none" w:sz="0" w:space="0" w:color="auto"/>
                <w:left w:val="none" w:sz="0" w:space="0" w:color="auto"/>
                <w:bottom w:val="none" w:sz="0" w:space="0" w:color="auto"/>
                <w:right w:val="none" w:sz="0" w:space="0" w:color="auto"/>
              </w:divBdr>
              <w:divsChild>
                <w:div w:id="796609636">
                  <w:marLeft w:val="0"/>
                  <w:marRight w:val="0"/>
                  <w:marTop w:val="0"/>
                  <w:marBottom w:val="0"/>
                  <w:divBdr>
                    <w:top w:val="none" w:sz="0" w:space="0" w:color="auto"/>
                    <w:left w:val="none" w:sz="0" w:space="0" w:color="auto"/>
                    <w:bottom w:val="none" w:sz="0" w:space="0" w:color="auto"/>
                    <w:right w:val="none" w:sz="0" w:space="0" w:color="auto"/>
                  </w:divBdr>
                </w:div>
                <w:div w:id="1236738859">
                  <w:marLeft w:val="0"/>
                  <w:marRight w:val="0"/>
                  <w:marTop w:val="0"/>
                  <w:marBottom w:val="0"/>
                  <w:divBdr>
                    <w:top w:val="none" w:sz="0" w:space="0" w:color="auto"/>
                    <w:left w:val="none" w:sz="0" w:space="0" w:color="auto"/>
                    <w:bottom w:val="none" w:sz="0" w:space="0" w:color="auto"/>
                    <w:right w:val="none" w:sz="0" w:space="0" w:color="auto"/>
                  </w:divBdr>
                </w:div>
                <w:div w:id="879977045">
                  <w:marLeft w:val="0"/>
                  <w:marRight w:val="0"/>
                  <w:marTop w:val="0"/>
                  <w:marBottom w:val="0"/>
                  <w:divBdr>
                    <w:top w:val="none" w:sz="0" w:space="0" w:color="auto"/>
                    <w:left w:val="none" w:sz="0" w:space="0" w:color="auto"/>
                    <w:bottom w:val="none" w:sz="0" w:space="0" w:color="auto"/>
                    <w:right w:val="none" w:sz="0" w:space="0" w:color="auto"/>
                  </w:divBdr>
                </w:div>
                <w:div w:id="1936667039">
                  <w:marLeft w:val="0"/>
                  <w:marRight w:val="0"/>
                  <w:marTop w:val="0"/>
                  <w:marBottom w:val="0"/>
                  <w:divBdr>
                    <w:top w:val="none" w:sz="0" w:space="0" w:color="auto"/>
                    <w:left w:val="none" w:sz="0" w:space="0" w:color="auto"/>
                    <w:bottom w:val="none" w:sz="0" w:space="0" w:color="auto"/>
                    <w:right w:val="none" w:sz="0" w:space="0" w:color="auto"/>
                  </w:divBdr>
                </w:div>
              </w:divsChild>
            </w:div>
            <w:div w:id="425809375">
              <w:marLeft w:val="0"/>
              <w:marRight w:val="0"/>
              <w:marTop w:val="0"/>
              <w:marBottom w:val="0"/>
              <w:divBdr>
                <w:top w:val="none" w:sz="0" w:space="0" w:color="auto"/>
                <w:left w:val="none" w:sz="0" w:space="0" w:color="auto"/>
                <w:bottom w:val="none" w:sz="0" w:space="0" w:color="auto"/>
                <w:right w:val="none" w:sz="0" w:space="0" w:color="auto"/>
              </w:divBdr>
              <w:divsChild>
                <w:div w:id="1852641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460609">
          <w:marLeft w:val="0"/>
          <w:marRight w:val="0"/>
          <w:marTop w:val="0"/>
          <w:marBottom w:val="0"/>
          <w:divBdr>
            <w:top w:val="none" w:sz="0" w:space="0" w:color="auto"/>
            <w:left w:val="none" w:sz="0" w:space="0" w:color="auto"/>
            <w:bottom w:val="none" w:sz="0" w:space="0" w:color="auto"/>
            <w:right w:val="none" w:sz="0" w:space="0" w:color="auto"/>
          </w:divBdr>
          <w:divsChild>
            <w:div w:id="2115713250">
              <w:marLeft w:val="0"/>
              <w:marRight w:val="0"/>
              <w:marTop w:val="0"/>
              <w:marBottom w:val="0"/>
              <w:divBdr>
                <w:top w:val="none" w:sz="0" w:space="0" w:color="auto"/>
                <w:left w:val="none" w:sz="0" w:space="0" w:color="auto"/>
                <w:bottom w:val="none" w:sz="0" w:space="0" w:color="auto"/>
                <w:right w:val="none" w:sz="0" w:space="0" w:color="auto"/>
              </w:divBdr>
              <w:divsChild>
                <w:div w:id="198118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942114">
      <w:bodyDiv w:val="1"/>
      <w:marLeft w:val="0"/>
      <w:marRight w:val="0"/>
      <w:marTop w:val="0"/>
      <w:marBottom w:val="0"/>
      <w:divBdr>
        <w:top w:val="none" w:sz="0" w:space="0" w:color="auto"/>
        <w:left w:val="none" w:sz="0" w:space="0" w:color="auto"/>
        <w:bottom w:val="none" w:sz="0" w:space="0" w:color="auto"/>
        <w:right w:val="none" w:sz="0" w:space="0" w:color="auto"/>
      </w:divBdr>
      <w:divsChild>
        <w:div w:id="1256286865">
          <w:marLeft w:val="0"/>
          <w:marRight w:val="0"/>
          <w:marTop w:val="0"/>
          <w:marBottom w:val="0"/>
          <w:divBdr>
            <w:top w:val="none" w:sz="0" w:space="0" w:color="auto"/>
            <w:left w:val="none" w:sz="0" w:space="0" w:color="auto"/>
            <w:bottom w:val="none" w:sz="0" w:space="0" w:color="auto"/>
            <w:right w:val="none" w:sz="0" w:space="0" w:color="auto"/>
          </w:divBdr>
          <w:divsChild>
            <w:div w:id="1522157845">
              <w:marLeft w:val="0"/>
              <w:marRight w:val="0"/>
              <w:marTop w:val="0"/>
              <w:marBottom w:val="0"/>
              <w:divBdr>
                <w:top w:val="none" w:sz="0" w:space="0" w:color="auto"/>
                <w:left w:val="none" w:sz="0" w:space="0" w:color="auto"/>
                <w:bottom w:val="none" w:sz="0" w:space="0" w:color="auto"/>
                <w:right w:val="none" w:sz="0" w:space="0" w:color="auto"/>
              </w:divBdr>
              <w:divsChild>
                <w:div w:id="95440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E8990B-5139-7C46-B8BE-1EA830664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849</Words>
  <Characters>4672</Characters>
  <Application>Microsoft Office Word</Application>
  <DocSecurity>0</DocSecurity>
  <Lines>38</Lines>
  <Paragraphs>11</Paragraphs>
  <ScaleCrop>false</ScaleCrop>
  <Company/>
  <LinksUpToDate>false</LinksUpToDate>
  <CharactersWithSpaces>5510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Merel Jonkheid</dc:creator>
  <cp:keywords/>
  <dc:description/>
  <cp:lastModifiedBy>Jan van de Venis</cp:lastModifiedBy>
  <cp:revision>2</cp:revision>
  <dcterms:created xsi:type="dcterms:W3CDTF">2022-12-06T13:46:00Z</dcterms:created>
  <dcterms:modified xsi:type="dcterms:W3CDTF">2022-12-06T13:46:00Z</dcterms:modified>
</cp:coreProperties>
</file>