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624F" w:rsidRPr="000F69E8" w:rsidRDefault="00C0624F" w:rsidP="00CB39E5">
      <w:pPr>
        <w:jc w:val="right"/>
        <w:rPr>
          <w:b/>
        </w:rPr>
      </w:pPr>
      <w:bookmarkStart w:id="0" w:name="_GoBack"/>
      <w:bookmarkEnd w:id="0"/>
      <w:permStart w:id="894713484" w:edGrp="everyone"/>
      <w:r w:rsidRPr="000F69E8">
        <w:rPr>
          <w:noProof/>
          <w:lang w:eastAsia="en-GB"/>
        </w:rPr>
        <w:drawing>
          <wp:inline distT="0" distB="0" distL="0" distR="0" wp14:anchorId="13F76341" wp14:editId="75344D51">
            <wp:extent cx="1301750" cy="723194"/>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44256" cy="746808"/>
                    </a:xfrm>
                    <a:prstGeom prst="rect">
                      <a:avLst/>
                    </a:prstGeom>
                  </pic:spPr>
                </pic:pic>
              </a:graphicData>
            </a:graphic>
          </wp:inline>
        </w:drawing>
      </w:r>
      <w:permEnd w:id="894713484"/>
    </w:p>
    <w:p w:rsidR="00393FCA" w:rsidRPr="000F69E8" w:rsidRDefault="00393FCA" w:rsidP="00393FCA">
      <w:pPr>
        <w:spacing w:before="160" w:after="200" w:line="276" w:lineRule="auto"/>
        <w:jc w:val="center"/>
        <w:rPr>
          <w:rFonts w:eastAsiaTheme="minorEastAsia" w:cs="Arial"/>
          <w:b/>
          <w:noProof/>
          <w:lang w:val="en-US"/>
        </w:rPr>
      </w:pPr>
    </w:p>
    <w:p w:rsidR="00393FCA" w:rsidRPr="00393FCA" w:rsidRDefault="00393FCA" w:rsidP="00393FCA">
      <w:pPr>
        <w:spacing w:before="160" w:after="200" w:line="276" w:lineRule="auto"/>
        <w:jc w:val="center"/>
        <w:rPr>
          <w:rFonts w:eastAsiaTheme="minorEastAsia" w:cs="Arial"/>
          <w:b/>
          <w:lang w:eastAsia="en-GB"/>
        </w:rPr>
      </w:pPr>
      <w:r w:rsidRPr="00393FCA">
        <w:rPr>
          <w:rFonts w:eastAsiaTheme="minorEastAsia" w:cs="Arial"/>
          <w:b/>
          <w:noProof/>
          <w:lang w:val="en-US"/>
        </w:rPr>
        <w:t>Submission to the 72</w:t>
      </w:r>
      <w:r w:rsidRPr="00393FCA">
        <w:rPr>
          <w:rFonts w:eastAsiaTheme="minorEastAsia" w:cs="Arial"/>
          <w:b/>
          <w:noProof/>
          <w:vertAlign w:val="superscript"/>
          <w:lang w:val="en-US"/>
        </w:rPr>
        <w:t>nd</w:t>
      </w:r>
      <w:r w:rsidRPr="00393FCA">
        <w:rPr>
          <w:rFonts w:eastAsiaTheme="minorEastAsia" w:cs="Arial"/>
          <w:b/>
          <w:noProof/>
          <w:lang w:val="en-US"/>
        </w:rPr>
        <w:t xml:space="preserve"> Session of the </w:t>
      </w:r>
      <w:r w:rsidRPr="00393FCA">
        <w:rPr>
          <w:rFonts w:eastAsiaTheme="minorEastAsia" w:cs="Arial"/>
          <w:b/>
          <w:lang w:eastAsia="en-GB"/>
        </w:rPr>
        <w:t>United Nations Committee on the Elimination of Discrimination against Women</w:t>
      </w:r>
    </w:p>
    <w:p w:rsidR="00393FCA" w:rsidRPr="00393FCA" w:rsidRDefault="00393FCA" w:rsidP="00393FCA">
      <w:pPr>
        <w:spacing w:before="160" w:after="200" w:line="276" w:lineRule="auto"/>
        <w:jc w:val="center"/>
        <w:rPr>
          <w:rFonts w:eastAsiaTheme="minorEastAsia" w:cs="Arial"/>
          <w:b/>
          <w:lang w:eastAsia="en-GB"/>
        </w:rPr>
      </w:pPr>
      <w:r w:rsidRPr="00393FCA">
        <w:rPr>
          <w:rFonts w:eastAsiaTheme="minorEastAsia" w:cs="Arial"/>
          <w:b/>
          <w:lang w:eastAsia="en-GB"/>
        </w:rPr>
        <w:t>United Kingdom and Northern Ireland</w:t>
      </w:r>
    </w:p>
    <w:p w:rsidR="00393FCA" w:rsidRPr="00393FCA" w:rsidRDefault="00393FCA" w:rsidP="00393FCA">
      <w:pPr>
        <w:spacing w:before="160" w:after="200" w:line="276" w:lineRule="auto"/>
        <w:jc w:val="center"/>
        <w:rPr>
          <w:rFonts w:eastAsiaTheme="minorEastAsia" w:cs="Arial"/>
          <w:b/>
          <w:noProof/>
          <w:lang w:eastAsia="en-GB"/>
        </w:rPr>
      </w:pPr>
      <w:r w:rsidRPr="00393FCA">
        <w:rPr>
          <w:rFonts w:eastAsiaTheme="minorEastAsia" w:cs="Arial"/>
          <w:b/>
          <w:noProof/>
          <w:lang w:eastAsia="en-GB"/>
        </w:rPr>
        <w:t>A submission from Both Lives Matter, January 2019</w:t>
      </w:r>
    </w:p>
    <w:p w:rsidR="00C0624F" w:rsidRPr="000F69E8" w:rsidRDefault="00C0624F">
      <w:pPr>
        <w:rPr>
          <w:b/>
        </w:rPr>
      </w:pPr>
    </w:p>
    <w:p w:rsidR="00393FCA" w:rsidRDefault="00AD07D4" w:rsidP="005F2A3C">
      <w:pPr>
        <w:jc w:val="both"/>
      </w:pPr>
      <w:r w:rsidRPr="000F69E8">
        <w:t xml:space="preserve">In this </w:t>
      </w:r>
      <w:r w:rsidR="005E7F9E" w:rsidRPr="000F69E8">
        <w:t xml:space="preserve">submission to the </w:t>
      </w:r>
      <w:r w:rsidR="002557AF" w:rsidRPr="000F69E8">
        <w:t>C</w:t>
      </w:r>
      <w:r w:rsidR="005E7F9E" w:rsidRPr="000F69E8">
        <w:t xml:space="preserve">ommittee </w:t>
      </w:r>
      <w:r w:rsidR="002557AF" w:rsidRPr="000F69E8">
        <w:t xml:space="preserve">on the Elimination of Discrimination Against Women </w:t>
      </w:r>
      <w:r w:rsidRPr="000F69E8">
        <w:t>we</w:t>
      </w:r>
      <w:r w:rsidR="002557AF" w:rsidRPr="000F69E8">
        <w:t xml:space="preserve"> would </w:t>
      </w:r>
      <w:r w:rsidRPr="000F69E8">
        <w:t xml:space="preserve">make </w:t>
      </w:r>
      <w:r w:rsidR="002557AF" w:rsidRPr="000F69E8">
        <w:t xml:space="preserve">the following </w:t>
      </w:r>
      <w:r w:rsidRPr="000F69E8">
        <w:t>points</w:t>
      </w:r>
      <w:r w:rsidR="00393FCA" w:rsidRPr="000F69E8">
        <w:rPr>
          <w:rFonts w:eastAsiaTheme="minorEastAsia" w:cs="Arial"/>
          <w:lang w:eastAsia="en-GB"/>
        </w:rPr>
        <w:t xml:space="preserve"> </w:t>
      </w:r>
      <w:r w:rsidR="000B1B70">
        <w:rPr>
          <w:rFonts w:eastAsiaTheme="minorEastAsia" w:cs="Arial"/>
          <w:lang w:eastAsia="en-GB"/>
        </w:rPr>
        <w:t>focused, but not exclusively,</w:t>
      </w:r>
      <w:r w:rsidR="00393FCA" w:rsidRPr="00393FCA">
        <w:rPr>
          <w:rFonts w:eastAsiaTheme="minorEastAsia" w:cs="Arial"/>
          <w:lang w:eastAsia="en-GB"/>
        </w:rPr>
        <w:t xml:space="preserve"> on paragraph 19 in the list of Issues and Questions in relation to the Eighth Periodic Report of the United Kingdom of Great Britain and Northern Ireland</w:t>
      </w:r>
      <w:r w:rsidRPr="000F69E8">
        <w:t>:-</w:t>
      </w:r>
    </w:p>
    <w:p w:rsidR="005F2A3C" w:rsidRPr="005F2A3C" w:rsidRDefault="005F2A3C" w:rsidP="005F2A3C">
      <w:pPr>
        <w:jc w:val="both"/>
      </w:pPr>
    </w:p>
    <w:p w:rsidR="00393FCA" w:rsidRPr="000F69E8" w:rsidRDefault="00393FCA" w:rsidP="00393FCA">
      <w:pPr>
        <w:pStyle w:val="ListParagraph"/>
        <w:numPr>
          <w:ilvl w:val="0"/>
          <w:numId w:val="3"/>
        </w:numPr>
        <w:spacing w:after="200" w:line="276" w:lineRule="auto"/>
        <w:rPr>
          <w:rFonts w:eastAsiaTheme="minorEastAsia"/>
          <w:b/>
          <w:lang w:eastAsia="en-GB"/>
        </w:rPr>
      </w:pPr>
      <w:r w:rsidRPr="000F69E8">
        <w:rPr>
          <w:rFonts w:eastAsiaTheme="minorEastAsia"/>
          <w:b/>
          <w:lang w:eastAsia="en-GB"/>
        </w:rPr>
        <w:t>The Committee’s recommendations to repeal the Offences Against the Person Act 1861 are disproportionate</w:t>
      </w:r>
    </w:p>
    <w:p w:rsidR="00393FCA" w:rsidRPr="00393FCA" w:rsidRDefault="00393FCA" w:rsidP="00393FCA">
      <w:pPr>
        <w:spacing w:after="200" w:line="276" w:lineRule="auto"/>
        <w:rPr>
          <w:rFonts w:eastAsiaTheme="minorEastAsia"/>
          <w:lang w:eastAsia="en-GB"/>
        </w:rPr>
      </w:pPr>
      <w:r w:rsidRPr="00393FCA">
        <w:rPr>
          <w:rFonts w:eastAsiaTheme="minorEastAsia"/>
          <w:lang w:eastAsia="en-GB"/>
        </w:rPr>
        <w:t>The Committee’s recommendation in paragraph 85(a) in its Inquiry (</w:t>
      </w:r>
      <w:hyperlink r:id="rId12" w:history="1">
        <w:r w:rsidRPr="000F69E8">
          <w:rPr>
            <w:rFonts w:eastAsiaTheme="minorEastAsia"/>
            <w:u w:val="single"/>
            <w:lang w:eastAsia="en-GB"/>
          </w:rPr>
          <w:t>CEDAW/C/OP.8/GBR/1</w:t>
        </w:r>
      </w:hyperlink>
      <w:r w:rsidRPr="00393FCA">
        <w:rPr>
          <w:rFonts w:eastAsiaTheme="minorEastAsia"/>
          <w:lang w:eastAsia="en-GB"/>
        </w:rPr>
        <w:t xml:space="preserve">), referenced in paragraph 19(a) of the List of Issues, states that the UK repeal section 58 and 59 of the Offences Against the Person Act 1861 (OAPA 1861). This recommendation goes far beyond the judgement of the UK Supreme Court handed down on 7 June 2018, which the Committee also refers to in paragraph 19. This judgement made no suggestion that the OAPA 1861 should be repealed. In obiter comments, a majority of the court by 5-2 indicated that, had the Northern Ireland Human Rights Commission been found to have standing, they would have declared an incompatibility with abortion law in Northern Ireland as it pertains to life-limiting conditions deemed fatal before, during or shortly after birth, and by a majority of 4-3 in cases of sexual crime. It must be noted that no declaration of incompatibility was made in this case due to lack of standing, thus any comments made by the judges are non-binding and cannot be cited as sufficient grounds to change the law in Northern Ireland. </w:t>
      </w:r>
    </w:p>
    <w:p w:rsidR="00393FCA" w:rsidRPr="00393FCA" w:rsidRDefault="00393FCA" w:rsidP="00393FCA">
      <w:pPr>
        <w:spacing w:after="200" w:line="276" w:lineRule="auto"/>
        <w:rPr>
          <w:rFonts w:eastAsiaTheme="minorEastAsia"/>
          <w:lang w:eastAsia="en-GB"/>
        </w:rPr>
      </w:pPr>
      <w:r w:rsidRPr="00393FCA">
        <w:rPr>
          <w:rFonts w:eastAsiaTheme="minorEastAsia"/>
          <w:lang w:eastAsia="en-GB"/>
        </w:rPr>
        <w:t xml:space="preserve">Furthermore, were a declaration of incompatibility made in future, this would still not necessitate alteration of the law. It would be the purview of the Northern Ireland Assembly to decide whether to change the law and in which circumstances to do so. Repealing the OAPA 1861 would be a disproportionate measure for the Assembly. It would render Northern Ireland’s abortion law the most liberal in the entirety of the UK and would go far beyond the identified incompatibilities with the European Convention on Human Rights (ECHR) identified in the obiter comments of the Supreme Court judges, particularly by contravening their judgement that the law in Northern Ireland is </w:t>
      </w:r>
      <w:r w:rsidRPr="00393FCA">
        <w:rPr>
          <w:rFonts w:eastAsiaTheme="minorEastAsia"/>
          <w:i/>
          <w:lang w:eastAsia="en-GB"/>
        </w:rPr>
        <w:t>compatible</w:t>
      </w:r>
      <w:r w:rsidRPr="00393FCA">
        <w:rPr>
          <w:rFonts w:eastAsiaTheme="minorEastAsia"/>
          <w:lang w:eastAsia="en-GB"/>
        </w:rPr>
        <w:t xml:space="preserve"> with the ECHR in cases of severe foetal abnormality. </w:t>
      </w:r>
    </w:p>
    <w:p w:rsidR="00393FCA" w:rsidRPr="00393FCA" w:rsidRDefault="00393FCA" w:rsidP="00393FCA">
      <w:pPr>
        <w:spacing w:after="200" w:line="276" w:lineRule="auto"/>
        <w:rPr>
          <w:rFonts w:eastAsiaTheme="minorEastAsia" w:cs="Arial"/>
          <w:lang w:eastAsia="en-GB"/>
        </w:rPr>
      </w:pPr>
      <w:r w:rsidRPr="00393FCA">
        <w:rPr>
          <w:rFonts w:eastAsiaTheme="minorEastAsia"/>
          <w:lang w:eastAsia="en-GB"/>
        </w:rPr>
        <w:lastRenderedPageBreak/>
        <w:t>The OAPA 1861 provides essential protection for an unborn baby. Were it repealed, this protection would be removed up to 28 weeks (6 months gestation), which is the current definition of viability retained in</w:t>
      </w:r>
      <w:r w:rsidR="003D2B59">
        <w:rPr>
          <w:rFonts w:eastAsiaTheme="minorEastAsia"/>
          <w:lang w:eastAsia="en-GB"/>
        </w:rPr>
        <w:t xml:space="preserve"> section 25 of the Criminal Justice Act (Northern Ireland) 1945</w:t>
      </w:r>
      <w:r w:rsidRPr="00393FCA">
        <w:rPr>
          <w:rFonts w:eastAsiaTheme="minorEastAsia"/>
          <w:lang w:eastAsia="en-GB"/>
        </w:rPr>
        <w:t xml:space="preserve">. Unborn life is protected in the UN Convention on the Rights of the Child, which recognises the child before birth. It states that the </w:t>
      </w:r>
      <w:r w:rsidRPr="00393FCA">
        <w:rPr>
          <w:rFonts w:eastAsiaTheme="minorEastAsia"/>
          <w:i/>
          <w:lang w:eastAsia="en-GB"/>
        </w:rPr>
        <w:t>‘</w:t>
      </w:r>
      <w:r w:rsidRPr="000F69E8">
        <w:rPr>
          <w:rFonts w:eastAsiaTheme="minorEastAsia" w:cs="Arial"/>
          <w:i/>
          <w:lang w:eastAsia="en-GB"/>
        </w:rPr>
        <w:t>child, by reason of his physical and mental immaturity, needs special safeguards and care, including appropriate legal protection, before as well as after birth</w:t>
      </w:r>
      <w:r w:rsidRPr="00393FCA">
        <w:rPr>
          <w:rFonts w:eastAsiaTheme="minorEastAsia" w:cs="Arial"/>
          <w:i/>
          <w:lang w:eastAsia="en-GB"/>
        </w:rPr>
        <w:t xml:space="preserve">.’ </w:t>
      </w:r>
      <w:r w:rsidRPr="00393FCA">
        <w:rPr>
          <w:rFonts w:eastAsiaTheme="minorEastAsia" w:cs="Arial"/>
          <w:lang w:eastAsia="en-GB"/>
        </w:rPr>
        <w:t xml:space="preserve">Article 6 of this Convention states that </w:t>
      </w:r>
      <w:r w:rsidRPr="00393FCA">
        <w:rPr>
          <w:rFonts w:eastAsiaTheme="minorEastAsia" w:cs="Arial"/>
          <w:i/>
          <w:lang w:eastAsia="en-GB"/>
        </w:rPr>
        <w:t>‘States Parties recognize that every child has the inherent right to life. States Parties shall ensure to the maximum extent possible the survival and development of the child.’</w:t>
      </w:r>
      <w:r w:rsidRPr="00393FCA">
        <w:rPr>
          <w:rFonts w:eastAsiaTheme="minorEastAsia" w:cs="Arial"/>
          <w:lang w:eastAsia="en-GB"/>
        </w:rPr>
        <w:t xml:space="preserve"> There is a clear legal recognition of unborn life in this Convention and a demand on State Parties to protect such life. </w:t>
      </w:r>
    </w:p>
    <w:p w:rsidR="00B6322F" w:rsidRPr="000F69E8" w:rsidRDefault="00393FCA" w:rsidP="00B6322F">
      <w:pPr>
        <w:spacing w:after="200" w:line="276" w:lineRule="auto"/>
        <w:rPr>
          <w:rFonts w:eastAsiaTheme="minorEastAsia" w:cs="Arial"/>
          <w:lang w:eastAsia="en-GB"/>
        </w:rPr>
      </w:pPr>
      <w:r w:rsidRPr="00393FCA">
        <w:rPr>
          <w:rFonts w:eastAsiaTheme="minorEastAsia" w:cs="Arial"/>
          <w:lang w:eastAsia="en-GB"/>
        </w:rPr>
        <w:t xml:space="preserve">Furthermore, in the case of </w:t>
      </w:r>
      <w:proofErr w:type="gramStart"/>
      <w:r w:rsidRPr="00393FCA">
        <w:rPr>
          <w:rFonts w:eastAsiaTheme="minorEastAsia" w:cs="Arial"/>
          <w:i/>
          <w:lang w:eastAsia="en-GB"/>
        </w:rPr>
        <w:t>Vo</w:t>
      </w:r>
      <w:proofErr w:type="gramEnd"/>
      <w:r w:rsidRPr="00393FCA">
        <w:rPr>
          <w:rFonts w:eastAsiaTheme="minorEastAsia" w:cs="Arial"/>
          <w:i/>
          <w:lang w:eastAsia="en-GB"/>
        </w:rPr>
        <w:t xml:space="preserve"> v France</w:t>
      </w:r>
      <w:r w:rsidRPr="00393FCA">
        <w:rPr>
          <w:rFonts w:eastAsiaTheme="minorEastAsia" w:cs="Arial"/>
          <w:lang w:eastAsia="en-GB"/>
        </w:rPr>
        <w:t xml:space="preserve"> in the European Court of Human Rights (ECtHR) it was acknowledged that the unborn child is part of the human race, has capacity to become a person and therefore requires protection in the name of human dignity.</w:t>
      </w:r>
      <w:r w:rsidRPr="000F69E8">
        <w:rPr>
          <w:rFonts w:eastAsiaTheme="minorEastAsia" w:cs="Arial"/>
          <w:vertAlign w:val="superscript"/>
          <w:lang w:eastAsia="en-GB"/>
        </w:rPr>
        <w:footnoteReference w:id="1"/>
      </w:r>
      <w:r w:rsidRPr="00393FCA">
        <w:rPr>
          <w:rFonts w:eastAsiaTheme="minorEastAsia" w:cs="Arial"/>
          <w:lang w:eastAsia="en-GB"/>
        </w:rPr>
        <w:t xml:space="preserve"> The Committee’s recommendations do not acknowledge that life or protect the human dignity of the unborn child. Repealing the OAPA 1861 denigrates the status of the foetus afforded to it by the ECtHR. Decriminalising abortion would remove protection of the child and present a serious affront to its human dignity as a member of the human race, in removing all safeguards pertaining to its destruction. </w:t>
      </w:r>
    </w:p>
    <w:p w:rsidR="00B6322F" w:rsidRPr="000F69E8" w:rsidRDefault="005F2A3C" w:rsidP="00B6322F">
      <w:pPr>
        <w:spacing w:after="200" w:line="276" w:lineRule="auto"/>
        <w:rPr>
          <w:rFonts w:eastAsiaTheme="minorEastAsia" w:cs="Arial"/>
          <w:lang w:eastAsia="en-GB"/>
        </w:rPr>
      </w:pPr>
      <w:r>
        <w:rPr>
          <w:rFonts w:eastAsiaTheme="minorEastAsia" w:cs="Arial"/>
          <w:lang w:eastAsia="en-GB"/>
        </w:rPr>
        <w:t>T</w:t>
      </w:r>
      <w:r w:rsidR="00393FCA" w:rsidRPr="000F69E8">
        <w:rPr>
          <w:rFonts w:eastAsiaTheme="minorEastAsia" w:cs="Arial"/>
          <w:lang w:eastAsia="en-GB"/>
        </w:rPr>
        <w:t xml:space="preserve">he ECtHR recognised in </w:t>
      </w:r>
      <w:r w:rsidR="00393FCA" w:rsidRPr="000F69E8">
        <w:rPr>
          <w:rFonts w:eastAsiaTheme="minorEastAsia" w:cs="Arial"/>
          <w:i/>
          <w:lang w:eastAsia="en-GB"/>
        </w:rPr>
        <w:t>A, B, C v Ireland</w:t>
      </w:r>
      <w:r w:rsidR="00393FCA" w:rsidRPr="000F69E8">
        <w:rPr>
          <w:vertAlign w:val="superscript"/>
          <w:lang w:eastAsia="en-GB"/>
        </w:rPr>
        <w:footnoteReference w:id="2"/>
      </w:r>
      <w:r w:rsidR="00393FCA" w:rsidRPr="000F69E8">
        <w:rPr>
          <w:rFonts w:eastAsiaTheme="minorEastAsia" w:cs="Arial"/>
          <w:lang w:eastAsia="en-GB"/>
        </w:rPr>
        <w:t xml:space="preserve"> that Article 8 ECHR cannot be interpreted as conferring on individuals the right to an abortion. </w:t>
      </w:r>
      <w:r w:rsidR="00B6322F" w:rsidRPr="000F69E8">
        <w:rPr>
          <w:rFonts w:eastAsiaTheme="minorEastAsia" w:cs="Arial"/>
          <w:lang w:eastAsia="en-GB"/>
        </w:rPr>
        <w:t>A wide margin of appreciation is given to member states and within the UK abortion is</w:t>
      </w:r>
      <w:r w:rsidR="00B6322F" w:rsidRPr="000F69E8">
        <w:t xml:space="preserve"> a devolved issue which should be decided by politicians in Northern Ireland, as has been reiterated by the British Government and parliamentarians from across the party political spectrum. It is acknowledged that the Northern Ireland Assembly is sadly, though temporarily, not sitting. However, it would be constitutionally inappropriate and profoundly unwise to interfere in a sensitive political issue in this sensitive political moment for Northern Ireland and would set a worrying precedent for other devolved assemblies. </w:t>
      </w:r>
      <w:r w:rsidR="00B6322F" w:rsidRPr="000F69E8">
        <w:rPr>
          <w:rFonts w:cs="Arial"/>
        </w:rPr>
        <w:t xml:space="preserve">Recent </w:t>
      </w:r>
      <w:proofErr w:type="spellStart"/>
      <w:r w:rsidR="00B6322F" w:rsidRPr="000F69E8">
        <w:rPr>
          <w:rFonts w:cs="Arial"/>
        </w:rPr>
        <w:t>ComRes</w:t>
      </w:r>
      <w:proofErr w:type="spellEnd"/>
      <w:r w:rsidR="00B6322F" w:rsidRPr="000F69E8">
        <w:rPr>
          <w:rFonts w:cs="Arial"/>
        </w:rPr>
        <w:t xml:space="preserve"> polling of NI adults shows that 64% of people think that abortion should be decided by Northern Ireland’s elected representatives, rising to 66% of women and 70% of 18 to 34 year olds</w:t>
      </w:r>
      <w:r w:rsidR="00A567D2" w:rsidRPr="000F69E8">
        <w:rPr>
          <w:rStyle w:val="FootnoteReference"/>
          <w:rFonts w:cs="Arial"/>
        </w:rPr>
        <w:footnoteReference w:id="3"/>
      </w:r>
      <w:r w:rsidR="00B6322F" w:rsidRPr="000F69E8">
        <w:rPr>
          <w:rFonts w:cs="Arial"/>
        </w:rPr>
        <w:t>.</w:t>
      </w:r>
    </w:p>
    <w:p w:rsidR="00393FCA" w:rsidRPr="00393FCA" w:rsidRDefault="00393FCA" w:rsidP="00393FCA">
      <w:pPr>
        <w:spacing w:after="200" w:line="276" w:lineRule="auto"/>
        <w:rPr>
          <w:rFonts w:eastAsiaTheme="minorEastAsia" w:cs="Arial"/>
          <w:lang w:eastAsia="en-GB"/>
        </w:rPr>
      </w:pPr>
      <w:r w:rsidRPr="00393FCA">
        <w:rPr>
          <w:rFonts w:eastAsiaTheme="minorEastAsia" w:cs="Arial"/>
          <w:lang w:eastAsia="en-GB"/>
        </w:rPr>
        <w:t>The Committee’s contention that abortion is equivalent to a ‘right to health’</w:t>
      </w:r>
      <w:r w:rsidRPr="000F69E8">
        <w:rPr>
          <w:rFonts w:eastAsiaTheme="minorEastAsia" w:cs="Arial"/>
          <w:vertAlign w:val="superscript"/>
          <w:lang w:eastAsia="en-GB"/>
        </w:rPr>
        <w:footnoteReference w:id="4"/>
      </w:r>
      <w:r w:rsidRPr="00393FCA">
        <w:rPr>
          <w:rFonts w:eastAsiaTheme="minorEastAsia" w:cs="Arial"/>
          <w:lang w:eastAsia="en-GB"/>
        </w:rPr>
        <w:t xml:space="preserve"> therefore distorts the conclusions of international judgements and treaties. </w:t>
      </w:r>
    </w:p>
    <w:p w:rsidR="00393FCA" w:rsidRPr="000F69E8" w:rsidRDefault="00393FCA" w:rsidP="00B6322F">
      <w:pPr>
        <w:pStyle w:val="ListParagraph"/>
        <w:numPr>
          <w:ilvl w:val="0"/>
          <w:numId w:val="3"/>
        </w:numPr>
        <w:spacing w:line="276" w:lineRule="auto"/>
        <w:jc w:val="both"/>
        <w:rPr>
          <w:rFonts w:cs="Arial"/>
          <w:b/>
        </w:rPr>
      </w:pPr>
      <w:r w:rsidRPr="000F69E8">
        <w:rPr>
          <w:rFonts w:cs="Arial"/>
          <w:b/>
        </w:rPr>
        <w:t>There is no evidence that abortion improves women’s physical or mental health</w:t>
      </w:r>
    </w:p>
    <w:p w:rsidR="00393FCA" w:rsidRPr="00393FCA" w:rsidRDefault="00393FCA" w:rsidP="00393FCA">
      <w:pPr>
        <w:spacing w:line="276" w:lineRule="auto"/>
        <w:jc w:val="both"/>
        <w:rPr>
          <w:rFonts w:cs="Arial"/>
        </w:rPr>
      </w:pPr>
      <w:r w:rsidRPr="00393FCA">
        <w:rPr>
          <w:rFonts w:cs="Arial"/>
        </w:rPr>
        <w:t>The Committee’s recommendation 85(b)(</w:t>
      </w:r>
      <w:proofErr w:type="spellStart"/>
      <w:r w:rsidRPr="00393FCA">
        <w:rPr>
          <w:rFonts w:cs="Arial"/>
        </w:rPr>
        <w:t>i</w:t>
      </w:r>
      <w:proofErr w:type="spellEnd"/>
      <w:r w:rsidRPr="00393FCA">
        <w:rPr>
          <w:rFonts w:cs="Arial"/>
        </w:rPr>
        <w:t>), referenced in 19(b)(</w:t>
      </w:r>
      <w:proofErr w:type="spellStart"/>
      <w:r w:rsidRPr="00393FCA">
        <w:rPr>
          <w:rFonts w:cs="Arial"/>
        </w:rPr>
        <w:t>i</w:t>
      </w:r>
      <w:proofErr w:type="spellEnd"/>
      <w:r w:rsidRPr="00393FCA">
        <w:rPr>
          <w:rFonts w:cs="Arial"/>
        </w:rPr>
        <w:t xml:space="preserve">) in the List of Issues, </w:t>
      </w:r>
      <w:r w:rsidRPr="00393FCA">
        <w:rPr>
          <w:rFonts w:eastAsia="Arial Unicode MS" w:cs="Arial Unicode MS"/>
        </w:rPr>
        <w:t xml:space="preserve">that the UK adopt legislation to expand the grounds for abortion in Northern Ireland in cases where the </w:t>
      </w:r>
      <w:r w:rsidRPr="00393FCA">
        <w:rPr>
          <w:rFonts w:eastAsia="Arial Unicode MS" w:cs="Arial Unicode MS"/>
          <w:i/>
        </w:rPr>
        <w:t xml:space="preserve">‘threat to the pregnant woman’s physical or mental health, without conditionality of “long-term or permanent” effects’ </w:t>
      </w:r>
      <w:r w:rsidRPr="00393FCA">
        <w:rPr>
          <w:rFonts w:cs="Arial"/>
        </w:rPr>
        <w:t xml:space="preserve">would again overreach the Supreme Court judgement. Around 98% of abortions in England and Wales </w:t>
      </w:r>
      <w:r w:rsidRPr="00393FCA">
        <w:rPr>
          <w:rFonts w:cs="Arial"/>
        </w:rPr>
        <w:lastRenderedPageBreak/>
        <w:t>occur under this ground for abortion</w:t>
      </w:r>
      <w:r w:rsidRPr="000F69E8">
        <w:rPr>
          <w:rFonts w:cs="Arial"/>
          <w:vertAlign w:val="superscript"/>
        </w:rPr>
        <w:footnoteReference w:id="5"/>
      </w:r>
      <w:r w:rsidRPr="00393FCA">
        <w:rPr>
          <w:rFonts w:cs="Arial"/>
        </w:rPr>
        <w:t xml:space="preserve"> (known as Ground C), yet there is no conclusive evidence that continuing with an unwanted pregnancy demonstrably threatens a woman’s physical or mental health. </w:t>
      </w:r>
    </w:p>
    <w:p w:rsidR="00393FCA" w:rsidRPr="00393FCA" w:rsidRDefault="00393FCA" w:rsidP="00393FCA">
      <w:pPr>
        <w:spacing w:line="276" w:lineRule="auto"/>
        <w:jc w:val="both"/>
        <w:rPr>
          <w:rFonts w:cs="Arial"/>
        </w:rPr>
      </w:pPr>
      <w:r w:rsidRPr="00393FCA">
        <w:rPr>
          <w:rFonts w:cs="Arial"/>
        </w:rPr>
        <w:t>A review of the evidence in the United Kingdom by the Academy of Medical Royal Colleges in 2011 found no difference between the mental health outcomes of women with unwanted pregnancies who gave birth from those who had abortions. In fact, for women who have a history of mental health difficulties abortion is contraindicated.</w:t>
      </w:r>
      <w:r w:rsidRPr="000F69E8">
        <w:rPr>
          <w:rFonts w:cs="Arial"/>
          <w:vertAlign w:val="superscript"/>
        </w:rPr>
        <w:footnoteReference w:id="6"/>
      </w:r>
      <w:r w:rsidRPr="00393FCA">
        <w:rPr>
          <w:rFonts w:cs="Arial"/>
        </w:rPr>
        <w:t xml:space="preserve"> This review was re-examined by Fergusson et al in 2013, and they concluded that: </w:t>
      </w:r>
      <w:r w:rsidRPr="00393FCA">
        <w:rPr>
          <w:rFonts w:cs="Arial"/>
          <w:i/>
        </w:rPr>
        <w:t>“there is no available evidence to suggest that abortion has therapeutic effects in reducing the mental health risks of unwanted or unintended pregnancy. There is suggestive evidence that abortion may be associated with small to moderate increases in risks of some mental health problems.”</w:t>
      </w:r>
      <w:r w:rsidRPr="000F69E8">
        <w:rPr>
          <w:rFonts w:cs="Arial"/>
          <w:vertAlign w:val="superscript"/>
        </w:rPr>
        <w:footnoteReference w:id="7"/>
      </w:r>
      <w:r w:rsidRPr="00393FCA">
        <w:rPr>
          <w:rFonts w:cs="Arial"/>
          <w:i/>
        </w:rPr>
        <w:t xml:space="preserve"> </w:t>
      </w:r>
      <w:r w:rsidRPr="00393FCA">
        <w:rPr>
          <w:rFonts w:cs="Arial"/>
        </w:rPr>
        <w:t>Two other studies in 2008 and 2009 reached similar conclusions.</w:t>
      </w:r>
      <w:r w:rsidRPr="000F69E8">
        <w:rPr>
          <w:rFonts w:cs="Arial"/>
          <w:vertAlign w:val="superscript"/>
        </w:rPr>
        <w:footnoteReference w:id="8"/>
      </w:r>
      <w:r w:rsidRPr="00393FCA">
        <w:rPr>
          <w:rFonts w:cs="Arial"/>
        </w:rPr>
        <w:t xml:space="preserve"> </w:t>
      </w:r>
    </w:p>
    <w:p w:rsidR="00393FCA" w:rsidRPr="00393FCA" w:rsidRDefault="00393FCA" w:rsidP="00393FCA">
      <w:pPr>
        <w:spacing w:line="276" w:lineRule="auto"/>
        <w:jc w:val="both"/>
        <w:rPr>
          <w:rFonts w:cs="Arial"/>
        </w:rPr>
      </w:pPr>
      <w:r w:rsidRPr="00393FCA">
        <w:rPr>
          <w:rFonts w:cs="Arial"/>
        </w:rPr>
        <w:t xml:space="preserve">Furthermore, one study found a moderate to highly increased risk of mental health problems in women following an abortion. A comprehensive meta-analysis study by Coleman, published in </w:t>
      </w:r>
      <w:r w:rsidRPr="00393FCA">
        <w:rPr>
          <w:rFonts w:cs="Arial"/>
          <w:i/>
        </w:rPr>
        <w:t xml:space="preserve">The British Journal of Psychiatry, </w:t>
      </w:r>
      <w:r w:rsidRPr="00393FCA">
        <w:rPr>
          <w:rFonts w:cs="Arial"/>
        </w:rPr>
        <w:t>examined the data of 22 studies including 877,181 participants. The study found that women who had undergone an abortion experienced an 81% increased risk of mental health problems including depression, anxiety, PTSD, substance abuse and suicide.</w:t>
      </w:r>
      <w:r w:rsidRPr="000F69E8">
        <w:rPr>
          <w:rFonts w:cs="Arial"/>
          <w:vertAlign w:val="superscript"/>
        </w:rPr>
        <w:footnoteReference w:id="9"/>
      </w:r>
    </w:p>
    <w:p w:rsidR="00393FCA" w:rsidRPr="00393FCA" w:rsidRDefault="00393FCA" w:rsidP="00393FCA">
      <w:pPr>
        <w:spacing w:line="276" w:lineRule="auto"/>
        <w:jc w:val="both"/>
        <w:rPr>
          <w:rFonts w:cs="Arial"/>
        </w:rPr>
      </w:pPr>
      <w:r w:rsidRPr="00393FCA">
        <w:rPr>
          <w:rFonts w:cs="Arial"/>
        </w:rPr>
        <w:t>In terms of a physical threat to women’s health, it is often asserted that continuation of a pregnancy is riskier to the life of a mother than undergoing an abortion. However, there is evidence to contradict this</w:t>
      </w:r>
      <w:r w:rsidR="003D2B59">
        <w:rPr>
          <w:rFonts w:cs="Arial"/>
        </w:rPr>
        <w:t xml:space="preserve"> and proper context must be given to the socio-economic and cultural conditions of the relevant jurisdiction (see point </w:t>
      </w:r>
      <w:r w:rsidR="00892D0F">
        <w:rPr>
          <w:rFonts w:cs="Arial"/>
        </w:rPr>
        <w:t>5</w:t>
      </w:r>
      <w:r w:rsidR="003D2B59">
        <w:rPr>
          <w:rFonts w:cs="Arial"/>
        </w:rPr>
        <w:t xml:space="preserve"> below)</w:t>
      </w:r>
      <w:r w:rsidRPr="00393FCA">
        <w:rPr>
          <w:rFonts w:cs="Arial"/>
        </w:rPr>
        <w:t xml:space="preserve">. Firstly, a study by </w:t>
      </w:r>
      <w:proofErr w:type="spellStart"/>
      <w:r w:rsidRPr="00393FCA">
        <w:rPr>
          <w:rFonts w:cs="Arial"/>
        </w:rPr>
        <w:t>Gissler</w:t>
      </w:r>
      <w:proofErr w:type="spellEnd"/>
      <w:r w:rsidRPr="00393FCA">
        <w:rPr>
          <w:rFonts w:cs="Arial"/>
        </w:rPr>
        <w:t xml:space="preserve"> et al concluded that the mortality risk for a nonpregnant woman drops dramatically for a woman who becomes pregnant and carries the baby to </w:t>
      </w:r>
      <w:r w:rsidRPr="00393FCA">
        <w:rPr>
          <w:rFonts w:cs="Arial"/>
        </w:rPr>
        <w:lastRenderedPageBreak/>
        <w:t>term, yet increases considerably for those who have abortions.</w:t>
      </w:r>
      <w:r w:rsidRPr="000F69E8">
        <w:rPr>
          <w:rFonts w:cs="Arial"/>
          <w:vertAlign w:val="superscript"/>
        </w:rPr>
        <w:footnoteReference w:id="10"/>
      </w:r>
      <w:r w:rsidRPr="00393FCA">
        <w:rPr>
          <w:rFonts w:cs="Arial"/>
        </w:rPr>
        <w:t xml:space="preserve"> Secondly, there is robust evidence of a connection between abortion and subsequent preterm birth, as acknowledged by the Royal College of Obstetricians and Gynaecologists.</w:t>
      </w:r>
      <w:r w:rsidRPr="000F69E8">
        <w:rPr>
          <w:rFonts w:cs="Arial"/>
          <w:vertAlign w:val="superscript"/>
        </w:rPr>
        <w:footnoteReference w:id="11"/>
      </w:r>
      <w:r w:rsidRPr="00393FCA">
        <w:rPr>
          <w:rFonts w:cs="Arial"/>
        </w:rPr>
        <w:t xml:space="preserve"> A review in 2013 of induced abortion and early preterm birth found there was “</w:t>
      </w:r>
      <w:r w:rsidRPr="00393FCA">
        <w:rPr>
          <w:rFonts w:cs="Arial"/>
          <w:i/>
        </w:rPr>
        <w:t>a significant increase in the risk of preterm delivery in women with a history of previous induced abortion</w:t>
      </w:r>
      <w:r w:rsidRPr="00393FCA">
        <w:rPr>
          <w:rFonts w:cs="Arial"/>
        </w:rPr>
        <w:t>.” Women who had one prior induced abortion were 45% more likely to have premature births by 32 weeks, 71% more likely to have premature births by 28 weeks, and more than twice as likely (117%) to have premature births by 26 weeks.</w:t>
      </w:r>
      <w:r w:rsidRPr="000F69E8">
        <w:rPr>
          <w:rFonts w:cs="Arial"/>
          <w:vertAlign w:val="superscript"/>
        </w:rPr>
        <w:footnoteReference w:id="12"/>
      </w:r>
    </w:p>
    <w:p w:rsidR="00393FCA" w:rsidRPr="00393FCA" w:rsidRDefault="00393FCA" w:rsidP="00393FCA">
      <w:pPr>
        <w:spacing w:line="276" w:lineRule="auto"/>
        <w:jc w:val="both"/>
        <w:rPr>
          <w:rFonts w:cs="Arial"/>
        </w:rPr>
      </w:pPr>
      <w:r w:rsidRPr="00393FCA">
        <w:rPr>
          <w:rFonts w:cs="Arial"/>
        </w:rPr>
        <w:t xml:space="preserve">Legislating for abortion provision under this ground, as recommended by the Committee, is unsubstantiated and appears to be based on an ideological conviction, as opposed to a robust evidential framework. There is insufficient evidence to suggest that women are demonstrably healthier physically and mentally following abortion, than if they were to continue with a pregnancy.  </w:t>
      </w:r>
    </w:p>
    <w:p w:rsidR="00393FCA" w:rsidRPr="000F69E8" w:rsidRDefault="00393FCA" w:rsidP="00B6322F">
      <w:pPr>
        <w:pStyle w:val="ListParagraph"/>
        <w:numPr>
          <w:ilvl w:val="0"/>
          <w:numId w:val="3"/>
        </w:numPr>
        <w:spacing w:after="200" w:line="276" w:lineRule="auto"/>
        <w:rPr>
          <w:rFonts w:eastAsiaTheme="minorEastAsia"/>
          <w:b/>
          <w:lang w:eastAsia="en-GB"/>
        </w:rPr>
      </w:pPr>
      <w:r w:rsidRPr="000F69E8">
        <w:rPr>
          <w:rFonts w:eastAsiaTheme="minorEastAsia"/>
          <w:b/>
          <w:lang w:eastAsia="en-GB"/>
        </w:rPr>
        <w:t>The text of the Convention makes no reference to abortion</w:t>
      </w:r>
    </w:p>
    <w:p w:rsidR="00393FCA" w:rsidRPr="000F69E8" w:rsidRDefault="00393FCA" w:rsidP="00B6322F">
      <w:pPr>
        <w:spacing w:after="200" w:line="276" w:lineRule="auto"/>
        <w:rPr>
          <w:rFonts w:eastAsiaTheme="minorEastAsia"/>
          <w:lang w:eastAsia="en-GB"/>
        </w:rPr>
      </w:pPr>
      <w:r w:rsidRPr="00393FCA">
        <w:rPr>
          <w:rFonts w:eastAsiaTheme="minorEastAsia"/>
          <w:lang w:eastAsia="en-GB"/>
        </w:rPr>
        <w:t>Further, it must be noted that the CEDAW Committee is overreaching its standing in interpreting CEDAW as containing a right to abortion. The text itself makes no mention of abortion, nor does it require a State Party to legislate for abortion provision in specific circumstances or for decriminalisation of abortion. The latter is recommended by the Committee in 83(b) of its Inquiry</w:t>
      </w:r>
      <w:r w:rsidRPr="000F69E8">
        <w:rPr>
          <w:rFonts w:eastAsiaTheme="minorEastAsia"/>
          <w:vertAlign w:val="superscript"/>
          <w:lang w:eastAsia="en-GB"/>
        </w:rPr>
        <w:footnoteReference w:id="13"/>
      </w:r>
      <w:r w:rsidRPr="00393FCA">
        <w:rPr>
          <w:rFonts w:eastAsiaTheme="minorEastAsia"/>
          <w:lang w:eastAsia="en-GB"/>
        </w:rPr>
        <w:t xml:space="preserve">, under the justification that retaining abortion under the criminal law is a ‘systematic violation’ of women’s rights under the Convention. As much as the members of the Committee may wish to interpret the Convention as such, the International Court of Justice is the only body that has the reserved jurisdiction to do so, and it has not. In possessing the interpretive function for the treaty, the ICJ has not departed from the plain wording of the text of the Convention which would require a right to abortion to be ‘read in’. The Committee is therefore in no position to interpret the treaty as requiring the decriminalisation of abortion. </w:t>
      </w:r>
    </w:p>
    <w:p w:rsidR="006523BA" w:rsidRDefault="006523BA" w:rsidP="00B6322F">
      <w:pPr>
        <w:pStyle w:val="ListParagraph"/>
        <w:numPr>
          <w:ilvl w:val="0"/>
          <w:numId w:val="3"/>
        </w:numPr>
        <w:jc w:val="both"/>
        <w:rPr>
          <w:b/>
        </w:rPr>
      </w:pPr>
      <w:r>
        <w:rPr>
          <w:b/>
        </w:rPr>
        <w:t xml:space="preserve">It is important to note that the law in Northern Ireland is understood through the Bourne </w:t>
      </w:r>
      <w:r>
        <w:rPr>
          <w:rStyle w:val="FootnoteReference"/>
          <w:b/>
        </w:rPr>
        <w:footnoteReference w:id="14"/>
      </w:r>
      <w:r>
        <w:rPr>
          <w:b/>
        </w:rPr>
        <w:t xml:space="preserve">case which provided a defence for abortion in particular circumstances involving sexual crime. </w:t>
      </w:r>
    </w:p>
    <w:p w:rsidR="006523BA" w:rsidRDefault="006523BA" w:rsidP="006523BA">
      <w:pPr>
        <w:jc w:val="both"/>
      </w:pPr>
      <w:r w:rsidRPr="006523BA">
        <w:t xml:space="preserve">It is </w:t>
      </w:r>
      <w:r>
        <w:t>incorrect to say that women or girls in Northern Ireland cannot access abortion in the cases of rape or sexual crime. The case law here which has most shaped the law in providing and expanding the legal provision of abortion involved a 14 year old girl who was gang raped by a group of soldiers. The law in Northern Ireland has already considered some of the most difficult cases and made provision for such circumstances, based on the risk to the life of the women which must be either real and serious, permanent or long term and applies to physical and/or mental health.</w:t>
      </w:r>
    </w:p>
    <w:p w:rsidR="006523BA" w:rsidRPr="006523BA" w:rsidRDefault="006523BA" w:rsidP="006523BA">
      <w:pPr>
        <w:jc w:val="both"/>
      </w:pPr>
    </w:p>
    <w:p w:rsidR="00B6322F" w:rsidRPr="000F69E8" w:rsidRDefault="002557AF" w:rsidP="00B6322F">
      <w:pPr>
        <w:pStyle w:val="ListParagraph"/>
        <w:numPr>
          <w:ilvl w:val="0"/>
          <w:numId w:val="3"/>
        </w:numPr>
        <w:jc w:val="both"/>
        <w:rPr>
          <w:b/>
        </w:rPr>
      </w:pPr>
      <w:r w:rsidRPr="000F69E8">
        <w:rPr>
          <w:b/>
        </w:rPr>
        <w:t xml:space="preserve">It is vital that </w:t>
      </w:r>
      <w:r w:rsidR="00F01FF0" w:rsidRPr="000F69E8">
        <w:rPr>
          <w:b/>
        </w:rPr>
        <w:t xml:space="preserve">proper cultural </w:t>
      </w:r>
      <w:r w:rsidRPr="000F69E8">
        <w:rPr>
          <w:b/>
        </w:rPr>
        <w:t xml:space="preserve">context </w:t>
      </w:r>
      <w:r w:rsidR="00F01FF0" w:rsidRPr="000F69E8">
        <w:rPr>
          <w:b/>
        </w:rPr>
        <w:t xml:space="preserve">is given to considering this issue in </w:t>
      </w:r>
      <w:r w:rsidR="00D76808" w:rsidRPr="000F69E8">
        <w:rPr>
          <w:b/>
        </w:rPr>
        <w:t xml:space="preserve">Northern Ireland. </w:t>
      </w:r>
    </w:p>
    <w:p w:rsidR="00B6322F" w:rsidRPr="000F69E8" w:rsidRDefault="005F2A3C" w:rsidP="005F2A3C">
      <w:pPr>
        <w:jc w:val="both"/>
      </w:pPr>
      <w:r>
        <w:t>T</w:t>
      </w:r>
      <w:r w:rsidR="00B6322F" w:rsidRPr="000F69E8">
        <w:t xml:space="preserve">he health care system in </w:t>
      </w:r>
      <w:r w:rsidR="00D76808" w:rsidRPr="000F69E8">
        <w:t xml:space="preserve">Northern Ireland </w:t>
      </w:r>
      <w:r w:rsidR="00B6322F" w:rsidRPr="000F69E8">
        <w:t xml:space="preserve">is </w:t>
      </w:r>
      <w:r w:rsidR="00D76808" w:rsidRPr="000F69E8">
        <w:t xml:space="preserve">very different from </w:t>
      </w:r>
      <w:r>
        <w:t xml:space="preserve">many of the other countries being looked at in this session like </w:t>
      </w:r>
      <w:r w:rsidR="00D76808" w:rsidRPr="000F69E8">
        <w:t xml:space="preserve">Angola, Botswana and Myanmar. The </w:t>
      </w:r>
      <w:r>
        <w:t xml:space="preserve">very different </w:t>
      </w:r>
      <w:r w:rsidR="00D76808" w:rsidRPr="000F69E8">
        <w:t>maternal mortality rates, infant mortality rates, life expectancy etc of these countries need to be taken into account</w:t>
      </w:r>
      <w:r w:rsidR="00B6322F" w:rsidRPr="000F69E8">
        <w:t xml:space="preserve"> when any comparisons are made</w:t>
      </w:r>
      <w:r w:rsidR="00D76808" w:rsidRPr="000F69E8">
        <w:t>.</w:t>
      </w:r>
      <w:r w:rsidR="00B6322F" w:rsidRPr="000F69E8">
        <w:t xml:space="preserve"> Thankfully women and girls are not dying because of the law on abortion in Northern Ireland and abortion is provided for here but in more limited circumstances than in the rest of the UK.</w:t>
      </w:r>
      <w:r>
        <w:t xml:space="preserve"> The Committee must be careful to take these differences into consideration.</w:t>
      </w:r>
    </w:p>
    <w:p w:rsidR="000F69E8" w:rsidRPr="000F69E8" w:rsidRDefault="005E7F9E" w:rsidP="000F69E8">
      <w:pPr>
        <w:pStyle w:val="ListParagraph"/>
        <w:jc w:val="both"/>
      </w:pPr>
      <w:r w:rsidRPr="000F69E8">
        <w:t xml:space="preserve">  </w:t>
      </w:r>
    </w:p>
    <w:p w:rsidR="00B6322F" w:rsidRPr="000F69E8" w:rsidRDefault="00393FCA" w:rsidP="00B6322F">
      <w:pPr>
        <w:pStyle w:val="ListParagraph"/>
        <w:numPr>
          <w:ilvl w:val="0"/>
          <w:numId w:val="3"/>
        </w:numPr>
        <w:jc w:val="both"/>
      </w:pPr>
      <w:r w:rsidRPr="000F69E8">
        <w:rPr>
          <w:b/>
        </w:rPr>
        <w:t>T</w:t>
      </w:r>
      <w:r w:rsidR="005E7F9E" w:rsidRPr="000F69E8">
        <w:rPr>
          <w:b/>
        </w:rPr>
        <w:t>he law on abortion in Northern Ireland has been proven to save lives.</w:t>
      </w:r>
      <w:r w:rsidR="005E7F9E" w:rsidRPr="000F69E8">
        <w:t xml:space="preserve"> </w:t>
      </w:r>
    </w:p>
    <w:p w:rsidR="00535643" w:rsidRPr="000F69E8" w:rsidRDefault="005E7F9E" w:rsidP="005F2A3C">
      <w:pPr>
        <w:jc w:val="both"/>
      </w:pPr>
      <w:r w:rsidRPr="005F2A3C">
        <w:rPr>
          <w:u w:val="single"/>
        </w:rPr>
        <w:t>Research conducted by ‘Both Lives Matter’</w:t>
      </w:r>
      <w:r w:rsidR="008C25BC" w:rsidRPr="005F2A3C">
        <w:rPr>
          <w:u w:val="single"/>
        </w:rPr>
        <w:t xml:space="preserve"> in 2017, </w:t>
      </w:r>
      <w:r w:rsidRPr="005F2A3C">
        <w:rPr>
          <w:u w:val="single"/>
        </w:rPr>
        <w:t xml:space="preserve">which was independently scrutinised and upheld by the </w:t>
      </w:r>
      <w:hyperlink r:id="rId13" w:history="1">
        <w:r w:rsidRPr="005F2A3C">
          <w:rPr>
            <w:rStyle w:val="Hyperlink"/>
            <w:color w:val="auto"/>
          </w:rPr>
          <w:t>Advertising Standards Authority</w:t>
        </w:r>
      </w:hyperlink>
      <w:r w:rsidRPr="005F2A3C">
        <w:rPr>
          <w:u w:val="single"/>
        </w:rPr>
        <w:t xml:space="preserve"> following a complaint made to them, has found that an estimated 100,000 individuals are alive today who would otherwise not be if Northern Ireland had followed England, Scotland and Wales in adopting the 1967 Abortion Act.</w:t>
      </w:r>
      <w:r w:rsidRPr="000F69E8">
        <w:t xml:space="preserve"> This research is publicly available to be scrutinised</w:t>
      </w:r>
      <w:r w:rsidR="005F2A3C">
        <w:rPr>
          <w:rStyle w:val="FootnoteReference"/>
        </w:rPr>
        <w:footnoteReference w:id="15"/>
      </w:r>
      <w:r w:rsidR="003D2B59">
        <w:t xml:space="preserve"> and takes into account the women who travel to GB for abortions</w:t>
      </w:r>
      <w:r w:rsidRPr="000F69E8">
        <w:t>. Claims that the law on abortion in Northern Ireland do not stop abortion are simply empirically baseless.</w:t>
      </w:r>
      <w:r w:rsidR="003D2B59">
        <w:t xml:space="preserve"> The law does make a difference and this directly contradicts the claims of those who say that restricting access to abortion doesn’t stop it. Again cultural context and the specificity of Northern Ireland as a devolved region of the UK must be taken into account.</w:t>
      </w:r>
    </w:p>
    <w:p w:rsidR="00A567D2" w:rsidRPr="000F69E8" w:rsidRDefault="00A567D2" w:rsidP="00AD07D4">
      <w:pPr>
        <w:pStyle w:val="ListParagraph"/>
        <w:jc w:val="both"/>
        <w:rPr>
          <w:rFonts w:cs="Arial"/>
        </w:rPr>
      </w:pPr>
    </w:p>
    <w:p w:rsidR="00A567D2" w:rsidRPr="000B1B70" w:rsidRDefault="00A567D2" w:rsidP="000F69E8">
      <w:pPr>
        <w:pStyle w:val="ListParagraph"/>
        <w:numPr>
          <w:ilvl w:val="0"/>
          <w:numId w:val="3"/>
        </w:numPr>
        <w:suppressAutoHyphens/>
        <w:autoSpaceDN w:val="0"/>
        <w:spacing w:line="249" w:lineRule="auto"/>
        <w:contextualSpacing w:val="0"/>
        <w:textAlignment w:val="baseline"/>
        <w:rPr>
          <w:b/>
        </w:rPr>
      </w:pPr>
      <w:r w:rsidRPr="000B1B70">
        <w:rPr>
          <w:b/>
        </w:rPr>
        <w:t>Decriminalisation</w:t>
      </w:r>
    </w:p>
    <w:p w:rsidR="00A567D2" w:rsidRPr="000F69E8" w:rsidRDefault="00A567D2" w:rsidP="005F2A3C">
      <w:pPr>
        <w:suppressAutoHyphens/>
        <w:autoSpaceDN w:val="0"/>
        <w:spacing w:line="249" w:lineRule="auto"/>
        <w:textAlignment w:val="baseline"/>
      </w:pPr>
      <w:r w:rsidRPr="000F69E8">
        <w:t xml:space="preserve">States enact the criminal law to maintain civil order and protect people and property from deliberate harm and destruction. As a community we protect what matters to us. </w:t>
      </w:r>
      <w:r w:rsidR="005F2A3C">
        <w:t>In the UK s</w:t>
      </w:r>
      <w:r w:rsidRPr="000F69E8">
        <w:t>tealing a mobile phone is a criminal offence, destroy</w:t>
      </w:r>
      <w:r w:rsidR="005F2A3C">
        <w:t>ing</w:t>
      </w:r>
      <w:r w:rsidRPr="000F69E8">
        <w:t xml:space="preserve"> a hawk’s egg is a criminal offence, it’s even a criminal offence to pick certain types of wild-flowers or watch your tv without a licence. It’s perfectly proper and reasonable for the law to place criminal sanctions on the destruction of human life outside of particular boundaries. </w:t>
      </w:r>
    </w:p>
    <w:p w:rsidR="00A567D2" w:rsidRPr="000F69E8" w:rsidRDefault="00A567D2" w:rsidP="005F2A3C">
      <w:pPr>
        <w:suppressAutoHyphens/>
        <w:autoSpaceDN w:val="0"/>
        <w:spacing w:line="249" w:lineRule="auto"/>
        <w:textAlignment w:val="baseline"/>
      </w:pPr>
      <w:r w:rsidRPr="000F69E8">
        <w:t xml:space="preserve">If not, then the value of the life of every human being yet to be born is just a private concern, of no more legal consequence than the removal of a bunion from your foot. </w:t>
      </w:r>
    </w:p>
    <w:p w:rsidR="00A567D2" w:rsidRPr="000F69E8" w:rsidRDefault="00A567D2" w:rsidP="005F2A3C">
      <w:pPr>
        <w:suppressAutoHyphens/>
        <w:autoSpaceDN w:val="0"/>
        <w:spacing w:line="249" w:lineRule="auto"/>
        <w:textAlignment w:val="baseline"/>
      </w:pPr>
      <w:r w:rsidRPr="00B12C97">
        <w:t xml:space="preserve">There is no absolute right </w:t>
      </w:r>
      <w:r w:rsidR="00B12C97">
        <w:t xml:space="preserve">in any state for people </w:t>
      </w:r>
      <w:r w:rsidRPr="00B12C97">
        <w:t xml:space="preserve">to do what </w:t>
      </w:r>
      <w:r w:rsidR="00B12C97">
        <w:t xml:space="preserve">they like with their </w:t>
      </w:r>
      <w:r w:rsidRPr="00B12C97">
        <w:t>bodies all the time</w:t>
      </w:r>
      <w:r w:rsidRPr="000F69E8">
        <w:t xml:space="preserve"> – especially when it puts at risk the bodies </w:t>
      </w:r>
      <w:r w:rsidR="000F69E8" w:rsidRPr="000F69E8">
        <w:t xml:space="preserve">and lives </w:t>
      </w:r>
      <w:r w:rsidRPr="000F69E8">
        <w:t>of others.</w:t>
      </w:r>
      <w:r w:rsidR="005F2A3C">
        <w:t xml:space="preserve"> The criminal law regularly intervenes to limit individuals and protect the wider community or vice versa.</w:t>
      </w:r>
      <w:r w:rsidR="00B12C97">
        <w:t xml:space="preserve"> Sentencing could be reviewed around the criminal aspect of abortion without removing the need for the crime to remain in place. </w:t>
      </w:r>
    </w:p>
    <w:p w:rsidR="00A567D2" w:rsidRPr="000F69E8" w:rsidRDefault="000F69E8" w:rsidP="005F2A3C">
      <w:pPr>
        <w:suppressAutoHyphens/>
        <w:autoSpaceDN w:val="0"/>
        <w:spacing w:line="249" w:lineRule="auto"/>
        <w:textAlignment w:val="baseline"/>
      </w:pPr>
      <w:r w:rsidRPr="000F69E8">
        <w:t>T</w:t>
      </w:r>
      <w:r w:rsidR="00A567D2" w:rsidRPr="000F69E8">
        <w:t xml:space="preserve">he criminal law on abortion exists to protect women from unsafe, unregulated and unscrupulous abortion providers. It also protects unborn children from destruction outside of grounds which have been legally approved. These threats to both women and unborn children still remain today and the law in Northern Ireland exists to protect both about as far as humanly possible. </w:t>
      </w:r>
    </w:p>
    <w:p w:rsidR="005F2A3C" w:rsidRDefault="005F2A3C" w:rsidP="000F69E8">
      <w:pPr>
        <w:suppressAutoHyphens/>
        <w:autoSpaceDN w:val="0"/>
        <w:spacing w:line="249" w:lineRule="auto"/>
        <w:textAlignment w:val="baseline"/>
      </w:pPr>
      <w:r>
        <w:t>I</w:t>
      </w:r>
      <w:r w:rsidR="00A567D2" w:rsidRPr="000F69E8">
        <w:t xml:space="preserve">f a mother steals food to feed her children because she feels she has no other choice she has been failed by our society. But the compassionate answer is not to decriminalise theft. It is to work in solidarity to change the systemic issues that led her to this point - poverty, inequality, injustice. The answer is not to decriminalise abortion but to tackle the issues that lead women and their families to the point where they see this as their only or best choice. Abortion without legal parameters is not the road to a more human, more compassionate society.  </w:t>
      </w:r>
    </w:p>
    <w:p w:rsidR="000F69E8" w:rsidRPr="00486A6D" w:rsidRDefault="000F69E8" w:rsidP="000F69E8">
      <w:pPr>
        <w:pStyle w:val="ListParagraph"/>
        <w:numPr>
          <w:ilvl w:val="0"/>
          <w:numId w:val="3"/>
        </w:numPr>
        <w:suppressAutoHyphens/>
        <w:autoSpaceDN w:val="0"/>
        <w:spacing w:line="249" w:lineRule="auto"/>
        <w:textAlignment w:val="baseline"/>
        <w:rPr>
          <w:b/>
        </w:rPr>
      </w:pPr>
      <w:r w:rsidRPr="00486A6D">
        <w:rPr>
          <w:b/>
        </w:rPr>
        <w:t>Areas of agreement and common ground</w:t>
      </w:r>
    </w:p>
    <w:p w:rsidR="00486A6D" w:rsidRDefault="00B214BE" w:rsidP="000F69E8">
      <w:pPr>
        <w:suppressAutoHyphens/>
        <w:autoSpaceDN w:val="0"/>
        <w:spacing w:line="249" w:lineRule="auto"/>
        <w:textAlignment w:val="baseline"/>
      </w:pPr>
      <w:r>
        <w:t>There are many parts of the CEDAW Declaration that we can agree with</w:t>
      </w:r>
      <w:r w:rsidR="00486A6D">
        <w:t xml:space="preserve"> and find common ground, such as tackling domestic violence, social and economic rights, child care provision, human trafficking and tackling stereotypes. We are disappointed with the focus on abortion in the report when it comes to Northern Ireland.</w:t>
      </w:r>
    </w:p>
    <w:p w:rsidR="000F69E8" w:rsidRPr="00486A6D" w:rsidRDefault="00B214BE" w:rsidP="000F69E8">
      <w:pPr>
        <w:pStyle w:val="ListParagraph"/>
        <w:numPr>
          <w:ilvl w:val="0"/>
          <w:numId w:val="3"/>
        </w:numPr>
        <w:suppressAutoHyphens/>
        <w:autoSpaceDN w:val="0"/>
        <w:spacing w:line="249" w:lineRule="auto"/>
        <w:textAlignment w:val="baseline"/>
        <w:rPr>
          <w:b/>
        </w:rPr>
      </w:pPr>
      <w:r w:rsidRPr="00486A6D">
        <w:rPr>
          <w:b/>
        </w:rPr>
        <w:t>The Cairo Convention on population and development 1994</w:t>
      </w:r>
    </w:p>
    <w:p w:rsidR="00B214BE" w:rsidRPr="00486A6D" w:rsidRDefault="00486A6D" w:rsidP="00B214BE">
      <w:pPr>
        <w:suppressAutoHyphens/>
        <w:autoSpaceDN w:val="0"/>
        <w:spacing w:line="249" w:lineRule="auto"/>
        <w:textAlignment w:val="baseline"/>
      </w:pPr>
      <w:r w:rsidRPr="00486A6D">
        <w:t xml:space="preserve">Where the CEDAW Convention </w:t>
      </w:r>
      <w:r w:rsidRPr="00486A6D">
        <w:rPr>
          <w:rFonts w:cs="Segoe UI"/>
        </w:rPr>
        <w:t>(article 16) guarantees women equal rights in deciding “freely and responsibly on the number and spacing of their children and to have access to the information, education and means to enable them to exercise these rights.” CEDAW (article 10) also specifies that women’s right to education includes “access to specific educational information to help to ensure the health and well-being of families, including information and advice on family planning.”</w:t>
      </w:r>
      <w:r w:rsidRPr="00486A6D">
        <w:t xml:space="preserve"> – this must be understood in the context that abortion should never be promoted as a method of family planning as per the Cairo convention. </w:t>
      </w:r>
    </w:p>
    <w:p w:rsidR="00B214BE" w:rsidRPr="00B214BE" w:rsidRDefault="00B214BE" w:rsidP="00B214BE">
      <w:pPr>
        <w:rPr>
          <w:i/>
        </w:rPr>
      </w:pPr>
      <w:r w:rsidRPr="00B214BE">
        <w:rPr>
          <w:i/>
        </w:rPr>
        <w:t>"In no case should abortion be promoted as a method of family planning. All Governments and relevant intergovernmental and non-governmental organizations are urged to strengthen their commitment to women's health, to deal with the health impact of unsafe abortion as a major public health concern and to reduce the recourse to abortion through expanded and improved family planning services. Prevention of unwanted pregnancies must always be given the highest priority and all attempts should be made to eliminate the need for abortion. Women who have unwanted pregnancies should have ready access to reliable information and compassionate counselling. Any measures or changes related to abortion within the health system can only be determined at the national or local level according to the national legislative process. In circumstances in which abortion is not against the law, such abortion should be safe. In all cases women should have access to quality services for the management of complications arising from abortion. Post-abortion counselling, education and family-planning services should be offered promptly which will also help to avoid repeat abortions.</w:t>
      </w:r>
      <w:r w:rsidRPr="00B214BE">
        <w:rPr>
          <w:rStyle w:val="FootnoteReference"/>
          <w:i/>
        </w:rPr>
        <w:footnoteReference w:id="16"/>
      </w:r>
      <w:r w:rsidRPr="00B214BE">
        <w:rPr>
          <w:i/>
        </w:rPr>
        <w:t>"</w:t>
      </w:r>
    </w:p>
    <w:p w:rsidR="00486A6D" w:rsidRPr="00486A6D" w:rsidRDefault="00486A6D" w:rsidP="00486A6D">
      <w:pPr>
        <w:suppressAutoHyphens/>
        <w:autoSpaceDN w:val="0"/>
        <w:spacing w:line="249" w:lineRule="auto"/>
        <w:textAlignment w:val="baseline"/>
      </w:pPr>
      <w:r w:rsidRPr="00486A6D">
        <w:t xml:space="preserve">We would argue that </w:t>
      </w:r>
      <w:r w:rsidR="00B214BE" w:rsidRPr="00486A6D">
        <w:t xml:space="preserve">Northern Ireland meets </w:t>
      </w:r>
      <w:r w:rsidRPr="00486A6D">
        <w:t>these criteria. W</w:t>
      </w:r>
      <w:r w:rsidR="00B214BE" w:rsidRPr="00486A6D">
        <w:t xml:space="preserve">here consistency of access to services is an issue we agree that there needs to be consistency. </w:t>
      </w:r>
      <w:r>
        <w:t>However and in contrast, i</w:t>
      </w:r>
      <w:r w:rsidR="00B214BE" w:rsidRPr="00486A6D">
        <w:t xml:space="preserve">n GB, 38% of all abortions are repeat abortions. This is not best healthcare for women yet the CEDAW Committee does not seem to be concerned about the level of abortion in the rest of the UK. </w:t>
      </w:r>
    </w:p>
    <w:p w:rsidR="00486A6D" w:rsidRDefault="00486A6D" w:rsidP="005E7F9E">
      <w:pPr>
        <w:jc w:val="both"/>
        <w:rPr>
          <w:b/>
        </w:rPr>
      </w:pPr>
    </w:p>
    <w:p w:rsidR="0050659D" w:rsidRPr="000F69E8" w:rsidRDefault="00822CC3" w:rsidP="005E7F9E">
      <w:pPr>
        <w:jc w:val="both"/>
      </w:pPr>
      <w:r w:rsidRPr="000F69E8">
        <w:rPr>
          <w:b/>
        </w:rPr>
        <w:t>In conclusion</w:t>
      </w:r>
      <w:r w:rsidRPr="000F69E8">
        <w:t>, we</w:t>
      </w:r>
      <w:r w:rsidR="00090675" w:rsidRPr="000F69E8">
        <w:t xml:space="preserve"> would urge the Committee to respect the right of the people of Northern Ireland through their elected representatives to decide what the law on abortion should be. </w:t>
      </w:r>
      <w:r w:rsidR="00BC513F" w:rsidRPr="000F69E8">
        <w:t>The law i</w:t>
      </w:r>
      <w:r w:rsidR="00535643" w:rsidRPr="000F69E8">
        <w:t>n Northern Ireland protects the life, health and dignity of both women and unborn children</w:t>
      </w:r>
      <w:r w:rsidR="00BC513F" w:rsidRPr="000F69E8">
        <w:t>.</w:t>
      </w:r>
      <w:r w:rsidR="00535643" w:rsidRPr="000F69E8">
        <w:t xml:space="preserve"> We, and many others want to keep it that way. </w:t>
      </w:r>
    </w:p>
    <w:p w:rsidR="000F69E8" w:rsidRPr="000F69E8" w:rsidRDefault="000F69E8" w:rsidP="005F2A3C">
      <w:pPr>
        <w:suppressAutoHyphens/>
        <w:autoSpaceDN w:val="0"/>
        <w:spacing w:line="249" w:lineRule="auto"/>
        <w:textAlignment w:val="baseline"/>
      </w:pPr>
      <w:r w:rsidRPr="000F69E8">
        <w:t xml:space="preserve">When the law is being engineered to create a human right to end human life something has gone wrong. When, for every four children born alive in England and Wales, there is one abortion, surely all sides in this debate can agree the practice of abortion has gone far beyond the idea of it being ‘safe, legal and rare’ for the ‘hard cases’. </w:t>
      </w:r>
      <w:r w:rsidR="005F2A3C">
        <w:t>The ‘fingerprints’ of pro-abortion lobbyists are very evident in the ‘sources’ quoted in the CEDAW Report of 23 February 2018. There is a determined political ideology driving for unrestricted access to abortion in Northern Ireland and it is important that this is acknowledged in any report.</w:t>
      </w:r>
    </w:p>
    <w:p w:rsidR="000F69E8" w:rsidRPr="000F69E8" w:rsidRDefault="000F69E8" w:rsidP="000F69E8">
      <w:pPr>
        <w:jc w:val="both"/>
        <w:rPr>
          <w:rFonts w:cs="Arial"/>
        </w:rPr>
      </w:pPr>
      <w:r w:rsidRPr="000F69E8">
        <w:rPr>
          <w:rFonts w:cs="Arial"/>
        </w:rPr>
        <w:t>There is a danger that the CEDAW Committee has accepted the destructive ideology which teaches that women can only be equal when they have an absolute right to abortion in any circumstance for any reason. This pitches a women against her unborn child and measures freedom, equality and progress for women by their ability to end the life of their own child. This is a dangerous and destructive way to view women and humanity more widely. It ignores the unborn and different cultural values and approaches to the dignity of human life itself. Rather than choosing a side, we’re asking you to stand with both. Many women, men and children see a better and more human way ahead which values the life, health and dignity of both as far as possible.</w:t>
      </w:r>
    </w:p>
    <w:p w:rsidR="00090675" w:rsidRPr="000F69E8" w:rsidRDefault="00535643" w:rsidP="005E7F9E">
      <w:pPr>
        <w:jc w:val="both"/>
      </w:pPr>
      <w:r w:rsidRPr="000F69E8">
        <w:t xml:space="preserve">If </w:t>
      </w:r>
      <w:r w:rsidR="0050659D" w:rsidRPr="000F69E8">
        <w:t xml:space="preserve">the Committee </w:t>
      </w:r>
      <w:r w:rsidRPr="000F69E8">
        <w:t>really want</w:t>
      </w:r>
      <w:r w:rsidR="0050659D" w:rsidRPr="000F69E8">
        <w:t>s</w:t>
      </w:r>
      <w:r w:rsidRPr="000F69E8">
        <w:t xml:space="preserve"> to help us then please encourage investment in pregnancy crisis services and addressing systemic issues like poverty and gender inequality which lead women to see abortion as their only or best choice.</w:t>
      </w:r>
    </w:p>
    <w:p w:rsidR="00535643" w:rsidRPr="000F69E8" w:rsidRDefault="00B6322F" w:rsidP="005E7F9E">
      <w:pPr>
        <w:jc w:val="both"/>
      </w:pPr>
      <w:r w:rsidRPr="000F69E8">
        <w:t xml:space="preserve">We </w:t>
      </w:r>
      <w:r w:rsidR="00535643" w:rsidRPr="000F69E8">
        <w:t>would be delighted to represent our movement and discuss these impo</w:t>
      </w:r>
      <w:r w:rsidRPr="000F69E8">
        <w:t>rtant issues further with your C</w:t>
      </w:r>
      <w:r w:rsidR="00535643" w:rsidRPr="000F69E8">
        <w:t xml:space="preserve">ommittee by giving direct oral evidence if this could be facilitated. </w:t>
      </w:r>
    </w:p>
    <w:p w:rsidR="00393FCA" w:rsidRPr="000F69E8" w:rsidRDefault="00393FCA" w:rsidP="005E7F9E">
      <w:pPr>
        <w:jc w:val="both"/>
      </w:pPr>
    </w:p>
    <w:p w:rsidR="00B6322F" w:rsidRPr="000F69E8" w:rsidRDefault="00B6322F" w:rsidP="00B6322F">
      <w:pPr>
        <w:spacing w:before="160" w:after="200" w:line="276" w:lineRule="auto"/>
        <w:jc w:val="center"/>
        <w:rPr>
          <w:rFonts w:eastAsiaTheme="minorEastAsia" w:cs="Arial"/>
          <w:noProof/>
          <w:lang w:eastAsia="en-GB"/>
        </w:rPr>
      </w:pPr>
    </w:p>
    <w:p w:rsidR="000F69E8" w:rsidRPr="000B1B70" w:rsidRDefault="00B6322F" w:rsidP="000F69E8">
      <w:pPr>
        <w:spacing w:line="240" w:lineRule="auto"/>
        <w:jc w:val="center"/>
        <w:rPr>
          <w:rFonts w:eastAsia="Times New Roman" w:cs="Arial"/>
          <w:b/>
          <w:i/>
          <w:lang w:eastAsia="en-GB"/>
        </w:rPr>
      </w:pPr>
      <w:r w:rsidRPr="00393FCA">
        <w:rPr>
          <w:rFonts w:eastAsiaTheme="minorEastAsia" w:cs="Arial"/>
          <w:b/>
          <w:noProof/>
          <w:lang w:eastAsia="en-GB"/>
        </w:rPr>
        <w:t>This submission may be posted on the CEDAW website for public information purposes</w:t>
      </w:r>
    </w:p>
    <w:p w:rsidR="000F69E8" w:rsidRDefault="000F69E8" w:rsidP="000F69E8">
      <w:pPr>
        <w:spacing w:line="240" w:lineRule="auto"/>
        <w:jc w:val="both"/>
        <w:rPr>
          <w:rFonts w:eastAsia="Times New Roman" w:cs="Arial"/>
          <w:b/>
          <w:i/>
          <w:lang w:eastAsia="en-GB"/>
        </w:rPr>
      </w:pPr>
    </w:p>
    <w:p w:rsidR="000B1B70" w:rsidRDefault="000B1B70" w:rsidP="000F69E8">
      <w:pPr>
        <w:spacing w:line="240" w:lineRule="auto"/>
        <w:jc w:val="both"/>
        <w:rPr>
          <w:rFonts w:eastAsia="Times New Roman" w:cs="Arial"/>
          <w:b/>
          <w:i/>
          <w:lang w:eastAsia="en-GB"/>
        </w:rPr>
      </w:pPr>
    </w:p>
    <w:p w:rsidR="000B1B70" w:rsidRDefault="000B1B70" w:rsidP="000F69E8">
      <w:pPr>
        <w:spacing w:line="240" w:lineRule="auto"/>
        <w:jc w:val="both"/>
        <w:rPr>
          <w:rFonts w:eastAsia="Times New Roman" w:cs="Arial"/>
          <w:b/>
          <w:i/>
          <w:lang w:eastAsia="en-GB"/>
        </w:rPr>
      </w:pPr>
    </w:p>
    <w:p w:rsidR="000B1B70" w:rsidRDefault="000B1B70" w:rsidP="000F69E8">
      <w:pPr>
        <w:spacing w:line="240" w:lineRule="auto"/>
        <w:jc w:val="both"/>
        <w:rPr>
          <w:rFonts w:eastAsia="Times New Roman" w:cs="Arial"/>
          <w:b/>
          <w:i/>
          <w:lang w:eastAsia="en-GB"/>
        </w:rPr>
      </w:pPr>
    </w:p>
    <w:p w:rsidR="000B1B70" w:rsidRDefault="000B1B70" w:rsidP="000F69E8">
      <w:pPr>
        <w:spacing w:line="240" w:lineRule="auto"/>
        <w:jc w:val="both"/>
        <w:rPr>
          <w:rFonts w:eastAsia="Times New Roman" w:cs="Arial"/>
          <w:b/>
          <w:i/>
          <w:lang w:eastAsia="en-GB"/>
        </w:rPr>
      </w:pPr>
    </w:p>
    <w:p w:rsidR="000B1B70" w:rsidRDefault="000B1B70" w:rsidP="000F69E8">
      <w:pPr>
        <w:spacing w:line="240" w:lineRule="auto"/>
        <w:jc w:val="both"/>
        <w:rPr>
          <w:rFonts w:eastAsia="Times New Roman" w:cs="Arial"/>
          <w:b/>
          <w:i/>
          <w:lang w:eastAsia="en-GB"/>
        </w:rPr>
      </w:pPr>
    </w:p>
    <w:p w:rsidR="000B1B70" w:rsidRPr="000F69E8" w:rsidRDefault="000B1B70" w:rsidP="000F69E8">
      <w:pPr>
        <w:spacing w:line="240" w:lineRule="auto"/>
        <w:jc w:val="both"/>
        <w:rPr>
          <w:rFonts w:eastAsia="Times New Roman" w:cs="Arial"/>
          <w:b/>
          <w:i/>
          <w:lang w:eastAsia="en-GB"/>
        </w:rPr>
      </w:pPr>
    </w:p>
    <w:p w:rsidR="000B1B70" w:rsidRDefault="000B1B70" w:rsidP="000F69E8">
      <w:pPr>
        <w:spacing w:line="240" w:lineRule="auto"/>
        <w:jc w:val="both"/>
        <w:rPr>
          <w:rFonts w:eastAsia="Times New Roman" w:cs="Arial"/>
          <w:b/>
          <w:i/>
          <w:lang w:eastAsia="en-GB"/>
        </w:rPr>
      </w:pPr>
    </w:p>
    <w:p w:rsidR="000B1B70" w:rsidRDefault="000B1B70" w:rsidP="000B1B70">
      <w:pPr>
        <w:spacing w:line="240" w:lineRule="auto"/>
        <w:jc w:val="center"/>
        <w:rPr>
          <w:rFonts w:eastAsia="Times New Roman" w:cs="Arial"/>
          <w:b/>
          <w:i/>
          <w:lang w:eastAsia="en-GB"/>
        </w:rPr>
      </w:pPr>
      <w:r w:rsidRPr="000F69E8">
        <w:rPr>
          <w:noProof/>
          <w:lang w:eastAsia="en-GB"/>
        </w:rPr>
        <w:drawing>
          <wp:inline distT="0" distB="0" distL="0" distR="0" wp14:anchorId="74E992CC" wp14:editId="3FB184C9">
            <wp:extent cx="1301750" cy="723194"/>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44256" cy="746808"/>
                    </a:xfrm>
                    <a:prstGeom prst="rect">
                      <a:avLst/>
                    </a:prstGeom>
                  </pic:spPr>
                </pic:pic>
              </a:graphicData>
            </a:graphic>
          </wp:inline>
        </w:drawing>
      </w:r>
    </w:p>
    <w:p w:rsidR="000F69E8" w:rsidRPr="000F69E8" w:rsidRDefault="000F69E8" w:rsidP="000F69E8">
      <w:pPr>
        <w:spacing w:line="240" w:lineRule="auto"/>
        <w:jc w:val="both"/>
        <w:rPr>
          <w:rFonts w:eastAsia="Times New Roman" w:cs="Arial"/>
          <w:i/>
          <w:lang w:eastAsia="en-GB"/>
        </w:rPr>
      </w:pPr>
      <w:r w:rsidRPr="000F69E8">
        <w:rPr>
          <w:rFonts w:eastAsia="Times New Roman" w:cs="Arial"/>
          <w:b/>
          <w:i/>
          <w:lang w:eastAsia="en-GB"/>
        </w:rPr>
        <w:t>Both Lives Matter</w:t>
      </w:r>
      <w:r w:rsidRPr="000F69E8">
        <w:rPr>
          <w:rFonts w:eastAsia="Times New Roman" w:cs="Arial"/>
          <w:i/>
          <w:lang w:eastAsia="en-GB"/>
        </w:rPr>
        <w:t xml:space="preserve"> is a coalition of NGOs - A collaborative movement from diverse social and political backgrounds across Northern Ireland and beyond. We speak to the issue of abortion specifically and in the broader cultural context. Together we reject the harmful way of thinking that pitches a woman against her unborn child. Instead we stand in solidarity with both, championing laws which protect both and advocating services which best care for both. </w:t>
      </w:r>
    </w:p>
    <w:p w:rsidR="000F69E8" w:rsidRPr="000F69E8" w:rsidRDefault="000F69E8" w:rsidP="000F69E8">
      <w:pPr>
        <w:spacing w:line="240" w:lineRule="auto"/>
        <w:jc w:val="both"/>
        <w:rPr>
          <w:rFonts w:eastAsia="Times New Roman" w:cs="Arial"/>
          <w:i/>
          <w:lang w:eastAsia="en-GB"/>
        </w:rPr>
      </w:pPr>
      <w:r w:rsidRPr="000F69E8">
        <w:rPr>
          <w:rFonts w:eastAsia="Times New Roman" w:cs="Arial"/>
          <w:i/>
          <w:lang w:eastAsia="en-GB"/>
        </w:rPr>
        <w:t>We stand together, from every background, all faiths or none, united in recognising the human dignity of everyone, ready to create a new culture, where compassion and support for both lives is the norm.</w:t>
      </w:r>
    </w:p>
    <w:p w:rsidR="000F69E8" w:rsidRPr="000F69E8" w:rsidRDefault="000F69E8" w:rsidP="000F69E8">
      <w:pPr>
        <w:spacing w:line="240" w:lineRule="auto"/>
        <w:jc w:val="both"/>
        <w:rPr>
          <w:rFonts w:eastAsia="Times New Roman" w:cs="Arial"/>
          <w:i/>
          <w:lang w:eastAsia="en-GB"/>
        </w:rPr>
      </w:pPr>
      <w:r w:rsidRPr="000F69E8">
        <w:rPr>
          <w:rFonts w:eastAsia="Times New Roman" w:cs="Arial"/>
          <w:i/>
          <w:lang w:eastAsia="en-GB"/>
        </w:rPr>
        <w:t>We advocate for the retention of our present law which seeks to protect the lives and health of both women and unborn children about as far as humanly possible.</w:t>
      </w:r>
    </w:p>
    <w:p w:rsidR="00B6322F" w:rsidRPr="000F69E8" w:rsidRDefault="00B6322F" w:rsidP="00B6322F">
      <w:pPr>
        <w:spacing w:before="160" w:after="200" w:line="276" w:lineRule="auto"/>
        <w:jc w:val="center"/>
        <w:rPr>
          <w:rFonts w:eastAsiaTheme="minorEastAsia" w:cs="Arial"/>
          <w:noProof/>
          <w:lang w:eastAsia="en-GB"/>
        </w:rPr>
      </w:pPr>
    </w:p>
    <w:sectPr w:rsidR="00B6322F" w:rsidRPr="000F69E8" w:rsidSect="00B6424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5B9E" w:rsidRDefault="002F5B9E" w:rsidP="00393FCA">
      <w:pPr>
        <w:spacing w:after="0" w:line="240" w:lineRule="auto"/>
      </w:pPr>
      <w:r>
        <w:separator/>
      </w:r>
    </w:p>
  </w:endnote>
  <w:endnote w:type="continuationSeparator" w:id="0">
    <w:p w:rsidR="002F5B9E" w:rsidRDefault="002F5B9E" w:rsidP="00393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5B9E" w:rsidRDefault="002F5B9E" w:rsidP="00393FCA">
      <w:pPr>
        <w:spacing w:after="0" w:line="240" w:lineRule="auto"/>
      </w:pPr>
      <w:r>
        <w:separator/>
      </w:r>
    </w:p>
  </w:footnote>
  <w:footnote w:type="continuationSeparator" w:id="0">
    <w:p w:rsidR="002F5B9E" w:rsidRDefault="002F5B9E" w:rsidP="00393FCA">
      <w:pPr>
        <w:spacing w:after="0" w:line="240" w:lineRule="auto"/>
      </w:pPr>
      <w:r>
        <w:continuationSeparator/>
      </w:r>
    </w:p>
  </w:footnote>
  <w:footnote w:id="1">
    <w:p w:rsidR="00393FCA" w:rsidRPr="00E11D8C" w:rsidRDefault="00393FCA" w:rsidP="00393FCA">
      <w:pPr>
        <w:pStyle w:val="FootnoteText"/>
      </w:pPr>
      <w:r w:rsidRPr="00E11D8C">
        <w:rPr>
          <w:rStyle w:val="FootnoteReference"/>
        </w:rPr>
        <w:footnoteRef/>
      </w:r>
      <w:r w:rsidRPr="00E11D8C">
        <w:t xml:space="preserve"> </w:t>
      </w:r>
      <w:r w:rsidRPr="00E11D8C">
        <w:rPr>
          <w:rFonts w:cs="Arial"/>
          <w:i/>
        </w:rPr>
        <w:t>Vo v. France</w:t>
      </w:r>
      <w:r w:rsidRPr="00E11D8C">
        <w:rPr>
          <w:rFonts w:cs="Arial"/>
        </w:rPr>
        <w:t>, Application No. 53924/00, 8</w:t>
      </w:r>
      <w:r w:rsidRPr="00E11D8C">
        <w:rPr>
          <w:rFonts w:cs="Arial"/>
          <w:vertAlign w:val="superscript"/>
        </w:rPr>
        <w:t>th</w:t>
      </w:r>
      <w:r w:rsidRPr="00E11D8C">
        <w:rPr>
          <w:rFonts w:cs="Arial"/>
        </w:rPr>
        <w:t xml:space="preserve"> July 2004, para 84</w:t>
      </w:r>
    </w:p>
  </w:footnote>
  <w:footnote w:id="2">
    <w:p w:rsidR="00393FCA" w:rsidRPr="00E11D8C" w:rsidRDefault="00393FCA" w:rsidP="00393FCA">
      <w:pPr>
        <w:pStyle w:val="FootnoteText"/>
      </w:pPr>
      <w:r w:rsidRPr="00E11D8C">
        <w:rPr>
          <w:rStyle w:val="FootnoteReference"/>
        </w:rPr>
        <w:footnoteRef/>
      </w:r>
      <w:r w:rsidRPr="00E11D8C">
        <w:t xml:space="preserve"> </w:t>
      </w:r>
      <w:r w:rsidRPr="00E11D8C">
        <w:rPr>
          <w:rFonts w:cs="Arial"/>
          <w:i/>
        </w:rPr>
        <w:t>A., B. and C. v. Ireland</w:t>
      </w:r>
      <w:r w:rsidRPr="00E11D8C">
        <w:rPr>
          <w:rFonts w:cs="Arial"/>
        </w:rPr>
        <w:t>, [GC], no. 25579/05, 16</w:t>
      </w:r>
      <w:r w:rsidRPr="00E11D8C">
        <w:rPr>
          <w:rFonts w:cs="Arial"/>
          <w:vertAlign w:val="superscript"/>
        </w:rPr>
        <w:t>th</w:t>
      </w:r>
      <w:r w:rsidRPr="00E11D8C">
        <w:rPr>
          <w:rFonts w:cs="Arial"/>
        </w:rPr>
        <w:t xml:space="preserve"> December 2010, 222-223.</w:t>
      </w:r>
    </w:p>
  </w:footnote>
  <w:footnote w:id="3">
    <w:p w:rsidR="00A567D2" w:rsidRDefault="00A567D2">
      <w:pPr>
        <w:pStyle w:val="FootnoteText"/>
      </w:pPr>
      <w:r>
        <w:rPr>
          <w:rStyle w:val="FootnoteReference"/>
        </w:rPr>
        <w:footnoteRef/>
      </w:r>
      <w:r>
        <w:t xml:space="preserve"> </w:t>
      </w:r>
      <w:hyperlink r:id="rId1" w:history="1">
        <w:r>
          <w:rPr>
            <w:rStyle w:val="Hyperlink"/>
          </w:rPr>
          <w:t>https://www.comresglobal.com/polls/northern-ireland-abortion-poll/</w:t>
        </w:r>
      </w:hyperlink>
    </w:p>
  </w:footnote>
  <w:footnote w:id="4">
    <w:p w:rsidR="00393FCA" w:rsidRPr="00FD2132" w:rsidRDefault="00393FCA" w:rsidP="00393FCA">
      <w:pPr>
        <w:pStyle w:val="FootnoteText"/>
        <w:rPr>
          <w:lang w:val="pt-BR"/>
        </w:rPr>
      </w:pPr>
      <w:r>
        <w:rPr>
          <w:rStyle w:val="FootnoteReference"/>
        </w:rPr>
        <w:footnoteRef/>
      </w:r>
      <w:r w:rsidRPr="00FD2132">
        <w:rPr>
          <w:lang w:val="pt-BR"/>
        </w:rPr>
        <w:t xml:space="preserve"> </w:t>
      </w:r>
      <w:r w:rsidR="00FD2132">
        <w:rPr>
          <w:rStyle w:val="Hyperlink"/>
          <w:sz w:val="22"/>
          <w:szCs w:val="22"/>
        </w:rPr>
        <w:fldChar w:fldCharType="begin"/>
      </w:r>
      <w:r w:rsidR="00FD2132" w:rsidRPr="00FD2132">
        <w:rPr>
          <w:rStyle w:val="Hyperlink"/>
          <w:sz w:val="22"/>
          <w:szCs w:val="22"/>
          <w:lang w:val="pt-BR"/>
        </w:rPr>
        <w:instrText xml:space="preserve"> HYPERLINK "https://undocs.org/CEDAW/C/OP.8/GBR/1" </w:instrText>
      </w:r>
      <w:r w:rsidR="00FD2132">
        <w:rPr>
          <w:rStyle w:val="Hyperlink"/>
          <w:sz w:val="22"/>
          <w:szCs w:val="22"/>
        </w:rPr>
        <w:fldChar w:fldCharType="separate"/>
      </w:r>
      <w:r w:rsidRPr="00FD2132">
        <w:rPr>
          <w:rStyle w:val="Hyperlink"/>
          <w:sz w:val="22"/>
          <w:szCs w:val="22"/>
          <w:lang w:val="pt-BR"/>
        </w:rPr>
        <w:t>CEDAW/C/OP.8/GBR/1</w:t>
      </w:r>
      <w:r w:rsidR="00FD2132">
        <w:rPr>
          <w:rStyle w:val="Hyperlink"/>
          <w:sz w:val="22"/>
          <w:szCs w:val="22"/>
        </w:rPr>
        <w:fldChar w:fldCharType="end"/>
      </w:r>
      <w:r w:rsidRPr="00FD2132">
        <w:rPr>
          <w:sz w:val="22"/>
          <w:szCs w:val="22"/>
          <w:lang w:val="pt-BR"/>
        </w:rPr>
        <w:t xml:space="preserve"> para 54</w:t>
      </w:r>
    </w:p>
  </w:footnote>
  <w:footnote w:id="5">
    <w:p w:rsidR="00393FCA" w:rsidRPr="00E11D8C" w:rsidRDefault="00393FCA" w:rsidP="00393FCA">
      <w:pPr>
        <w:pStyle w:val="FootnoteText"/>
      </w:pPr>
      <w:r w:rsidRPr="00E11D8C">
        <w:rPr>
          <w:rStyle w:val="FootnoteReference"/>
        </w:rPr>
        <w:footnoteRef/>
      </w:r>
      <w:r w:rsidRPr="00E11D8C">
        <w:t xml:space="preserve"> Abortion Statistics for England and Wales: 2017, 2.14, p. 10 </w:t>
      </w:r>
      <w:hyperlink r:id="rId2" w:history="1">
        <w:r w:rsidRPr="00E11D8C">
          <w:rPr>
            <w:rStyle w:val="Hyperlink"/>
          </w:rPr>
          <w:t>https://assets.publishing.service.gov.uk/government/uploads/system/uploads/attachment_data/file/763174/2017-abortion-statistics-for-england-and-wales-revised.pdf</w:t>
        </w:r>
      </w:hyperlink>
      <w:r w:rsidRPr="00E11D8C">
        <w:t xml:space="preserve"> </w:t>
      </w:r>
    </w:p>
  </w:footnote>
  <w:footnote w:id="6">
    <w:p w:rsidR="00393FCA" w:rsidRPr="00E11D8C" w:rsidRDefault="00393FCA" w:rsidP="00393FCA">
      <w:pPr>
        <w:pStyle w:val="FootnoteText"/>
      </w:pPr>
      <w:r w:rsidRPr="00E11D8C">
        <w:rPr>
          <w:rStyle w:val="FootnoteReference"/>
        </w:rPr>
        <w:footnoteRef/>
      </w:r>
      <w:r w:rsidRPr="00E11D8C">
        <w:t xml:space="preserve"> ‘Induced Abortion and Mental Health: A systematic review of the evidence’ — full report and consultation table with responses, Academy of Medical Royal Colleges (</w:t>
      </w:r>
      <w:proofErr w:type="spellStart"/>
      <w:r w:rsidRPr="00E11D8C">
        <w:t>AoMRC</w:t>
      </w:r>
      <w:proofErr w:type="spellEnd"/>
      <w:r w:rsidRPr="00E11D8C">
        <w:t xml:space="preserve">), December 2011, </w:t>
      </w:r>
      <w:r w:rsidRPr="00E11D8C">
        <w:rPr>
          <w:rStyle w:val="Hyperlink"/>
        </w:rPr>
        <w:t>pp.8-10</w:t>
      </w:r>
      <w:r w:rsidRPr="00E11D8C">
        <w:t xml:space="preserve">. </w:t>
      </w:r>
      <w:hyperlink r:id="rId3" w:history="1">
        <w:r w:rsidRPr="00E11D8C">
          <w:rPr>
            <w:rStyle w:val="Hyperlink"/>
          </w:rPr>
          <w:t>https://www.aomrc.org.uk/wp-content/uploads/2016/05/Induced_Abortion_Mental_Health_1211.pdf</w:t>
        </w:r>
      </w:hyperlink>
      <w:r w:rsidRPr="00E11D8C">
        <w:rPr>
          <w:rStyle w:val="Hyperlink"/>
        </w:rPr>
        <w:t xml:space="preserve">  </w:t>
      </w:r>
    </w:p>
  </w:footnote>
  <w:footnote w:id="7">
    <w:p w:rsidR="00393FCA" w:rsidRPr="00E11D8C" w:rsidRDefault="00393FCA" w:rsidP="00393FCA">
      <w:pPr>
        <w:pStyle w:val="Footnote"/>
        <w:rPr>
          <w:rFonts w:asciiTheme="minorHAnsi" w:hAnsiTheme="minorHAnsi"/>
          <w:sz w:val="20"/>
          <w:szCs w:val="20"/>
        </w:rPr>
      </w:pPr>
      <w:r w:rsidRPr="00E11D8C">
        <w:rPr>
          <w:rStyle w:val="FootnoteReference"/>
          <w:rFonts w:asciiTheme="minorHAnsi" w:hAnsiTheme="minorHAnsi"/>
          <w:sz w:val="20"/>
          <w:szCs w:val="20"/>
        </w:rPr>
        <w:footnoteRef/>
      </w:r>
      <w:r w:rsidRPr="00E11D8C">
        <w:rPr>
          <w:rFonts w:asciiTheme="minorHAnsi" w:hAnsiTheme="minorHAnsi"/>
          <w:sz w:val="20"/>
          <w:szCs w:val="20"/>
        </w:rPr>
        <w:t xml:space="preserve"> </w:t>
      </w:r>
      <w:r w:rsidRPr="00E11D8C">
        <w:rPr>
          <w:rFonts w:asciiTheme="minorHAnsi" w:hAnsiTheme="minorHAnsi"/>
          <w:sz w:val="20"/>
          <w:szCs w:val="20"/>
        </w:rPr>
        <w:tab/>
        <w:t xml:space="preserve">Fergusson D, Horwood L &amp; Boden J. ‘Does abortion reduce the mental health risks of unwanted or unintended pregnancy? A re-appraisal of the evidence’ </w:t>
      </w:r>
      <w:proofErr w:type="spellStart"/>
      <w:r w:rsidRPr="00E11D8C">
        <w:rPr>
          <w:rFonts w:asciiTheme="minorHAnsi" w:hAnsiTheme="minorHAnsi"/>
          <w:i/>
          <w:sz w:val="20"/>
          <w:szCs w:val="20"/>
        </w:rPr>
        <w:t>Aust</w:t>
      </w:r>
      <w:proofErr w:type="spellEnd"/>
      <w:r w:rsidRPr="00E11D8C">
        <w:rPr>
          <w:rFonts w:asciiTheme="minorHAnsi" w:hAnsiTheme="minorHAnsi"/>
          <w:i/>
          <w:sz w:val="20"/>
          <w:szCs w:val="20"/>
        </w:rPr>
        <w:t xml:space="preserve"> NZ J Psychiatry</w:t>
      </w:r>
      <w:r w:rsidRPr="00E11D8C">
        <w:rPr>
          <w:rFonts w:asciiTheme="minorHAnsi" w:hAnsiTheme="minorHAnsi"/>
          <w:sz w:val="20"/>
          <w:szCs w:val="20"/>
        </w:rPr>
        <w:t xml:space="preserve"> 2013; 47:1204-1205 </w:t>
      </w:r>
      <w:hyperlink r:id="rId4" w:history="1">
        <w:r w:rsidRPr="00E11D8C">
          <w:rPr>
            <w:rStyle w:val="Hyperlink"/>
            <w:rFonts w:asciiTheme="minorHAnsi" w:hAnsiTheme="minorHAnsi"/>
            <w:sz w:val="20"/>
            <w:szCs w:val="20"/>
          </w:rPr>
          <w:t>https://www.ncbi.nlm.nih.gov/pubmed/23553240</w:t>
        </w:r>
      </w:hyperlink>
      <w:r w:rsidRPr="00E11D8C">
        <w:rPr>
          <w:rFonts w:asciiTheme="minorHAnsi" w:hAnsiTheme="minorHAnsi"/>
          <w:sz w:val="20"/>
          <w:szCs w:val="20"/>
        </w:rPr>
        <w:t xml:space="preserve"> </w:t>
      </w:r>
    </w:p>
  </w:footnote>
  <w:footnote w:id="8">
    <w:p w:rsidR="00393FCA" w:rsidRPr="00E11D8C" w:rsidRDefault="00393FCA" w:rsidP="00393FCA">
      <w:pPr>
        <w:pStyle w:val="Footnote"/>
        <w:rPr>
          <w:rFonts w:asciiTheme="minorHAnsi" w:hAnsiTheme="minorHAnsi"/>
          <w:i/>
          <w:iCs/>
          <w:sz w:val="20"/>
          <w:szCs w:val="20"/>
        </w:rPr>
      </w:pPr>
      <w:r w:rsidRPr="00E11D8C">
        <w:rPr>
          <w:rStyle w:val="FootnoteReference"/>
          <w:rFonts w:asciiTheme="minorHAnsi" w:hAnsiTheme="minorHAnsi"/>
          <w:sz w:val="20"/>
          <w:szCs w:val="20"/>
        </w:rPr>
        <w:footnoteRef/>
      </w:r>
      <w:r w:rsidRPr="00E11D8C">
        <w:rPr>
          <w:rFonts w:asciiTheme="minorHAnsi" w:hAnsiTheme="minorHAnsi"/>
          <w:sz w:val="20"/>
          <w:szCs w:val="20"/>
        </w:rPr>
        <w:t xml:space="preserve"> </w:t>
      </w:r>
      <w:r w:rsidRPr="00E11D8C">
        <w:rPr>
          <w:rFonts w:asciiTheme="minorHAnsi" w:hAnsiTheme="minorHAnsi"/>
          <w:sz w:val="20"/>
          <w:szCs w:val="20"/>
        </w:rPr>
        <w:tab/>
        <w:t xml:space="preserve">See Pedersen W. ‘Abortion and depression: A population-based longitudinal study of young women’. </w:t>
      </w:r>
      <w:r w:rsidRPr="00E11D8C">
        <w:rPr>
          <w:rFonts w:asciiTheme="minorHAnsi" w:hAnsiTheme="minorHAnsi"/>
          <w:i/>
          <w:iCs/>
          <w:sz w:val="20"/>
          <w:szCs w:val="20"/>
        </w:rPr>
        <w:t xml:space="preserve">Scandinavian Journal of Public Health </w:t>
      </w:r>
      <w:r w:rsidRPr="00E11D8C">
        <w:rPr>
          <w:rFonts w:asciiTheme="minorHAnsi" w:hAnsiTheme="minorHAnsi"/>
          <w:sz w:val="20"/>
          <w:szCs w:val="20"/>
        </w:rPr>
        <w:t xml:space="preserve">2008; 36(4):424-8. </w:t>
      </w:r>
      <w:hyperlink r:id="rId5" w:history="1">
        <w:r w:rsidRPr="00E11D8C">
          <w:rPr>
            <w:rStyle w:val="Hyperlink"/>
            <w:rFonts w:asciiTheme="minorHAnsi" w:hAnsiTheme="minorHAnsi"/>
            <w:i/>
            <w:iCs/>
            <w:sz w:val="20"/>
            <w:szCs w:val="20"/>
          </w:rPr>
          <w:t>https://www.ncbi.nlm.nih.gov/pubmed/18539697</w:t>
        </w:r>
      </w:hyperlink>
      <w:r w:rsidRPr="00E11D8C">
        <w:rPr>
          <w:rFonts w:asciiTheme="minorHAnsi" w:hAnsiTheme="minorHAnsi"/>
          <w:i/>
          <w:iCs/>
          <w:sz w:val="20"/>
          <w:szCs w:val="20"/>
        </w:rPr>
        <w:t xml:space="preserve"> </w:t>
      </w:r>
      <w:r w:rsidRPr="00E11D8C">
        <w:rPr>
          <w:rFonts w:asciiTheme="minorHAnsi" w:hAnsiTheme="minorHAnsi"/>
          <w:iCs/>
          <w:sz w:val="20"/>
          <w:szCs w:val="20"/>
        </w:rPr>
        <w:t xml:space="preserve">and Fergusson D, Horwood L &amp; Boden J. ‘Reactions to abortion and subsequent mental health’. </w:t>
      </w:r>
      <w:r w:rsidRPr="00E11D8C">
        <w:rPr>
          <w:rFonts w:asciiTheme="minorHAnsi" w:hAnsiTheme="minorHAnsi"/>
          <w:i/>
          <w:iCs/>
          <w:sz w:val="20"/>
          <w:szCs w:val="20"/>
        </w:rPr>
        <w:t xml:space="preserve">British Journal of Psychiatry </w:t>
      </w:r>
      <w:r w:rsidRPr="00E11D8C">
        <w:rPr>
          <w:rFonts w:asciiTheme="minorHAnsi" w:hAnsiTheme="minorHAnsi"/>
          <w:iCs/>
          <w:sz w:val="20"/>
          <w:szCs w:val="20"/>
        </w:rPr>
        <w:t xml:space="preserve">2009; 195(5):420-6 </w:t>
      </w:r>
      <w:hyperlink r:id="rId6" w:history="1">
        <w:r w:rsidRPr="00E11D8C">
          <w:rPr>
            <w:rStyle w:val="Hyperlink"/>
            <w:rFonts w:asciiTheme="minorHAnsi" w:hAnsiTheme="minorHAnsi"/>
            <w:i/>
            <w:iCs/>
            <w:sz w:val="20"/>
            <w:szCs w:val="20"/>
          </w:rPr>
          <w:t>https://www.cambridge.org/core/journals/the-british-journal-of-psychiatry/article/reactions-to-abortion-and-subsequent-mental-health/667F92342F6A90F4FB3F8235187F7DBB</w:t>
        </w:r>
      </w:hyperlink>
      <w:r w:rsidRPr="00E11D8C">
        <w:rPr>
          <w:rFonts w:asciiTheme="minorHAnsi" w:hAnsiTheme="minorHAnsi"/>
          <w:i/>
          <w:iCs/>
          <w:sz w:val="20"/>
          <w:szCs w:val="20"/>
        </w:rPr>
        <w:t xml:space="preserve"> </w:t>
      </w:r>
      <w:r w:rsidRPr="00E11D8C">
        <w:rPr>
          <w:rFonts w:asciiTheme="minorHAnsi" w:hAnsiTheme="minorHAnsi"/>
          <w:iCs/>
          <w:sz w:val="20"/>
          <w:szCs w:val="20"/>
        </w:rPr>
        <w:t>Fergusson, D, Horwood, L &amp; Boden J. ‘Abortion</w:t>
      </w:r>
      <w:r w:rsidRPr="00E11D8C">
        <w:rPr>
          <w:rFonts w:asciiTheme="minorHAnsi" w:hAnsiTheme="minorHAnsi"/>
          <w:i/>
          <w:iCs/>
          <w:sz w:val="20"/>
          <w:szCs w:val="20"/>
        </w:rPr>
        <w:t xml:space="preserve"> </w:t>
      </w:r>
      <w:r w:rsidRPr="00E11D8C">
        <w:rPr>
          <w:rFonts w:asciiTheme="minorHAnsi" w:hAnsiTheme="minorHAnsi"/>
          <w:iCs/>
          <w:sz w:val="20"/>
          <w:szCs w:val="20"/>
        </w:rPr>
        <w:t xml:space="preserve">and mental health disorders: Evidence from a 30-year longitudinal study’. </w:t>
      </w:r>
      <w:r w:rsidRPr="00E11D8C">
        <w:rPr>
          <w:rFonts w:asciiTheme="minorHAnsi" w:hAnsiTheme="minorHAnsi"/>
          <w:i/>
          <w:iCs/>
          <w:sz w:val="20"/>
          <w:szCs w:val="20"/>
        </w:rPr>
        <w:t xml:space="preserve">British Journal of Psychiatry </w:t>
      </w:r>
      <w:r w:rsidRPr="00E11D8C">
        <w:rPr>
          <w:rFonts w:asciiTheme="minorHAnsi" w:hAnsiTheme="minorHAnsi"/>
          <w:iCs/>
          <w:sz w:val="20"/>
          <w:szCs w:val="20"/>
        </w:rPr>
        <w:t xml:space="preserve">2008; 193:444-51 </w:t>
      </w:r>
      <w:hyperlink r:id="rId7" w:history="1">
        <w:r w:rsidRPr="00E11D8C">
          <w:rPr>
            <w:rStyle w:val="Hyperlink"/>
            <w:rFonts w:asciiTheme="minorHAnsi" w:hAnsiTheme="minorHAnsi"/>
            <w:iCs/>
            <w:sz w:val="20"/>
            <w:szCs w:val="20"/>
          </w:rPr>
          <w:t>https://www.ncbi.nlm.nih.gov/pubmed/19043144</w:t>
        </w:r>
      </w:hyperlink>
      <w:r w:rsidRPr="00E11D8C">
        <w:rPr>
          <w:rFonts w:asciiTheme="minorHAnsi" w:hAnsiTheme="minorHAnsi"/>
          <w:iCs/>
          <w:sz w:val="20"/>
          <w:szCs w:val="20"/>
        </w:rPr>
        <w:t xml:space="preserve"> </w:t>
      </w:r>
    </w:p>
  </w:footnote>
  <w:footnote w:id="9">
    <w:p w:rsidR="00393FCA" w:rsidRPr="00E11D8C" w:rsidRDefault="00393FCA" w:rsidP="00393FCA">
      <w:pPr>
        <w:pStyle w:val="FootnoteText"/>
      </w:pPr>
      <w:r w:rsidRPr="00E11D8C">
        <w:rPr>
          <w:rStyle w:val="FootnoteReference"/>
        </w:rPr>
        <w:footnoteRef/>
      </w:r>
      <w:r w:rsidRPr="00E11D8C">
        <w:t xml:space="preserve"> Coleman P, ‘Abortion and mental health: quantitative synthesis and analysis of research published 1995–2009’, </w:t>
      </w:r>
      <w:r w:rsidRPr="00E11D8C">
        <w:rPr>
          <w:i/>
        </w:rPr>
        <w:t>The British Journal of Psychiatry</w:t>
      </w:r>
      <w:r w:rsidRPr="00E11D8C">
        <w:t xml:space="preserve"> (2011) 199:190-186 </w:t>
      </w:r>
      <w:hyperlink r:id="rId8" w:history="1">
        <w:r w:rsidRPr="00E11D8C">
          <w:rPr>
            <w:rStyle w:val="Hyperlink"/>
          </w:rPr>
          <w:t>https://www.cambridge.org/core/services/aop-cambridge-core/content/view/E8D556AAE1C1D2F0F8B060B28BEE6C3D/S0007125000256353a.pdf/abortion_and_mental_health_quantitative_synthesis_and_analysis_of_research_published_19952009.pdf</w:t>
        </w:r>
      </w:hyperlink>
    </w:p>
  </w:footnote>
  <w:footnote w:id="10">
    <w:p w:rsidR="00393FCA" w:rsidRPr="00E11D8C" w:rsidRDefault="00393FCA" w:rsidP="00393FCA">
      <w:pPr>
        <w:pStyle w:val="Footnote"/>
        <w:rPr>
          <w:rFonts w:asciiTheme="minorHAnsi" w:eastAsia="Times New Roman" w:hAnsiTheme="minorHAnsi"/>
          <w:bCs/>
          <w:kern w:val="36"/>
          <w:sz w:val="20"/>
          <w:szCs w:val="20"/>
        </w:rPr>
      </w:pPr>
      <w:r w:rsidRPr="00E11D8C">
        <w:rPr>
          <w:rStyle w:val="FootnoteReference"/>
          <w:rFonts w:asciiTheme="minorHAnsi" w:hAnsiTheme="minorHAnsi"/>
          <w:sz w:val="20"/>
          <w:szCs w:val="20"/>
        </w:rPr>
        <w:footnoteRef/>
      </w:r>
      <w:r w:rsidRPr="00E11D8C">
        <w:rPr>
          <w:rFonts w:asciiTheme="minorHAnsi" w:hAnsiTheme="minorHAnsi"/>
          <w:sz w:val="20"/>
          <w:szCs w:val="20"/>
        </w:rPr>
        <w:t xml:space="preserve"> </w:t>
      </w:r>
      <w:r w:rsidRPr="00E11D8C">
        <w:rPr>
          <w:rFonts w:asciiTheme="minorHAnsi" w:hAnsiTheme="minorHAnsi"/>
          <w:sz w:val="20"/>
          <w:szCs w:val="20"/>
        </w:rPr>
        <w:tab/>
      </w:r>
      <w:proofErr w:type="spellStart"/>
      <w:r w:rsidRPr="00E11D8C">
        <w:rPr>
          <w:rFonts w:asciiTheme="minorHAnsi" w:hAnsiTheme="minorHAnsi"/>
          <w:sz w:val="20"/>
          <w:szCs w:val="20"/>
        </w:rPr>
        <w:t>Gissler</w:t>
      </w:r>
      <w:proofErr w:type="spellEnd"/>
      <w:r w:rsidRPr="00E11D8C">
        <w:rPr>
          <w:rFonts w:asciiTheme="minorHAnsi" w:hAnsiTheme="minorHAnsi"/>
          <w:sz w:val="20"/>
          <w:szCs w:val="20"/>
        </w:rPr>
        <w:t xml:space="preserve"> et al, ‘</w:t>
      </w:r>
      <w:r w:rsidRPr="00E11D8C">
        <w:rPr>
          <w:rFonts w:asciiTheme="minorHAnsi" w:eastAsia="Times New Roman" w:hAnsiTheme="minorHAnsi"/>
          <w:bCs/>
          <w:kern w:val="36"/>
          <w:sz w:val="20"/>
          <w:szCs w:val="20"/>
        </w:rPr>
        <w:t xml:space="preserve">Pregnancy-associated mortality after birth, spontaneous abortion, or induced abortion in Finland, 1987-2000’, </w:t>
      </w:r>
      <w:r w:rsidRPr="00E11D8C">
        <w:rPr>
          <w:rFonts w:asciiTheme="minorHAnsi" w:eastAsia="Times New Roman" w:hAnsiTheme="minorHAnsi"/>
          <w:bCs/>
          <w:i/>
          <w:kern w:val="36"/>
          <w:sz w:val="20"/>
          <w:szCs w:val="20"/>
        </w:rPr>
        <w:t>American Journal of Obstetrics &amp; Gynaecology</w:t>
      </w:r>
      <w:r w:rsidRPr="00E11D8C">
        <w:rPr>
          <w:rFonts w:asciiTheme="minorHAnsi" w:eastAsia="Times New Roman" w:hAnsiTheme="minorHAnsi"/>
          <w:bCs/>
          <w:kern w:val="36"/>
          <w:sz w:val="20"/>
          <w:szCs w:val="20"/>
        </w:rPr>
        <w:t>, 2004 Feb;190(2):422-7, Table 3</w:t>
      </w:r>
      <w:r w:rsidRPr="00E11D8C">
        <w:rPr>
          <w:rFonts w:asciiTheme="minorHAnsi" w:hAnsiTheme="minorHAnsi"/>
          <w:sz w:val="20"/>
          <w:szCs w:val="20"/>
        </w:rPr>
        <w:t xml:space="preserve"> </w:t>
      </w:r>
      <w:hyperlink r:id="rId9" w:history="1">
        <w:r w:rsidRPr="00E11D8C">
          <w:rPr>
            <w:rStyle w:val="Hyperlink"/>
            <w:rFonts w:asciiTheme="minorHAnsi" w:eastAsia="Times New Roman" w:hAnsiTheme="minorHAnsi"/>
            <w:kern w:val="36"/>
            <w:sz w:val="20"/>
            <w:szCs w:val="20"/>
          </w:rPr>
          <w:t>https://www.ncbi.nlm.nih.gov/pubmed/14981384</w:t>
        </w:r>
      </w:hyperlink>
      <w:r w:rsidRPr="00E11D8C">
        <w:rPr>
          <w:rFonts w:asciiTheme="minorHAnsi" w:eastAsia="Times New Roman" w:hAnsiTheme="minorHAnsi"/>
          <w:bCs/>
          <w:kern w:val="36"/>
          <w:sz w:val="20"/>
          <w:szCs w:val="20"/>
        </w:rPr>
        <w:t xml:space="preserve"> </w:t>
      </w:r>
    </w:p>
  </w:footnote>
  <w:footnote w:id="11">
    <w:p w:rsidR="00393FCA" w:rsidRPr="00E11D8C" w:rsidRDefault="00393FCA" w:rsidP="00393FCA">
      <w:pPr>
        <w:pStyle w:val="Footnote"/>
        <w:rPr>
          <w:rFonts w:asciiTheme="minorHAnsi" w:hAnsiTheme="minorHAnsi"/>
          <w:sz w:val="20"/>
          <w:szCs w:val="20"/>
        </w:rPr>
      </w:pPr>
      <w:r w:rsidRPr="00E11D8C">
        <w:rPr>
          <w:rStyle w:val="FootnoteReference"/>
          <w:rFonts w:asciiTheme="minorHAnsi" w:hAnsiTheme="minorHAnsi"/>
          <w:sz w:val="20"/>
          <w:szCs w:val="20"/>
        </w:rPr>
        <w:footnoteRef/>
      </w:r>
      <w:r w:rsidRPr="00E11D8C">
        <w:rPr>
          <w:rFonts w:asciiTheme="minorHAnsi" w:hAnsiTheme="minorHAnsi"/>
          <w:sz w:val="20"/>
          <w:szCs w:val="20"/>
        </w:rPr>
        <w:t xml:space="preserve"> </w:t>
      </w:r>
      <w:r w:rsidRPr="00E11D8C">
        <w:rPr>
          <w:rFonts w:asciiTheme="minorHAnsi" w:hAnsiTheme="minorHAnsi"/>
          <w:sz w:val="20"/>
          <w:szCs w:val="20"/>
        </w:rPr>
        <w:tab/>
        <w:t>‘The Care of Women Requesting Induced Abortion: Evidence-based Clinical Guideline Number 7’, Royal College of Obstetricians and Gynaecologists, November 2011, p. 44 p</w:t>
      </w:r>
      <w:hyperlink r:id="rId10" w:history="1">
        <w:r w:rsidRPr="00E11D8C">
          <w:rPr>
            <w:rStyle w:val="Hyperlink"/>
            <w:rFonts w:asciiTheme="minorHAnsi" w:hAnsiTheme="minorHAnsi"/>
            <w:sz w:val="20"/>
            <w:szCs w:val="20"/>
          </w:rPr>
          <w:t>https://www.rcog.org.uk/globalassets/documents/guidelines/abortion-guideline_web_1.pdf</w:t>
        </w:r>
      </w:hyperlink>
    </w:p>
  </w:footnote>
  <w:footnote w:id="12">
    <w:p w:rsidR="00393FCA" w:rsidRPr="00E11D8C" w:rsidRDefault="00393FCA" w:rsidP="00393FCA">
      <w:pPr>
        <w:pStyle w:val="Footnote"/>
        <w:rPr>
          <w:rFonts w:asciiTheme="minorHAnsi" w:hAnsiTheme="minorHAnsi"/>
          <w:sz w:val="20"/>
          <w:szCs w:val="20"/>
        </w:rPr>
      </w:pPr>
      <w:r w:rsidRPr="00E11D8C">
        <w:rPr>
          <w:rStyle w:val="FootnoteReference"/>
          <w:rFonts w:asciiTheme="minorHAnsi" w:hAnsiTheme="minorHAnsi"/>
          <w:sz w:val="20"/>
          <w:szCs w:val="20"/>
        </w:rPr>
        <w:footnoteRef/>
      </w:r>
      <w:r w:rsidRPr="00E11D8C">
        <w:rPr>
          <w:rFonts w:asciiTheme="minorHAnsi" w:hAnsiTheme="minorHAnsi"/>
          <w:sz w:val="20"/>
          <w:szCs w:val="20"/>
        </w:rPr>
        <w:t xml:space="preserve"> </w:t>
      </w:r>
      <w:r w:rsidRPr="00E11D8C">
        <w:rPr>
          <w:rFonts w:asciiTheme="minorHAnsi" w:hAnsiTheme="minorHAnsi"/>
          <w:sz w:val="20"/>
          <w:szCs w:val="20"/>
        </w:rPr>
        <w:tab/>
        <w:t xml:space="preserve">Hardy G, Benjamin A, </w:t>
      </w:r>
      <w:proofErr w:type="spellStart"/>
      <w:r w:rsidRPr="00E11D8C">
        <w:rPr>
          <w:rFonts w:asciiTheme="minorHAnsi" w:hAnsiTheme="minorHAnsi"/>
          <w:sz w:val="20"/>
          <w:szCs w:val="20"/>
        </w:rPr>
        <w:t>Abenhaim</w:t>
      </w:r>
      <w:proofErr w:type="spellEnd"/>
      <w:r w:rsidRPr="00E11D8C">
        <w:rPr>
          <w:rFonts w:asciiTheme="minorHAnsi" w:hAnsiTheme="minorHAnsi"/>
          <w:sz w:val="20"/>
          <w:szCs w:val="20"/>
        </w:rPr>
        <w:t xml:space="preserve"> H. ‘Effect of induced abortions on early preterm births and adverse perinatal outcomes’. J </w:t>
      </w:r>
      <w:proofErr w:type="spellStart"/>
      <w:r w:rsidRPr="00E11D8C">
        <w:rPr>
          <w:rFonts w:asciiTheme="minorHAnsi" w:hAnsiTheme="minorHAnsi"/>
          <w:i/>
          <w:sz w:val="20"/>
          <w:szCs w:val="20"/>
        </w:rPr>
        <w:t>Obstet</w:t>
      </w:r>
      <w:proofErr w:type="spellEnd"/>
      <w:r w:rsidRPr="00E11D8C">
        <w:rPr>
          <w:rFonts w:asciiTheme="minorHAnsi" w:hAnsiTheme="minorHAnsi"/>
          <w:i/>
          <w:sz w:val="20"/>
          <w:szCs w:val="20"/>
        </w:rPr>
        <w:t xml:space="preserve"> </w:t>
      </w:r>
      <w:proofErr w:type="spellStart"/>
      <w:r w:rsidRPr="00E11D8C">
        <w:rPr>
          <w:rFonts w:asciiTheme="minorHAnsi" w:hAnsiTheme="minorHAnsi"/>
          <w:i/>
          <w:sz w:val="20"/>
          <w:szCs w:val="20"/>
        </w:rPr>
        <w:t>Gynaecol</w:t>
      </w:r>
      <w:proofErr w:type="spellEnd"/>
      <w:r w:rsidRPr="00E11D8C">
        <w:rPr>
          <w:rFonts w:asciiTheme="minorHAnsi" w:hAnsiTheme="minorHAnsi"/>
          <w:sz w:val="20"/>
          <w:szCs w:val="20"/>
        </w:rPr>
        <w:t xml:space="preserve"> Can 2013;35(2):138-143 </w:t>
      </w:r>
      <w:hyperlink r:id="rId11" w:history="1">
        <w:r w:rsidRPr="00E11D8C">
          <w:rPr>
            <w:rStyle w:val="Hyperlink"/>
            <w:rFonts w:asciiTheme="minorHAnsi" w:hAnsiTheme="minorHAnsi"/>
            <w:sz w:val="20"/>
            <w:szCs w:val="20"/>
          </w:rPr>
          <w:t>https://www.ncbi.nlm.nih.gov/pubmed/23470063</w:t>
        </w:r>
      </w:hyperlink>
      <w:r w:rsidRPr="00E11D8C">
        <w:rPr>
          <w:rFonts w:asciiTheme="minorHAnsi" w:hAnsiTheme="minorHAnsi"/>
          <w:sz w:val="20"/>
          <w:szCs w:val="20"/>
        </w:rPr>
        <w:t xml:space="preserve"> </w:t>
      </w:r>
    </w:p>
  </w:footnote>
  <w:footnote w:id="13">
    <w:p w:rsidR="00393FCA" w:rsidRPr="00FD2132" w:rsidRDefault="00393FCA" w:rsidP="00393FCA">
      <w:pPr>
        <w:pStyle w:val="FootnoteText"/>
        <w:rPr>
          <w:lang w:val="pt-BR"/>
        </w:rPr>
      </w:pPr>
      <w:r>
        <w:rPr>
          <w:rStyle w:val="FootnoteReference"/>
        </w:rPr>
        <w:footnoteRef/>
      </w:r>
      <w:r w:rsidRPr="00FD2132">
        <w:rPr>
          <w:lang w:val="pt-BR"/>
        </w:rPr>
        <w:t xml:space="preserve"> </w:t>
      </w:r>
      <w:hyperlink r:id="rId12" w:history="1">
        <w:r w:rsidRPr="00FD2132">
          <w:rPr>
            <w:rStyle w:val="Hyperlink"/>
            <w:sz w:val="22"/>
            <w:szCs w:val="22"/>
            <w:lang w:val="pt-BR"/>
          </w:rPr>
          <w:t>CEDAW/C/OP.8/GBR/1</w:t>
        </w:r>
      </w:hyperlink>
      <w:r w:rsidRPr="00FD2132">
        <w:rPr>
          <w:sz w:val="22"/>
          <w:szCs w:val="22"/>
          <w:lang w:val="pt-BR"/>
        </w:rPr>
        <w:t xml:space="preserve"> para 83(b)</w:t>
      </w:r>
    </w:p>
  </w:footnote>
  <w:footnote w:id="14">
    <w:p w:rsidR="006523BA" w:rsidRPr="006523BA" w:rsidRDefault="006523BA">
      <w:pPr>
        <w:pStyle w:val="FootnoteText"/>
      </w:pPr>
      <w:r>
        <w:rPr>
          <w:rStyle w:val="FootnoteReference"/>
        </w:rPr>
        <w:footnoteRef/>
      </w:r>
      <w:r>
        <w:t xml:space="preserve"> </w:t>
      </w:r>
      <w:r w:rsidRPr="006523BA">
        <w:rPr>
          <w:rStyle w:val="Emphasis"/>
          <w:rFonts w:cs="Arial"/>
        </w:rPr>
        <w:t>R v Bourne</w:t>
      </w:r>
      <w:r w:rsidRPr="006523BA">
        <w:rPr>
          <w:rStyle w:val="st1"/>
          <w:rFonts w:cs="Arial"/>
        </w:rPr>
        <w:t xml:space="preserve"> [1938] 3 All ER 615</w:t>
      </w:r>
    </w:p>
  </w:footnote>
  <w:footnote w:id="15">
    <w:p w:rsidR="005F2A3C" w:rsidRDefault="005F2A3C">
      <w:pPr>
        <w:pStyle w:val="FootnoteText"/>
      </w:pPr>
      <w:r>
        <w:rPr>
          <w:rStyle w:val="FootnoteReference"/>
        </w:rPr>
        <w:footnoteRef/>
      </w:r>
      <w:r>
        <w:t xml:space="preserve"> </w:t>
      </w:r>
      <w:hyperlink r:id="rId13" w:history="1">
        <w:r w:rsidRPr="00FA3D9B">
          <w:rPr>
            <w:rStyle w:val="Hyperlink"/>
          </w:rPr>
          <w:t>https://www.asa.org.uk/rulings/both-lives-matter-a17-370344.html</w:t>
        </w:r>
      </w:hyperlink>
    </w:p>
    <w:p w:rsidR="005F2A3C" w:rsidRDefault="005F2A3C">
      <w:pPr>
        <w:pStyle w:val="FootnoteText"/>
      </w:pPr>
    </w:p>
    <w:p w:rsidR="005F2A3C" w:rsidRDefault="005F2A3C">
      <w:pPr>
        <w:pStyle w:val="FootnoteText"/>
      </w:pPr>
    </w:p>
  </w:footnote>
  <w:footnote w:id="16">
    <w:p w:rsidR="00B214BE" w:rsidRPr="00B214BE" w:rsidRDefault="00B214BE" w:rsidP="00B214BE">
      <w:pPr>
        <w:rPr>
          <w:rFonts w:ascii="Arial" w:hAnsi="Arial"/>
          <w:sz w:val="16"/>
          <w:szCs w:val="16"/>
        </w:rPr>
      </w:pPr>
      <w:r>
        <w:rPr>
          <w:rStyle w:val="FootnoteReference"/>
        </w:rPr>
        <w:footnoteRef/>
      </w:r>
      <w:r>
        <w:t xml:space="preserve"> </w:t>
      </w:r>
      <w:hyperlink r:id="rId14" w:history="1">
        <w:r w:rsidRPr="00B214BE">
          <w:rPr>
            <w:rStyle w:val="Hyperlink"/>
            <w:rFonts w:ascii="Arial" w:hAnsi="Arial"/>
            <w:sz w:val="16"/>
            <w:szCs w:val="16"/>
          </w:rPr>
          <w:t>INTERNATIONAL CONFERENCE ON POPULATION AND DEVELOPMENT, Cairo, Egypt, 5-13 September 1994, "ICPD 94" newsletter, Number 19, September 1994</w:t>
        </w:r>
      </w:hyperlink>
    </w:p>
    <w:p w:rsidR="00B214BE" w:rsidRDefault="00B214BE">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5061DB"/>
    <w:multiLevelType w:val="multilevel"/>
    <w:tmpl w:val="A1B2A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C702DD"/>
    <w:multiLevelType w:val="hybridMultilevel"/>
    <w:tmpl w:val="E77649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B00FB5"/>
    <w:multiLevelType w:val="hybridMultilevel"/>
    <w:tmpl w:val="07C6B0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980D35"/>
    <w:multiLevelType w:val="multilevel"/>
    <w:tmpl w:val="C952F9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74B170E5"/>
    <w:multiLevelType w:val="hybridMultilevel"/>
    <w:tmpl w:val="0C600108"/>
    <w:lvl w:ilvl="0" w:tplc="D8328B9C">
      <w:start w:val="1"/>
      <w:numFmt w:val="decimal"/>
      <w:lvlText w:val="%1."/>
      <w:lvlJc w:val="left"/>
      <w:pPr>
        <w:ind w:left="644"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I+7O94n2+IvJmVp2iTlGgszqZ3Tb467NmK0639dZkFe7r1s0CbV7LtgkuKX21iUf9fibPoaEwcveeALt0DDHww==" w:salt="tj2nBHVyoLJuGRAVlGtGF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F9E"/>
    <w:rsid w:val="00090675"/>
    <w:rsid w:val="000B1B70"/>
    <w:rsid w:val="000F69E8"/>
    <w:rsid w:val="002557AF"/>
    <w:rsid w:val="00281D06"/>
    <w:rsid w:val="002841C5"/>
    <w:rsid w:val="002E23A4"/>
    <w:rsid w:val="002F5B9E"/>
    <w:rsid w:val="0032748C"/>
    <w:rsid w:val="00393FCA"/>
    <w:rsid w:val="003D2B59"/>
    <w:rsid w:val="00467E1B"/>
    <w:rsid w:val="00486A6D"/>
    <w:rsid w:val="0050659D"/>
    <w:rsid w:val="00535643"/>
    <w:rsid w:val="005925F0"/>
    <w:rsid w:val="005E7F9E"/>
    <w:rsid w:val="005F2A3C"/>
    <w:rsid w:val="006523BA"/>
    <w:rsid w:val="00822CC3"/>
    <w:rsid w:val="00881A6E"/>
    <w:rsid w:val="00891CC4"/>
    <w:rsid w:val="00892D0F"/>
    <w:rsid w:val="008C25BC"/>
    <w:rsid w:val="008D5D8D"/>
    <w:rsid w:val="00A30019"/>
    <w:rsid w:val="00A567D2"/>
    <w:rsid w:val="00AD07D4"/>
    <w:rsid w:val="00AE16C4"/>
    <w:rsid w:val="00B12C97"/>
    <w:rsid w:val="00B214BE"/>
    <w:rsid w:val="00B6322F"/>
    <w:rsid w:val="00B64244"/>
    <w:rsid w:val="00BC513F"/>
    <w:rsid w:val="00C0624F"/>
    <w:rsid w:val="00C94CCC"/>
    <w:rsid w:val="00CB39E5"/>
    <w:rsid w:val="00D76808"/>
    <w:rsid w:val="00EB11DD"/>
    <w:rsid w:val="00F01FF0"/>
    <w:rsid w:val="00F75485"/>
    <w:rsid w:val="00FD2132"/>
  </w:rsids>
  <m:mathPr>
    <m:mathFont m:val="Cambria Math"/>
    <m:brkBin m:val="before"/>
    <m:brkBinSub m:val="--"/>
    <m:smallFrac m:val="0"/>
    <m:dispDef/>
    <m:lMargin m:val="0"/>
    <m:rMargin m:val="0"/>
    <m:defJc m:val="centerGroup"/>
    <m:wrapIndent m:val="1440"/>
    <m:intLim m:val="subSup"/>
    <m:naryLim m:val="undOvr"/>
  </m:mathPr>
  <w:themeFontLang w:val="en-US"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CCFD24-56A6-4135-B6C4-F7A46D147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AD07D4"/>
    <w:pPr>
      <w:ind w:left="720"/>
      <w:contextualSpacing/>
    </w:pPr>
  </w:style>
  <w:style w:type="character" w:styleId="Hyperlink">
    <w:name w:val="Hyperlink"/>
    <w:basedOn w:val="DefaultParagraphFont"/>
    <w:uiPriority w:val="99"/>
    <w:unhideWhenUsed/>
    <w:rsid w:val="00535643"/>
    <w:rPr>
      <w:color w:val="0563C1" w:themeColor="hyperlink"/>
      <w:u w:val="single"/>
    </w:rPr>
  </w:style>
  <w:style w:type="paragraph" w:styleId="FootnoteText">
    <w:name w:val="footnote text"/>
    <w:basedOn w:val="Normal"/>
    <w:link w:val="FootnoteTextChar"/>
    <w:uiPriority w:val="99"/>
    <w:unhideWhenUsed/>
    <w:qFormat/>
    <w:rsid w:val="00393FCA"/>
    <w:pPr>
      <w:spacing w:after="0" w:line="240" w:lineRule="auto"/>
    </w:pPr>
    <w:rPr>
      <w:rFonts w:eastAsiaTheme="minorEastAsia"/>
      <w:sz w:val="20"/>
      <w:szCs w:val="20"/>
      <w:lang w:eastAsia="en-GB"/>
    </w:rPr>
  </w:style>
  <w:style w:type="character" w:customStyle="1" w:styleId="FootnoteTextChar">
    <w:name w:val="Footnote Text Char"/>
    <w:basedOn w:val="DefaultParagraphFont"/>
    <w:link w:val="FootnoteText"/>
    <w:uiPriority w:val="99"/>
    <w:rsid w:val="00393FCA"/>
    <w:rPr>
      <w:rFonts w:eastAsiaTheme="minorEastAsia"/>
      <w:sz w:val="20"/>
      <w:szCs w:val="20"/>
      <w:lang w:eastAsia="en-GB"/>
    </w:rPr>
  </w:style>
  <w:style w:type="character" w:styleId="FootnoteReference">
    <w:name w:val="footnote reference"/>
    <w:basedOn w:val="DefaultParagraphFont"/>
    <w:uiPriority w:val="99"/>
    <w:unhideWhenUsed/>
    <w:rsid w:val="00393FCA"/>
    <w:rPr>
      <w:vertAlign w:val="superscript"/>
    </w:rPr>
  </w:style>
  <w:style w:type="paragraph" w:customStyle="1" w:styleId="Footnote">
    <w:name w:val="Footnote"/>
    <w:basedOn w:val="FootnoteText"/>
    <w:link w:val="FootnoteChar"/>
    <w:qFormat/>
    <w:rsid w:val="00393FCA"/>
    <w:pPr>
      <w:ind w:left="357" w:hanging="357"/>
    </w:pPr>
    <w:rPr>
      <w:rFonts w:ascii="Arial" w:hAnsi="Arial" w:cs="Arial"/>
      <w:sz w:val="16"/>
      <w:szCs w:val="16"/>
    </w:rPr>
  </w:style>
  <w:style w:type="character" w:customStyle="1" w:styleId="FootnoteChar">
    <w:name w:val="Footnote Char"/>
    <w:basedOn w:val="FootnoteTextChar"/>
    <w:link w:val="Footnote"/>
    <w:rsid w:val="00393FCA"/>
    <w:rPr>
      <w:rFonts w:ascii="Arial" w:eastAsiaTheme="minorEastAsia" w:hAnsi="Arial" w:cs="Arial"/>
      <w:sz w:val="16"/>
      <w:szCs w:val="16"/>
      <w:lang w:eastAsia="en-GB"/>
    </w:rPr>
  </w:style>
  <w:style w:type="character" w:styleId="Emphasis">
    <w:name w:val="Emphasis"/>
    <w:basedOn w:val="DefaultParagraphFont"/>
    <w:uiPriority w:val="20"/>
    <w:qFormat/>
    <w:rsid w:val="006523BA"/>
    <w:rPr>
      <w:b/>
      <w:bCs/>
      <w:i w:val="0"/>
      <w:iCs w:val="0"/>
    </w:rPr>
  </w:style>
  <w:style w:type="character" w:customStyle="1" w:styleId="st1">
    <w:name w:val="st1"/>
    <w:basedOn w:val="DefaultParagraphFont"/>
    <w:rsid w:val="006523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28411">
      <w:bodyDiv w:val="1"/>
      <w:marLeft w:val="0"/>
      <w:marRight w:val="0"/>
      <w:marTop w:val="0"/>
      <w:marBottom w:val="0"/>
      <w:divBdr>
        <w:top w:val="none" w:sz="0" w:space="0" w:color="auto"/>
        <w:left w:val="none" w:sz="0" w:space="0" w:color="auto"/>
        <w:bottom w:val="none" w:sz="0" w:space="0" w:color="auto"/>
        <w:right w:val="none" w:sz="0" w:space="0" w:color="auto"/>
      </w:divBdr>
      <w:divsChild>
        <w:div w:id="841700069">
          <w:marLeft w:val="0"/>
          <w:marRight w:val="0"/>
          <w:marTop w:val="0"/>
          <w:marBottom w:val="0"/>
          <w:divBdr>
            <w:top w:val="none" w:sz="0" w:space="0" w:color="auto"/>
            <w:left w:val="none" w:sz="0" w:space="0" w:color="auto"/>
            <w:bottom w:val="none" w:sz="0" w:space="0" w:color="auto"/>
            <w:right w:val="none" w:sz="0" w:space="0" w:color="auto"/>
          </w:divBdr>
        </w:div>
        <w:div w:id="1088038317">
          <w:marLeft w:val="0"/>
          <w:marRight w:val="0"/>
          <w:marTop w:val="0"/>
          <w:marBottom w:val="0"/>
          <w:divBdr>
            <w:top w:val="none" w:sz="0" w:space="0" w:color="auto"/>
            <w:left w:val="none" w:sz="0" w:space="0" w:color="auto"/>
            <w:bottom w:val="none" w:sz="0" w:space="0" w:color="auto"/>
            <w:right w:val="none" w:sz="0" w:space="0" w:color="auto"/>
          </w:divBdr>
        </w:div>
        <w:div w:id="2041540301">
          <w:marLeft w:val="0"/>
          <w:marRight w:val="0"/>
          <w:marTop w:val="0"/>
          <w:marBottom w:val="0"/>
          <w:divBdr>
            <w:top w:val="none" w:sz="0" w:space="0" w:color="auto"/>
            <w:left w:val="none" w:sz="0" w:space="0" w:color="auto"/>
            <w:bottom w:val="none" w:sz="0" w:space="0" w:color="auto"/>
            <w:right w:val="none" w:sz="0" w:space="0" w:color="auto"/>
          </w:divBdr>
        </w:div>
        <w:div w:id="1484618312">
          <w:marLeft w:val="0"/>
          <w:marRight w:val="0"/>
          <w:marTop w:val="0"/>
          <w:marBottom w:val="0"/>
          <w:divBdr>
            <w:top w:val="none" w:sz="0" w:space="0" w:color="auto"/>
            <w:left w:val="none" w:sz="0" w:space="0" w:color="auto"/>
            <w:bottom w:val="none" w:sz="0" w:space="0" w:color="auto"/>
            <w:right w:val="none" w:sz="0" w:space="0" w:color="auto"/>
          </w:divBdr>
        </w:div>
        <w:div w:id="1153720226">
          <w:marLeft w:val="0"/>
          <w:marRight w:val="0"/>
          <w:marTop w:val="0"/>
          <w:marBottom w:val="0"/>
          <w:divBdr>
            <w:top w:val="none" w:sz="0" w:space="0" w:color="auto"/>
            <w:left w:val="none" w:sz="0" w:space="0" w:color="auto"/>
            <w:bottom w:val="none" w:sz="0" w:space="0" w:color="auto"/>
            <w:right w:val="none" w:sz="0" w:space="0" w:color="auto"/>
          </w:divBdr>
        </w:div>
        <w:div w:id="2070611078">
          <w:marLeft w:val="0"/>
          <w:marRight w:val="0"/>
          <w:marTop w:val="0"/>
          <w:marBottom w:val="0"/>
          <w:divBdr>
            <w:top w:val="none" w:sz="0" w:space="0" w:color="auto"/>
            <w:left w:val="none" w:sz="0" w:space="0" w:color="auto"/>
            <w:bottom w:val="none" w:sz="0" w:space="0" w:color="auto"/>
            <w:right w:val="none" w:sz="0" w:space="0" w:color="auto"/>
          </w:divBdr>
        </w:div>
        <w:div w:id="193543960">
          <w:marLeft w:val="0"/>
          <w:marRight w:val="0"/>
          <w:marTop w:val="0"/>
          <w:marBottom w:val="0"/>
          <w:divBdr>
            <w:top w:val="none" w:sz="0" w:space="0" w:color="auto"/>
            <w:left w:val="none" w:sz="0" w:space="0" w:color="auto"/>
            <w:bottom w:val="none" w:sz="0" w:space="0" w:color="auto"/>
            <w:right w:val="none" w:sz="0" w:space="0" w:color="auto"/>
          </w:divBdr>
        </w:div>
        <w:div w:id="614144398">
          <w:marLeft w:val="0"/>
          <w:marRight w:val="0"/>
          <w:marTop w:val="0"/>
          <w:marBottom w:val="0"/>
          <w:divBdr>
            <w:top w:val="none" w:sz="0" w:space="0" w:color="auto"/>
            <w:left w:val="none" w:sz="0" w:space="0" w:color="auto"/>
            <w:bottom w:val="none" w:sz="0" w:space="0" w:color="auto"/>
            <w:right w:val="none" w:sz="0" w:space="0" w:color="auto"/>
          </w:divBdr>
        </w:div>
        <w:div w:id="1987271089">
          <w:marLeft w:val="0"/>
          <w:marRight w:val="0"/>
          <w:marTop w:val="0"/>
          <w:marBottom w:val="0"/>
          <w:divBdr>
            <w:top w:val="none" w:sz="0" w:space="0" w:color="auto"/>
            <w:left w:val="none" w:sz="0" w:space="0" w:color="auto"/>
            <w:bottom w:val="none" w:sz="0" w:space="0" w:color="auto"/>
            <w:right w:val="none" w:sz="0" w:space="0" w:color="auto"/>
          </w:divBdr>
        </w:div>
        <w:div w:id="100027397">
          <w:marLeft w:val="0"/>
          <w:marRight w:val="0"/>
          <w:marTop w:val="0"/>
          <w:marBottom w:val="0"/>
          <w:divBdr>
            <w:top w:val="none" w:sz="0" w:space="0" w:color="auto"/>
            <w:left w:val="none" w:sz="0" w:space="0" w:color="auto"/>
            <w:bottom w:val="none" w:sz="0" w:space="0" w:color="auto"/>
            <w:right w:val="none" w:sz="0" w:space="0" w:color="auto"/>
          </w:divBdr>
        </w:div>
        <w:div w:id="1941793049">
          <w:marLeft w:val="0"/>
          <w:marRight w:val="0"/>
          <w:marTop w:val="0"/>
          <w:marBottom w:val="0"/>
          <w:divBdr>
            <w:top w:val="none" w:sz="0" w:space="0" w:color="auto"/>
            <w:left w:val="none" w:sz="0" w:space="0" w:color="auto"/>
            <w:bottom w:val="none" w:sz="0" w:space="0" w:color="auto"/>
            <w:right w:val="none" w:sz="0" w:space="0" w:color="auto"/>
          </w:divBdr>
        </w:div>
      </w:divsChild>
    </w:div>
    <w:div w:id="1157770982">
      <w:bodyDiv w:val="1"/>
      <w:marLeft w:val="0"/>
      <w:marRight w:val="0"/>
      <w:marTop w:val="0"/>
      <w:marBottom w:val="0"/>
      <w:divBdr>
        <w:top w:val="single" w:sz="48" w:space="0" w:color="FFFDE8"/>
        <w:left w:val="single" w:sz="48" w:space="0" w:color="FFFDE8"/>
        <w:bottom w:val="single" w:sz="48" w:space="0" w:color="FFFDE8"/>
        <w:right w:val="single" w:sz="48" w:space="0" w:color="FFFDE8"/>
      </w:divBdr>
      <w:divsChild>
        <w:div w:id="401418124">
          <w:marLeft w:val="0"/>
          <w:marRight w:val="0"/>
          <w:marTop w:val="0"/>
          <w:marBottom w:val="0"/>
          <w:divBdr>
            <w:top w:val="none" w:sz="0" w:space="0" w:color="auto"/>
            <w:left w:val="none" w:sz="0" w:space="0" w:color="auto"/>
            <w:bottom w:val="none" w:sz="0" w:space="0" w:color="auto"/>
            <w:right w:val="none" w:sz="0" w:space="0" w:color="auto"/>
          </w:divBdr>
          <w:divsChild>
            <w:div w:id="727998805">
              <w:marLeft w:val="0"/>
              <w:marRight w:val="0"/>
              <w:marTop w:val="0"/>
              <w:marBottom w:val="0"/>
              <w:divBdr>
                <w:top w:val="none" w:sz="0" w:space="0" w:color="auto"/>
                <w:left w:val="none" w:sz="0" w:space="0" w:color="auto"/>
                <w:bottom w:val="none" w:sz="0" w:space="0" w:color="auto"/>
                <w:right w:val="none" w:sz="0" w:space="0" w:color="auto"/>
              </w:divBdr>
              <w:divsChild>
                <w:div w:id="216402766">
                  <w:marLeft w:val="0"/>
                  <w:marRight w:val="0"/>
                  <w:marTop w:val="0"/>
                  <w:marBottom w:val="0"/>
                  <w:divBdr>
                    <w:top w:val="none" w:sz="0" w:space="0" w:color="auto"/>
                    <w:left w:val="none" w:sz="0" w:space="0" w:color="auto"/>
                    <w:bottom w:val="none" w:sz="0" w:space="0" w:color="auto"/>
                    <w:right w:val="none" w:sz="0" w:space="0" w:color="auto"/>
                  </w:divBdr>
                  <w:divsChild>
                    <w:div w:id="279147492">
                      <w:marLeft w:val="0"/>
                      <w:marRight w:val="0"/>
                      <w:marTop w:val="0"/>
                      <w:marBottom w:val="0"/>
                      <w:divBdr>
                        <w:top w:val="none" w:sz="0" w:space="0" w:color="auto"/>
                        <w:left w:val="single" w:sz="6" w:space="0" w:color="F69A8E"/>
                        <w:bottom w:val="none" w:sz="0" w:space="0" w:color="auto"/>
                        <w:right w:val="single" w:sz="6" w:space="0" w:color="F69A8E"/>
                      </w:divBdr>
                      <w:divsChild>
                        <w:div w:id="1408386063">
                          <w:marLeft w:val="0"/>
                          <w:marRight w:val="0"/>
                          <w:marTop w:val="0"/>
                          <w:marBottom w:val="0"/>
                          <w:divBdr>
                            <w:top w:val="none" w:sz="0" w:space="0" w:color="auto"/>
                            <w:left w:val="none" w:sz="0" w:space="0" w:color="auto"/>
                            <w:bottom w:val="none" w:sz="0" w:space="0" w:color="auto"/>
                            <w:right w:val="none" w:sz="0" w:space="0" w:color="auto"/>
                          </w:divBdr>
                          <w:divsChild>
                            <w:div w:id="297414972">
                              <w:marLeft w:val="-225"/>
                              <w:marRight w:val="-225"/>
                              <w:marTop w:val="0"/>
                              <w:marBottom w:val="0"/>
                              <w:divBdr>
                                <w:top w:val="none" w:sz="0" w:space="0" w:color="auto"/>
                                <w:left w:val="none" w:sz="0" w:space="0" w:color="auto"/>
                                <w:bottom w:val="none" w:sz="0" w:space="0" w:color="auto"/>
                                <w:right w:val="none" w:sz="0" w:space="0" w:color="auto"/>
                              </w:divBdr>
                              <w:divsChild>
                                <w:div w:id="808212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sa.org.uk/rulings/both-lives-matter-a17-370344.htm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undocs.org/CEDAW/C/OP.8/GBR/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cambridge.org/core/services/aop-cambridge-core/content/view/E8D556AAE1C1D2F0F8B060B28BEE6C3D/S0007125000256353a.pdf/abortion_and_mental_health_quantitative_synthesis_and_analysis_of_research_published_19952009.pdf" TargetMode="External"/><Relationship Id="rId13" Type="http://schemas.openxmlformats.org/officeDocument/2006/relationships/hyperlink" Target="https://www.asa.org.uk/rulings/both-lives-matter-a17-370344.html" TargetMode="External"/><Relationship Id="rId3" Type="http://schemas.openxmlformats.org/officeDocument/2006/relationships/hyperlink" Target="https://www.aomrc.org.uk/wp-content/uploads/2016/05/Induced_Abortion_Mental_Health_1211.pdf" TargetMode="External"/><Relationship Id="rId7" Type="http://schemas.openxmlformats.org/officeDocument/2006/relationships/hyperlink" Target="https://www.ncbi.nlm.nih.gov/pubmed/19043144" TargetMode="External"/><Relationship Id="rId12" Type="http://schemas.openxmlformats.org/officeDocument/2006/relationships/hyperlink" Target="https://undocs.org/CEDAW/C/OP.8/GBR/1" TargetMode="External"/><Relationship Id="rId2" Type="http://schemas.openxmlformats.org/officeDocument/2006/relationships/hyperlink" Target="https://assets.publishing.service.gov.uk/government/uploads/system/uploads/attachment_data/file/763174/2017-abortion-statistics-for-england-and-wales-revised.pdf" TargetMode="External"/><Relationship Id="rId1" Type="http://schemas.openxmlformats.org/officeDocument/2006/relationships/hyperlink" Target="https://www.comresglobal.com/polls/northern-ireland-abortion-poll/" TargetMode="External"/><Relationship Id="rId6" Type="http://schemas.openxmlformats.org/officeDocument/2006/relationships/hyperlink" Target="https://www.cambridge.org/core/journals/the-british-journal-of-psychiatry/article/reactions-to-abortion-and-subsequent-mental-health/667F92342F6A90F4FB3F8235187F7DBB" TargetMode="External"/><Relationship Id="rId11" Type="http://schemas.openxmlformats.org/officeDocument/2006/relationships/hyperlink" Target="https://www.ncbi.nlm.nih.gov/pubmed/23470063" TargetMode="External"/><Relationship Id="rId5" Type="http://schemas.openxmlformats.org/officeDocument/2006/relationships/hyperlink" Target="https://www.ncbi.nlm.nih.gov/pubmed/18539697" TargetMode="External"/><Relationship Id="rId10" Type="http://schemas.openxmlformats.org/officeDocument/2006/relationships/hyperlink" Target="https://www.rcog.org.uk/globalassets/documents/guidelines/abortion-guideline_web_1.pdf" TargetMode="External"/><Relationship Id="rId4" Type="http://schemas.openxmlformats.org/officeDocument/2006/relationships/hyperlink" Target="https://www.ncbi.nlm.nih.gov/pubmed/23553240" TargetMode="External"/><Relationship Id="rId9" Type="http://schemas.openxmlformats.org/officeDocument/2006/relationships/hyperlink" Target="https://www.ncbi.nlm.nih.gov/pubmed/14981384" TargetMode="External"/><Relationship Id="rId14" Type="http://schemas.openxmlformats.org/officeDocument/2006/relationships/hyperlink" Target="http://www.un.org/popin/icpd/newslett/94_19/icpd9419.eng/1lea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840292-5E5F-4888-ABFA-8B9C1FBEB9D9}"/>
</file>

<file path=customXml/itemProps2.xml><?xml version="1.0" encoding="utf-8"?>
<ds:datastoreItem xmlns:ds="http://schemas.openxmlformats.org/officeDocument/2006/customXml" ds:itemID="{655DFF8F-97CD-463B-8892-1AD75F37DDED}"/>
</file>

<file path=customXml/itemProps3.xml><?xml version="1.0" encoding="utf-8"?>
<ds:datastoreItem xmlns:ds="http://schemas.openxmlformats.org/officeDocument/2006/customXml" ds:itemID="{738848BA-6B87-43D5-B2FF-AAC76D1BD154}"/>
</file>

<file path=customXml/itemProps4.xml><?xml version="1.0" encoding="utf-8"?>
<ds:datastoreItem xmlns:ds="http://schemas.openxmlformats.org/officeDocument/2006/customXml" ds:itemID="{FD2F7200-5623-4FC3-8333-419AA2F8F336}"/>
</file>

<file path=docProps/app.xml><?xml version="1.0" encoding="utf-8"?>
<Properties xmlns="http://schemas.openxmlformats.org/officeDocument/2006/extended-properties" xmlns:vt="http://schemas.openxmlformats.org/officeDocument/2006/docPropsVTypes">
  <Template>Normal.dotm</Template>
  <TotalTime>1</TotalTime>
  <Pages>8</Pages>
  <Words>2962</Words>
  <Characters>16890</Characters>
  <Application>Microsoft Office Word</Application>
  <DocSecurity>8</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Baillie</dc:creator>
  <cp:keywords/>
  <dc:description/>
  <cp:lastModifiedBy>Fleche Isabelle</cp:lastModifiedBy>
  <cp:revision>3</cp:revision>
  <dcterms:created xsi:type="dcterms:W3CDTF">2019-01-28T16:46:00Z</dcterms:created>
  <dcterms:modified xsi:type="dcterms:W3CDTF">2019-01-29T11:04:00Z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