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E5109" w14:textId="77777777" w:rsidR="007C4685" w:rsidRDefault="007C4685">
      <w:pPr>
        <w:jc w:val="center"/>
        <w:rPr>
          <w:rFonts w:ascii="Book Antiqua" w:eastAsia="Book Antiqua" w:hAnsi="Book Antiqua" w:cs="Book Antiqua"/>
          <w:b/>
          <w:bCs/>
          <w:i/>
          <w:iCs/>
          <w:color w:val="351C75"/>
          <w:sz w:val="18"/>
          <w:szCs w:val="18"/>
        </w:rPr>
      </w:pPr>
    </w:p>
    <w:p w14:paraId="01DE510A" w14:textId="77777777" w:rsidR="007C4685" w:rsidRDefault="00000000">
      <w:pPr>
        <w:jc w:val="center"/>
        <w:rPr>
          <w:rFonts w:ascii="Book Antiqua" w:eastAsia="Book Antiqua" w:hAnsi="Book Antiqua" w:cs="Book Antiqua"/>
          <w:b/>
          <w:bCs/>
          <w:i/>
          <w:iCs/>
          <w:color w:val="351C75"/>
          <w:sz w:val="36"/>
          <w:szCs w:val="36"/>
        </w:rPr>
      </w:pPr>
      <w:r>
        <w:rPr>
          <w:rFonts w:ascii="Book Antiqua" w:eastAsia="Book Antiqua" w:hAnsi="Book Antiqua" w:cs="Book Antiqua"/>
          <w:noProof/>
          <w:sz w:val="22"/>
          <w:szCs w:val="22"/>
        </w:rPr>
        <w:drawing>
          <wp:inline distT="0" distB="0" distL="0" distR="0" wp14:anchorId="01DE516E" wp14:editId="01DE516F">
            <wp:extent cx="4610100" cy="180329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610100" cy="1803296"/>
                    </a:xfrm>
                    <a:prstGeom prst="rect">
                      <a:avLst/>
                    </a:prstGeom>
                    <a:ln/>
                  </pic:spPr>
                </pic:pic>
              </a:graphicData>
            </a:graphic>
          </wp:inline>
        </w:drawing>
      </w:r>
    </w:p>
    <w:p w14:paraId="01DE510B" w14:textId="77777777" w:rsidR="007C4685" w:rsidRDefault="007C4685">
      <w:pPr>
        <w:pBdr>
          <w:top w:val="nil"/>
          <w:left w:val="nil"/>
          <w:bottom w:val="nil"/>
          <w:right w:val="nil"/>
          <w:between w:val="nil"/>
        </w:pBdr>
        <w:spacing w:after="0" w:line="240" w:lineRule="auto"/>
        <w:rPr>
          <w:rFonts w:ascii="Book Antiqua" w:eastAsia="Book Antiqua" w:hAnsi="Book Antiqua" w:cs="Book Antiqua"/>
          <w:b/>
          <w:bCs/>
          <w:i/>
          <w:iCs/>
          <w:color w:val="351C75"/>
          <w:sz w:val="10"/>
          <w:szCs w:val="10"/>
        </w:rPr>
      </w:pPr>
    </w:p>
    <w:p w14:paraId="01DE510C" w14:textId="77777777" w:rsidR="007C4685" w:rsidRDefault="00000000">
      <w:pPr>
        <w:pBdr>
          <w:top w:val="nil"/>
          <w:left w:val="nil"/>
          <w:bottom w:val="nil"/>
          <w:right w:val="nil"/>
          <w:between w:val="nil"/>
        </w:pBdr>
        <w:spacing w:after="0" w:line="240" w:lineRule="auto"/>
        <w:jc w:val="center"/>
        <w:rPr>
          <w:rFonts w:ascii="Book Antiqua" w:eastAsia="Book Antiqua" w:hAnsi="Book Antiqua" w:cs="Book Antiqua"/>
          <w:b/>
          <w:bCs/>
          <w:color w:val="351C75"/>
          <w:sz w:val="36"/>
          <w:szCs w:val="36"/>
        </w:rPr>
      </w:pPr>
      <w:r>
        <w:rPr>
          <w:rFonts w:ascii="Book Antiqua" w:eastAsia="Book Antiqua" w:hAnsi="Book Antiqua" w:cs="Book Antiqua"/>
          <w:b/>
          <w:bCs/>
          <w:color w:val="351C75"/>
          <w:sz w:val="36"/>
          <w:szCs w:val="36"/>
        </w:rPr>
        <w:br/>
        <w:t xml:space="preserve">Updates from the Philippines </w:t>
      </w:r>
    </w:p>
    <w:p w14:paraId="01DE510D" w14:textId="77777777" w:rsidR="007C4685" w:rsidRDefault="00000000">
      <w:pPr>
        <w:pBdr>
          <w:top w:val="nil"/>
          <w:left w:val="nil"/>
          <w:bottom w:val="nil"/>
          <w:right w:val="nil"/>
          <w:between w:val="nil"/>
        </w:pBdr>
        <w:spacing w:after="0" w:line="240" w:lineRule="auto"/>
        <w:jc w:val="center"/>
        <w:rPr>
          <w:rFonts w:ascii="Book Antiqua" w:eastAsia="Book Antiqua" w:hAnsi="Book Antiqua" w:cs="Book Antiqua"/>
          <w:b/>
          <w:bCs/>
          <w:color w:val="351C75"/>
          <w:sz w:val="36"/>
          <w:szCs w:val="36"/>
        </w:rPr>
      </w:pPr>
      <w:r>
        <w:rPr>
          <w:rFonts w:ascii="Book Antiqua" w:eastAsia="Book Antiqua" w:hAnsi="Book Antiqua" w:cs="Book Antiqua"/>
          <w:b/>
          <w:bCs/>
          <w:color w:val="351C75"/>
          <w:sz w:val="36"/>
          <w:szCs w:val="36"/>
        </w:rPr>
        <w:t xml:space="preserve">On the Follow-up to the Concluding Observations on </w:t>
      </w:r>
    </w:p>
    <w:p w14:paraId="01DE510E" w14:textId="77777777" w:rsidR="007C4685" w:rsidRDefault="00000000">
      <w:pPr>
        <w:pBdr>
          <w:top w:val="nil"/>
          <w:left w:val="nil"/>
          <w:bottom w:val="nil"/>
          <w:right w:val="nil"/>
          <w:between w:val="nil"/>
        </w:pBdr>
        <w:spacing w:after="0" w:line="240" w:lineRule="auto"/>
        <w:jc w:val="center"/>
        <w:rPr>
          <w:rFonts w:ascii="Verdana" w:eastAsia="Verdana" w:hAnsi="Verdana" w:cs="Verdana"/>
        </w:rPr>
      </w:pPr>
      <w:r>
        <w:rPr>
          <w:rFonts w:ascii="Book Antiqua" w:eastAsia="Book Antiqua" w:hAnsi="Book Antiqua" w:cs="Book Antiqua"/>
          <w:b/>
          <w:bCs/>
          <w:color w:val="351C75"/>
          <w:sz w:val="36"/>
          <w:szCs w:val="36"/>
        </w:rPr>
        <w:t>its 9th Periodic Report</w:t>
      </w:r>
      <w:r>
        <w:rPr>
          <w:rFonts w:ascii="Book Antiqua" w:eastAsia="Book Antiqua" w:hAnsi="Book Antiqua" w:cs="Book Antiqua"/>
          <w:b/>
          <w:bCs/>
          <w:color w:val="351C75"/>
          <w:sz w:val="36"/>
          <w:szCs w:val="36"/>
        </w:rPr>
        <w:br/>
      </w:r>
      <w:r>
        <w:rPr>
          <w:rFonts w:ascii="Book Antiqua" w:eastAsia="Book Antiqua" w:hAnsi="Book Antiqua" w:cs="Book Antiqua"/>
          <w:b/>
          <w:bCs/>
          <w:color w:val="351C75"/>
          <w:sz w:val="36"/>
          <w:szCs w:val="36"/>
        </w:rPr>
        <w:br/>
      </w:r>
      <w:r>
        <w:rPr>
          <w:rFonts w:ascii="Book Antiqua" w:eastAsia="Book Antiqua" w:hAnsi="Book Antiqua" w:cs="Book Antiqua"/>
          <w:b/>
          <w:bCs/>
          <w:color w:val="351C75"/>
        </w:rPr>
        <w:t>By LILAK (Purple Action for Indigenous Women’s Rights)</w:t>
      </w:r>
      <w:r>
        <w:rPr>
          <w:rFonts w:ascii="Book Antiqua" w:eastAsia="Book Antiqua" w:hAnsi="Book Antiqua" w:cs="Book Antiqua"/>
          <w:b/>
          <w:bCs/>
          <w:i/>
          <w:iCs/>
          <w:sz w:val="22"/>
          <w:szCs w:val="22"/>
        </w:rPr>
        <w:br/>
      </w:r>
    </w:p>
    <w:p w14:paraId="01DE510F" w14:textId="77777777" w:rsidR="007C4685" w:rsidRDefault="00000000">
      <w:pPr>
        <w:spacing w:after="200" w:line="240" w:lineRule="auto"/>
        <w:rPr>
          <w:rFonts w:ascii="Verdana" w:eastAsia="Verdana" w:hAnsi="Verdana" w:cs="Verdana"/>
        </w:rPr>
      </w:pPr>
      <w:r>
        <w:rPr>
          <w:rFonts w:ascii="Verdana" w:eastAsia="Verdana" w:hAnsi="Verdana" w:cs="Verdana"/>
          <w:sz w:val="22"/>
          <w:szCs w:val="22"/>
        </w:rPr>
        <w:br/>
        <w:t>LILAK (Purple Action for Indigenous Women’s Rights) is a collective of women human rights activists and feminists working closely with, and supporting the struggles of, indigenous women for the realization of their rights.</w:t>
      </w:r>
    </w:p>
    <w:p w14:paraId="01DE5110" w14:textId="77777777" w:rsidR="007C4685" w:rsidRDefault="00000000">
      <w:pPr>
        <w:spacing w:after="200" w:line="240" w:lineRule="auto"/>
        <w:rPr>
          <w:rFonts w:ascii="Verdana" w:eastAsia="Verdana" w:hAnsi="Verdana" w:cs="Verdana"/>
        </w:rPr>
      </w:pPr>
      <w:r>
        <w:rPr>
          <w:rFonts w:ascii="Verdana" w:eastAsia="Verdana" w:hAnsi="Verdana" w:cs="Verdana"/>
          <w:sz w:val="22"/>
          <w:szCs w:val="22"/>
        </w:rPr>
        <w:t>The main sources of information are cases documented by LILAK; interviews with Indigenous Women partners. Secondary information is news clippings and statements by other human rights organizations. </w:t>
      </w:r>
    </w:p>
    <w:p w14:paraId="01DE5111" w14:textId="77777777" w:rsidR="007C4685" w:rsidRDefault="00000000">
      <w:pPr>
        <w:spacing w:after="200" w:line="240" w:lineRule="auto"/>
        <w:rPr>
          <w:rFonts w:ascii="Verdana" w:eastAsia="Verdana" w:hAnsi="Verdana" w:cs="Verdana"/>
        </w:rPr>
      </w:pPr>
      <w:r>
        <w:rPr>
          <w:rFonts w:ascii="Verdana" w:eastAsia="Verdana" w:hAnsi="Verdana" w:cs="Verdana"/>
          <w:sz w:val="22"/>
          <w:szCs w:val="22"/>
        </w:rPr>
        <w:t>The Committee may post this report on the CEDAW website.  </w:t>
      </w:r>
    </w:p>
    <w:p w14:paraId="01DE5112" w14:textId="77777777" w:rsidR="007C4685" w:rsidRDefault="00000000">
      <w:pPr>
        <w:spacing w:after="200" w:line="240" w:lineRule="auto"/>
        <w:rPr>
          <w:rFonts w:ascii="Verdana" w:eastAsia="Verdana" w:hAnsi="Verdana" w:cs="Verdana"/>
        </w:rPr>
      </w:pPr>
      <w:r>
        <w:rPr>
          <w:rFonts w:ascii="Verdana" w:eastAsia="Verdana" w:hAnsi="Verdana" w:cs="Verdana"/>
          <w:sz w:val="22"/>
          <w:szCs w:val="22"/>
        </w:rPr>
        <w:t>This submission of the LILAK Shadow Report (2023) focused on the different forms of attacks and discrimination against Indigenous Women Human Rights Defenders as they assert and defend their rights to land, food, against gender-based violence and for meaningful participation in political processes. </w:t>
      </w:r>
    </w:p>
    <w:p w14:paraId="01DE5113" w14:textId="77777777" w:rsidR="007C4685" w:rsidRDefault="00000000">
      <w:pPr>
        <w:rPr>
          <w:rFonts w:ascii="Verdana" w:eastAsia="Verdana" w:hAnsi="Verdana" w:cs="Verdana"/>
          <w:b/>
          <w:bCs/>
          <w:i/>
          <w:iCs/>
          <w:sz w:val="22"/>
          <w:szCs w:val="22"/>
        </w:rPr>
      </w:pPr>
      <w:r>
        <w:rPr>
          <w:rFonts w:ascii="Verdana" w:eastAsia="Verdana" w:hAnsi="Verdana" w:cs="Verdana"/>
          <w:sz w:val="22"/>
          <w:szCs w:val="22"/>
        </w:rPr>
        <w:t>In this document, LILAK provides updates regarding the Concluding Observations Paragraph 36 (a) and (b) on women human rights defenders, land and environmental defenders and journalists</w:t>
      </w:r>
    </w:p>
    <w:p w14:paraId="01DE5114" w14:textId="77777777" w:rsidR="007C4685" w:rsidRDefault="007C4685"/>
    <w:p w14:paraId="01DE5115" w14:textId="77777777" w:rsidR="007C4685" w:rsidRDefault="007C4685"/>
    <w:p w14:paraId="01DE5116" w14:textId="77777777" w:rsidR="007C4685" w:rsidRDefault="007C4685">
      <w:pPr>
        <w:pStyle w:val="Heading2"/>
        <w:spacing w:before="360" w:after="200" w:line="276" w:lineRule="auto"/>
        <w:jc w:val="center"/>
        <w:rPr>
          <w:rFonts w:ascii="Verdana" w:eastAsia="Verdana" w:hAnsi="Verdana" w:cs="Verdana"/>
          <w:b/>
          <w:bCs/>
          <w:color w:val="000000"/>
          <w:sz w:val="22"/>
          <w:szCs w:val="22"/>
        </w:rPr>
      </w:pPr>
      <w:bookmarkStart w:id="0" w:name="_heading=h.h3o1egxrkwyv" w:colFirst="0" w:colLast="0"/>
      <w:bookmarkEnd w:id="0"/>
    </w:p>
    <w:p w14:paraId="01DE5117" w14:textId="77777777" w:rsidR="007C4685" w:rsidRDefault="007C4685">
      <w:pPr>
        <w:pStyle w:val="Heading2"/>
        <w:spacing w:before="360" w:after="200" w:line="276" w:lineRule="auto"/>
        <w:jc w:val="center"/>
        <w:rPr>
          <w:rFonts w:ascii="Verdana" w:eastAsia="Verdana" w:hAnsi="Verdana" w:cs="Verdana"/>
          <w:b/>
          <w:bCs/>
          <w:color w:val="000000"/>
          <w:sz w:val="22"/>
          <w:szCs w:val="22"/>
        </w:rPr>
      </w:pPr>
      <w:bookmarkStart w:id="1" w:name="_heading=h.3q1q93zanvvf" w:colFirst="0" w:colLast="0"/>
      <w:bookmarkEnd w:id="1"/>
    </w:p>
    <w:p w14:paraId="01DE5118" w14:textId="77777777" w:rsidR="007C4685" w:rsidRDefault="007C4685"/>
    <w:p w14:paraId="01DE5119" w14:textId="77777777" w:rsidR="007C4685" w:rsidRDefault="007C4685"/>
    <w:p w14:paraId="01DE511A" w14:textId="77777777" w:rsidR="007C4685" w:rsidRDefault="007C4685"/>
    <w:p w14:paraId="01DE511B" w14:textId="77777777" w:rsidR="007C4685" w:rsidRDefault="00000000">
      <w:pPr>
        <w:pStyle w:val="Heading2"/>
        <w:spacing w:before="360" w:after="200" w:line="276" w:lineRule="auto"/>
        <w:jc w:val="center"/>
        <w:rPr>
          <w:rFonts w:ascii="Verdana" w:eastAsia="Verdana" w:hAnsi="Verdana" w:cs="Verdana"/>
          <w:color w:val="000000"/>
          <w:sz w:val="22"/>
          <w:szCs w:val="22"/>
        </w:rPr>
      </w:pPr>
      <w:bookmarkStart w:id="2" w:name="_heading=h.jk80u3j24bfs" w:colFirst="0" w:colLast="0"/>
      <w:bookmarkEnd w:id="2"/>
      <w:r>
        <w:rPr>
          <w:rFonts w:ascii="Verdana" w:eastAsia="Verdana" w:hAnsi="Verdana" w:cs="Verdana"/>
          <w:b/>
          <w:bCs/>
          <w:color w:val="000000"/>
          <w:sz w:val="22"/>
          <w:szCs w:val="22"/>
        </w:rPr>
        <w:t>Acronyms</w:t>
      </w:r>
      <w:r>
        <w:rPr>
          <w:rFonts w:ascii="Verdana" w:eastAsia="Verdana" w:hAnsi="Verdana" w:cs="Verdana"/>
          <w:color w:val="000000"/>
          <w:sz w:val="22"/>
          <w:szCs w:val="22"/>
        </w:rPr>
        <w:t xml:space="preserve"> </w:t>
      </w:r>
      <w:r>
        <w:rPr>
          <w:rFonts w:ascii="Verdana" w:eastAsia="Verdana" w:hAnsi="Verdana" w:cs="Verdana"/>
          <w:color w:val="000000"/>
          <w:sz w:val="22"/>
          <w:szCs w:val="22"/>
        </w:rPr>
        <w:br/>
      </w:r>
    </w:p>
    <w:p w14:paraId="01DE511C" w14:textId="77777777" w:rsidR="007C4685" w:rsidRDefault="00000000">
      <w:pPr>
        <w:numPr>
          <w:ilvl w:val="0"/>
          <w:numId w:val="1"/>
        </w:numPr>
        <w:spacing w:after="0" w:line="276" w:lineRule="auto"/>
        <w:rPr>
          <w:rFonts w:ascii="Verdana" w:eastAsia="Verdana" w:hAnsi="Verdana" w:cs="Verdana"/>
          <w:sz w:val="22"/>
          <w:szCs w:val="22"/>
        </w:rPr>
      </w:pPr>
      <w:r>
        <w:rPr>
          <w:rFonts w:ascii="Verdana" w:eastAsia="Verdana" w:hAnsi="Verdana" w:cs="Verdana"/>
          <w:sz w:val="22"/>
          <w:szCs w:val="22"/>
        </w:rPr>
        <w:t>BARMM - Bangsamoro Autonomous Region in Muslim Mindanao</w:t>
      </w:r>
    </w:p>
    <w:p w14:paraId="01DE511D" w14:textId="77777777" w:rsidR="007C4685" w:rsidRDefault="00000000">
      <w:pPr>
        <w:numPr>
          <w:ilvl w:val="0"/>
          <w:numId w:val="1"/>
        </w:numPr>
        <w:spacing w:after="0" w:line="276" w:lineRule="auto"/>
        <w:rPr>
          <w:rFonts w:ascii="Verdana" w:eastAsia="Verdana" w:hAnsi="Verdana" w:cs="Verdana"/>
          <w:sz w:val="22"/>
          <w:szCs w:val="22"/>
        </w:rPr>
      </w:pPr>
      <w:r>
        <w:rPr>
          <w:rFonts w:ascii="Verdana" w:eastAsia="Verdana" w:hAnsi="Verdana" w:cs="Verdana"/>
          <w:sz w:val="22"/>
          <w:szCs w:val="22"/>
        </w:rPr>
        <w:t xml:space="preserve">DENR - Department of Environment and Natural Resources </w:t>
      </w:r>
    </w:p>
    <w:p w14:paraId="01DE511E" w14:textId="77777777" w:rsidR="007C4685" w:rsidRDefault="00000000">
      <w:pPr>
        <w:numPr>
          <w:ilvl w:val="0"/>
          <w:numId w:val="1"/>
        </w:numPr>
        <w:spacing w:after="0" w:line="240" w:lineRule="auto"/>
        <w:rPr>
          <w:rFonts w:ascii="Verdana" w:eastAsia="Verdana" w:hAnsi="Verdana" w:cs="Verdana"/>
          <w:sz w:val="22"/>
          <w:szCs w:val="22"/>
        </w:rPr>
      </w:pPr>
      <w:r>
        <w:rPr>
          <w:rFonts w:ascii="Verdana" w:eastAsia="Verdana" w:hAnsi="Verdana" w:cs="Verdana"/>
          <w:sz w:val="22"/>
          <w:szCs w:val="22"/>
        </w:rPr>
        <w:t>FPIC - Free, Prior, and Informed Consent</w:t>
      </w:r>
    </w:p>
    <w:p w14:paraId="01DE511F" w14:textId="77777777" w:rsidR="007C4685" w:rsidRDefault="00000000">
      <w:pPr>
        <w:numPr>
          <w:ilvl w:val="0"/>
          <w:numId w:val="1"/>
        </w:numPr>
        <w:spacing w:after="0" w:line="276" w:lineRule="auto"/>
        <w:rPr>
          <w:rFonts w:ascii="Verdana" w:eastAsia="Verdana" w:hAnsi="Verdana" w:cs="Verdana"/>
          <w:sz w:val="22"/>
          <w:szCs w:val="22"/>
        </w:rPr>
      </w:pPr>
      <w:r>
        <w:rPr>
          <w:rFonts w:ascii="Verdana" w:eastAsia="Verdana" w:hAnsi="Verdana" w:cs="Verdana"/>
          <w:sz w:val="22"/>
          <w:szCs w:val="22"/>
        </w:rPr>
        <w:t>IP - Indigenous Peoples</w:t>
      </w:r>
    </w:p>
    <w:p w14:paraId="01DE5120" w14:textId="77777777" w:rsidR="007C4685" w:rsidRDefault="00000000">
      <w:pPr>
        <w:numPr>
          <w:ilvl w:val="0"/>
          <w:numId w:val="1"/>
        </w:numPr>
        <w:spacing w:after="0" w:line="276" w:lineRule="auto"/>
        <w:rPr>
          <w:rFonts w:ascii="Verdana" w:eastAsia="Verdana" w:hAnsi="Verdana" w:cs="Verdana"/>
          <w:sz w:val="22"/>
          <w:szCs w:val="22"/>
        </w:rPr>
      </w:pPr>
      <w:r>
        <w:rPr>
          <w:rFonts w:ascii="Verdana" w:eastAsia="Verdana" w:hAnsi="Verdana" w:cs="Verdana"/>
          <w:sz w:val="22"/>
          <w:szCs w:val="22"/>
        </w:rPr>
        <w:t>IW - Indigenous Women</w:t>
      </w:r>
    </w:p>
    <w:p w14:paraId="01DE5121" w14:textId="77777777" w:rsidR="007C4685" w:rsidRDefault="00000000">
      <w:pPr>
        <w:numPr>
          <w:ilvl w:val="0"/>
          <w:numId w:val="1"/>
        </w:numPr>
        <w:spacing w:after="0" w:line="276" w:lineRule="auto"/>
        <w:rPr>
          <w:rFonts w:ascii="Verdana" w:eastAsia="Verdana" w:hAnsi="Verdana" w:cs="Verdana"/>
          <w:sz w:val="22"/>
          <w:szCs w:val="22"/>
        </w:rPr>
      </w:pPr>
      <w:r>
        <w:rPr>
          <w:rFonts w:ascii="Verdana" w:eastAsia="Verdana" w:hAnsi="Verdana" w:cs="Verdana"/>
          <w:sz w:val="22"/>
          <w:szCs w:val="22"/>
        </w:rPr>
        <w:t>IWHRD - Indigenous Women Human Rights Defender</w:t>
      </w:r>
    </w:p>
    <w:p w14:paraId="01DE5122" w14:textId="77777777" w:rsidR="007C4685" w:rsidRDefault="00000000">
      <w:pPr>
        <w:numPr>
          <w:ilvl w:val="0"/>
          <w:numId w:val="1"/>
        </w:numPr>
        <w:spacing w:after="0" w:line="276" w:lineRule="auto"/>
        <w:rPr>
          <w:rFonts w:ascii="Verdana" w:eastAsia="Verdana" w:hAnsi="Verdana" w:cs="Verdana"/>
          <w:sz w:val="22"/>
          <w:szCs w:val="22"/>
        </w:rPr>
      </w:pPr>
      <w:r>
        <w:rPr>
          <w:rFonts w:ascii="Verdana" w:eastAsia="Verdana" w:hAnsi="Verdana" w:cs="Verdana"/>
          <w:sz w:val="22"/>
          <w:szCs w:val="22"/>
        </w:rPr>
        <w:t>NCIP - National Commission on Indigenous Peoples</w:t>
      </w:r>
    </w:p>
    <w:p w14:paraId="01DE5123" w14:textId="77777777" w:rsidR="007C4685" w:rsidRDefault="00000000">
      <w:pPr>
        <w:numPr>
          <w:ilvl w:val="0"/>
          <w:numId w:val="1"/>
        </w:numPr>
        <w:spacing w:after="0" w:line="240" w:lineRule="auto"/>
        <w:rPr>
          <w:rFonts w:ascii="Verdana" w:eastAsia="Verdana" w:hAnsi="Verdana" w:cs="Verdana"/>
          <w:sz w:val="22"/>
          <w:szCs w:val="22"/>
        </w:rPr>
      </w:pPr>
      <w:r>
        <w:rPr>
          <w:rFonts w:ascii="Verdana" w:eastAsia="Verdana" w:hAnsi="Verdana" w:cs="Verdana"/>
          <w:sz w:val="22"/>
          <w:szCs w:val="22"/>
        </w:rPr>
        <w:t xml:space="preserve">NTF- ELCAC - National Task Force on the Elimination of Local Armed Conflict </w:t>
      </w:r>
    </w:p>
    <w:p w14:paraId="01DE5124" w14:textId="77777777" w:rsidR="007C4685" w:rsidRDefault="00000000">
      <w:pPr>
        <w:numPr>
          <w:ilvl w:val="0"/>
          <w:numId w:val="1"/>
        </w:numPr>
        <w:spacing w:after="0" w:line="276" w:lineRule="auto"/>
        <w:rPr>
          <w:rFonts w:ascii="Verdana" w:eastAsia="Verdana" w:hAnsi="Verdana" w:cs="Verdana"/>
          <w:sz w:val="22"/>
          <w:szCs w:val="22"/>
        </w:rPr>
      </w:pPr>
      <w:r>
        <w:rPr>
          <w:rFonts w:ascii="Verdana" w:eastAsia="Verdana" w:hAnsi="Verdana" w:cs="Verdana"/>
          <w:sz w:val="22"/>
          <w:szCs w:val="22"/>
        </w:rPr>
        <w:t>OHCHR - Office of the High Commission on Human Rights</w:t>
      </w:r>
    </w:p>
    <w:p w14:paraId="01DE5125" w14:textId="77777777" w:rsidR="007C4685" w:rsidRDefault="00000000">
      <w:pPr>
        <w:numPr>
          <w:ilvl w:val="0"/>
          <w:numId w:val="1"/>
        </w:numPr>
        <w:spacing w:after="0" w:line="276" w:lineRule="auto"/>
        <w:rPr>
          <w:rFonts w:ascii="Verdana" w:eastAsia="Verdana" w:hAnsi="Verdana" w:cs="Verdana"/>
          <w:sz w:val="22"/>
          <w:szCs w:val="22"/>
        </w:rPr>
      </w:pPr>
      <w:r>
        <w:rPr>
          <w:rFonts w:ascii="Verdana" w:eastAsia="Verdana" w:hAnsi="Verdana" w:cs="Verdana"/>
          <w:sz w:val="22"/>
          <w:szCs w:val="22"/>
        </w:rPr>
        <w:t>OGPI - OceanaGold Philippines Inc.</w:t>
      </w:r>
    </w:p>
    <w:p w14:paraId="01DE5126" w14:textId="77777777" w:rsidR="007C4685" w:rsidRDefault="00000000">
      <w:pPr>
        <w:numPr>
          <w:ilvl w:val="0"/>
          <w:numId w:val="1"/>
        </w:numPr>
        <w:spacing w:after="200" w:line="276" w:lineRule="auto"/>
        <w:rPr>
          <w:rFonts w:ascii="Verdana" w:eastAsia="Verdana" w:hAnsi="Verdana" w:cs="Verdana"/>
          <w:sz w:val="22"/>
          <w:szCs w:val="22"/>
        </w:rPr>
      </w:pPr>
      <w:r>
        <w:rPr>
          <w:rFonts w:ascii="Verdana" w:eastAsia="Verdana" w:hAnsi="Verdana" w:cs="Verdana"/>
          <w:sz w:val="22"/>
          <w:szCs w:val="22"/>
        </w:rPr>
        <w:t>RA - Republic Act</w:t>
      </w:r>
    </w:p>
    <w:p w14:paraId="01DE5127" w14:textId="77777777" w:rsidR="007C4685" w:rsidRDefault="007C4685">
      <w:pPr>
        <w:spacing w:after="200" w:line="276" w:lineRule="auto"/>
        <w:rPr>
          <w:rFonts w:ascii="Verdana" w:eastAsia="Verdana" w:hAnsi="Verdana" w:cs="Verdana"/>
          <w:sz w:val="22"/>
          <w:szCs w:val="22"/>
        </w:rPr>
      </w:pPr>
    </w:p>
    <w:p w14:paraId="01DE5128" w14:textId="77777777" w:rsidR="007C4685" w:rsidRDefault="007C4685">
      <w:pPr>
        <w:spacing w:after="200" w:line="276" w:lineRule="auto"/>
        <w:rPr>
          <w:rFonts w:ascii="Arial" w:eastAsia="Arial" w:hAnsi="Arial" w:cs="Arial"/>
        </w:rPr>
      </w:pPr>
    </w:p>
    <w:p w14:paraId="01DE5129" w14:textId="77777777" w:rsidR="007C4685" w:rsidRDefault="007C4685">
      <w:pPr>
        <w:spacing w:after="200" w:line="276" w:lineRule="auto"/>
        <w:rPr>
          <w:rFonts w:ascii="Arial" w:eastAsia="Arial" w:hAnsi="Arial" w:cs="Arial"/>
        </w:rPr>
      </w:pPr>
    </w:p>
    <w:p w14:paraId="01DE512A" w14:textId="77777777" w:rsidR="007C4685" w:rsidRDefault="007C4685">
      <w:pPr>
        <w:spacing w:after="200" w:line="276" w:lineRule="auto"/>
        <w:rPr>
          <w:rFonts w:ascii="Arial" w:eastAsia="Arial" w:hAnsi="Arial" w:cs="Arial"/>
        </w:rPr>
      </w:pPr>
    </w:p>
    <w:p w14:paraId="01DE512B" w14:textId="77777777" w:rsidR="007C4685" w:rsidRDefault="007C4685">
      <w:pPr>
        <w:spacing w:after="200" w:line="276" w:lineRule="auto"/>
        <w:rPr>
          <w:rFonts w:ascii="Arial" w:eastAsia="Arial" w:hAnsi="Arial" w:cs="Arial"/>
        </w:rPr>
      </w:pPr>
    </w:p>
    <w:p w14:paraId="01DE512C" w14:textId="77777777" w:rsidR="007C4685" w:rsidRDefault="007C4685">
      <w:pPr>
        <w:spacing w:after="200" w:line="276" w:lineRule="auto"/>
        <w:rPr>
          <w:rFonts w:ascii="Arial" w:eastAsia="Arial" w:hAnsi="Arial" w:cs="Arial"/>
        </w:rPr>
      </w:pPr>
    </w:p>
    <w:p w14:paraId="01DE512D" w14:textId="77777777" w:rsidR="007C4685" w:rsidRDefault="007C4685">
      <w:pPr>
        <w:spacing w:after="200" w:line="276" w:lineRule="auto"/>
        <w:rPr>
          <w:rFonts w:ascii="Arial" w:eastAsia="Arial" w:hAnsi="Arial" w:cs="Arial"/>
        </w:rPr>
      </w:pPr>
    </w:p>
    <w:p w14:paraId="01DE512E" w14:textId="77777777" w:rsidR="007C4685" w:rsidRDefault="007C4685">
      <w:pPr>
        <w:spacing w:after="200" w:line="276" w:lineRule="auto"/>
        <w:rPr>
          <w:rFonts w:ascii="Arial" w:eastAsia="Arial" w:hAnsi="Arial" w:cs="Arial"/>
        </w:rPr>
      </w:pPr>
    </w:p>
    <w:p w14:paraId="01DE512F" w14:textId="77777777" w:rsidR="007C4685" w:rsidRDefault="007C4685">
      <w:pPr>
        <w:spacing w:after="0" w:line="240" w:lineRule="auto"/>
        <w:rPr>
          <w:rFonts w:ascii="Arial" w:eastAsia="Arial" w:hAnsi="Arial" w:cs="Arial"/>
        </w:rPr>
      </w:pPr>
    </w:p>
    <w:p w14:paraId="01DE5130" w14:textId="77777777" w:rsidR="007C4685" w:rsidRDefault="007C4685">
      <w:pPr>
        <w:spacing w:after="0" w:line="240" w:lineRule="auto"/>
        <w:rPr>
          <w:rFonts w:ascii="Arial" w:eastAsia="Arial" w:hAnsi="Arial" w:cs="Arial"/>
        </w:rPr>
      </w:pPr>
    </w:p>
    <w:p w14:paraId="01DE5131" w14:textId="77777777" w:rsidR="007C4685" w:rsidRDefault="007C4685">
      <w:pPr>
        <w:spacing w:after="0" w:line="240" w:lineRule="auto"/>
        <w:rPr>
          <w:rFonts w:ascii="Arial" w:eastAsia="Arial" w:hAnsi="Arial" w:cs="Arial"/>
        </w:rPr>
      </w:pPr>
    </w:p>
    <w:p w14:paraId="01DE5132" w14:textId="77777777" w:rsidR="007C4685" w:rsidRDefault="007C4685">
      <w:pPr>
        <w:spacing w:after="0" w:line="240" w:lineRule="auto"/>
        <w:rPr>
          <w:rFonts w:ascii="Arial" w:eastAsia="Arial" w:hAnsi="Arial" w:cs="Arial"/>
        </w:rPr>
      </w:pPr>
    </w:p>
    <w:p w14:paraId="01DE5133" w14:textId="77777777" w:rsidR="007C4685" w:rsidRDefault="00000000">
      <w:pPr>
        <w:spacing w:after="0" w:line="240" w:lineRule="auto"/>
        <w:rPr>
          <w:rFonts w:ascii="Verdana" w:eastAsia="Verdana" w:hAnsi="Verdana" w:cs="Verdana"/>
          <w:b/>
          <w:bCs/>
          <w:color w:val="000000"/>
        </w:rPr>
      </w:pPr>
      <w:r>
        <w:rPr>
          <w:rFonts w:ascii="Verdana" w:eastAsia="Verdana" w:hAnsi="Verdana" w:cs="Verdana"/>
          <w:b/>
          <w:bCs/>
          <w:color w:val="000000"/>
          <w:sz w:val="22"/>
          <w:szCs w:val="22"/>
        </w:rPr>
        <w:t>Context </w:t>
      </w:r>
    </w:p>
    <w:p w14:paraId="01DE5134" w14:textId="77777777" w:rsidR="007C4685" w:rsidRDefault="007C4685">
      <w:pPr>
        <w:spacing w:after="0" w:line="240" w:lineRule="auto"/>
        <w:rPr>
          <w:rFonts w:ascii="Verdana" w:eastAsia="Verdana" w:hAnsi="Verdana" w:cs="Verdana"/>
          <w:color w:val="000000"/>
        </w:rPr>
      </w:pPr>
    </w:p>
    <w:p w14:paraId="01DE5135" w14:textId="77777777" w:rsidR="007C4685" w:rsidRDefault="00000000">
      <w:pPr>
        <w:spacing w:after="0" w:line="240" w:lineRule="auto"/>
        <w:rPr>
          <w:rFonts w:ascii="Verdana" w:eastAsia="Verdana" w:hAnsi="Verdana" w:cs="Verdana"/>
          <w:color w:val="000000"/>
        </w:rPr>
      </w:pPr>
      <w:r>
        <w:rPr>
          <w:rFonts w:ascii="Verdana" w:eastAsia="Verdana" w:hAnsi="Verdana" w:cs="Verdana"/>
          <w:color w:val="000000"/>
          <w:sz w:val="22"/>
          <w:szCs w:val="22"/>
        </w:rPr>
        <w:t>The violence against Indigenous Women Human Rights Defenders (IWHRDs) in the Philippines persists amidst the encroachment of extractive industries, particularly mining and oil palm plantations</w:t>
      </w:r>
      <w:r>
        <w:rPr>
          <w:rFonts w:ascii="Verdana" w:eastAsia="Verdana" w:hAnsi="Verdana" w:cs="Verdana"/>
          <w:sz w:val="22"/>
          <w:szCs w:val="22"/>
        </w:rPr>
        <w:t>,</w:t>
      </w:r>
      <w:r>
        <w:rPr>
          <w:rFonts w:ascii="Verdana" w:eastAsia="Verdana" w:hAnsi="Verdana" w:cs="Verdana"/>
          <w:color w:val="000000"/>
          <w:sz w:val="22"/>
          <w:szCs w:val="22"/>
        </w:rPr>
        <w:t xml:space="preserve"> into the ancestral domains, and weak protection mechanisms by the State. This is a direct result of intensifying resource conflicts between communities and corporations. The patriarchal structure and culture within some indigenous communities are also </w:t>
      </w:r>
      <w:r>
        <w:rPr>
          <w:rFonts w:ascii="Verdana" w:eastAsia="Verdana" w:hAnsi="Verdana" w:cs="Verdana"/>
          <w:sz w:val="22"/>
          <w:szCs w:val="22"/>
        </w:rPr>
        <w:t xml:space="preserve">a </w:t>
      </w:r>
      <w:r>
        <w:rPr>
          <w:rFonts w:ascii="Verdana" w:eastAsia="Verdana" w:hAnsi="Verdana" w:cs="Verdana"/>
          <w:color w:val="000000"/>
          <w:sz w:val="22"/>
          <w:szCs w:val="22"/>
        </w:rPr>
        <w:t xml:space="preserve">source of threats and attacks against IWHRDs as </w:t>
      </w:r>
      <w:r>
        <w:rPr>
          <w:rFonts w:ascii="Verdana" w:eastAsia="Verdana" w:hAnsi="Verdana" w:cs="Verdana"/>
          <w:sz w:val="22"/>
          <w:szCs w:val="22"/>
        </w:rPr>
        <w:t>I</w:t>
      </w:r>
      <w:r>
        <w:rPr>
          <w:rFonts w:ascii="Verdana" w:eastAsia="Verdana" w:hAnsi="Verdana" w:cs="Verdana"/>
          <w:color w:val="000000"/>
          <w:sz w:val="22"/>
          <w:szCs w:val="22"/>
        </w:rPr>
        <w:t xml:space="preserve">ndigenous </w:t>
      </w:r>
      <w:r>
        <w:rPr>
          <w:rFonts w:ascii="Verdana" w:eastAsia="Verdana" w:hAnsi="Verdana" w:cs="Verdana"/>
          <w:sz w:val="22"/>
          <w:szCs w:val="22"/>
        </w:rPr>
        <w:t>W</w:t>
      </w:r>
      <w:r>
        <w:rPr>
          <w:rFonts w:ascii="Verdana" w:eastAsia="Verdana" w:hAnsi="Verdana" w:cs="Verdana"/>
          <w:color w:val="000000"/>
          <w:sz w:val="22"/>
          <w:szCs w:val="22"/>
        </w:rPr>
        <w:t>omen assert their women human rights.  </w:t>
      </w:r>
    </w:p>
    <w:p w14:paraId="01DE5136" w14:textId="77777777" w:rsidR="007C4685" w:rsidRDefault="007C4685">
      <w:pPr>
        <w:spacing w:after="0" w:line="240" w:lineRule="auto"/>
        <w:rPr>
          <w:rFonts w:ascii="Verdana" w:eastAsia="Verdana" w:hAnsi="Verdana" w:cs="Verdana"/>
          <w:color w:val="000000"/>
        </w:rPr>
      </w:pPr>
    </w:p>
    <w:p w14:paraId="01DE5137" w14:textId="77777777" w:rsidR="007C4685" w:rsidRDefault="00000000">
      <w:pPr>
        <w:spacing w:after="0" w:line="240" w:lineRule="auto"/>
        <w:rPr>
          <w:rFonts w:ascii="Verdana" w:eastAsia="Verdana" w:hAnsi="Verdana" w:cs="Verdana"/>
          <w:color w:val="000000"/>
        </w:rPr>
      </w:pPr>
      <w:r>
        <w:rPr>
          <w:rFonts w:ascii="Verdana" w:eastAsia="Verdana" w:hAnsi="Verdana" w:cs="Verdana"/>
          <w:color w:val="000000"/>
          <w:sz w:val="22"/>
          <w:szCs w:val="22"/>
        </w:rPr>
        <w:t xml:space="preserve">In the Concluding Observation number 36, a significant part of the Committee recommendation </w:t>
      </w:r>
      <w:r>
        <w:rPr>
          <w:rFonts w:ascii="Verdana" w:eastAsia="Verdana" w:hAnsi="Verdana" w:cs="Verdana"/>
          <w:sz w:val="22"/>
          <w:szCs w:val="22"/>
        </w:rPr>
        <w:t>36 (a)</w:t>
      </w:r>
      <w:r>
        <w:rPr>
          <w:rFonts w:ascii="Verdana" w:eastAsia="Verdana" w:hAnsi="Verdana" w:cs="Verdana"/>
          <w:color w:val="000000"/>
          <w:sz w:val="22"/>
          <w:szCs w:val="22"/>
        </w:rPr>
        <w:t xml:space="preserve"> is that the State ensure that women human rights defenders, and activists, in particular those advocating for land rights, protection of the environment and the rights of Indigenous </w:t>
      </w:r>
      <w:r>
        <w:rPr>
          <w:rFonts w:ascii="Verdana" w:eastAsia="Verdana" w:hAnsi="Verdana" w:cs="Verdana"/>
          <w:sz w:val="22"/>
          <w:szCs w:val="22"/>
        </w:rPr>
        <w:t>W</w:t>
      </w:r>
      <w:r>
        <w:rPr>
          <w:rFonts w:ascii="Verdana" w:eastAsia="Verdana" w:hAnsi="Verdana" w:cs="Verdana"/>
          <w:color w:val="000000"/>
          <w:sz w:val="22"/>
          <w:szCs w:val="22"/>
        </w:rPr>
        <w:t xml:space="preserve">omen can freely carry out their advocacy for women’s human rights and </w:t>
      </w:r>
      <w:r>
        <w:rPr>
          <w:rFonts w:ascii="Verdana" w:eastAsia="Verdana" w:hAnsi="Verdana" w:cs="Verdana"/>
          <w:sz w:val="22"/>
          <w:szCs w:val="22"/>
        </w:rPr>
        <w:t>exercise</w:t>
      </w:r>
      <w:r>
        <w:rPr>
          <w:rFonts w:ascii="Verdana" w:eastAsia="Verdana" w:hAnsi="Verdana" w:cs="Verdana"/>
          <w:color w:val="000000"/>
          <w:sz w:val="22"/>
          <w:szCs w:val="22"/>
        </w:rPr>
        <w:t xml:space="preserve"> their rights to freedom of expression, peaceful assembly and association free from harassment, surveillance or undue restrictions, including arbitrary arrest and arbitrary prosecution.  </w:t>
      </w:r>
    </w:p>
    <w:p w14:paraId="01DE5138" w14:textId="77777777" w:rsidR="007C4685" w:rsidRDefault="007C4685">
      <w:pPr>
        <w:spacing w:after="0" w:line="240" w:lineRule="auto"/>
        <w:rPr>
          <w:rFonts w:ascii="Verdana" w:eastAsia="Verdana" w:hAnsi="Verdana" w:cs="Verdana"/>
          <w:color w:val="000000"/>
        </w:rPr>
      </w:pPr>
    </w:p>
    <w:p w14:paraId="01DE5139" w14:textId="77777777" w:rsidR="007C4685" w:rsidRDefault="00000000">
      <w:pPr>
        <w:spacing w:after="0" w:line="240" w:lineRule="auto"/>
        <w:rPr>
          <w:rFonts w:ascii="Verdana" w:eastAsia="Verdana" w:hAnsi="Verdana" w:cs="Verdana"/>
          <w:color w:val="000000"/>
        </w:rPr>
      </w:pPr>
      <w:r>
        <w:rPr>
          <w:rFonts w:ascii="Verdana" w:eastAsia="Verdana" w:hAnsi="Verdana" w:cs="Verdana"/>
          <w:color w:val="000000"/>
          <w:sz w:val="22"/>
          <w:szCs w:val="22"/>
        </w:rPr>
        <w:t xml:space="preserve">The Committee further recommends </w:t>
      </w:r>
      <w:r>
        <w:rPr>
          <w:rFonts w:ascii="Verdana" w:eastAsia="Verdana" w:hAnsi="Verdana" w:cs="Verdana"/>
          <w:sz w:val="22"/>
          <w:szCs w:val="22"/>
        </w:rPr>
        <w:t>(</w:t>
      </w:r>
      <w:r>
        <w:rPr>
          <w:rFonts w:ascii="Verdana" w:eastAsia="Verdana" w:hAnsi="Verdana" w:cs="Verdana"/>
          <w:color w:val="000000"/>
          <w:sz w:val="22"/>
          <w:szCs w:val="22"/>
        </w:rPr>
        <w:t>b) that the State investigate and prosecute all acts of harassment, gender-based violence and discrimination and intimidation and reprisals against women human rights defenders, including online, and ensure their constitutional right to due process of law and the equal protection of laws; provide remedies and reparations to victims; and establish a specific registry of such incidents, with disaggregated data and publicly available statistics. </w:t>
      </w:r>
    </w:p>
    <w:p w14:paraId="01DE513A" w14:textId="77777777" w:rsidR="007C4685" w:rsidRDefault="007C4685">
      <w:pPr>
        <w:spacing w:after="0" w:line="240" w:lineRule="auto"/>
        <w:rPr>
          <w:rFonts w:ascii="Verdana" w:eastAsia="Verdana" w:hAnsi="Verdana" w:cs="Verdana"/>
          <w:color w:val="000000"/>
        </w:rPr>
      </w:pPr>
    </w:p>
    <w:p w14:paraId="01DE513B" w14:textId="77777777" w:rsidR="007C4685" w:rsidRDefault="00000000">
      <w:pPr>
        <w:spacing w:after="0" w:line="240" w:lineRule="auto"/>
        <w:rPr>
          <w:rFonts w:ascii="Verdana" w:eastAsia="Verdana" w:hAnsi="Verdana" w:cs="Verdana"/>
          <w:color w:val="000000"/>
        </w:rPr>
      </w:pPr>
      <w:r>
        <w:rPr>
          <w:rFonts w:ascii="Verdana" w:eastAsia="Verdana" w:hAnsi="Verdana" w:cs="Verdana"/>
          <w:color w:val="000000"/>
          <w:sz w:val="22"/>
          <w:szCs w:val="22"/>
        </w:rPr>
        <w:t>These recommendations directly respond to the 2023 LILAK Shadow Report, where we reported attacks against Indigenous Women Human Rights Defenders, particularly those who defended their land, their resources, and asserted their right to food, access to justice</w:t>
      </w:r>
      <w:r>
        <w:rPr>
          <w:rFonts w:ascii="Verdana" w:eastAsia="Verdana" w:hAnsi="Verdana" w:cs="Verdana"/>
          <w:sz w:val="22"/>
          <w:szCs w:val="22"/>
        </w:rPr>
        <w:t>,</w:t>
      </w:r>
      <w:r>
        <w:rPr>
          <w:rFonts w:ascii="Verdana" w:eastAsia="Verdana" w:hAnsi="Verdana" w:cs="Verdana"/>
          <w:color w:val="000000"/>
          <w:sz w:val="22"/>
          <w:szCs w:val="22"/>
        </w:rPr>
        <w:t xml:space="preserve"> and participation in decision-making processes.  </w:t>
      </w:r>
    </w:p>
    <w:p w14:paraId="01DE513C" w14:textId="77777777" w:rsidR="007C4685" w:rsidRDefault="00000000">
      <w:pPr>
        <w:spacing w:after="0" w:line="240" w:lineRule="auto"/>
        <w:rPr>
          <w:rFonts w:ascii="Verdana" w:eastAsia="Verdana" w:hAnsi="Verdana" w:cs="Verdana"/>
          <w:color w:val="000000"/>
        </w:rPr>
      </w:pPr>
      <w:r>
        <w:rPr>
          <w:rFonts w:ascii="Verdana" w:eastAsia="Verdana" w:hAnsi="Verdana" w:cs="Verdana"/>
          <w:sz w:val="22"/>
          <w:szCs w:val="22"/>
        </w:rPr>
        <w:t>LILAK</w:t>
      </w:r>
      <w:r>
        <w:rPr>
          <w:rFonts w:ascii="Verdana" w:eastAsia="Verdana" w:hAnsi="Verdana" w:cs="Verdana"/>
          <w:color w:val="000000"/>
          <w:sz w:val="22"/>
          <w:szCs w:val="22"/>
        </w:rPr>
        <w:t xml:space="preserve"> highlighted the culture of impunity on the part of the State as well as the </w:t>
      </w:r>
      <w:proofErr w:type="gramStart"/>
      <w:r>
        <w:rPr>
          <w:rFonts w:ascii="Verdana" w:eastAsia="Verdana" w:hAnsi="Verdana" w:cs="Verdana"/>
          <w:color w:val="000000"/>
          <w:sz w:val="22"/>
          <w:szCs w:val="22"/>
        </w:rPr>
        <w:t>corporations’</w:t>
      </w:r>
      <w:proofErr w:type="gramEnd"/>
      <w:r>
        <w:rPr>
          <w:rFonts w:ascii="Verdana" w:eastAsia="Verdana" w:hAnsi="Verdana" w:cs="Verdana"/>
          <w:color w:val="000000"/>
          <w:sz w:val="22"/>
          <w:szCs w:val="22"/>
        </w:rPr>
        <w:t xml:space="preserve"> in their human rights violations and abuses against IWHRDs.  To date, there have been no fundamental changes in the policies governing natural resource management and the recognition (or the lack of it) of ancestral domains, which lay the pretext for more resource conflicts, which are linked to attacks against IWHRDs.  There are no improvements in IWHRD’s access to justice, or substantial support in their justice-seeking endeavors.  </w:t>
      </w:r>
    </w:p>
    <w:p w14:paraId="01DE513D" w14:textId="77777777" w:rsidR="007C4685" w:rsidRDefault="007C4685">
      <w:pPr>
        <w:spacing w:after="0" w:line="240" w:lineRule="auto"/>
        <w:rPr>
          <w:rFonts w:ascii="Verdana" w:eastAsia="Verdana" w:hAnsi="Verdana" w:cs="Verdana"/>
        </w:rPr>
      </w:pPr>
    </w:p>
    <w:p w14:paraId="01DE513E" w14:textId="77777777" w:rsidR="007C4685" w:rsidRDefault="00000000">
      <w:pPr>
        <w:spacing w:after="0" w:line="240" w:lineRule="auto"/>
        <w:rPr>
          <w:rFonts w:ascii="Verdana" w:eastAsia="Verdana" w:hAnsi="Verdana" w:cs="Verdana"/>
          <w:sz w:val="22"/>
          <w:szCs w:val="22"/>
        </w:rPr>
      </w:pPr>
      <w:r>
        <w:rPr>
          <w:rFonts w:ascii="Verdana" w:eastAsia="Verdana" w:hAnsi="Verdana" w:cs="Verdana"/>
          <w:b/>
          <w:bCs/>
          <w:sz w:val="22"/>
          <w:szCs w:val="22"/>
        </w:rPr>
        <w:t>IWHRDs at the frontlines of ancestral domain defense</w:t>
      </w:r>
    </w:p>
    <w:p w14:paraId="01DE513F" w14:textId="77777777" w:rsidR="007C4685" w:rsidRDefault="007C4685">
      <w:pPr>
        <w:spacing w:after="0" w:line="240" w:lineRule="auto"/>
        <w:rPr>
          <w:rFonts w:ascii="Verdana" w:eastAsia="Verdana" w:hAnsi="Verdana" w:cs="Verdana"/>
        </w:rPr>
      </w:pPr>
    </w:p>
    <w:p w14:paraId="01DE5140" w14:textId="77777777" w:rsidR="007C4685" w:rsidRDefault="00000000">
      <w:pPr>
        <w:spacing w:after="0" w:line="240" w:lineRule="auto"/>
        <w:rPr>
          <w:rFonts w:ascii="Verdana" w:eastAsia="Verdana" w:hAnsi="Verdana" w:cs="Verdana"/>
        </w:rPr>
      </w:pPr>
      <w:r>
        <w:rPr>
          <w:rFonts w:ascii="Verdana" w:eastAsia="Verdana" w:hAnsi="Verdana" w:cs="Verdana"/>
          <w:color w:val="000000"/>
          <w:sz w:val="22"/>
          <w:szCs w:val="22"/>
        </w:rPr>
        <w:t xml:space="preserve">The Marcos, Jr. administration has been easing up the mining permit processes to entice more mining investors in the Philippines.  The Department of Environment and Natural Resources (DENR) has launched its digitalization of the mining application process.  With all these, there has been an increase in </w:t>
      </w:r>
      <w:r>
        <w:rPr>
          <w:rFonts w:ascii="Verdana" w:eastAsia="Verdana" w:hAnsi="Verdana" w:cs="Verdana"/>
          <w:sz w:val="22"/>
          <w:szCs w:val="22"/>
        </w:rPr>
        <w:t xml:space="preserve">mining </w:t>
      </w:r>
      <w:r>
        <w:rPr>
          <w:rFonts w:ascii="Verdana" w:eastAsia="Verdana" w:hAnsi="Verdana" w:cs="Verdana"/>
          <w:color w:val="000000"/>
          <w:sz w:val="22"/>
          <w:szCs w:val="22"/>
        </w:rPr>
        <w:t>applications</w:t>
      </w:r>
      <w:r>
        <w:rPr>
          <w:rFonts w:ascii="Verdana" w:eastAsia="Verdana" w:hAnsi="Verdana" w:cs="Verdana"/>
          <w:sz w:val="22"/>
          <w:szCs w:val="22"/>
        </w:rPr>
        <w:t xml:space="preserve"> and</w:t>
      </w:r>
      <w:r>
        <w:rPr>
          <w:rFonts w:ascii="Verdana" w:eastAsia="Verdana" w:hAnsi="Verdana" w:cs="Verdana"/>
          <w:color w:val="000000"/>
          <w:sz w:val="22"/>
          <w:szCs w:val="22"/>
        </w:rPr>
        <w:t xml:space="preserve"> </w:t>
      </w:r>
      <w:r>
        <w:rPr>
          <w:rFonts w:ascii="Verdana" w:eastAsia="Verdana" w:hAnsi="Verdana" w:cs="Verdana"/>
          <w:sz w:val="22"/>
          <w:szCs w:val="22"/>
        </w:rPr>
        <w:t>approvals</w:t>
      </w:r>
      <w:r>
        <w:rPr>
          <w:rFonts w:ascii="Verdana" w:eastAsia="Verdana" w:hAnsi="Verdana" w:cs="Verdana"/>
          <w:color w:val="000000"/>
          <w:sz w:val="22"/>
          <w:szCs w:val="22"/>
        </w:rPr>
        <w:t>.  According to reports</w:t>
      </w:r>
      <w:r>
        <w:rPr>
          <w:rFonts w:ascii="Verdana" w:eastAsia="Verdana" w:hAnsi="Verdana" w:cs="Verdana"/>
          <w:color w:val="000000"/>
          <w:sz w:val="22"/>
          <w:szCs w:val="22"/>
          <w:vertAlign w:val="superscript"/>
        </w:rPr>
        <w:footnoteReference w:id="1"/>
      </w:r>
      <w:r>
        <w:rPr>
          <w:rFonts w:ascii="Verdana" w:eastAsia="Verdana" w:hAnsi="Verdana" w:cs="Verdana"/>
          <w:color w:val="000000"/>
          <w:sz w:val="22"/>
          <w:szCs w:val="22"/>
        </w:rPr>
        <w:t>, in the first quarter of 2024, the Philippines has approved 785 mining-related permits. By the end of that first quarter, there were 1,509 applications still being processed.</w:t>
      </w:r>
    </w:p>
    <w:p w14:paraId="01DE5141" w14:textId="77777777" w:rsidR="007C4685" w:rsidRDefault="007C4685">
      <w:pPr>
        <w:spacing w:after="0" w:line="240" w:lineRule="auto"/>
        <w:rPr>
          <w:rFonts w:ascii="Verdana" w:eastAsia="Verdana" w:hAnsi="Verdana" w:cs="Verdana"/>
        </w:rPr>
      </w:pPr>
    </w:p>
    <w:p w14:paraId="01DE5142" w14:textId="77777777" w:rsidR="007C4685" w:rsidRDefault="00000000">
      <w:pPr>
        <w:spacing w:after="0" w:line="240" w:lineRule="auto"/>
        <w:rPr>
          <w:rFonts w:ascii="Verdana" w:eastAsia="Verdana" w:hAnsi="Verdana" w:cs="Verdana"/>
        </w:rPr>
      </w:pPr>
      <w:r>
        <w:rPr>
          <w:rFonts w:ascii="Verdana" w:eastAsia="Verdana" w:hAnsi="Verdana" w:cs="Verdana"/>
          <w:color w:val="000000"/>
          <w:sz w:val="22"/>
          <w:szCs w:val="22"/>
        </w:rPr>
        <w:t>Parallel to this is the effort of the National Commission on Indigenous Peoples (NCIP)’s surreptitious attempt to revise and fast-track the Free, Prior, and Informed Consent (FPIC) process, making the process more favorable to corporations, to the detriment of the spirit of genuine consultation and consent process from the indigenous communities.</w:t>
      </w:r>
    </w:p>
    <w:p w14:paraId="01DE5143" w14:textId="77777777" w:rsidR="007C4685" w:rsidRDefault="007C4685">
      <w:pPr>
        <w:spacing w:after="0" w:line="240" w:lineRule="auto"/>
        <w:rPr>
          <w:rFonts w:ascii="Verdana" w:eastAsia="Verdana" w:hAnsi="Verdana" w:cs="Verdana"/>
        </w:rPr>
      </w:pPr>
    </w:p>
    <w:p w14:paraId="01DE5144" w14:textId="77777777" w:rsidR="007C4685" w:rsidRDefault="00000000">
      <w:pPr>
        <w:spacing w:after="0" w:line="240" w:lineRule="auto"/>
        <w:rPr>
          <w:rFonts w:ascii="Verdana" w:eastAsia="Verdana" w:hAnsi="Verdana" w:cs="Verdana"/>
        </w:rPr>
      </w:pPr>
      <w:r>
        <w:rPr>
          <w:rFonts w:ascii="Verdana" w:eastAsia="Verdana" w:hAnsi="Verdana" w:cs="Verdana"/>
          <w:color w:val="000000"/>
          <w:sz w:val="22"/>
          <w:szCs w:val="22"/>
        </w:rPr>
        <w:t xml:space="preserve">This means an expansion of the mining sector. Most of the critical minerals desired particularly by Northern countries for their own just energy transition needs are found in indigenous territories. This then will result </w:t>
      </w:r>
      <w:r>
        <w:rPr>
          <w:rFonts w:ascii="Verdana" w:eastAsia="Verdana" w:hAnsi="Verdana" w:cs="Verdana"/>
          <w:sz w:val="22"/>
          <w:szCs w:val="22"/>
        </w:rPr>
        <w:t>in</w:t>
      </w:r>
      <w:r>
        <w:rPr>
          <w:rFonts w:ascii="Verdana" w:eastAsia="Verdana" w:hAnsi="Verdana" w:cs="Verdana"/>
          <w:color w:val="000000"/>
          <w:sz w:val="22"/>
          <w:szCs w:val="22"/>
        </w:rPr>
        <w:t xml:space="preserve"> more land grabbing of ancestral domains and violence.  In the</w:t>
      </w:r>
      <w:r>
        <w:rPr>
          <w:rFonts w:ascii="Verdana" w:eastAsia="Verdana" w:hAnsi="Verdana" w:cs="Verdana"/>
          <w:sz w:val="22"/>
          <w:szCs w:val="22"/>
        </w:rPr>
        <w:t xml:space="preserve"> Global Witness report</w:t>
      </w:r>
      <w:r>
        <w:rPr>
          <w:rFonts w:ascii="Verdana" w:eastAsia="Verdana" w:hAnsi="Verdana" w:cs="Verdana"/>
          <w:sz w:val="22"/>
          <w:szCs w:val="22"/>
          <w:vertAlign w:val="superscript"/>
        </w:rPr>
        <w:footnoteReference w:id="2"/>
      </w:r>
      <w:r>
        <w:rPr>
          <w:rFonts w:ascii="Verdana" w:eastAsia="Verdana" w:hAnsi="Verdana" w:cs="Verdana"/>
          <w:sz w:val="22"/>
          <w:szCs w:val="22"/>
        </w:rPr>
        <w:t xml:space="preserve"> </w:t>
      </w:r>
      <w:r>
        <w:rPr>
          <w:rFonts w:ascii="Verdana" w:eastAsia="Verdana" w:hAnsi="Verdana" w:cs="Verdana"/>
          <w:color w:val="000000"/>
          <w:sz w:val="22"/>
          <w:szCs w:val="22"/>
        </w:rPr>
        <w:t xml:space="preserve">released in 2025, the Philippines remains in the top (#3) of the list of countries with the highest </w:t>
      </w:r>
      <w:r>
        <w:rPr>
          <w:rFonts w:ascii="Verdana" w:eastAsia="Verdana" w:hAnsi="Verdana" w:cs="Verdana"/>
          <w:sz w:val="22"/>
          <w:szCs w:val="22"/>
        </w:rPr>
        <w:t>number</w:t>
      </w:r>
      <w:r>
        <w:rPr>
          <w:rFonts w:ascii="Verdana" w:eastAsia="Verdana" w:hAnsi="Verdana" w:cs="Verdana"/>
          <w:color w:val="000000"/>
          <w:sz w:val="22"/>
          <w:szCs w:val="22"/>
        </w:rPr>
        <w:t xml:space="preserve"> of killings of land rights defenders.  These killings were primarily linked to mining and extractives.  </w:t>
      </w:r>
    </w:p>
    <w:p w14:paraId="01DE5145" w14:textId="77777777" w:rsidR="007C4685" w:rsidRDefault="007C4685">
      <w:pPr>
        <w:spacing w:after="0" w:line="240" w:lineRule="auto"/>
        <w:rPr>
          <w:rFonts w:ascii="Verdana" w:eastAsia="Verdana" w:hAnsi="Verdana" w:cs="Verdana"/>
        </w:rPr>
      </w:pPr>
    </w:p>
    <w:p w14:paraId="01DE5146" w14:textId="77777777" w:rsidR="007C4685" w:rsidRDefault="00000000">
      <w:pPr>
        <w:spacing w:after="0" w:line="240" w:lineRule="auto"/>
        <w:rPr>
          <w:rFonts w:ascii="Verdana" w:eastAsia="Verdana" w:hAnsi="Verdana" w:cs="Verdana"/>
        </w:rPr>
      </w:pPr>
      <w:r>
        <w:rPr>
          <w:rFonts w:ascii="Verdana" w:eastAsia="Verdana" w:hAnsi="Verdana" w:cs="Verdana"/>
          <w:color w:val="000000"/>
          <w:sz w:val="22"/>
          <w:szCs w:val="22"/>
        </w:rPr>
        <w:t xml:space="preserve">Among LILAK partners, there is an increasing number of IWHRDs who experience harassment and threats as they occupy the frontlines of barricades, protest actions, and campaigns, such as in </w:t>
      </w:r>
      <w:r>
        <w:rPr>
          <w:rFonts w:ascii="Verdana" w:eastAsia="Verdana" w:hAnsi="Verdana" w:cs="Verdana"/>
          <w:sz w:val="22"/>
          <w:szCs w:val="22"/>
        </w:rPr>
        <w:t>Brooke's</w:t>
      </w:r>
      <w:r>
        <w:rPr>
          <w:rFonts w:ascii="Verdana" w:eastAsia="Verdana" w:hAnsi="Verdana" w:cs="Verdana"/>
          <w:color w:val="000000"/>
          <w:sz w:val="22"/>
          <w:szCs w:val="22"/>
        </w:rPr>
        <w:t xml:space="preserve"> Point in Palawan, Didipio and </w:t>
      </w:r>
      <w:proofErr w:type="spellStart"/>
      <w:r>
        <w:rPr>
          <w:rFonts w:ascii="Verdana" w:eastAsia="Verdana" w:hAnsi="Verdana" w:cs="Verdana"/>
          <w:color w:val="000000"/>
          <w:sz w:val="22"/>
          <w:szCs w:val="22"/>
        </w:rPr>
        <w:t>Dupax</w:t>
      </w:r>
      <w:proofErr w:type="spellEnd"/>
      <w:r>
        <w:rPr>
          <w:rFonts w:ascii="Verdana" w:eastAsia="Verdana" w:hAnsi="Verdana" w:cs="Verdana"/>
          <w:color w:val="000000"/>
          <w:sz w:val="22"/>
          <w:szCs w:val="22"/>
        </w:rPr>
        <w:t xml:space="preserve"> in Nueva Vizcaya, Sibuyan in Romblon, and in South </w:t>
      </w:r>
      <w:proofErr w:type="spellStart"/>
      <w:r>
        <w:rPr>
          <w:rFonts w:ascii="Verdana" w:eastAsia="Verdana" w:hAnsi="Verdana" w:cs="Verdana"/>
          <w:color w:val="000000"/>
          <w:sz w:val="22"/>
          <w:szCs w:val="22"/>
        </w:rPr>
        <w:t>Upi</w:t>
      </w:r>
      <w:proofErr w:type="spellEnd"/>
      <w:r>
        <w:rPr>
          <w:rFonts w:ascii="Verdana" w:eastAsia="Verdana" w:hAnsi="Verdana" w:cs="Verdana"/>
          <w:color w:val="000000"/>
          <w:sz w:val="22"/>
          <w:szCs w:val="22"/>
        </w:rPr>
        <w:t xml:space="preserve"> in Maguindanao. </w:t>
      </w:r>
    </w:p>
    <w:p w14:paraId="01DE5147"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 xml:space="preserve">In Brooke’s Point, Palawan, </w:t>
      </w:r>
      <w:proofErr w:type="spellStart"/>
      <w:r>
        <w:rPr>
          <w:rFonts w:ascii="Verdana" w:eastAsia="Verdana" w:hAnsi="Verdana" w:cs="Verdana"/>
          <w:sz w:val="22"/>
          <w:szCs w:val="22"/>
        </w:rPr>
        <w:t>Palaw’an</w:t>
      </w:r>
      <w:proofErr w:type="spellEnd"/>
      <w:r>
        <w:rPr>
          <w:rFonts w:ascii="Verdana" w:eastAsia="Verdana" w:hAnsi="Verdana" w:cs="Verdana"/>
          <w:sz w:val="22"/>
          <w:szCs w:val="22"/>
        </w:rPr>
        <w:t xml:space="preserve"> indigenous women environmental defenders opposed destructive nickel mining operations linked to deforestation, flooding, and loss of livelihoods. Peaceful </w:t>
      </w:r>
      <w:proofErr w:type="gramStart"/>
      <w:r>
        <w:rPr>
          <w:rFonts w:ascii="Verdana" w:eastAsia="Verdana" w:hAnsi="Verdana" w:cs="Verdana"/>
          <w:sz w:val="22"/>
          <w:szCs w:val="22"/>
        </w:rPr>
        <w:t>protests against</w:t>
      </w:r>
      <w:proofErr w:type="gramEnd"/>
      <w:r>
        <w:rPr>
          <w:rFonts w:ascii="Verdana" w:eastAsia="Verdana" w:hAnsi="Verdana" w:cs="Verdana"/>
          <w:sz w:val="22"/>
          <w:szCs w:val="22"/>
        </w:rPr>
        <w:t xml:space="preserve"> mining operations were violently dispersed, while community members faced intimidation and harassment for asserting their environmental and ancestral rights.</w:t>
      </w:r>
      <w:r>
        <w:rPr>
          <w:rFonts w:ascii="Verdana" w:eastAsia="Verdana" w:hAnsi="Verdana" w:cs="Verdana"/>
          <w:sz w:val="22"/>
          <w:szCs w:val="22"/>
          <w:vertAlign w:val="superscript"/>
        </w:rPr>
        <w:footnoteReference w:id="3"/>
      </w:r>
    </w:p>
    <w:p w14:paraId="01DE5148"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 xml:space="preserve">Similarly, </w:t>
      </w:r>
      <w:proofErr w:type="spellStart"/>
      <w:r>
        <w:rPr>
          <w:rFonts w:ascii="Verdana" w:eastAsia="Verdana" w:hAnsi="Verdana" w:cs="Verdana"/>
          <w:sz w:val="22"/>
          <w:szCs w:val="22"/>
        </w:rPr>
        <w:t>Tuwali</w:t>
      </w:r>
      <w:proofErr w:type="spellEnd"/>
      <w:r>
        <w:rPr>
          <w:rFonts w:ascii="Verdana" w:eastAsia="Verdana" w:hAnsi="Verdana" w:cs="Verdana"/>
          <w:sz w:val="22"/>
          <w:szCs w:val="22"/>
        </w:rPr>
        <w:t xml:space="preserve"> and </w:t>
      </w:r>
      <w:proofErr w:type="spellStart"/>
      <w:r>
        <w:rPr>
          <w:rFonts w:ascii="Verdana" w:eastAsia="Verdana" w:hAnsi="Verdana" w:cs="Verdana"/>
          <w:sz w:val="22"/>
          <w:szCs w:val="22"/>
        </w:rPr>
        <w:t>Bugkalot</w:t>
      </w:r>
      <w:proofErr w:type="spellEnd"/>
      <w:r>
        <w:rPr>
          <w:rFonts w:ascii="Verdana" w:eastAsia="Verdana" w:hAnsi="Verdana" w:cs="Verdana"/>
          <w:sz w:val="22"/>
          <w:szCs w:val="22"/>
        </w:rPr>
        <w:t xml:space="preserve"> women in Didipio, </w:t>
      </w:r>
      <w:proofErr w:type="spellStart"/>
      <w:r>
        <w:rPr>
          <w:rFonts w:ascii="Verdana" w:eastAsia="Verdana" w:hAnsi="Verdana" w:cs="Verdana"/>
          <w:sz w:val="22"/>
          <w:szCs w:val="22"/>
        </w:rPr>
        <w:t>Kasibu</w:t>
      </w:r>
      <w:proofErr w:type="spellEnd"/>
      <w:r>
        <w:rPr>
          <w:rFonts w:ascii="Verdana" w:eastAsia="Verdana" w:hAnsi="Verdana" w:cs="Verdana"/>
          <w:sz w:val="22"/>
          <w:szCs w:val="22"/>
        </w:rPr>
        <w:t>, Nueva Vizcaya, actively resisted large-scale mining operations of Oceana Gold Philippines, Inc. and faced arrests, violent dispersals, and intimidation by authorities in 2020. While the legal charges were dismissed, the IWHRDs were traumatized and still live in fear.  There are now plans of expansion of the mining operations, and the IWHRDs, despite the feeling of insecurity, are still active and are leading the campaign against the mining operations.</w:t>
      </w:r>
      <w:r>
        <w:rPr>
          <w:rFonts w:ascii="Verdana" w:eastAsia="Verdana" w:hAnsi="Verdana" w:cs="Verdana"/>
          <w:sz w:val="22"/>
          <w:szCs w:val="22"/>
          <w:vertAlign w:val="superscript"/>
        </w:rPr>
        <w:footnoteReference w:id="4"/>
      </w:r>
      <w:r>
        <w:rPr>
          <w:rFonts w:ascii="Verdana" w:eastAsia="Verdana" w:hAnsi="Verdana" w:cs="Verdana"/>
          <w:sz w:val="22"/>
          <w:szCs w:val="22"/>
        </w:rPr>
        <w:t>    </w:t>
      </w:r>
    </w:p>
    <w:p w14:paraId="01DE5149"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In the </w:t>
      </w:r>
      <w:proofErr w:type="spellStart"/>
      <w:r>
        <w:rPr>
          <w:rFonts w:ascii="Verdana" w:eastAsia="Verdana" w:hAnsi="Verdana" w:cs="Verdana"/>
          <w:sz w:val="22"/>
          <w:szCs w:val="22"/>
        </w:rPr>
        <w:t>Taboli</w:t>
      </w:r>
      <w:proofErr w:type="spellEnd"/>
      <w:r>
        <w:rPr>
          <w:rFonts w:ascii="Verdana" w:eastAsia="Verdana" w:hAnsi="Verdana" w:cs="Verdana"/>
          <w:sz w:val="22"/>
          <w:szCs w:val="22"/>
        </w:rPr>
        <w:t xml:space="preserve"> community in Lake Sebu, South Cotabato, </w:t>
      </w:r>
      <w:proofErr w:type="spellStart"/>
      <w:r>
        <w:rPr>
          <w:rFonts w:ascii="Verdana" w:eastAsia="Verdana" w:hAnsi="Verdana" w:cs="Verdana"/>
          <w:sz w:val="22"/>
          <w:szCs w:val="22"/>
        </w:rPr>
        <w:t>Taboli</w:t>
      </w:r>
      <w:proofErr w:type="spellEnd"/>
      <w:r>
        <w:rPr>
          <w:rFonts w:ascii="Verdana" w:eastAsia="Verdana" w:hAnsi="Verdana" w:cs="Verdana"/>
          <w:sz w:val="22"/>
          <w:szCs w:val="22"/>
        </w:rPr>
        <w:t xml:space="preserve"> Manobo women continue to face harassment and insecurity linked to the presence of </w:t>
      </w:r>
      <w:proofErr w:type="spellStart"/>
      <w:r>
        <w:rPr>
          <w:rFonts w:ascii="Verdana" w:eastAsia="Verdana" w:hAnsi="Verdana" w:cs="Verdana"/>
          <w:sz w:val="22"/>
          <w:szCs w:val="22"/>
        </w:rPr>
        <w:t>Sumifru</w:t>
      </w:r>
      <w:proofErr w:type="spellEnd"/>
      <w:r>
        <w:rPr>
          <w:rFonts w:ascii="Verdana" w:eastAsia="Verdana" w:hAnsi="Verdana" w:cs="Verdana"/>
          <w:sz w:val="22"/>
          <w:szCs w:val="22"/>
        </w:rPr>
        <w:t xml:space="preserve"> banana plantations and coal mining operations of subsidiaries of San Miguel Corporation, within and around their ancestral domain.</w:t>
      </w:r>
    </w:p>
    <w:p w14:paraId="01DE514A" w14:textId="77777777" w:rsidR="007C4685" w:rsidRDefault="007C4685">
      <w:pPr>
        <w:spacing w:after="0" w:line="240" w:lineRule="auto"/>
        <w:rPr>
          <w:rFonts w:ascii="Verdana" w:eastAsia="Verdana" w:hAnsi="Verdana" w:cs="Verdana"/>
          <w:sz w:val="22"/>
          <w:szCs w:val="22"/>
        </w:rPr>
      </w:pPr>
    </w:p>
    <w:p w14:paraId="01DE514B"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In the </w:t>
      </w:r>
      <w:proofErr w:type="spellStart"/>
      <w:r>
        <w:rPr>
          <w:rFonts w:ascii="Verdana" w:eastAsia="Verdana" w:hAnsi="Verdana" w:cs="Verdana"/>
          <w:sz w:val="22"/>
          <w:szCs w:val="22"/>
        </w:rPr>
        <w:t>Teduray</w:t>
      </w:r>
      <w:proofErr w:type="spellEnd"/>
      <w:r>
        <w:rPr>
          <w:rFonts w:ascii="Verdana" w:eastAsia="Verdana" w:hAnsi="Verdana" w:cs="Verdana"/>
          <w:sz w:val="22"/>
          <w:szCs w:val="22"/>
        </w:rPr>
        <w:t xml:space="preserve"> and </w:t>
      </w:r>
      <w:proofErr w:type="spellStart"/>
      <w:r>
        <w:rPr>
          <w:rFonts w:ascii="Verdana" w:eastAsia="Verdana" w:hAnsi="Verdana" w:cs="Verdana"/>
          <w:sz w:val="22"/>
          <w:szCs w:val="22"/>
        </w:rPr>
        <w:t>Lambangian</w:t>
      </w:r>
      <w:proofErr w:type="spellEnd"/>
      <w:r>
        <w:rPr>
          <w:rFonts w:ascii="Verdana" w:eastAsia="Verdana" w:hAnsi="Verdana" w:cs="Verdana"/>
          <w:sz w:val="22"/>
          <w:szCs w:val="22"/>
        </w:rPr>
        <w:t xml:space="preserve"> communities in BARMM, delays in the recognition and issuance of ancestral domain titles contributed to escalating land conflicts and </w:t>
      </w:r>
      <w:r>
        <w:rPr>
          <w:rFonts w:ascii="Verdana" w:eastAsia="Verdana" w:hAnsi="Verdana" w:cs="Verdana"/>
          <w:sz w:val="22"/>
          <w:szCs w:val="22"/>
        </w:rPr>
        <w:lastRenderedPageBreak/>
        <w:t xml:space="preserve">violence, including the killings of community leaders. Included in our 2023 CEDAW report is the killing of Jocelyn Samar Palao, a </w:t>
      </w:r>
      <w:proofErr w:type="spellStart"/>
      <w:r>
        <w:rPr>
          <w:rFonts w:ascii="Verdana" w:eastAsia="Verdana" w:hAnsi="Verdana" w:cs="Verdana"/>
          <w:sz w:val="22"/>
          <w:szCs w:val="22"/>
        </w:rPr>
        <w:t>Teduray</w:t>
      </w:r>
      <w:proofErr w:type="spellEnd"/>
      <w:r>
        <w:rPr>
          <w:rFonts w:ascii="Verdana" w:eastAsia="Verdana" w:hAnsi="Verdana" w:cs="Verdana"/>
          <w:sz w:val="22"/>
          <w:szCs w:val="22"/>
        </w:rPr>
        <w:t xml:space="preserve"> woman leader, in December 2022.</w:t>
      </w:r>
      <w:r>
        <w:rPr>
          <w:rFonts w:ascii="Verdana" w:eastAsia="Verdana" w:hAnsi="Verdana" w:cs="Verdana"/>
          <w:sz w:val="22"/>
          <w:szCs w:val="22"/>
          <w:vertAlign w:val="superscript"/>
        </w:rPr>
        <w:footnoteReference w:id="5"/>
      </w:r>
    </w:p>
    <w:p w14:paraId="01DE514C" w14:textId="77777777" w:rsidR="007C4685" w:rsidRDefault="007C4685">
      <w:pPr>
        <w:spacing w:after="0" w:line="240" w:lineRule="auto"/>
        <w:rPr>
          <w:rFonts w:ascii="Verdana" w:eastAsia="Verdana" w:hAnsi="Verdana" w:cs="Verdana"/>
          <w:sz w:val="22"/>
          <w:szCs w:val="22"/>
        </w:rPr>
      </w:pPr>
    </w:p>
    <w:p w14:paraId="01DE514D"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Until now, no perpetrator has been </w:t>
      </w:r>
      <w:proofErr w:type="gramStart"/>
      <w:r>
        <w:rPr>
          <w:rFonts w:ascii="Verdana" w:eastAsia="Verdana" w:hAnsi="Verdana" w:cs="Verdana"/>
          <w:sz w:val="22"/>
          <w:szCs w:val="22"/>
        </w:rPr>
        <w:t>identified, and</w:t>
      </w:r>
      <w:proofErr w:type="gramEnd"/>
      <w:r>
        <w:rPr>
          <w:rFonts w:ascii="Verdana" w:eastAsia="Verdana" w:hAnsi="Verdana" w:cs="Verdana"/>
          <w:sz w:val="22"/>
          <w:szCs w:val="22"/>
        </w:rPr>
        <w:t xml:space="preserve"> put to jail.  This is the same fate of the 12 indigenous women who were among the 107 IP killed, as documented by INGED </w:t>
      </w:r>
      <w:proofErr w:type="spellStart"/>
      <w:r>
        <w:rPr>
          <w:rFonts w:ascii="Verdana" w:eastAsia="Verdana" w:hAnsi="Verdana" w:cs="Verdana"/>
          <w:sz w:val="22"/>
          <w:szCs w:val="22"/>
        </w:rPr>
        <w:t>Fintaylan</w:t>
      </w:r>
      <w:proofErr w:type="spellEnd"/>
      <w:r>
        <w:rPr>
          <w:rFonts w:ascii="Verdana" w:eastAsia="Verdana" w:hAnsi="Verdana" w:cs="Verdana"/>
          <w:sz w:val="22"/>
          <w:szCs w:val="22"/>
        </w:rPr>
        <w:t xml:space="preserve">, since 2014. In the first half of 2026 alone, three </w:t>
      </w:r>
      <w:proofErr w:type="spellStart"/>
      <w:r>
        <w:rPr>
          <w:rFonts w:ascii="Verdana" w:eastAsia="Verdana" w:hAnsi="Verdana" w:cs="Verdana"/>
          <w:sz w:val="22"/>
          <w:szCs w:val="22"/>
        </w:rPr>
        <w:t>Teduray</w:t>
      </w:r>
      <w:proofErr w:type="spellEnd"/>
      <w:r>
        <w:rPr>
          <w:rFonts w:ascii="Verdana" w:eastAsia="Verdana" w:hAnsi="Verdana" w:cs="Verdana"/>
          <w:sz w:val="22"/>
          <w:szCs w:val="22"/>
        </w:rPr>
        <w:t xml:space="preserve"> and </w:t>
      </w:r>
      <w:proofErr w:type="spellStart"/>
      <w:r>
        <w:rPr>
          <w:rFonts w:ascii="Verdana" w:eastAsia="Verdana" w:hAnsi="Verdana" w:cs="Verdana"/>
          <w:sz w:val="22"/>
          <w:szCs w:val="22"/>
        </w:rPr>
        <w:t>Lambangian</w:t>
      </w:r>
      <w:proofErr w:type="spellEnd"/>
      <w:r>
        <w:rPr>
          <w:rFonts w:ascii="Verdana" w:eastAsia="Verdana" w:hAnsi="Verdana" w:cs="Verdana"/>
          <w:sz w:val="22"/>
          <w:szCs w:val="22"/>
        </w:rPr>
        <w:t xml:space="preserve"> women were killed.</w:t>
      </w:r>
      <w:r>
        <w:rPr>
          <w:rFonts w:ascii="Verdana" w:eastAsia="Verdana" w:hAnsi="Verdana" w:cs="Verdana"/>
          <w:sz w:val="22"/>
          <w:szCs w:val="22"/>
          <w:vertAlign w:val="superscript"/>
        </w:rPr>
        <w:footnoteReference w:id="6"/>
      </w:r>
      <w:r>
        <w:rPr>
          <w:rFonts w:ascii="Verdana" w:eastAsia="Verdana" w:hAnsi="Verdana" w:cs="Verdana"/>
          <w:sz w:val="22"/>
          <w:szCs w:val="22"/>
        </w:rPr>
        <w:t xml:space="preserve"> </w:t>
      </w:r>
    </w:p>
    <w:p w14:paraId="01DE514E"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IWHRDs face gender-based threats and harassment, specifically intended to silence and intimidate them as women rights defenders. The threats against IWHRDs are often sexualized in nature, including rape threats, harassment, targeting their bodies and sexuality, misogynistic attacks, and threats directed at their children and families.</w:t>
      </w:r>
    </w:p>
    <w:p w14:paraId="01DE514F"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Specifically, these conditions have effectively limited women’s independent access to portions of their ancestral territory, creating a form of displacement and insecurity that directly impacts the work and safety of IWHRDs.</w:t>
      </w:r>
    </w:p>
    <w:p w14:paraId="01DE5150"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These forms of violence are designed not only to suppress women’s assertion over their ancestral domains, but also to reinforce patriarchal control over them, silence them and discourage indigenous women’s political participation and leadership.</w:t>
      </w:r>
    </w:p>
    <w:p w14:paraId="01DE5151"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 xml:space="preserve">Moreover, access to justice remains a major challenge for indigenous women and girls experiencing violence. There is fear of reprisals. Also, there are very practical barriers that IWHRDs face – costs of litigation, transportation, repeated court appearances, and prolonged proceedings.  These place justice beyond the reach of many indigenous women and their communities, despite legal remedies formally existing. These take financial, physical as well as emotional toll on the IWHRDs. </w:t>
      </w:r>
    </w:p>
    <w:p w14:paraId="01DE5152"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In the 2026 Philippine Interim Report, it is reported that the Fourth Philippine Human Rights Plan recognizes the State’s responsibility to strengthen accountability mechanisms for grave human rights violations, including extrajudicial killings, enforced disappearances, torture, and other abuses. </w:t>
      </w:r>
    </w:p>
    <w:p w14:paraId="01DE5153" w14:textId="77777777" w:rsidR="007C4685" w:rsidRDefault="007C4685">
      <w:pPr>
        <w:spacing w:after="0" w:line="240" w:lineRule="auto"/>
        <w:rPr>
          <w:rFonts w:ascii="Verdana" w:eastAsia="Verdana" w:hAnsi="Verdana" w:cs="Verdana"/>
          <w:sz w:val="22"/>
          <w:szCs w:val="22"/>
        </w:rPr>
      </w:pPr>
    </w:p>
    <w:p w14:paraId="01DE5154"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But despite these policy commitments, there remains limited documentation and visibility of attacks specifically targeting indigenous women human rights defenders. The lack of gender-specific and disaggregated data contributes to the invisibility of the experiences of indigenous women within official reporting and accountability systems. If the cases of human rights violations against IWHRDs are invisible, then justice will remain elusive for them. </w:t>
      </w:r>
    </w:p>
    <w:p w14:paraId="01DE5155" w14:textId="77777777" w:rsidR="007C4685" w:rsidRDefault="00000000">
      <w:pPr>
        <w:spacing w:after="0" w:line="240" w:lineRule="auto"/>
        <w:rPr>
          <w:rFonts w:ascii="Verdana" w:eastAsia="Verdana" w:hAnsi="Verdana" w:cs="Verdana"/>
          <w:b/>
          <w:bCs/>
          <w:sz w:val="22"/>
          <w:szCs w:val="22"/>
        </w:rPr>
      </w:pPr>
      <w:r>
        <w:rPr>
          <w:rFonts w:ascii="Verdana" w:eastAsia="Verdana" w:hAnsi="Verdana" w:cs="Verdana"/>
          <w:b/>
          <w:bCs/>
          <w:sz w:val="22"/>
          <w:szCs w:val="22"/>
        </w:rPr>
        <w:t>State agencies as perpetrator of attacks against IWHRDs</w:t>
      </w:r>
    </w:p>
    <w:p w14:paraId="01DE5156" w14:textId="77777777" w:rsidR="007C4685" w:rsidRDefault="007C4685">
      <w:pPr>
        <w:spacing w:after="0" w:line="240" w:lineRule="auto"/>
        <w:rPr>
          <w:rFonts w:ascii="Verdana" w:eastAsia="Verdana" w:hAnsi="Verdana" w:cs="Verdana"/>
          <w:sz w:val="22"/>
          <w:szCs w:val="22"/>
        </w:rPr>
      </w:pPr>
    </w:p>
    <w:p w14:paraId="01DE5157"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lastRenderedPageBreak/>
        <w:t xml:space="preserve">The Indigenous Women’s stories of assertion of their rights and resistance against the encroachment of their land and territories are translated and propagated by the State as acts of insurgency, and leaders portrayed as state enemies.  </w:t>
      </w:r>
    </w:p>
    <w:p w14:paraId="01DE5158" w14:textId="77777777" w:rsidR="007C4685" w:rsidRDefault="007C4685">
      <w:pPr>
        <w:spacing w:after="0" w:line="240" w:lineRule="auto"/>
        <w:rPr>
          <w:rFonts w:ascii="Verdana" w:eastAsia="Verdana" w:hAnsi="Verdana" w:cs="Verdana"/>
          <w:sz w:val="22"/>
          <w:szCs w:val="22"/>
        </w:rPr>
      </w:pPr>
    </w:p>
    <w:p w14:paraId="01DE5159"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The National Task Force on the Elimination of Local Armed Conflict (NTF ELCAC), with the National Commission on the Indigenous Peoples (NCIP), lead the State propaganda that Indigenous Peoples are part of the communist rebel groups wanting to disrupt economic development and to topple the government, concealing the ugly truth of environmental destruction brought about by these projects, human rights violations experienced by the community people and the legitimacy of their struggles.   </w:t>
      </w:r>
    </w:p>
    <w:p w14:paraId="01DE515A" w14:textId="77777777" w:rsidR="007C4685" w:rsidRDefault="007C4685">
      <w:pPr>
        <w:spacing w:after="0" w:line="240" w:lineRule="auto"/>
        <w:rPr>
          <w:rFonts w:ascii="Verdana" w:eastAsia="Verdana" w:hAnsi="Verdana" w:cs="Verdana"/>
          <w:sz w:val="22"/>
          <w:szCs w:val="22"/>
        </w:rPr>
      </w:pPr>
    </w:p>
    <w:p w14:paraId="01DE515B"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The NTF ELCAC and NCIP officials lead the </w:t>
      </w:r>
      <w:proofErr w:type="gramStart"/>
      <w:r>
        <w:rPr>
          <w:rFonts w:ascii="Verdana" w:eastAsia="Verdana" w:hAnsi="Verdana" w:cs="Verdana"/>
          <w:sz w:val="22"/>
          <w:szCs w:val="22"/>
        </w:rPr>
        <w:t>red-tagging</w:t>
      </w:r>
      <w:proofErr w:type="gramEnd"/>
      <w:r>
        <w:rPr>
          <w:rFonts w:ascii="Verdana" w:eastAsia="Verdana" w:hAnsi="Verdana" w:cs="Verdana"/>
          <w:sz w:val="22"/>
          <w:szCs w:val="22"/>
        </w:rPr>
        <w:t xml:space="preserve"> of Indigenous women leaders, and IW and land rights advocates.  The ensuing attacks against these “rebels” are implemented by the military and paramilitary groups. </w:t>
      </w:r>
    </w:p>
    <w:p w14:paraId="01DE515C" w14:textId="77777777" w:rsidR="007C4685" w:rsidRDefault="007C4685">
      <w:pPr>
        <w:spacing w:after="0" w:line="240" w:lineRule="auto"/>
        <w:rPr>
          <w:rFonts w:ascii="Verdana" w:eastAsia="Verdana" w:hAnsi="Verdana" w:cs="Verdana"/>
          <w:sz w:val="22"/>
          <w:szCs w:val="22"/>
        </w:rPr>
      </w:pPr>
    </w:p>
    <w:p w14:paraId="01DE515D"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In 2025, LILAK was once again the subject of red tagging. Some IW, who participated in the National Indigenous Women Gathering which LILAK convened in Manila, were contacted by the NCIP regional official to ask why they were in </w:t>
      </w:r>
      <w:proofErr w:type="gramStart"/>
      <w:r>
        <w:rPr>
          <w:rFonts w:ascii="Verdana" w:eastAsia="Verdana" w:hAnsi="Verdana" w:cs="Verdana"/>
          <w:sz w:val="22"/>
          <w:szCs w:val="22"/>
        </w:rPr>
        <w:t>Manila, and</w:t>
      </w:r>
      <w:proofErr w:type="gramEnd"/>
      <w:r>
        <w:rPr>
          <w:rFonts w:ascii="Verdana" w:eastAsia="Verdana" w:hAnsi="Verdana" w:cs="Verdana"/>
          <w:sz w:val="22"/>
          <w:szCs w:val="22"/>
        </w:rPr>
        <w:t xml:space="preserve"> warned them that LILAK is a recruiter for the rebels.  When the IW got home in Mindanao, they were visited by the military at their homes and asked them about their activities in </w:t>
      </w:r>
      <w:proofErr w:type="gramStart"/>
      <w:r>
        <w:rPr>
          <w:rFonts w:ascii="Verdana" w:eastAsia="Verdana" w:hAnsi="Verdana" w:cs="Verdana"/>
          <w:sz w:val="22"/>
          <w:szCs w:val="22"/>
        </w:rPr>
        <w:t>Manila, and</w:t>
      </w:r>
      <w:proofErr w:type="gramEnd"/>
      <w:r>
        <w:rPr>
          <w:rFonts w:ascii="Verdana" w:eastAsia="Verdana" w:hAnsi="Verdana" w:cs="Verdana"/>
          <w:sz w:val="22"/>
          <w:szCs w:val="22"/>
        </w:rPr>
        <w:t xml:space="preserve"> repeated the lies about LILAK. In the same year when we co-organized with the local women’s groups the community celebration of Women’s Day, there were online posts that rebel-led women’s groups were influencing the IW by organizing the celebration.  Online comments hinting at or directly accusing LILAK as a rebel organization are pervasive in our social media posts mostly on human rights and Indigenous Women’s rights. </w:t>
      </w:r>
    </w:p>
    <w:p w14:paraId="01DE515E"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 </w:t>
      </w:r>
    </w:p>
    <w:p w14:paraId="01DE515F" w14:textId="77777777" w:rsidR="007C4685" w:rsidRDefault="00000000">
      <w:pPr>
        <w:spacing w:after="0" w:line="240" w:lineRule="auto"/>
        <w:rPr>
          <w:rFonts w:ascii="Verdana" w:eastAsia="Verdana" w:hAnsi="Verdana" w:cs="Verdana"/>
          <w:sz w:val="22"/>
          <w:szCs w:val="22"/>
        </w:rPr>
      </w:pPr>
      <w:r>
        <w:rPr>
          <w:rFonts w:ascii="Verdana" w:eastAsia="Verdana" w:hAnsi="Verdana" w:cs="Verdana"/>
          <w:sz w:val="22"/>
          <w:szCs w:val="22"/>
        </w:rPr>
        <w:t xml:space="preserve">The State as instigator of attacks against IWHRDs, and therefore the subsequent failure to prevent </w:t>
      </w:r>
      <w:proofErr w:type="gramStart"/>
      <w:r>
        <w:rPr>
          <w:rFonts w:ascii="Verdana" w:eastAsia="Verdana" w:hAnsi="Verdana" w:cs="Verdana"/>
          <w:sz w:val="22"/>
          <w:szCs w:val="22"/>
        </w:rPr>
        <w:t>red-tagging</w:t>
      </w:r>
      <w:proofErr w:type="gramEnd"/>
      <w:r>
        <w:rPr>
          <w:rFonts w:ascii="Verdana" w:eastAsia="Verdana" w:hAnsi="Verdana" w:cs="Verdana"/>
          <w:sz w:val="22"/>
          <w:szCs w:val="22"/>
        </w:rPr>
        <w:t xml:space="preserve">, investigate attacks, hold perpetrators accountable, and provide meaningful protection, perpetuates a cycle of fear, impunity, and exclusion among IWHRDs and rights advocates. </w:t>
      </w:r>
    </w:p>
    <w:p w14:paraId="01DE5160"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 xml:space="preserve">The experiences of IWHRDs and IW and land rights advocates such as LILAK highlight the urgent need for the State to move beyond formal commitments and immediately adopt concrete, gender-responsive, and culturally appropriate protection mechanisms for IWHRDs and WHRDs. </w:t>
      </w:r>
    </w:p>
    <w:p w14:paraId="01DE5161"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 xml:space="preserve">An integral component of the protection of IWHRDs must include recognition of ancestral domain rights, criminalizing red-tagging, meaningful participation of indigenous women in decision-making processes, and ensuring proper implementation of free, prior, and informed consent process, particularly on extractive and corporate-led projects within indigenous territories. </w:t>
      </w:r>
    </w:p>
    <w:p w14:paraId="01DE5162" w14:textId="77777777" w:rsidR="007C4685" w:rsidRDefault="007C4685">
      <w:pPr>
        <w:spacing w:before="240" w:after="240" w:line="240" w:lineRule="auto"/>
        <w:rPr>
          <w:rFonts w:ascii="Verdana" w:eastAsia="Verdana" w:hAnsi="Verdana" w:cs="Verdana"/>
          <w:b/>
          <w:bCs/>
          <w:sz w:val="22"/>
          <w:szCs w:val="22"/>
        </w:rPr>
      </w:pPr>
    </w:p>
    <w:p w14:paraId="01DE5163" w14:textId="77777777" w:rsidR="007C4685" w:rsidRDefault="00000000">
      <w:pPr>
        <w:spacing w:before="240" w:after="240" w:line="240" w:lineRule="auto"/>
        <w:rPr>
          <w:rFonts w:ascii="Verdana" w:eastAsia="Verdana" w:hAnsi="Verdana" w:cs="Verdana"/>
          <w:b/>
          <w:bCs/>
          <w:sz w:val="22"/>
          <w:szCs w:val="22"/>
        </w:rPr>
      </w:pPr>
      <w:r>
        <w:rPr>
          <w:rFonts w:ascii="Verdana" w:eastAsia="Verdana" w:hAnsi="Verdana" w:cs="Verdana"/>
          <w:b/>
          <w:bCs/>
          <w:sz w:val="22"/>
          <w:szCs w:val="22"/>
        </w:rPr>
        <w:t>Conclusion</w:t>
      </w:r>
    </w:p>
    <w:p w14:paraId="01DE5164"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lastRenderedPageBreak/>
        <w:t>One of the main drivers of the different forms of violence against Indigenous Women Human Rights Defenders is resource conflict.  It is their defense of their ancestral domains against the encroachment of multinational corporations that earn the ire of both the corporations and the State, and it is the women’s leadership in public spaces that invite criticisms and threats from the traditional male-led leadership in the community. </w:t>
      </w:r>
    </w:p>
    <w:p w14:paraId="01DE5165" w14:textId="77777777" w:rsidR="007C4685" w:rsidRDefault="00000000">
      <w:pPr>
        <w:rPr>
          <w:rFonts w:ascii="Verdana" w:eastAsia="Verdana" w:hAnsi="Verdana" w:cs="Verdana"/>
          <w:sz w:val="22"/>
          <w:szCs w:val="22"/>
        </w:rPr>
      </w:pPr>
      <w:r>
        <w:rPr>
          <w:rFonts w:ascii="Verdana" w:eastAsia="Verdana" w:hAnsi="Verdana" w:cs="Verdana"/>
          <w:sz w:val="22"/>
          <w:szCs w:val="22"/>
        </w:rPr>
        <w:t>Despite repeated calls from indigenous organizations, women’s groups, and international human rights mechanisms, there has been no significant progress toward accountability and justice for many indigenous women victim-survivors and defenders. We then reiterate our demands:</w:t>
      </w:r>
    </w:p>
    <w:p w14:paraId="01DE5166" w14:textId="77777777" w:rsidR="007C4685" w:rsidRDefault="00000000">
      <w:pPr>
        <w:numPr>
          <w:ilvl w:val="0"/>
          <w:numId w:val="2"/>
        </w:numPr>
        <w:pBdr>
          <w:top w:val="nil"/>
          <w:left w:val="nil"/>
          <w:bottom w:val="nil"/>
          <w:right w:val="nil"/>
          <w:between w:val="nil"/>
        </w:pBdr>
        <w:spacing w:before="240" w:after="0" w:line="240" w:lineRule="auto"/>
        <w:rPr>
          <w:rFonts w:ascii="Verdana" w:eastAsia="Verdana" w:hAnsi="Verdana" w:cs="Verdana"/>
          <w:sz w:val="22"/>
          <w:szCs w:val="22"/>
        </w:rPr>
      </w:pPr>
      <w:r>
        <w:rPr>
          <w:rFonts w:ascii="Verdana" w:eastAsia="Verdana" w:hAnsi="Verdana" w:cs="Verdana"/>
          <w:sz w:val="22"/>
          <w:szCs w:val="22"/>
        </w:rPr>
        <w:t xml:space="preserve">The State </w:t>
      </w:r>
      <w:proofErr w:type="gramStart"/>
      <w:r>
        <w:rPr>
          <w:rFonts w:ascii="Verdana" w:eastAsia="Verdana" w:hAnsi="Verdana" w:cs="Verdana"/>
          <w:sz w:val="22"/>
          <w:szCs w:val="22"/>
        </w:rPr>
        <w:t>has to</w:t>
      </w:r>
      <w:proofErr w:type="gramEnd"/>
      <w:r>
        <w:rPr>
          <w:rFonts w:ascii="Verdana" w:eastAsia="Verdana" w:hAnsi="Verdana" w:cs="Verdana"/>
          <w:sz w:val="22"/>
          <w:szCs w:val="22"/>
        </w:rPr>
        <w:t xml:space="preserve"> be made accountable, as well as </w:t>
      </w:r>
      <w:proofErr w:type="gramStart"/>
      <w:r>
        <w:rPr>
          <w:rFonts w:ascii="Verdana" w:eastAsia="Verdana" w:hAnsi="Verdana" w:cs="Verdana"/>
          <w:sz w:val="22"/>
          <w:szCs w:val="22"/>
        </w:rPr>
        <w:t>Non-State</w:t>
      </w:r>
      <w:proofErr w:type="gramEnd"/>
      <w:r>
        <w:rPr>
          <w:rFonts w:ascii="Verdana" w:eastAsia="Verdana" w:hAnsi="Verdana" w:cs="Verdana"/>
          <w:sz w:val="22"/>
          <w:szCs w:val="22"/>
        </w:rPr>
        <w:t xml:space="preserve"> actors involved in attacks against IWHRDs and land rights advocates. Reports of attacks and killings of IP leaders, including Indigenous Women, </w:t>
      </w:r>
      <w:proofErr w:type="gramStart"/>
      <w:r>
        <w:rPr>
          <w:rFonts w:ascii="Verdana" w:eastAsia="Verdana" w:hAnsi="Verdana" w:cs="Verdana"/>
          <w:sz w:val="22"/>
          <w:szCs w:val="22"/>
        </w:rPr>
        <w:t>have to</w:t>
      </w:r>
      <w:proofErr w:type="gramEnd"/>
      <w:r>
        <w:rPr>
          <w:rFonts w:ascii="Verdana" w:eastAsia="Verdana" w:hAnsi="Verdana" w:cs="Verdana"/>
          <w:sz w:val="22"/>
          <w:szCs w:val="22"/>
        </w:rPr>
        <w:t xml:space="preserve"> be acted upon, investigated and cases filed against perpetrators. </w:t>
      </w:r>
    </w:p>
    <w:p w14:paraId="01DE5167" w14:textId="77777777" w:rsidR="007C4685" w:rsidRDefault="007C4685">
      <w:pPr>
        <w:pBdr>
          <w:top w:val="nil"/>
          <w:left w:val="nil"/>
          <w:bottom w:val="nil"/>
          <w:right w:val="nil"/>
          <w:between w:val="nil"/>
        </w:pBdr>
        <w:spacing w:after="0" w:line="240" w:lineRule="auto"/>
        <w:ind w:left="720"/>
        <w:rPr>
          <w:rFonts w:ascii="Verdana" w:eastAsia="Verdana" w:hAnsi="Verdana" w:cs="Verdana"/>
          <w:sz w:val="22"/>
          <w:szCs w:val="22"/>
        </w:rPr>
      </w:pPr>
    </w:p>
    <w:p w14:paraId="01DE5168" w14:textId="77777777" w:rsidR="007C4685" w:rsidRDefault="00000000">
      <w:pPr>
        <w:numPr>
          <w:ilvl w:val="0"/>
          <w:numId w:val="2"/>
        </w:numPr>
        <w:pBdr>
          <w:top w:val="nil"/>
          <w:left w:val="nil"/>
          <w:bottom w:val="nil"/>
          <w:right w:val="nil"/>
          <w:between w:val="nil"/>
        </w:pBdr>
        <w:spacing w:after="0" w:line="240" w:lineRule="auto"/>
        <w:rPr>
          <w:rFonts w:ascii="Verdana" w:eastAsia="Verdana" w:hAnsi="Verdana" w:cs="Verdana"/>
          <w:sz w:val="22"/>
          <w:szCs w:val="22"/>
        </w:rPr>
      </w:pPr>
      <w:r>
        <w:rPr>
          <w:rFonts w:ascii="Verdana" w:eastAsia="Verdana" w:hAnsi="Verdana" w:cs="Verdana"/>
          <w:sz w:val="22"/>
          <w:szCs w:val="22"/>
        </w:rPr>
        <w:t xml:space="preserve">The bill that criminalizes </w:t>
      </w:r>
      <w:proofErr w:type="gramStart"/>
      <w:r>
        <w:rPr>
          <w:rFonts w:ascii="Verdana" w:eastAsia="Verdana" w:hAnsi="Verdana" w:cs="Verdana"/>
          <w:sz w:val="22"/>
          <w:szCs w:val="22"/>
        </w:rPr>
        <w:t>red-tagging</w:t>
      </w:r>
      <w:proofErr w:type="gramEnd"/>
      <w:r>
        <w:rPr>
          <w:rFonts w:ascii="Verdana" w:eastAsia="Verdana" w:hAnsi="Verdana" w:cs="Verdana"/>
          <w:sz w:val="22"/>
          <w:szCs w:val="22"/>
        </w:rPr>
        <w:t xml:space="preserve"> </w:t>
      </w:r>
      <w:proofErr w:type="gramStart"/>
      <w:r>
        <w:rPr>
          <w:rFonts w:ascii="Verdana" w:eastAsia="Verdana" w:hAnsi="Verdana" w:cs="Verdana"/>
          <w:sz w:val="22"/>
          <w:szCs w:val="22"/>
        </w:rPr>
        <w:t>has to</w:t>
      </w:r>
      <w:proofErr w:type="gramEnd"/>
      <w:r>
        <w:rPr>
          <w:rFonts w:ascii="Verdana" w:eastAsia="Verdana" w:hAnsi="Verdana" w:cs="Verdana"/>
          <w:sz w:val="22"/>
          <w:szCs w:val="22"/>
        </w:rPr>
        <w:t xml:space="preserve"> be passed immediately. The NTF ELCAC and NCIP must be stopped from red-tagging and source of propaganda against IW and their communities. </w:t>
      </w:r>
    </w:p>
    <w:p w14:paraId="01DE5169" w14:textId="77777777" w:rsidR="007C4685" w:rsidRDefault="007C4685">
      <w:pPr>
        <w:pBdr>
          <w:top w:val="nil"/>
          <w:left w:val="nil"/>
          <w:bottom w:val="nil"/>
          <w:right w:val="nil"/>
          <w:between w:val="nil"/>
        </w:pBdr>
        <w:spacing w:after="0"/>
        <w:ind w:left="720"/>
        <w:rPr>
          <w:rFonts w:ascii="Verdana" w:eastAsia="Verdana" w:hAnsi="Verdana" w:cs="Verdana"/>
          <w:sz w:val="22"/>
          <w:szCs w:val="22"/>
        </w:rPr>
      </w:pPr>
    </w:p>
    <w:p w14:paraId="01DE516A" w14:textId="77777777" w:rsidR="007C4685" w:rsidRDefault="00000000">
      <w:pPr>
        <w:numPr>
          <w:ilvl w:val="0"/>
          <w:numId w:val="2"/>
        </w:numPr>
        <w:pBdr>
          <w:top w:val="nil"/>
          <w:left w:val="nil"/>
          <w:bottom w:val="nil"/>
          <w:right w:val="nil"/>
          <w:between w:val="nil"/>
        </w:pBdr>
        <w:spacing w:after="0" w:line="240" w:lineRule="auto"/>
        <w:rPr>
          <w:rFonts w:ascii="Verdana" w:eastAsia="Verdana" w:hAnsi="Verdana" w:cs="Verdana"/>
          <w:sz w:val="22"/>
          <w:szCs w:val="22"/>
        </w:rPr>
      </w:pPr>
      <w:r>
        <w:rPr>
          <w:rFonts w:ascii="Verdana" w:eastAsia="Verdana" w:hAnsi="Verdana" w:cs="Verdana"/>
          <w:sz w:val="22"/>
          <w:szCs w:val="22"/>
        </w:rPr>
        <w:t>Indigenous Women must be recognized by the State as legitimate human rights defenders and not as security threats.</w:t>
      </w:r>
    </w:p>
    <w:p w14:paraId="01DE516B" w14:textId="77777777" w:rsidR="007C4685" w:rsidRDefault="007C4685">
      <w:pPr>
        <w:pBdr>
          <w:top w:val="nil"/>
          <w:left w:val="nil"/>
          <w:bottom w:val="nil"/>
          <w:right w:val="nil"/>
          <w:between w:val="nil"/>
        </w:pBdr>
        <w:spacing w:after="0"/>
        <w:ind w:left="720"/>
        <w:rPr>
          <w:rFonts w:ascii="Verdana" w:eastAsia="Verdana" w:hAnsi="Verdana" w:cs="Verdana"/>
          <w:sz w:val="22"/>
          <w:szCs w:val="22"/>
        </w:rPr>
      </w:pPr>
    </w:p>
    <w:p w14:paraId="01DE516C" w14:textId="77777777" w:rsidR="007C4685" w:rsidRDefault="00000000">
      <w:pPr>
        <w:numPr>
          <w:ilvl w:val="0"/>
          <w:numId w:val="2"/>
        </w:numPr>
        <w:pBdr>
          <w:top w:val="nil"/>
          <w:left w:val="nil"/>
          <w:bottom w:val="nil"/>
          <w:right w:val="nil"/>
          <w:between w:val="nil"/>
        </w:pBdr>
        <w:spacing w:after="0" w:line="240" w:lineRule="auto"/>
        <w:rPr>
          <w:rFonts w:ascii="Verdana" w:eastAsia="Verdana" w:hAnsi="Verdana" w:cs="Verdana"/>
          <w:sz w:val="22"/>
          <w:szCs w:val="22"/>
        </w:rPr>
      </w:pPr>
      <w:r>
        <w:rPr>
          <w:rFonts w:ascii="Verdana" w:eastAsia="Verdana" w:hAnsi="Verdana" w:cs="Verdana"/>
          <w:sz w:val="22"/>
          <w:szCs w:val="22"/>
        </w:rPr>
        <w:t xml:space="preserve">There </w:t>
      </w:r>
      <w:proofErr w:type="gramStart"/>
      <w:r>
        <w:rPr>
          <w:rFonts w:ascii="Verdana" w:eastAsia="Verdana" w:hAnsi="Verdana" w:cs="Verdana"/>
          <w:sz w:val="22"/>
          <w:szCs w:val="22"/>
        </w:rPr>
        <w:t>has to</w:t>
      </w:r>
      <w:proofErr w:type="gramEnd"/>
      <w:r>
        <w:rPr>
          <w:rFonts w:ascii="Verdana" w:eastAsia="Verdana" w:hAnsi="Verdana" w:cs="Verdana"/>
          <w:sz w:val="22"/>
          <w:szCs w:val="22"/>
        </w:rPr>
        <w:t xml:space="preserve"> be provision for accessible legal, financial and psychosocial support from the State not just for the victim-survivors of attacks, but also to those who support the IWHRDs.  </w:t>
      </w:r>
    </w:p>
    <w:p w14:paraId="01DE516D" w14:textId="77777777" w:rsidR="007C4685" w:rsidRDefault="00000000">
      <w:pPr>
        <w:spacing w:before="240" w:after="240" w:line="240" w:lineRule="auto"/>
        <w:rPr>
          <w:rFonts w:ascii="Verdana" w:eastAsia="Verdana" w:hAnsi="Verdana" w:cs="Verdana"/>
          <w:sz w:val="22"/>
          <w:szCs w:val="22"/>
        </w:rPr>
      </w:pPr>
      <w:r>
        <w:rPr>
          <w:rFonts w:ascii="Verdana" w:eastAsia="Verdana" w:hAnsi="Verdana" w:cs="Verdana"/>
          <w:sz w:val="22"/>
          <w:szCs w:val="22"/>
        </w:rPr>
        <w:t>It is imperative for the Committee to ensure that the concluding observations on this matter along with the recommendations be acted upon seriously by the Philippine government. With the Philippine government continuing the path of extractive, corporate-led development, it is necessary that the Committee closely monitors the substantive compliance by the State in fulfilling its obligations of respecting, protecting and defending the rights of Indigenous Women Human Rights Defenders to their land, their rights, and their life. </w:t>
      </w:r>
    </w:p>
    <w:sectPr w:rsidR="007C4685">
      <w:footerReference w:type="default" r:id="rId1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62945" w14:textId="77777777" w:rsidR="007E59E8" w:rsidRDefault="007E59E8">
      <w:pPr>
        <w:spacing w:after="0" w:line="240" w:lineRule="auto"/>
      </w:pPr>
      <w:r>
        <w:separator/>
      </w:r>
    </w:p>
  </w:endnote>
  <w:endnote w:type="continuationSeparator" w:id="0">
    <w:p w14:paraId="572A37EE" w14:textId="77777777" w:rsidR="007E59E8" w:rsidRDefault="007E5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6221E20-78C9-4838-8A14-0AA4F41621CD}"/>
    <w:embedBold r:id="rId2" w:fontKey="{D3D2099F-342B-4892-9E94-DEFC6626AD88}"/>
    <w:embedItalic r:id="rId3" w:fontKey="{2725E375-5F55-4922-80EC-C84AFD76591B}"/>
    <w:embedBoldItalic r:id="rId4" w:fontKey="{3CB1DE8A-75D9-4A44-9717-E1A6FE803E1B}"/>
  </w:font>
  <w:font w:name="Book Antiqua">
    <w:panose1 w:val="02040602050305030304"/>
    <w:charset w:val="00"/>
    <w:family w:val="roman"/>
    <w:pitch w:val="variable"/>
    <w:sig w:usb0="00000287" w:usb1="00000000" w:usb2="00000000" w:usb3="00000000" w:csb0="0000009F" w:csb1="00000000"/>
    <w:embedRegular r:id="rId5" w:fontKey="{3ED1B70E-64D0-4638-AD48-1F00B335DD25}"/>
    <w:embedBold r:id="rId6" w:fontKey="{BA4ECA28-ACAF-4802-81E0-EF403BEA1759}"/>
    <w:embedBoldItalic r:id="rId7" w:fontKey="{20A7BB92-AD05-4F32-95A4-89AFABE3A122}"/>
  </w:font>
  <w:font w:name="Verdana">
    <w:panose1 w:val="020B0604030504040204"/>
    <w:charset w:val="00"/>
    <w:family w:val="swiss"/>
    <w:pitch w:val="variable"/>
    <w:sig w:usb0="A00006FF" w:usb1="4000205B" w:usb2="00000010" w:usb3="00000000" w:csb0="0000019F" w:csb1="00000000"/>
    <w:embedRegular r:id="rId8" w:fontKey="{317B8938-F29E-4417-96CD-815631B2827F}"/>
    <w:embedBold r:id="rId9" w:fontKey="{FF040389-D2E7-4D96-A5F4-CDE737939B26}"/>
    <w:embedBoldItalic r:id="rId10" w:fontKey="{545984C9-8D8D-47E1-BFE7-89EE19E48602}"/>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11" w:fontKey="{2DD4E5B9-5257-4AAD-82A4-F68EF81FAE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E5171" w14:textId="492AF303" w:rsidR="007C4685" w:rsidRDefault="00000000">
    <w:pPr>
      <w:rPr>
        <w:i/>
        <w:iCs/>
        <w:sz w:val="20"/>
        <w:szCs w:val="20"/>
      </w:rPr>
    </w:pPr>
    <w:r>
      <w:rPr>
        <w:b/>
        <w:bCs/>
        <w:color w:val="674EA7"/>
        <w:sz w:val="26"/>
        <w:szCs w:val="26"/>
      </w:rPr>
      <w:t xml:space="preserve">Page </w:t>
    </w:r>
    <w:r>
      <w:rPr>
        <w:b/>
        <w:bCs/>
        <w:color w:val="674EA7"/>
        <w:sz w:val="26"/>
        <w:szCs w:val="26"/>
      </w:rPr>
      <w:fldChar w:fldCharType="begin"/>
    </w:r>
    <w:r>
      <w:rPr>
        <w:b/>
        <w:bCs/>
        <w:color w:val="674EA7"/>
        <w:sz w:val="26"/>
        <w:szCs w:val="26"/>
      </w:rPr>
      <w:instrText>PAGE</w:instrText>
    </w:r>
    <w:r>
      <w:rPr>
        <w:b/>
        <w:bCs/>
        <w:color w:val="674EA7"/>
        <w:sz w:val="26"/>
        <w:szCs w:val="26"/>
      </w:rPr>
      <w:fldChar w:fldCharType="separate"/>
    </w:r>
    <w:r w:rsidR="00EE54E9">
      <w:rPr>
        <w:b/>
        <w:bCs/>
        <w:noProof/>
        <w:color w:val="674EA7"/>
        <w:sz w:val="26"/>
        <w:szCs w:val="26"/>
      </w:rPr>
      <w:t>1</w:t>
    </w:r>
    <w:r>
      <w:rPr>
        <w:b/>
        <w:bCs/>
        <w:color w:val="674EA7"/>
        <w:sz w:val="26"/>
        <w:szCs w:val="26"/>
      </w:rPr>
      <w:fldChar w:fldCharType="end"/>
    </w:r>
    <w:r>
      <w:t xml:space="preserve"> | </w:t>
    </w:r>
    <w:r>
      <w:rPr>
        <w:i/>
        <w:iCs/>
        <w:sz w:val="20"/>
        <w:szCs w:val="20"/>
      </w:rPr>
      <w:t xml:space="preserve">LILAK (Purple Action for Indigenous Women’s Rights)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593D8" w14:textId="77777777" w:rsidR="007E59E8" w:rsidRDefault="007E59E8">
      <w:pPr>
        <w:spacing w:after="0" w:line="240" w:lineRule="auto"/>
      </w:pPr>
      <w:r>
        <w:separator/>
      </w:r>
    </w:p>
  </w:footnote>
  <w:footnote w:type="continuationSeparator" w:id="0">
    <w:p w14:paraId="332EC58D" w14:textId="77777777" w:rsidR="007E59E8" w:rsidRDefault="007E59E8">
      <w:pPr>
        <w:spacing w:after="0" w:line="240" w:lineRule="auto"/>
      </w:pPr>
      <w:r>
        <w:continuationSeparator/>
      </w:r>
    </w:p>
  </w:footnote>
  <w:footnote w:id="1">
    <w:p w14:paraId="01DE5172" w14:textId="77777777" w:rsidR="007C4685" w:rsidRDefault="00000000">
      <w:pPr>
        <w:spacing w:after="0" w:line="240" w:lineRule="auto"/>
        <w:rPr>
          <w:sz w:val="22"/>
          <w:szCs w:val="22"/>
        </w:rPr>
      </w:pPr>
      <w:r>
        <w:rPr>
          <w:vertAlign w:val="superscript"/>
        </w:rPr>
        <w:footnoteRef/>
      </w:r>
      <w:r>
        <w:rPr>
          <w:sz w:val="22"/>
          <w:szCs w:val="22"/>
        </w:rPr>
        <w:t xml:space="preserve"> Department of Environment and Natural Resources. (2024). </w:t>
      </w:r>
      <w:r>
        <w:rPr>
          <w:i/>
          <w:iCs/>
          <w:sz w:val="22"/>
          <w:szCs w:val="22"/>
        </w:rPr>
        <w:t>ENR compendium 2024</w:t>
      </w:r>
      <w:r>
        <w:rPr>
          <w:sz w:val="22"/>
          <w:szCs w:val="22"/>
        </w:rPr>
        <w:t>. DENR Website.</w:t>
      </w:r>
    </w:p>
  </w:footnote>
  <w:footnote w:id="2">
    <w:p w14:paraId="01DE5173" w14:textId="77777777" w:rsidR="007C4685" w:rsidRDefault="00000000">
      <w:pPr>
        <w:spacing w:after="0" w:line="240" w:lineRule="auto"/>
        <w:rPr>
          <w:sz w:val="22"/>
          <w:szCs w:val="22"/>
        </w:rPr>
      </w:pPr>
      <w:r>
        <w:rPr>
          <w:vertAlign w:val="superscript"/>
        </w:rPr>
        <w:footnoteRef/>
      </w:r>
      <w:r>
        <w:rPr>
          <w:sz w:val="20"/>
          <w:szCs w:val="20"/>
        </w:rPr>
        <w:t xml:space="preserve"> </w:t>
      </w:r>
      <w:r>
        <w:rPr>
          <w:sz w:val="22"/>
          <w:szCs w:val="22"/>
        </w:rPr>
        <w:t xml:space="preserve">Global Witness (2025). </w:t>
      </w:r>
      <w:r>
        <w:rPr>
          <w:i/>
          <w:iCs/>
          <w:sz w:val="22"/>
          <w:szCs w:val="22"/>
        </w:rPr>
        <w:t>Global Witness Report: At least 146 land and environmental defenders killed or disappeared globally in 2024</w:t>
      </w:r>
      <w:r>
        <w:rPr>
          <w:sz w:val="22"/>
          <w:szCs w:val="22"/>
        </w:rPr>
        <w:t xml:space="preserve">. 17 September 2025. </w:t>
      </w:r>
    </w:p>
  </w:footnote>
  <w:footnote w:id="3">
    <w:p w14:paraId="01DE5174" w14:textId="77777777" w:rsidR="007C4685" w:rsidRDefault="00000000">
      <w:pPr>
        <w:spacing w:after="0" w:line="240" w:lineRule="auto"/>
        <w:rPr>
          <w:sz w:val="22"/>
          <w:szCs w:val="22"/>
        </w:rPr>
      </w:pPr>
      <w:r>
        <w:rPr>
          <w:vertAlign w:val="superscript"/>
        </w:rPr>
        <w:footnoteRef/>
      </w:r>
      <w:r>
        <w:rPr>
          <w:sz w:val="20"/>
          <w:szCs w:val="20"/>
        </w:rPr>
        <w:t xml:space="preserve"> </w:t>
      </w:r>
      <w:r>
        <w:rPr>
          <w:rFonts w:ascii="Arial" w:eastAsia="Arial" w:hAnsi="Arial" w:cs="Arial"/>
          <w:sz w:val="16"/>
          <w:szCs w:val="16"/>
        </w:rPr>
        <w:t xml:space="preserve"> </w:t>
      </w:r>
      <w:r>
        <w:rPr>
          <w:sz w:val="22"/>
          <w:szCs w:val="22"/>
        </w:rPr>
        <w:t>Viajar, R. (n.d.).</w:t>
      </w:r>
      <w:r>
        <w:rPr>
          <w:b/>
          <w:bCs/>
          <w:i/>
          <w:iCs/>
          <w:sz w:val="22"/>
          <w:szCs w:val="22"/>
        </w:rPr>
        <w:t xml:space="preserve"> </w:t>
      </w:r>
      <w:r>
        <w:rPr>
          <w:i/>
          <w:iCs/>
          <w:sz w:val="22"/>
          <w:szCs w:val="22"/>
        </w:rPr>
        <w:t>UnderMining rights: Mining-induced human rights violations and environmental destructio</w:t>
      </w:r>
      <w:r>
        <w:rPr>
          <w:sz w:val="22"/>
          <w:szCs w:val="22"/>
        </w:rPr>
        <w:t>n</w:t>
      </w:r>
      <w:r>
        <w:rPr>
          <w:b/>
          <w:bCs/>
          <w:sz w:val="22"/>
          <w:szCs w:val="22"/>
        </w:rPr>
        <w:t>.</w:t>
      </w:r>
      <w:r>
        <w:rPr>
          <w:sz w:val="22"/>
          <w:szCs w:val="22"/>
        </w:rPr>
        <w:t xml:space="preserve"> Alyansa Tigil Mina (ATM).</w:t>
      </w:r>
    </w:p>
  </w:footnote>
  <w:footnote w:id="4">
    <w:p w14:paraId="01DE5175" w14:textId="77777777" w:rsidR="007C4685" w:rsidRDefault="00000000">
      <w:pPr>
        <w:spacing w:after="0" w:line="240" w:lineRule="auto"/>
        <w:rPr>
          <w:sz w:val="22"/>
          <w:szCs w:val="22"/>
        </w:rPr>
      </w:pPr>
      <w:r>
        <w:rPr>
          <w:vertAlign w:val="superscript"/>
        </w:rPr>
        <w:footnoteRef/>
      </w:r>
      <w:r>
        <w:rPr>
          <w:sz w:val="22"/>
          <w:szCs w:val="22"/>
        </w:rPr>
        <w:t xml:space="preserve"> Rainforest Rescue. (2023, April 26)</w:t>
      </w:r>
      <w:r>
        <w:rPr>
          <w:i/>
          <w:iCs/>
          <w:sz w:val="22"/>
          <w:szCs w:val="22"/>
        </w:rPr>
        <w:t>. Philippines: Violence against peaceful blockade of illegal nickel mine</w:t>
      </w:r>
      <w:r>
        <w:rPr>
          <w:sz w:val="22"/>
          <w:szCs w:val="22"/>
        </w:rPr>
        <w:t>.</w:t>
      </w:r>
    </w:p>
  </w:footnote>
  <w:footnote w:id="5">
    <w:p w14:paraId="01DE5176" w14:textId="77777777" w:rsidR="007C4685" w:rsidRDefault="00000000">
      <w:pPr>
        <w:spacing w:after="0" w:line="240" w:lineRule="auto"/>
        <w:rPr>
          <w:sz w:val="22"/>
          <w:szCs w:val="22"/>
        </w:rPr>
      </w:pPr>
      <w:r>
        <w:rPr>
          <w:vertAlign w:val="superscript"/>
        </w:rPr>
        <w:footnoteRef/>
      </w:r>
      <w:r>
        <w:rPr>
          <w:sz w:val="22"/>
          <w:szCs w:val="22"/>
        </w:rPr>
        <w:t xml:space="preserve"> Fernandez, E. (2022, December 21). </w:t>
      </w:r>
      <w:r>
        <w:rPr>
          <w:i/>
          <w:iCs/>
          <w:sz w:val="22"/>
          <w:szCs w:val="22"/>
        </w:rPr>
        <w:t>BARMM IP official gunned down in Cotabato City.</w:t>
      </w:r>
      <w:r>
        <w:rPr>
          <w:sz w:val="22"/>
          <w:szCs w:val="22"/>
        </w:rPr>
        <w:t xml:space="preserve"> Philippine News Agency.</w:t>
      </w:r>
    </w:p>
  </w:footnote>
  <w:footnote w:id="6">
    <w:p w14:paraId="01DE5177" w14:textId="77777777" w:rsidR="007C4685" w:rsidRDefault="00000000">
      <w:pPr>
        <w:spacing w:after="0" w:line="240" w:lineRule="auto"/>
        <w:rPr>
          <w:sz w:val="22"/>
          <w:szCs w:val="22"/>
        </w:rPr>
      </w:pPr>
      <w:r>
        <w:rPr>
          <w:vertAlign w:val="superscript"/>
        </w:rPr>
        <w:footnoteRef/>
      </w:r>
      <w:r>
        <w:rPr>
          <w:sz w:val="20"/>
          <w:szCs w:val="20"/>
        </w:rPr>
        <w:t xml:space="preserve"> </w:t>
      </w:r>
      <w:r>
        <w:rPr>
          <w:sz w:val="22"/>
          <w:szCs w:val="22"/>
        </w:rPr>
        <w:t xml:space="preserve">Gozum, I. (2025, June 26). </w:t>
      </w:r>
      <w:r>
        <w:rPr>
          <w:i/>
          <w:iCs/>
          <w:sz w:val="22"/>
          <w:szCs w:val="22"/>
        </w:rPr>
        <w:t>At least 90 non-Moro IPs killed in the last decade – group</w:t>
      </w:r>
      <w:r>
        <w:rPr>
          <w:sz w:val="22"/>
          <w:szCs w:val="22"/>
        </w:rPr>
        <w:t>. Rappler.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D02F2"/>
    <w:multiLevelType w:val="multilevel"/>
    <w:tmpl w:val="6EF63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D60A94"/>
    <w:multiLevelType w:val="multilevel"/>
    <w:tmpl w:val="1AB85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5370939">
    <w:abstractNumId w:val="1"/>
  </w:num>
  <w:num w:numId="2" w16cid:durableId="616448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685"/>
    <w:rsid w:val="007C4685"/>
    <w:rsid w:val="007E59E8"/>
    <w:rsid w:val="00D40D5C"/>
    <w:rsid w:val="00EE54E9"/>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E5109"/>
  <w15:docId w15:val="{26B2D157-5FB9-4F80-A8DE-B471D5D13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PH"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paragraph" w:styleId="Header">
    <w:name w:val="header"/>
    <w:basedOn w:val="Normal"/>
    <w:link w:val="HeaderChar"/>
    <w:uiPriority w:val="99"/>
    <w:semiHidden/>
    <w:unhideWhenUsed/>
    <w:rsid w:val="00EE54E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E54E9"/>
  </w:style>
  <w:style w:type="paragraph" w:styleId="Footer">
    <w:name w:val="footer"/>
    <w:basedOn w:val="Normal"/>
    <w:link w:val="FooterChar"/>
    <w:uiPriority w:val="99"/>
    <w:semiHidden/>
    <w:unhideWhenUsed/>
    <w:rsid w:val="00EE54E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E5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2026-06-02T13:15:49+00:00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Bmd1dyqH3fCYpN/EidcLamSvmg==">CgMxLjAyDmguaDNvMWVneHJrd3l2Mg5oLjNxMXE5M3phbnZ2ZjIOaC5qazgwdTNqMjRiZnM4AHIhMXFDY3IwWEprOUVJcEwxb0ZVbFc3VlF6XzlRQmlRYU1P</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E76365-D98B-409D-ABA4-1E18A9E992D1}">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FB44E6D-713D-4143-9CC2-83458CF6E182}">
  <ds:schemaRefs>
    <ds:schemaRef ds:uri="http://schemas.microsoft.com/sharepoint/v3/contenttype/forms"/>
  </ds:schemaRefs>
</ds:datastoreItem>
</file>

<file path=customXml/itemProps4.xml><?xml version="1.0" encoding="utf-8"?>
<ds:datastoreItem xmlns:ds="http://schemas.openxmlformats.org/officeDocument/2006/customXml" ds:itemID="{6C94131C-6D5E-4E15-9F57-DAB88AB83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2164</Words>
  <Characters>12339</Characters>
  <Application>Microsoft Office Word</Application>
  <DocSecurity>0</DocSecurity>
  <Lines>102</Lines>
  <Paragraphs>28</Paragraphs>
  <ScaleCrop>false</ScaleCrop>
  <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Jamila Devi Seerathun</cp:lastModifiedBy>
  <cp:revision>2</cp:revision>
  <dcterms:created xsi:type="dcterms:W3CDTF">2026-06-02T13:15:00Z</dcterms:created>
  <dcterms:modified xsi:type="dcterms:W3CDTF">2026-06-02T13:16:00Z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