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62C1D" w14:textId="77777777" w:rsidR="00CC21A3" w:rsidRPr="002520CF" w:rsidRDefault="00CC21A3" w:rsidP="002520CF">
      <w:pPr>
        <w:spacing w:after="120"/>
        <w:jc w:val="right"/>
        <w:rPr>
          <w:rFonts w:ascii="Times New Roman" w:eastAsia="Calibri" w:hAnsi="Times New Roman" w:cs="Times New Roman"/>
          <w:b/>
          <w:bCs/>
          <w:i/>
          <w:sz w:val="24"/>
          <w:szCs w:val="24"/>
          <w:u w:val="single"/>
        </w:rPr>
      </w:pPr>
      <w:r w:rsidRPr="002520CF">
        <w:rPr>
          <w:rFonts w:ascii="Times New Roman" w:eastAsia="Calibri" w:hAnsi="Times New Roman" w:cs="Times New Roman"/>
          <w:b/>
          <w:bCs/>
          <w:i/>
          <w:sz w:val="24"/>
          <w:szCs w:val="24"/>
          <w:u w:val="single"/>
        </w:rPr>
        <w:t>Annex 1</w:t>
      </w:r>
    </w:p>
    <w:p w14:paraId="6A17393D" w14:textId="77777777" w:rsidR="00CC21A3" w:rsidRPr="002520CF" w:rsidRDefault="00CC21A3" w:rsidP="00CC21A3">
      <w:pPr>
        <w:spacing w:before="240" w:after="240"/>
        <w:jc w:val="both"/>
        <w:rPr>
          <w:rFonts w:ascii="Times New Roman" w:eastAsia="Calibri" w:hAnsi="Times New Roman" w:cs="Times New Roman"/>
          <w:sz w:val="24"/>
          <w:szCs w:val="24"/>
          <w:u w:val="single"/>
        </w:rPr>
      </w:pPr>
      <w:r w:rsidRPr="002520CF">
        <w:rPr>
          <w:rFonts w:ascii="Times New Roman" w:eastAsia="Calibri" w:hAnsi="Times New Roman" w:cs="Times New Roman"/>
          <w:b/>
          <w:sz w:val="24"/>
          <w:szCs w:val="24"/>
          <w:u w:val="single"/>
        </w:rPr>
        <w:t>The significant legislative progress related to persons with disabilities may be summarized as follows:</w:t>
      </w:r>
    </w:p>
    <w:p w14:paraId="17FBB7CC"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2020, the adoption of a new Law of Georgia on the Rights of Persons with Disabilities, which is fully harmonized with the standards imposed by the CRPD;</w:t>
      </w:r>
    </w:p>
    <w:p w14:paraId="2EC6D065"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2020, the adoption of National Accessibility Standards, according to which built and under-construction public facilities must be brought into line with the needs of persons with disabilities;</w:t>
      </w:r>
    </w:p>
    <w:p w14:paraId="1C3590E1"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2021, ratification of the Optional Protocol to the CRPD;</w:t>
      </w:r>
    </w:p>
    <w:p w14:paraId="4E03C794"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According to the legislative amendments adopted on November 2, 2022, any visually impaired person who is able to read and write is eligible to sign the contract independently in case the contract is issued in a written form;</w:t>
      </w:r>
    </w:p>
    <w:p w14:paraId="020C4951"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At the end of 2022, the provision on calculating the amount of the social package for people with disabilities was amended. Based on the amendment, annual indexation of the amount of the social package is guaranteed at the legislative level for persons with disabilities. The amendment aims to create a mechanism for the annual growth of the social package. The persons with severe disabilities and children receive higher indexation;</w:t>
      </w:r>
    </w:p>
    <w:p w14:paraId="2C656605"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According to the amendments adopted in November 2022, in the Administrative Offences Code of Georgia, parking a vehicle by an unauthorised person in the parking slot determined for the vehicle of a person with disabilities, or hampering the movement on the ramp for persons with disabilities by the vehicle, are administrative offences;</w:t>
      </w:r>
    </w:p>
    <w:p w14:paraId="49078D22"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2023, the adoption of the amendments to the Law of Georgia on Public Procurement, according to which a contracting authority shall be authorized to announce a public procurement for the economic operator whose main goal is the social and professional integration of persons with disabilities and members of vulnerable groups. The mentioned provision shall enter into force from 1 January 2027;</w:t>
      </w:r>
    </w:p>
    <w:p w14:paraId="41BE2E7D"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2024, the parliament of Georgia adopted the package of legislative amendments. The package included the Criminal Process Code of Georgia and the Civil Process Code of Georgia.</w:t>
      </w:r>
    </w:p>
    <w:p w14:paraId="380A42C8"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On the one hand, according to the amendments in the Criminal Procedure Code, those provisions were repealed, which excluded a person who, due to his/her disability, is not able to properly comprehend, memorize and recollect the circumstances that are essential to the case, and to give information or testimony, from being interviewed or interrogated as a witness. Accordingly, persons with mental and intellectual disabilities were granted a procedural opportunity to obtain such status. On the other hand, in the Civil Procedure Code, the provision was repealed, which was related to the inadmissibility of receiving explanations from a person who, due to a disability, cannot correctly perceive the facts and give correct testimony about them. In addition, the provision was also removed from the code of civil procedure, according to which a person cannot be called and interrogated as a witness who, due to his/her disability, is not able to properly comprehend, memorize, and recollect the circumstances that are essential to the case.</w:t>
      </w:r>
    </w:p>
    <w:p w14:paraId="7CB0D688"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 xml:space="preserve">In order to align the national legislation with the "Marrakesh Treaty to Facilitate Access to Published Works for Persons Who Are Blind, Visually Impaired or Otherwise Print Disabled,” the Parliament of Georgia elaborated the draft package of laws and adopted the amendments on December 15, 2023. Later on, in 2024, the Parliament of Georgia ratified </w:t>
      </w:r>
      <w:r w:rsidRPr="002520CF">
        <w:rPr>
          <w:rFonts w:ascii="Times New Roman" w:eastAsia="Calibri" w:hAnsi="Times New Roman" w:cs="Times New Roman"/>
          <w:sz w:val="24"/>
          <w:szCs w:val="24"/>
        </w:rPr>
        <w:lastRenderedPageBreak/>
        <w:t>"Marrakesh Treaty to Facilitate Access to Published Works for Persons Who Are Blind, Visually Impaired or Otherwise Print Disabled”.</w:t>
      </w:r>
    </w:p>
    <w:p w14:paraId="2723247B"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2024, the Parliament of Georgia adopted a package of legislative amendments aimed at introducing a national mechanism that would ensure complete implementation of the decisions v. Georgia was made by the United Nations Committee on the Rights of Persons with Disabilities (CRPD), thus bringing national legislation in line with the international provisions. According to the adopted law, due to the newly revealed/discovered circumstances, the criminal judgement/administrative decision shall be reviewed/appealed, including in cases when there is a decision of CRPD, which confirms the violation of the convention, and the appealed judgement/decision is based on this violation.</w:t>
      </w:r>
    </w:p>
    <w:p w14:paraId="0A3B4CF1" w14:textId="77777777" w:rsidR="00CC21A3" w:rsidRPr="002520CF" w:rsidRDefault="00CC21A3" w:rsidP="00A57106">
      <w:pPr>
        <w:numPr>
          <w:ilvl w:val="0"/>
          <w:numId w:val="1"/>
        </w:numPr>
        <w:spacing w:after="120" w:line="240" w:lineRule="auto"/>
        <w:ind w:left="0" w:firstLine="0"/>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2025, the Parliament of Georgia adopted a package of legislative amendments aimed at changing all discriminatory/derogatory terms that were addressed to persons with disabilities in 25 laws of Georgia. It is noteworthy that all state/municipal agencies are obliged to amend their by-laws in accordance with the aforementioned legislative amendments.</w:t>
      </w:r>
    </w:p>
    <w:p w14:paraId="20036D41"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Additionally, it is important to mention that the Parliament of Georgia is currently working on new legislation aimed at ensuring the accessibility of websites and mobile applications, with a particular focus on the rights of persons with disabilities. The draft law is grounded in the principles of the CRPD. It promotes respect for human dignity, individual autonomy, non-discrimination, equal opportunities, accessibility, and reasonable accommodation. The adoption of this law will mark an important step toward building an inclusive digital environment and promoting the full participation of persons with disabilities in society.</w:t>
      </w:r>
    </w:p>
    <w:p w14:paraId="3E8316D4" w14:textId="77777777" w:rsidR="00CC21A3" w:rsidRPr="002520CF" w:rsidRDefault="00CC21A3" w:rsidP="00A57106">
      <w:pPr>
        <w:spacing w:after="120" w:line="240" w:lineRule="auto"/>
        <w:jc w:val="both"/>
        <w:rPr>
          <w:rFonts w:ascii="Times New Roman" w:eastAsia="Calibri" w:hAnsi="Times New Roman" w:cs="Times New Roman"/>
          <w:b/>
          <w:sz w:val="24"/>
          <w:szCs w:val="24"/>
          <w:u w:val="single"/>
        </w:rPr>
      </w:pPr>
      <w:r w:rsidRPr="002520CF">
        <w:rPr>
          <w:rFonts w:ascii="Times New Roman" w:eastAsia="Calibri" w:hAnsi="Times New Roman" w:cs="Times New Roman"/>
          <w:b/>
          <w:sz w:val="24"/>
          <w:szCs w:val="24"/>
          <w:u w:val="single"/>
        </w:rPr>
        <w:t>National Strategy</w:t>
      </w:r>
      <w:r w:rsidR="00025C55">
        <w:rPr>
          <w:rFonts w:ascii="Times New Roman" w:eastAsia="Calibri" w:hAnsi="Times New Roman" w:cs="Times New Roman"/>
          <w:b/>
          <w:sz w:val="24"/>
          <w:szCs w:val="24"/>
          <w:u w:val="single"/>
        </w:rPr>
        <w:t xml:space="preserve"> </w:t>
      </w:r>
      <w:r w:rsidRPr="002520CF">
        <w:rPr>
          <w:rFonts w:ascii="Times New Roman" w:eastAsia="Calibri" w:hAnsi="Times New Roman" w:cs="Times New Roman"/>
          <w:b/>
          <w:sz w:val="24"/>
          <w:szCs w:val="24"/>
          <w:u w:val="single"/>
        </w:rPr>
        <w:t>and the Government’s implemented actions</w:t>
      </w:r>
    </w:p>
    <w:p w14:paraId="460F900B"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 xml:space="preserve">On March 23, 2023, the Parliament of Georgia adopted the country's second National Strategy for the Protection of Human Rights, covering the period from 2022 to 2030. The comprehensive strategy addresses all fundamental human rights and freedoms and puts a special emphasis on the protection of the rights of vulnerable groups. It aims to ensure equal opportunities for persons with disabilities and promote their full participation in public life. Following the approval of the Strategy, a multidisciplinary working group, involving civil society representatives, began work on the Action Plan for human rights protection from 2024 to 2026. </w:t>
      </w:r>
      <w:r w:rsidR="00A57106" w:rsidRPr="002520CF">
        <w:rPr>
          <w:rFonts w:ascii="Times New Roman" w:eastAsia="Calibri" w:hAnsi="Times New Roman" w:cs="Times New Roman"/>
          <w:sz w:val="24"/>
          <w:szCs w:val="24"/>
        </w:rPr>
        <w:t>Similarly,</w:t>
      </w:r>
      <w:r w:rsidRPr="002520CF">
        <w:rPr>
          <w:rFonts w:ascii="Times New Roman" w:eastAsia="Calibri" w:hAnsi="Times New Roman" w:cs="Times New Roman"/>
          <w:sz w:val="24"/>
          <w:szCs w:val="24"/>
        </w:rPr>
        <w:t xml:space="preserve"> to the strategy, an action plan was also drafted and developed in an inclusive working process.</w:t>
      </w:r>
    </w:p>
    <w:p w14:paraId="5E15C558"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To fulfill the obligations of the CRPD and Georgia’s national law, the Coordination Committee was established by government resolution on November 29, 2021. Its legal and conceptual framework was developed in collaboration with the Public Defender’s Office, local NGOs, and international partners. This National Coordination Mechanism strengthens cooperation among state entities and stakeholders. To ensure active participation of persons with disabilities and their representative organizations, the Committee created a Consultative Council, which holds regular meetings to address challenges and set priorities.</w:t>
      </w:r>
    </w:p>
    <w:p w14:paraId="0440A886" w14:textId="77777777" w:rsidR="00CC21A3" w:rsidRPr="002520CF" w:rsidRDefault="00CC21A3" w:rsidP="00A57106">
      <w:pPr>
        <w:spacing w:after="120" w:line="240" w:lineRule="auto"/>
        <w:jc w:val="both"/>
        <w:rPr>
          <w:rFonts w:ascii="Times New Roman" w:eastAsia="Calibri" w:hAnsi="Times New Roman" w:cs="Times New Roman"/>
          <w:b/>
          <w:sz w:val="24"/>
          <w:szCs w:val="24"/>
          <w:u w:val="single"/>
        </w:rPr>
      </w:pPr>
      <w:r w:rsidRPr="002520CF">
        <w:rPr>
          <w:rFonts w:ascii="Times New Roman" w:eastAsia="Calibri" w:hAnsi="Times New Roman" w:cs="Times New Roman"/>
          <w:b/>
          <w:sz w:val="24"/>
          <w:szCs w:val="24"/>
          <w:u w:val="single"/>
        </w:rPr>
        <w:t>Cooperation with the Ombudsperson</w:t>
      </w:r>
    </w:p>
    <w:p w14:paraId="3F8DD134"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The Parliament of Georgia and the Public Defender (Ombudsman) have established effective cooperation to strengthen the rights of persons with disabilities. Annually, the Ombudsman presents a report outlining the human rights conditions in the country, including the rights of persons with disabilities, and provides relevant recommendations. Taking these recommendations into account, the Parliament issues legally binding directives to government agencies. These instructions are mandatory and often include concrete steps aimed at improving the human rights circumstances of persons with disabilities.</w:t>
      </w:r>
    </w:p>
    <w:p w14:paraId="3E9F9E65" w14:textId="77777777" w:rsidR="00CC21A3" w:rsidRPr="002520CF" w:rsidRDefault="00CC21A3" w:rsidP="00A57106">
      <w:pPr>
        <w:spacing w:after="120" w:line="240" w:lineRule="auto"/>
        <w:jc w:val="both"/>
        <w:rPr>
          <w:rFonts w:ascii="Times New Roman" w:eastAsia="Calibri" w:hAnsi="Times New Roman" w:cs="Times New Roman"/>
          <w:b/>
          <w:sz w:val="24"/>
          <w:szCs w:val="24"/>
          <w:u w:val="single"/>
        </w:rPr>
      </w:pPr>
      <w:r w:rsidRPr="002520CF">
        <w:rPr>
          <w:rFonts w:ascii="Times New Roman" w:eastAsia="Calibri" w:hAnsi="Times New Roman" w:cs="Times New Roman"/>
          <w:b/>
          <w:sz w:val="24"/>
          <w:szCs w:val="24"/>
          <w:u w:val="single"/>
        </w:rPr>
        <w:lastRenderedPageBreak/>
        <w:t>Mechanisms for strengthening organizations of persons with disabilities</w:t>
      </w:r>
    </w:p>
    <w:p w14:paraId="0C8C4EC1" w14:textId="77777777" w:rsidR="00CC21A3" w:rsidRPr="002520CF" w:rsidRDefault="00CC21A3" w:rsidP="00A57106">
      <w:pPr>
        <w:numPr>
          <w:ilvl w:val="0"/>
          <w:numId w:val="2"/>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 xml:space="preserve"> </w:t>
      </w:r>
      <w:r w:rsidRPr="002520CF">
        <w:rPr>
          <w:rFonts w:ascii="Times New Roman" w:eastAsia="Calibri" w:hAnsi="Times New Roman" w:cs="Times New Roman"/>
          <w:b/>
          <w:sz w:val="24"/>
          <w:szCs w:val="24"/>
        </w:rPr>
        <w:t>Status of a Special Plaintiff</w:t>
      </w:r>
    </w:p>
    <w:p w14:paraId="7DB5EF37"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Starting in 2021, a non-entrepreneurial (non-commercial) legal entity with at least 3 years of experience defending persons with disabilities in the field of civil and/or administrative proceedings may be registered as a special plaintiff. Organisations holding the status of a special plaintiff shall be authorized to conduct administrative and civil disputes, and apply to relevant agencies in respect of complaints and lawsuits, in cases concerning the elimination of discrimination against persons with disabilities, and/or in the interest of developing legal practice in this area.</w:t>
      </w:r>
    </w:p>
    <w:p w14:paraId="47A71E85"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During the existence of the special plaintiff mechanism, three non-commercial organizations have obtained this status.</w:t>
      </w:r>
    </w:p>
    <w:p w14:paraId="714AB2CC" w14:textId="77777777" w:rsidR="00CC21A3" w:rsidRPr="002520CF" w:rsidRDefault="00CC21A3" w:rsidP="00A57106">
      <w:pPr>
        <w:numPr>
          <w:ilvl w:val="0"/>
          <w:numId w:val="3"/>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Centers for independent living</w:t>
      </w:r>
    </w:p>
    <w:p w14:paraId="59BA3E2F" w14:textId="77777777" w:rsidR="00CC21A3" w:rsidRPr="002520CF" w:rsidRDefault="00CC21A3" w:rsidP="00A57106">
      <w:pPr>
        <w:spacing w:after="120" w:line="240" w:lineRule="auto"/>
        <w:jc w:val="both"/>
        <w:rPr>
          <w:rFonts w:ascii="Times New Roman" w:eastAsia="Calibri" w:hAnsi="Times New Roman" w:cs="Times New Roman"/>
          <w:b/>
          <w:sz w:val="24"/>
          <w:szCs w:val="24"/>
        </w:rPr>
      </w:pPr>
      <w:r w:rsidRPr="002520CF">
        <w:rPr>
          <w:rFonts w:ascii="Times New Roman" w:eastAsia="Calibri" w:hAnsi="Times New Roman" w:cs="Times New Roman"/>
          <w:sz w:val="24"/>
          <w:szCs w:val="24"/>
        </w:rPr>
        <w:t>Centers for independent living are non-entrepreneurial (non-commercial) legal entities established, staffed, and governed by persons with disabilities, which provide individual support to persons with disabilities living/registered in the relevant municipalities, ensure representation of the community and protection of its interests before state and municipal bodies/institutions. The competence of the centers, among others, includes providing the following services: individual and systems advocacy, peer support, information and referral, public awareness, needs assessment survey, independent living skills training, and employment promotion for persons with disabilities. In order to provide services effectively, the center establishes proactive communication and cooperates with state and municipal bodies/institutions in the municipality, which implies the exchange of information on the activities of the agencies, partnership in resolving specific issues to promote independent living of persons with disabilities, etc. The Ministry of Internally Displaced Persons from the Occupied Territories, Labour, Health and Social Affairs of Georgia approved the minimal standards of centers for independent living in 2023. Since 2025, the mentioned service (information and consulting services supporting independent living for people with disabilities) has been part of the state program and is financed by the state budget (approximately 500,000 GEL).</w:t>
      </w:r>
    </w:p>
    <w:p w14:paraId="58F07780" w14:textId="77777777" w:rsidR="00CC21A3" w:rsidRPr="002520CF" w:rsidRDefault="00CC21A3" w:rsidP="00A57106">
      <w:pPr>
        <w:spacing w:after="120" w:line="240" w:lineRule="auto"/>
        <w:jc w:val="both"/>
        <w:rPr>
          <w:rFonts w:ascii="Times New Roman" w:eastAsia="Calibri" w:hAnsi="Times New Roman" w:cs="Times New Roman"/>
          <w:b/>
          <w:sz w:val="24"/>
          <w:szCs w:val="24"/>
          <w:u w:val="single"/>
        </w:rPr>
      </w:pPr>
      <w:r w:rsidRPr="002520CF">
        <w:rPr>
          <w:rFonts w:ascii="Times New Roman" w:eastAsia="Calibri" w:hAnsi="Times New Roman" w:cs="Times New Roman"/>
          <w:b/>
          <w:sz w:val="24"/>
          <w:szCs w:val="24"/>
          <w:u w:val="single"/>
        </w:rPr>
        <w:t>Model of cooperation and several services/programs</w:t>
      </w:r>
    </w:p>
    <w:p w14:paraId="1C254EF5"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It should be mentioned that the particular model of cooperation between state/municipal agencies of Georgia and local organizations of persons with disabilities. Under the current model of cooperation, the State/Municipalities outsource the process of implementing the programs/services adjusted to the needs of persons with disabilities. Accordingly, if local organizations for persons with disabilities meet all requirements established by law, they become providers of State/Municipal services/programs. For example, the Ministry of Internally Displaced Persons from the Occupied Territories, Labour, Health and Social Affairs of Georgia registered 406 providers in 2024 and 457 in 2025.</w:t>
      </w:r>
      <w:r w:rsidRPr="002520CF">
        <w:rPr>
          <w:rFonts w:ascii="Times New Roman" w:eastAsia="Calibri" w:hAnsi="Times New Roman" w:cs="Times New Roman"/>
          <w:sz w:val="24"/>
          <w:szCs w:val="24"/>
          <w:vertAlign w:val="superscript"/>
        </w:rPr>
        <w:footnoteReference w:id="1"/>
      </w:r>
      <w:r w:rsidRPr="002520CF">
        <w:rPr>
          <w:rFonts w:ascii="Times New Roman" w:eastAsia="Calibri" w:hAnsi="Times New Roman" w:cs="Times New Roman"/>
          <w:sz w:val="24"/>
          <w:szCs w:val="24"/>
        </w:rPr>
        <w:t xml:space="preserve"> The registration process is continuous. The mentioned model of cooperation, per se, develops the state’s interest in the existence of strong and effective organizations for persons with disabilities. </w:t>
      </w:r>
    </w:p>
    <w:p w14:paraId="5E52BE3B"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In this context, it is worth noting several state/municipal programs/services, which are novel or have become more effective in recent years.</w:t>
      </w:r>
    </w:p>
    <w:p w14:paraId="2758C43D" w14:textId="77777777" w:rsidR="00CC21A3" w:rsidRPr="002520CF" w:rsidRDefault="00025C55" w:rsidP="00A57106">
      <w:pPr>
        <w:numPr>
          <w:ilvl w:val="0"/>
          <w:numId w:val="4"/>
        </w:numPr>
        <w:spacing w:after="12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C21A3" w:rsidRPr="002520CF">
        <w:rPr>
          <w:rFonts w:ascii="Times New Roman" w:eastAsia="Calibri" w:hAnsi="Times New Roman" w:cs="Times New Roman"/>
          <w:b/>
          <w:sz w:val="24"/>
          <w:szCs w:val="24"/>
        </w:rPr>
        <w:t xml:space="preserve">Personal Assistance service </w:t>
      </w:r>
    </w:p>
    <w:p w14:paraId="136D13BB" w14:textId="77777777" w:rsidR="00CC21A3" w:rsidRPr="002520CF" w:rsidRDefault="00CC21A3" w:rsidP="00A57106">
      <w:pPr>
        <w:spacing w:after="120" w:line="240" w:lineRule="auto"/>
        <w:jc w:val="both"/>
        <w:rPr>
          <w:rFonts w:ascii="Times New Roman" w:eastAsia="Calibri" w:hAnsi="Times New Roman" w:cs="Times New Roman"/>
          <w:color w:val="FF0000"/>
          <w:sz w:val="24"/>
          <w:szCs w:val="24"/>
        </w:rPr>
      </w:pPr>
      <w:r w:rsidRPr="002520CF">
        <w:rPr>
          <w:rFonts w:ascii="Times New Roman" w:eastAsia="Calibri" w:hAnsi="Times New Roman" w:cs="Times New Roman"/>
          <w:sz w:val="24"/>
          <w:szCs w:val="24"/>
        </w:rPr>
        <w:lastRenderedPageBreak/>
        <w:t xml:space="preserve">Law on the Rights of Persons with Disabilities of 2020 created a personal assistant service. A personal assistant shall be an adult and a legally competent person, who expresses his/her consent to provide to a person with disabilities the services he/she requires, in order to improve the quality of his/her independent life, and to increase control over his/her life when obtaining education, and using public services, and carrying out daily activities, and/or at a workplace. A personal assistant service shall be provided by a municipality. By 2025, municipalities will provide a draft program of personal assistant services, determine the scope of the services, and develop procedures for the delivery thereof to persons with disabilities. Since 2025, municipal bodies (all of 64 municipalities) have begun the implementation process of personal assistant services at the local level. The budget for a personal assistant is 2,000,000 GEL, and it has 185 beneficiaries. </w:t>
      </w:r>
    </w:p>
    <w:p w14:paraId="5A9AAFEB"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As for the programs that are implemented for people with disabilities, there is a considerable number. Existing ones are developing dynamically, and every year there are more and more beneficiaries. This can be confirmed by statistical examples:</w:t>
      </w:r>
    </w:p>
    <w:p w14:paraId="7B5BB30B" w14:textId="77777777" w:rsidR="00CC21A3" w:rsidRPr="002520CF" w:rsidRDefault="00CC21A3" w:rsidP="00A57106">
      <w:pPr>
        <w:numPr>
          <w:ilvl w:val="0"/>
          <w:numId w:val="5"/>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Social Rehabilitation Program</w:t>
      </w:r>
      <w:r w:rsidRPr="002520CF">
        <w:rPr>
          <w:rFonts w:ascii="Times New Roman" w:eastAsia="Calibri" w:hAnsi="Times New Roman" w:cs="Times New Roman"/>
          <w:sz w:val="24"/>
          <w:szCs w:val="24"/>
        </w:rPr>
        <w:t xml:space="preserve"> – aims to protect the rights of persons with disabilities and the elderly and integrate them into society through quality social services. </w:t>
      </w:r>
    </w:p>
    <w:p w14:paraId="07F0A3B0" w14:textId="77777777" w:rsidR="00CC21A3" w:rsidRPr="002520CF" w:rsidRDefault="00CC21A3" w:rsidP="00A57106">
      <w:pPr>
        <w:numPr>
          <w:ilvl w:val="0"/>
          <w:numId w:val="5"/>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 xml:space="preserve">Child Care and Youth Support Program </w:t>
      </w:r>
      <w:r w:rsidRPr="002520CF">
        <w:rPr>
          <w:rFonts w:ascii="Times New Roman" w:eastAsia="Calibri" w:hAnsi="Times New Roman" w:cs="Times New Roman"/>
          <w:sz w:val="24"/>
          <w:szCs w:val="24"/>
        </w:rPr>
        <w:t xml:space="preserve">– aims to support children with disabilities, homeless and at-risk children and youth in the care system, improve their conditions, and promote independent living. </w:t>
      </w:r>
    </w:p>
    <w:p w14:paraId="35C43FA0"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According to the geographical data (2025), 52 municipalities out of 64 are included in above mentioned programs.</w:t>
      </w:r>
      <w:r w:rsidR="00025C55">
        <w:rPr>
          <w:rFonts w:ascii="Times New Roman" w:eastAsia="Calibri" w:hAnsi="Times New Roman" w:cs="Times New Roman"/>
          <w:sz w:val="24"/>
          <w:szCs w:val="24"/>
        </w:rPr>
        <w:t xml:space="preserve"> </w:t>
      </w:r>
      <w:r w:rsidRPr="002520CF">
        <w:rPr>
          <w:rFonts w:ascii="Times New Roman" w:eastAsia="Calibri" w:hAnsi="Times New Roman" w:cs="Times New Roman"/>
          <w:sz w:val="24"/>
          <w:szCs w:val="24"/>
        </w:rPr>
        <w:t>If in 2012 the total budget was 17,401,000 GEL, in 2024 it became 76,350,000 GEL, and in 2025 -</w:t>
      </w:r>
      <w:r w:rsidR="00025C55">
        <w:rPr>
          <w:rFonts w:ascii="Times New Roman" w:eastAsia="Calibri" w:hAnsi="Times New Roman" w:cs="Times New Roman"/>
          <w:sz w:val="24"/>
          <w:szCs w:val="24"/>
        </w:rPr>
        <w:t xml:space="preserve"> </w:t>
      </w:r>
      <w:r w:rsidRPr="002520CF">
        <w:rPr>
          <w:rFonts w:ascii="Times New Roman" w:eastAsia="Calibri" w:hAnsi="Times New Roman" w:cs="Times New Roman"/>
          <w:sz w:val="24"/>
          <w:szCs w:val="24"/>
        </w:rPr>
        <w:t xml:space="preserve">95,000,000 GEL. The beneficiaries of social programs in 2024 were 45,500 persons. </w:t>
      </w:r>
    </w:p>
    <w:p w14:paraId="44C9A8CD" w14:textId="77777777" w:rsidR="00CC21A3" w:rsidRPr="002520CF" w:rsidRDefault="00CC21A3" w:rsidP="00A57106">
      <w:pPr>
        <w:numPr>
          <w:ilvl w:val="0"/>
          <w:numId w:val="6"/>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Assistive technology services</w:t>
      </w:r>
      <w:r w:rsidRPr="002520CF">
        <w:rPr>
          <w:rFonts w:ascii="Times New Roman" w:eastAsia="Calibri" w:hAnsi="Times New Roman" w:cs="Times New Roman"/>
          <w:sz w:val="24"/>
          <w:szCs w:val="24"/>
        </w:rPr>
        <w:t xml:space="preserve"> - Promoting the rights of persons with disabilities and the elderly by increasing their level of functional independence and integrating them into society, the government provides the tools to persons according to their disability, such as canes, wheelchairs and etc. If the budget for the latter in 2012 was 4,287,742 GEL, in 2024 it became 6,500,000 GEL, and for 2025, it became - 8,500,000 GEL. The total number of service providers is 14.</w:t>
      </w:r>
    </w:p>
    <w:p w14:paraId="075DABD9" w14:textId="77777777" w:rsidR="00CC21A3" w:rsidRPr="002520CF" w:rsidRDefault="00CC21A3" w:rsidP="00A57106">
      <w:pPr>
        <w:numPr>
          <w:ilvl w:val="0"/>
          <w:numId w:val="6"/>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Daycare Centers for persons with disabilities</w:t>
      </w:r>
      <w:r w:rsidRPr="002520CF">
        <w:rPr>
          <w:rFonts w:ascii="Times New Roman" w:eastAsia="Calibri" w:hAnsi="Times New Roman" w:cs="Times New Roman"/>
          <w:sz w:val="24"/>
          <w:szCs w:val="24"/>
        </w:rPr>
        <w:t xml:space="preserve"> -</w:t>
      </w:r>
      <w:r w:rsidR="00025C55">
        <w:rPr>
          <w:rFonts w:ascii="Times New Roman" w:eastAsia="Calibri" w:hAnsi="Times New Roman" w:cs="Times New Roman"/>
          <w:sz w:val="24"/>
          <w:szCs w:val="24"/>
        </w:rPr>
        <w:t xml:space="preserve"> </w:t>
      </w:r>
      <w:r w:rsidRPr="002520CF">
        <w:rPr>
          <w:rFonts w:ascii="Times New Roman" w:eastAsia="Calibri" w:hAnsi="Times New Roman" w:cs="Times New Roman"/>
          <w:sz w:val="24"/>
          <w:szCs w:val="24"/>
        </w:rPr>
        <w:t>Promoting the realization of the rights of persons with disabilities, including those with mental disabilities, through service provision, support, and social inclusion. The budget for day centres in 2012 was 2,175,066,</w:t>
      </w:r>
      <w:r w:rsidR="00025C55">
        <w:rPr>
          <w:rFonts w:ascii="Times New Roman" w:eastAsia="Calibri" w:hAnsi="Times New Roman" w:cs="Times New Roman"/>
          <w:sz w:val="24"/>
          <w:szCs w:val="24"/>
        </w:rPr>
        <w:t xml:space="preserve"> </w:t>
      </w:r>
      <w:r w:rsidRPr="002520CF">
        <w:rPr>
          <w:rFonts w:ascii="Times New Roman" w:eastAsia="Calibri" w:hAnsi="Times New Roman" w:cs="Times New Roman"/>
          <w:sz w:val="24"/>
          <w:szCs w:val="24"/>
        </w:rPr>
        <w:t xml:space="preserve">in 2024 it became 3,200,000 Gel, and in 2025 - 4,539,200. According to 2025 data, the centres are for: </w:t>
      </w:r>
    </w:p>
    <w:p w14:paraId="2F966279" w14:textId="77777777" w:rsidR="00CC21A3" w:rsidRPr="002520CF" w:rsidRDefault="00CC21A3" w:rsidP="00A57106">
      <w:pPr>
        <w:numPr>
          <w:ilvl w:val="0"/>
          <w:numId w:val="7"/>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Children with disabilities - 733</w:t>
      </w:r>
    </w:p>
    <w:p w14:paraId="374C901A" w14:textId="77777777" w:rsidR="00CC21A3" w:rsidRPr="002520CF" w:rsidRDefault="00CC21A3" w:rsidP="00A57106">
      <w:pPr>
        <w:numPr>
          <w:ilvl w:val="0"/>
          <w:numId w:val="7"/>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18+ persons with disabilities - 799</w:t>
      </w:r>
    </w:p>
    <w:p w14:paraId="0F410E9D" w14:textId="77777777" w:rsidR="00CC21A3" w:rsidRPr="002520CF" w:rsidRDefault="00CC21A3" w:rsidP="00A57106">
      <w:pPr>
        <w:numPr>
          <w:ilvl w:val="0"/>
          <w:numId w:val="7"/>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Children with disabilities (with severe and profound intellectual disability) - 36</w:t>
      </w:r>
    </w:p>
    <w:p w14:paraId="4DDA565B" w14:textId="77777777" w:rsidR="00CC21A3" w:rsidRPr="002520CF" w:rsidRDefault="00CC21A3" w:rsidP="00A57106">
      <w:pPr>
        <w:numPr>
          <w:ilvl w:val="0"/>
          <w:numId w:val="7"/>
        </w:num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Antisocial and day center for difficult behaviour - 34</w:t>
      </w:r>
    </w:p>
    <w:p w14:paraId="4C2FB92D" w14:textId="77777777" w:rsidR="00CC21A3" w:rsidRPr="002520CF" w:rsidRDefault="00CC21A3" w:rsidP="00A57106">
      <w:pPr>
        <w:numPr>
          <w:ilvl w:val="0"/>
          <w:numId w:val="8"/>
        </w:numPr>
        <w:spacing w:after="120" w:line="240" w:lineRule="auto"/>
        <w:ind w:left="720"/>
        <w:jc w:val="both"/>
        <w:rPr>
          <w:rFonts w:ascii="Times New Roman" w:eastAsia="Calibri" w:hAnsi="Times New Roman" w:cs="Times New Roman"/>
          <w:b/>
          <w:sz w:val="24"/>
          <w:szCs w:val="24"/>
        </w:rPr>
      </w:pPr>
      <w:r w:rsidRPr="002520CF">
        <w:rPr>
          <w:rFonts w:ascii="Times New Roman" w:eastAsia="Calibri" w:hAnsi="Times New Roman" w:cs="Times New Roman"/>
          <w:b/>
          <w:color w:val="0E101A"/>
          <w:sz w:val="24"/>
          <w:szCs w:val="24"/>
        </w:rPr>
        <w:t>Adult Community Services and Deinstitutionalization: The Case of Martkopi Boarding House</w:t>
      </w:r>
    </w:p>
    <w:p w14:paraId="5DDFBE33" w14:textId="77777777" w:rsidR="00CC21A3" w:rsidRPr="002520CF" w:rsidRDefault="00CC21A3" w:rsidP="00A57106">
      <w:pPr>
        <w:spacing w:after="120" w:line="240" w:lineRule="auto"/>
        <w:ind w:left="720"/>
        <w:jc w:val="both"/>
        <w:rPr>
          <w:rFonts w:ascii="Times New Roman" w:eastAsia="Calibri" w:hAnsi="Times New Roman" w:cs="Times New Roman"/>
          <w:b/>
          <w:sz w:val="24"/>
          <w:szCs w:val="24"/>
        </w:rPr>
      </w:pPr>
      <w:r w:rsidRPr="002520CF">
        <w:rPr>
          <w:rFonts w:ascii="Times New Roman" w:eastAsia="Calibri" w:hAnsi="Times New Roman" w:cs="Times New Roman"/>
          <w:color w:val="0E101A"/>
          <w:sz w:val="24"/>
          <w:szCs w:val="24"/>
        </w:rPr>
        <w:t xml:space="preserve">To uphold the rights of persons with disabilities, address their individual needs, and promote their full integration into society alongside independent living, Georgia is successfully advancing its deinstitutionalization process. This process entails closing large-scale institutional care facilities and replacing them with small-scale, family-like alternative care services. A notable example is the Martkopi Disabled Persons' </w:t>
      </w:r>
      <w:r w:rsidRPr="002520CF">
        <w:rPr>
          <w:rFonts w:ascii="Times New Roman" w:eastAsia="Calibri" w:hAnsi="Times New Roman" w:cs="Times New Roman"/>
          <w:color w:val="0E101A"/>
          <w:sz w:val="24"/>
          <w:szCs w:val="24"/>
        </w:rPr>
        <w:lastRenderedPageBreak/>
        <w:t>Boarding House. The State Care Agency has relocated all residents from this large institution to eight new small family-type homes across Georgia. These homes provide a family-like environment with infrastructure adapted to meet individual needs. This transition, which began in 2022 and was completed in 2024, marks the full deinstitutionalization of the Martkopi institution, ensuring that no disabled persons remain in the original boarding house. Approximately 50 residents from Martkopi were successfully placed into these small family-type services, which foster independent living and social integration. This approach not only prevents institutionalization but also supports the development of alternative services tailored to promote autonomy and community inclusion. At this stage of the reform, children have already been transitioned from large-scale care institutions to alternative care arrangements such as foster care, small family-type homes, and long-term care. The current focus is on adult deinstitutionalization, with continued efforts to expand and improve community-based services for adults with disabilities.</w:t>
      </w:r>
    </w:p>
    <w:p w14:paraId="6B9095F9" w14:textId="77777777" w:rsidR="00CC21A3" w:rsidRPr="002520CF" w:rsidRDefault="00CC21A3" w:rsidP="00A57106">
      <w:pPr>
        <w:numPr>
          <w:ilvl w:val="0"/>
          <w:numId w:val="8"/>
        </w:numPr>
        <w:spacing w:after="120" w:line="240" w:lineRule="auto"/>
        <w:ind w:left="720"/>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 xml:space="preserve">Rehabilitation Program for Children with Autism Spectrum Disorders - </w:t>
      </w:r>
      <w:r w:rsidRPr="002520CF">
        <w:rPr>
          <w:rFonts w:ascii="Times New Roman" w:eastAsia="Calibri" w:hAnsi="Times New Roman" w:cs="Times New Roman"/>
          <w:sz w:val="24"/>
          <w:szCs w:val="24"/>
        </w:rPr>
        <w:t>The latter's goal is to empower children and their family members’ cognitive and physical abilities and overall</w:t>
      </w:r>
      <w:r w:rsidRPr="002520CF">
        <w:rPr>
          <w:rFonts w:ascii="Times New Roman" w:eastAsia="Calibri" w:hAnsi="Times New Roman" w:cs="Times New Roman"/>
          <w:b/>
          <w:sz w:val="24"/>
          <w:szCs w:val="24"/>
        </w:rPr>
        <w:t xml:space="preserve"> </w:t>
      </w:r>
      <w:r w:rsidRPr="002520CF">
        <w:rPr>
          <w:rFonts w:ascii="Times New Roman" w:eastAsia="Calibri" w:hAnsi="Times New Roman" w:cs="Times New Roman"/>
          <w:sz w:val="24"/>
          <w:szCs w:val="24"/>
        </w:rPr>
        <w:t>support inclusive growth and development.</w:t>
      </w:r>
      <w:r w:rsidRPr="002520CF">
        <w:rPr>
          <w:rFonts w:ascii="Times New Roman" w:eastAsia="Calibri" w:hAnsi="Times New Roman" w:cs="Times New Roman"/>
          <w:b/>
          <w:sz w:val="24"/>
          <w:szCs w:val="24"/>
        </w:rPr>
        <w:t xml:space="preserve"> </w:t>
      </w:r>
      <w:r w:rsidRPr="002520CF">
        <w:rPr>
          <w:rFonts w:ascii="Times New Roman" w:eastAsia="Calibri" w:hAnsi="Times New Roman" w:cs="Times New Roman"/>
          <w:sz w:val="24"/>
          <w:szCs w:val="24"/>
        </w:rPr>
        <w:t>In order to express support for families facing this issue, Tbilisi City Hall launched the "Rehabilitation Program for Children with Autism Spectrum Disorders" in 2015, and 325 children were involved in it. Up to date (2025), 2,400 children and adolescents receive services continuously under the City Hall program.</w:t>
      </w:r>
      <w:r w:rsidR="00025C55">
        <w:rPr>
          <w:rFonts w:ascii="Times New Roman" w:eastAsia="Calibri" w:hAnsi="Times New Roman" w:cs="Times New Roman"/>
          <w:sz w:val="24"/>
          <w:szCs w:val="24"/>
        </w:rPr>
        <w:t xml:space="preserve"> </w:t>
      </w:r>
      <w:r w:rsidRPr="002520CF">
        <w:rPr>
          <w:rFonts w:ascii="Times New Roman" w:eastAsia="Calibri" w:hAnsi="Times New Roman" w:cs="Times New Roman"/>
          <w:sz w:val="24"/>
          <w:szCs w:val="24"/>
        </w:rPr>
        <w:t xml:space="preserve">Within the framework of the program, sessions of at least one hour, determined by an individual plan tailored to the beneficiary, are financed. Nowadays, 11 organizations serve the Tbilisi City Hall program. If in 2015 the budget was half a million GEL, today the program budget is 11,245,000 GEL. </w:t>
      </w:r>
    </w:p>
    <w:p w14:paraId="24D65D6E" w14:textId="77777777" w:rsidR="00CC21A3" w:rsidRPr="002520CF" w:rsidRDefault="00CC21A3" w:rsidP="00A57106">
      <w:pPr>
        <w:numPr>
          <w:ilvl w:val="0"/>
          <w:numId w:val="8"/>
        </w:numPr>
        <w:spacing w:after="120" w:line="240" w:lineRule="auto"/>
        <w:ind w:left="720"/>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 xml:space="preserve">Children's Rehabilitation/Abilitation Program </w:t>
      </w:r>
      <w:r w:rsidRPr="002520CF">
        <w:rPr>
          <w:rFonts w:ascii="Times New Roman" w:eastAsia="Calibri" w:hAnsi="Times New Roman" w:cs="Times New Roman"/>
          <w:sz w:val="24"/>
          <w:szCs w:val="24"/>
        </w:rPr>
        <w:t>-</w:t>
      </w:r>
      <w:r w:rsidR="00025C55">
        <w:rPr>
          <w:rFonts w:ascii="Times New Roman" w:eastAsia="Calibri" w:hAnsi="Times New Roman" w:cs="Times New Roman"/>
          <w:sz w:val="24"/>
          <w:szCs w:val="24"/>
        </w:rPr>
        <w:t xml:space="preserve"> </w:t>
      </w:r>
      <w:r w:rsidRPr="002520CF">
        <w:rPr>
          <w:rFonts w:ascii="Times New Roman" w:eastAsia="Calibri" w:hAnsi="Times New Roman" w:cs="Times New Roman"/>
          <w:sz w:val="24"/>
          <w:szCs w:val="24"/>
        </w:rPr>
        <w:t xml:space="preserve">The goal of the given program is to strengthen the child and family, maximizing the child's physical and intellectual functional potential, improving overall health, quality of life, and promoting inclusive development. The basic package of the program contains - therapeutic intervention: physical therapy, occupational therapy, speech and language therapy, psychological support; The target grpoup of the progeram are - children with disabilities aged 3 years and older (including those in foster care/educational institutions) with the diagnoses listed in the program appendix, as well as children under 3 years of age with the same conditions. As for 2025, there are 6214 beneficiaries. In 2012, the budget of the program was 828,000 - in 2024, it became 12,000,000, and in 2025, 18,000,000 GEL. </w:t>
      </w:r>
    </w:p>
    <w:p w14:paraId="4ECB150F" w14:textId="77777777" w:rsidR="00CC21A3" w:rsidRPr="002520CF" w:rsidRDefault="00CC21A3" w:rsidP="00A57106">
      <w:pPr>
        <w:numPr>
          <w:ilvl w:val="0"/>
          <w:numId w:val="8"/>
        </w:numPr>
        <w:spacing w:after="120" w:line="240" w:lineRule="auto"/>
        <w:ind w:left="720"/>
        <w:jc w:val="both"/>
        <w:rPr>
          <w:rFonts w:ascii="Times New Roman" w:eastAsia="Calibri" w:hAnsi="Times New Roman" w:cs="Times New Roman"/>
          <w:sz w:val="24"/>
          <w:szCs w:val="24"/>
        </w:rPr>
      </w:pPr>
      <w:r w:rsidRPr="002520CF">
        <w:rPr>
          <w:rFonts w:ascii="Times New Roman" w:eastAsia="Calibri" w:hAnsi="Times New Roman" w:cs="Times New Roman"/>
          <w:b/>
          <w:sz w:val="24"/>
          <w:szCs w:val="24"/>
        </w:rPr>
        <w:t>Early Childhood Development Program</w:t>
      </w:r>
      <w:r w:rsidRPr="002520CF">
        <w:rPr>
          <w:rFonts w:ascii="Times New Roman" w:eastAsia="Calibri" w:hAnsi="Times New Roman" w:cs="Times New Roman"/>
          <w:sz w:val="24"/>
          <w:szCs w:val="24"/>
        </w:rPr>
        <w:t xml:space="preserve"> - The program supports family and child services to strengthen the child and family, prevent the development of disabilities, and reduce the risk of abandonment. An individualized plan is created for each child and their family. This plan targets the development of the child's cognitive, motor, social, emotional, self-care, and communication skills. Services are delivered by one or more members of a multidisciplinary team, which may include: Early development specialists; Psychologists; Occupational therapists; Speech therapists; Special education teachers. The objectives of the program are to: Stimulate development in key areas (physical, cognitive, social, emotional, communication, and adaptive behavior); Increase parental knowledge and awareness; Provide support and education for parents and encourage active parental involvement in the child’s development. As of June 2025, 4,831 beneficiaries are included in this program. As for the budget, in 2012 it was 108,000 GEL, and in 2024 it increased to 7,000,000 GEL, and in 2025, it became 9,700,000 GEL. This program is functional in 27 out of 64 municipalities. </w:t>
      </w:r>
    </w:p>
    <w:p w14:paraId="5FF3C0F5" w14:textId="77777777" w:rsidR="00CC21A3" w:rsidRPr="002520CF" w:rsidRDefault="00CC21A3" w:rsidP="00A57106">
      <w:pPr>
        <w:numPr>
          <w:ilvl w:val="0"/>
          <w:numId w:val="8"/>
        </w:numPr>
        <w:spacing w:after="120" w:line="240" w:lineRule="auto"/>
        <w:ind w:left="720"/>
        <w:jc w:val="both"/>
        <w:rPr>
          <w:rFonts w:ascii="Times New Roman" w:eastAsia="Calibri" w:hAnsi="Times New Roman" w:cs="Times New Roman"/>
          <w:b/>
          <w:sz w:val="24"/>
          <w:szCs w:val="24"/>
        </w:rPr>
      </w:pPr>
      <w:r w:rsidRPr="002520CF">
        <w:rPr>
          <w:rFonts w:ascii="Times New Roman" w:eastAsia="Calibri" w:hAnsi="Times New Roman" w:cs="Times New Roman"/>
          <w:b/>
          <w:sz w:val="24"/>
          <w:szCs w:val="24"/>
        </w:rPr>
        <w:lastRenderedPageBreak/>
        <w:t xml:space="preserve">Pediatric long-term care - </w:t>
      </w:r>
      <w:r w:rsidRPr="002520CF">
        <w:rPr>
          <w:rFonts w:ascii="Times New Roman" w:eastAsia="Calibri" w:hAnsi="Times New Roman" w:cs="Times New Roman"/>
          <w:sz w:val="24"/>
          <w:szCs w:val="24"/>
        </w:rPr>
        <w:t xml:space="preserve">The target audience for the latter program is children with disabilities under the age of 18 in care, with complex medical needs. The measures take into account the psychological, developmental, educational, social, and other needs of the child. Services are provided individually, taking into account the type of disease, functional capabilities, age, gender, ethnicity, and financial situation, as well as respecting the child’s established habits. A multidisciplinary team is involved in the care process. They jointly plan, make decisions, and implement care. The plan includes rehabilitation, physical and play therapy, palliative care, and educational services. Support for the child's connection with his/her biological family is ensured, unless this is contrary to the child's best interests. Adequate food, clothing, and personal belongings are also provided. The beneficiaries for June 2025 are 14 children, and the budget is 1,200,000 GEL (240 GEL per day for each child). It is important to underline that the given program is the newest of all the above-mentioned. </w:t>
      </w:r>
    </w:p>
    <w:p w14:paraId="253E4F0C" w14:textId="77777777" w:rsidR="00CC21A3" w:rsidRPr="002520CF" w:rsidRDefault="00CC21A3" w:rsidP="00A57106">
      <w:pPr>
        <w:spacing w:after="120" w:line="240" w:lineRule="auto"/>
        <w:jc w:val="both"/>
        <w:rPr>
          <w:rFonts w:ascii="Times New Roman" w:eastAsia="Calibri" w:hAnsi="Times New Roman" w:cs="Times New Roman"/>
          <w:b/>
          <w:sz w:val="24"/>
          <w:szCs w:val="24"/>
          <w:u w:val="single"/>
        </w:rPr>
      </w:pPr>
      <w:r w:rsidRPr="002520CF">
        <w:rPr>
          <w:rFonts w:ascii="Times New Roman" w:eastAsia="Calibri" w:hAnsi="Times New Roman" w:cs="Times New Roman"/>
          <w:b/>
          <w:sz w:val="24"/>
          <w:szCs w:val="24"/>
          <w:u w:val="single"/>
        </w:rPr>
        <w:t>Other</w:t>
      </w:r>
    </w:p>
    <w:p w14:paraId="626B433E" w14:textId="77777777" w:rsidR="00CC21A3" w:rsidRPr="002520CF" w:rsidRDefault="00CC21A3" w:rsidP="00A57106">
      <w:pPr>
        <w:spacing w:after="120" w:line="240" w:lineRule="auto"/>
        <w:jc w:val="both"/>
        <w:rPr>
          <w:rFonts w:ascii="Times New Roman" w:eastAsia="Calibri" w:hAnsi="Times New Roman" w:cs="Times New Roman"/>
          <w:sz w:val="24"/>
          <w:szCs w:val="24"/>
        </w:rPr>
      </w:pPr>
      <w:r w:rsidRPr="002520CF">
        <w:rPr>
          <w:rFonts w:ascii="Times New Roman" w:eastAsia="Calibri" w:hAnsi="Times New Roman" w:cs="Times New Roman"/>
          <w:sz w:val="24"/>
          <w:szCs w:val="24"/>
        </w:rPr>
        <w:t>The Paralympic movement in Georgia plays a key role in raising awareness, promoting inclusion, and shifting public perceptions of disability. Since 2012, state support has grown significantly—from a 27,000 GEL budget to 7 million GEL today—enabling the expansion from just 3 to 400 para-athletes, including wounded military personnel. Georgian para-athletes, now world and European champions, serve as role models and advocates for healthy, independent living. Legislative reforms have granted Paralympic sports equal status with Olympic sports, ensuring equal funding, stipends, and access to training and international competition. The record-breaking performances at the Paris 2024 Paralympic Games, broadcast live by the Public Broadcaster, sparked a societal “mental revolution,” moving a powerful force for equality and dignity.</w:t>
      </w:r>
    </w:p>
    <w:p w14:paraId="47FF9117" w14:textId="77777777" w:rsidR="00CC21A3" w:rsidRPr="002520CF" w:rsidRDefault="00CC21A3" w:rsidP="00CC21A3">
      <w:pPr>
        <w:spacing w:after="120"/>
        <w:jc w:val="both"/>
        <w:rPr>
          <w:rFonts w:ascii="Times New Roman" w:eastAsia="Calibri" w:hAnsi="Times New Roman" w:cs="Times New Roman"/>
          <w:sz w:val="24"/>
          <w:szCs w:val="24"/>
        </w:rPr>
      </w:pPr>
    </w:p>
    <w:p w14:paraId="326E0AF4" w14:textId="77777777" w:rsidR="00CA7995" w:rsidRPr="002520CF" w:rsidRDefault="00CA7995">
      <w:pPr>
        <w:rPr>
          <w:rFonts w:ascii="Times New Roman" w:hAnsi="Times New Roman" w:cs="Times New Roman"/>
          <w:sz w:val="24"/>
          <w:szCs w:val="24"/>
        </w:rPr>
      </w:pPr>
    </w:p>
    <w:sectPr w:rsidR="00CA7995" w:rsidRPr="002520CF" w:rsidSect="003B5DA6">
      <w:headerReference w:type="even" r:id="rId7"/>
      <w:headerReference w:type="default" r:id="rId8"/>
      <w:footerReference w:type="even" r:id="rId9"/>
      <w:footerReference w:type="default" r:id="rId10"/>
      <w:headerReference w:type="first" r:id="rId11"/>
      <w:footerReference w:type="first" r:id="rId12"/>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8E2BC" w14:textId="77777777" w:rsidR="00A01F96" w:rsidRDefault="00A01F96" w:rsidP="00CC21A3">
      <w:pPr>
        <w:spacing w:line="240" w:lineRule="auto"/>
      </w:pPr>
      <w:r>
        <w:separator/>
      </w:r>
    </w:p>
  </w:endnote>
  <w:endnote w:type="continuationSeparator" w:id="0">
    <w:p w14:paraId="2DD96AF5" w14:textId="77777777" w:rsidR="00A01F96" w:rsidRDefault="00A01F96" w:rsidP="00CC2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165F1" w14:textId="77777777" w:rsidR="00A73E33" w:rsidRDefault="00A73E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629065"/>
      <w:docPartObj>
        <w:docPartGallery w:val="Page Numbers (Bottom of Page)"/>
        <w:docPartUnique/>
      </w:docPartObj>
    </w:sdtPr>
    <w:sdtEndPr>
      <w:rPr>
        <w:rFonts w:ascii="Times New Roman" w:hAnsi="Times New Roman" w:cs="Times New Roman"/>
        <w:noProof/>
      </w:rPr>
    </w:sdtEndPr>
    <w:sdtContent>
      <w:p w14:paraId="78173119" w14:textId="77777777" w:rsidR="00A57106" w:rsidRPr="00A57106" w:rsidRDefault="00A57106">
        <w:pPr>
          <w:pStyle w:val="Footer"/>
          <w:jc w:val="right"/>
          <w:rPr>
            <w:rFonts w:ascii="Times New Roman" w:hAnsi="Times New Roman" w:cs="Times New Roman"/>
          </w:rPr>
        </w:pPr>
        <w:r w:rsidRPr="00A57106">
          <w:rPr>
            <w:rFonts w:ascii="Times New Roman" w:hAnsi="Times New Roman" w:cs="Times New Roman"/>
          </w:rPr>
          <w:fldChar w:fldCharType="begin"/>
        </w:r>
        <w:r w:rsidRPr="00A57106">
          <w:rPr>
            <w:rFonts w:ascii="Times New Roman" w:hAnsi="Times New Roman" w:cs="Times New Roman"/>
          </w:rPr>
          <w:instrText xml:space="preserve"> PAGE   \* MERGEFORMAT </w:instrText>
        </w:r>
        <w:r w:rsidRPr="00A57106">
          <w:rPr>
            <w:rFonts w:ascii="Times New Roman" w:hAnsi="Times New Roman" w:cs="Times New Roman"/>
          </w:rPr>
          <w:fldChar w:fldCharType="separate"/>
        </w:r>
        <w:r w:rsidR="00A73E33">
          <w:rPr>
            <w:rFonts w:ascii="Times New Roman" w:hAnsi="Times New Roman" w:cs="Times New Roman"/>
            <w:noProof/>
          </w:rPr>
          <w:t>1</w:t>
        </w:r>
        <w:r w:rsidRPr="00A57106">
          <w:rPr>
            <w:rFonts w:ascii="Times New Roman" w:hAnsi="Times New Roman" w:cs="Times New Roman"/>
            <w:noProof/>
          </w:rPr>
          <w:fldChar w:fldCharType="end"/>
        </w:r>
      </w:p>
    </w:sdtContent>
  </w:sdt>
  <w:p w14:paraId="2CC38F6F" w14:textId="77777777" w:rsidR="00A57106" w:rsidRDefault="00A571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ADAFE" w14:textId="77777777" w:rsidR="00A73E33" w:rsidRDefault="00A73E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52739" w14:textId="77777777" w:rsidR="00A01F96" w:rsidRDefault="00A01F96" w:rsidP="00CC21A3">
      <w:pPr>
        <w:spacing w:line="240" w:lineRule="auto"/>
      </w:pPr>
      <w:r>
        <w:separator/>
      </w:r>
    </w:p>
  </w:footnote>
  <w:footnote w:type="continuationSeparator" w:id="0">
    <w:p w14:paraId="1D8740F9" w14:textId="77777777" w:rsidR="00A01F96" w:rsidRDefault="00A01F96" w:rsidP="00CC21A3">
      <w:pPr>
        <w:spacing w:line="240" w:lineRule="auto"/>
      </w:pPr>
      <w:r>
        <w:continuationSeparator/>
      </w:r>
    </w:p>
  </w:footnote>
  <w:footnote w:id="1">
    <w:p w14:paraId="0129E147" w14:textId="77777777" w:rsidR="00CC21A3" w:rsidRDefault="00CC21A3" w:rsidP="00CC21A3">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It is important to mention that before amending law, in 2019, the service provider organizations were only 195. Nowadays, the number of the organizations has almost tripled.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25CCC" w14:textId="77777777" w:rsidR="00A73E33" w:rsidRDefault="00A73E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7638D" w14:textId="77777777" w:rsidR="00A73E33" w:rsidRDefault="00A73E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6D679" w14:textId="77777777" w:rsidR="00A73E33" w:rsidRDefault="00A73E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C64C5"/>
    <w:multiLevelType w:val="multilevel"/>
    <w:tmpl w:val="296A2E2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C8D3072"/>
    <w:multiLevelType w:val="multilevel"/>
    <w:tmpl w:val="8F342552"/>
    <w:lvl w:ilvl="0">
      <w:start w:val="1"/>
      <w:numFmt w:val="bullet"/>
      <w:lvlText w:val="●"/>
      <w:lvlJc w:val="left"/>
      <w:pPr>
        <w:ind w:left="2160" w:hanging="360"/>
      </w:pPr>
      <w:rPr>
        <w:strike w:val="0"/>
        <w:dstrike w:val="0"/>
        <w:u w:val="none"/>
        <w:effect w:val="none"/>
      </w:rPr>
    </w:lvl>
    <w:lvl w:ilvl="1">
      <w:start w:val="1"/>
      <w:numFmt w:val="bullet"/>
      <w:lvlText w:val="○"/>
      <w:lvlJc w:val="left"/>
      <w:pPr>
        <w:ind w:left="2880" w:hanging="360"/>
      </w:pPr>
      <w:rPr>
        <w:strike w:val="0"/>
        <w:dstrike w:val="0"/>
        <w:u w:val="none"/>
        <w:effect w:val="none"/>
      </w:rPr>
    </w:lvl>
    <w:lvl w:ilvl="2">
      <w:start w:val="1"/>
      <w:numFmt w:val="bullet"/>
      <w:lvlText w:val="■"/>
      <w:lvlJc w:val="left"/>
      <w:pPr>
        <w:ind w:left="3600" w:hanging="360"/>
      </w:pPr>
      <w:rPr>
        <w:strike w:val="0"/>
        <w:dstrike w:val="0"/>
        <w:u w:val="none"/>
        <w:effect w:val="none"/>
      </w:rPr>
    </w:lvl>
    <w:lvl w:ilvl="3">
      <w:start w:val="1"/>
      <w:numFmt w:val="bullet"/>
      <w:lvlText w:val="●"/>
      <w:lvlJc w:val="left"/>
      <w:pPr>
        <w:ind w:left="4320" w:hanging="360"/>
      </w:pPr>
      <w:rPr>
        <w:strike w:val="0"/>
        <w:dstrike w:val="0"/>
        <w:u w:val="none"/>
        <w:effect w:val="none"/>
      </w:rPr>
    </w:lvl>
    <w:lvl w:ilvl="4">
      <w:start w:val="1"/>
      <w:numFmt w:val="bullet"/>
      <w:lvlText w:val="○"/>
      <w:lvlJc w:val="left"/>
      <w:pPr>
        <w:ind w:left="5040" w:hanging="360"/>
      </w:pPr>
      <w:rPr>
        <w:strike w:val="0"/>
        <w:dstrike w:val="0"/>
        <w:u w:val="none"/>
        <w:effect w:val="none"/>
      </w:rPr>
    </w:lvl>
    <w:lvl w:ilvl="5">
      <w:start w:val="1"/>
      <w:numFmt w:val="bullet"/>
      <w:lvlText w:val="■"/>
      <w:lvlJc w:val="left"/>
      <w:pPr>
        <w:ind w:left="5760" w:hanging="360"/>
      </w:pPr>
      <w:rPr>
        <w:strike w:val="0"/>
        <w:dstrike w:val="0"/>
        <w:u w:val="none"/>
        <w:effect w:val="none"/>
      </w:rPr>
    </w:lvl>
    <w:lvl w:ilvl="6">
      <w:start w:val="1"/>
      <w:numFmt w:val="bullet"/>
      <w:lvlText w:val="●"/>
      <w:lvlJc w:val="left"/>
      <w:pPr>
        <w:ind w:left="6480" w:hanging="360"/>
      </w:pPr>
      <w:rPr>
        <w:strike w:val="0"/>
        <w:dstrike w:val="0"/>
        <w:u w:val="none"/>
        <w:effect w:val="none"/>
      </w:rPr>
    </w:lvl>
    <w:lvl w:ilvl="7">
      <w:start w:val="1"/>
      <w:numFmt w:val="bullet"/>
      <w:lvlText w:val="○"/>
      <w:lvlJc w:val="left"/>
      <w:pPr>
        <w:ind w:left="7200" w:hanging="360"/>
      </w:pPr>
      <w:rPr>
        <w:strike w:val="0"/>
        <w:dstrike w:val="0"/>
        <w:u w:val="none"/>
        <w:effect w:val="none"/>
      </w:rPr>
    </w:lvl>
    <w:lvl w:ilvl="8">
      <w:start w:val="1"/>
      <w:numFmt w:val="bullet"/>
      <w:lvlText w:val="■"/>
      <w:lvlJc w:val="left"/>
      <w:pPr>
        <w:ind w:left="7920" w:hanging="360"/>
      </w:pPr>
      <w:rPr>
        <w:strike w:val="0"/>
        <w:dstrike w:val="0"/>
        <w:u w:val="none"/>
        <w:effect w:val="none"/>
      </w:rPr>
    </w:lvl>
  </w:abstractNum>
  <w:abstractNum w:abstractNumId="2" w15:restartNumberingAfterBreak="0">
    <w:nsid w:val="1C564B18"/>
    <w:multiLevelType w:val="multilevel"/>
    <w:tmpl w:val="3BAC7E3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15:restartNumberingAfterBreak="0">
    <w:nsid w:val="1DA31CCC"/>
    <w:multiLevelType w:val="multilevel"/>
    <w:tmpl w:val="0DD63D86"/>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4" w15:restartNumberingAfterBreak="0">
    <w:nsid w:val="1F0A7D3F"/>
    <w:multiLevelType w:val="multilevel"/>
    <w:tmpl w:val="70DAEA3A"/>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 w15:restartNumberingAfterBreak="0">
    <w:nsid w:val="26DD2A35"/>
    <w:multiLevelType w:val="multilevel"/>
    <w:tmpl w:val="D0F4C7E6"/>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6" w15:restartNumberingAfterBreak="0">
    <w:nsid w:val="3220405B"/>
    <w:multiLevelType w:val="multilevel"/>
    <w:tmpl w:val="D92CF5BE"/>
    <w:lvl w:ilvl="0">
      <w:start w:val="1"/>
      <w:numFmt w:val="bullet"/>
      <w:lvlText w:val="●"/>
      <w:lvlJc w:val="left"/>
      <w:pPr>
        <w:ind w:left="1440" w:hanging="360"/>
      </w:pPr>
      <w:rPr>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7" w15:restartNumberingAfterBreak="0">
    <w:nsid w:val="7BF07FF2"/>
    <w:multiLevelType w:val="multilevel"/>
    <w:tmpl w:val="9128574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7327345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7708887">
    <w:abstractNumId w:val="6"/>
  </w:num>
  <w:num w:numId="3" w16cid:durableId="69616966">
    <w:abstractNumId w:val="3"/>
  </w:num>
  <w:num w:numId="4" w16cid:durableId="1390305015">
    <w:abstractNumId w:val="5"/>
  </w:num>
  <w:num w:numId="5" w16cid:durableId="535854565">
    <w:abstractNumId w:val="7"/>
  </w:num>
  <w:num w:numId="6" w16cid:durableId="2008315282">
    <w:abstractNumId w:val="0"/>
  </w:num>
  <w:num w:numId="7" w16cid:durableId="294257716">
    <w:abstractNumId w:val="4"/>
  </w:num>
  <w:num w:numId="8" w16cid:durableId="1851866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GrammaticalErrors/>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D24"/>
    <w:rsid w:val="000220B8"/>
    <w:rsid w:val="00025C55"/>
    <w:rsid w:val="00031E55"/>
    <w:rsid w:val="00097A62"/>
    <w:rsid w:val="000A53A6"/>
    <w:rsid w:val="002520CF"/>
    <w:rsid w:val="003B2CFC"/>
    <w:rsid w:val="003B5DA6"/>
    <w:rsid w:val="00670FAA"/>
    <w:rsid w:val="007E10A5"/>
    <w:rsid w:val="00A01F96"/>
    <w:rsid w:val="00A57106"/>
    <w:rsid w:val="00A73E33"/>
    <w:rsid w:val="00CA7995"/>
    <w:rsid w:val="00CC21A3"/>
    <w:rsid w:val="00E7122A"/>
    <w:rsid w:val="00F86D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90CB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A3"/>
    <w:pPr>
      <w:spacing w:after="0" w:line="276" w:lineRule="auto"/>
    </w:pPr>
    <w:rPr>
      <w:rFonts w:ascii="Arial" w:eastAsia="Arial" w:hAnsi="Arial" w:cs="Arial"/>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7106"/>
    <w:pPr>
      <w:tabs>
        <w:tab w:val="center" w:pos="4680"/>
        <w:tab w:val="right" w:pos="9360"/>
      </w:tabs>
      <w:spacing w:line="240" w:lineRule="auto"/>
    </w:pPr>
  </w:style>
  <w:style w:type="character" w:customStyle="1" w:styleId="HeaderChar">
    <w:name w:val="Header Char"/>
    <w:basedOn w:val="DefaultParagraphFont"/>
    <w:link w:val="Header"/>
    <w:uiPriority w:val="99"/>
    <w:rsid w:val="00A57106"/>
    <w:rPr>
      <w:rFonts w:ascii="Arial" w:eastAsia="Arial" w:hAnsi="Arial" w:cs="Arial"/>
      <w:lang w:val="en"/>
    </w:rPr>
  </w:style>
  <w:style w:type="paragraph" w:styleId="Footer">
    <w:name w:val="footer"/>
    <w:basedOn w:val="Normal"/>
    <w:link w:val="FooterChar"/>
    <w:uiPriority w:val="99"/>
    <w:unhideWhenUsed/>
    <w:rsid w:val="00A57106"/>
    <w:pPr>
      <w:tabs>
        <w:tab w:val="center" w:pos="4680"/>
        <w:tab w:val="right" w:pos="9360"/>
      </w:tabs>
      <w:spacing w:line="240" w:lineRule="auto"/>
    </w:pPr>
  </w:style>
  <w:style w:type="character" w:customStyle="1" w:styleId="FooterChar">
    <w:name w:val="Footer Char"/>
    <w:basedOn w:val="DefaultParagraphFont"/>
    <w:link w:val="Footer"/>
    <w:uiPriority w:val="99"/>
    <w:rsid w:val="00A57106"/>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65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2025-08-07T18:57:08+00:00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1408B13-8632-418C-9ACD-713395DD8C3D}"/>
</file>

<file path=customXml/itemProps2.xml><?xml version="1.0" encoding="utf-8"?>
<ds:datastoreItem xmlns:ds="http://schemas.openxmlformats.org/officeDocument/2006/customXml" ds:itemID="{A2C14547-794D-431E-99F8-0BB55FA729B2}"/>
</file>

<file path=customXml/itemProps3.xml><?xml version="1.0" encoding="utf-8"?>
<ds:datastoreItem xmlns:ds="http://schemas.openxmlformats.org/officeDocument/2006/customXml" ds:itemID="{F77C6D2D-0143-4ACE-8C68-F1224F2307C6}"/>
</file>

<file path=docProps/app.xml><?xml version="1.0" encoding="utf-8"?>
<Properties xmlns="http://schemas.openxmlformats.org/officeDocument/2006/extended-properties" xmlns:vt="http://schemas.openxmlformats.org/officeDocument/2006/docPropsVTypes">
  <Template>Normal</Template>
  <TotalTime>0</TotalTime>
  <Pages>6</Pages>
  <Words>3008</Words>
  <Characters>17151</Characters>
  <Application>Microsoft Office Word</Application>
  <DocSecurity>4</DocSecurity>
  <Lines>142</Lines>
  <Paragraphs>40</Paragraphs>
  <ScaleCrop>false</ScaleCrop>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2025-08-07T18:57:00Z</dcterms:created>
  <dcterms:modified xsi:type="dcterms:W3CDTF">2025-08-07T18:57:00Z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