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200" w:before="280" w:line="360" w:lineRule="auto"/>
        <w:rPr/>
      </w:pPr>
      <w:bookmarkStart w:colFirst="0" w:colLast="0" w:name="_heading=h.wy9i70mdhifg" w:id="0"/>
      <w:bookmarkEnd w:id="0"/>
      <w:r w:rsidDel="00000000" w:rsidR="00000000" w:rsidRPr="00000000">
        <w:rPr>
          <w:rtl w:val="0"/>
        </w:rPr>
        <w:t xml:space="preserve">Introducción</w:t>
      </w:r>
    </w:p>
    <w:p w:rsidR="00000000" w:rsidDel="00000000" w:rsidP="00000000" w:rsidRDefault="00000000" w:rsidRPr="00000000" w14:paraId="00000002">
      <w:pPr>
        <w:spacing w:after="200" w:before="240" w:line="360" w:lineRule="auto"/>
        <w:rPr/>
      </w:pPr>
      <w:r w:rsidDel="00000000" w:rsidR="00000000" w:rsidRPr="00000000">
        <w:rPr>
          <w:rtl w:val="0"/>
        </w:rPr>
        <w:t xml:space="preserve">El presente informe es presentado por el Grupo de trabajo de Agenda CEDAW y la Red Feminista contra la Violencia, en el marco del procedimiento de seguimiento de las Observaciones Finales del Comité CEDAW a Costa Rica (VIII informe periódico, 2023). El documento se centra en tres áreas críticas señaladas como prioritarias: </w:t>
      </w:r>
    </w:p>
    <w:p w:rsidR="00000000" w:rsidDel="00000000" w:rsidP="00000000" w:rsidRDefault="00000000" w:rsidRPr="00000000" w14:paraId="00000003">
      <w:pPr>
        <w:spacing w:after="200" w:before="240" w:line="360" w:lineRule="auto"/>
        <w:rPr/>
      </w:pPr>
      <w:r w:rsidDel="00000000" w:rsidR="00000000" w:rsidRPr="00000000">
        <w:rPr>
          <w:rtl w:val="0"/>
        </w:rPr>
        <w:t xml:space="preserve">1. El debilitamiento del sistema nacional de protección contra la violencia basada en género, con énfasis en el Instituto Nacional de las Mujeres (INAMU) como ente rector; </w:t>
      </w:r>
    </w:p>
    <w:p w:rsidR="00000000" w:rsidDel="00000000" w:rsidP="00000000" w:rsidRDefault="00000000" w:rsidRPr="00000000" w14:paraId="00000004">
      <w:pPr>
        <w:spacing w:after="200" w:before="240" w:line="360" w:lineRule="auto"/>
        <w:rPr/>
      </w:pPr>
      <w:r w:rsidDel="00000000" w:rsidR="00000000" w:rsidRPr="00000000">
        <w:rPr>
          <w:rtl w:val="0"/>
        </w:rPr>
        <w:t xml:space="preserve">2. La falta de implementación del aborto terapéutico y de servicios de salud sexual y reproductiva; y </w:t>
      </w:r>
    </w:p>
    <w:p w:rsidR="00000000" w:rsidDel="00000000" w:rsidP="00000000" w:rsidRDefault="00000000" w:rsidRPr="00000000" w14:paraId="00000005">
      <w:pPr>
        <w:spacing w:after="200" w:before="240" w:line="360" w:lineRule="auto"/>
        <w:rPr/>
      </w:pPr>
      <w:r w:rsidDel="00000000" w:rsidR="00000000" w:rsidRPr="00000000">
        <w:rPr>
          <w:rtl w:val="0"/>
        </w:rPr>
        <w:t xml:space="preserve">3.  Los retrocesos en la educación sexual integral. </w:t>
      </w:r>
    </w:p>
    <w:p w:rsidR="00000000" w:rsidDel="00000000" w:rsidP="00000000" w:rsidRDefault="00000000" w:rsidRPr="00000000" w14:paraId="00000006">
      <w:pPr>
        <w:pStyle w:val="Heading1"/>
        <w:keepNext w:val="0"/>
        <w:keepLines w:val="0"/>
        <w:spacing w:after="200" w:before="360" w:line="360" w:lineRule="auto"/>
        <w:rPr/>
      </w:pPr>
      <w:bookmarkStart w:colFirst="0" w:colLast="0" w:name="_heading=h.rw9etadcc5zm" w:id="1"/>
      <w:bookmarkEnd w:id="1"/>
      <w:r w:rsidDel="00000000" w:rsidR="00000000" w:rsidRPr="00000000">
        <w:rPr>
          <w:rtl w:val="0"/>
        </w:rPr>
        <w:t xml:space="preserve">1. Sistema de protección contra la violencia de género e INAMU</w:t>
      </w:r>
    </w:p>
    <w:p w:rsidR="00000000" w:rsidDel="00000000" w:rsidP="00000000" w:rsidRDefault="00000000" w:rsidRPr="00000000" w14:paraId="00000007">
      <w:pPr>
        <w:spacing w:after="200" w:line="360" w:lineRule="auto"/>
        <w:rPr/>
      </w:pPr>
      <w:r w:rsidDel="00000000" w:rsidR="00000000" w:rsidRPr="00000000">
        <w:rPr>
          <w:rtl w:val="0"/>
        </w:rPr>
        <w:t xml:space="preserve">En sus Observaciones Finales de 2023 (párrs. 15–16)</w:t>
      </w:r>
      <w:r w:rsidDel="00000000" w:rsidR="00000000" w:rsidRPr="00000000">
        <w:rPr>
          <w:vertAlign w:val="superscript"/>
        </w:rPr>
        <w:footnoteReference w:customMarkFollows="0" w:id="0"/>
      </w:r>
      <w:r w:rsidDel="00000000" w:rsidR="00000000" w:rsidRPr="00000000">
        <w:rPr>
          <w:rtl w:val="0"/>
        </w:rPr>
        <w:t xml:space="preserve">, el Comité CEDAW advirtió sobre el debilitamiento de los mecanismos nacionales para el adelanto de la mujer y la incorporación de la perspectiva de género. Señaló en particular las amenazas al Instituto Nacional de las Mujeres (INAMU), las limitaciones de las Oficinas Municipales de la Mujer (OFIMs) y la falta de coordinación con la sociedad civil.</w:t>
      </w:r>
    </w:p>
    <w:p w:rsidR="00000000" w:rsidDel="00000000" w:rsidP="00000000" w:rsidRDefault="00000000" w:rsidRPr="00000000" w14:paraId="00000008">
      <w:pPr>
        <w:pStyle w:val="Heading2"/>
        <w:spacing w:after="200" w:line="360" w:lineRule="auto"/>
        <w:rPr/>
      </w:pPr>
      <w:bookmarkStart w:colFirst="0" w:colLast="0" w:name="_heading=h.a3jt7t6j5imn" w:id="2"/>
      <w:bookmarkEnd w:id="2"/>
      <w:r w:rsidDel="00000000" w:rsidR="00000000" w:rsidRPr="00000000">
        <w:rPr>
          <w:rtl w:val="0"/>
        </w:rPr>
        <w:t xml:space="preserve">Estado actual: No implementada. </w:t>
      </w:r>
    </w:p>
    <w:p w:rsidR="00000000" w:rsidDel="00000000" w:rsidP="00000000" w:rsidRDefault="00000000" w:rsidRPr="00000000" w14:paraId="00000009">
      <w:pPr>
        <w:rPr/>
      </w:pPr>
      <w:r w:rsidDel="00000000" w:rsidR="00000000" w:rsidRPr="00000000">
        <w:rPr>
          <w:rtl w:val="0"/>
        </w:rPr>
        <w:t xml:space="preserve">El INAMU ha sido objeto de recortes presupuestarios, intentos de reestructuración y discursos deslegitimadores que han debilitado su rol rector. La actual administración ha dejado de lado la implementación de la Política Nacional para la Atención y la Prevención de la Violencia contra las Mujeres 2017–2032, lo que ha erosionado el Sistema Nacional creado por la Ley 8668. En su lugar, se ha impulsado la llamada Ruta del Género 2.0, cuyo eje principal son los “Puntos Violeta”. Estos funcionan bajo un esquema de tercerización de servicios, atendidos por personas sin especialización en violencia contra las mujeres, y no han mostrado eficacia frente al incremento sostenido de los femicidios en los últimos años (según informes de auditoría</w:t>
      </w:r>
      <w:r w:rsidDel="00000000" w:rsidR="00000000" w:rsidRPr="00000000">
        <w:rPr>
          <w:vertAlign w:val="superscript"/>
        </w:rPr>
        <w:footnoteReference w:customMarkFollows="0" w:id="1"/>
      </w:r>
      <w:r w:rsidDel="00000000" w:rsidR="00000000" w:rsidRPr="00000000">
        <w:rPr>
          <w:rtl w:val="0"/>
        </w:rPr>
        <w:t xml:space="preserve">, de la Defensoría de los Habitantes</w:t>
      </w:r>
      <w:r w:rsidDel="00000000" w:rsidR="00000000" w:rsidRPr="00000000">
        <w:rPr>
          <w:vertAlign w:val="superscript"/>
        </w:rPr>
        <w:footnoteReference w:customMarkFollows="0" w:id="2"/>
      </w:r>
      <w:r w:rsidDel="00000000" w:rsidR="00000000" w:rsidRPr="00000000">
        <w:rPr>
          <w:rtl w:val="0"/>
        </w:rPr>
        <w:t xml:space="preserve"> y del Observatorio del Poder Judicial</w:t>
      </w:r>
      <w:r w:rsidDel="00000000" w:rsidR="00000000" w:rsidRPr="00000000">
        <w:rPr>
          <w:vertAlign w:val="superscript"/>
        </w:rPr>
        <w:footnoteReference w:customMarkFollows="0" w:id="3"/>
      </w:r>
      <w:r w:rsidDel="00000000" w:rsidR="00000000" w:rsidRPr="00000000">
        <w:rPr>
          <w:rtl w:val="0"/>
        </w:rPr>
        <w:t xml:space="preserve"> asi como sociedad civil</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t xml:space="preserve">Se ha llegado al punto en que la ex Ministra de la Condición de la Mujer, que renunció para optar por una candidatura a diputación</w:t>
      </w:r>
      <w:r w:rsidDel="00000000" w:rsidR="00000000" w:rsidRPr="00000000">
        <w:rPr>
          <w:vertAlign w:val="superscript"/>
        </w:rPr>
        <w:footnoteReference w:customMarkFollows="0" w:id="5"/>
      </w:r>
      <w:r w:rsidDel="00000000" w:rsidR="00000000" w:rsidRPr="00000000">
        <w:rPr>
          <w:rtl w:val="0"/>
        </w:rPr>
        <w:t xml:space="preserve"> depositó en las víctimas la responsabilidad de vivir violencia.</w:t>
      </w:r>
      <w:r w:rsidDel="00000000" w:rsidR="00000000" w:rsidRPr="00000000">
        <w:rPr>
          <w:vertAlign w:val="superscript"/>
        </w:rPr>
        <w:footnoteReference w:customMarkFollows="0" w:id="6"/>
      </w:r>
      <w:r w:rsidDel="00000000" w:rsidR="00000000" w:rsidRPr="00000000">
        <w:rPr>
          <w:rtl w:val="0"/>
        </w:rPr>
        <w:t xml:space="preserve"> </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Aún más, en 2025 se ha evidenciado un incremento alarmante de los discursos de odio en Costa Rica, con más de 2.1 millones de mensajes registrados en redes sociales. De ese total, alrededor de 491 000 estuvieron dirigidos específicamente contra mujeres, reproduciendo estereotipos, descalificaciones y justificaciones de la violencia que buscan deslegitimar su participación pública y sus liderazgos.</w:t>
      </w:r>
      <w:r w:rsidDel="00000000" w:rsidR="00000000" w:rsidRPr="00000000">
        <w:rPr>
          <w:vertAlign w:val="superscript"/>
        </w:rPr>
        <w:footnoteReference w:customMarkFollows="0" w:id="10"/>
      </w:r>
      <w:r w:rsidDel="00000000" w:rsidR="00000000" w:rsidRPr="00000000">
        <w:rPr>
          <w:rtl w:val="0"/>
        </w:rPr>
        <w:t xml:space="preserve"> Estos datos reflejan una tendencia sostenida de hostigamiento y ataques misóginos que, sumados al debilitamiento institucional del INAMU y al hostigamiento hacia organizaciones feministas y defensoras de derechos humanos, agravan la vulnerabilidad de las mujeres frente a la violencia y limitan la capacidad de la sociedad civil de incidir en la defensa de sus derechos.</w:t>
      </w:r>
    </w:p>
    <w:p w:rsidR="00000000" w:rsidDel="00000000" w:rsidP="00000000" w:rsidRDefault="00000000" w:rsidRPr="00000000" w14:paraId="0000000C">
      <w:pPr>
        <w:spacing w:after="240" w:before="240" w:lineRule="auto"/>
        <w:rPr/>
      </w:pPr>
      <w:r w:rsidDel="00000000" w:rsidR="00000000" w:rsidRPr="00000000">
        <w:rPr>
          <w:rtl w:val="0"/>
        </w:rPr>
        <w:t xml:space="preserve">La desarticulación del sistema de atención previsto en la Ley 8688 y el desvío de recursos hacia proyectos de corto plazo han debilitado aún más la respuesta estatal. Paralelamente, se registra hostigamiento y deslegitimación hacia organizaciones feministas y defensoras de derechos humanos, lo que restringe la capacidad de acción de la sociedad civil en este ámbito.</w:t>
      </w:r>
      <w:r w:rsidDel="00000000" w:rsidR="00000000" w:rsidRPr="00000000">
        <w:rPr>
          <w:vertAlign w:val="superscript"/>
        </w:rPr>
        <w:footnoteReference w:customMarkFollows="0" w:id="11"/>
      </w:r>
      <w:r w:rsidDel="00000000" w:rsidR="00000000" w:rsidRPr="00000000">
        <w:rPr>
          <w:rtl w:val="0"/>
        </w:rPr>
        <w:t xml:space="preserve"> Esto además se suma a que se mantiene en la oscuridad a sociedad civil en procesos tan importantes como los mecanismos de derechos humanos incluyendo el mecanismo del Comité CEDAW sin que se haya recibido apoyo técnico del Sistema de Naciones Unidas en Costa Rica para este proceso de informe de seguimiento al comité CEDAW.</w:t>
      </w:r>
    </w:p>
    <w:p w:rsidR="00000000" w:rsidDel="00000000" w:rsidP="00000000" w:rsidRDefault="00000000" w:rsidRPr="00000000" w14:paraId="0000000D">
      <w:pPr>
        <w:spacing w:after="240" w:before="240" w:lineRule="auto"/>
        <w:rPr/>
      </w:pPr>
      <w:r w:rsidDel="00000000" w:rsidR="00000000" w:rsidRPr="00000000">
        <w:rPr>
          <w:rtl w:val="0"/>
        </w:rPr>
        <w:t xml:space="preserve">Las Oficinas Municipales de la Mujer, concebidas como el brazo territorial de las políticas de igualdad y de atención a la violencia contra las mujeres, son cada día menos y operan actualmente con presupuestos mínimos, sin personal especializado ni estabilidad laboral. Esto limita gravemente su capacidad de respuesta frente a las necesidades de las  mujeres en  comunidades. El debilitamiento del INAMU como ente rector repercute directamente en estas oficinas, reduciendo la coordinación, la supervisión técnica y el acompañamiento que históricamente recibían. En vez de fortalecerse, como lo recomendó expresamente el Comité CEDAW en 2023, las OFIMs atraviesan un proceso de precarización y cierre comprometiendo la capacidad estatal de garantizar prevención, atención y reparación en casos de violencia basada en género a nivel territorial.</w:t>
      </w:r>
    </w:p>
    <w:p w:rsidR="00000000" w:rsidDel="00000000" w:rsidP="00000000" w:rsidRDefault="00000000" w:rsidRPr="00000000" w14:paraId="0000000E">
      <w:pPr>
        <w:pStyle w:val="Heading2"/>
        <w:keepNext w:val="0"/>
        <w:keepLines w:val="0"/>
        <w:spacing w:after="200" w:before="280" w:line="360" w:lineRule="auto"/>
        <w:rPr/>
      </w:pPr>
      <w:bookmarkStart w:colFirst="0" w:colLast="0" w:name="_heading=h.46qzm2hww8ba" w:id="3"/>
      <w:bookmarkEnd w:id="3"/>
      <w:r w:rsidDel="00000000" w:rsidR="00000000" w:rsidRPr="00000000">
        <w:rPr>
          <w:rtl w:val="0"/>
        </w:rPr>
        <w:t xml:space="preserve">Recomendaciones</w:t>
      </w:r>
    </w:p>
    <w:p w:rsidR="00000000" w:rsidDel="00000000" w:rsidP="00000000" w:rsidRDefault="00000000" w:rsidRPr="00000000" w14:paraId="0000000F">
      <w:pPr>
        <w:numPr>
          <w:ilvl w:val="0"/>
          <w:numId w:val="4"/>
        </w:numPr>
        <w:spacing w:after="200" w:lineRule="auto"/>
        <w:ind w:left="720" w:hanging="360"/>
        <w:rPr/>
      </w:pPr>
      <w:r w:rsidDel="00000000" w:rsidR="00000000" w:rsidRPr="00000000">
        <w:rPr>
          <w:b w:val="1"/>
          <w:rtl w:val="0"/>
        </w:rPr>
        <w:t xml:space="preserve">Restituir al INAMU como ente rector con competencias plenas y presupuesto garantizado</w:t>
      </w:r>
      <w:r w:rsidDel="00000000" w:rsidR="00000000" w:rsidRPr="00000000">
        <w:rPr>
          <w:rtl w:val="0"/>
        </w:rPr>
        <w:t xml:space="preserve">. Es necesario asegurarle un marco institucional robusto que le permita ejercer su papel rector en políticas de igualdad de género y atención de la violencia contra las mujeres, con financiamiento protegido que no dependa de coyunturas políticas.</w:t>
      </w:r>
    </w:p>
    <w:p w:rsidR="00000000" w:rsidDel="00000000" w:rsidP="00000000" w:rsidRDefault="00000000" w:rsidRPr="00000000" w14:paraId="00000010">
      <w:pPr>
        <w:numPr>
          <w:ilvl w:val="0"/>
          <w:numId w:val="4"/>
        </w:numPr>
        <w:spacing w:after="200" w:lineRule="auto"/>
        <w:ind w:left="720" w:hanging="360"/>
        <w:rPr/>
      </w:pPr>
      <w:r w:rsidDel="00000000" w:rsidR="00000000" w:rsidRPr="00000000">
        <w:rPr>
          <w:b w:val="1"/>
          <w:rtl w:val="0"/>
        </w:rPr>
        <w:t xml:space="preserve">Fortalecer la coordinación obligatoria del INAMU con las Oficinas Municipales de la Mujer, gobiernos locales, el Poder Judicial, el PANI y sociedad civil</w:t>
      </w:r>
      <w:r w:rsidDel="00000000" w:rsidR="00000000" w:rsidRPr="00000000">
        <w:rPr>
          <w:rtl w:val="0"/>
        </w:rPr>
        <w:t xml:space="preserve">. Esta articulación debe ser formal, sistemática y vinculante, de manera que se generen rutas de atención claras, con responsabilidades definidas y mecanismos de seguimiento que aseguren eficacia en la protección y reparación de derechos.</w:t>
      </w:r>
    </w:p>
    <w:p w:rsidR="00000000" w:rsidDel="00000000" w:rsidP="00000000" w:rsidRDefault="00000000" w:rsidRPr="00000000" w14:paraId="00000011">
      <w:pPr>
        <w:numPr>
          <w:ilvl w:val="0"/>
          <w:numId w:val="4"/>
        </w:numPr>
        <w:spacing w:after="200" w:lineRule="auto"/>
        <w:ind w:left="720" w:hanging="360"/>
        <w:rPr/>
      </w:pPr>
      <w:r w:rsidDel="00000000" w:rsidR="00000000" w:rsidRPr="00000000">
        <w:rPr>
          <w:b w:val="1"/>
          <w:rtl w:val="0"/>
        </w:rPr>
        <w:t xml:space="preserve">Crear e implementar protocolos específicos de protección frente a represalias y ataques contra defensoras de derechos humanos</w:t>
      </w:r>
      <w:r w:rsidDel="00000000" w:rsidR="00000000" w:rsidRPr="00000000">
        <w:rPr>
          <w:rtl w:val="0"/>
        </w:rPr>
        <w:t xml:space="preserve">. Ante la inexistencia de un mecanismo nacional para responder a estas amenazas, se requiere establecer lineamientos urgentes que contemplen medidas de prevención, atención inmediata y reparación, garantizando la seguridad de quienes defienden los derechos de las mujeres.</w:t>
      </w:r>
    </w:p>
    <w:p w:rsidR="00000000" w:rsidDel="00000000" w:rsidP="00000000" w:rsidRDefault="00000000" w:rsidRPr="00000000" w14:paraId="00000012">
      <w:pPr>
        <w:pStyle w:val="Heading1"/>
        <w:keepNext w:val="0"/>
        <w:keepLines w:val="0"/>
        <w:spacing w:after="200" w:before="360" w:line="360" w:lineRule="auto"/>
        <w:rPr/>
      </w:pPr>
      <w:bookmarkStart w:colFirst="0" w:colLast="0" w:name="_heading=h.ssa0hmlrx75y" w:id="4"/>
      <w:bookmarkEnd w:id="4"/>
      <w:r w:rsidDel="00000000" w:rsidR="00000000" w:rsidRPr="00000000">
        <w:rPr>
          <w:rtl w:val="0"/>
        </w:rPr>
        <w:t xml:space="preserve">2. Aborto terapéutico y salud sexual y reproductiva</w:t>
      </w:r>
    </w:p>
    <w:p w:rsidR="00000000" w:rsidDel="00000000" w:rsidP="00000000" w:rsidRDefault="00000000" w:rsidRPr="00000000" w14:paraId="00000013">
      <w:pPr>
        <w:spacing w:after="200" w:line="360" w:lineRule="auto"/>
        <w:rPr/>
      </w:pPr>
      <w:r w:rsidDel="00000000" w:rsidR="00000000" w:rsidRPr="00000000">
        <w:rPr>
          <w:rtl w:val="0"/>
        </w:rPr>
        <w:t xml:space="preserve">El Comité urgió al Estado a no derogar la Norma Técnica de 2019, difundirla y capacitar al personal de salud en las Observaciones Finales 2023, párr. 34(b).</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4">
      <w:pPr>
        <w:pStyle w:val="Heading2"/>
        <w:spacing w:after="200" w:before="280" w:line="360" w:lineRule="auto"/>
        <w:rPr/>
      </w:pPr>
      <w:bookmarkStart w:colFirst="0" w:colLast="0" w:name="_heading=h.oylj0c5emavd" w:id="5"/>
      <w:bookmarkEnd w:id="5"/>
      <w:r w:rsidDel="00000000" w:rsidR="00000000" w:rsidRPr="00000000">
        <w:rPr>
          <w:sz w:val="26"/>
          <w:szCs w:val="26"/>
          <w:rtl w:val="0"/>
        </w:rPr>
        <w:t xml:space="preserve">Estado actual: </w:t>
      </w:r>
      <w:r w:rsidDel="00000000" w:rsidR="00000000" w:rsidRPr="00000000">
        <w:rPr>
          <w:rtl w:val="0"/>
        </w:rPr>
        <w:t xml:space="preserve">No implementado.</w:t>
      </w:r>
    </w:p>
    <w:p w:rsidR="00000000" w:rsidDel="00000000" w:rsidP="00000000" w:rsidRDefault="00000000" w:rsidRPr="00000000" w14:paraId="00000015">
      <w:pPr>
        <w:numPr>
          <w:ilvl w:val="0"/>
          <w:numId w:val="5"/>
        </w:numPr>
        <w:spacing w:after="200" w:before="240" w:line="360" w:lineRule="auto"/>
        <w:ind w:left="720" w:hanging="360"/>
        <w:rPr/>
      </w:pPr>
      <w:r w:rsidDel="00000000" w:rsidR="00000000" w:rsidRPr="00000000">
        <w:rPr>
          <w:rtl w:val="0"/>
        </w:rPr>
        <w:t xml:space="preserve">Norma Técnica vigente pero casi inaplicable. La Norma Técnica de 2019 se mantiene formalmente vigente, pero en la práctica resulta casi inaplicable debido a la ausencia de directrices claras, supervisión efectiva y voluntad institucional para garantizar su cumplimiento. A esta situación se suma la falta de registros oficiales y transparentes sobre las solicitudes y los procedimientos realizados, lo que impide conocer la magnitud real del acceso al aborto terapéutico en el país. La información parcial disponible, proveniente de denuncias o informes fragmentarios, no solo es escasa, sino que también refleja un panorama preocupante: la persistencia de abortos impunes y de solicitudes que no son atendidas de manera adecuada, lo cual evidencia un incumplimiento del deber estatal de garantizar derechos sexuales y reproductivos.</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16">
      <w:pPr>
        <w:numPr>
          <w:ilvl w:val="0"/>
          <w:numId w:val="5"/>
        </w:numPr>
        <w:spacing w:after="200" w:before="0" w:line="360" w:lineRule="auto"/>
        <w:ind w:left="720" w:hanging="360"/>
        <w:rPr/>
      </w:pPr>
      <w:r w:rsidDel="00000000" w:rsidR="00000000" w:rsidRPr="00000000">
        <w:rPr>
          <w:rtl w:val="0"/>
        </w:rPr>
        <w:t xml:space="preserve">Casos emblemáticos (Ana y Aurora) ante la Comisión Interamericana de Derechos Humanos permanecen sin justicia y reparación desde el 2007 y 2011 respectivamente.</w:t>
      </w:r>
    </w:p>
    <w:p w:rsidR="00000000" w:rsidDel="00000000" w:rsidP="00000000" w:rsidRDefault="00000000" w:rsidRPr="00000000" w14:paraId="00000017">
      <w:pPr>
        <w:numPr>
          <w:ilvl w:val="0"/>
          <w:numId w:val="5"/>
        </w:numPr>
        <w:spacing w:after="200" w:before="0" w:line="360" w:lineRule="auto"/>
        <w:ind w:left="720" w:hanging="360"/>
        <w:rPr/>
      </w:pPr>
      <w:r w:rsidDel="00000000" w:rsidR="00000000" w:rsidRPr="00000000">
        <w:rPr>
          <w:rtl w:val="0"/>
        </w:rPr>
        <w:t xml:space="preserve">Barreras en anticoncepción de emergencia y uso de misoprostol y cuestionamiento incluso en la Sala Constitucional.</w:t>
      </w:r>
      <w:r w:rsidDel="00000000" w:rsidR="00000000" w:rsidRPr="00000000">
        <w:rPr>
          <w:vertAlign w:val="superscript"/>
        </w:rPr>
        <w:footnoteReference w:customMarkFollows="0" w:id="14"/>
      </w:r>
      <w:r w:rsidDel="00000000" w:rsidR="00000000" w:rsidRPr="00000000">
        <w:rPr>
          <w:rtl w:val="0"/>
        </w:rPr>
        <w:t xml:space="preserve"> A pesar de su reconocimiento como parte de los derechos sexuales y reproductivos, su distribución y uso continúan enfrentando obstáculos institucionales y culturales, lo que restringe el ejercicio pleno de la autonomía reproductiva. Se han presentado acciones y debates judiciales que ponen en entredicho el acceso a estos insumos, lo cual añade un nivel de inseguridad jurídica que desalienta a las y los profesionales de la salud y perpetúa la falta de garantía efectiva de estos derechos. Persisten prácticas restrictivas que dificultan la disponibilidad y acceso al medicamento, utilizado tanto para la atención de abortos terapéuticos como para la salud ginecológica en general, lo que genera inequidades en la atención médica. Estas restricciones no sólo derivan de limitaciones institucionales y culturales, sino también de acciones de inconstitucionalidad promovidas y tramitadas por la propia Sala Constitucional contra el decreto que autoriza la venta libre de la anticoncepción de emergencia. Dichos procesos han creado un clima de inseguridad jurídica que desalienta a las y los profesionales de la salud y perpetúa la falta de garantía efectiva de estos derechos. Al mismo tiempo, se han impulsado cuestionamientos y discursos que buscan desacreditar los estándares internacionales en materia de derechos reproductivos, incluso aquellos emanados de la Corte Interamericana de Derechos Humanos, lo que debilita la obligación estatal de garantizar la autonomía reproductiva y el acceso a servicios de salud sin discriminación.</w:t>
      </w:r>
    </w:p>
    <w:p w:rsidR="00000000" w:rsidDel="00000000" w:rsidP="00000000" w:rsidRDefault="00000000" w:rsidRPr="00000000" w14:paraId="00000018">
      <w:pPr>
        <w:numPr>
          <w:ilvl w:val="0"/>
          <w:numId w:val="5"/>
        </w:numPr>
        <w:spacing w:after="200" w:before="0" w:line="360" w:lineRule="auto"/>
        <w:ind w:left="720" w:hanging="360"/>
        <w:rPr/>
      </w:pPr>
      <w:r w:rsidDel="00000000" w:rsidR="00000000" w:rsidRPr="00000000">
        <w:rPr>
          <w:rtl w:val="0"/>
        </w:rPr>
        <w:t xml:space="preserve">En los servicios de salud continúan prácticas que vulneran la autonomía y la dignidad de las mujeres, tales como intervenciones no consentidas, medicalización excesiva del parto y trato deshumanizado, lo que constituye una forma de violencia de género institucional. </w:t>
      </w:r>
    </w:p>
    <w:p w:rsidR="00000000" w:rsidDel="00000000" w:rsidP="00000000" w:rsidRDefault="00000000" w:rsidRPr="00000000" w14:paraId="00000019">
      <w:pPr>
        <w:numPr>
          <w:ilvl w:val="0"/>
          <w:numId w:val="5"/>
        </w:numPr>
        <w:spacing w:after="200" w:before="240" w:line="360" w:lineRule="auto"/>
        <w:ind w:left="720" w:hanging="360"/>
        <w:rPr/>
      </w:pPr>
      <w:r w:rsidDel="00000000" w:rsidR="00000000" w:rsidRPr="00000000">
        <w:rPr>
          <w:rtl w:val="0"/>
        </w:rPr>
        <w:t xml:space="preserve">Propuesta del Poder Ejecutivo de Reforma al Código Penal para aumentar las penas del delito de aborto.</w:t>
      </w:r>
      <w:r w:rsidDel="00000000" w:rsidR="00000000" w:rsidRPr="00000000">
        <w:rPr>
          <w:vertAlign w:val="superscript"/>
        </w:rPr>
        <w:footnoteReference w:customMarkFollows="0" w:id="15"/>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1A">
      <w:pPr>
        <w:pStyle w:val="Heading2"/>
        <w:keepNext w:val="0"/>
        <w:keepLines w:val="0"/>
        <w:spacing w:after="200" w:before="280" w:line="360" w:lineRule="auto"/>
        <w:rPr/>
      </w:pPr>
      <w:bookmarkStart w:colFirst="0" w:colLast="0" w:name="_heading=h.fq98npiz53ui" w:id="6"/>
      <w:bookmarkEnd w:id="6"/>
      <w:r w:rsidDel="00000000" w:rsidR="00000000" w:rsidRPr="00000000">
        <w:rPr>
          <w:rtl w:val="0"/>
        </w:rPr>
        <w:t xml:space="preserve">Recomendaciones</w:t>
      </w:r>
    </w:p>
    <w:p w:rsidR="00000000" w:rsidDel="00000000" w:rsidP="00000000" w:rsidRDefault="00000000" w:rsidRPr="00000000" w14:paraId="0000001B">
      <w:pPr>
        <w:keepNext w:val="0"/>
        <w:keepLines w:val="0"/>
        <w:numPr>
          <w:ilvl w:val="0"/>
          <w:numId w:val="3"/>
        </w:numPr>
        <w:spacing w:after="0" w:before="280" w:line="360" w:lineRule="auto"/>
        <w:ind w:left="720" w:hanging="360"/>
        <w:rPr>
          <w:u w:val="none"/>
        </w:rPr>
      </w:pPr>
      <w:r w:rsidDel="00000000" w:rsidR="00000000" w:rsidRPr="00000000">
        <w:rPr>
          <w:rtl w:val="0"/>
        </w:rPr>
        <w:t xml:space="preserve">Su implementación debe ser uniforme y sin excepciones, garantizando que todo el personal de salud cuente con la capacitación necesaria para atender solicitudes de aborto terapéutico con criterios médicos, jurídicos y de derechos humanos claros.</w:t>
      </w:r>
      <w:r w:rsidDel="00000000" w:rsidR="00000000" w:rsidRPr="00000000">
        <w:rPr>
          <w:rtl w:val="0"/>
        </w:rPr>
      </w:r>
    </w:p>
    <w:p w:rsidR="00000000" w:rsidDel="00000000" w:rsidP="00000000" w:rsidRDefault="00000000" w:rsidRPr="00000000" w14:paraId="0000001C">
      <w:pPr>
        <w:keepNext w:val="0"/>
        <w:keepLines w:val="0"/>
        <w:numPr>
          <w:ilvl w:val="0"/>
          <w:numId w:val="3"/>
        </w:numPr>
        <w:spacing w:after="0" w:before="0" w:line="360" w:lineRule="auto"/>
        <w:ind w:left="720" w:hanging="360"/>
        <w:rPr>
          <w:u w:val="none"/>
        </w:rPr>
      </w:pPr>
      <w:r w:rsidDel="00000000" w:rsidR="00000000" w:rsidRPr="00000000">
        <w:rPr>
          <w:b w:val="1"/>
          <w:rtl w:val="0"/>
        </w:rPr>
        <w:t xml:space="preserve">Generar registros oficiales y transparentes de solicitudes y procedimientos</w:t>
      </w:r>
      <w:r w:rsidDel="00000000" w:rsidR="00000000" w:rsidRPr="00000000">
        <w:rPr>
          <w:rtl w:val="0"/>
        </w:rPr>
        <w:t xml:space="preserve">. El Estado debe crear un sistema confiable de recopilación de datos que permita conocer el número de solicitudes, las atenciones realizadas, los rechazos y sus justificaciones, de manera que se asegure la trazabilidad y la rendición de cuentas.</w:t>
      </w:r>
      <w:r w:rsidDel="00000000" w:rsidR="00000000" w:rsidRPr="00000000">
        <w:rPr>
          <w:rtl w:val="0"/>
        </w:rPr>
      </w:r>
    </w:p>
    <w:p w:rsidR="00000000" w:rsidDel="00000000" w:rsidP="00000000" w:rsidRDefault="00000000" w:rsidRPr="00000000" w14:paraId="0000001D">
      <w:pPr>
        <w:keepNext w:val="0"/>
        <w:keepLines w:val="0"/>
        <w:numPr>
          <w:ilvl w:val="0"/>
          <w:numId w:val="3"/>
        </w:numPr>
        <w:spacing w:after="200" w:before="0" w:line="360" w:lineRule="auto"/>
        <w:ind w:left="720" w:hanging="360"/>
        <w:rPr>
          <w:u w:val="none"/>
        </w:rPr>
      </w:pPr>
      <w:r w:rsidDel="00000000" w:rsidR="00000000" w:rsidRPr="00000000">
        <w:rPr>
          <w:b w:val="1"/>
          <w:rtl w:val="0"/>
        </w:rPr>
        <w:t xml:space="preserve">Garantizar el acceso universal a anticoncepción de emergencia y misoprostol</w:t>
      </w:r>
      <w:r w:rsidDel="00000000" w:rsidR="00000000" w:rsidRPr="00000000">
        <w:rPr>
          <w:rtl w:val="0"/>
        </w:rPr>
        <w:t xml:space="preserve">. Esto incluye su disponibilidad en todos los niveles de atención de la Caja Costarricense de Seguro Social, así como campañas de información claras para que la población conozca sus derechos y pueda ejercerlos sin discriminación ni obstáculos indebidos.</w:t>
      </w:r>
      <w:r w:rsidDel="00000000" w:rsidR="00000000" w:rsidRPr="00000000">
        <w:rPr>
          <w:rtl w:val="0"/>
        </w:rPr>
      </w:r>
    </w:p>
    <w:p w:rsidR="00000000" w:rsidDel="00000000" w:rsidP="00000000" w:rsidRDefault="00000000" w:rsidRPr="00000000" w14:paraId="0000001E">
      <w:pPr>
        <w:pStyle w:val="Heading1"/>
        <w:keepNext w:val="0"/>
        <w:keepLines w:val="0"/>
        <w:spacing w:after="200" w:before="360" w:line="360" w:lineRule="auto"/>
        <w:rPr/>
      </w:pPr>
      <w:bookmarkStart w:colFirst="0" w:colLast="0" w:name="_heading=h.8kvh3sow4lpz" w:id="7"/>
      <w:bookmarkEnd w:id="7"/>
      <w:r w:rsidDel="00000000" w:rsidR="00000000" w:rsidRPr="00000000">
        <w:rPr>
          <w:rtl w:val="0"/>
        </w:rPr>
        <w:t xml:space="preserve">3. Educación sexual integral (ESI)</w:t>
      </w:r>
    </w:p>
    <w:p w:rsidR="00000000" w:rsidDel="00000000" w:rsidP="00000000" w:rsidRDefault="00000000" w:rsidRPr="00000000" w14:paraId="0000001F">
      <w:pPr>
        <w:spacing w:after="200" w:line="360" w:lineRule="auto"/>
        <w:rPr/>
      </w:pPr>
      <w:r w:rsidDel="00000000" w:rsidR="00000000" w:rsidRPr="00000000">
        <w:rPr>
          <w:rtl w:val="0"/>
        </w:rPr>
        <w:t xml:space="preserve">El comité manifestó preocupación por retrocesos en contenidos curriculares y resistencias conservadoras en las Observaciones Finales del 2023 Parr. 34. (c). </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20">
      <w:pPr>
        <w:pStyle w:val="Heading2"/>
        <w:spacing w:after="200" w:line="360" w:lineRule="auto"/>
        <w:rPr/>
      </w:pPr>
      <w:bookmarkStart w:colFirst="0" w:colLast="0" w:name="_heading=h.e205durbpn4m" w:id="8"/>
      <w:bookmarkEnd w:id="8"/>
      <w:r w:rsidDel="00000000" w:rsidR="00000000" w:rsidRPr="00000000">
        <w:rPr>
          <w:rtl w:val="0"/>
        </w:rPr>
        <w:t xml:space="preserve">Estado actual:  Retroceso.</w:t>
      </w:r>
    </w:p>
    <w:p w:rsidR="00000000" w:rsidDel="00000000" w:rsidP="00000000" w:rsidRDefault="00000000" w:rsidRPr="00000000" w14:paraId="00000021">
      <w:pPr>
        <w:numPr>
          <w:ilvl w:val="0"/>
          <w:numId w:val="2"/>
        </w:numPr>
        <w:spacing w:after="200" w:before="240" w:line="360" w:lineRule="auto"/>
        <w:ind w:left="720" w:hanging="360"/>
        <w:rPr/>
      </w:pPr>
      <w:r w:rsidDel="00000000" w:rsidR="00000000" w:rsidRPr="00000000">
        <w:rPr>
          <w:b w:val="1"/>
          <w:rtl w:val="0"/>
        </w:rPr>
        <w:t xml:space="preserve">Eliminación de programas de ESI </w:t>
      </w:r>
      <w:r w:rsidDel="00000000" w:rsidR="00000000" w:rsidRPr="00000000">
        <w:rPr>
          <w:rtl w:val="0"/>
        </w:rPr>
        <w:t xml:space="preserve">a pesar del criterio de la Defensoría de los habitantes</w:t>
      </w:r>
      <w:r w:rsidDel="00000000" w:rsidR="00000000" w:rsidRPr="00000000">
        <w:rPr>
          <w:vertAlign w:val="superscript"/>
        </w:rPr>
        <w:footnoteReference w:customMarkFollows="0" w:id="18"/>
      </w:r>
      <w:r w:rsidDel="00000000" w:rsidR="00000000" w:rsidRPr="00000000">
        <w:rPr>
          <w:rtl w:val="0"/>
        </w:rPr>
        <w:t xml:space="preserve"> y otros criterios técnicos</w:t>
      </w:r>
      <w:r w:rsidDel="00000000" w:rsidR="00000000" w:rsidRPr="00000000">
        <w:rPr>
          <w:vertAlign w:val="superscript"/>
        </w:rPr>
        <w:footnoteReference w:customMarkFollows="0" w:id="19"/>
      </w:r>
      <w:r w:rsidDel="00000000" w:rsidR="00000000" w:rsidRPr="00000000">
        <w:rPr>
          <w:rtl w:val="0"/>
        </w:rPr>
        <w:t xml:space="preserve"> incluyendo del mismo Ministerio de Educación.</w:t>
      </w:r>
      <w:r w:rsidDel="00000000" w:rsidR="00000000" w:rsidRPr="00000000">
        <w:rPr>
          <w:vertAlign w:val="superscript"/>
        </w:rPr>
        <w:footnoteReference w:customMarkFollows="0" w:id="20"/>
      </w:r>
      <w:r w:rsidDel="00000000" w:rsidR="00000000" w:rsidRPr="00000000">
        <w:rPr>
          <w:rtl w:val="0"/>
        </w:rPr>
        <w:t xml:space="preserve"> </w:t>
      </w:r>
      <w:r w:rsidDel="00000000" w:rsidR="00000000" w:rsidRPr="00000000">
        <w:rPr>
          <w:vertAlign w:val="superscript"/>
        </w:rPr>
        <w:footnoteReference w:customMarkFollows="0" w:id="21"/>
      </w:r>
      <w:r w:rsidDel="00000000" w:rsidR="00000000" w:rsidRPr="00000000">
        <w:rPr>
          <w:rtl w:val="0"/>
        </w:rPr>
        <w:t xml:space="preserve"> </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22">
      <w:pPr>
        <w:numPr>
          <w:ilvl w:val="0"/>
          <w:numId w:val="2"/>
        </w:numPr>
        <w:spacing w:after="200" w:before="240" w:line="360" w:lineRule="auto"/>
        <w:ind w:left="720" w:hanging="360"/>
        <w:rPr/>
      </w:pPr>
      <w:r w:rsidDel="00000000" w:rsidR="00000000" w:rsidRPr="00000000">
        <w:rPr>
          <w:b w:val="1"/>
          <w:rtl w:val="0"/>
        </w:rPr>
        <w:t xml:space="preserve">Ausencia de respaldo político del INAMU y MEP para garantizar continuidad:</w:t>
      </w:r>
      <w:r w:rsidDel="00000000" w:rsidR="00000000" w:rsidRPr="00000000">
        <w:rPr>
          <w:rtl w:val="0"/>
        </w:rPr>
        <w:t xml:space="preserve"> Ni el INAMU ni el MEP han asumido un liderazgo claro que garantice la continuidad y consolidación de la educación sexual integral como política pública, lo que deja el tema vulnerable a presiones y resistencias conservadoras.</w:t>
      </w:r>
    </w:p>
    <w:p w:rsidR="00000000" w:rsidDel="00000000" w:rsidP="00000000" w:rsidRDefault="00000000" w:rsidRPr="00000000" w14:paraId="00000023">
      <w:pPr>
        <w:numPr>
          <w:ilvl w:val="0"/>
          <w:numId w:val="2"/>
        </w:numPr>
        <w:ind w:left="720" w:hanging="360"/>
        <w:rPr/>
      </w:pPr>
      <w:r w:rsidDel="00000000" w:rsidR="00000000" w:rsidRPr="00000000">
        <w:rPr>
          <w:b w:val="1"/>
          <w:rtl w:val="0"/>
        </w:rPr>
        <w:t xml:space="preserve">Déficit en formación docente y ausencia de indicadores de evaluación:</w:t>
      </w:r>
      <w:r w:rsidDel="00000000" w:rsidR="00000000" w:rsidRPr="00000000">
        <w:rPr>
          <w:rtl w:val="0"/>
        </w:rPr>
        <w:t xml:space="preserve"> Persiste la ausencia de programas sistemáticos de capacitación y actualización para el personal educativo, lo cual limita su capacidad de impartir contenidos de ESI con enfoque de derechos, perspectiva de género e interseccionalidad.</w:t>
      </w:r>
    </w:p>
    <w:p w:rsidR="00000000" w:rsidDel="00000000" w:rsidP="00000000" w:rsidRDefault="00000000" w:rsidRPr="00000000" w14:paraId="00000024">
      <w:pPr>
        <w:numPr>
          <w:ilvl w:val="0"/>
          <w:numId w:val="2"/>
        </w:numPr>
        <w:ind w:left="720" w:hanging="360"/>
        <w:rPr/>
      </w:pPr>
      <w:r w:rsidDel="00000000" w:rsidR="00000000" w:rsidRPr="00000000">
        <w:rPr>
          <w:b w:val="1"/>
          <w:rtl w:val="0"/>
        </w:rPr>
        <w:t xml:space="preserve">Carencia de indicadores de evaluación. </w:t>
      </w:r>
      <w:r w:rsidDel="00000000" w:rsidR="00000000" w:rsidRPr="00000000">
        <w:rPr>
          <w:rtl w:val="0"/>
        </w:rPr>
        <w:t xml:space="preserve">No se han definido ni implementado mecanismos de monitoreo ni criterios de calidad que permitan medir de forma objetiva el alcance, impacto y sostenibilidad de la ESI en el sistema educativo.</w:t>
      </w:r>
    </w:p>
    <w:p w:rsidR="00000000" w:rsidDel="00000000" w:rsidP="00000000" w:rsidRDefault="00000000" w:rsidRPr="00000000" w14:paraId="00000025">
      <w:pPr>
        <w:pStyle w:val="Heading2"/>
        <w:keepNext w:val="0"/>
        <w:keepLines w:val="0"/>
        <w:spacing w:after="200" w:before="280" w:line="360" w:lineRule="auto"/>
        <w:rPr/>
      </w:pPr>
      <w:bookmarkStart w:colFirst="0" w:colLast="0" w:name="_heading=h.imig1jro8uw3" w:id="9"/>
      <w:bookmarkEnd w:id="9"/>
      <w:r w:rsidDel="00000000" w:rsidR="00000000" w:rsidRPr="00000000">
        <w:rPr>
          <w:rtl w:val="0"/>
        </w:rPr>
        <w:t xml:space="preserve">Recomendaciones</w:t>
      </w:r>
    </w:p>
    <w:p w:rsidR="00000000" w:rsidDel="00000000" w:rsidP="00000000" w:rsidRDefault="00000000" w:rsidRPr="00000000" w14:paraId="00000026">
      <w:pPr>
        <w:numPr>
          <w:ilvl w:val="0"/>
          <w:numId w:val="1"/>
        </w:numPr>
        <w:spacing w:after="200" w:lineRule="auto"/>
        <w:ind w:left="720" w:hanging="360"/>
        <w:rPr/>
      </w:pPr>
      <w:r w:rsidDel="00000000" w:rsidR="00000000" w:rsidRPr="00000000">
        <w:rPr>
          <w:b w:val="1"/>
          <w:rtl w:val="0"/>
        </w:rPr>
        <w:t xml:space="preserve">Reconocer la educación sexual integral (ESI) como política pública obligatoria</w:t>
      </w:r>
      <w:r w:rsidDel="00000000" w:rsidR="00000000" w:rsidRPr="00000000">
        <w:rPr>
          <w:rtl w:val="0"/>
        </w:rPr>
        <w:t xml:space="preserve">. Esto implica que el Estado asuma la ESI no como un programa opcional o circunstancial, sino como un deber permanente, sustentado en evidencia científica y desarrollado bajo un enfoque laico que garantice derechos humanos y no reproduzca visiones religiosas o ideológicas restrictivas.</w:t>
      </w:r>
    </w:p>
    <w:p w:rsidR="00000000" w:rsidDel="00000000" w:rsidP="00000000" w:rsidRDefault="00000000" w:rsidRPr="00000000" w14:paraId="00000027">
      <w:pPr>
        <w:numPr>
          <w:ilvl w:val="0"/>
          <w:numId w:val="1"/>
        </w:numPr>
        <w:spacing w:after="200" w:lineRule="auto"/>
        <w:ind w:left="720" w:hanging="360"/>
        <w:rPr/>
      </w:pPr>
      <w:r w:rsidDel="00000000" w:rsidR="00000000" w:rsidRPr="00000000">
        <w:rPr>
          <w:b w:val="1"/>
          <w:rtl w:val="0"/>
        </w:rPr>
        <w:t xml:space="preserve">Integrar la ESI en los planes de estudio y en la formación docente</w:t>
      </w:r>
      <w:r w:rsidDel="00000000" w:rsidR="00000000" w:rsidRPr="00000000">
        <w:rPr>
          <w:rtl w:val="0"/>
        </w:rPr>
        <w:t xml:space="preserve">. La incorporación debe ser transversal, desde la educación primaria hasta la secundaria, con contenidos adecuados a cada etapa del desarrollo. Asimismo, la formación docente inicial y continua debe incluir herramientas pedagógicas y metodológicas que permitan al personal educativo impartir la ESI con perspectiva de género, enfoque interseccional y respeto a la diversidad.</w:t>
      </w:r>
    </w:p>
    <w:p w:rsidR="00000000" w:rsidDel="00000000" w:rsidP="00000000" w:rsidRDefault="00000000" w:rsidRPr="00000000" w14:paraId="00000028">
      <w:pPr>
        <w:numPr>
          <w:ilvl w:val="0"/>
          <w:numId w:val="1"/>
        </w:numPr>
        <w:spacing w:after="200" w:lineRule="auto"/>
        <w:ind w:left="720" w:hanging="360"/>
        <w:rPr/>
      </w:pPr>
      <w:r w:rsidDel="00000000" w:rsidR="00000000" w:rsidRPr="00000000">
        <w:rPr>
          <w:b w:val="1"/>
          <w:rtl w:val="0"/>
        </w:rPr>
        <w:t xml:space="preserve">Establecer mecanismos de monitoreo independientes y participativos</w:t>
      </w:r>
      <w:r w:rsidDel="00000000" w:rsidR="00000000" w:rsidRPr="00000000">
        <w:rPr>
          <w:rtl w:val="0"/>
        </w:rPr>
        <w:t xml:space="preserve">. Estos mecanismos deben contar con la participación de la sociedad civil en toda su diversidad, asegurando que se escuchen las voces de organizaciones feministas, movimientos estudiantiles, colectivos LGBTIQ+ y otras actorías clave. El monitoreo debe evaluar la calidad de la implementación, identificar obstáculos y proponer mejoras, de manera que se garantice la rendición de cuentas del Estado.</w:t>
      </w:r>
    </w:p>
    <w:p w:rsidR="00000000" w:rsidDel="00000000" w:rsidP="00000000" w:rsidRDefault="00000000" w:rsidRPr="00000000" w14:paraId="00000029">
      <w:pPr>
        <w:pStyle w:val="Heading1"/>
        <w:keepNext w:val="0"/>
        <w:keepLines w:val="0"/>
        <w:spacing w:after="200" w:before="360" w:line="360" w:lineRule="auto"/>
        <w:rPr/>
      </w:pPr>
      <w:bookmarkStart w:colFirst="0" w:colLast="0" w:name="_heading=h.mahr3suija63" w:id="10"/>
      <w:bookmarkEnd w:id="10"/>
      <w:r w:rsidDel="00000000" w:rsidR="00000000" w:rsidRPr="00000000">
        <w:rPr>
          <w:rtl w:val="0"/>
        </w:rPr>
        <w:t xml:space="preserve">Conclusión</w:t>
      </w:r>
    </w:p>
    <w:p w:rsidR="00000000" w:rsidDel="00000000" w:rsidP="00000000" w:rsidRDefault="00000000" w:rsidRPr="00000000" w14:paraId="0000002A">
      <w:pPr>
        <w:rPr/>
      </w:pPr>
      <w:r w:rsidDel="00000000" w:rsidR="00000000" w:rsidRPr="00000000">
        <w:rPr>
          <w:rtl w:val="0"/>
        </w:rPr>
        <w:t xml:space="preserve">Costa Rica no ha dado cumplimiento efectivo a las recomendaciones prioritarias del Comité CEDAW. El debilitamiento del INAMU y del sistema nacional de atención a la violencia de género, la falta de aplicación de la Norma Técnica de aborto terapéutico y los retrocesos en la educación sexual integral evidencian incumplimientos graves del deber de debida diligencia internacionalmente exigible.</w:t>
      </w:r>
    </w:p>
    <w:p w:rsidR="00000000" w:rsidDel="00000000" w:rsidP="00000000" w:rsidRDefault="00000000" w:rsidRPr="00000000" w14:paraId="0000002B">
      <w:pPr>
        <w:rPr/>
      </w:pPr>
      <w:r w:rsidDel="00000000" w:rsidR="00000000" w:rsidRPr="00000000">
        <w:rPr>
          <w:rtl w:val="0"/>
        </w:rPr>
        <w:t xml:space="preserve">Resulta urgente adoptar medidas inmediatas que restablezcan la institucionalidad de género, fortalezcan los mecanismos de prevención y atención de la violencia contra las mujeres, y garanticen el acceso a los derechos sexuales y reproductivos sin discriminación. De igual forma, es imprescindible asegurar la continuidad y consolidación de la educación sexual integral como política pública obligatoria, científica y laica, implementada con enfoque de derechos humanos, interseccionalidad y participación activa de la sociedad civil.</w:t>
      </w:r>
    </w:p>
    <w:sectPr>
      <w:headerReference r:id="rId8" w:type="default"/>
      <w:pgSz w:h="15840" w:w="12240" w:orient="portrait"/>
      <w:pgMar w:bottom="1411.2" w:top="1411.2" w:left="1411.2" w:right="1411.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Didact Gothic">
    <w:embedRegular w:fontKey="{00000000-0000-0000-0000-000000000000}" r:id="rId1"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2">
    <w:p w:rsidR="00000000" w:rsidDel="00000000" w:rsidP="00000000" w:rsidRDefault="00000000" w:rsidRPr="00000000" w14:paraId="0000002C">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“34. En consonancia con sus anteriores observaciones finales (CEDAW/C/CRI/CO/7, párr. 31), la recomendación general núm. 24 (1999), relativa a la mujer y la salud, y las metas 3.1 y 3.7 de los Objetivos de Desarrollo Sostenible, de reducir la mortalidad materna a nivel mundial y garantizar el acceso universal a los servicios de salud sexual y reproductiva, el Comité recomienda al Estado parte que:</w:t>
      </w:r>
    </w:p>
    <w:p w:rsidR="00000000" w:rsidDel="00000000" w:rsidP="00000000" w:rsidRDefault="00000000" w:rsidRPr="00000000" w14:paraId="0000002D">
      <w:pPr>
        <w:spacing w:after="0" w:line="240" w:lineRule="auto"/>
        <w:rPr>
          <w:sz w:val="16"/>
          <w:szCs w:val="16"/>
        </w:rPr>
      </w:pPr>
      <w:r w:rsidDel="00000000" w:rsidR="00000000" w:rsidRPr="00000000">
        <w:rPr>
          <w:sz w:val="16"/>
          <w:szCs w:val="16"/>
          <w:rtl w:val="0"/>
        </w:rPr>
        <w:t xml:space="preserve">a) Modifique sin demora el Código Penal a fin de legalizar el aborto, como mínimo en casos de violación, incesto, riesgo para la vida o la salud de la mujer embarazada y malformación grave del feto, lo despenalice en todos los demás casos y garantice que las mujeres tengan un acceso adecuado al aborto y a servicios de atención posterior al aborto en condiciones de seguridad;</w:t>
      </w:r>
    </w:p>
    <w:p w:rsidR="00000000" w:rsidDel="00000000" w:rsidP="00000000" w:rsidRDefault="00000000" w:rsidRPr="00000000" w14:paraId="0000002E">
      <w:pPr>
        <w:spacing w:after="0" w:line="240" w:lineRule="auto"/>
        <w:rPr>
          <w:sz w:val="16"/>
          <w:szCs w:val="16"/>
        </w:rPr>
      </w:pPr>
      <w:r w:rsidDel="00000000" w:rsidR="00000000" w:rsidRPr="00000000">
        <w:rPr>
          <w:sz w:val="16"/>
          <w:szCs w:val="16"/>
          <w:rtl w:val="0"/>
        </w:rPr>
        <w:t xml:space="preserve">b) Desista de sus esfuerzos por derogar la norma técnica para la interrupción terapéutica del embarazo y dé amplia difusión y formación obligatoria a los profesionales de la salud sobre esta, con miras a reducir el número de abortos peligrosos en el Estado parte;</w:t>
      </w:r>
    </w:p>
    <w:p w:rsidR="00000000" w:rsidDel="00000000" w:rsidP="00000000" w:rsidRDefault="00000000" w:rsidRPr="00000000" w14:paraId="0000002F">
      <w:pPr>
        <w:spacing w:after="0" w:line="240" w:lineRule="auto"/>
        <w:rPr>
          <w:sz w:val="16"/>
          <w:szCs w:val="16"/>
        </w:rPr>
      </w:pPr>
      <w:r w:rsidDel="00000000" w:rsidR="00000000" w:rsidRPr="00000000">
        <w:rPr>
          <w:sz w:val="16"/>
          <w:szCs w:val="16"/>
          <w:rtl w:val="0"/>
        </w:rPr>
        <w:t xml:space="preserve">c) Vele por que las mujeres y las adolescentes tengan acceso asequible a servicios de salud sexual y reproductiva y a anticonceptivos modernos, también en las zonas rurales y costeras, e integre la educación en materia de sexualidad adecuada a la edad, incluida educación sobre comportamiento sexual responsable, el uso de anticonceptivos seguros y la prevención de enfermedades de transmisión sexual, en los planes de estudios a todos los niveles de enseñanza;</w:t>
      </w:r>
    </w:p>
    <w:p w:rsidR="00000000" w:rsidDel="00000000" w:rsidP="00000000" w:rsidRDefault="00000000" w:rsidRPr="00000000" w14:paraId="00000030">
      <w:pPr>
        <w:spacing w:after="0" w:line="240" w:lineRule="auto"/>
        <w:rPr>
          <w:sz w:val="16"/>
          <w:szCs w:val="16"/>
        </w:rPr>
      </w:pPr>
      <w:r w:rsidDel="00000000" w:rsidR="00000000" w:rsidRPr="00000000">
        <w:rPr>
          <w:sz w:val="16"/>
          <w:szCs w:val="16"/>
          <w:rtl w:val="0"/>
        </w:rPr>
        <w:t xml:space="preserve">d) Vele por que las tradiciones de las mujeres indígenas relativas al parto estén integradas en la práctica obstétrica en todo el Estado parte.”</w:t>
      </w:r>
    </w:p>
  </w:footnote>
  <w:footnote w:id="17">
    <w:p w:rsidR="00000000" w:rsidDel="00000000" w:rsidP="00000000" w:rsidRDefault="00000000" w:rsidRPr="00000000" w14:paraId="00000031">
      <w:pPr>
        <w:spacing w:after="0" w:line="240" w:lineRule="auto"/>
        <w:rPr/>
      </w:pPr>
      <w:r w:rsidDel="00000000" w:rsidR="00000000" w:rsidRPr="00000000">
        <w:rPr>
          <w:rStyle w:val="FootnoteReference"/>
          <w:vertAlign w:val="superscript"/>
        </w:rPr>
        <w:footnoteRef/>
      </w:r>
      <w:r w:rsidDel="00000000" w:rsidR="00000000" w:rsidRPr="00000000">
        <w:rPr>
          <w:rtl w:val="0"/>
        </w:rPr>
        <w:t xml:space="preserve"> “c) Vele por que las mujeres y las adolescentes tengan acceso asequible a servicios de salud sexual y reproductiva y a anticonceptivos modernos, también en las zonas rurales y costeras, e integre la educación en materia de sexualidad adecuada a la edad, incluida educación sobre comportamiento sexual responsable, el uso de anticonceptivos seguros y la prevención de enfermedades de transmisión sexual, en los planes de estudios a todos los niveles de enseñanza;”</w:t>
      </w:r>
    </w:p>
  </w:footnote>
  <w:footnote w:id="0">
    <w:p w:rsidR="00000000" w:rsidDel="00000000" w:rsidP="00000000" w:rsidRDefault="00000000" w:rsidRPr="00000000" w14:paraId="00000032">
      <w:pPr>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b w:val="1"/>
          <w:sz w:val="16"/>
          <w:szCs w:val="16"/>
          <w:rtl w:val="0"/>
        </w:rPr>
        <w:t xml:space="preserve">“15. El Comité observa con preocupación:</w:t>
        <w:br w:type="textWrapping"/>
      </w:r>
      <w:r w:rsidDel="00000000" w:rsidR="00000000" w:rsidRPr="00000000">
        <w:rPr>
          <w:sz w:val="16"/>
          <w:szCs w:val="16"/>
          <w:rtl w:val="0"/>
        </w:rPr>
        <w:t xml:space="preserve">a) El peligro de que el discurso de odio y las amenazas de grupos extremistas contra el Instituto Nacional de las Mujeres debiliten los mecanismos nacionales para el adelanto de la mujer;</w:t>
        <w:br w:type="textWrapping"/>
        <w:t xml:space="preserve">b) La limitación de la autoridad, el mandato y la capacidad de las oficinas municipales de la mujer para promover los derechos humanos de las mujeres a nivel local;</w:t>
        <w:br w:type="textWrapping"/>
        <w:t xml:space="preserve">c) La falta de colaboración de los mecanismos nacionales para el adelanto de la mujer con las organizaciones de la sociedad civil dedicadas a las mujeres.</w:t>
      </w:r>
    </w:p>
    <w:p w:rsidR="00000000" w:rsidDel="00000000" w:rsidP="00000000" w:rsidRDefault="00000000" w:rsidRPr="00000000" w14:paraId="00000033">
      <w:pPr>
        <w:spacing w:after="240" w:before="240" w:line="240" w:lineRule="auto"/>
        <w:rPr>
          <w:sz w:val="16"/>
          <w:szCs w:val="16"/>
        </w:rPr>
      </w:pPr>
      <w:r w:rsidDel="00000000" w:rsidR="00000000" w:rsidRPr="00000000">
        <w:rPr>
          <w:b w:val="1"/>
          <w:sz w:val="16"/>
          <w:szCs w:val="16"/>
          <w:rtl w:val="0"/>
        </w:rPr>
        <w:t xml:space="preserve">16. El Comité recomienda al Estado parte que:</w:t>
        <w:br w:type="textWrapping"/>
      </w:r>
      <w:r w:rsidDel="00000000" w:rsidR="00000000" w:rsidRPr="00000000">
        <w:rPr>
          <w:sz w:val="16"/>
          <w:szCs w:val="16"/>
          <w:rtl w:val="0"/>
        </w:rPr>
        <w:t xml:space="preserve">a) Adopte medidas eficaces para proteger al Instituto Nacional de las Mujeres de amenazas y del discurso de odio;</w:t>
        <w:br w:type="textWrapping"/>
        <w:t xml:space="preserve">b) Refuerce la autoridad, el mandato y la capacidad de las oficinas municipales de la mujer asignándoles recursos humanos, técnicos y financieros suficientes y proporcionándoles capacitación sobre los derechos de las mujeres y la igualdad de género;</w:t>
        <w:br w:type="textWrapping"/>
        <w:t xml:space="preserve">c) Vele por la coordinación y la consulta efectivas entre los mecanismos nacionales y las organizaciones de la sociedad civil dedicadas a las mujeres, incluidas aquellas que representan a las mujeres indígenas, las mujeres afrodescendientes y las mujeres con discapacidad, en la adopción y la aplicación de las políticas y programas públicos para el adelanto de las mujeres e integre un enfoque basado en los derechos humanos y una perspectiva interseccional de género en esas políticas.”</w:t>
      </w:r>
    </w:p>
  </w:footnote>
  <w:footnote w:id="1">
    <w:p w:rsidR="00000000" w:rsidDel="00000000" w:rsidP="00000000" w:rsidRDefault="00000000" w:rsidRPr="00000000" w14:paraId="00000034">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
        <w:r w:rsidDel="00000000" w:rsidR="00000000" w:rsidRPr="00000000">
          <w:rPr>
            <w:color w:val="0000ee"/>
            <w:u w:val="single"/>
            <w:rtl w:val="0"/>
          </w:rPr>
          <w:t xml:space="preserve">Informe puntos violeta auditoria</w:t>
        </w:r>
      </w:hyperlink>
      <w:r w:rsidDel="00000000" w:rsidR="00000000" w:rsidRPr="00000000">
        <w:rPr>
          <w:rtl w:val="0"/>
        </w:rPr>
      </w:r>
    </w:p>
  </w:footnote>
  <w:footnote w:id="2">
    <w:p w:rsidR="00000000" w:rsidDel="00000000" w:rsidP="00000000" w:rsidRDefault="00000000" w:rsidRPr="00000000" w14:paraId="00000035">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2">
        <w:r w:rsidDel="00000000" w:rsidR="00000000" w:rsidRPr="00000000">
          <w:rPr>
            <w:color w:val="0000ee"/>
            <w:u w:val="single"/>
            <w:rtl w:val="0"/>
          </w:rPr>
          <w:t xml:space="preserve">08379-2025-DHR-MU-464082-2025-RI PUNTOS VIOLETA.pdf</w:t>
        </w:r>
      </w:hyperlink>
      <w:r w:rsidDel="00000000" w:rsidR="00000000" w:rsidRPr="00000000">
        <w:rPr>
          <w:rtl w:val="0"/>
        </w:rPr>
      </w:r>
    </w:p>
  </w:footnote>
  <w:footnote w:id="3">
    <w:p w:rsidR="00000000" w:rsidDel="00000000" w:rsidP="00000000" w:rsidRDefault="00000000" w:rsidRPr="00000000" w14:paraId="00000036">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3">
        <w:r w:rsidDel="00000000" w:rsidR="00000000" w:rsidRPr="00000000">
          <w:rPr>
            <w:color w:val="1155cc"/>
            <w:u w:val="single"/>
            <w:rtl w:val="0"/>
          </w:rPr>
          <w:t xml:space="preserve">https://observatoriodegenero.poder-judicial.go.cr/index.php/soy-especialista-y-busco/estadisticas/femicidio</w:t>
        </w:r>
      </w:hyperlink>
      <w:r w:rsidDel="00000000" w:rsidR="00000000" w:rsidRPr="00000000">
        <w:rPr>
          <w:rtl w:val="0"/>
        </w:rPr>
      </w:r>
    </w:p>
  </w:footnote>
  <w:footnote w:id="4">
    <w:p w:rsidR="00000000" w:rsidDel="00000000" w:rsidP="00000000" w:rsidRDefault="00000000" w:rsidRPr="00000000" w14:paraId="00000037">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4">
        <w:r w:rsidDel="00000000" w:rsidR="00000000" w:rsidRPr="00000000">
          <w:rPr>
            <w:color w:val="0000ee"/>
            <w:u w:val="single"/>
            <w:rtl w:val="0"/>
          </w:rPr>
          <w:t xml:space="preserve">ILAFEM Informe Situación Nacional de Delito de Femicidio 2020 (2).pdf</w:t>
        </w:r>
      </w:hyperlink>
      <w:r w:rsidDel="00000000" w:rsidR="00000000" w:rsidRPr="00000000">
        <w:rPr>
          <w:rtl w:val="0"/>
        </w:rPr>
      </w:r>
    </w:p>
  </w:footnote>
  <w:footnote w:id="11">
    <w:p w:rsidR="00000000" w:rsidDel="00000000" w:rsidP="00000000" w:rsidRDefault="00000000" w:rsidRPr="00000000" w14:paraId="00000038">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5">
        <w:r w:rsidDel="00000000" w:rsidR="00000000" w:rsidRPr="00000000">
          <w:rPr>
            <w:color w:val="0000ee"/>
            <w:u w:val="single"/>
            <w:rtl w:val="0"/>
          </w:rPr>
          <w:t xml:space="preserve">CIIDDHH-0092-2025</w:t>
        </w:r>
      </w:hyperlink>
      <w:r w:rsidDel="00000000" w:rsidR="00000000" w:rsidRPr="00000000">
        <w:rPr>
          <w:rtl w:val="0"/>
        </w:rPr>
      </w:r>
    </w:p>
  </w:footnote>
  <w:footnote w:id="14">
    <w:p w:rsidR="00000000" w:rsidDel="00000000" w:rsidP="00000000" w:rsidRDefault="00000000" w:rsidRPr="00000000" w14:paraId="00000039">
      <w:pPr>
        <w:rPr/>
      </w:pPr>
      <w:r w:rsidDel="00000000" w:rsidR="00000000" w:rsidRPr="00000000">
        <w:rPr>
          <w:rStyle w:val="FootnoteReference"/>
          <w:vertAlign w:val="superscript"/>
        </w:rPr>
        <w:footnoteRef/>
      </w:r>
      <w:r w:rsidDel="00000000" w:rsidR="00000000" w:rsidRPr="00000000">
        <w:rPr>
          <w:rtl w:val="0"/>
        </w:rPr>
        <w:t xml:space="preserve"> Sentencia 2024-4672 de la Sala Constitucional </w:t>
      </w:r>
      <w:hyperlink r:id="rId6">
        <w:r w:rsidDel="00000000" w:rsidR="00000000" w:rsidRPr="00000000">
          <w:rPr>
            <w:color w:val="1155cc"/>
            <w:u w:val="single"/>
            <w:rtl w:val="0"/>
          </w:rPr>
          <w:t xml:space="preserve">https://nexuspj.poder-judicial.go.cr/document/sen-1-0007-1243968</w:t>
        </w:r>
      </w:hyperlink>
      <w:r w:rsidDel="00000000" w:rsidR="00000000" w:rsidRPr="00000000">
        <w:rPr>
          <w:rtl w:val="0"/>
        </w:rPr>
      </w:r>
    </w:p>
  </w:footnote>
  <w:footnote w:id="15">
    <w:p w:rsidR="00000000" w:rsidDel="00000000" w:rsidP="00000000" w:rsidRDefault="00000000" w:rsidRPr="00000000" w14:paraId="0000003A">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7">
        <w:r w:rsidDel="00000000" w:rsidR="00000000" w:rsidRPr="00000000">
          <w:rPr>
            <w:color w:val="1155cc"/>
            <w:u w:val="single"/>
            <w:rtl w:val="0"/>
          </w:rPr>
          <w:t xml:space="preserve">https://www.france24.com/es/am%C3%A9rica-latina/20250130-costa-rica-pretende-aumentar-las-penas-de-c%C3%A1rcel-a-las-mujeres-que-aborten</w:t>
        </w:r>
      </w:hyperlink>
      <w:r w:rsidDel="00000000" w:rsidR="00000000" w:rsidRPr="00000000">
        <w:rPr>
          <w:rtl w:val="0"/>
        </w:rPr>
      </w:r>
    </w:p>
    <w:p w:rsidR="00000000" w:rsidDel="00000000" w:rsidP="00000000" w:rsidRDefault="00000000" w:rsidRPr="00000000" w14:paraId="0000003B">
      <w:pPr>
        <w:spacing w:after="0" w:before="0" w:line="240" w:lineRule="auto"/>
        <w:rPr/>
      </w:pPr>
      <w:r w:rsidDel="00000000" w:rsidR="00000000" w:rsidRPr="00000000">
        <w:rPr>
          <w:rtl w:val="0"/>
        </w:rPr>
      </w:r>
    </w:p>
  </w:footnote>
  <w:footnote w:id="13">
    <w:p w:rsidR="00000000" w:rsidDel="00000000" w:rsidP="00000000" w:rsidRDefault="00000000" w:rsidRPr="00000000" w14:paraId="0000003C">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Oficio MS-DGS-2173-2024</w:t>
      </w:r>
    </w:p>
  </w:footnote>
  <w:footnote w:id="16">
    <w:p w:rsidR="00000000" w:rsidDel="00000000" w:rsidP="00000000" w:rsidRDefault="00000000" w:rsidRPr="00000000" w14:paraId="0000003D">
      <w:pPr>
        <w:spacing w:after="0" w:before="0" w:line="240" w:lineRule="auto"/>
        <w:rPr/>
      </w:pPr>
      <w:r w:rsidDel="00000000" w:rsidR="00000000" w:rsidRPr="00000000">
        <w:rPr>
          <w:rStyle w:val="FootnoteReference"/>
          <w:vertAlign w:val="superscript"/>
        </w:rPr>
        <w:footnoteRef/>
      </w:r>
      <w:hyperlink r:id="rId8">
        <w:r w:rsidDel="00000000" w:rsidR="00000000" w:rsidRPr="00000000">
          <w:rPr>
            <w:color w:val="1155cc"/>
            <w:u w:val="single"/>
            <w:rtl w:val="0"/>
          </w:rPr>
          <w:t xml:space="preserve">https://delfino.cr/2025/02/ejecutivo-presenta-proyecto-para-aumentar-penas-de-carcel-en-casos-de-aborto-un-mes-despues-de-anunciarlo</w:t>
        </w:r>
      </w:hyperlink>
      <w:r w:rsidDel="00000000" w:rsidR="00000000" w:rsidRPr="00000000">
        <w:rPr>
          <w:rtl w:val="0"/>
        </w:rPr>
      </w:r>
    </w:p>
  </w:footnote>
  <w:footnote w:id="18">
    <w:p w:rsidR="00000000" w:rsidDel="00000000" w:rsidP="00000000" w:rsidRDefault="00000000" w:rsidRPr="00000000" w14:paraId="0000003E">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9">
        <w:r w:rsidDel="00000000" w:rsidR="00000000" w:rsidRPr="00000000">
          <w:rPr>
            <w:color w:val="0000ee"/>
            <w:u w:val="single"/>
            <w:rtl w:val="0"/>
          </w:rPr>
          <w:t xml:space="preserve">04442-2025-DHR-NA-469031-2025-RI ESI</w:t>
        </w:r>
      </w:hyperlink>
      <w:r w:rsidDel="00000000" w:rsidR="00000000" w:rsidRPr="00000000">
        <w:rPr>
          <w:rtl w:val="0"/>
        </w:rPr>
      </w:r>
    </w:p>
  </w:footnote>
  <w:footnote w:id="19">
    <w:p w:rsidR="00000000" w:rsidDel="00000000" w:rsidP="00000000" w:rsidRDefault="00000000" w:rsidRPr="00000000" w14:paraId="0000003F">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0">
        <w:r w:rsidDel="00000000" w:rsidR="00000000" w:rsidRPr="00000000">
          <w:rPr>
            <w:color w:val="1155cc"/>
            <w:u w:val="single"/>
            <w:rtl w:val="0"/>
          </w:rPr>
          <w:t xml:space="preserve">https://ciem.ucr.ac.cr/eliminacion-del-programa-de-afectividad-y-sexualidad-integral-y-el-protocolo-de-atencion-del</w:t>
        </w:r>
      </w:hyperlink>
      <w:r w:rsidDel="00000000" w:rsidR="00000000" w:rsidRPr="00000000">
        <w:rPr>
          <w:rtl w:val="0"/>
        </w:rPr>
      </w:r>
    </w:p>
  </w:footnote>
  <w:footnote w:id="21">
    <w:p w:rsidR="00000000" w:rsidDel="00000000" w:rsidP="00000000" w:rsidRDefault="00000000" w:rsidRPr="00000000" w14:paraId="00000040">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1">
        <w:r w:rsidDel="00000000" w:rsidR="00000000" w:rsidRPr="00000000">
          <w:rPr>
            <w:color w:val="1155cc"/>
            <w:u w:val="single"/>
            <w:rtl w:val="0"/>
          </w:rPr>
          <w:t xml:space="preserve">https://delfino.cr/2025/02/borrador-de-nuevo-programa-de-convivencia-del-mep-no-incluye-aspectos-basicos-de-educacion-sexual</w:t>
        </w:r>
      </w:hyperlink>
      <w:r w:rsidDel="00000000" w:rsidR="00000000" w:rsidRPr="00000000">
        <w:rPr>
          <w:rtl w:val="0"/>
        </w:rPr>
      </w:r>
    </w:p>
  </w:footnote>
  <w:footnote w:id="22">
    <w:p w:rsidR="00000000" w:rsidDel="00000000" w:rsidP="00000000" w:rsidRDefault="00000000" w:rsidRPr="00000000" w14:paraId="00000041">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2">
        <w:r w:rsidDel="00000000" w:rsidR="00000000" w:rsidRPr="00000000">
          <w:rPr>
            <w:color w:val="1155cc"/>
            <w:u w:val="single"/>
            <w:rtl w:val="0"/>
          </w:rPr>
          <w:t xml:space="preserve"> https://radios.ucr.ac.cr/2025/05/doblecheck/mep-no-hay-programa-educacion-sexual/</w:t>
        </w:r>
      </w:hyperlink>
      <w:r w:rsidDel="00000000" w:rsidR="00000000" w:rsidRPr="00000000">
        <w:rPr>
          <w:rtl w:val="0"/>
        </w:rPr>
      </w:r>
    </w:p>
  </w:footnote>
  <w:footnote w:id="10">
    <w:p w:rsidR="00000000" w:rsidDel="00000000" w:rsidP="00000000" w:rsidRDefault="00000000" w:rsidRPr="00000000" w14:paraId="00000042">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3">
        <w:r w:rsidDel="00000000" w:rsidR="00000000" w:rsidRPr="00000000">
          <w:rPr>
            <w:color w:val="1155cc"/>
            <w:u w:val="single"/>
            <w:rtl w:val="0"/>
          </w:rPr>
          <w:t xml:space="preserve">https://costarica.un.org/es/299679-informe-sobre-discursos-de-odio-y-discriminaci%C3%B3n-2025</w:t>
        </w:r>
      </w:hyperlink>
      <w:r w:rsidDel="00000000" w:rsidR="00000000" w:rsidRPr="00000000">
        <w:rPr>
          <w:rtl w:val="0"/>
        </w:rPr>
      </w:r>
    </w:p>
  </w:footnote>
  <w:footnote w:id="5">
    <w:p w:rsidR="00000000" w:rsidDel="00000000" w:rsidP="00000000" w:rsidRDefault="00000000" w:rsidRPr="00000000" w14:paraId="00000043">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4">
        <w:r w:rsidDel="00000000" w:rsidR="00000000" w:rsidRPr="00000000">
          <w:rPr>
            <w:color w:val="1155cc"/>
            <w:u w:val="single"/>
            <w:rtl w:val="0"/>
          </w:rPr>
          <w:t xml:space="preserve">https://semanariouniversidad.com/pais/cindy-quesada-deja-el-cargo-para-buscar-nuevos-horizontes-cuando-su-programa-estrella-puntos-violeta-esta-bajo-fuego/</w:t>
        </w:r>
      </w:hyperlink>
      <w:r w:rsidDel="00000000" w:rsidR="00000000" w:rsidRPr="00000000">
        <w:rPr>
          <w:rtl w:val="0"/>
        </w:rPr>
      </w:r>
    </w:p>
  </w:footnote>
  <w:footnote w:id="6">
    <w:p w:rsidR="00000000" w:rsidDel="00000000" w:rsidP="00000000" w:rsidRDefault="00000000" w:rsidRPr="00000000" w14:paraId="00000044">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5">
        <w:r w:rsidDel="00000000" w:rsidR="00000000" w:rsidRPr="00000000">
          <w:rPr>
            <w:color w:val="1155cc"/>
            <w:u w:val="single"/>
            <w:rtl w:val="0"/>
          </w:rPr>
          <w:t xml:space="preserve">https://www.elpais.cr/2025/09/02/una-rechaza-declaraciones-de-exministra-que-responsabilizan-a-victimas-de-femicidio/</w:t>
        </w:r>
      </w:hyperlink>
      <w:r w:rsidDel="00000000" w:rsidR="00000000" w:rsidRPr="00000000">
        <w:rPr>
          <w:rtl w:val="0"/>
        </w:rPr>
      </w:r>
    </w:p>
  </w:footnote>
  <w:footnote w:id="7">
    <w:p w:rsidR="00000000" w:rsidDel="00000000" w:rsidP="00000000" w:rsidRDefault="00000000" w:rsidRPr="00000000" w14:paraId="00000045">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6">
        <w:r w:rsidDel="00000000" w:rsidR="00000000" w:rsidRPr="00000000">
          <w:rPr>
            <w:color w:val="1155cc"/>
            <w:u w:val="single"/>
            <w:rtl w:val="0"/>
          </w:rPr>
          <w:t xml:space="preserve">https://www.nacion.com/el-pais/politica/colectivos-feministas-critican-a-ministra-de-la/BVIFU5TW75ELNHS35YD2DJDLXU/story</w:t>
        </w:r>
      </w:hyperlink>
      <w:r w:rsidDel="00000000" w:rsidR="00000000" w:rsidRPr="00000000">
        <w:rPr>
          <w:rtl w:val="0"/>
        </w:rPr>
      </w:r>
    </w:p>
  </w:footnote>
  <w:footnote w:id="8">
    <w:p w:rsidR="00000000" w:rsidDel="00000000" w:rsidP="00000000" w:rsidRDefault="00000000" w:rsidRPr="00000000" w14:paraId="00000046">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7">
        <w:r w:rsidDel="00000000" w:rsidR="00000000" w:rsidRPr="00000000">
          <w:rPr>
            <w:color w:val="1155cc"/>
            <w:u w:val="single"/>
            <w:rtl w:val="0"/>
          </w:rPr>
          <w:t xml:space="preserve"> https://crhoy.com/mensaje-de-exministra-responsabiliza-a-mujeres-victimas-de-violencia-domestica-video/</w:t>
        </w:r>
      </w:hyperlink>
      <w:r w:rsidDel="00000000" w:rsidR="00000000" w:rsidRPr="00000000">
        <w:rPr>
          <w:rtl w:val="0"/>
        </w:rPr>
      </w:r>
    </w:p>
  </w:footnote>
  <w:footnote w:id="9">
    <w:p w:rsidR="00000000" w:rsidDel="00000000" w:rsidP="00000000" w:rsidRDefault="00000000" w:rsidRPr="00000000" w14:paraId="00000047">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8">
        <w:r w:rsidDel="00000000" w:rsidR="00000000" w:rsidRPr="00000000">
          <w:rPr>
            <w:color w:val="1155cc"/>
            <w:u w:val="single"/>
            <w:rtl w:val="0"/>
          </w:rPr>
          <w:t xml:space="preserve">https://www.nacion.com/el-pais/carta-con-640-firmas-exige-renuncia-de-ministra-de/ELMESRWHZFA45BPHDXSPLYF2Y4/story/</w:t>
        </w:r>
      </w:hyperlink>
      <w:r w:rsidDel="00000000" w:rsidR="00000000" w:rsidRPr="00000000">
        <w:rPr>
          <w:rtl w:val="0"/>
        </w:rPr>
      </w:r>
    </w:p>
  </w:footnote>
  <w:footnote w:id="20">
    <w:p w:rsidR="00000000" w:rsidDel="00000000" w:rsidP="00000000" w:rsidRDefault="00000000" w:rsidRPr="00000000" w14:paraId="00000048">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w:t>
      </w:r>
      <w:hyperlink r:id="rId19">
        <w:r w:rsidDel="00000000" w:rsidR="00000000" w:rsidRPr="00000000">
          <w:rPr>
            <w:color w:val="0000ee"/>
            <w:u w:val="single"/>
            <w:rtl w:val="0"/>
          </w:rPr>
          <w:t xml:space="preserve">Criterio técnico sobre el programa de estudio de Educación para la Paz y Convivencia.pdf</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spacing w:after="200" w:before="280" w:lineRule="auto"/>
      <w:jc w:val="center"/>
      <w:rPr>
        <w:b w:val="1"/>
      </w:rPr>
    </w:pPr>
    <w:r w:rsidDel="00000000" w:rsidR="00000000" w:rsidRPr="00000000">
      <w:rPr>
        <w:b w:val="1"/>
        <w:rtl w:val="0"/>
      </w:rPr>
      <w:t xml:space="preserve">Follow up Report Agenda CEDAW y Red Feminista Costa Rica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Didact Gothic" w:cs="Didact Gothic" w:eastAsia="Didact Gothic" w:hAnsi="Didact Gothic"/>
        <w:lang w:val="en"/>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40" w:before="240" w:lineRule="auto"/>
    </w:pPr>
    <w:rPr>
      <w:b w:val="1"/>
      <w:color w:val="1155cc"/>
      <w:sz w:val="36"/>
      <w:szCs w:val="36"/>
    </w:rPr>
  </w:style>
  <w:style w:type="paragraph" w:styleId="Heading2">
    <w:name w:val="heading 2"/>
    <w:basedOn w:val="Normal"/>
    <w:next w:val="Normal"/>
    <w:pPr>
      <w:keepNext w:val="1"/>
      <w:keepLines w:val="1"/>
      <w:spacing w:after="80" w:before="280" w:lineRule="auto"/>
    </w:pPr>
    <w:rPr>
      <w:b w:val="1"/>
      <w:color w:val="a61c00"/>
      <w:sz w:val="26"/>
      <w:szCs w:val="26"/>
    </w:rPr>
  </w:style>
  <w:style w:type="paragraph" w:styleId="Heading3">
    <w:name w:val="heading 3"/>
    <w:basedOn w:val="Normal"/>
    <w:next w:val="Normal"/>
    <w:pPr>
      <w:keepNext w:val="1"/>
      <w:keepLines w:val="1"/>
      <w:spacing w:after="240" w:before="240" w:lineRule="auto"/>
    </w:pPr>
    <w:rPr>
      <w:b w:val="1"/>
      <w:color w:val="b45f06"/>
      <w:sz w:val="22"/>
      <w:szCs w:val="22"/>
    </w:rPr>
  </w:style>
  <w:style w:type="paragraph" w:styleId="Heading4">
    <w:name w:val="heading 4"/>
    <w:basedOn w:val="Normal"/>
    <w:next w:val="Normal"/>
    <w:pPr>
      <w:keepNext w:val="1"/>
      <w:keepLines w:val="1"/>
    </w:pPr>
    <w:rPr>
      <w:b w:val="1"/>
      <w:color w:val="b7b7b7"/>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80" w:before="280" w:lineRule="auto"/>
      <w:jc w:val="center"/>
    </w:pPr>
    <w:rPr>
      <w:b w:val="1"/>
      <w:color w:val="073763"/>
      <w:sz w:val="40"/>
      <w:szCs w:val="40"/>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240" w:before="240" w:lineRule="auto"/>
      <w:jc w:val="center"/>
    </w:pPr>
    <w:rPr>
      <w:i w:val="1"/>
      <w:color w:val="666666"/>
      <w:sz w:val="40"/>
      <w:szCs w:val="4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DidactGothic-regular.ttf"/></Relationships>
</file>

<file path=word/_rels/footnotes.xml.rels><?xml version="1.0" encoding="UTF-8" standalone="yes"?><Relationships xmlns="http://schemas.openxmlformats.org/package/2006/relationships"><Relationship Id="rId11" Type="http://schemas.openxmlformats.org/officeDocument/2006/relationships/hyperlink" Target="https://delfino.cr/2025/02/borrador-de-nuevo-programa-de-convivencia-del-mep-no-incluye-aspectos-basicos-de-educacion-sexual" TargetMode="External"/><Relationship Id="rId10" Type="http://schemas.openxmlformats.org/officeDocument/2006/relationships/hyperlink" Target="https://ciem.ucr.ac.cr/eliminacion-del-programa-de-afectividad-y-sexualidad-integral-y-el-protocolo-de-atencion-del?utm_source=chatgpt.com" TargetMode="External"/><Relationship Id="rId13" Type="http://schemas.openxmlformats.org/officeDocument/2006/relationships/hyperlink" Target="https://costarica.un.org/es/299679-informe-sobre-discursos-de-odio-y-discriminaci%C3%B3n-2025" TargetMode="External"/><Relationship Id="rId12" Type="http://schemas.openxmlformats.org/officeDocument/2006/relationships/hyperlink" Target="https://radios.ucr.ac.cr/2025/05/doblecheck/mep-no-hay-programa-educacion-sexual/?utm_source=chatgpt.com" TargetMode="External"/><Relationship Id="rId1" Type="http://schemas.openxmlformats.org/officeDocument/2006/relationships/hyperlink" Target="https://drive.google.com/file/d/1XjU1D14acrV7GUawUXFjrl6fW3T_Hdgb/view?usp=share_link" TargetMode="External"/><Relationship Id="rId2" Type="http://schemas.openxmlformats.org/officeDocument/2006/relationships/hyperlink" Target="https://drive.google.com/file/d/1-ScjqhsY1_5YlEdx7EHQm9G_CUKv7vfE/view?usp=share_link" TargetMode="External"/><Relationship Id="rId3" Type="http://schemas.openxmlformats.org/officeDocument/2006/relationships/hyperlink" Target="https://observatoriodegenero.poder-judicial.go.cr/index.php/soy-especialista-y-busco/estadisticas/femicidio" TargetMode="External"/><Relationship Id="rId4" Type="http://schemas.openxmlformats.org/officeDocument/2006/relationships/hyperlink" Target="https://drive.google.com/file/d/1f96kRBsvEybHdAHIjzeYlkegZ-MmXDZK/view?usp=share_link" TargetMode="External"/><Relationship Id="rId9" Type="http://schemas.openxmlformats.org/officeDocument/2006/relationships/hyperlink" Target="https://drive.google.com/file/d/1iOAkJvhBqmvMqN6i0Ke2WREp4y-7zQQN/view?usp=share_link" TargetMode="External"/><Relationship Id="rId15" Type="http://schemas.openxmlformats.org/officeDocument/2006/relationships/hyperlink" Target="https://www.elpais.cr/2025/09/02/una-rechaza-declaraciones-de-exministra-que-responsabilizan-a-victimas-de-femicidio/?utm_source=chatgpt.com" TargetMode="External"/><Relationship Id="rId14" Type="http://schemas.openxmlformats.org/officeDocument/2006/relationships/hyperlink" Target="https://semanariouniversidad.com/pais/cindy-quesada-deja-el-cargo-para-buscar-nuevos-horizontes-cuando-su-programa-estrella-puntos-violeta-esta-bajo-fuego/?utm_source=chatgpt.com" TargetMode="External"/><Relationship Id="rId17" Type="http://schemas.openxmlformats.org/officeDocument/2006/relationships/hyperlink" Target="https://crhoy.com/mensaje-de-exministra-responsabiliza-a-mujeres-victimas-de-violencia-domestica-video/?utm_source=chatgpt.com" TargetMode="External"/><Relationship Id="rId16" Type="http://schemas.openxmlformats.org/officeDocument/2006/relationships/hyperlink" Target="https://www.nacion.com/el-pais/politica/colectivos-feministas-critican-a-ministra-de-la/BVIFU5TW75ELNHS35YD2DJDLXU/story/?utm_source=chatgpt.com" TargetMode="External"/><Relationship Id="rId5" Type="http://schemas.openxmlformats.org/officeDocument/2006/relationships/hyperlink" Target="https://drive.google.com/file/d/1GjYGCVoJUWaRNVN0WCEXjg6tZ8W0u0gJ/view?usp=share_link" TargetMode="External"/><Relationship Id="rId19" Type="http://schemas.openxmlformats.org/officeDocument/2006/relationships/hyperlink" Target="https://drive.google.com/file/d/1o0Bu9o92voC_Y_S4mZbarjiiPPxVzw3N/view?usp=share_link" TargetMode="External"/><Relationship Id="rId6" Type="http://schemas.openxmlformats.org/officeDocument/2006/relationships/hyperlink" Target="https://nexuspj.poder-judicial.go.cr/document/sen-1-0007-1243968" TargetMode="External"/><Relationship Id="rId18" Type="http://schemas.openxmlformats.org/officeDocument/2006/relationships/hyperlink" Target="https://www.nacion.com/el-pais/carta-con-640-firmas-exige-renuncia-de-ministra-de/ELMESRWHZFA45BPHDXSPLYF2Y4/story/" TargetMode="External"/><Relationship Id="rId7" Type="http://schemas.openxmlformats.org/officeDocument/2006/relationships/hyperlink" Target="https://www.france24.com/es/am%C3%A9rica-latina/20250130-costa-rica-pretende-aumentar-las-penas-de-c%C3%A1rcel-a-las-mujeres-que-aborten?utm_source=chatgpt.com" TargetMode="External"/><Relationship Id="rId8" Type="http://schemas.openxmlformats.org/officeDocument/2006/relationships/hyperlink" Target="https://delfino.cr/2025/02/ejecutivo-presenta-proyecto-para-aumentar-penas-de-carcel-en-casos-de-aborto-un-mes-despues-de-anunciar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9vBHRTS+eafsCFRD0DQofnU/xQ==">CgMxLjAyDmgud3k5aTcwbWRoaWZnMg5oLnJ3OWV0YWRjYzV6bTIOaC5hM2p0N3Q2ajVpbW4yDmguNDZxem0yaHd3OGJhMg5oLnNzYTBobWxyeDc1eTIOaC5veWxqMGM1ZW1hdmQyDmguZnE5OG5waXo1M3VpMg5oLjhrdmgzc293NGxwejIOaC5lMjA1ZHVyYnBuNG0yDmguaW1pZzFqcm84dXczMg5oLm1haHIzc3VpamE2MzgAciExZHJTb2c0OUtvbm5PWlU4cEs3dll6d1htMzhPX3EtX0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