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6B47F" w14:textId="77777777" w:rsidR="00736D44" w:rsidRPr="003E4D88" w:rsidRDefault="00736D44" w:rsidP="00736D44">
      <w:pPr>
        <w:jc w:val="center"/>
        <w:rPr>
          <w:rFonts w:asciiTheme="majorBidi" w:hAnsiTheme="majorBidi" w:cstheme="majorBidi"/>
          <w:b/>
          <w:bCs/>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4D88">
        <w:rPr>
          <w:rFonts w:asciiTheme="majorBidi" w:hAnsiTheme="majorBidi" w:cstheme="majorBidi"/>
          <w:b/>
          <w:bCs/>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Peace’s Report submitted to the Committee on the Elimination of Racial Discrimination (CERD)</w:t>
      </w:r>
    </w:p>
    <w:p w14:paraId="3A172A8D" w14:textId="5497CC60" w:rsidR="00736D44" w:rsidRPr="003E4D88" w:rsidRDefault="00736D44" w:rsidP="00736D44">
      <w:pPr>
        <w:pBdr>
          <w:bottom w:val="single" w:sz="18" w:space="1" w:color="auto"/>
        </w:pBdr>
        <w:jc w:val="center"/>
        <w:rPr>
          <w:rFonts w:asciiTheme="majorBidi" w:hAnsiTheme="majorBidi" w:cstheme="majorBidi"/>
          <w:b/>
          <w:bCs/>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4D88">
        <w:rPr>
          <w:rFonts w:asciiTheme="majorBidi" w:hAnsiTheme="majorBidi" w:cstheme="majorBidi"/>
          <w:b/>
          <w:bCs/>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Regarding Follow-up to the Concluding Observations Concerning </w:t>
      </w:r>
      <w:r w:rsidRPr="003E4D88">
        <w:rPr>
          <w:rFonts w:asciiTheme="majorBidi" w:hAnsiTheme="majorBidi" w:cstheme="majorBidi"/>
          <w:b/>
          <w:bCs/>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United Kingdom</w:t>
      </w:r>
    </w:p>
    <w:p w14:paraId="75F99949" w14:textId="77777777" w:rsidR="00736D44" w:rsidRPr="00736D44" w:rsidRDefault="00736D44" w:rsidP="00736D44">
      <w:pPr>
        <w:jc w:val="both"/>
        <w:rPr>
          <w:rFonts w:asciiTheme="majorBidi" w:hAnsiTheme="majorBidi" w:cstheme="majorBidi"/>
        </w:rPr>
      </w:pPr>
      <w:r w:rsidRPr="00736D44">
        <w:rPr>
          <w:rFonts w:asciiTheme="majorBidi" w:hAnsiTheme="majorBidi" w:cstheme="majorBidi"/>
        </w:rPr>
        <w:t>Maat for Peace, Development and Human Rights submits this report to provide the Committee with additional information regarding follow-up to the concluding observations issued in relation to the United Kingdom, particularly the recommendations contained in paragraphs 30 (the right to freedom of peaceful assembly), 34 (counter-terrorism measures), and 52 (the Windrush generation). This report follows Maat’s review of the information submitted by the United Kingdom concerning measures taken to implement the aforementioned recommendations.</w:t>
      </w:r>
    </w:p>
    <w:p w14:paraId="037A7B16" w14:textId="77777777" w:rsidR="00736D44" w:rsidRPr="00736D44" w:rsidRDefault="00736D44" w:rsidP="00736D44">
      <w:pPr>
        <w:jc w:val="both"/>
        <w:rPr>
          <w:rFonts w:asciiTheme="majorBidi" w:hAnsiTheme="majorBidi" w:cstheme="majorBidi"/>
          <w:b/>
          <w:bCs/>
          <w:color w:val="C45911" w:themeColor="accent2" w:themeShade="BF"/>
          <w:sz w:val="28"/>
          <w:szCs w:val="28"/>
        </w:rPr>
      </w:pPr>
      <w:r w:rsidRPr="00736D44">
        <w:rPr>
          <w:rFonts w:asciiTheme="majorBidi" w:hAnsiTheme="majorBidi" w:cstheme="majorBidi"/>
          <w:b/>
          <w:bCs/>
          <w:color w:val="C45911" w:themeColor="accent2" w:themeShade="BF"/>
          <w:sz w:val="28"/>
          <w:szCs w:val="28"/>
        </w:rPr>
        <w:t>First: Right to Freedom of Peaceful Assembly</w:t>
      </w:r>
    </w:p>
    <w:p w14:paraId="0CD0AE52"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In its concluding observations, the Committee urged the United Kingdom to take measures to ensure that the right to freedom of peaceful assembly is exercised without discrimination, including by reviewing and amending the Police, Crime, Sentencing and Courts Act 2022 and the Public Order Act 2023. The Committee also recommended investigating all allegations of excessive use of force by law enforcement personnel during peaceful protests, and</w:t>
      </w:r>
      <w:r w:rsidRPr="000F3FB7">
        <w:rPr>
          <w:rFonts w:asciiTheme="majorBidi" w:hAnsiTheme="majorBidi" w:cstheme="majorBidi"/>
        </w:rPr>
        <w:t xml:space="preserve">, </w:t>
      </w:r>
      <w:r w:rsidRPr="006D630F">
        <w:rPr>
          <w:rFonts w:asciiTheme="majorBidi" w:hAnsiTheme="majorBidi" w:cstheme="majorBidi"/>
        </w:rPr>
        <w:t>where appropriate</w:t>
      </w:r>
      <w:r w:rsidRPr="000F3FB7">
        <w:rPr>
          <w:rFonts w:asciiTheme="majorBidi" w:hAnsiTheme="majorBidi" w:cstheme="majorBidi"/>
        </w:rPr>
        <w:t xml:space="preserve">, </w:t>
      </w:r>
      <w:r w:rsidRPr="006D630F">
        <w:rPr>
          <w:rFonts w:asciiTheme="majorBidi" w:hAnsiTheme="majorBidi" w:cstheme="majorBidi"/>
        </w:rPr>
        <w:t>prosecuting and punishing those responsible.</w:t>
      </w:r>
      <w:r w:rsidRPr="000F3FB7">
        <w:rPr>
          <w:rStyle w:val="FootnoteReference"/>
          <w:rFonts w:asciiTheme="majorBidi" w:hAnsiTheme="majorBidi" w:cstheme="majorBidi"/>
        </w:rPr>
        <w:footnoteReference w:id="1"/>
      </w:r>
      <w:r w:rsidRPr="000F3FB7">
        <w:rPr>
          <w:rFonts w:asciiTheme="majorBidi" w:hAnsiTheme="majorBidi" w:cstheme="majorBidi"/>
        </w:rPr>
        <w:t xml:space="preserve"> </w:t>
      </w:r>
      <w:r w:rsidRPr="006D630F">
        <w:rPr>
          <w:rFonts w:asciiTheme="majorBidi" w:hAnsiTheme="majorBidi" w:cstheme="majorBidi"/>
        </w:rPr>
        <w:t xml:space="preserve">Maat has reviewed the responses submitted by the United Kingdom regarding this recommendation. Maat considers that what the United Kingdom provided in its follow-up report to the Committee does not address the restrictions currently imposed on the right to freedom of peaceful assembly. The United Kingdom has not taken meaningful measures to implement these recommendations, other than stating that it would urgently conduct a post-legislative review of all aspects of the Public Order Act 2023 starting </w:t>
      </w:r>
      <w:r w:rsidRPr="000F3FB7">
        <w:rPr>
          <w:rFonts w:asciiTheme="majorBidi" w:hAnsiTheme="majorBidi" w:cstheme="majorBidi"/>
        </w:rPr>
        <w:t xml:space="preserve">in </w:t>
      </w:r>
      <w:r w:rsidRPr="006D630F">
        <w:rPr>
          <w:rFonts w:asciiTheme="majorBidi" w:hAnsiTheme="majorBidi" w:cstheme="majorBidi"/>
        </w:rPr>
        <w:t>May 2025. Maat urges the Committee to consider the results of this review to ensure that the law achieves the correct balance between protecting democratic freedoms and maintaining public order.</w:t>
      </w:r>
    </w:p>
    <w:p w14:paraId="3CBC4386"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 xml:space="preserve">Despite the recommendation to review restrictive legislation, the United Kingdom has continued to apply and further expand the effects of legislation that grants the police broad powers to restrict peaceful protests and demonstrations. Government data indicate that the Police, Crime, Sentencing </w:t>
      </w:r>
      <w:r w:rsidRPr="006D630F">
        <w:rPr>
          <w:rFonts w:asciiTheme="majorBidi" w:hAnsiTheme="majorBidi" w:cstheme="majorBidi"/>
        </w:rPr>
        <w:lastRenderedPageBreak/>
        <w:t>and Courts Act 2022 expanded what is known as “serious disruption”, enabling restrictions on protests in a broader range of cases.</w:t>
      </w:r>
      <w:r w:rsidRPr="000F3FB7">
        <w:rPr>
          <w:rStyle w:val="FootnoteReference"/>
          <w:rFonts w:asciiTheme="majorBidi" w:hAnsiTheme="majorBidi" w:cstheme="majorBidi"/>
        </w:rPr>
        <w:footnoteReference w:id="2"/>
      </w:r>
      <w:r w:rsidRPr="006D630F">
        <w:rPr>
          <w:rFonts w:asciiTheme="majorBidi" w:hAnsiTheme="majorBidi" w:cstheme="majorBidi"/>
        </w:rPr>
        <w:t xml:space="preserve"> Subsequently, the intervention threshold was lowered to the level of “more than minor” before the Court of Appeal ruled this expansion unlawful. This reflects that the Government, in practice, sought to tighten restrictions rather than review them.</w:t>
      </w:r>
      <w:r w:rsidRPr="000F3FB7">
        <w:rPr>
          <w:rStyle w:val="FootnoteReference"/>
          <w:rFonts w:asciiTheme="majorBidi" w:hAnsiTheme="majorBidi" w:cstheme="majorBidi"/>
        </w:rPr>
        <w:footnoteReference w:id="3"/>
      </w:r>
    </w:p>
    <w:p w14:paraId="1D774D50"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At the same time, Maat has serious concerns regarding what the United Kingdom</w:t>
      </w:r>
      <w:r w:rsidRPr="000F3FB7">
        <w:rPr>
          <w:rFonts w:asciiTheme="majorBidi" w:hAnsiTheme="majorBidi" w:cstheme="majorBidi"/>
        </w:rPr>
        <w:t xml:space="preserve">, </w:t>
      </w:r>
      <w:r w:rsidRPr="006D630F">
        <w:rPr>
          <w:rFonts w:asciiTheme="majorBidi" w:hAnsiTheme="majorBidi" w:cstheme="majorBidi"/>
        </w:rPr>
        <w:t>particularly London</w:t>
      </w:r>
      <w:r w:rsidRPr="000F3FB7">
        <w:rPr>
          <w:rFonts w:asciiTheme="majorBidi" w:hAnsiTheme="majorBidi" w:cstheme="majorBidi"/>
        </w:rPr>
        <w:t xml:space="preserve">, </w:t>
      </w:r>
      <w:r w:rsidRPr="006D630F">
        <w:rPr>
          <w:rFonts w:asciiTheme="majorBidi" w:hAnsiTheme="majorBidi" w:cstheme="majorBidi"/>
        </w:rPr>
        <w:t xml:space="preserve">has witnessed in terms of waves of mass arrests affecting protesters during peaceful demonstrations. On 9 August 2025, </w:t>
      </w:r>
      <w:r w:rsidRPr="000F3FB7">
        <w:rPr>
          <w:rFonts w:asciiTheme="majorBidi" w:hAnsiTheme="majorBidi" w:cstheme="majorBidi"/>
        </w:rPr>
        <w:t xml:space="preserve">the </w:t>
      </w:r>
      <w:r w:rsidRPr="006D630F">
        <w:rPr>
          <w:rFonts w:asciiTheme="majorBidi" w:hAnsiTheme="majorBidi" w:cstheme="majorBidi"/>
        </w:rPr>
        <w:t>Metropolitan Police in the United Kingdom arrested 466 people during a protest in the vicinity of Parliament against a ban on the Palestine Action movement. Reports reviewed by Maat indicate that a large number of those arrested were participating in a peaceful demonstration</w:t>
      </w:r>
      <w:r w:rsidRPr="000F3FB7">
        <w:rPr>
          <w:rFonts w:asciiTheme="majorBidi" w:hAnsiTheme="majorBidi" w:cstheme="majorBidi"/>
        </w:rPr>
        <w:t xml:space="preserve"> and that their activities were limited to holding banners or attending</w:t>
      </w:r>
      <w:r w:rsidRPr="006D630F">
        <w:rPr>
          <w:rFonts w:asciiTheme="majorBidi" w:hAnsiTheme="majorBidi" w:cstheme="majorBidi"/>
        </w:rPr>
        <w:t xml:space="preserve"> protest gatherings, without engaging in widespread violent acts.</w:t>
      </w:r>
      <w:r w:rsidRPr="000F3FB7">
        <w:rPr>
          <w:rStyle w:val="FootnoteReference"/>
          <w:rFonts w:asciiTheme="majorBidi" w:hAnsiTheme="majorBidi" w:cstheme="majorBidi"/>
        </w:rPr>
        <w:footnoteReference w:id="4"/>
      </w:r>
    </w:p>
    <w:p w14:paraId="04DDC38B"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 xml:space="preserve">On 6 September 2025, the same pattern was repeated, with the arrest of approximately 425 protesters during a similar demonstration in central London, in the context of an escalating security campaign targeting events supporting Gaza. Reports indicate that the arrests were carried out </w:t>
      </w:r>
      <w:r w:rsidRPr="000F3FB7">
        <w:rPr>
          <w:rFonts w:asciiTheme="majorBidi" w:hAnsiTheme="majorBidi" w:cstheme="majorBidi"/>
        </w:rPr>
        <w:t>in a broad and collective manner</w:t>
      </w:r>
      <w:r w:rsidRPr="006D630F">
        <w:rPr>
          <w:rFonts w:asciiTheme="majorBidi" w:hAnsiTheme="majorBidi" w:cstheme="majorBidi"/>
        </w:rPr>
        <w:t>, including individuals who showed no resistance or violent conduct. In October 2025, the police arrested approximately 442 protesters in Trafalgar Square during demonstrations, even though these marches were peaceful.</w:t>
      </w:r>
      <w:r w:rsidRPr="000F3FB7">
        <w:rPr>
          <w:rStyle w:val="FootnoteReference"/>
          <w:rFonts w:asciiTheme="majorBidi" w:hAnsiTheme="majorBidi" w:cstheme="majorBidi"/>
        </w:rPr>
        <w:footnoteReference w:id="5"/>
      </w:r>
      <w:r w:rsidRPr="000F3FB7">
        <w:rPr>
          <w:rFonts w:asciiTheme="majorBidi" w:hAnsiTheme="majorBidi" w:cstheme="majorBidi"/>
        </w:rPr>
        <w:t xml:space="preserve"> </w:t>
      </w:r>
      <w:r w:rsidRPr="006D630F">
        <w:rPr>
          <w:rFonts w:asciiTheme="majorBidi" w:hAnsiTheme="majorBidi" w:cstheme="majorBidi"/>
        </w:rPr>
        <w:t>In this context, Maat draws attention to the repetition of these arrests in the setting of a specific type of protest</w:t>
      </w:r>
      <w:r w:rsidRPr="000F3FB7">
        <w:rPr>
          <w:rFonts w:asciiTheme="majorBidi" w:hAnsiTheme="majorBidi" w:cstheme="majorBidi"/>
        </w:rPr>
        <w:t xml:space="preserve">, </w:t>
      </w:r>
      <w:r w:rsidRPr="006D630F">
        <w:rPr>
          <w:rFonts w:asciiTheme="majorBidi" w:hAnsiTheme="majorBidi" w:cstheme="majorBidi"/>
        </w:rPr>
        <w:t>namely, demonstrations in support of Gaza</w:t>
      </w:r>
      <w:r w:rsidRPr="000F3FB7">
        <w:rPr>
          <w:rFonts w:asciiTheme="majorBidi" w:hAnsiTheme="majorBidi" w:cstheme="majorBidi"/>
        </w:rPr>
        <w:t xml:space="preserve">, </w:t>
      </w:r>
      <w:r w:rsidRPr="006D630F">
        <w:rPr>
          <w:rFonts w:asciiTheme="majorBidi" w:hAnsiTheme="majorBidi" w:cstheme="majorBidi"/>
        </w:rPr>
        <w:t>with the same pace occurring within a short time span. This suggests a pattern of selective enforcement of public-order measures. Given the nature of these protests, in which many participants come from Arab backgrounds, this raises questions about whether there is discrimination in the application of the right to freedom of peaceful assembly</w:t>
      </w:r>
      <w:r w:rsidRPr="000F3FB7">
        <w:rPr>
          <w:rFonts w:asciiTheme="majorBidi" w:hAnsiTheme="majorBidi" w:cstheme="majorBidi"/>
        </w:rPr>
        <w:t xml:space="preserve">, </w:t>
      </w:r>
      <w:r w:rsidRPr="006D630F">
        <w:rPr>
          <w:rFonts w:asciiTheme="majorBidi" w:hAnsiTheme="majorBidi" w:cstheme="majorBidi"/>
        </w:rPr>
        <w:t>particularly where broad and disproportionate security measures have a greater impact on certain ethnic and religious groups.</w:t>
      </w:r>
    </w:p>
    <w:p w14:paraId="4AA357EE" w14:textId="77777777" w:rsidR="00736D44" w:rsidRPr="00736D44" w:rsidRDefault="00736D44" w:rsidP="00736D44">
      <w:pPr>
        <w:jc w:val="both"/>
        <w:rPr>
          <w:rFonts w:asciiTheme="majorBidi" w:hAnsiTheme="majorBidi" w:cstheme="majorBidi"/>
          <w:b/>
          <w:bCs/>
          <w:color w:val="C45911" w:themeColor="accent2" w:themeShade="BF"/>
          <w:sz w:val="28"/>
          <w:szCs w:val="28"/>
        </w:rPr>
      </w:pPr>
      <w:r w:rsidRPr="00736D44">
        <w:rPr>
          <w:rFonts w:asciiTheme="majorBidi" w:hAnsiTheme="majorBidi" w:cstheme="majorBidi"/>
          <w:b/>
          <w:bCs/>
          <w:color w:val="C45911" w:themeColor="accent2" w:themeShade="BF"/>
          <w:sz w:val="28"/>
          <w:szCs w:val="28"/>
        </w:rPr>
        <w:t>Second: Counter-Terrorism Measures</w:t>
      </w:r>
    </w:p>
    <w:p w14:paraId="77711448"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 xml:space="preserve">To date, and as of the writing of this report, the United Kingdom has not taken any measures to comply with the Committee’s recommendations concerning counter-terrorism measures in its </w:t>
      </w:r>
      <w:r w:rsidRPr="006D630F">
        <w:rPr>
          <w:rFonts w:asciiTheme="majorBidi" w:hAnsiTheme="majorBidi" w:cstheme="majorBidi"/>
        </w:rPr>
        <w:lastRenderedPageBreak/>
        <w:t>concluding observations.</w:t>
      </w:r>
      <w:r w:rsidRPr="000F3FB7">
        <w:rPr>
          <w:rStyle w:val="FootnoteReference"/>
          <w:rFonts w:asciiTheme="majorBidi" w:hAnsiTheme="majorBidi" w:cstheme="majorBidi"/>
        </w:rPr>
        <w:footnoteReference w:id="6"/>
      </w:r>
      <w:r w:rsidRPr="006D630F">
        <w:rPr>
          <w:rFonts w:asciiTheme="majorBidi" w:hAnsiTheme="majorBidi" w:cstheme="majorBidi"/>
        </w:rPr>
        <w:t xml:space="preserve"> Maat notes that the responses submitted by the United Kingdom limited themselves to referring to certain aspects of these strategies. In this regard, the United Kingdom stated that the UK’s counter-terrorism strategy (CONTEST), with its latest version published in 2023, is ideologically neutral and is designed to cover all types of terrorism; it is also reviewed to ensure it remains fit for purpose. The United Kingdom further stated that the (Prevent) programme</w:t>
      </w:r>
      <w:r w:rsidRPr="000F3FB7">
        <w:rPr>
          <w:rFonts w:asciiTheme="majorBidi" w:hAnsiTheme="majorBidi" w:cstheme="majorBidi"/>
        </w:rPr>
        <w:t xml:space="preserve">, </w:t>
      </w:r>
      <w:r w:rsidRPr="006D630F">
        <w:rPr>
          <w:rFonts w:asciiTheme="majorBidi" w:hAnsiTheme="majorBidi" w:cstheme="majorBidi"/>
        </w:rPr>
        <w:t>one of the four pillars of the CONTEST strategy</w:t>
      </w:r>
      <w:r w:rsidRPr="000F3FB7">
        <w:rPr>
          <w:rFonts w:asciiTheme="majorBidi" w:hAnsiTheme="majorBidi" w:cstheme="majorBidi"/>
        </w:rPr>
        <w:t xml:space="preserve">, </w:t>
      </w:r>
      <w:r w:rsidRPr="006D630F">
        <w:rPr>
          <w:rFonts w:asciiTheme="majorBidi" w:hAnsiTheme="majorBidi" w:cstheme="majorBidi"/>
        </w:rPr>
        <w:t>is also ideologically neutral and does not target any ideology, religion, or specific ethnic group. It aims to protect fundamental human rights by intervening at an early stage to provide appropriate support to individuals before they drift toward violence or criminal activity. In this sense, protecting children from the risk of radicalization forms part of broader safeguarding duties, alongside risks such as drugs, gangs, and sexual exploitation.</w:t>
      </w:r>
    </w:p>
    <w:p w14:paraId="482411A8" w14:textId="64822FDD" w:rsidR="00736D44" w:rsidRPr="006D630F" w:rsidRDefault="00736D44" w:rsidP="00736D44">
      <w:pPr>
        <w:jc w:val="both"/>
        <w:rPr>
          <w:rFonts w:asciiTheme="majorBidi" w:hAnsiTheme="majorBidi" w:cstheme="majorBidi"/>
        </w:rPr>
      </w:pPr>
      <w:r w:rsidRPr="006D630F">
        <w:rPr>
          <w:rFonts w:asciiTheme="majorBidi" w:hAnsiTheme="majorBidi" w:cstheme="majorBidi"/>
        </w:rPr>
        <w:t xml:space="preserve">In a related development, Maat notes the United Kingdom Government’s announcement in December 2025 establishing the position of an “Independent Prevent Commissioner.” In January 2025, an interim commissioner was appointed pending the appointment of a permanent office-holder. The independent commissioner is mandated to provide ongoing independent oversight of legislation and policies </w:t>
      </w:r>
      <w:r w:rsidRPr="000F3FB7">
        <w:rPr>
          <w:rFonts w:asciiTheme="majorBidi" w:hAnsiTheme="majorBidi" w:cstheme="majorBidi"/>
        </w:rPr>
        <w:t>to</w:t>
      </w:r>
      <w:r w:rsidRPr="006D630F">
        <w:rPr>
          <w:rFonts w:asciiTheme="majorBidi" w:hAnsiTheme="majorBidi" w:cstheme="majorBidi"/>
        </w:rPr>
        <w:t xml:space="preserve"> maximize the programme’s effectiveness, with a specific mandate to review the programme’s effectiveness and identify gaps and problems before they emerge.</w:t>
      </w:r>
      <w:r w:rsidRPr="000F3FB7">
        <w:rPr>
          <w:rStyle w:val="FootnoteReference"/>
          <w:rFonts w:asciiTheme="majorBidi" w:hAnsiTheme="majorBidi" w:cstheme="majorBidi"/>
        </w:rPr>
        <w:footnoteReference w:id="7"/>
      </w:r>
      <w:r w:rsidRPr="000F3FB7">
        <w:rPr>
          <w:rFonts w:asciiTheme="majorBidi" w:hAnsiTheme="majorBidi" w:cstheme="majorBidi"/>
        </w:rPr>
        <w:t xml:space="preserve"> </w:t>
      </w:r>
      <w:r w:rsidRPr="006D630F">
        <w:rPr>
          <w:rFonts w:asciiTheme="majorBidi" w:hAnsiTheme="majorBidi" w:cstheme="majorBidi"/>
        </w:rPr>
        <w:t>Maat emphasizes that there are significant concerns in this regard. While the recommendation of the Committee on the Elimination of Racial Discrimination urges the United Kingdom to review the Prevent programme within the CONTEST strategy due to concerns about stereotyping and discrimination against minorities</w:t>
      </w:r>
      <w:r w:rsidRPr="000F3FB7">
        <w:rPr>
          <w:rFonts w:asciiTheme="majorBidi" w:hAnsiTheme="majorBidi" w:cstheme="majorBidi"/>
        </w:rPr>
        <w:t xml:space="preserve">, </w:t>
      </w:r>
      <w:r w:rsidRPr="006D630F">
        <w:rPr>
          <w:rFonts w:asciiTheme="majorBidi" w:hAnsiTheme="majorBidi" w:cstheme="majorBidi"/>
        </w:rPr>
        <w:t>particularly Muslims and children</w:t>
      </w:r>
      <w:r w:rsidRPr="000F3FB7">
        <w:rPr>
          <w:rFonts w:asciiTheme="majorBidi" w:hAnsiTheme="majorBidi" w:cstheme="majorBidi"/>
        </w:rPr>
        <w:t xml:space="preserve">, </w:t>
      </w:r>
      <w:r w:rsidRPr="006D630F">
        <w:rPr>
          <w:rFonts w:asciiTheme="majorBidi" w:hAnsiTheme="majorBidi" w:cstheme="majorBidi"/>
        </w:rPr>
        <w:t xml:space="preserve">and to ensure effective oversight mechanisms and remedies, official data indicate that </w:t>
      </w:r>
      <w:r>
        <w:rPr>
          <w:rFonts w:asciiTheme="majorBidi" w:hAnsiTheme="majorBidi" w:cstheme="majorBidi"/>
        </w:rPr>
        <w:t>(</w:t>
      </w:r>
      <w:r w:rsidRPr="006D630F">
        <w:rPr>
          <w:rFonts w:asciiTheme="majorBidi" w:hAnsiTheme="majorBidi" w:cstheme="majorBidi"/>
        </w:rPr>
        <w:t>Prevent</w:t>
      </w:r>
      <w:r>
        <w:rPr>
          <w:rFonts w:asciiTheme="majorBidi" w:hAnsiTheme="majorBidi" w:cstheme="majorBidi"/>
        </w:rPr>
        <w:t>)</w:t>
      </w:r>
      <w:r w:rsidRPr="006D630F">
        <w:rPr>
          <w:rFonts w:asciiTheme="majorBidi" w:hAnsiTheme="majorBidi" w:cstheme="majorBidi"/>
        </w:rPr>
        <w:t xml:space="preserve"> received 8,778 referrals during 2024/2025. Of these, 3,129 referrals came from the education sector (36%), reflecting the extent of institutional involvement in schools and the large number of children referred to security-screening mechanisms.</w:t>
      </w:r>
      <w:r w:rsidRPr="000F3FB7">
        <w:rPr>
          <w:rStyle w:val="FootnoteReference"/>
          <w:rFonts w:asciiTheme="majorBidi" w:hAnsiTheme="majorBidi" w:cstheme="majorBidi"/>
        </w:rPr>
        <w:footnoteReference w:id="8"/>
      </w:r>
      <w:r w:rsidRPr="006D630F">
        <w:rPr>
          <w:rFonts w:asciiTheme="majorBidi" w:hAnsiTheme="majorBidi" w:cstheme="majorBidi"/>
        </w:rPr>
        <w:t xml:space="preserve"> The same data indicate that 56% of referrals are not linked to any specific ideology, meaning that a substantial portion of referrals is not based on clear indicators of radicalization, but rather on broad grounds of behavioural or pre-emptive suspicion.</w:t>
      </w:r>
      <w:r w:rsidRPr="000F3FB7">
        <w:rPr>
          <w:rStyle w:val="FootnoteReference"/>
          <w:rFonts w:asciiTheme="majorBidi" w:hAnsiTheme="majorBidi" w:cstheme="majorBidi"/>
        </w:rPr>
        <w:footnoteReference w:id="9"/>
      </w:r>
    </w:p>
    <w:p w14:paraId="2AC62B7B"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 xml:space="preserve">Maat stresses that this pattern raises fundamental concerns in light of the State’s obligations under the International Convention on the Elimination of All Forms of Racial Discrimination, </w:t>
      </w:r>
      <w:r w:rsidRPr="006D630F">
        <w:rPr>
          <w:rFonts w:asciiTheme="majorBidi" w:hAnsiTheme="majorBidi" w:cstheme="majorBidi"/>
        </w:rPr>
        <w:lastRenderedPageBreak/>
        <w:t>particularly the obligation to ensure that measures do not produce a disproportionate impact on particular ethnic or religious groups. The inclusion of non-violent behaviours or political expressions within the scope of security suspicion</w:t>
      </w:r>
      <w:r w:rsidRPr="000F3FB7">
        <w:rPr>
          <w:rFonts w:asciiTheme="majorBidi" w:hAnsiTheme="majorBidi" w:cstheme="majorBidi"/>
        </w:rPr>
        <w:t xml:space="preserve">, </w:t>
      </w:r>
      <w:r w:rsidRPr="006D630F">
        <w:rPr>
          <w:rFonts w:asciiTheme="majorBidi" w:hAnsiTheme="majorBidi" w:cstheme="majorBidi"/>
        </w:rPr>
        <w:t>especially in the school environment</w:t>
      </w:r>
      <w:r w:rsidRPr="000F3FB7">
        <w:rPr>
          <w:rFonts w:asciiTheme="majorBidi" w:hAnsiTheme="majorBidi" w:cstheme="majorBidi"/>
        </w:rPr>
        <w:t xml:space="preserve">, </w:t>
      </w:r>
      <w:r w:rsidRPr="006D630F">
        <w:rPr>
          <w:rFonts w:asciiTheme="majorBidi" w:hAnsiTheme="majorBidi" w:cstheme="majorBidi"/>
        </w:rPr>
        <w:t>may, in practice, place an undue and disproportionate burden on children from Muslim or other ethnic minority backgrounds. This would be inconsistent with the Convention’s guarantee of equality in the enjoyment of rights, without direct or indirect discrimination.</w:t>
      </w:r>
    </w:p>
    <w:p w14:paraId="0F7ED22C"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In a related context, Maat has reviewed reports indicating that referrals to the Prevent programme have increased markedly, nearing 10,000 cases per year, while a significant proportion of these referrals remain not linked to clearly articulated ideological motivations</w:t>
      </w:r>
      <w:r w:rsidRPr="000F3FB7">
        <w:rPr>
          <w:rFonts w:asciiTheme="majorBidi" w:hAnsiTheme="majorBidi" w:cstheme="majorBidi"/>
        </w:rPr>
        <w:t xml:space="preserve">, </w:t>
      </w:r>
      <w:r w:rsidRPr="006D630F">
        <w:rPr>
          <w:rFonts w:asciiTheme="majorBidi" w:hAnsiTheme="majorBidi" w:cstheme="majorBidi"/>
        </w:rPr>
        <w:t>raising questions about the expansion of its scope.</w:t>
      </w:r>
      <w:r w:rsidRPr="000F3FB7">
        <w:rPr>
          <w:rStyle w:val="FootnoteReference"/>
          <w:rFonts w:asciiTheme="majorBidi" w:hAnsiTheme="majorBidi" w:cstheme="majorBidi"/>
        </w:rPr>
        <w:footnoteReference w:id="10"/>
      </w:r>
      <w:r w:rsidRPr="006D630F">
        <w:rPr>
          <w:rFonts w:asciiTheme="majorBidi" w:hAnsiTheme="majorBidi" w:cstheme="majorBidi"/>
        </w:rPr>
        <w:t xml:space="preserve"> Investigative media reports have further shown that, in schools, Prevent has led to the referral of students due to political expressions or non-violent conduct, including cases related to expressing political views within the educational environment, with a notable focus on students from Muslim backgrounds.</w:t>
      </w:r>
      <w:r w:rsidRPr="000F3FB7">
        <w:rPr>
          <w:rStyle w:val="FootnoteReference"/>
          <w:rFonts w:asciiTheme="majorBidi" w:hAnsiTheme="majorBidi" w:cstheme="majorBidi"/>
        </w:rPr>
        <w:footnoteReference w:id="11"/>
      </w:r>
      <w:r w:rsidRPr="006D630F">
        <w:rPr>
          <w:rFonts w:asciiTheme="majorBidi" w:hAnsiTheme="majorBidi" w:cstheme="majorBidi"/>
        </w:rPr>
        <w:t xml:space="preserve"> The same investigations indicate shortcomings in recording data on race in a large number of referrals, as the ethnic background was not recorded in a significant percentage of cases. This limits the ability to accurately assess whether discrimination occurs and weakens transparency mechanisms.</w:t>
      </w:r>
      <w:r w:rsidRPr="000F3FB7">
        <w:rPr>
          <w:rStyle w:val="FootnoteReference"/>
          <w:rFonts w:asciiTheme="majorBidi" w:hAnsiTheme="majorBidi" w:cstheme="majorBidi"/>
        </w:rPr>
        <w:footnoteReference w:id="12"/>
      </w:r>
    </w:p>
    <w:p w14:paraId="0F519636"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Maat further notes that the absence of accurate recording of ethnic data in a substantial number of referrals</w:t>
      </w:r>
      <w:r w:rsidRPr="000F3FB7">
        <w:rPr>
          <w:rFonts w:asciiTheme="majorBidi" w:hAnsiTheme="majorBidi" w:cstheme="majorBidi"/>
        </w:rPr>
        <w:t xml:space="preserve">, </w:t>
      </w:r>
      <w:r w:rsidRPr="006D630F">
        <w:rPr>
          <w:rFonts w:asciiTheme="majorBidi" w:hAnsiTheme="majorBidi" w:cstheme="majorBidi"/>
        </w:rPr>
        <w:t>along with the controversy regarding the weakness of appeals and remedies mechanisms</w:t>
      </w:r>
      <w:r w:rsidRPr="000F3FB7">
        <w:rPr>
          <w:rFonts w:asciiTheme="majorBidi" w:hAnsiTheme="majorBidi" w:cstheme="majorBidi"/>
        </w:rPr>
        <w:t xml:space="preserve">, </w:t>
      </w:r>
      <w:r w:rsidRPr="006D630F">
        <w:rPr>
          <w:rFonts w:asciiTheme="majorBidi" w:hAnsiTheme="majorBidi" w:cstheme="majorBidi"/>
        </w:rPr>
        <w:t>reveals shortcomings in the procedural safeguards demanded by the Committee to ensure that law-enforcement measures are not misused. The lack of effective mechanisms for review or compensation in cases of incorrect referral, combined with the broad and insufficiently defined scope of security discretion, increases the risks of indirect discrimination in the practical application of the programme. Accordingly, the continued persistence of this pattern without an independent and effective review may constitute a breach of the State Party’s international obligations, particularly the obligation to ensure that counter-terrorism measures are proportionate and do not rely on, or result in, an impact based on ethnicity or religion in practice.</w:t>
      </w:r>
    </w:p>
    <w:p w14:paraId="47FC603F" w14:textId="77777777" w:rsidR="00736D44" w:rsidRPr="00736D44" w:rsidRDefault="00736D44" w:rsidP="00736D44">
      <w:pPr>
        <w:jc w:val="both"/>
        <w:rPr>
          <w:rFonts w:asciiTheme="majorBidi" w:hAnsiTheme="majorBidi" w:cstheme="majorBidi"/>
          <w:b/>
          <w:bCs/>
          <w:color w:val="C45911" w:themeColor="accent2" w:themeShade="BF"/>
          <w:sz w:val="28"/>
          <w:szCs w:val="28"/>
        </w:rPr>
      </w:pPr>
      <w:r w:rsidRPr="00736D44">
        <w:rPr>
          <w:rFonts w:asciiTheme="majorBidi" w:hAnsiTheme="majorBidi" w:cstheme="majorBidi"/>
          <w:b/>
          <w:bCs/>
          <w:color w:val="C45911" w:themeColor="accent2" w:themeShade="BF"/>
          <w:sz w:val="28"/>
          <w:szCs w:val="28"/>
        </w:rPr>
        <w:t>Third: Windrush Generation</w:t>
      </w:r>
    </w:p>
    <w:p w14:paraId="3805276E"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lastRenderedPageBreak/>
        <w:t xml:space="preserve">Maat has examined the United Kingdom’s responses concerning the Windrush generation. Maat welcomes the United Kingdom’s announcement in October 2024 regarding the re-establishment of a “Windrush Unit” within the Home Office. This unit reviews all thirty recommendations contained in the “Windrush Lessons Learned Review,” in its current context, </w:t>
      </w:r>
      <w:r w:rsidRPr="000F3FB7">
        <w:rPr>
          <w:rFonts w:asciiTheme="majorBidi" w:hAnsiTheme="majorBidi" w:cstheme="majorBidi"/>
        </w:rPr>
        <w:t>to assess</w:t>
      </w:r>
      <w:r w:rsidRPr="006D630F">
        <w:rPr>
          <w:rFonts w:asciiTheme="majorBidi" w:hAnsiTheme="majorBidi" w:cstheme="majorBidi"/>
        </w:rPr>
        <w:t xml:space="preserve"> the progress made by the United Kingdom Government in learning from these lessons and identifying what further steps must be taken. Maat also notes the programme launched by the Government with a total funding value of £1.5 million under a three-year grants programme in April 2025, titled the </w:t>
      </w:r>
      <w:r w:rsidRPr="000F3FB7">
        <w:rPr>
          <w:rFonts w:asciiTheme="majorBidi" w:hAnsiTheme="majorBidi" w:cstheme="majorBidi"/>
        </w:rPr>
        <w:t>Windrush Compensation Advocacy Support Fund (WCASF)</w:t>
      </w:r>
      <w:r w:rsidRPr="006D630F">
        <w:rPr>
          <w:rFonts w:asciiTheme="majorBidi" w:hAnsiTheme="majorBidi" w:cstheme="majorBidi"/>
        </w:rPr>
        <w:t>, and that in January 2026</w:t>
      </w:r>
      <w:r w:rsidRPr="000F3FB7">
        <w:rPr>
          <w:rFonts w:asciiTheme="majorBidi" w:hAnsiTheme="majorBidi" w:cstheme="majorBidi"/>
        </w:rPr>
        <w:t>,</w:t>
      </w:r>
      <w:r w:rsidRPr="006D630F">
        <w:rPr>
          <w:rFonts w:asciiTheme="majorBidi" w:hAnsiTheme="majorBidi" w:cstheme="majorBidi"/>
        </w:rPr>
        <w:t xml:space="preserve"> it was announced that £600,000 would be provided through the work of </w:t>
      </w:r>
      <w:r w:rsidRPr="000F3FB7">
        <w:rPr>
          <w:rFonts w:asciiTheme="majorBidi" w:hAnsiTheme="majorBidi" w:cstheme="majorBidi"/>
        </w:rPr>
        <w:t>WCASF</w:t>
      </w:r>
      <w:r w:rsidRPr="006D630F">
        <w:rPr>
          <w:rFonts w:asciiTheme="majorBidi" w:hAnsiTheme="majorBidi" w:cstheme="majorBidi"/>
        </w:rPr>
        <w:t>.</w:t>
      </w:r>
      <w:r w:rsidRPr="000F3FB7">
        <w:rPr>
          <w:rStyle w:val="FootnoteReference"/>
          <w:rFonts w:asciiTheme="majorBidi" w:hAnsiTheme="majorBidi" w:cstheme="majorBidi"/>
        </w:rPr>
        <w:footnoteReference w:id="13"/>
      </w:r>
    </w:p>
    <w:p w14:paraId="38C678EF" w14:textId="77777777" w:rsidR="00736D44" w:rsidRPr="006D630F" w:rsidRDefault="00736D44" w:rsidP="00736D44">
      <w:pPr>
        <w:jc w:val="both"/>
        <w:rPr>
          <w:rFonts w:asciiTheme="majorBidi" w:hAnsiTheme="majorBidi" w:cstheme="majorBidi"/>
        </w:rPr>
      </w:pPr>
      <w:r w:rsidRPr="006D630F">
        <w:rPr>
          <w:rFonts w:asciiTheme="majorBidi" w:hAnsiTheme="majorBidi" w:cstheme="majorBidi"/>
        </w:rPr>
        <w:t>However, contrary to these measures, the facts and official reports indicate that the United Kingdom’s handling of the Windrush generation issue continues to suffer from significant delays and complexities in accessing avenues of redress and compensation. Despite the establishment of the Windrush Compensation Scheme, government data published on 31 July 2025 showed that only a limited number of victims actually received final compensation compared to the size of the affected population. At the same time, long-pending claims remain outstanding amid criticisms concerning the slowness of assessment and compensation processes. The total number of claims submitted for compensation in the period 2021–2025 was 10,469 cases; of these, only 3,221 cases received compensation or a financial offer.</w:t>
      </w:r>
      <w:r w:rsidRPr="000F3FB7">
        <w:rPr>
          <w:rStyle w:val="FootnoteReference"/>
          <w:rFonts w:asciiTheme="majorBidi" w:hAnsiTheme="majorBidi" w:cstheme="majorBidi"/>
        </w:rPr>
        <w:footnoteReference w:id="14"/>
      </w:r>
      <w:r w:rsidRPr="000F3FB7">
        <w:rPr>
          <w:rFonts w:asciiTheme="majorBidi" w:hAnsiTheme="majorBidi" w:cstheme="majorBidi"/>
        </w:rPr>
        <w:t xml:space="preserve"> </w:t>
      </w:r>
      <w:r w:rsidRPr="006D630F">
        <w:rPr>
          <w:rFonts w:asciiTheme="majorBidi" w:hAnsiTheme="majorBidi" w:cstheme="majorBidi"/>
        </w:rPr>
        <w:t>Maat’s review of reports also indicates that the compensation system itself is characterized by procedural complexity, including difficulties in submitting claims, lengthy processing times, and the need for documentation that some victims</w:t>
      </w:r>
      <w:r w:rsidRPr="000F3FB7">
        <w:rPr>
          <w:rFonts w:asciiTheme="majorBidi" w:hAnsiTheme="majorBidi" w:cstheme="majorBidi"/>
        </w:rPr>
        <w:t xml:space="preserve">, </w:t>
      </w:r>
      <w:r w:rsidRPr="006D630F">
        <w:rPr>
          <w:rFonts w:asciiTheme="majorBidi" w:hAnsiTheme="majorBidi" w:cstheme="majorBidi"/>
        </w:rPr>
        <w:t>particularly older people or those who lost their original documents</w:t>
      </w:r>
      <w:r w:rsidRPr="000F3FB7">
        <w:rPr>
          <w:rFonts w:asciiTheme="majorBidi" w:hAnsiTheme="majorBidi" w:cstheme="majorBidi"/>
        </w:rPr>
        <w:t xml:space="preserve">, </w:t>
      </w:r>
      <w:r w:rsidRPr="006D630F">
        <w:rPr>
          <w:rFonts w:asciiTheme="majorBidi" w:hAnsiTheme="majorBidi" w:cstheme="majorBidi"/>
        </w:rPr>
        <w:t>may struggle to provide. Media coverage has suggested that these barriers have led to delays in some victims receiving compensation and, in some cases, have effectively prevented timely access to it.</w:t>
      </w:r>
      <w:r w:rsidRPr="000F3FB7">
        <w:rPr>
          <w:rStyle w:val="FootnoteReference"/>
          <w:rFonts w:asciiTheme="majorBidi" w:hAnsiTheme="majorBidi" w:cstheme="majorBidi"/>
        </w:rPr>
        <w:footnoteReference w:id="15"/>
      </w:r>
    </w:p>
    <w:p w14:paraId="311A37BA" w14:textId="77777777" w:rsidR="00736D44" w:rsidRPr="00736D44" w:rsidRDefault="00736D44" w:rsidP="00736D44">
      <w:pPr>
        <w:jc w:val="both"/>
        <w:rPr>
          <w:rFonts w:asciiTheme="majorBidi" w:hAnsiTheme="majorBidi" w:cstheme="majorBidi"/>
          <w:b/>
          <w:bCs/>
          <w:color w:val="C45911" w:themeColor="accent2" w:themeShade="BF"/>
          <w:sz w:val="28"/>
          <w:szCs w:val="28"/>
        </w:rPr>
      </w:pPr>
      <w:r w:rsidRPr="00736D44">
        <w:rPr>
          <w:rFonts w:asciiTheme="majorBidi" w:hAnsiTheme="majorBidi" w:cstheme="majorBidi"/>
          <w:b/>
          <w:bCs/>
          <w:color w:val="C45911" w:themeColor="accent2" w:themeShade="BF"/>
          <w:sz w:val="28"/>
          <w:szCs w:val="28"/>
        </w:rPr>
        <w:t>Recommendations</w:t>
      </w:r>
    </w:p>
    <w:p w14:paraId="55D8984F" w14:textId="77777777" w:rsidR="00736D44" w:rsidRPr="006D630F" w:rsidRDefault="00736D44" w:rsidP="00736D44">
      <w:pPr>
        <w:jc w:val="both"/>
        <w:rPr>
          <w:rFonts w:asciiTheme="majorBidi" w:hAnsiTheme="majorBidi" w:cstheme="majorBidi"/>
          <w:b/>
          <w:bCs/>
        </w:rPr>
      </w:pPr>
      <w:r w:rsidRPr="000F3FB7">
        <w:rPr>
          <w:rFonts w:asciiTheme="majorBidi" w:hAnsiTheme="majorBidi" w:cstheme="majorBidi"/>
          <w:b/>
          <w:bCs/>
        </w:rPr>
        <w:t>Maat</w:t>
      </w:r>
      <w:r w:rsidRPr="006D630F">
        <w:rPr>
          <w:rFonts w:asciiTheme="majorBidi" w:hAnsiTheme="majorBidi" w:cstheme="majorBidi"/>
          <w:b/>
          <w:bCs/>
        </w:rPr>
        <w:t xml:space="preserve"> for Peace, Development and Human Rights recommends the following:</w:t>
      </w:r>
    </w:p>
    <w:p w14:paraId="71580250" w14:textId="77777777" w:rsidR="00736D44" w:rsidRPr="006D630F" w:rsidRDefault="00736D44" w:rsidP="00736D44">
      <w:pPr>
        <w:numPr>
          <w:ilvl w:val="0"/>
          <w:numId w:val="53"/>
        </w:numPr>
        <w:jc w:val="both"/>
        <w:rPr>
          <w:rFonts w:asciiTheme="majorBidi" w:hAnsiTheme="majorBidi" w:cstheme="majorBidi"/>
        </w:rPr>
      </w:pPr>
      <w:r w:rsidRPr="006D630F">
        <w:rPr>
          <w:rFonts w:asciiTheme="majorBidi" w:hAnsiTheme="majorBidi" w:cstheme="majorBidi"/>
        </w:rPr>
        <w:t>The United Kingdom should take additional measures to implement the three priority recommendations contained in the Committee’s concluding observations.</w:t>
      </w:r>
    </w:p>
    <w:p w14:paraId="585D9B51" w14:textId="77777777" w:rsidR="00736D44" w:rsidRPr="006D630F" w:rsidRDefault="00736D44" w:rsidP="00736D44">
      <w:pPr>
        <w:numPr>
          <w:ilvl w:val="0"/>
          <w:numId w:val="53"/>
        </w:numPr>
        <w:jc w:val="both"/>
        <w:rPr>
          <w:rFonts w:asciiTheme="majorBidi" w:hAnsiTheme="majorBidi" w:cstheme="majorBidi"/>
        </w:rPr>
      </w:pPr>
      <w:r w:rsidRPr="006D630F">
        <w:rPr>
          <w:rFonts w:asciiTheme="majorBidi" w:hAnsiTheme="majorBidi" w:cstheme="majorBidi"/>
        </w:rPr>
        <w:lastRenderedPageBreak/>
        <w:t xml:space="preserve">The Committee should urge the United Kingdom to establish a mandatory protocol for individual arrest rather than collective arrest in the context of peaceful assemblies. Under such a protocol, participants should not be detained except </w:t>
      </w:r>
      <w:r w:rsidRPr="000F3FB7">
        <w:rPr>
          <w:rFonts w:asciiTheme="majorBidi" w:hAnsiTheme="majorBidi" w:cstheme="majorBidi"/>
        </w:rPr>
        <w:t>based on</w:t>
      </w:r>
      <w:r w:rsidRPr="006D630F">
        <w:rPr>
          <w:rFonts w:asciiTheme="majorBidi" w:hAnsiTheme="majorBidi" w:cstheme="majorBidi"/>
        </w:rPr>
        <w:t xml:space="preserve"> specific and substantiated individual conduct, and the use of “preventive mass arrest” should be prohibited as a tool to control protests.</w:t>
      </w:r>
    </w:p>
    <w:p w14:paraId="1A1C4DC4" w14:textId="77777777" w:rsidR="00736D44" w:rsidRPr="006D630F" w:rsidRDefault="00736D44" w:rsidP="00736D44">
      <w:pPr>
        <w:numPr>
          <w:ilvl w:val="0"/>
          <w:numId w:val="53"/>
        </w:numPr>
        <w:jc w:val="both"/>
        <w:rPr>
          <w:rFonts w:asciiTheme="majorBidi" w:hAnsiTheme="majorBidi" w:cstheme="majorBidi"/>
        </w:rPr>
      </w:pPr>
      <w:r w:rsidRPr="006D630F">
        <w:rPr>
          <w:rFonts w:asciiTheme="majorBidi" w:hAnsiTheme="majorBidi" w:cstheme="majorBidi"/>
        </w:rPr>
        <w:t>The United Kingdom should be urged to suspend the application of the Prevent Duty in educational institutions until a neutral</w:t>
      </w:r>
      <w:r w:rsidRPr="000F3FB7">
        <w:rPr>
          <w:rFonts w:asciiTheme="majorBidi" w:hAnsiTheme="majorBidi" w:cstheme="majorBidi"/>
        </w:rPr>
        <w:t>,</w:t>
      </w:r>
      <w:r w:rsidRPr="006D630F">
        <w:rPr>
          <w:rFonts w:asciiTheme="majorBidi" w:hAnsiTheme="majorBidi" w:cstheme="majorBidi"/>
        </w:rPr>
        <w:t xml:space="preserve"> independent assessment is conducted regarding its impact on children</w:t>
      </w:r>
      <w:r w:rsidRPr="000F3FB7">
        <w:rPr>
          <w:rFonts w:asciiTheme="majorBidi" w:hAnsiTheme="majorBidi" w:cstheme="majorBidi"/>
        </w:rPr>
        <w:t xml:space="preserve">, </w:t>
      </w:r>
      <w:r w:rsidRPr="006D630F">
        <w:rPr>
          <w:rFonts w:asciiTheme="majorBidi" w:hAnsiTheme="majorBidi" w:cstheme="majorBidi"/>
        </w:rPr>
        <w:t>especially Muslim and ethnic minority children</w:t>
      </w:r>
      <w:r w:rsidRPr="000F3FB7">
        <w:rPr>
          <w:rFonts w:asciiTheme="majorBidi" w:hAnsiTheme="majorBidi" w:cstheme="majorBidi"/>
        </w:rPr>
        <w:t xml:space="preserve">, </w:t>
      </w:r>
      <w:r w:rsidRPr="006D630F">
        <w:rPr>
          <w:rFonts w:asciiTheme="majorBidi" w:hAnsiTheme="majorBidi" w:cstheme="majorBidi"/>
        </w:rPr>
        <w:t>and to halt referrals that are not based on clear, specific indicators of violence.</w:t>
      </w:r>
    </w:p>
    <w:p w14:paraId="4AE01BCA" w14:textId="77777777" w:rsidR="00736D44" w:rsidRPr="006D630F" w:rsidRDefault="00736D44" w:rsidP="00736D44">
      <w:pPr>
        <w:numPr>
          <w:ilvl w:val="0"/>
          <w:numId w:val="53"/>
        </w:numPr>
        <w:jc w:val="both"/>
        <w:rPr>
          <w:rFonts w:asciiTheme="majorBidi" w:hAnsiTheme="majorBidi" w:cstheme="majorBidi"/>
        </w:rPr>
      </w:pPr>
      <w:r w:rsidRPr="006D630F">
        <w:rPr>
          <w:rFonts w:asciiTheme="majorBidi" w:hAnsiTheme="majorBidi" w:cstheme="majorBidi"/>
        </w:rPr>
        <w:t>The United Kingdom should consider legally redefining the standard of “extremism” in a non-broad manner so that any non-violent conduct related to political or religious expression is explicitly excluded from the scope of security suspicion.</w:t>
      </w:r>
    </w:p>
    <w:p w14:paraId="1296E815" w14:textId="77777777" w:rsidR="00736D44" w:rsidRPr="006D630F" w:rsidRDefault="00736D44" w:rsidP="00736D44">
      <w:pPr>
        <w:numPr>
          <w:ilvl w:val="0"/>
          <w:numId w:val="53"/>
        </w:numPr>
        <w:jc w:val="both"/>
        <w:rPr>
          <w:rFonts w:asciiTheme="majorBidi" w:hAnsiTheme="majorBidi" w:cstheme="majorBidi"/>
        </w:rPr>
      </w:pPr>
      <w:r w:rsidRPr="006D630F">
        <w:rPr>
          <w:rFonts w:asciiTheme="majorBidi" w:hAnsiTheme="majorBidi" w:cstheme="majorBidi"/>
        </w:rPr>
        <w:t>The United Kingdom should work towards establishing a legally binding time limit for processing compensation claims in the Windrush generation case, such that the maximum time period does not exceed a defined timeframe</w:t>
      </w:r>
      <w:r w:rsidRPr="000F3FB7">
        <w:rPr>
          <w:rFonts w:asciiTheme="majorBidi" w:hAnsiTheme="majorBidi" w:cstheme="majorBidi"/>
        </w:rPr>
        <w:t xml:space="preserve">, </w:t>
      </w:r>
      <w:r w:rsidRPr="006D630F">
        <w:rPr>
          <w:rFonts w:asciiTheme="majorBidi" w:hAnsiTheme="majorBidi" w:cstheme="majorBidi"/>
        </w:rPr>
        <w:t>for example, no more than six months.</w:t>
      </w:r>
    </w:p>
    <w:p w14:paraId="42521CFC" w14:textId="77777777" w:rsidR="00736D44" w:rsidRPr="000F3FB7" w:rsidRDefault="00736D44" w:rsidP="00736D44">
      <w:pPr>
        <w:jc w:val="both"/>
        <w:rPr>
          <w:rFonts w:asciiTheme="majorBidi" w:hAnsiTheme="majorBidi" w:cstheme="majorBidi"/>
        </w:rPr>
      </w:pPr>
    </w:p>
    <w:p w14:paraId="2202757A" w14:textId="35E3C13B" w:rsidR="00A736DD" w:rsidRPr="002E028A" w:rsidRDefault="00A736DD" w:rsidP="002E028A">
      <w:pPr>
        <w:rPr>
          <w:rtl/>
        </w:rPr>
      </w:pPr>
    </w:p>
    <w:sectPr w:rsidR="00A736DD" w:rsidRPr="002E028A"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AF55E" w14:textId="77777777" w:rsidR="009104ED" w:rsidRDefault="009104ED" w:rsidP="004F6D5A">
      <w:pPr>
        <w:spacing w:after="0" w:line="240" w:lineRule="auto"/>
      </w:pPr>
      <w:r>
        <w:separator/>
      </w:r>
    </w:p>
  </w:endnote>
  <w:endnote w:type="continuationSeparator" w:id="0">
    <w:p w14:paraId="23882CC4" w14:textId="77777777" w:rsidR="009104ED" w:rsidRDefault="009104ED"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170A6" w14:textId="77777777" w:rsidR="009104ED" w:rsidRDefault="009104ED" w:rsidP="004F6D5A">
      <w:pPr>
        <w:spacing w:after="0" w:line="240" w:lineRule="auto"/>
      </w:pPr>
      <w:r>
        <w:separator/>
      </w:r>
    </w:p>
  </w:footnote>
  <w:footnote w:type="continuationSeparator" w:id="0">
    <w:p w14:paraId="125FB15E" w14:textId="77777777" w:rsidR="009104ED" w:rsidRDefault="009104ED" w:rsidP="004F6D5A">
      <w:pPr>
        <w:spacing w:after="0" w:line="240" w:lineRule="auto"/>
      </w:pPr>
      <w:r>
        <w:continuationSeparator/>
      </w:r>
    </w:p>
  </w:footnote>
  <w:footnote w:id="1">
    <w:p w14:paraId="632EC197"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Concluding observations on the combined twenty-fourth to twenty-sixth periodic reports of the United Kingdom of Great Britain and Northern Ireland, Link: </w:t>
      </w:r>
      <w:hyperlink r:id="rId1" w:history="1">
        <w:r w:rsidRPr="003E4D88">
          <w:rPr>
            <w:rStyle w:val="Hyperlink"/>
            <w:rFonts w:asciiTheme="majorBidi" w:hAnsiTheme="majorBidi" w:cstheme="majorBidi"/>
            <w:sz w:val="16"/>
            <w:szCs w:val="16"/>
          </w:rPr>
          <w:t>https://tinyurl.com/235wd375</w:t>
        </w:r>
      </w:hyperlink>
    </w:p>
  </w:footnote>
  <w:footnote w:id="2">
    <w:p w14:paraId="13C5BA17"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Police protest powers, June 2022 to March 2025, Link: </w:t>
      </w:r>
      <w:hyperlink r:id="rId2" w:history="1">
        <w:r w:rsidRPr="003E4D88">
          <w:rPr>
            <w:rStyle w:val="Hyperlink"/>
            <w:rFonts w:asciiTheme="majorBidi" w:hAnsiTheme="majorBidi" w:cstheme="majorBidi"/>
            <w:sz w:val="16"/>
            <w:szCs w:val="16"/>
          </w:rPr>
          <w:t>https://tinyurl.com/25u3hf85</w:t>
        </w:r>
      </w:hyperlink>
    </w:p>
  </w:footnote>
  <w:footnote w:id="3">
    <w:p w14:paraId="2380BDFA"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UK loses appeal over tougher police powers for street protests, Link: </w:t>
      </w:r>
      <w:hyperlink r:id="rId3" w:history="1">
        <w:r w:rsidRPr="003E4D88">
          <w:rPr>
            <w:rStyle w:val="Hyperlink"/>
            <w:rFonts w:asciiTheme="majorBidi" w:hAnsiTheme="majorBidi" w:cstheme="majorBidi"/>
            <w:sz w:val="16"/>
            <w:szCs w:val="16"/>
          </w:rPr>
          <w:t>https://tinyurl.com/25x2bo36</w:t>
        </w:r>
      </w:hyperlink>
    </w:p>
  </w:footnote>
  <w:footnote w:id="4">
    <w:p w14:paraId="1D04ED73"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UK police arrest 466 people at Palestine Action protest in London, Link: </w:t>
      </w:r>
      <w:hyperlink r:id="rId4" w:history="1">
        <w:r w:rsidRPr="003E4D88">
          <w:rPr>
            <w:rStyle w:val="Hyperlink"/>
            <w:rFonts w:asciiTheme="majorBidi" w:hAnsiTheme="majorBidi" w:cstheme="majorBidi"/>
            <w:sz w:val="16"/>
            <w:szCs w:val="16"/>
          </w:rPr>
          <w:t>https://tinyurl.com/279odsf7</w:t>
        </w:r>
      </w:hyperlink>
    </w:p>
  </w:footnote>
  <w:footnote w:id="5">
    <w:p w14:paraId="61160F25"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London police arrest hundreds at protest against ban on Palestine Action, Link: </w:t>
      </w:r>
      <w:hyperlink r:id="rId5" w:history="1">
        <w:r w:rsidRPr="003E4D88">
          <w:rPr>
            <w:rStyle w:val="Hyperlink"/>
            <w:rFonts w:asciiTheme="majorBidi" w:hAnsiTheme="majorBidi" w:cstheme="majorBidi"/>
            <w:sz w:val="16"/>
            <w:szCs w:val="16"/>
          </w:rPr>
          <w:t>https://tinyurl.com/2dog65mt</w:t>
        </w:r>
      </w:hyperlink>
    </w:p>
  </w:footnote>
  <w:footnote w:id="6">
    <w:p w14:paraId="264FEB64" w14:textId="26419D7D"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w:t>
      </w:r>
      <w:r w:rsidR="003E4D88">
        <w:rPr>
          <w:rFonts w:asciiTheme="majorBidi" w:hAnsiTheme="majorBidi" w:cstheme="majorBidi"/>
          <w:sz w:val="16"/>
          <w:szCs w:val="16"/>
        </w:rPr>
        <w:t>OP Cit.</w:t>
      </w:r>
      <w:r w:rsidRPr="003E4D88">
        <w:rPr>
          <w:rFonts w:asciiTheme="majorBidi" w:hAnsiTheme="majorBidi" w:cstheme="majorBidi"/>
          <w:sz w:val="16"/>
          <w:szCs w:val="16"/>
        </w:rPr>
        <w:t xml:space="preserve">, Link: </w:t>
      </w:r>
      <w:hyperlink r:id="rId6" w:history="1">
        <w:r w:rsidRPr="003E4D88">
          <w:rPr>
            <w:rStyle w:val="Hyperlink"/>
            <w:rFonts w:asciiTheme="majorBidi" w:hAnsiTheme="majorBidi" w:cstheme="majorBidi"/>
            <w:sz w:val="16"/>
            <w:szCs w:val="16"/>
          </w:rPr>
          <w:t>https://tinyurl.com/235wd375</w:t>
        </w:r>
      </w:hyperlink>
    </w:p>
  </w:footnote>
  <w:footnote w:id="7">
    <w:p w14:paraId="630612D9" w14:textId="4FA5C9F5"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w:t>
      </w:r>
      <w:r w:rsidR="003E4D88">
        <w:rPr>
          <w:rFonts w:asciiTheme="majorBidi" w:hAnsiTheme="majorBidi" w:cstheme="majorBidi"/>
          <w:sz w:val="16"/>
          <w:szCs w:val="16"/>
        </w:rPr>
        <w:t>OP Cit</w:t>
      </w:r>
      <w:r w:rsidRPr="003E4D88">
        <w:rPr>
          <w:rFonts w:asciiTheme="majorBidi" w:hAnsiTheme="majorBidi" w:cstheme="majorBidi"/>
          <w:sz w:val="16"/>
          <w:szCs w:val="16"/>
        </w:rPr>
        <w:t xml:space="preserve">., Link: </w:t>
      </w:r>
      <w:hyperlink r:id="rId7" w:history="1">
        <w:r w:rsidRPr="003E4D88">
          <w:rPr>
            <w:rStyle w:val="Hyperlink"/>
            <w:rFonts w:asciiTheme="majorBidi" w:hAnsiTheme="majorBidi" w:cstheme="majorBidi"/>
            <w:sz w:val="16"/>
            <w:szCs w:val="16"/>
          </w:rPr>
          <w:t>https://tinyurl.com/2ymfmf8w</w:t>
        </w:r>
      </w:hyperlink>
    </w:p>
  </w:footnote>
  <w:footnote w:id="8">
    <w:p w14:paraId="7B0DFF85"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Individuals referred to and supported through the Prevent Programme, April 2024 to March 2025</w:t>
      </w:r>
      <w:r w:rsidRPr="003E4D88">
        <w:rPr>
          <w:rFonts w:asciiTheme="majorBidi" w:hAnsiTheme="majorBidi" w:cstheme="majorBidi"/>
          <w:sz w:val="16"/>
          <w:szCs w:val="16"/>
          <w:lang w:bidi="ar-EG"/>
        </w:rPr>
        <w:t xml:space="preserve">, Link: </w:t>
      </w:r>
      <w:hyperlink r:id="rId8" w:history="1">
        <w:r w:rsidRPr="003E4D88">
          <w:rPr>
            <w:rStyle w:val="Hyperlink"/>
            <w:rFonts w:asciiTheme="majorBidi" w:hAnsiTheme="majorBidi" w:cstheme="majorBidi"/>
            <w:sz w:val="16"/>
            <w:szCs w:val="16"/>
            <w:lang w:bidi="ar-EG"/>
          </w:rPr>
          <w:t>https://tinyurl.com/2brl4fhk</w:t>
        </w:r>
      </w:hyperlink>
    </w:p>
  </w:footnote>
  <w:footnote w:id="9">
    <w:p w14:paraId="631098B6"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w:t>
      </w:r>
      <w:r w:rsidRPr="003E4D88">
        <w:rPr>
          <w:rFonts w:asciiTheme="majorBidi" w:hAnsiTheme="majorBidi" w:cstheme="majorBidi"/>
          <w:sz w:val="16"/>
          <w:szCs w:val="16"/>
          <w:lang w:bidi="ar-EG"/>
        </w:rPr>
        <w:t xml:space="preserve">Ibid </w:t>
      </w:r>
      <w:r w:rsidRPr="003E4D88">
        <w:rPr>
          <w:rFonts w:asciiTheme="majorBidi" w:hAnsiTheme="majorBidi" w:cstheme="majorBidi"/>
          <w:sz w:val="16"/>
          <w:szCs w:val="16"/>
          <w:rtl/>
          <w:lang w:bidi="ar-EG"/>
        </w:rPr>
        <w:t xml:space="preserve"> </w:t>
      </w:r>
    </w:p>
  </w:footnote>
  <w:footnote w:id="10">
    <w:p w14:paraId="0EBF60A7"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UK counter-radicalization scheme Prevent sees sharp rise in referrals, Link: </w:t>
      </w:r>
      <w:hyperlink r:id="rId9" w:history="1">
        <w:r w:rsidRPr="003E4D88">
          <w:rPr>
            <w:rStyle w:val="Hyperlink"/>
            <w:rFonts w:asciiTheme="majorBidi" w:hAnsiTheme="majorBidi" w:cstheme="majorBidi"/>
            <w:sz w:val="16"/>
            <w:szCs w:val="16"/>
          </w:rPr>
          <w:t>https://tinyurl.com/2xzykqb7</w:t>
        </w:r>
      </w:hyperlink>
    </w:p>
  </w:footnote>
  <w:footnote w:id="11">
    <w:p w14:paraId="5EEB94AC"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Police failed to record race of nearly two-thirds of people referred to Prevent, Link: </w:t>
      </w:r>
      <w:hyperlink r:id="rId10" w:history="1">
        <w:r w:rsidRPr="003E4D88">
          <w:rPr>
            <w:rStyle w:val="Hyperlink"/>
            <w:rFonts w:asciiTheme="majorBidi" w:hAnsiTheme="majorBidi" w:cstheme="majorBidi"/>
            <w:sz w:val="16"/>
            <w:szCs w:val="16"/>
          </w:rPr>
          <w:t>https://tinyurl.com/236qz23m</w:t>
        </w:r>
      </w:hyperlink>
    </w:p>
  </w:footnote>
  <w:footnote w:id="12">
    <w:p w14:paraId="0EB3788F"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Ibid </w:t>
      </w:r>
    </w:p>
  </w:footnote>
  <w:footnote w:id="13">
    <w:p w14:paraId="1624B2E9" w14:textId="3F29DC51"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w:t>
      </w:r>
      <w:r w:rsidR="003E4D88">
        <w:rPr>
          <w:rFonts w:asciiTheme="majorBidi" w:hAnsiTheme="majorBidi" w:cstheme="majorBidi"/>
          <w:sz w:val="16"/>
          <w:szCs w:val="16"/>
        </w:rPr>
        <w:t>OP Cit</w:t>
      </w:r>
      <w:r w:rsidRPr="003E4D88">
        <w:rPr>
          <w:rFonts w:asciiTheme="majorBidi" w:hAnsiTheme="majorBidi" w:cstheme="majorBidi"/>
          <w:sz w:val="16"/>
          <w:szCs w:val="16"/>
        </w:rPr>
        <w:t xml:space="preserve">, Link: </w:t>
      </w:r>
      <w:hyperlink r:id="rId11" w:history="1">
        <w:r w:rsidRPr="003E4D88">
          <w:rPr>
            <w:rStyle w:val="Hyperlink"/>
            <w:rFonts w:asciiTheme="majorBidi" w:hAnsiTheme="majorBidi" w:cstheme="majorBidi"/>
            <w:sz w:val="16"/>
            <w:szCs w:val="16"/>
          </w:rPr>
          <w:t>https://tinyurl.com/2ymfmf8w</w:t>
        </w:r>
      </w:hyperlink>
    </w:p>
  </w:footnote>
  <w:footnote w:id="14">
    <w:p w14:paraId="18F04786"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Windrush Compensation Scheme data: June 2025, Link: </w:t>
      </w:r>
      <w:hyperlink r:id="rId12" w:history="1">
        <w:r w:rsidRPr="003E4D88">
          <w:rPr>
            <w:rStyle w:val="Hyperlink"/>
            <w:rFonts w:asciiTheme="majorBidi" w:hAnsiTheme="majorBidi" w:cstheme="majorBidi"/>
            <w:sz w:val="16"/>
            <w:szCs w:val="16"/>
          </w:rPr>
          <w:t>https://tinyurl.com/2aa48mn6</w:t>
        </w:r>
      </w:hyperlink>
    </w:p>
  </w:footnote>
  <w:footnote w:id="15">
    <w:p w14:paraId="54F49FF8" w14:textId="77777777" w:rsidR="00736D44" w:rsidRPr="003E4D88" w:rsidRDefault="00736D44" w:rsidP="00736D44">
      <w:pPr>
        <w:pStyle w:val="FootnoteText"/>
        <w:rPr>
          <w:rFonts w:asciiTheme="majorBidi" w:hAnsiTheme="majorBidi" w:cstheme="majorBidi"/>
          <w:sz w:val="16"/>
          <w:szCs w:val="16"/>
        </w:rPr>
      </w:pPr>
      <w:r w:rsidRPr="003E4D88">
        <w:rPr>
          <w:rStyle w:val="FootnoteReference"/>
          <w:rFonts w:asciiTheme="majorBidi" w:hAnsiTheme="majorBidi" w:cstheme="majorBidi"/>
          <w:sz w:val="16"/>
          <w:szCs w:val="16"/>
        </w:rPr>
        <w:footnoteRef/>
      </w:r>
      <w:r w:rsidRPr="003E4D88">
        <w:rPr>
          <w:rFonts w:asciiTheme="majorBidi" w:hAnsiTheme="majorBidi" w:cstheme="majorBidi"/>
          <w:sz w:val="16"/>
          <w:szCs w:val="16"/>
        </w:rPr>
        <w:t xml:space="preserve"> Windrush victims to get 75% compensation upfront in scheme shake-up, Link: </w:t>
      </w:r>
      <w:hyperlink r:id="rId13" w:history="1">
        <w:r w:rsidRPr="003E4D88">
          <w:rPr>
            <w:rStyle w:val="Hyperlink"/>
            <w:rFonts w:asciiTheme="majorBidi" w:hAnsiTheme="majorBidi" w:cstheme="majorBidi"/>
            <w:sz w:val="16"/>
            <w:szCs w:val="16"/>
          </w:rPr>
          <w:t>https://tinyurl.com/2yqxkv36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611B23"/>
    <w:multiLevelType w:val="hybridMultilevel"/>
    <w:tmpl w:val="15C8D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141ABA"/>
    <w:multiLevelType w:val="multilevel"/>
    <w:tmpl w:val="FBAA4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A6630A"/>
    <w:multiLevelType w:val="multilevel"/>
    <w:tmpl w:val="8EEC76F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5"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2"/>
  </w:num>
  <w:num w:numId="2" w16cid:durableId="319427900">
    <w:abstractNumId w:val="6"/>
  </w:num>
  <w:num w:numId="3" w16cid:durableId="483819352">
    <w:abstractNumId w:val="1"/>
  </w:num>
  <w:num w:numId="4" w16cid:durableId="1550531087">
    <w:abstractNumId w:val="17"/>
  </w:num>
  <w:num w:numId="5" w16cid:durableId="365302262">
    <w:abstractNumId w:val="4"/>
  </w:num>
  <w:num w:numId="6" w16cid:durableId="1490904455">
    <w:abstractNumId w:val="37"/>
  </w:num>
  <w:num w:numId="7" w16cid:durableId="1975796718">
    <w:abstractNumId w:val="46"/>
  </w:num>
  <w:num w:numId="8" w16cid:durableId="168910388">
    <w:abstractNumId w:val="50"/>
  </w:num>
  <w:num w:numId="9" w16cid:durableId="864364265">
    <w:abstractNumId w:val="35"/>
  </w:num>
  <w:num w:numId="10" w16cid:durableId="1110662610">
    <w:abstractNumId w:val="38"/>
  </w:num>
  <w:num w:numId="11" w16cid:durableId="48504678">
    <w:abstractNumId w:val="29"/>
  </w:num>
  <w:num w:numId="12" w16cid:durableId="1057243330">
    <w:abstractNumId w:val="49"/>
  </w:num>
  <w:num w:numId="13" w16cid:durableId="113838224">
    <w:abstractNumId w:val="27"/>
  </w:num>
  <w:num w:numId="14" w16cid:durableId="1819300015">
    <w:abstractNumId w:val="9"/>
  </w:num>
  <w:num w:numId="15" w16cid:durableId="1354769003">
    <w:abstractNumId w:val="33"/>
  </w:num>
  <w:num w:numId="16" w16cid:durableId="765884069">
    <w:abstractNumId w:val="18"/>
  </w:num>
  <w:num w:numId="17" w16cid:durableId="1830708544">
    <w:abstractNumId w:val="0"/>
  </w:num>
  <w:num w:numId="18" w16cid:durableId="1195772453">
    <w:abstractNumId w:val="24"/>
  </w:num>
  <w:num w:numId="19" w16cid:durableId="116266373">
    <w:abstractNumId w:val="2"/>
  </w:num>
  <w:num w:numId="20" w16cid:durableId="1165899663">
    <w:abstractNumId w:val="13"/>
  </w:num>
  <w:num w:numId="21" w16cid:durableId="1921870603">
    <w:abstractNumId w:val="52"/>
  </w:num>
  <w:num w:numId="22" w16cid:durableId="1106846340">
    <w:abstractNumId w:val="16"/>
  </w:num>
  <w:num w:numId="23" w16cid:durableId="1120413215">
    <w:abstractNumId w:val="21"/>
  </w:num>
  <w:num w:numId="24" w16cid:durableId="884490536">
    <w:abstractNumId w:val="36"/>
  </w:num>
  <w:num w:numId="25" w16cid:durableId="1098991049">
    <w:abstractNumId w:val="41"/>
  </w:num>
  <w:num w:numId="26" w16cid:durableId="631596808">
    <w:abstractNumId w:val="10"/>
  </w:num>
  <w:num w:numId="27" w16cid:durableId="1306087360">
    <w:abstractNumId w:val="8"/>
  </w:num>
  <w:num w:numId="28" w16cid:durableId="909191109">
    <w:abstractNumId w:val="30"/>
  </w:num>
  <w:num w:numId="29" w16cid:durableId="556204899">
    <w:abstractNumId w:val="31"/>
  </w:num>
  <w:num w:numId="30" w16cid:durableId="1668284805">
    <w:abstractNumId w:val="19"/>
  </w:num>
  <w:num w:numId="31" w16cid:durableId="1777868951">
    <w:abstractNumId w:val="28"/>
  </w:num>
  <w:num w:numId="32" w16cid:durableId="1614898655">
    <w:abstractNumId w:val="7"/>
  </w:num>
  <w:num w:numId="33" w16cid:durableId="364449577">
    <w:abstractNumId w:val="15"/>
  </w:num>
  <w:num w:numId="34" w16cid:durableId="248081818">
    <w:abstractNumId w:val="48"/>
  </w:num>
  <w:num w:numId="35" w16cid:durableId="1742749116">
    <w:abstractNumId w:val="42"/>
  </w:num>
  <w:num w:numId="36" w16cid:durableId="1632056943">
    <w:abstractNumId w:val="32"/>
  </w:num>
  <w:num w:numId="37" w16cid:durableId="16198188">
    <w:abstractNumId w:val="40"/>
  </w:num>
  <w:num w:numId="38" w16cid:durableId="995642619">
    <w:abstractNumId w:val="25"/>
  </w:num>
  <w:num w:numId="39" w16cid:durableId="1951429902">
    <w:abstractNumId w:val="51"/>
  </w:num>
  <w:num w:numId="40" w16cid:durableId="1660618793">
    <w:abstractNumId w:val="26"/>
  </w:num>
  <w:num w:numId="41" w16cid:durableId="566649021">
    <w:abstractNumId w:val="47"/>
  </w:num>
  <w:num w:numId="42" w16cid:durableId="230387690">
    <w:abstractNumId w:val="20"/>
  </w:num>
  <w:num w:numId="43" w16cid:durableId="335613693">
    <w:abstractNumId w:val="3"/>
  </w:num>
  <w:num w:numId="44" w16cid:durableId="1955866269">
    <w:abstractNumId w:val="5"/>
  </w:num>
  <w:num w:numId="45" w16cid:durableId="1236166310">
    <w:abstractNumId w:val="34"/>
  </w:num>
  <w:num w:numId="46" w16cid:durableId="1135757983">
    <w:abstractNumId w:val="43"/>
  </w:num>
  <w:num w:numId="47" w16cid:durableId="1772360755">
    <w:abstractNumId w:val="39"/>
  </w:num>
  <w:num w:numId="48" w16cid:durableId="562985464">
    <w:abstractNumId w:val="11"/>
  </w:num>
  <w:num w:numId="49" w16cid:durableId="1870022964">
    <w:abstractNumId w:val="23"/>
  </w:num>
  <w:num w:numId="50" w16cid:durableId="373162735">
    <w:abstractNumId w:val="45"/>
  </w:num>
  <w:num w:numId="51" w16cid:durableId="844592064">
    <w:abstractNumId w:val="14"/>
  </w:num>
  <w:num w:numId="52" w16cid:durableId="682244457">
    <w:abstractNumId w:val="12"/>
  </w:num>
  <w:num w:numId="53" w16cid:durableId="16745401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86352"/>
    <w:rsid w:val="00093D9F"/>
    <w:rsid w:val="0009467C"/>
    <w:rsid w:val="000A0E24"/>
    <w:rsid w:val="000A1102"/>
    <w:rsid w:val="000B5D57"/>
    <w:rsid w:val="000B6F75"/>
    <w:rsid w:val="000C5FAC"/>
    <w:rsid w:val="000C7C14"/>
    <w:rsid w:val="000D0F83"/>
    <w:rsid w:val="00101544"/>
    <w:rsid w:val="00107673"/>
    <w:rsid w:val="00114CCA"/>
    <w:rsid w:val="001167C4"/>
    <w:rsid w:val="00156C09"/>
    <w:rsid w:val="001668A8"/>
    <w:rsid w:val="001931EE"/>
    <w:rsid w:val="00196443"/>
    <w:rsid w:val="001A6E66"/>
    <w:rsid w:val="001B13EB"/>
    <w:rsid w:val="001B450B"/>
    <w:rsid w:val="001C7043"/>
    <w:rsid w:val="001D1DBC"/>
    <w:rsid w:val="001D532C"/>
    <w:rsid w:val="001D6213"/>
    <w:rsid w:val="001F354D"/>
    <w:rsid w:val="001F47FD"/>
    <w:rsid w:val="002257CD"/>
    <w:rsid w:val="002305C5"/>
    <w:rsid w:val="002533B2"/>
    <w:rsid w:val="00284AAE"/>
    <w:rsid w:val="0028723E"/>
    <w:rsid w:val="002876FE"/>
    <w:rsid w:val="0029400A"/>
    <w:rsid w:val="002C79F5"/>
    <w:rsid w:val="002D0B34"/>
    <w:rsid w:val="002D5B01"/>
    <w:rsid w:val="002D65A3"/>
    <w:rsid w:val="002D7273"/>
    <w:rsid w:val="002E028A"/>
    <w:rsid w:val="00307051"/>
    <w:rsid w:val="003216C7"/>
    <w:rsid w:val="00326F85"/>
    <w:rsid w:val="003319F3"/>
    <w:rsid w:val="003439F7"/>
    <w:rsid w:val="00360DAB"/>
    <w:rsid w:val="00371F59"/>
    <w:rsid w:val="00372B51"/>
    <w:rsid w:val="0038184B"/>
    <w:rsid w:val="00383811"/>
    <w:rsid w:val="00390234"/>
    <w:rsid w:val="003A0EBE"/>
    <w:rsid w:val="003A1F96"/>
    <w:rsid w:val="003A60A9"/>
    <w:rsid w:val="003A745E"/>
    <w:rsid w:val="003B7C83"/>
    <w:rsid w:val="003C01C1"/>
    <w:rsid w:val="003E4D88"/>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F0624"/>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C53FC"/>
    <w:rsid w:val="006F5D15"/>
    <w:rsid w:val="00713444"/>
    <w:rsid w:val="00720C57"/>
    <w:rsid w:val="00736D44"/>
    <w:rsid w:val="00741D51"/>
    <w:rsid w:val="007421E4"/>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018B"/>
    <w:rsid w:val="008823E1"/>
    <w:rsid w:val="00884133"/>
    <w:rsid w:val="008A0867"/>
    <w:rsid w:val="008B71B3"/>
    <w:rsid w:val="008F0744"/>
    <w:rsid w:val="008F2641"/>
    <w:rsid w:val="009104ED"/>
    <w:rsid w:val="0091285A"/>
    <w:rsid w:val="00920472"/>
    <w:rsid w:val="009337BF"/>
    <w:rsid w:val="009412A9"/>
    <w:rsid w:val="009850AD"/>
    <w:rsid w:val="00990858"/>
    <w:rsid w:val="009B028E"/>
    <w:rsid w:val="009C623E"/>
    <w:rsid w:val="009D1F8F"/>
    <w:rsid w:val="009E15C5"/>
    <w:rsid w:val="009E290C"/>
    <w:rsid w:val="00A10665"/>
    <w:rsid w:val="00A15C06"/>
    <w:rsid w:val="00A162C1"/>
    <w:rsid w:val="00A31EA7"/>
    <w:rsid w:val="00A3448D"/>
    <w:rsid w:val="00A37636"/>
    <w:rsid w:val="00A45C79"/>
    <w:rsid w:val="00A537CE"/>
    <w:rsid w:val="00A63977"/>
    <w:rsid w:val="00A64F85"/>
    <w:rsid w:val="00A736DD"/>
    <w:rsid w:val="00A81650"/>
    <w:rsid w:val="00A81860"/>
    <w:rsid w:val="00A83C1E"/>
    <w:rsid w:val="00AB2EAB"/>
    <w:rsid w:val="00AD6242"/>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759CA"/>
    <w:rsid w:val="00DA1879"/>
    <w:rsid w:val="00DB04A9"/>
    <w:rsid w:val="00DB1A2D"/>
    <w:rsid w:val="00DB5AB9"/>
    <w:rsid w:val="00DC35AC"/>
    <w:rsid w:val="00DD77D6"/>
    <w:rsid w:val="00DE35AB"/>
    <w:rsid w:val="00DE6A62"/>
    <w:rsid w:val="00DF3596"/>
    <w:rsid w:val="00E12DC0"/>
    <w:rsid w:val="00E23D01"/>
    <w:rsid w:val="00E3117B"/>
    <w:rsid w:val="00E4520A"/>
    <w:rsid w:val="00E45A93"/>
    <w:rsid w:val="00E47C87"/>
    <w:rsid w:val="00E55456"/>
    <w:rsid w:val="00E820AA"/>
    <w:rsid w:val="00E94DD0"/>
    <w:rsid w:val="00E9641B"/>
    <w:rsid w:val="00EA2C34"/>
    <w:rsid w:val="00EA4670"/>
    <w:rsid w:val="00EB150E"/>
    <w:rsid w:val="00EB7424"/>
    <w:rsid w:val="00ED3ED2"/>
    <w:rsid w:val="00ED7702"/>
    <w:rsid w:val="00EF597D"/>
    <w:rsid w:val="00EF6E5F"/>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brl4fhk" TargetMode="External"/><Relationship Id="rId13" Type="http://schemas.openxmlformats.org/officeDocument/2006/relationships/hyperlink" Target="https://tinyurl.com/2yqxkv36" TargetMode="External"/><Relationship Id="rId3" Type="http://schemas.openxmlformats.org/officeDocument/2006/relationships/hyperlink" Target="https://tinyurl.com/25x2bo36" TargetMode="External"/><Relationship Id="rId7" Type="http://schemas.openxmlformats.org/officeDocument/2006/relationships/hyperlink" Target="https://tinyurl.com/2ymfmf8w" TargetMode="External"/><Relationship Id="rId12" Type="http://schemas.openxmlformats.org/officeDocument/2006/relationships/hyperlink" Target="https://tinyurl.com/2aa48mn6" TargetMode="External"/><Relationship Id="rId2" Type="http://schemas.openxmlformats.org/officeDocument/2006/relationships/hyperlink" Target="https://tinyurl.com/25u3hf85" TargetMode="External"/><Relationship Id="rId1" Type="http://schemas.openxmlformats.org/officeDocument/2006/relationships/hyperlink" Target="https://tinyurl.com/235wd375" TargetMode="External"/><Relationship Id="rId6" Type="http://schemas.openxmlformats.org/officeDocument/2006/relationships/hyperlink" Target="https://tinyurl.com/235wd375" TargetMode="External"/><Relationship Id="rId11" Type="http://schemas.openxmlformats.org/officeDocument/2006/relationships/hyperlink" Target="https://tinyurl.com/2ymfmf8w" TargetMode="External"/><Relationship Id="rId5" Type="http://schemas.openxmlformats.org/officeDocument/2006/relationships/hyperlink" Target="https://tinyurl.com/2dog65mt" TargetMode="External"/><Relationship Id="rId10" Type="http://schemas.openxmlformats.org/officeDocument/2006/relationships/hyperlink" Target="https://tinyurl.com/236qz23m" TargetMode="External"/><Relationship Id="rId4" Type="http://schemas.openxmlformats.org/officeDocument/2006/relationships/hyperlink" Target="https://tinyurl.com/279odsf7" TargetMode="External"/><Relationship Id="rId9" Type="http://schemas.openxmlformats.org/officeDocument/2006/relationships/hyperlink" Target="https://tinyurl.com/2xzykqb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3</cp:revision>
  <dcterms:created xsi:type="dcterms:W3CDTF">2026-05-11T08:31:00Z</dcterms:created>
  <dcterms:modified xsi:type="dcterms:W3CDTF">2026-05-11T08:33:00Z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