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A32C6" w14:textId="77777777" w:rsidR="006D63E3" w:rsidRPr="006D63E3" w:rsidRDefault="006D63E3" w:rsidP="006D63E3">
      <w:pPr>
        <w:bidi/>
        <w:spacing w:line="240" w:lineRule="auto"/>
        <w:ind w:left="180"/>
        <w:jc w:val="center"/>
        <w:rPr>
          <w:rFonts w:ascii="Dubai" w:eastAsia="Dubai" w:hAnsi="Dubai" w:cs="Dubai"/>
          <w:bCs/>
          <w:color w:val="1F3864" w:themeColor="accent5" w:themeShade="80"/>
          <w:sz w:val="28"/>
          <w:szCs w:val="28"/>
        </w:rPr>
      </w:pPr>
      <w:r w:rsidRPr="006D63E3">
        <w:rPr>
          <w:rFonts w:ascii="Dubai" w:eastAsia="Dubai" w:hAnsi="Dubai" w:cs="Dubai"/>
          <w:bCs/>
          <w:color w:val="1F3864" w:themeColor="accent5" w:themeShade="80"/>
          <w:sz w:val="28"/>
          <w:szCs w:val="28"/>
          <w:rtl/>
        </w:rPr>
        <w:t xml:space="preserve">تقرير مؤسسة ماعت مقدم إلى لجنة القضاء على جميع أشكال التمييز ضد المرأة بخصوص </w:t>
      </w:r>
      <w:r w:rsidRPr="006D63E3">
        <w:rPr>
          <w:rFonts w:ascii="Dubai" w:eastAsia="Dubai" w:hAnsi="Dubai" w:cs="Dubai"/>
          <w:bCs/>
          <w:color w:val="FF0000"/>
          <w:sz w:val="28"/>
          <w:szCs w:val="28"/>
          <w:rtl/>
        </w:rPr>
        <w:t>الكويت</w:t>
      </w:r>
    </w:p>
    <w:p w14:paraId="0A2AA116" w14:textId="2F3E8383" w:rsidR="006D63E3" w:rsidRDefault="006D63E3" w:rsidP="006D63E3">
      <w:pPr>
        <w:bidi/>
        <w:spacing w:line="240" w:lineRule="auto"/>
        <w:ind w:left="180"/>
        <w:jc w:val="both"/>
        <w:rPr>
          <w:rFonts w:ascii="Dubai" w:eastAsia="Dubai" w:hAnsi="Dubai" w:cs="Dubai"/>
          <w:sz w:val="24"/>
          <w:szCs w:val="24"/>
          <w:rtl/>
        </w:rPr>
      </w:pPr>
      <w:r w:rsidRPr="006D63E3">
        <w:rPr>
          <w:rFonts w:ascii="Dubai" w:eastAsia="Dubai" w:hAnsi="Dubai" w:cs="Dubai"/>
          <w:bCs/>
          <w:sz w:val="24"/>
          <w:szCs w:val="24"/>
          <w:rtl/>
        </w:rPr>
        <w:t>مقدم من:</w:t>
      </w:r>
      <w:r w:rsidRPr="006D63E3">
        <w:rPr>
          <w:rFonts w:ascii="Dubai" w:eastAsia="Dubai" w:hAnsi="Dubai" w:cs="Dubai"/>
          <w:b/>
          <w:sz w:val="24"/>
          <w:szCs w:val="24"/>
          <w:rtl/>
        </w:rPr>
        <w:t xml:space="preserve"> </w:t>
      </w:r>
      <w:r w:rsidRPr="006D63E3">
        <w:rPr>
          <w:rFonts w:ascii="Dubai" w:eastAsia="Dubai" w:hAnsi="Dubai" w:cs="Dubai"/>
          <w:sz w:val="24"/>
          <w:szCs w:val="24"/>
          <w:rtl/>
        </w:rPr>
        <w:t>مؤسسة ماعت للسلام والتنمية وحقوق الإنسان (</w:t>
      </w:r>
      <w:r>
        <w:rPr>
          <w:rFonts w:ascii="Dubai" w:eastAsia="Dubai" w:hAnsi="Dubai" w:cs="Dubai" w:hint="cs"/>
          <w:sz w:val="24"/>
          <w:szCs w:val="24"/>
          <w:rtl/>
        </w:rPr>
        <w:t>حاصلة على</w:t>
      </w:r>
      <w:r w:rsidRPr="006D63E3">
        <w:rPr>
          <w:rFonts w:ascii="Dubai" w:eastAsia="Dubai" w:hAnsi="Dubai" w:cs="Dubai"/>
          <w:sz w:val="24"/>
          <w:szCs w:val="24"/>
          <w:rtl/>
        </w:rPr>
        <w:t xml:space="preserve"> المركز الاستشاري</w:t>
      </w:r>
      <w:r w:rsidRPr="006D63E3">
        <w:rPr>
          <w:rFonts w:ascii="Dubai" w:eastAsia="Dubai" w:hAnsi="Dubai" w:cs="Dubai"/>
          <w:b/>
          <w:sz w:val="24"/>
          <w:szCs w:val="24"/>
        </w:rPr>
        <w:t xml:space="preserve"> </w:t>
      </w:r>
      <w:r w:rsidRPr="006D63E3">
        <w:rPr>
          <w:rFonts w:ascii="Dubai" w:eastAsia="Dubai" w:hAnsi="Dubai" w:cs="Dubai"/>
          <w:sz w:val="24"/>
          <w:szCs w:val="24"/>
          <w:rtl/>
        </w:rPr>
        <w:t>بالمجلس الاقتصادي والاجتماعي بالأمم المتحدة).</w:t>
      </w:r>
    </w:p>
    <w:p w14:paraId="0C47FF53" w14:textId="77777777" w:rsidR="006D63E3" w:rsidRPr="006D63E3" w:rsidRDefault="006D63E3" w:rsidP="006D63E3">
      <w:pPr>
        <w:bidi/>
        <w:spacing w:line="240" w:lineRule="auto"/>
        <w:ind w:left="180"/>
        <w:jc w:val="both"/>
        <w:rPr>
          <w:rFonts w:ascii="Dubai" w:eastAsia="Dubai" w:hAnsi="Dubai" w:cs="Dubai"/>
          <w:sz w:val="24"/>
          <w:szCs w:val="24"/>
        </w:rPr>
      </w:pPr>
    </w:p>
    <w:p w14:paraId="20728397" w14:textId="31F046CF" w:rsidR="006D63E3" w:rsidRPr="006D63E3" w:rsidRDefault="006D63E3" w:rsidP="006D63E3">
      <w:pPr>
        <w:pBdr>
          <w:bottom w:val="single" w:sz="4" w:space="1" w:color="000000"/>
        </w:pBdr>
        <w:bidi/>
        <w:spacing w:line="240" w:lineRule="auto"/>
        <w:jc w:val="both"/>
        <w:rPr>
          <w:rFonts w:ascii="Dubai" w:eastAsia="Dubai" w:hAnsi="Dubai" w:cs="Dubai"/>
          <w:bCs/>
          <w:color w:val="FF0000"/>
          <w:sz w:val="24"/>
          <w:szCs w:val="24"/>
        </w:rPr>
      </w:pPr>
      <w:r w:rsidRPr="006D63E3">
        <w:rPr>
          <w:rFonts w:ascii="Dubai" w:eastAsia="Dubai" w:hAnsi="Dubai" w:cs="Dubai"/>
          <w:bCs/>
          <w:color w:val="FF0000"/>
          <w:sz w:val="24"/>
          <w:szCs w:val="24"/>
          <w:rtl/>
        </w:rPr>
        <w:t>ملخص تنفيذي</w:t>
      </w:r>
    </w:p>
    <w:p w14:paraId="642EECFA" w14:textId="69D942C5"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تراجع دولة الكويت أمام لجنة القضاء على جميع أشكال التمييز ضد المرأة (يشار إليها فيما بعد باللجنة) أثناء الدورة 88، وهو ما شجع مؤسسة ماعت لتقديم هذا التقرير الذي يتابع التقدم المحرز والتحديات التي تواجه حكومة دولة الكويت في تنفيذ اتفاقية القضاء على جميع أشكال التمييز ضد المرأة. وسبق أن قدمت دولة الكويت تقريرها الوطني في نوفمبر 2021 ثم قامت اللجنة بتقديم قائمة بالمسائل للدولة في 8 مارس 2023 وقامت حكومة الكويت بالرد على هذه القائمة في يونيو 2023. وبعد الاطلاع على التقارير الثلاثة تود مؤسسة</w:t>
      </w:r>
      <w:r w:rsidRPr="006D63E3">
        <w:rPr>
          <w:rFonts w:ascii="Dubai" w:eastAsia="Dubai" w:hAnsi="Dubai" w:cs="Dubai"/>
          <w:b/>
          <w:sz w:val="24"/>
          <w:szCs w:val="24"/>
          <w:rtl/>
        </w:rPr>
        <w:t xml:space="preserve"> ماعت للسلام والتنمية وحقوق الإنسان</w:t>
      </w:r>
      <w:r w:rsidRPr="006D63E3">
        <w:rPr>
          <w:rFonts w:ascii="Dubai" w:eastAsia="Dubai" w:hAnsi="Dubai" w:cs="Dubai"/>
          <w:sz w:val="24"/>
          <w:szCs w:val="24"/>
          <w:rtl/>
        </w:rPr>
        <w:t xml:space="preserve"> تقديم هذا التقرير لتوضيح مدى التزام الكويت بالوفاء بتعهداتها وتنفيذها للملاحظات المقدمة إليها فيما يخص عدد من القضايا مثل الاتجار بالبشر والمساواة بين الجنسين فضلا عن حق المرأة الكويتية في منح جنسيتها لأبنائها واخيرا الممارسات التمييزية ضد نساء البدون. فرغم الجهود التي تقوم بهًا دولة الكويت لضمان حقوق المرأة وتنفيذ الأحكام الواردة في الاتفاقية وإلغاء جميع أشكال التمييز ضد المرأة.</w:t>
      </w:r>
    </w:p>
    <w:p w14:paraId="77462AB4"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ما زالت المرأة الكويتية تعاني من التمييز ضدها في المجالات الاجتماعية والسياسية والاقتصادية، فعلى الرغم من أن دستور دولة الكويت قد كفل لها مساواتها مع الرجل، إلَا أن التشريعات الكويتية لا تعكس جوهر الدستور ولا تحقق الفائدة المرجوة منها من ناحية تسهيل حياة المواطنات وتخفيف معاناتهن. حيث لا يمنح القانون الكويتي المرأة نفس المركز القانوني والحقوق وأحكام الميراث مثل الرجل. وتعاني المرأة من التمييز في معظم جوانب قانون الأسرة بما في ذلك الطلاق وحضانة الأطفال وكذلك في الحقوق الأساسية للمواطنة ومكان العمل. وعلى الرغم من أنه لم يتم الإبلاغ عن حالات تمييز في القطاع الرسمي أو الخاص في الحصول على الائتمان أو امتلاك أو إدارة مشروع تجاري أو تأمين السكن، ولكن لا يوجد نظام حكومي رسمي لتتبع ذلك.</w:t>
      </w:r>
      <w:r w:rsidRPr="006D63E3">
        <w:rPr>
          <w:rFonts w:ascii="Dubai" w:eastAsia="Dubai" w:hAnsi="Dubai" w:cs="Dubai"/>
          <w:sz w:val="24"/>
          <w:szCs w:val="24"/>
          <w:vertAlign w:val="superscript"/>
        </w:rPr>
        <w:footnoteReference w:id="1"/>
      </w:r>
      <w:r w:rsidRPr="006D63E3">
        <w:rPr>
          <w:rFonts w:ascii="Dubai" w:eastAsia="Dubai" w:hAnsi="Dubai" w:cs="Dubai"/>
          <w:sz w:val="24"/>
          <w:szCs w:val="24"/>
          <w:rtl/>
        </w:rPr>
        <w:t xml:space="preserve"> أما على المستوى الاقتصادي أظهرت دولة الكويت تقدم كبيرا نحو سد فجوة الأجور بين الجنسين في الكويت. وزاد ترتيبها عشرة مراكز وذلك من بين التطورات الإيجابية الأخيرة ومع ذلك لا تزال تصنف في المرتبة 120 من أصل 146 دولة بشكل عام. ويرجع السبب الرئيسي لعدم المساواة بين الجنسين في الكويت إلى النشاط الاقتصادي. حيث تحصل النساء على أجور أقل من الرجال في القوى العاملة.</w:t>
      </w:r>
      <w:r w:rsidRPr="006D63E3">
        <w:rPr>
          <w:rFonts w:ascii="Dubai" w:eastAsia="Dubai" w:hAnsi="Dubai" w:cs="Dubai"/>
          <w:sz w:val="24"/>
          <w:szCs w:val="24"/>
          <w:vertAlign w:val="superscript"/>
        </w:rPr>
        <w:footnoteReference w:id="2"/>
      </w:r>
    </w:p>
    <w:p w14:paraId="59E12D35" w14:textId="77777777" w:rsidR="006D63E3" w:rsidRPr="006D63E3" w:rsidRDefault="006D63E3" w:rsidP="006D63E3">
      <w:pPr>
        <w:pBdr>
          <w:bottom w:val="single" w:sz="4" w:space="1" w:color="auto"/>
        </w:pBdr>
        <w:bidi/>
        <w:spacing w:line="240" w:lineRule="auto"/>
        <w:jc w:val="both"/>
        <w:rPr>
          <w:rFonts w:ascii="Dubai" w:eastAsia="Dubai" w:hAnsi="Dubai" w:cs="Dubai"/>
          <w:bCs/>
          <w:sz w:val="24"/>
          <w:szCs w:val="24"/>
        </w:rPr>
      </w:pPr>
      <w:r w:rsidRPr="006D63E3">
        <w:rPr>
          <w:rFonts w:ascii="Dubai" w:eastAsia="Dubai" w:hAnsi="Dubai" w:cs="Dubai"/>
          <w:bCs/>
          <w:color w:val="FF0000"/>
          <w:sz w:val="24"/>
          <w:szCs w:val="24"/>
          <w:rtl/>
        </w:rPr>
        <w:t>أولاً: الإتجار بالنساء (المادة السادسة)</w:t>
      </w:r>
    </w:p>
    <w:p w14:paraId="2E9020CC"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 xml:space="preserve">في إطار العمل على تنفيذ هذه المادة أكدت الكويت في تقريرها الوطني أنها حريصة على زيادة الحماية والرعاية للمرأة وخاصة العاملات المهاجرات. وسبق أن اعتمدت قانون العمالة المنزلية رقم 68 لعام 2015 لحماية العمال المهاجرين وأنشأت إدارة </w:t>
      </w:r>
      <w:r w:rsidRPr="006D63E3">
        <w:rPr>
          <w:rFonts w:ascii="Dubai" w:eastAsia="Dubai" w:hAnsi="Dubai" w:cs="Dubai"/>
          <w:sz w:val="24"/>
          <w:szCs w:val="24"/>
          <w:rtl/>
        </w:rPr>
        <w:lastRenderedPageBreak/>
        <w:t xml:space="preserve">منفصلة للعمالة المنزلية. فضلا عن ذلك تعوض القوانين الأخيرة الذي وافق عليها مجلس الأمة عن العمل الإضافي وتحدد الحد الأدنى للأجور (250 دولار أمريكي) لمعالجة بعض جوانب حقوق العمل. </w:t>
      </w:r>
      <w:r w:rsidRPr="006D63E3">
        <w:rPr>
          <w:rFonts w:ascii="Dubai" w:eastAsia="Dubai" w:hAnsi="Dubai" w:cs="Dubai"/>
          <w:sz w:val="24"/>
          <w:szCs w:val="24"/>
          <w:vertAlign w:val="superscript"/>
        </w:rPr>
        <w:footnoteReference w:id="3"/>
      </w:r>
    </w:p>
    <w:p w14:paraId="6A470414"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إلا أن مؤسسة ماعت تري إن هذه التدابير لم تكن كافية عندما تواجه عاملات المنازل المهاجرات العنف على المدى القصير أو الطويل حيث تنوعت أشكاله ضد النساء في الكويت وسيتم التركيز هنا على أشكال مختلفة من الاتجار بالبشر والعمل القسري الذي تتعرض له العاملات المهاجرات. ويمكن القول إنه لا توجد تدابير ملموسة لضمان منطقة آمنة للنساء المهاجرات في ظل نظام الكفالة. حيث لا يتم التحقيق إلا في حالات الإساءة الشديدة بناء على تقرير العامل. كما لاحظت مؤسسة ماعت إن عملية فحص تقديم الشكاوى لا تسمح بحماية العاملات إلا بعد وصولهم إلى مستويات مرتفعة من سوء المعاملة بل وصل الأمر بوجود حالات تم فيها شراء وبيع بعض العاملات المنزليات من قبل أصحاب العمل على منصات الإنترنت.</w:t>
      </w:r>
      <w:r w:rsidRPr="006D63E3">
        <w:rPr>
          <w:rFonts w:ascii="Dubai" w:eastAsia="Dubai" w:hAnsi="Dubai" w:cs="Dubai"/>
          <w:sz w:val="24"/>
          <w:szCs w:val="24"/>
          <w:vertAlign w:val="superscript"/>
        </w:rPr>
        <w:footnoteReference w:id="4"/>
      </w:r>
    </w:p>
    <w:p w14:paraId="41746887" w14:textId="4EE37C06" w:rsidR="006D63E3" w:rsidRPr="006D63E3" w:rsidRDefault="006D63E3" w:rsidP="006D63E3">
      <w:pPr>
        <w:numPr>
          <w:ilvl w:val="0"/>
          <w:numId w:val="33"/>
        </w:numPr>
        <w:pBdr>
          <w:top w:val="nil"/>
          <w:left w:val="nil"/>
          <w:bottom w:val="nil"/>
          <w:right w:val="nil"/>
          <w:between w:val="nil"/>
        </w:pBdr>
        <w:bidi/>
        <w:spacing w:after="200" w:line="240" w:lineRule="auto"/>
        <w:jc w:val="both"/>
        <w:rPr>
          <w:rFonts w:ascii="Dubai" w:eastAsia="Dubai" w:hAnsi="Dubai" w:cs="Dubai"/>
          <w:bCs/>
          <w:color w:val="000000"/>
          <w:sz w:val="24"/>
          <w:szCs w:val="24"/>
        </w:rPr>
      </w:pPr>
      <w:r w:rsidRPr="006D63E3">
        <w:rPr>
          <w:rFonts w:ascii="Dubai" w:eastAsia="Dubai" w:hAnsi="Dubai" w:cs="Dubai"/>
          <w:bCs/>
          <w:color w:val="000000"/>
          <w:sz w:val="24"/>
          <w:szCs w:val="24"/>
          <w:rtl/>
        </w:rPr>
        <w:t>استغلال وبيع النساء</w:t>
      </w:r>
    </w:p>
    <w:p w14:paraId="29DAE726"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على الرغم من جهود الكويت للقضاء على ظاهرة الاتجار بالبشر إلا أن بيع عاملات المنازل المهاجرات على منصات الإنترنت لاتزال موجودة حيث كشفت تقارير عن تورط عدد من المسؤولين الحكوميين وضباط الشرطة في عمليات البيع ففي إحدى الحالات التي وثقتها مؤسسة ماعت باع ضابط شرطة عاملة منزلية عبر أحد المواقع الإلكترونية، ونصح المشتري بمصادرة جواز سفر العاملة. حسب المعلومات المتاحة تبيع العديد من المواقع الإلكترونية العمالة المنزلية بأسعار تداول تتراوح بين 500 – 1500 دينار كويتي وتنطوي عمليات البيع على عرض البيانات الشخصية لهؤلاء العاملات مثل الصور والجنسية ومدة الإقامة في الكويت والأسباب المطروحة لبيعهن أو استبدال كفيلهن. وتستغل هذه المواقع التي تعمل خارج الإطار القانوني للدولة ضعف عاملات المنازل من خلال معاملتهن كسلع.</w:t>
      </w:r>
      <w:r w:rsidRPr="006D63E3">
        <w:rPr>
          <w:rFonts w:ascii="Dubai" w:eastAsia="Dubai" w:hAnsi="Dubai" w:cs="Dubai"/>
          <w:sz w:val="24"/>
          <w:szCs w:val="24"/>
          <w:vertAlign w:val="superscript"/>
        </w:rPr>
        <w:footnoteReference w:id="5"/>
      </w:r>
    </w:p>
    <w:p w14:paraId="4DE26A0E" w14:textId="77777777" w:rsidR="006D63E3" w:rsidRPr="006D63E3" w:rsidRDefault="006D63E3" w:rsidP="006D63E3">
      <w:pPr>
        <w:numPr>
          <w:ilvl w:val="0"/>
          <w:numId w:val="33"/>
        </w:numPr>
        <w:pBdr>
          <w:top w:val="nil"/>
          <w:left w:val="nil"/>
          <w:bottom w:val="nil"/>
          <w:right w:val="nil"/>
          <w:between w:val="nil"/>
        </w:pBdr>
        <w:bidi/>
        <w:spacing w:after="200" w:line="240" w:lineRule="auto"/>
        <w:jc w:val="both"/>
        <w:rPr>
          <w:rFonts w:ascii="Dubai" w:eastAsia="Dubai" w:hAnsi="Dubai" w:cs="Dubai"/>
          <w:bCs/>
          <w:color w:val="000000"/>
          <w:sz w:val="24"/>
          <w:szCs w:val="24"/>
        </w:rPr>
      </w:pPr>
      <w:r w:rsidRPr="006D63E3">
        <w:rPr>
          <w:rFonts w:ascii="Dubai" w:eastAsia="Dubai" w:hAnsi="Dubai" w:cs="Dubai"/>
          <w:bCs/>
          <w:color w:val="000000"/>
          <w:sz w:val="24"/>
          <w:szCs w:val="24"/>
          <w:rtl/>
        </w:rPr>
        <w:t>العمل القسري</w:t>
      </w:r>
    </w:p>
    <w:p w14:paraId="020B7F58"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وفقا لمؤشر العبودية العالمي 2023 يوجد ما يقدر بنحو 13.0 من كل ألف شخص يعيشون في العبودية الحديثة في الكويت. كما تعرض 55000 شخص للعمل القسري أو الزواج القسري في الكويت في عام 2020. وتحتل الكويت المرتبة العاشرة عالميا والثالثة على مستوى  الدول العربية.</w:t>
      </w:r>
      <w:r w:rsidRPr="006D63E3">
        <w:rPr>
          <w:rFonts w:ascii="Dubai" w:eastAsia="Dubai" w:hAnsi="Dubai" w:cs="Dubai"/>
          <w:sz w:val="24"/>
          <w:szCs w:val="24"/>
          <w:vertAlign w:val="superscript"/>
        </w:rPr>
        <w:footnoteReference w:id="6"/>
      </w:r>
      <w:r w:rsidRPr="006D63E3">
        <w:rPr>
          <w:rFonts w:ascii="Dubai" w:eastAsia="Dubai" w:hAnsi="Dubai" w:cs="Dubai"/>
          <w:sz w:val="24"/>
          <w:szCs w:val="24"/>
          <w:rtl/>
        </w:rPr>
        <w:t xml:space="preserve"> ووفقا للإحصائيات فقد شهد عام 2021 وجود ما يقارب 745 ألف عاملة منزلية اغلبهم من المهاجرات، وفي السياق أكدت العديد من التقارير الحقوقية المحلية والدولية أن أغلب عاملات المنازل في الكويت عرضة للعمل القسري من خلال توظيفهن في إطار نظام الكفالة وبسبب ضعف وجود القوانين وتنفيذها تلتزم عاملات المنازل المهاجرات بقواعد قسرية غير مرغوب فيها بما في ذلك المعاملة مثل الأجور المنخفضة وساعات العمل المفرطة ومصادرة جوازات السفر والاستغلال والاتجار ناهيك عن سوء المعاملة والتعذيب، وتنوعت الانتهاكات التي يتعرض لها العاملات المنزليات بداية من سوء المعاملة وصولا للشروع في قتلهن،  ففي يناير 2023 عُثر على عاملة منزلية فلبينية تبلغ من العمر 35 عاما ميتة في صحراء الكويت وهي حامل ومحترقة. وأُدين ابن صاحبة عملها البالغ من العمر 17 عاما. وهذه ليست المرة الأولى التي تقع فيها مثل هذه الحوادث لعاملات المنازل المهاجرات في الكويت حيث تم الإبلاغ عن العديد من حالات الاعتداء الجسدي والعاطفي.</w:t>
      </w:r>
      <w:r w:rsidRPr="006D63E3">
        <w:rPr>
          <w:rFonts w:ascii="Dubai" w:eastAsia="Dubai" w:hAnsi="Dubai" w:cs="Dubai"/>
          <w:sz w:val="24"/>
          <w:szCs w:val="24"/>
          <w:vertAlign w:val="superscript"/>
        </w:rPr>
        <w:footnoteReference w:id="7"/>
      </w:r>
      <w:r w:rsidRPr="006D63E3">
        <w:rPr>
          <w:rFonts w:ascii="Dubai" w:eastAsia="Dubai" w:hAnsi="Dubai" w:cs="Dubai"/>
          <w:sz w:val="24"/>
          <w:szCs w:val="24"/>
          <w:rtl/>
        </w:rPr>
        <w:t xml:space="preserve">وتشير </w:t>
      </w:r>
      <w:r w:rsidRPr="006D63E3">
        <w:rPr>
          <w:rFonts w:ascii="Dubai" w:eastAsia="Dubai" w:hAnsi="Dubai" w:cs="Dubai"/>
          <w:sz w:val="24"/>
          <w:szCs w:val="24"/>
          <w:rtl/>
        </w:rPr>
        <w:lastRenderedPageBreak/>
        <w:t>تقارير أخري إلى أن العمال يواجهون بشكل متكرر الاعتداء الجنسي والاغتصاب والاتجار بالبشر وانتهاكات عقود العمل وإنهاء الخدمة بشكل غير قانوني. ففي عام 2022 ادعت وحده إدارة العمال المهاجرين الفلبينية وجود 24000 قضية انتهاك حقوق وانتهاكات ضد عاملات المنازل الفلبينيات كما وثقت إدارة رعاية العمال الفلبينيين في الخارج 196 حالة وفاة لعمال فلبينيين في الكويت منذ عام 2016.</w:t>
      </w:r>
      <w:r w:rsidRPr="006D63E3">
        <w:rPr>
          <w:rFonts w:ascii="Dubai" w:eastAsia="Dubai" w:hAnsi="Dubai" w:cs="Dubai"/>
          <w:sz w:val="24"/>
          <w:szCs w:val="24"/>
          <w:vertAlign w:val="superscript"/>
        </w:rPr>
        <w:footnoteReference w:id="8"/>
      </w:r>
    </w:p>
    <w:p w14:paraId="0E2107CC" w14:textId="77777777" w:rsidR="006D63E3" w:rsidRPr="006D63E3" w:rsidRDefault="006D63E3" w:rsidP="006D63E3">
      <w:pPr>
        <w:bidi/>
        <w:spacing w:line="240" w:lineRule="auto"/>
        <w:jc w:val="both"/>
        <w:rPr>
          <w:rFonts w:ascii="Dubai" w:eastAsia="Dubai" w:hAnsi="Dubai" w:cs="Dubai"/>
          <w:b/>
          <w:color w:val="000000"/>
          <w:sz w:val="24"/>
          <w:szCs w:val="24"/>
        </w:rPr>
      </w:pPr>
      <w:r w:rsidRPr="006D63E3">
        <w:rPr>
          <w:rFonts w:ascii="Dubai" w:eastAsia="Dubai" w:hAnsi="Dubai" w:cs="Dubai"/>
          <w:b/>
          <w:color w:val="000000"/>
          <w:sz w:val="24"/>
          <w:szCs w:val="24"/>
          <w:rtl/>
        </w:rPr>
        <w:t xml:space="preserve">ومن ثم يمكن القول إنه يجب على حكومة الكويت </w:t>
      </w:r>
      <w:r w:rsidRPr="006D63E3">
        <w:rPr>
          <w:rFonts w:ascii="Dubai" w:eastAsia="Dubai" w:hAnsi="Dubai" w:cs="Dubai"/>
          <w:color w:val="000000"/>
          <w:sz w:val="24"/>
          <w:szCs w:val="24"/>
          <w:rtl/>
        </w:rPr>
        <w:t>إجراء إصلاحات جوهرية في نظام الكفالة بما في ذلك تعزيز آليات المساءلة للتصدي للفساد وإساءة استخدام السلطة.</w:t>
      </w:r>
      <w:r w:rsidRPr="006D63E3">
        <w:rPr>
          <w:rFonts w:ascii="Dubai" w:eastAsia="Dubai" w:hAnsi="Dubai" w:cs="Dubai"/>
          <w:b/>
          <w:color w:val="000000"/>
          <w:sz w:val="24"/>
          <w:szCs w:val="24"/>
        </w:rPr>
        <w:t xml:space="preserve"> </w:t>
      </w:r>
      <w:r w:rsidRPr="006D63E3">
        <w:rPr>
          <w:rFonts w:ascii="Dubai" w:eastAsia="Dubai" w:hAnsi="Dubai" w:cs="Dubai"/>
          <w:color w:val="000000"/>
          <w:sz w:val="24"/>
          <w:szCs w:val="24"/>
          <w:rtl/>
        </w:rPr>
        <w:t>بذل الجهود لتحديد هوية الأفراد المتورطين في هذه الممارسات والتحقيق معهم ومحاكمتهم بغض النظر عن مناصبهم أو انتماءاتهم.</w:t>
      </w:r>
    </w:p>
    <w:p w14:paraId="2434D2C3" w14:textId="77777777" w:rsidR="006D63E3" w:rsidRPr="006D63E3" w:rsidRDefault="006D63E3" w:rsidP="006D63E3">
      <w:pPr>
        <w:pBdr>
          <w:bottom w:val="single" w:sz="4" w:space="1" w:color="000000"/>
        </w:pBdr>
        <w:bidi/>
        <w:spacing w:line="240" w:lineRule="auto"/>
        <w:jc w:val="both"/>
        <w:rPr>
          <w:rFonts w:ascii="Dubai" w:eastAsia="Dubai" w:hAnsi="Dubai" w:cs="Dubai"/>
          <w:bCs/>
          <w:color w:val="FF0000"/>
          <w:sz w:val="24"/>
          <w:szCs w:val="24"/>
        </w:rPr>
      </w:pPr>
      <w:r w:rsidRPr="006D63E3">
        <w:rPr>
          <w:rFonts w:ascii="Dubai" w:eastAsia="Dubai" w:hAnsi="Dubai" w:cs="Dubai"/>
          <w:bCs/>
          <w:color w:val="FF0000"/>
          <w:sz w:val="24"/>
          <w:szCs w:val="24"/>
          <w:rtl/>
        </w:rPr>
        <w:t>ثانياً: المشاركة السياسية والعامة للمرأة (المادة السابعة)</w:t>
      </w:r>
    </w:p>
    <w:p w14:paraId="19864F6B"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color w:val="000000"/>
          <w:sz w:val="24"/>
          <w:szCs w:val="24"/>
          <w:rtl/>
        </w:rPr>
        <w:t xml:space="preserve">أطلعت مؤسسة ماعت </w:t>
      </w:r>
      <w:r w:rsidRPr="006D63E3">
        <w:rPr>
          <w:rFonts w:ascii="Dubai" w:eastAsia="Dubai" w:hAnsi="Dubai" w:cs="Dubai"/>
          <w:sz w:val="24"/>
          <w:szCs w:val="24"/>
          <w:rtl/>
        </w:rPr>
        <w:t>على</w:t>
      </w:r>
      <w:r w:rsidRPr="006D63E3">
        <w:rPr>
          <w:rFonts w:ascii="Dubai" w:eastAsia="Dubai" w:hAnsi="Dubai" w:cs="Dubai"/>
          <w:color w:val="000000"/>
          <w:sz w:val="24"/>
          <w:szCs w:val="24"/>
          <w:rtl/>
        </w:rPr>
        <w:t xml:space="preserve"> الخطوات التي قامت بها الكويت في تقريرها الوطني المقدم للجنة لتنفيذ المادة السابعة من الاتفاقية مع ذلك ورغم دعم المجتمع المدني الكويتي في السنوات الأخيرة </w:t>
      </w:r>
      <w:r w:rsidRPr="006D63E3">
        <w:rPr>
          <w:rFonts w:ascii="Dubai" w:eastAsia="Dubai" w:hAnsi="Dubai" w:cs="Dubai"/>
          <w:sz w:val="24"/>
          <w:szCs w:val="24"/>
          <w:rtl/>
        </w:rPr>
        <w:t>لترشيح</w:t>
      </w:r>
      <w:r w:rsidRPr="006D63E3">
        <w:rPr>
          <w:rFonts w:ascii="Dubai" w:eastAsia="Dubai" w:hAnsi="Dubai" w:cs="Dubai"/>
          <w:color w:val="000000"/>
          <w:sz w:val="24"/>
          <w:szCs w:val="24"/>
          <w:rtl/>
        </w:rPr>
        <w:t xml:space="preserve"> النساء للمناصب المنتخبة إلا أن المجتمع الكويتي يبدو غير </w:t>
      </w:r>
      <w:r w:rsidRPr="006D63E3">
        <w:rPr>
          <w:rFonts w:ascii="Dubai" w:eastAsia="Dubai" w:hAnsi="Dubai" w:cs="Dubai"/>
          <w:sz w:val="24"/>
          <w:szCs w:val="24"/>
          <w:rtl/>
        </w:rPr>
        <w:t>مهيأ</w:t>
      </w:r>
      <w:r w:rsidRPr="006D63E3">
        <w:rPr>
          <w:rFonts w:ascii="Dubai" w:eastAsia="Dubai" w:hAnsi="Dubai" w:cs="Dubai"/>
          <w:color w:val="000000"/>
          <w:sz w:val="24"/>
          <w:szCs w:val="24"/>
          <w:rtl/>
        </w:rPr>
        <w:t xml:space="preserve"> لتقبل المرأة </w:t>
      </w:r>
      <w:r w:rsidRPr="006D63E3">
        <w:rPr>
          <w:rFonts w:ascii="Dubai" w:eastAsia="Dubai" w:hAnsi="Dubai" w:cs="Dubai"/>
          <w:sz w:val="24"/>
          <w:szCs w:val="24"/>
          <w:rtl/>
        </w:rPr>
        <w:t>حتى الآن بما في ذلك المرأة الناخبة، حيث حلت المرأة الكويتية كثاني أقل النساء العربيات مشاركة في الحياة السياسية سواء في العمل البرلماني والحكومي والحزبي، حيث أن تتأخر نسب مشاركة المرأة الكويتية في العمل السياسي منذ نحو أكثر من عقد في مؤشر ممارسة السياسة وتقلد المناصب القيادية.</w:t>
      </w:r>
      <w:r w:rsidRPr="006D63E3">
        <w:rPr>
          <w:rFonts w:ascii="Dubai" w:eastAsia="Dubai" w:hAnsi="Dubai" w:cs="Dubai"/>
          <w:sz w:val="24"/>
          <w:szCs w:val="24"/>
          <w:vertAlign w:val="superscript"/>
        </w:rPr>
        <w:footnoteReference w:id="9"/>
      </w:r>
      <w:r w:rsidRPr="006D63E3">
        <w:rPr>
          <w:rFonts w:ascii="Dubai" w:eastAsia="Dubai" w:hAnsi="Dubai" w:cs="Dubai"/>
          <w:sz w:val="24"/>
          <w:szCs w:val="24"/>
          <w:rtl/>
        </w:rPr>
        <w:t xml:space="preserve"> وحتى مع تمتع المرأة في الكويت بحق التصويت والترشح للمناصب منذ عام 2005 وانتخاب بعضهن لعضوية البرلمان. بجانب تشكيل المرأة الكويتية نحو 52% من الناخبين وأقل من 7% من المرشحين في الانتخابات البرلمانية لمجلس الأمة التي تم إجراؤها في 6 يونيو 2022، إلا أن مشاركة المرأة الكويتية في العمل السياسي لا تزال ضعيفة. فعلى الرغم من المشاركة النشطة للمرأة في انتخابات 2022، والتي تم دعمها بقوانين تحد من نفوذ القوى القبلية المهيمنة، وتشترط تسجيل الناخبين بناء على بطاقات الهوية المدنية وبالتالي تثبيط عمليات شراء الأصوات ونقلها بشكل فعال وإلا أن النتائج جاءت أقل من التوقعات حيث لم تتمكن سوى سيدتين فقط من تحقيق الفوز من بين 27 مرشحة.</w:t>
      </w:r>
      <w:r w:rsidRPr="006D63E3">
        <w:rPr>
          <w:rFonts w:ascii="Dubai" w:eastAsia="Dubai" w:hAnsi="Dubai" w:cs="Dubai"/>
          <w:sz w:val="24"/>
          <w:szCs w:val="24"/>
          <w:vertAlign w:val="superscript"/>
        </w:rPr>
        <w:footnoteReference w:id="10"/>
      </w:r>
    </w:p>
    <w:p w14:paraId="50A187C6"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وفي السياق تري مؤسسة ماعت عدد من التحديات التي تعيق المشاركة السياسية للمرأة والتي قد تكون بسبب المنظومة الثقافية التي لا تحفز المرأة على المشاركة السياسية وتولي الأدوار القيادية، أو قد يكون التحدي هي المرأة ذاتها حيث بعض الفئات من النساء غير مقتنعات بتفعيل المشاركة السياسية للمرأة والتصويت لها. وعلى الرغم من أن إجمالي عدد المرشحات لانتخابات مجلس الأمة 2024 التي ستجرى في 4 أبريل 2024 يبلغ 13 مرشحة، فيما يبلغ عدد المواطنات اللاتي يحق لهن التصويت 428785 مواطنة، ليفوق عددهن عدد الرجال البالغ 405948 مواطنا ممن يحق لهم التصويت ولكن لا توجد مؤشرات ايجابية على زيادة فرص فوزهن.</w:t>
      </w:r>
      <w:r w:rsidRPr="006D63E3">
        <w:rPr>
          <w:rFonts w:ascii="Dubai" w:eastAsia="Dubai" w:hAnsi="Dubai" w:cs="Dubai"/>
          <w:sz w:val="24"/>
          <w:szCs w:val="24"/>
          <w:vertAlign w:val="superscript"/>
        </w:rPr>
        <w:footnoteReference w:id="11"/>
      </w:r>
    </w:p>
    <w:p w14:paraId="5FE290D8" w14:textId="77777777" w:rsidR="006D63E3" w:rsidRPr="006D63E3" w:rsidRDefault="006D63E3" w:rsidP="006D63E3">
      <w:pPr>
        <w:bidi/>
        <w:spacing w:line="240" w:lineRule="auto"/>
        <w:jc w:val="both"/>
        <w:rPr>
          <w:rFonts w:ascii="Dubai" w:eastAsia="Dubai" w:hAnsi="Dubai" w:cs="Dubai"/>
          <w:color w:val="0563C1"/>
          <w:sz w:val="24"/>
          <w:szCs w:val="24"/>
        </w:rPr>
      </w:pPr>
      <w:r w:rsidRPr="006D63E3">
        <w:rPr>
          <w:rFonts w:ascii="Dubai" w:eastAsia="Dubai" w:hAnsi="Dubai" w:cs="Dubai"/>
          <w:sz w:val="24"/>
          <w:szCs w:val="24"/>
          <w:rtl/>
        </w:rPr>
        <w:t xml:space="preserve">ومن ثم يمكن القول إنه فيما يتعلق بحقوق المرأة هناك فجوة بين القانون والواقع الكويتي حيث أن المرأة تواجه حواجز واقعية للتعبير عن نفسها بحرية. وفي هذا الصدد فإن مشاركة المرأة في المجالين العام والسياسي غير مجرمة قانونًا في الكويت ولكن </w:t>
      </w:r>
      <w:r w:rsidRPr="006D63E3">
        <w:rPr>
          <w:rFonts w:ascii="Dubai" w:eastAsia="Dubai" w:hAnsi="Dubai" w:cs="Dubai"/>
          <w:sz w:val="24"/>
          <w:szCs w:val="24"/>
          <w:rtl/>
        </w:rPr>
        <w:lastRenderedPageBreak/>
        <w:t>القيود الاجتماعية والثقافية تشكل حواجز نظامية أمامها.</w:t>
      </w:r>
      <w:r w:rsidRPr="006D63E3">
        <w:rPr>
          <w:rFonts w:ascii="Dubai" w:eastAsia="Dubai" w:hAnsi="Dubai" w:cs="Dubai"/>
          <w:sz w:val="24"/>
          <w:szCs w:val="24"/>
          <w:vertAlign w:val="superscript"/>
        </w:rPr>
        <w:footnoteReference w:id="12"/>
      </w:r>
      <w:r w:rsidRPr="006D63E3">
        <w:rPr>
          <w:rFonts w:ascii="Dubai" w:eastAsia="Dubai" w:hAnsi="Dubai" w:cs="Dubai"/>
          <w:sz w:val="24"/>
          <w:szCs w:val="24"/>
          <w:rtl/>
        </w:rPr>
        <w:t xml:space="preserve"> حيث أن الطريقة المشروعة الوحيدة للنساء للمشاركة في النشاط العام هي من خلال المجموعات النسائية. ولسوء الحظ مثل جميع الجمعيات التطوعية في الكويت تخضع المجموعات النسائية لسيطرة الدولة وتمويلها. وبالتالي فهي تتوافق إلى حد كبير مع سياسات الدولة الرسمية التي تؤكد على الأدوار التقليدية للمرأة بدلا من تمكينها السياسي والاجتماعي.</w:t>
      </w:r>
      <w:r w:rsidRPr="006D63E3">
        <w:rPr>
          <w:rFonts w:ascii="Dubai" w:eastAsia="Dubai" w:hAnsi="Dubai" w:cs="Dubai"/>
          <w:color w:val="0563C1"/>
          <w:sz w:val="24"/>
          <w:szCs w:val="24"/>
        </w:rPr>
        <w:t xml:space="preserve"> </w:t>
      </w:r>
      <w:r w:rsidRPr="006D63E3">
        <w:rPr>
          <w:rFonts w:ascii="Dubai" w:eastAsia="Dubai" w:hAnsi="Dubai" w:cs="Dubai"/>
          <w:sz w:val="24"/>
          <w:szCs w:val="24"/>
          <w:vertAlign w:val="superscript"/>
        </w:rPr>
        <w:footnoteReference w:id="13"/>
      </w:r>
    </w:p>
    <w:p w14:paraId="11DB871D" w14:textId="0382DF73" w:rsidR="006D63E3" w:rsidRPr="006D63E3" w:rsidRDefault="006D63E3" w:rsidP="006D63E3">
      <w:pPr>
        <w:bidi/>
        <w:spacing w:line="240" w:lineRule="auto"/>
        <w:jc w:val="both"/>
        <w:rPr>
          <w:rFonts w:ascii="Dubai" w:eastAsia="Dubai" w:hAnsi="Dubai" w:cs="Dubai"/>
          <w:color w:val="FF0000"/>
          <w:sz w:val="24"/>
          <w:szCs w:val="24"/>
        </w:rPr>
      </w:pPr>
      <w:r w:rsidRPr="006D63E3">
        <w:rPr>
          <w:rFonts w:ascii="Dubai" w:eastAsia="Dubai" w:hAnsi="Dubai" w:cs="Dubai"/>
          <w:color w:val="000000"/>
          <w:sz w:val="24"/>
          <w:szCs w:val="24"/>
          <w:rtl/>
        </w:rPr>
        <w:t xml:space="preserve">أما فيما يتعلق بالوصول للوظائف القيادية تؤكد </w:t>
      </w:r>
      <w:r w:rsidRPr="006D63E3">
        <w:rPr>
          <w:rFonts w:ascii="Dubai" w:eastAsia="Dubai" w:hAnsi="Dubai" w:cs="Dubai"/>
          <w:sz w:val="24"/>
          <w:szCs w:val="24"/>
          <w:rtl/>
        </w:rPr>
        <w:t>تقارير محلية على وصول نسبة تمثيل المرأة في المناصب القيادية بالكويت (وزير - وكيل وزارة - وكيل مساعد) إلى 28 % في جميع قطاعات الدولة، كما تضاعف أعداد النساء في قطاعات الشرطة والسلك الدبلوماسي والقطاع النفطي والقضاء بالإضافة إلى شغل المرأة ما نسبته 47 % من إجمالي المناصب القيادية والإشرافية في وزارة الدفاع ونسبة 43 % من قطاع الهندسة العسكرية. كما أن جهود دولة الكويت ساهمت في دعم تمكين المرأة الاقتصادي إلى وصول نسبة عملهًا إلى 41 % من المناصب القيادية والإشرافية في بنك الكويت المركزي، و26 % من الوظائف القيادية والإشرافية في القطاع المصرفي و35 في المئة من قوة العمل في البنوك الكويتية.</w:t>
      </w:r>
      <w:r w:rsidRPr="006D63E3">
        <w:rPr>
          <w:rFonts w:ascii="Dubai" w:eastAsia="Dubai" w:hAnsi="Dubai" w:cs="Dubai"/>
          <w:sz w:val="24"/>
          <w:szCs w:val="24"/>
          <w:vertAlign w:val="superscript"/>
        </w:rPr>
        <w:footnoteReference w:id="14"/>
      </w:r>
      <w:r w:rsidRPr="006D63E3">
        <w:rPr>
          <w:rFonts w:ascii="Dubai" w:eastAsia="Dubai" w:hAnsi="Dubai" w:cs="Dubai"/>
          <w:sz w:val="24"/>
          <w:szCs w:val="24"/>
          <w:rtl/>
        </w:rPr>
        <w:t>وفي أغسطس 2022 أعلنت وزارة الداخلية عن سياسة جديدة يتم بموجبها تسجيل جميع المواطنين الكويتيين الذين تبلغ أعمارهم 21 عاما أو أكثر تلقائيا كناخبين وهو ما يفيد النساء من خلال ضمان عدم منعهن من التسجيل بسبب</w:t>
      </w:r>
      <w:r>
        <w:rPr>
          <w:rFonts w:ascii="Dubai" w:eastAsia="Dubai" w:hAnsi="Dubai" w:cs="Dubai"/>
          <w:sz w:val="24"/>
          <w:szCs w:val="24"/>
          <w:rtl/>
        </w:rPr>
        <w:t xml:space="preserve"> الضغط من أفراد الأسرة الذكور.</w:t>
      </w:r>
    </w:p>
    <w:p w14:paraId="2DDB1271" w14:textId="77777777" w:rsidR="006D63E3" w:rsidRPr="006D63E3" w:rsidRDefault="006D63E3" w:rsidP="006D63E3">
      <w:pPr>
        <w:pBdr>
          <w:bottom w:val="single" w:sz="4" w:space="1" w:color="000000"/>
        </w:pBdr>
        <w:bidi/>
        <w:spacing w:line="240" w:lineRule="auto"/>
        <w:jc w:val="both"/>
        <w:rPr>
          <w:rFonts w:ascii="Dubai" w:eastAsia="Dubai" w:hAnsi="Dubai" w:cs="Dubai"/>
          <w:bCs/>
          <w:color w:val="FF0000"/>
          <w:sz w:val="24"/>
          <w:szCs w:val="24"/>
        </w:rPr>
      </w:pPr>
      <w:r w:rsidRPr="006D63E3">
        <w:rPr>
          <w:rFonts w:ascii="Dubai" w:eastAsia="Dubai" w:hAnsi="Dubai" w:cs="Dubai"/>
          <w:bCs/>
          <w:color w:val="FF0000"/>
          <w:sz w:val="24"/>
          <w:szCs w:val="24"/>
          <w:rtl/>
        </w:rPr>
        <w:t>ثالثاً: منح الجنسية (المادة التاسعة)</w:t>
      </w:r>
    </w:p>
    <w:p w14:paraId="485F47A6"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تلاحظ مؤسسة ماعت إن المرأة الكويتية تتعرض لتمييز واضح فيما يتعلق بمنح الجنسية أسوة بالرجل. وهو ما يتعارض مع نص المادة التاسعة من الاتفاقية التي تكفل منح المرأة حقوقًا مساويا لحقوق الرجل في اكتساب جنسيتها أو تغييرها أو الاحتفاظ بها وتتجلى أبرز معالم التمييز بين الجنسين في الكويت، في منحها للرجال فقط حق منح الجنسية لأطفالهم بموجب قانون الجنسية الساري في الدولة في الوقت الحالي. وبحسب الإحصاءات الرسمية في 2021 هناك نحو 20 ألف امرأة كويتية متزوجة من أجنبي مع غياب أرقام رسمية تحصي عدد الأطفال الكويتيين الذين ولدوا من هذه الزيجات ولا يتمتعون بالتالي بحقوق المواطنة وتتم معاملتهم كمغتربين في وطنهم.</w:t>
      </w:r>
      <w:r w:rsidRPr="006D63E3">
        <w:rPr>
          <w:rFonts w:ascii="Dubai" w:eastAsia="Dubai" w:hAnsi="Dubai" w:cs="Dubai"/>
          <w:sz w:val="24"/>
          <w:szCs w:val="24"/>
          <w:vertAlign w:val="superscript"/>
        </w:rPr>
        <w:footnoteReference w:id="15"/>
      </w:r>
    </w:p>
    <w:p w14:paraId="0A4C99E7"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وتستند الكويت في عدم منح جنسية الام الكويتية لأبنائها طبقا لما أقرته في تقريرها الوطني أن الجنسية الكويتية تقوم على أساس رابط الدم وهي تمنح بالولادة لأب كويتي الجنسية حيث أن المستقر عليه عالميا أن الجنسية هي علاقة قانونية بين الفرد والدولة وتدخل في صميم المسائل والأعمال المتعلقة بسيادة الدولة كما أكدت على حق كل دولة الاحتفاظ بحرية تشريع قوانين الجنسية. وانطلاقا من ذلك نظمت المادة (2) من المرسوم الأميري رقم 15 لسنة 1959 بقانون الجنسية الكويتية شروط منح الجنسية وهي أن يكون كويتيا كل من ولد في الكويت أو في الخارج لأب كويتي.</w:t>
      </w:r>
      <w:r w:rsidRPr="006D63E3">
        <w:rPr>
          <w:rFonts w:ascii="Dubai" w:eastAsia="Dubai" w:hAnsi="Dubai" w:cs="Dubai"/>
          <w:sz w:val="24"/>
          <w:szCs w:val="24"/>
          <w:vertAlign w:val="superscript"/>
        </w:rPr>
        <w:t xml:space="preserve"> </w:t>
      </w:r>
      <w:r w:rsidRPr="006D63E3">
        <w:rPr>
          <w:rFonts w:ascii="Dubai" w:eastAsia="Dubai" w:hAnsi="Dubai" w:cs="Dubai"/>
          <w:sz w:val="24"/>
          <w:szCs w:val="24"/>
          <w:vertAlign w:val="superscript"/>
        </w:rPr>
        <w:footnoteReference w:id="16"/>
      </w:r>
    </w:p>
    <w:p w14:paraId="37B8EA4A" w14:textId="77777777" w:rsidR="006D63E3" w:rsidRPr="006D63E3" w:rsidRDefault="006D63E3" w:rsidP="006D63E3">
      <w:pPr>
        <w:bidi/>
        <w:spacing w:line="240" w:lineRule="auto"/>
        <w:jc w:val="both"/>
        <w:rPr>
          <w:rFonts w:ascii="Dubai" w:eastAsia="Dubai" w:hAnsi="Dubai" w:cs="Dubai"/>
          <w:sz w:val="24"/>
          <w:szCs w:val="24"/>
          <w:vertAlign w:val="superscript"/>
        </w:rPr>
      </w:pPr>
      <w:r w:rsidRPr="006D63E3">
        <w:rPr>
          <w:rFonts w:ascii="Dubai" w:eastAsia="Dubai" w:hAnsi="Dubai" w:cs="Dubai"/>
          <w:sz w:val="24"/>
          <w:szCs w:val="24"/>
          <w:rtl/>
        </w:rPr>
        <w:lastRenderedPageBreak/>
        <w:t>إلا أن المشرع الكويتي قد منح المرأة الكويتية حق منح الجنسية لأبنائها من خلال تعديلات قانون الجنسية الجديد الصادرة في 2022 في حالات ووفقا شروط محددة تلك الشروط التي نصت عليها الفقرة الثانية من المادة الخامسة من قانون الجنسية التي تنص على المولود من أم كويتية، المحافظ على الإقامة فيها حتى بلوغه سن الرشد إذا كان أبوه الأجنبي أسيرا أو قد طلق أمه طلاقا بائنا أو توفي عنها وبالتالي سمـح المشرع بأن تمرر المرأة الكويتية جنسيتها إلى أبنائها في هذه الحالات</w:t>
      </w:r>
      <w:r w:rsidRPr="006D63E3">
        <w:rPr>
          <w:rFonts w:ascii="Dubai" w:eastAsia="Dubai" w:hAnsi="Dubai" w:cs="Dubai"/>
          <w:sz w:val="24"/>
          <w:szCs w:val="24"/>
          <w:vertAlign w:val="superscript"/>
        </w:rPr>
        <w:t>.</w:t>
      </w:r>
      <w:r w:rsidRPr="006D63E3">
        <w:rPr>
          <w:rFonts w:ascii="Dubai" w:eastAsia="Dubai" w:hAnsi="Dubai" w:cs="Dubai"/>
          <w:sz w:val="24"/>
          <w:szCs w:val="24"/>
          <w:vertAlign w:val="superscript"/>
        </w:rPr>
        <w:footnoteReference w:id="17"/>
      </w:r>
    </w:p>
    <w:p w14:paraId="4C00FBA3"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ولكن بالنظر إلى هذه الشروط يمكن القول إنه لكي تمنح المرأة الكويتية المتزوجة من أجنبي جنسيتها لأطفالها فإن هذه المادة تشترط تفكك أسرة المرأة الكويتية عن طريق موت زوجها غير الكويتي أو الطلاق منه، حتى يتم النظر في ملف تجنيس أبنائها الذي لا يتم إلا بناء على عرض وموافقة وزير الداخلية وهي تعد شروطًا تعسفيًا للمساواة بين الجنسين في منح الجنسية. كما أنه يترتب على عدم منح الجنسية أن يعامل الأبناء كمغتربين في دولتهم من ثم لا يحق لهم طبقا لقوانين ديوان الخدمة المدنية التعيين أو حتى الحصول على امتيازات في الرواتب والعلاوات، لكن يعاملون كأجانب وفقا لجنسيات آبائهم، وذلك على الرغم من صدور المرسوم رقم (17-2017) في شأن نظام الخدمة المدنية والذي ينص على أفضلية التعيين لأبناء الكويتيات بعد الكويتيين مباشرة، إلا أن هذا المرسوم لا يطبق في الواقع. فضلا عن تعرضهم لشبح الترحيل وخاصة أن قوانين إقامة الأجانب لا تستثني أبناء الكويتيات وأزواجهن من الإبعاد الإداري، وهذا يعني المزيد من الضغط النفسي على المرأة الكويتية التي قد تجد نفسها مجبرة على الهجرة من بلدها في يوم من الأيام لتلحق بأبنائها الذين تم إبعادهم.</w:t>
      </w:r>
      <w:r w:rsidRPr="006D63E3">
        <w:rPr>
          <w:rFonts w:ascii="Dubai" w:eastAsia="Dubai" w:hAnsi="Dubai" w:cs="Dubai"/>
          <w:sz w:val="24"/>
          <w:szCs w:val="24"/>
          <w:vertAlign w:val="superscript"/>
        </w:rPr>
        <w:footnoteReference w:id="18"/>
      </w:r>
    </w:p>
    <w:p w14:paraId="5CC2857D" w14:textId="77777777" w:rsidR="006D63E3" w:rsidRPr="006D63E3" w:rsidRDefault="006D63E3" w:rsidP="006D63E3">
      <w:pPr>
        <w:pBdr>
          <w:bottom w:val="single" w:sz="4" w:space="1" w:color="000000"/>
        </w:pBdr>
        <w:bidi/>
        <w:spacing w:line="240" w:lineRule="auto"/>
        <w:jc w:val="both"/>
        <w:rPr>
          <w:rFonts w:ascii="Dubai" w:eastAsia="Dubai" w:hAnsi="Dubai" w:cs="Dubai"/>
          <w:bCs/>
          <w:color w:val="FF0000"/>
          <w:sz w:val="24"/>
          <w:szCs w:val="24"/>
        </w:rPr>
      </w:pPr>
      <w:r w:rsidRPr="006D63E3">
        <w:rPr>
          <w:rFonts w:ascii="Dubai" w:eastAsia="Dubai" w:hAnsi="Dubai" w:cs="Dubai"/>
          <w:bCs/>
          <w:color w:val="FF0000"/>
          <w:sz w:val="24"/>
          <w:szCs w:val="24"/>
          <w:rtl/>
        </w:rPr>
        <w:t>رابعاً: الرعاية الصحية: المادة 12</w:t>
      </w:r>
    </w:p>
    <w:p w14:paraId="2D87EE1E"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أطلعت مؤسسة ماعت على التدابير التي قامت بها الكويت لضمان الرعاية الصحية للنساء في نطاق أراضيها، مع ذلك تلاحظ مؤسسة ماعت مجموعة من الممارسات التمييزية التي فرضتها الكويت ضد النساء الوافدات أو المقيمات حيث فرضت وزارة الصحة الكويتية في مايو 2023 إجراءات تمييزية جديدة على الحقوق الصحية للمقيمين في دولة الكويت، وذلك عن طريق فرض رسومًا مقابل الحصول على أكياس دم، ورسومًا أخرى مقابل إجراء الفحوصات التي تتم في مختبرات إدارة خدمات نقل الدم، وهذا القرار يضر بشكل مباشر بحالات الطوارئ التي تكون بأمس الحاجة لنقل الدم من أجل الحفاظ على حياتها، خاصة النساء في حالات الولادة، وبذلك فإن هذه الإجراءات التمييزية تخالف المادة 12 من اتفاقية القضاء على جميع أشكال التمييز ضد المرأة والتي نصت على أن "تتخذ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14:paraId="52C6C958" w14:textId="77777777" w:rsidR="006D63E3" w:rsidRPr="006D63E3" w:rsidRDefault="006D63E3" w:rsidP="006D63E3">
      <w:pPr>
        <w:pBdr>
          <w:bottom w:val="single" w:sz="4" w:space="1" w:color="auto"/>
        </w:pBdr>
        <w:bidi/>
        <w:spacing w:line="240" w:lineRule="auto"/>
        <w:jc w:val="both"/>
        <w:rPr>
          <w:rFonts w:ascii="Dubai" w:eastAsia="Dubai" w:hAnsi="Dubai" w:cs="Dubai"/>
          <w:bCs/>
          <w:color w:val="FF0000"/>
          <w:sz w:val="24"/>
          <w:szCs w:val="24"/>
        </w:rPr>
      </w:pPr>
      <w:r w:rsidRPr="006D63E3">
        <w:rPr>
          <w:rFonts w:ascii="Dubai" w:eastAsia="Dubai" w:hAnsi="Dubai" w:cs="Dubai"/>
          <w:bCs/>
          <w:color w:val="FF0000"/>
          <w:sz w:val="24"/>
          <w:szCs w:val="24"/>
          <w:rtl/>
        </w:rPr>
        <w:t>خامساً: النساء من فئة البدون</w:t>
      </w:r>
    </w:p>
    <w:p w14:paraId="2F2703A5" w14:textId="77777777"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تواجه النساء في الكويت اللواتي ينتمين لفئة البدون أشكالا إضافية من المعاملة غير العادلة في الدوائر القانونية والاجتماعية، حيث أفادت التقارير بأن نساء وفتيات البدون يتعرضن للتحرش الجنسي من مسؤولين حكوميين عند محاولتهن الحصول على وثائق. كما أنه لا يمكن لنساء البدون المطالبة بحقوقهن القانونية عند الطلاق مثل حضانة أطفالهن لأن السلطات لا تسجل الزواج في كثير من الأحيان. وخاصة إذا كان الزواج بين اثنين من البدون غير المسجلين.</w:t>
      </w:r>
      <w:r w:rsidRPr="006D63E3">
        <w:rPr>
          <w:rFonts w:ascii="Dubai" w:eastAsia="Dubai" w:hAnsi="Dubai" w:cs="Dubai"/>
          <w:sz w:val="24"/>
          <w:szCs w:val="24"/>
          <w:vertAlign w:val="superscript"/>
        </w:rPr>
        <w:footnoteReference w:id="19"/>
      </w:r>
    </w:p>
    <w:p w14:paraId="06C3A025" w14:textId="16BB5E55"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lastRenderedPageBreak/>
        <w:t>كما لا زالت المرأة في البدون تعاني من التمييز ضدها وضد ابنائها في الحق في التعليم والعمل والرعاية الصحية والحق في الحصول على جواز السفر وحرية التنقل، وحتى الأمهات المواطنات لا يحق لهن نقل جنسيتهن إلى أطفالهن إذا كان والد الطفل من البدون. وهذا يترك الطفل الذي يولد عديم الجنسية ويديم دورة لا نهاية لها بغض النظر عمن يتزوج البدون، وهو شكل متطرف من أشكال الظ</w:t>
      </w:r>
      <w:r>
        <w:rPr>
          <w:rFonts w:ascii="Dubai" w:eastAsia="Dubai" w:hAnsi="Dubai" w:cs="Dubai"/>
          <w:sz w:val="24"/>
          <w:szCs w:val="24"/>
          <w:rtl/>
        </w:rPr>
        <w:t>لم وعدم المساواة بالنسبة للمرأة</w:t>
      </w:r>
      <w:r w:rsidRPr="006D63E3">
        <w:rPr>
          <w:rFonts w:ascii="Dubai" w:eastAsia="Dubai" w:hAnsi="Dubai" w:cs="Dubai"/>
          <w:sz w:val="24"/>
          <w:szCs w:val="24"/>
          <w:rtl/>
        </w:rPr>
        <w:t>.</w:t>
      </w:r>
      <w:r w:rsidRPr="006D63E3">
        <w:rPr>
          <w:rFonts w:ascii="Dubai" w:eastAsia="Dubai" w:hAnsi="Dubai" w:cs="Dubai"/>
          <w:sz w:val="24"/>
          <w:szCs w:val="24"/>
          <w:vertAlign w:val="superscript"/>
        </w:rPr>
        <w:footnoteReference w:id="20"/>
      </w:r>
    </w:p>
    <w:p w14:paraId="19E35EB2" w14:textId="5F02A104" w:rsidR="006D63E3" w:rsidRPr="006D63E3" w:rsidRDefault="006D63E3" w:rsidP="006D63E3">
      <w:pPr>
        <w:bidi/>
        <w:spacing w:line="240" w:lineRule="auto"/>
        <w:jc w:val="both"/>
        <w:rPr>
          <w:rFonts w:ascii="Dubai" w:eastAsia="Dubai" w:hAnsi="Dubai" w:cs="Dubai"/>
          <w:sz w:val="24"/>
          <w:szCs w:val="24"/>
        </w:rPr>
      </w:pPr>
      <w:r w:rsidRPr="006D63E3">
        <w:rPr>
          <w:rFonts w:ascii="Dubai" w:eastAsia="Dubai" w:hAnsi="Dubai" w:cs="Dubai"/>
          <w:sz w:val="24"/>
          <w:szCs w:val="24"/>
          <w:rtl/>
        </w:rPr>
        <w:t>وبالتالي يمكن القول إن التمييز المنهجي الذي تمارسه الكويت ضد البدون بشكل عام والنساء بشكل خاص تنتهك التزاماتها القانونية ليس فقط بموجب اتفاقية القضاء على التمييز ضد المرأة وإنما التزاماتها المقررة في الاتفاقية الدولية للقضاء على جميع أشكال التمييز العنصري واتفاقية حقوق الطفل والعهد الدولي الخاص بالحقوق الاقتصادية والاجتماعية والثقافية والتي تعد الكويت طرفًا في هذه الاتفاقيات.</w:t>
      </w:r>
    </w:p>
    <w:p w14:paraId="42B48F6E" w14:textId="2D1E94DC" w:rsidR="006D63E3" w:rsidRDefault="006D63E3" w:rsidP="006D63E3">
      <w:pPr>
        <w:bidi/>
        <w:spacing w:line="240" w:lineRule="auto"/>
        <w:jc w:val="both"/>
        <w:rPr>
          <w:rFonts w:ascii="Dubai" w:eastAsia="Dubai" w:hAnsi="Dubai" w:cs="Dubai"/>
          <w:sz w:val="24"/>
          <w:szCs w:val="24"/>
          <w:rtl/>
        </w:rPr>
      </w:pPr>
      <w:r w:rsidRPr="006D63E3">
        <w:rPr>
          <w:rFonts w:ascii="Dubai" w:eastAsia="Dubai" w:hAnsi="Dubai" w:cs="Dubai"/>
          <w:sz w:val="24"/>
          <w:szCs w:val="24"/>
          <w:rtl/>
        </w:rPr>
        <w:t>ومن ثم تطالب مؤسسة ماعت حكومة الكويت بضرورة أن تجري مراجعة شاملة للقوانين والممارسات القائمة لإلغاء أو تعديل لجميع الأحكام التي تنطوي على تمييز على أساس نوع الجنس بما في ذلك قانون الأحوال الشخصية رقم 51 وقانون الجنسية. كما تجدد المؤسسة التنبيه على أن وضع البدون وخاصة النساء منهم في الكويت يحتاج إلى مراجعة، لدى البلاد قوانين تمييزية ضد غير المواطنين وتتبع استراتيجية الترحيل القسري ضد البدون، كما تطالب بضرورة الالتزام بأحكام اتفاقية الأمم المتحدة المتعلقة بوضع الأشخاص عديمي الجنسية (1954) اتفاقية خفض حالات انعدام الجنسية (1961).</w:t>
      </w:r>
    </w:p>
    <w:p w14:paraId="09417552" w14:textId="77777777" w:rsidR="006D63E3" w:rsidRPr="006D63E3" w:rsidRDefault="006D63E3" w:rsidP="006D63E3">
      <w:pPr>
        <w:bidi/>
        <w:spacing w:line="240" w:lineRule="auto"/>
        <w:jc w:val="both"/>
        <w:rPr>
          <w:rFonts w:ascii="Dubai" w:eastAsia="Dubai" w:hAnsi="Dubai" w:cs="Dubai"/>
          <w:sz w:val="24"/>
          <w:szCs w:val="24"/>
        </w:rPr>
      </w:pPr>
    </w:p>
    <w:p w14:paraId="23EF54B7" w14:textId="77777777" w:rsidR="006D63E3" w:rsidRPr="006D63E3" w:rsidRDefault="006D63E3" w:rsidP="006D63E3">
      <w:pPr>
        <w:pBdr>
          <w:bottom w:val="single" w:sz="4" w:space="1" w:color="auto"/>
        </w:pBdr>
        <w:bidi/>
        <w:spacing w:line="240" w:lineRule="auto"/>
        <w:jc w:val="both"/>
        <w:rPr>
          <w:rFonts w:ascii="Dubai" w:eastAsia="Dubai" w:hAnsi="Dubai" w:cs="Dubai"/>
          <w:bCs/>
          <w:color w:val="FF0000"/>
          <w:sz w:val="24"/>
          <w:szCs w:val="24"/>
        </w:rPr>
      </w:pPr>
      <w:bookmarkStart w:id="0" w:name="_GoBack"/>
      <w:r w:rsidRPr="006D63E3">
        <w:rPr>
          <w:rFonts w:ascii="Dubai" w:eastAsia="Dubai" w:hAnsi="Dubai" w:cs="Dubai"/>
          <w:bCs/>
          <w:color w:val="FF0000"/>
          <w:sz w:val="24"/>
          <w:szCs w:val="24"/>
          <w:rtl/>
        </w:rPr>
        <w:t>ومن ثم توصي مؤسسة ماعت بالآتي:</w:t>
      </w:r>
    </w:p>
    <w:bookmarkEnd w:id="0"/>
    <w:p w14:paraId="2F91BD95" w14:textId="77777777" w:rsidR="006D63E3" w:rsidRPr="006D63E3" w:rsidRDefault="006D63E3" w:rsidP="006D63E3">
      <w:pPr>
        <w:numPr>
          <w:ilvl w:val="0"/>
          <w:numId w:val="33"/>
        </w:numPr>
        <w:pBdr>
          <w:top w:val="nil"/>
          <w:left w:val="nil"/>
          <w:bottom w:val="nil"/>
          <w:right w:val="nil"/>
          <w:between w:val="nil"/>
        </w:pBdr>
        <w:bidi/>
        <w:spacing w:after="0" w:line="240" w:lineRule="auto"/>
        <w:ind w:left="180"/>
        <w:jc w:val="both"/>
        <w:rPr>
          <w:rFonts w:ascii="Dubai" w:eastAsia="Dubai" w:hAnsi="Dubai" w:cs="Dubai"/>
          <w:color w:val="000000"/>
          <w:sz w:val="24"/>
          <w:szCs w:val="24"/>
        </w:rPr>
      </w:pPr>
      <w:r w:rsidRPr="006D63E3">
        <w:rPr>
          <w:rFonts w:ascii="Dubai" w:eastAsia="Dubai" w:hAnsi="Dubai" w:cs="Dubai"/>
          <w:color w:val="000000"/>
          <w:sz w:val="24"/>
          <w:szCs w:val="24"/>
          <w:rtl/>
        </w:rPr>
        <w:t xml:space="preserve">تشجيع الكويت على إعادة </w:t>
      </w:r>
      <w:r w:rsidRPr="006D63E3">
        <w:rPr>
          <w:rFonts w:ascii="Dubai" w:eastAsia="Dubai" w:hAnsi="Dubai" w:cs="Dubai"/>
          <w:sz w:val="24"/>
          <w:szCs w:val="24"/>
          <w:rtl/>
        </w:rPr>
        <w:t>النظر</w:t>
      </w:r>
      <w:r w:rsidRPr="006D63E3">
        <w:rPr>
          <w:rFonts w:ascii="Dubai" w:eastAsia="Dubai" w:hAnsi="Dubai" w:cs="Dubai"/>
          <w:color w:val="000000"/>
          <w:sz w:val="24"/>
          <w:szCs w:val="24"/>
          <w:rtl/>
        </w:rPr>
        <w:t xml:space="preserve"> في قانون الجنسية من أجل ضمان المساواة بين المرأة والرجل من أجل تمكين المرأة الكويتية من منح جنسيتها لأبنائها وزوجها غير الكويتي أسوة بالرجل.</w:t>
      </w:r>
    </w:p>
    <w:p w14:paraId="0522D373" w14:textId="02E7F850" w:rsidR="006D63E3" w:rsidRPr="006D63E3" w:rsidRDefault="006D63E3" w:rsidP="006D63E3">
      <w:pPr>
        <w:numPr>
          <w:ilvl w:val="0"/>
          <w:numId w:val="34"/>
        </w:numPr>
        <w:pBdr>
          <w:top w:val="nil"/>
          <w:left w:val="nil"/>
          <w:bottom w:val="nil"/>
          <w:right w:val="nil"/>
          <w:between w:val="nil"/>
        </w:pBdr>
        <w:bidi/>
        <w:spacing w:after="0" w:line="240" w:lineRule="auto"/>
        <w:ind w:left="180"/>
        <w:jc w:val="both"/>
        <w:rPr>
          <w:rFonts w:ascii="Dubai" w:eastAsia="Dubai" w:hAnsi="Dubai" w:cs="Dubai"/>
          <w:color w:val="000000"/>
          <w:sz w:val="24"/>
          <w:szCs w:val="24"/>
        </w:rPr>
      </w:pPr>
      <w:r w:rsidRPr="006D63E3">
        <w:rPr>
          <w:rFonts w:ascii="Dubai" w:eastAsia="Dubai" w:hAnsi="Dubai" w:cs="Dubai"/>
          <w:color w:val="000000"/>
          <w:sz w:val="24"/>
          <w:szCs w:val="24"/>
          <w:rtl/>
        </w:rPr>
        <w:t>ضرورة معالجة أوضاع النساء من البدون وإلغاء كافة مظاهر التمييز ضدهن ومنحها كافة الحقوق الاقتصادية والاجتماعية</w:t>
      </w:r>
    </w:p>
    <w:p w14:paraId="24169FD9" w14:textId="77777777" w:rsidR="006D63E3" w:rsidRPr="006D63E3" w:rsidRDefault="006D63E3" w:rsidP="006D63E3">
      <w:pPr>
        <w:numPr>
          <w:ilvl w:val="0"/>
          <w:numId w:val="34"/>
        </w:numPr>
        <w:pBdr>
          <w:top w:val="nil"/>
          <w:left w:val="nil"/>
          <w:bottom w:val="nil"/>
          <w:right w:val="nil"/>
          <w:between w:val="nil"/>
        </w:pBdr>
        <w:bidi/>
        <w:spacing w:after="0" w:line="240" w:lineRule="auto"/>
        <w:ind w:left="180"/>
        <w:jc w:val="both"/>
        <w:rPr>
          <w:rFonts w:ascii="Dubai" w:eastAsia="Dubai" w:hAnsi="Dubai" w:cs="Dubai"/>
          <w:color w:val="000000"/>
          <w:sz w:val="24"/>
          <w:szCs w:val="24"/>
        </w:rPr>
      </w:pPr>
      <w:r w:rsidRPr="006D63E3">
        <w:rPr>
          <w:rFonts w:ascii="Dubai" w:eastAsia="Dubai" w:hAnsi="Dubai" w:cs="Dubai"/>
          <w:color w:val="000000"/>
          <w:sz w:val="24"/>
          <w:szCs w:val="24"/>
          <w:rtl/>
        </w:rPr>
        <w:t>تشجيع الكويت على إجراء تعديل أساسي على قانون العمال المنزليين لحماية جميع أشكال سوء المعاملة من خلال الامتثال للمبادئ التوجيهية الدولية لحماية الأفراد طوال عملية الهجرة بأكملها.</w:t>
      </w:r>
    </w:p>
    <w:p w14:paraId="12FEFCBC" w14:textId="182DD115" w:rsidR="006D63E3" w:rsidRPr="006D63E3" w:rsidRDefault="006D63E3" w:rsidP="006D63E3">
      <w:pPr>
        <w:numPr>
          <w:ilvl w:val="0"/>
          <w:numId w:val="34"/>
        </w:numPr>
        <w:pBdr>
          <w:top w:val="nil"/>
          <w:left w:val="nil"/>
          <w:bottom w:val="nil"/>
          <w:right w:val="nil"/>
          <w:between w:val="nil"/>
        </w:pBdr>
        <w:bidi/>
        <w:spacing w:after="0" w:line="240" w:lineRule="auto"/>
        <w:ind w:left="180"/>
        <w:jc w:val="both"/>
        <w:rPr>
          <w:rFonts w:ascii="Dubai" w:eastAsia="Dubai" w:hAnsi="Dubai" w:cs="Dubai"/>
          <w:color w:val="000000"/>
          <w:sz w:val="24"/>
          <w:szCs w:val="24"/>
        </w:rPr>
      </w:pPr>
      <w:r w:rsidRPr="006D63E3">
        <w:rPr>
          <w:rFonts w:ascii="Dubai" w:eastAsia="Dubai" w:hAnsi="Dubai" w:cs="Dubai"/>
          <w:color w:val="000000"/>
          <w:sz w:val="24"/>
          <w:szCs w:val="24"/>
          <w:rtl/>
        </w:rPr>
        <w:t>النظر في تخصيص نظام الحصص " الكوتا" لضمان المشاركة السياسية للمرأة في الكويت</w:t>
      </w:r>
    </w:p>
    <w:p w14:paraId="5B3274EA" w14:textId="30BAD911" w:rsidR="006D63E3" w:rsidRPr="006D63E3" w:rsidRDefault="006D63E3" w:rsidP="006D63E3">
      <w:pPr>
        <w:numPr>
          <w:ilvl w:val="0"/>
          <w:numId w:val="34"/>
        </w:numPr>
        <w:pBdr>
          <w:top w:val="nil"/>
          <w:left w:val="nil"/>
          <w:bottom w:val="nil"/>
          <w:right w:val="nil"/>
          <w:between w:val="nil"/>
        </w:pBdr>
        <w:bidi/>
        <w:spacing w:after="0" w:line="240" w:lineRule="auto"/>
        <w:ind w:left="180"/>
        <w:jc w:val="both"/>
        <w:rPr>
          <w:rFonts w:ascii="Dubai" w:eastAsia="Dubai" w:hAnsi="Dubai" w:cs="Dubai"/>
          <w:color w:val="000000"/>
          <w:sz w:val="24"/>
          <w:szCs w:val="24"/>
        </w:rPr>
      </w:pPr>
      <w:r w:rsidRPr="006D63E3">
        <w:rPr>
          <w:rFonts w:ascii="Dubai" w:eastAsia="Dubai" w:hAnsi="Dubai" w:cs="Dubai"/>
          <w:color w:val="000000"/>
          <w:sz w:val="24"/>
          <w:szCs w:val="24"/>
          <w:rtl/>
        </w:rPr>
        <w:t>ضرورة إتاحة الحق للعمال في تقديم شكوى والمطالبة بالحماية في حالة سوء المعاملة بغض النظر عن خطورتها.</w:t>
      </w:r>
    </w:p>
    <w:p w14:paraId="39BC0CD3" w14:textId="77777777" w:rsidR="006D63E3" w:rsidRPr="006D63E3" w:rsidRDefault="006D63E3" w:rsidP="006D63E3">
      <w:pPr>
        <w:numPr>
          <w:ilvl w:val="0"/>
          <w:numId w:val="34"/>
        </w:numPr>
        <w:pBdr>
          <w:top w:val="nil"/>
          <w:left w:val="nil"/>
          <w:bottom w:val="nil"/>
          <w:right w:val="nil"/>
          <w:between w:val="nil"/>
        </w:pBdr>
        <w:bidi/>
        <w:spacing w:after="200" w:line="240" w:lineRule="auto"/>
        <w:ind w:left="180"/>
        <w:jc w:val="both"/>
        <w:rPr>
          <w:rFonts w:ascii="Dubai" w:eastAsia="Dubai" w:hAnsi="Dubai" w:cs="Dubai"/>
          <w:color w:val="000000"/>
          <w:sz w:val="24"/>
          <w:szCs w:val="24"/>
        </w:rPr>
      </w:pPr>
      <w:r w:rsidRPr="006D63E3">
        <w:rPr>
          <w:rFonts w:ascii="Dubai" w:eastAsia="Dubai" w:hAnsi="Dubai" w:cs="Dubai"/>
          <w:color w:val="000000"/>
          <w:sz w:val="24"/>
          <w:szCs w:val="24"/>
          <w:rtl/>
        </w:rPr>
        <w:t>حث الكويت على وضع استراتيجيات لمكافحة المواقف الأبوية والقوالب النمطية بشأن أدوار ومسؤوليات المرأة والرجل في الأسرة وفي المجتمع ككل.</w:t>
      </w:r>
    </w:p>
    <w:p w14:paraId="0B2E4F0B" w14:textId="4E3B38FA" w:rsidR="00F871C7" w:rsidRPr="006D63E3" w:rsidRDefault="00F871C7" w:rsidP="006D63E3">
      <w:pPr>
        <w:bidi/>
        <w:jc w:val="both"/>
        <w:rPr>
          <w:rFonts w:asciiTheme="majorBidi" w:hAnsiTheme="majorBidi" w:cstheme="majorBidi"/>
          <w:sz w:val="24"/>
          <w:szCs w:val="24"/>
          <w:rtl/>
          <w:lang w:bidi="ar-EG"/>
        </w:rPr>
      </w:pPr>
    </w:p>
    <w:sectPr w:rsidR="00F871C7" w:rsidRPr="006D63E3" w:rsidSect="00871B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B6E46" w14:textId="77777777" w:rsidR="00850F50" w:rsidRDefault="00850F50" w:rsidP="004F6D5A">
      <w:pPr>
        <w:spacing w:after="0" w:line="240" w:lineRule="auto"/>
      </w:pPr>
      <w:r>
        <w:separator/>
      </w:r>
    </w:p>
  </w:endnote>
  <w:endnote w:type="continuationSeparator" w:id="0">
    <w:p w14:paraId="0E0F70AC" w14:textId="77777777" w:rsidR="00850F50" w:rsidRDefault="00850F50"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Symbols">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ubai">
    <w:altName w:val="Times New Roman"/>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C630A" w14:textId="77777777" w:rsidR="00850F50" w:rsidRDefault="00850F50" w:rsidP="004F6D5A">
      <w:pPr>
        <w:spacing w:after="0" w:line="240" w:lineRule="auto"/>
      </w:pPr>
      <w:r>
        <w:separator/>
      </w:r>
    </w:p>
  </w:footnote>
  <w:footnote w:type="continuationSeparator" w:id="0">
    <w:p w14:paraId="5D43334E" w14:textId="77777777" w:rsidR="00850F50" w:rsidRDefault="00850F50" w:rsidP="004F6D5A">
      <w:pPr>
        <w:spacing w:after="0" w:line="240" w:lineRule="auto"/>
      </w:pPr>
      <w:r>
        <w:continuationSeparator/>
      </w:r>
    </w:p>
  </w:footnote>
  <w:footnote w:id="1">
    <w:p w14:paraId="7E44CFFE" w14:textId="4A652D5A"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2022 Country Reports on Human Rights Practices: Kuwait, Bureau of Democracy, Human Rights, and Labor, link, </w:t>
      </w:r>
      <w:hyperlink r:id="rId1">
        <w:r>
          <w:rPr>
            <w:color w:val="0563C1"/>
            <w:sz w:val="20"/>
            <w:szCs w:val="20"/>
            <w:u w:val="single"/>
          </w:rPr>
          <w:t>https://www.state.gov/reports/2022-country-reports-on-human-rights-practices/kuwait/</w:t>
        </w:r>
      </w:hyperlink>
    </w:p>
  </w:footnote>
  <w:footnote w:id="2">
    <w:p w14:paraId="30EC3F35" w14:textId="2DC3C4E4"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Gender Wage Gap in Kuwait, The </w:t>
      </w:r>
      <w:proofErr w:type="spellStart"/>
      <w:r>
        <w:rPr>
          <w:color w:val="000000"/>
          <w:sz w:val="20"/>
          <w:szCs w:val="20"/>
        </w:rPr>
        <w:t>Borgen</w:t>
      </w:r>
      <w:proofErr w:type="spellEnd"/>
      <w:r>
        <w:rPr>
          <w:color w:val="000000"/>
          <w:sz w:val="20"/>
          <w:szCs w:val="20"/>
        </w:rPr>
        <w:t xml:space="preserve"> Project, 26 Oct 2023, link, </w:t>
      </w:r>
      <w:hyperlink r:id="rId2">
        <w:r>
          <w:rPr>
            <w:color w:val="0563C1"/>
            <w:sz w:val="20"/>
            <w:szCs w:val="20"/>
            <w:u w:val="single"/>
          </w:rPr>
          <w:t>https://borgenproject.org/gender-wage-gap-in-kuwait/</w:t>
        </w:r>
      </w:hyperlink>
    </w:p>
    <w:p w14:paraId="72419883" w14:textId="77777777" w:rsidR="006D63E3" w:rsidRDefault="006D63E3" w:rsidP="006D63E3">
      <w:pPr>
        <w:pBdr>
          <w:top w:val="nil"/>
          <w:left w:val="nil"/>
          <w:bottom w:val="nil"/>
          <w:right w:val="nil"/>
          <w:between w:val="nil"/>
        </w:pBdr>
        <w:spacing w:after="0" w:line="240" w:lineRule="auto"/>
        <w:rPr>
          <w:color w:val="000000"/>
          <w:sz w:val="20"/>
          <w:szCs w:val="20"/>
        </w:rPr>
      </w:pPr>
    </w:p>
  </w:footnote>
  <w:footnote w:id="3">
    <w:p w14:paraId="5984C5A3" w14:textId="77777777"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 رد الكويت على قائمة المسائل المقدمة لها من اللجنة الفقرتين 60 و61  يمكن الرجوع اليه على موقع اللجنة.</w:t>
      </w:r>
    </w:p>
  </w:footnote>
  <w:footnote w:id="4">
    <w:p w14:paraId="559ED55B" w14:textId="20C55696"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Protecting the Rights of Migrant Domestic Workers in Kuwait, Catalyst, 3 Mar 2024, link, </w:t>
      </w:r>
      <w:hyperlink r:id="rId3">
        <w:r>
          <w:rPr>
            <w:color w:val="0563C1"/>
            <w:sz w:val="20"/>
            <w:szCs w:val="20"/>
            <w:u w:val="single"/>
          </w:rPr>
          <w:t>https://bit.ly/4ak4REc</w:t>
        </w:r>
      </w:hyperlink>
    </w:p>
  </w:footnote>
  <w:footnote w:id="5">
    <w:p w14:paraId="496BE76A" w14:textId="292B247F"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Human trafficking in Kuwait and providing a fair and safe environment for domestic workers,  KAN, 25 Jul 2023, link, </w:t>
      </w:r>
      <w:hyperlink r:id="rId4">
        <w:r>
          <w:rPr>
            <w:color w:val="0563C1"/>
            <w:sz w:val="20"/>
            <w:szCs w:val="20"/>
            <w:u w:val="single"/>
          </w:rPr>
          <w:t>https://kuwaitaidnetwork.com/human-trafficking-in-kuwait-and-providing-a-fair-and-safe-environment-for-domestic-workers/</w:t>
        </w:r>
      </w:hyperlink>
    </w:p>
  </w:footnote>
  <w:footnote w:id="6">
    <w:p w14:paraId="4B99A1CD" w14:textId="10F7FF46"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Modern Slavery in Kuwait, Global Slavery Index 2023, link, </w:t>
      </w:r>
      <w:hyperlink r:id="rId5">
        <w:r>
          <w:rPr>
            <w:color w:val="0563C1"/>
            <w:sz w:val="20"/>
            <w:szCs w:val="20"/>
            <w:u w:val="single"/>
          </w:rPr>
          <w:t>https://cdn.walkfree.org/content/uploads/2023/09/28142852/GSI-Snapshot-Kuwait.pdf</w:t>
        </w:r>
      </w:hyperlink>
    </w:p>
  </w:footnote>
  <w:footnote w:id="7">
    <w:p w14:paraId="5FE11C93" w14:textId="48C19092"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Protecting the Rights of Migrant Domestic Workers in Kuwait, Catalyst, 3 Mar 2024, link, </w:t>
      </w:r>
      <w:hyperlink r:id="rId6">
        <w:r>
          <w:rPr>
            <w:color w:val="0563C1"/>
            <w:sz w:val="20"/>
            <w:szCs w:val="20"/>
            <w:u w:val="single"/>
          </w:rPr>
          <w:t>https://bit.ly/4ak4REc</w:t>
        </w:r>
      </w:hyperlink>
    </w:p>
  </w:footnote>
  <w:footnote w:id="8">
    <w:p w14:paraId="5A120AD8" w14:textId="20523ED4"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Dispatch on Migrant and Domestic Workers in Kuwait, Americans for Democracy &amp; Human Rights in Bahrain (ADHRB), 19 Jun 2023, link, </w:t>
      </w:r>
      <w:hyperlink r:id="rId7">
        <w:r>
          <w:rPr>
            <w:color w:val="0563C1"/>
            <w:sz w:val="20"/>
            <w:szCs w:val="20"/>
            <w:u w:val="single"/>
          </w:rPr>
          <w:t>https://www.adhrb.org/2023/06/dispatch-on-migrant-and-domestic-workers-in-kuwait/</w:t>
        </w:r>
      </w:hyperlink>
    </w:p>
  </w:footnote>
  <w:footnote w:id="9">
    <w:p w14:paraId="0136D956" w14:textId="29EB213B"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 xml:space="preserve">ممارسة الكويتيات للعمل السياسي الأقل عربيا، مركز الخليج العربي للدراسات والبحوث، 28 مايو 2023، الرابط، </w:t>
      </w:r>
      <w:r>
        <w:fldChar w:fldCharType="begin"/>
      </w:r>
      <w:r>
        <w:instrText xml:space="preserve"> HYPERLINK "https://bit.ly/4aImzkJ" \h </w:instrText>
      </w:r>
      <w:r>
        <w:fldChar w:fldCharType="separate"/>
      </w:r>
      <w:r>
        <w:rPr>
          <w:color w:val="0563C1"/>
          <w:sz w:val="20"/>
          <w:szCs w:val="20"/>
          <w:u w:val="single"/>
        </w:rPr>
        <w:t>https://bit.ly/4aImzkJ</w:t>
      </w:r>
      <w:r>
        <w:rPr>
          <w:color w:val="0563C1"/>
          <w:sz w:val="20"/>
          <w:szCs w:val="20"/>
          <w:u w:val="single"/>
        </w:rPr>
        <w:fldChar w:fldCharType="end"/>
      </w:r>
    </w:p>
  </w:footnote>
  <w:footnote w:id="10">
    <w:p w14:paraId="303C7C0E" w14:textId="1DFBFD3F"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Kuwaiti Women Account for About 52% of Voters, Less than 7% of Candidates, </w:t>
      </w:r>
      <w:proofErr w:type="spellStart"/>
      <w:r>
        <w:rPr>
          <w:color w:val="000000"/>
          <w:sz w:val="20"/>
          <w:szCs w:val="20"/>
        </w:rPr>
        <w:t>Aawsat</w:t>
      </w:r>
      <w:proofErr w:type="spellEnd"/>
      <w:r>
        <w:rPr>
          <w:color w:val="000000"/>
          <w:sz w:val="20"/>
          <w:szCs w:val="20"/>
        </w:rPr>
        <w:t xml:space="preserve">, 4 Jun 2023, link, </w:t>
      </w:r>
      <w:hyperlink r:id="rId8">
        <w:r>
          <w:rPr>
            <w:color w:val="0563C1"/>
            <w:sz w:val="20"/>
            <w:szCs w:val="20"/>
            <w:u w:val="single"/>
          </w:rPr>
          <w:t>https://english.aawsat.com/gulf/4363501-kuwaiti-women-account-about-52-voters-less-7-candidates</w:t>
        </w:r>
      </w:hyperlink>
    </w:p>
  </w:footnote>
  <w:footnote w:id="11">
    <w:p w14:paraId="1B6FE754" w14:textId="3C66AE93"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 xml:space="preserve">المرأة في مجلس الأمة... هل حان وقت إقرار الكوتا؟، الراي، 1 ابريل 2024، الرابط، </w:t>
      </w:r>
      <w:r>
        <w:fldChar w:fldCharType="begin"/>
      </w:r>
      <w:r>
        <w:instrText xml:space="preserve"> HYPERLINK "https://bit.ly/3J3Fpa8" \h </w:instrText>
      </w:r>
      <w:r>
        <w:fldChar w:fldCharType="separate"/>
      </w:r>
      <w:r>
        <w:rPr>
          <w:color w:val="0563C1"/>
          <w:sz w:val="20"/>
          <w:szCs w:val="20"/>
          <w:u w:val="single"/>
        </w:rPr>
        <w:t>https://bit.ly/3J3Fpa8</w:t>
      </w:r>
      <w:r>
        <w:rPr>
          <w:color w:val="0563C1"/>
          <w:sz w:val="20"/>
          <w:szCs w:val="20"/>
          <w:u w:val="single"/>
        </w:rPr>
        <w:fldChar w:fldCharType="end"/>
      </w:r>
    </w:p>
  </w:footnote>
  <w:footnote w:id="12">
    <w:p w14:paraId="2F0A3003" w14:textId="4A440495"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A gap between questions and answers: Kuwait’s legal framework masks their reality on the ground, CCPR Center, 30 Oct 2023, link,  </w:t>
      </w:r>
      <w:hyperlink r:id="rId9">
        <w:r>
          <w:rPr>
            <w:color w:val="0563C1"/>
            <w:sz w:val="20"/>
            <w:szCs w:val="20"/>
            <w:u w:val="single"/>
          </w:rPr>
          <w:t>https://ccprcentre.org/ccprpages/a-gap-between-questions-and-answers-kuwaits-legal-framework-masks-their-reality-on-the-ground</w:t>
        </w:r>
      </w:hyperlink>
    </w:p>
  </w:footnote>
  <w:footnote w:id="13">
    <w:p w14:paraId="34E09E8C" w14:textId="2E70B766"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Gender Wage Gap in Kuwait, The </w:t>
      </w:r>
      <w:proofErr w:type="spellStart"/>
      <w:r>
        <w:rPr>
          <w:color w:val="000000"/>
          <w:sz w:val="20"/>
          <w:szCs w:val="20"/>
        </w:rPr>
        <w:t>Borgen</w:t>
      </w:r>
      <w:proofErr w:type="spellEnd"/>
      <w:r>
        <w:rPr>
          <w:color w:val="000000"/>
          <w:sz w:val="20"/>
          <w:szCs w:val="20"/>
        </w:rPr>
        <w:t xml:space="preserve"> Project, 26 Oct 2023, link, </w:t>
      </w:r>
      <w:hyperlink r:id="rId10">
        <w:r>
          <w:rPr>
            <w:color w:val="0563C1"/>
            <w:sz w:val="20"/>
            <w:szCs w:val="20"/>
            <w:u w:val="single"/>
          </w:rPr>
          <w:t>https://borgenproject.org/gender-wage-gap-in-kuwait/</w:t>
        </w:r>
      </w:hyperlink>
    </w:p>
  </w:footnote>
  <w:footnote w:id="14">
    <w:p w14:paraId="282F2C94" w14:textId="568A1D52"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 xml:space="preserve">الخارجية: 28% نسبة تمثيل المرأة في المناصب القيادية، موقع الجريدة، 7 نوفمبر 2023، الرابط، </w:t>
      </w:r>
      <w:hyperlink r:id="rId11">
        <w:r>
          <w:rPr>
            <w:color w:val="0563C1"/>
            <w:sz w:val="20"/>
            <w:szCs w:val="20"/>
            <w:u w:val="single"/>
          </w:rPr>
          <w:t>https://www.aljarida.com/article/43818</w:t>
        </w:r>
      </w:hyperlink>
    </w:p>
  </w:footnote>
  <w:footnote w:id="15">
    <w:p w14:paraId="58F3D207" w14:textId="0B93BF70"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 xml:space="preserve">نساء الخليج يكافحن للحصول على حق المواطنة لأطفالهن، 2021، الرابط، </w:t>
      </w:r>
      <w:hyperlink r:id="rId12">
        <w:r>
          <w:rPr>
            <w:color w:val="0563C1"/>
            <w:sz w:val="20"/>
            <w:szCs w:val="20"/>
            <w:u w:val="single"/>
          </w:rPr>
          <w:t>https://amwaj.media/ar/article/gulf-women-neglectedrights-children</w:t>
        </w:r>
      </w:hyperlink>
    </w:p>
    <w:p w14:paraId="1CCD2AE1" w14:textId="77777777" w:rsidR="006D63E3" w:rsidRDefault="006D63E3" w:rsidP="006D63E3">
      <w:pPr>
        <w:pBdr>
          <w:top w:val="nil"/>
          <w:left w:val="nil"/>
          <w:bottom w:val="nil"/>
          <w:right w:val="nil"/>
          <w:between w:val="nil"/>
        </w:pBdr>
        <w:bidi/>
        <w:spacing w:after="0" w:line="240" w:lineRule="auto"/>
        <w:rPr>
          <w:color w:val="000000"/>
          <w:sz w:val="20"/>
          <w:szCs w:val="20"/>
        </w:rPr>
      </w:pPr>
    </w:p>
  </w:footnote>
  <w:footnote w:id="16">
    <w:p w14:paraId="05F2AABF" w14:textId="0362C6D8"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يرجى الرجوع لتقرير الوطني للكويت والرد الخاص على هذه الجزئية بقائمة المسائل الموجودة على موقع اللجنة.</w:t>
      </w:r>
    </w:p>
  </w:footnote>
  <w:footnote w:id="17">
    <w:p w14:paraId="433581AA" w14:textId="2A7F8762"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color w:val="000000"/>
          <w:sz w:val="20"/>
          <w:szCs w:val="20"/>
          <w:rtl/>
        </w:rPr>
        <w:t xml:space="preserve">شروط التجنيس في قانون الجنسية الكويتي الجديد، موقع خليجي، 5 يناير 2023، الرابط، </w:t>
      </w:r>
      <w:hyperlink r:id="rId13">
        <w:r>
          <w:rPr>
            <w:color w:val="0563C1"/>
            <w:sz w:val="20"/>
            <w:szCs w:val="20"/>
            <w:u w:val="single"/>
          </w:rPr>
          <w:t>https://kaleijy.com/news31099.html</w:t>
        </w:r>
      </w:hyperlink>
    </w:p>
  </w:footnote>
  <w:footnote w:id="18">
    <w:p w14:paraId="76BC3EFB" w14:textId="0755BDBD" w:rsidR="006D63E3" w:rsidRDefault="006D63E3" w:rsidP="006D63E3">
      <w:pPr>
        <w:pBdr>
          <w:top w:val="nil"/>
          <w:left w:val="nil"/>
          <w:bottom w:val="nil"/>
          <w:right w:val="nil"/>
          <w:between w:val="nil"/>
        </w:pBdr>
        <w:bidi/>
        <w:spacing w:after="0" w:line="240" w:lineRule="auto"/>
        <w:rPr>
          <w:color w:val="000000"/>
          <w:sz w:val="20"/>
          <w:szCs w:val="20"/>
        </w:rPr>
      </w:pPr>
      <w:r>
        <w:rPr>
          <w:vertAlign w:val="superscript"/>
        </w:rPr>
        <w:footnoteRef/>
      </w:r>
      <w:r>
        <w:rPr>
          <w:color w:val="000000"/>
          <w:sz w:val="20"/>
          <w:szCs w:val="20"/>
          <w:rtl/>
        </w:rPr>
        <w:t xml:space="preserve"> </w:t>
      </w:r>
      <w:r>
        <w:rPr>
          <w:rFonts w:hint="cs"/>
          <w:color w:val="000000"/>
          <w:sz w:val="20"/>
          <w:szCs w:val="20"/>
          <w:rtl/>
        </w:rPr>
        <w:t>م</w:t>
      </w:r>
      <w:r>
        <w:rPr>
          <w:color w:val="000000"/>
          <w:sz w:val="20"/>
          <w:szCs w:val="20"/>
          <w:rtl/>
        </w:rPr>
        <w:t xml:space="preserve">ساواة في الدستور وتمييز في التشريعات.. المواطنة الكويتية وحقوق أبنائها من زوجها غير الكويتي، موقع تقدم، 29 فبراير 2024، الرابط، </w:t>
      </w:r>
      <w:hyperlink r:id="rId14">
        <w:r>
          <w:rPr>
            <w:color w:val="0563C1"/>
            <w:sz w:val="20"/>
            <w:szCs w:val="20"/>
            <w:u w:val="single"/>
          </w:rPr>
          <w:t>https://taqadoom.com/5659/</w:t>
        </w:r>
      </w:hyperlink>
    </w:p>
  </w:footnote>
  <w:footnote w:id="19">
    <w:p w14:paraId="2EC9166D" w14:textId="085E64C8"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Bidoon Woman in Kuwait, Danielle Cohen Immigration Law Solicitor, 9 Jan 2024, link, </w:t>
      </w:r>
      <w:hyperlink r:id="rId15">
        <w:r>
          <w:rPr>
            <w:color w:val="0563C1"/>
            <w:sz w:val="20"/>
            <w:szCs w:val="20"/>
            <w:u w:val="single"/>
          </w:rPr>
          <w:t>https://www.daniellecohenimmigration.com/bidoon-women-in-kuwait/</w:t>
        </w:r>
      </w:hyperlink>
    </w:p>
  </w:footnote>
  <w:footnote w:id="20">
    <w:p w14:paraId="736E1528" w14:textId="13B06E42" w:rsidR="006D63E3" w:rsidRDefault="006D63E3" w:rsidP="006D63E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Challenges of being Bidoon in Kuwait, Americans for Democracy &amp; Human Rights in Bahrain (ADHRB), 16 May 2022, link, </w:t>
      </w:r>
      <w:hyperlink r:id="rId16">
        <w:r>
          <w:rPr>
            <w:color w:val="0563C1"/>
            <w:sz w:val="20"/>
            <w:szCs w:val="20"/>
            <w:u w:val="single"/>
          </w:rPr>
          <w:t>https://www.adhrb.org/2022/05/challenges-of-being-bidoon-in-kuwait/</w:t>
        </w:r>
      </w:hyperlink>
    </w:p>
    <w:p w14:paraId="612E9D42" w14:textId="77777777" w:rsidR="006D63E3" w:rsidRDefault="006D63E3" w:rsidP="006D63E3">
      <w:pPr>
        <w:pBdr>
          <w:top w:val="nil"/>
          <w:left w:val="nil"/>
          <w:bottom w:val="nil"/>
          <w:right w:val="nil"/>
          <w:between w:val="nil"/>
        </w:pBdr>
        <w:spacing w:after="0" w:line="240" w:lineRule="auto"/>
        <w:rPr>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F735" w14:textId="18E60A97" w:rsidR="0058685C" w:rsidRPr="0058685C" w:rsidRDefault="0058685C" w:rsidP="0058685C">
    <w:pPr>
      <w:pStyle w:val="Header"/>
    </w:pPr>
    <w:r>
      <w:rPr>
        <w:noProof/>
        <w:lang w:val="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271B4"/>
    <w:multiLevelType w:val="multilevel"/>
    <w:tmpl w:val="897A846C"/>
    <w:lvl w:ilvl="0">
      <w:start w:val="1"/>
      <w:numFmt w:val="bullet"/>
      <w:lvlText w:val="●"/>
      <w:lvlJc w:val="left"/>
      <w:pPr>
        <w:ind w:left="540" w:hanging="360"/>
      </w:pPr>
      <w:rPr>
        <w:rFonts w:ascii="Noto Sans Symbols" w:eastAsia="Noto Sans Symbols" w:hAnsi="Noto Sans Symbols" w:cs="Noto Sans Symbols"/>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97671A"/>
    <w:multiLevelType w:val="multilevel"/>
    <w:tmpl w:val="1BAE4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
  </w:num>
  <w:num w:numId="4">
    <w:abstractNumId w:val="12"/>
  </w:num>
  <w:num w:numId="5">
    <w:abstractNumId w:val="3"/>
  </w:num>
  <w:num w:numId="6">
    <w:abstractNumId w:val="27"/>
  </w:num>
  <w:num w:numId="7">
    <w:abstractNumId w:val="30"/>
  </w:num>
  <w:num w:numId="8">
    <w:abstractNumId w:val="32"/>
  </w:num>
  <w:num w:numId="9">
    <w:abstractNumId w:val="24"/>
  </w:num>
  <w:num w:numId="10">
    <w:abstractNumId w:val="28"/>
  </w:num>
  <w:num w:numId="11">
    <w:abstractNumId w:val="20"/>
  </w:num>
  <w:num w:numId="12">
    <w:abstractNumId w:val="31"/>
  </w:num>
  <w:num w:numId="13">
    <w:abstractNumId w:val="18"/>
  </w:num>
  <w:num w:numId="14">
    <w:abstractNumId w:val="7"/>
  </w:num>
  <w:num w:numId="15">
    <w:abstractNumId w:val="23"/>
  </w:num>
  <w:num w:numId="16">
    <w:abstractNumId w:val="13"/>
  </w:num>
  <w:num w:numId="17">
    <w:abstractNumId w:val="0"/>
  </w:num>
  <w:num w:numId="18">
    <w:abstractNumId w:val="17"/>
  </w:num>
  <w:num w:numId="19">
    <w:abstractNumId w:val="2"/>
  </w:num>
  <w:num w:numId="20">
    <w:abstractNumId w:val="10"/>
  </w:num>
  <w:num w:numId="21">
    <w:abstractNumId w:val="33"/>
  </w:num>
  <w:num w:numId="22">
    <w:abstractNumId w:val="11"/>
  </w:num>
  <w:num w:numId="23">
    <w:abstractNumId w:val="15"/>
  </w:num>
  <w:num w:numId="24">
    <w:abstractNumId w:val="25"/>
  </w:num>
  <w:num w:numId="25">
    <w:abstractNumId w:val="29"/>
  </w:num>
  <w:num w:numId="26">
    <w:abstractNumId w:val="9"/>
  </w:num>
  <w:num w:numId="27">
    <w:abstractNumId w:val="6"/>
  </w:num>
  <w:num w:numId="28">
    <w:abstractNumId w:val="21"/>
  </w:num>
  <w:num w:numId="29">
    <w:abstractNumId w:val="22"/>
  </w:num>
  <w:num w:numId="30">
    <w:abstractNumId w:val="14"/>
  </w:num>
  <w:num w:numId="31">
    <w:abstractNumId w:val="19"/>
  </w:num>
  <w:num w:numId="32">
    <w:abstractNumId w:val="5"/>
  </w:num>
  <w:num w:numId="33">
    <w:abstractNumId w:val="8"/>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876FE"/>
    <w:rsid w:val="002D5B01"/>
    <w:rsid w:val="003319F3"/>
    <w:rsid w:val="003439F7"/>
    <w:rsid w:val="00360DAB"/>
    <w:rsid w:val="00372B51"/>
    <w:rsid w:val="0038184B"/>
    <w:rsid w:val="003A1F96"/>
    <w:rsid w:val="003A745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40577"/>
    <w:rsid w:val="006412F6"/>
    <w:rsid w:val="00646A53"/>
    <w:rsid w:val="006807A3"/>
    <w:rsid w:val="00693967"/>
    <w:rsid w:val="006D63E3"/>
    <w:rsid w:val="00713444"/>
    <w:rsid w:val="0075015E"/>
    <w:rsid w:val="00755B2C"/>
    <w:rsid w:val="007A3C77"/>
    <w:rsid w:val="007B5697"/>
    <w:rsid w:val="007C2144"/>
    <w:rsid w:val="007C3E73"/>
    <w:rsid w:val="007E56C8"/>
    <w:rsid w:val="007F62CB"/>
    <w:rsid w:val="00823531"/>
    <w:rsid w:val="00823F46"/>
    <w:rsid w:val="00826C6D"/>
    <w:rsid w:val="00850F50"/>
    <w:rsid w:val="00860C1C"/>
    <w:rsid w:val="00871BB0"/>
    <w:rsid w:val="00875304"/>
    <w:rsid w:val="008823E1"/>
    <w:rsid w:val="00884133"/>
    <w:rsid w:val="008F2641"/>
    <w:rsid w:val="0091285A"/>
    <w:rsid w:val="009337BF"/>
    <w:rsid w:val="009412A9"/>
    <w:rsid w:val="009850AD"/>
    <w:rsid w:val="00990858"/>
    <w:rsid w:val="009B028E"/>
    <w:rsid w:val="009D1F8F"/>
    <w:rsid w:val="009E290C"/>
    <w:rsid w:val="00A3448D"/>
    <w:rsid w:val="00A37636"/>
    <w:rsid w:val="00A537CE"/>
    <w:rsid w:val="00A8165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D5381"/>
    <w:rsid w:val="00D01C6A"/>
    <w:rsid w:val="00D11899"/>
    <w:rsid w:val="00D674C8"/>
    <w:rsid w:val="00DB04A9"/>
    <w:rsid w:val="00DB5AB9"/>
    <w:rsid w:val="00DE35AB"/>
    <w:rsid w:val="00DF3596"/>
    <w:rsid w:val="00E3117B"/>
    <w:rsid w:val="00E4520A"/>
    <w:rsid w:val="00E45A93"/>
    <w:rsid w:val="00E55456"/>
    <w:rsid w:val="00EA2C34"/>
    <w:rsid w:val="00EA4670"/>
    <w:rsid w:val="00EB7424"/>
    <w:rsid w:val="00ED3ED2"/>
    <w:rsid w:val="00ED7702"/>
    <w:rsid w:val="00EF597D"/>
    <w:rsid w:val="00F533B4"/>
    <w:rsid w:val="00F56B3D"/>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3E3"/>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english.aawsat.com/gulf/4363501-kuwaiti-women-account-about-52-voters-less-7-candidates" TargetMode="External"/><Relationship Id="rId13" Type="http://schemas.openxmlformats.org/officeDocument/2006/relationships/hyperlink" Target="https://kaleijy.com/news31099.html" TargetMode="External"/><Relationship Id="rId3" Type="http://schemas.openxmlformats.org/officeDocument/2006/relationships/hyperlink" Target="https://bit.ly/4ak4REc" TargetMode="External"/><Relationship Id="rId7" Type="http://schemas.openxmlformats.org/officeDocument/2006/relationships/hyperlink" Target="https://www.adhrb.org/2023/06/dispatch-on-migrant-and-domestic-workers-in-kuwait/" TargetMode="External"/><Relationship Id="rId12" Type="http://schemas.openxmlformats.org/officeDocument/2006/relationships/hyperlink" Target="https://amwaj.media/ar/article/gulf-women-neglectedrights-children" TargetMode="External"/><Relationship Id="rId2" Type="http://schemas.openxmlformats.org/officeDocument/2006/relationships/hyperlink" Target="https://borgenproject.org/gender-wage-gap-in-kuwait/" TargetMode="External"/><Relationship Id="rId16" Type="http://schemas.openxmlformats.org/officeDocument/2006/relationships/hyperlink" Target="https://www.adhrb.org/2022/05/challenges-of-being-bidoon-in-kuwait/" TargetMode="External"/><Relationship Id="rId1" Type="http://schemas.openxmlformats.org/officeDocument/2006/relationships/hyperlink" Target="https://www.state.gov/reports/2022-country-reports-on-human-rights-practices/kuwait/" TargetMode="External"/><Relationship Id="rId6" Type="http://schemas.openxmlformats.org/officeDocument/2006/relationships/hyperlink" Target="https://bit.ly/4ak4REc" TargetMode="External"/><Relationship Id="rId11" Type="http://schemas.openxmlformats.org/officeDocument/2006/relationships/hyperlink" Target="https://www.aljarida.com/article/43818" TargetMode="External"/><Relationship Id="rId5" Type="http://schemas.openxmlformats.org/officeDocument/2006/relationships/hyperlink" Target="https://cdn.walkfree.org/content/uploads/2023/09/28142852/GSI-Snapshot-Kuwait.pdf" TargetMode="External"/><Relationship Id="rId15" Type="http://schemas.openxmlformats.org/officeDocument/2006/relationships/hyperlink" Target="https://www.daniellecohenimmigration.com/bidoon-women-in-kuwait/" TargetMode="External"/><Relationship Id="rId10" Type="http://schemas.openxmlformats.org/officeDocument/2006/relationships/hyperlink" Target="https://borgenproject.org/gender-wage-gap-in-kuwait/" TargetMode="External"/><Relationship Id="rId4" Type="http://schemas.openxmlformats.org/officeDocument/2006/relationships/hyperlink" Target="https://kuwaitaidnetwork.com/human-trafficking-in-kuwait-and-providing-a-fair-and-safe-environment-for-domestic-workers/" TargetMode="External"/><Relationship Id="rId9" Type="http://schemas.openxmlformats.org/officeDocument/2006/relationships/hyperlink" Target="https://ccprcentre.org/ccprpages/a-gap-between-questions-and-answers-kuwaits-legal-framework-masks-their-reality-on-the-ground" TargetMode="External"/><Relationship Id="rId14" Type="http://schemas.openxmlformats.org/officeDocument/2006/relationships/hyperlink" Target="https://taqadoom.com/565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5D71CE-3E1E-4154-ADC8-1D6354473263}">
  <ds:schemaRefs>
    <ds:schemaRef ds:uri="http://schemas.openxmlformats.org/officeDocument/2006/bibliography"/>
  </ds:schemaRefs>
</ds:datastoreItem>
</file>

<file path=customXml/itemProps2.xml><?xml version="1.0" encoding="utf-8"?>
<ds:datastoreItem xmlns:ds="http://schemas.openxmlformats.org/officeDocument/2006/customXml" ds:itemID="{83C2FFA0-15EF-45F3-B21C-AF40BAC04B14}"/>
</file>

<file path=customXml/itemProps3.xml><?xml version="1.0" encoding="utf-8"?>
<ds:datastoreItem xmlns:ds="http://schemas.openxmlformats.org/officeDocument/2006/customXml" ds:itemID="{7A14DD3B-038B-4285-950E-856665DCD775}"/>
</file>

<file path=docProps/app.xml><?xml version="1.0" encoding="utf-8"?>
<Properties xmlns="http://schemas.openxmlformats.org/officeDocument/2006/extended-properties" xmlns:vt="http://schemas.openxmlformats.org/officeDocument/2006/docPropsVTypes">
  <Template>Normal</Template>
  <TotalTime>0</TotalTime>
  <Pages>6</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2024-04-15T09:36:00Z</dcterms:created>
  <dcterms:modified xsi:type="dcterms:W3CDTF">2024-04-15T09:36:00Z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