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83034" w:rsidR="00C05D9B" w:rsidP="00626C39" w:rsidRDefault="00C05D9B" w14:paraId="63C1CA12" w14:textId="77777777">
      <w:pPr>
        <w:rPr>
          <w:color w:val="auto"/>
          <w:sz w:val="24"/>
          <w:szCs w:val="24"/>
        </w:rPr>
      </w:pPr>
    </w:p>
    <w:p w:rsidRPr="00683034" w:rsidR="005403E3" w:rsidP="00626C39" w:rsidRDefault="005403E3" w14:paraId="1C720C6D" w14:textId="77777777">
      <w:pPr>
        <w:rPr>
          <w:color w:val="auto"/>
          <w:sz w:val="24"/>
          <w:szCs w:val="24"/>
        </w:rPr>
      </w:pPr>
    </w:p>
    <w:p w:rsidRPr="00683034" w:rsidR="005403E3" w:rsidP="00626C39" w:rsidRDefault="005403E3" w14:paraId="5E537D0D" w14:textId="77777777">
      <w:pPr>
        <w:rPr>
          <w:color w:val="auto"/>
          <w:sz w:val="24"/>
          <w:szCs w:val="24"/>
        </w:rPr>
      </w:pPr>
    </w:p>
    <w:p w:rsidRPr="00683034" w:rsidR="00FA79E7" w:rsidP="004B1E4E" w:rsidRDefault="00DA6063" w14:paraId="76153A13" w14:textId="77777777">
      <w:pPr>
        <w:jc w:val="center"/>
        <w:rPr>
          <w:b/>
          <w:sz w:val="24"/>
          <w:szCs w:val="24"/>
        </w:rPr>
      </w:pPr>
      <w:r w:rsidRPr="00683034">
        <w:rPr>
          <w:b/>
          <w:sz w:val="24"/>
          <w:szCs w:val="24"/>
        </w:rPr>
        <w:t>Qatar</w:t>
      </w:r>
      <w:r w:rsidRPr="00683034" w:rsidR="004B1E4E">
        <w:rPr>
          <w:b/>
          <w:sz w:val="24"/>
          <w:szCs w:val="24"/>
        </w:rPr>
        <w:t xml:space="preserve">’s Compliance with </w:t>
      </w:r>
      <w:r w:rsidRPr="00683034" w:rsidR="00FA79E7">
        <w:rPr>
          <w:b/>
          <w:sz w:val="24"/>
          <w:szCs w:val="24"/>
        </w:rPr>
        <w:t>the International Covenant on Civil and Political Rights</w:t>
      </w:r>
      <w:r w:rsidRPr="00683034" w:rsidR="00E114C5">
        <w:rPr>
          <w:b/>
          <w:sz w:val="24"/>
          <w:szCs w:val="24"/>
        </w:rPr>
        <w:t xml:space="preserve">: </w:t>
      </w:r>
    </w:p>
    <w:p w:rsidRPr="00683034" w:rsidR="004B1E4E" w:rsidP="004B1E4E" w:rsidRDefault="00FA79E7" w14:paraId="43F13231" w14:textId="3DDA2DA0">
      <w:pPr>
        <w:jc w:val="center"/>
        <w:rPr>
          <w:b/>
          <w:sz w:val="24"/>
          <w:szCs w:val="24"/>
        </w:rPr>
      </w:pPr>
      <w:r w:rsidRPr="00683034">
        <w:rPr>
          <w:b/>
          <w:sz w:val="24"/>
          <w:szCs w:val="24"/>
        </w:rPr>
        <w:t>The Death Penalty</w:t>
      </w:r>
    </w:p>
    <w:p w:rsidRPr="00683034" w:rsidR="004B1E4E" w:rsidP="004B1E4E" w:rsidRDefault="004B1E4E" w14:paraId="171F4CCF" w14:textId="77777777">
      <w:pPr>
        <w:jc w:val="center"/>
        <w:rPr>
          <w:sz w:val="24"/>
          <w:szCs w:val="24"/>
        </w:rPr>
      </w:pPr>
    </w:p>
    <w:p w:rsidR="00565D56" w:rsidP="004B1E4E" w:rsidRDefault="004B1E4E" w14:paraId="6EB46CFC" w14:textId="77777777">
      <w:pPr>
        <w:jc w:val="center"/>
        <w:rPr>
          <w:b/>
          <w:sz w:val="24"/>
          <w:szCs w:val="24"/>
        </w:rPr>
      </w:pPr>
      <w:r w:rsidRPr="00683034">
        <w:rPr>
          <w:b/>
          <w:sz w:val="24"/>
          <w:szCs w:val="24"/>
        </w:rPr>
        <w:t xml:space="preserve">Submitted by </w:t>
      </w:r>
    </w:p>
    <w:p w:rsidRPr="00683034" w:rsidR="004B1E4E" w:rsidP="004B1E4E" w:rsidRDefault="00AA7FCB" w14:paraId="26D24DDC" w14:textId="03264868">
      <w:pPr>
        <w:jc w:val="center"/>
        <w:rPr>
          <w:b/>
          <w:sz w:val="24"/>
          <w:szCs w:val="24"/>
        </w:rPr>
      </w:pPr>
      <w:r w:rsidRPr="00683034">
        <w:rPr>
          <w:b/>
          <w:sz w:val="24"/>
          <w:szCs w:val="24"/>
        </w:rPr>
        <w:t>T</w:t>
      </w:r>
      <w:r w:rsidRPr="00683034" w:rsidR="004B1E4E">
        <w:rPr>
          <w:b/>
          <w:sz w:val="24"/>
          <w:szCs w:val="24"/>
        </w:rPr>
        <w:t>he Advocates for Human Rights</w:t>
      </w:r>
    </w:p>
    <w:p w:rsidRPr="00683034" w:rsidR="004B1E4E" w:rsidP="004B1E4E" w:rsidRDefault="004B1E4E" w14:paraId="6D01AE49" w14:textId="77777777">
      <w:pPr>
        <w:jc w:val="center"/>
        <w:rPr>
          <w:sz w:val="24"/>
          <w:szCs w:val="24"/>
        </w:rPr>
      </w:pPr>
      <w:r w:rsidRPr="00683034">
        <w:rPr>
          <w:sz w:val="24"/>
          <w:szCs w:val="24"/>
        </w:rPr>
        <w:t>a non-governmental organization in special consultative status with ECOSOC</w:t>
      </w:r>
      <w:r w:rsidRPr="00683034" w:rsidR="00624A10">
        <w:rPr>
          <w:sz w:val="24"/>
          <w:szCs w:val="24"/>
        </w:rPr>
        <w:t xml:space="preserve"> since 1996</w:t>
      </w:r>
    </w:p>
    <w:p w:rsidR="004B1E4E" w:rsidP="004B1E4E" w:rsidRDefault="00565D56" w14:paraId="74881DA7" w14:textId="23BC0F0D">
      <w:pPr>
        <w:jc w:val="center"/>
        <w:rPr>
          <w:sz w:val="24"/>
          <w:szCs w:val="24"/>
        </w:rPr>
      </w:pPr>
      <w:r>
        <w:rPr>
          <w:sz w:val="24"/>
          <w:szCs w:val="24"/>
        </w:rPr>
        <w:t>and</w:t>
      </w:r>
    </w:p>
    <w:p w:rsidRPr="00565D56" w:rsidR="00565D56" w:rsidP="004B1E4E" w:rsidRDefault="00565D56" w14:paraId="36BF1D6B" w14:textId="15DE105C">
      <w:pPr>
        <w:jc w:val="center"/>
        <w:rPr>
          <w:b/>
          <w:bCs/>
          <w:sz w:val="24"/>
          <w:szCs w:val="24"/>
        </w:rPr>
      </w:pPr>
      <w:r w:rsidRPr="4284AD9D" w:rsidR="00565D56">
        <w:rPr>
          <w:b w:val="1"/>
          <w:bCs w:val="1"/>
          <w:sz w:val="24"/>
          <w:szCs w:val="24"/>
        </w:rPr>
        <w:t>The World Coalition Against the Death Penalty</w:t>
      </w:r>
    </w:p>
    <w:p w:rsidR="4284AD9D" w:rsidP="4284AD9D" w:rsidRDefault="4284AD9D" w14:paraId="79B972E0" w14:textId="16E4D927">
      <w:pPr>
        <w:pStyle w:val="Normal"/>
        <w:jc w:val="center"/>
        <w:rPr>
          <w:b w:val="1"/>
          <w:bCs w:val="1"/>
          <w:color w:val="000000" w:themeColor="text1" w:themeTint="FF" w:themeShade="FF"/>
          <w:sz w:val="24"/>
          <w:szCs w:val="24"/>
        </w:rPr>
      </w:pPr>
    </w:p>
    <w:p w:rsidRPr="00683034" w:rsidR="004B1E4E" w:rsidP="004B1E4E" w:rsidRDefault="004B1E4E" w14:paraId="24E688AE" w14:textId="3B52BCBD">
      <w:pPr>
        <w:jc w:val="center"/>
        <w:rPr>
          <w:b/>
          <w:bCs/>
          <w:sz w:val="24"/>
          <w:szCs w:val="24"/>
        </w:rPr>
      </w:pPr>
      <w:r w:rsidRPr="00683034">
        <w:rPr>
          <w:b/>
          <w:bCs/>
          <w:sz w:val="24"/>
          <w:szCs w:val="24"/>
        </w:rPr>
        <w:t xml:space="preserve">for the </w:t>
      </w:r>
      <w:r w:rsidRPr="00683034" w:rsidR="00FA79E7">
        <w:rPr>
          <w:b/>
          <w:bCs/>
          <w:sz w:val="24"/>
          <w:szCs w:val="24"/>
        </w:rPr>
        <w:t>134th</w:t>
      </w:r>
      <w:r w:rsidRPr="00683034">
        <w:rPr>
          <w:b/>
          <w:bCs/>
          <w:sz w:val="24"/>
          <w:szCs w:val="24"/>
        </w:rPr>
        <w:t xml:space="preserve"> Session of the </w:t>
      </w:r>
      <w:r w:rsidRPr="00683034" w:rsidR="00FA79E7">
        <w:rPr>
          <w:b/>
          <w:bCs/>
          <w:sz w:val="24"/>
          <w:szCs w:val="24"/>
        </w:rPr>
        <w:t>UN Human Rights Committee</w:t>
      </w:r>
    </w:p>
    <w:p w:rsidRPr="00683034" w:rsidR="004B1E4E" w:rsidP="004B1E4E" w:rsidRDefault="00FA79E7" w14:paraId="3B163C2D" w14:textId="2145EF13">
      <w:pPr>
        <w:jc w:val="center"/>
        <w:rPr>
          <w:b/>
          <w:bCs/>
          <w:sz w:val="24"/>
          <w:szCs w:val="24"/>
        </w:rPr>
      </w:pPr>
      <w:r w:rsidRPr="00683034">
        <w:rPr>
          <w:b/>
          <w:bCs/>
          <w:sz w:val="24"/>
          <w:szCs w:val="24"/>
        </w:rPr>
        <w:t>28 February</w:t>
      </w:r>
      <w:r w:rsidRPr="00683034" w:rsidR="004B1E4E">
        <w:rPr>
          <w:b/>
          <w:bCs/>
          <w:sz w:val="24"/>
          <w:szCs w:val="24"/>
        </w:rPr>
        <w:t>–</w:t>
      </w:r>
      <w:r w:rsidRPr="00683034">
        <w:rPr>
          <w:b/>
          <w:bCs/>
          <w:sz w:val="24"/>
          <w:szCs w:val="24"/>
        </w:rPr>
        <w:t>25 March 2022</w:t>
      </w:r>
    </w:p>
    <w:p w:rsidRPr="00683034" w:rsidR="00C214BA" w:rsidP="004B1E4E" w:rsidRDefault="00C214BA" w14:paraId="42599716" w14:textId="02060FAC">
      <w:pPr>
        <w:jc w:val="center"/>
        <w:rPr>
          <w:b/>
          <w:bCs/>
          <w:sz w:val="24"/>
          <w:szCs w:val="24"/>
        </w:rPr>
      </w:pPr>
    </w:p>
    <w:p w:rsidRPr="00683034" w:rsidR="00C214BA" w:rsidP="004B1E4E" w:rsidRDefault="00C214BA" w14:paraId="3D93E372" w14:textId="3CF16D3C">
      <w:pPr>
        <w:jc w:val="center"/>
        <w:rPr>
          <w:b/>
          <w:bCs/>
          <w:sz w:val="24"/>
          <w:szCs w:val="24"/>
        </w:rPr>
      </w:pPr>
      <w:r w:rsidRPr="00683034">
        <w:rPr>
          <w:b/>
          <w:bCs/>
          <w:sz w:val="24"/>
          <w:szCs w:val="24"/>
        </w:rPr>
        <w:t xml:space="preserve">Submitted </w:t>
      </w:r>
      <w:r w:rsidRPr="00683034" w:rsidR="00FA79E7">
        <w:rPr>
          <w:b/>
          <w:bCs/>
          <w:sz w:val="24"/>
          <w:szCs w:val="24"/>
        </w:rPr>
        <w:t>31 January</w:t>
      </w:r>
      <w:r w:rsidRPr="00683034">
        <w:rPr>
          <w:b/>
          <w:bCs/>
          <w:sz w:val="24"/>
          <w:szCs w:val="24"/>
        </w:rPr>
        <w:t xml:space="preserve"> </w:t>
      </w:r>
      <w:r w:rsidRPr="00683034" w:rsidR="00FA79E7">
        <w:rPr>
          <w:b/>
          <w:bCs/>
          <w:sz w:val="24"/>
          <w:szCs w:val="24"/>
        </w:rPr>
        <w:t>2022</w:t>
      </w:r>
    </w:p>
    <w:p w:rsidRPr="00683034" w:rsidR="001565F9" w:rsidP="005132BB" w:rsidRDefault="001565F9" w14:paraId="5F0F5054" w14:textId="77777777">
      <w:pPr>
        <w:rPr>
          <w:sz w:val="24"/>
          <w:szCs w:val="24"/>
          <w:lang w:val="es-ES"/>
        </w:rPr>
      </w:pPr>
    </w:p>
    <w:p w:rsidRPr="00683034" w:rsidR="005132BB" w:rsidP="00626C39" w:rsidRDefault="005132BB" w14:paraId="69899961" w14:textId="77777777">
      <w:pPr>
        <w:rPr>
          <w:color w:val="auto"/>
          <w:sz w:val="24"/>
          <w:szCs w:val="24"/>
        </w:rPr>
      </w:pPr>
    </w:p>
    <w:p w:rsidRPr="00683034" w:rsidR="27553789" w:rsidP="20EBB8F7" w:rsidRDefault="004B1E4E" w14:paraId="64B92EAF" w14:textId="1A82C569">
      <w:pPr>
        <w:jc w:val="both"/>
        <w:rPr>
          <w:b/>
          <w:bCs/>
          <w:sz w:val="24"/>
          <w:szCs w:val="24"/>
        </w:rPr>
      </w:pPr>
      <w:r w:rsidRPr="00683034">
        <w:rPr>
          <w:b/>
          <w:sz w:val="24"/>
          <w:szCs w:val="24"/>
        </w:rPr>
        <w:t xml:space="preserve">The Advocates for Human Rights </w:t>
      </w:r>
      <w:r w:rsidRPr="00683034">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683034">
        <w:rPr>
          <w:sz w:val="24"/>
          <w:szCs w:val="24"/>
          <w:lang w:val="es-ES"/>
        </w:rPr>
        <w:t>including</w:t>
      </w:r>
      <w:r w:rsidRPr="00683034">
        <w:rPr>
          <w:sz w:val="24"/>
          <w:szCs w:val="24"/>
        </w:rPr>
        <w:t xml:space="preserve"> monitoring and fact finding, direct legal representation, education and training, and publications. </w:t>
      </w:r>
      <w:r w:rsidRPr="00683034" w:rsidR="27553789">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rsidR="00F4107A" w:rsidP="00626C39" w:rsidRDefault="00F4107A" w14:paraId="7AE434B8" w14:textId="77777777">
      <w:pPr>
        <w:rPr>
          <w:color w:val="auto"/>
          <w:sz w:val="24"/>
          <w:szCs w:val="24"/>
        </w:rPr>
      </w:pPr>
    </w:p>
    <w:p w:rsidRPr="00CD7D9E" w:rsidR="00565D56" w:rsidP="00565D56" w:rsidRDefault="00565D56" w14:paraId="47152478" w14:textId="77777777">
      <w:pPr>
        <w:jc w:val="both"/>
        <w:rPr>
          <w:color w:val="000000" w:themeColor="text1"/>
          <w:sz w:val="24"/>
          <w:szCs w:val="24"/>
        </w:rPr>
      </w:pPr>
      <w:r>
        <w:rPr>
          <w:b/>
          <w:bCs/>
          <w:color w:val="000000" w:themeColor="text1"/>
          <w:sz w:val="24"/>
          <w:szCs w:val="24"/>
        </w:rPr>
        <w:t>The World Coalition Against the Death Penalty</w:t>
      </w:r>
      <w:r>
        <w:rPr>
          <w:color w:val="000000" w:themeColor="text1"/>
          <w:sz w:val="24"/>
          <w:szCs w:val="24"/>
        </w:rPr>
        <w:t xml:space="preserve"> </w:t>
      </w:r>
      <w:r w:rsidRPr="00067ECD">
        <w:rPr>
          <w:color w:val="000000" w:themeColor="text1"/>
          <w:sz w:val="24"/>
          <w:szCs w:val="24"/>
        </w:rPr>
        <w:t xml:space="preserve">(World Coalition), an alliance of more than 160 NGOs, bar associations, local </w:t>
      </w:r>
      <w:proofErr w:type="gramStart"/>
      <w:r w:rsidRPr="00067ECD">
        <w:rPr>
          <w:color w:val="000000" w:themeColor="text1"/>
          <w:sz w:val="24"/>
          <w:szCs w:val="24"/>
        </w:rPr>
        <w:t>authorities</w:t>
      </w:r>
      <w:proofErr w:type="gramEnd"/>
      <w:r w:rsidRPr="00067ECD">
        <w:rPr>
          <w:color w:val="000000" w:themeColor="text1"/>
          <w:sz w:val="24"/>
          <w:szCs w:val="24"/>
        </w:rPr>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rsidRPr="00683034" w:rsidR="00565D56" w:rsidP="00626C39" w:rsidRDefault="00565D56" w14:paraId="50437610" w14:textId="77777777">
      <w:pPr>
        <w:rPr>
          <w:color w:val="auto"/>
          <w:sz w:val="24"/>
          <w:szCs w:val="24"/>
        </w:rPr>
      </w:pPr>
    </w:p>
    <w:p w:rsidRPr="00683034" w:rsidR="004B1E4E" w:rsidP="004B1E4E" w:rsidRDefault="004B1E4E" w14:paraId="1FC77D31" w14:textId="77777777">
      <w:pPr>
        <w:jc w:val="center"/>
        <w:rPr>
          <w:b/>
          <w:caps/>
          <w:color w:val="auto"/>
          <w:sz w:val="24"/>
          <w:szCs w:val="24"/>
        </w:rPr>
      </w:pPr>
      <w:r w:rsidRPr="00683034">
        <w:rPr>
          <w:color w:val="auto"/>
          <w:sz w:val="24"/>
          <w:szCs w:val="24"/>
        </w:rPr>
        <w:br w:type="page"/>
      </w:r>
      <w:r w:rsidRPr="00683034">
        <w:rPr>
          <w:b/>
          <w:caps/>
          <w:color w:val="auto"/>
          <w:sz w:val="24"/>
          <w:szCs w:val="24"/>
        </w:rPr>
        <w:lastRenderedPageBreak/>
        <w:t>Executive Summary</w:t>
      </w:r>
    </w:p>
    <w:p w:rsidRPr="00683034" w:rsidR="004B1E4E" w:rsidP="00626C39" w:rsidRDefault="004B1E4E" w14:paraId="431A8E80" w14:textId="77777777">
      <w:pPr>
        <w:rPr>
          <w:color w:val="auto"/>
          <w:sz w:val="24"/>
          <w:szCs w:val="24"/>
        </w:rPr>
      </w:pPr>
    </w:p>
    <w:p w:rsidRPr="00683034" w:rsidR="004B1E4E" w:rsidP="007B46CD" w:rsidRDefault="00FA79E7" w14:paraId="6CD9AC33" w14:textId="5CE2FA45">
      <w:pPr>
        <w:numPr>
          <w:ilvl w:val="0"/>
          <w:numId w:val="7"/>
        </w:numPr>
        <w:spacing w:after="120"/>
        <w:ind w:left="360"/>
        <w:jc w:val="both"/>
        <w:rPr>
          <w:color w:val="auto"/>
          <w:sz w:val="24"/>
          <w:szCs w:val="24"/>
        </w:rPr>
      </w:pPr>
      <w:r w:rsidRPr="00683034">
        <w:rPr>
          <w:color w:val="auto"/>
          <w:sz w:val="24"/>
          <w:szCs w:val="24"/>
        </w:rPr>
        <w:t xml:space="preserve">Qatar had </w:t>
      </w:r>
      <w:r w:rsidR="00C775ED">
        <w:rPr>
          <w:color w:val="auto"/>
          <w:sz w:val="24"/>
          <w:szCs w:val="24"/>
        </w:rPr>
        <w:t xml:space="preserve">been </w:t>
      </w:r>
      <w:r w:rsidRPr="00683034">
        <w:rPr>
          <w:color w:val="auto"/>
          <w:sz w:val="24"/>
          <w:szCs w:val="24"/>
        </w:rPr>
        <w:t>maintain</w:t>
      </w:r>
      <w:r w:rsidR="00C775ED">
        <w:rPr>
          <w:color w:val="auto"/>
          <w:sz w:val="24"/>
          <w:szCs w:val="24"/>
        </w:rPr>
        <w:t>ing</w:t>
      </w:r>
      <w:r w:rsidRPr="00683034">
        <w:rPr>
          <w:color w:val="auto"/>
          <w:sz w:val="24"/>
          <w:szCs w:val="24"/>
        </w:rPr>
        <w:t xml:space="preserve"> a de facto moratorium on executions since 2000, </w:t>
      </w:r>
      <w:r w:rsidR="00C775ED">
        <w:rPr>
          <w:color w:val="auto"/>
          <w:sz w:val="24"/>
          <w:szCs w:val="24"/>
        </w:rPr>
        <w:t>but</w:t>
      </w:r>
      <w:r w:rsidRPr="00683034">
        <w:rPr>
          <w:color w:val="auto"/>
          <w:sz w:val="24"/>
          <w:szCs w:val="24"/>
        </w:rPr>
        <w:t xml:space="preserve"> courts continued to sentence people to death. In 2020, however, Qatar executed a Nepali migrant worker by firing squad.</w:t>
      </w:r>
      <w:r w:rsidRPr="00683034">
        <w:rPr>
          <w:rStyle w:val="FootnoteReference"/>
          <w:color w:val="auto"/>
          <w:sz w:val="24"/>
          <w:szCs w:val="24"/>
        </w:rPr>
        <w:footnoteReference w:id="1"/>
      </w:r>
      <w:r w:rsidR="003B1454">
        <w:rPr>
          <w:color w:val="auto"/>
          <w:sz w:val="24"/>
          <w:szCs w:val="24"/>
        </w:rPr>
        <w:t xml:space="preserve"> </w:t>
      </w:r>
      <w:r w:rsidRPr="00683034">
        <w:rPr>
          <w:color w:val="auto"/>
          <w:sz w:val="24"/>
          <w:szCs w:val="24"/>
        </w:rPr>
        <w:t>Qatar’s death penalty practices are not in compliance with the Covenant. Qatar does not limit the death penalty to the most serious crimes, it is not taking steps toward a de jure moratorium on executions or ratification of the Second Optional Protocol, and it does not ensure that defendants in capital cases have a fair trial.</w:t>
      </w:r>
      <w:r w:rsidR="00C775ED">
        <w:rPr>
          <w:color w:val="auto"/>
          <w:sz w:val="24"/>
          <w:szCs w:val="24"/>
        </w:rPr>
        <w:t xml:space="preserve"> Recent history suggests that a migrant worker may be more likely to be sentenced to death and executed for killing a Qatari national, as opposed to a non-citizen.</w:t>
      </w:r>
      <w:r w:rsidRPr="00683034">
        <w:rPr>
          <w:color w:val="auto"/>
          <w:sz w:val="24"/>
          <w:szCs w:val="24"/>
        </w:rPr>
        <w:t xml:space="preserve"> Migrant workers are particularly vulnerable in the context of the country’s criminal legal system.</w:t>
      </w:r>
    </w:p>
    <w:p w:rsidRPr="00683034" w:rsidR="008F2F99" w:rsidP="00FA79E7" w:rsidRDefault="00FA79E7" w14:paraId="7D63A007" w14:textId="21D22CEF">
      <w:pPr>
        <w:spacing w:after="120"/>
        <w:jc w:val="center"/>
        <w:rPr>
          <w:b/>
          <w:color w:val="auto"/>
          <w:sz w:val="24"/>
          <w:szCs w:val="24"/>
        </w:rPr>
      </w:pPr>
      <w:r w:rsidRPr="00683034">
        <w:rPr>
          <w:b/>
          <w:color w:val="auto"/>
          <w:sz w:val="24"/>
          <w:szCs w:val="24"/>
        </w:rPr>
        <w:t>Qatar</w:t>
      </w:r>
      <w:r w:rsidRPr="00683034" w:rsidR="008F2F99">
        <w:rPr>
          <w:b/>
          <w:color w:val="auto"/>
          <w:sz w:val="24"/>
          <w:szCs w:val="24"/>
        </w:rPr>
        <w:t xml:space="preserve"> fails to uphold its obligations under the </w:t>
      </w:r>
      <w:r w:rsidRPr="00683034">
        <w:rPr>
          <w:b/>
          <w:color w:val="auto"/>
          <w:sz w:val="24"/>
          <w:szCs w:val="24"/>
        </w:rPr>
        <w:t>International Covenant on Civil and Political Rights</w:t>
      </w:r>
    </w:p>
    <w:p w:rsidRPr="00683034" w:rsidR="004B1E4E" w:rsidP="00E114C5" w:rsidRDefault="00FA79E7" w14:paraId="71FF20C1" w14:textId="3D532E75">
      <w:pPr>
        <w:keepNext/>
        <w:numPr>
          <w:ilvl w:val="0"/>
          <w:numId w:val="8"/>
        </w:numPr>
        <w:spacing w:before="240" w:after="120"/>
        <w:ind w:left="720" w:hanging="360"/>
        <w:rPr>
          <w:b/>
          <w:color w:val="auto"/>
          <w:sz w:val="24"/>
          <w:szCs w:val="24"/>
        </w:rPr>
      </w:pPr>
      <w:r w:rsidRPr="00683034">
        <w:rPr>
          <w:b/>
          <w:color w:val="auto"/>
          <w:sz w:val="24"/>
          <w:szCs w:val="24"/>
        </w:rPr>
        <w:t>Qatar’s death penalty practices are not in compliance with Articles 6 and 7 of the Covenant (List of Issues Paragraph 10).</w:t>
      </w:r>
    </w:p>
    <w:p w:rsidRPr="00683034" w:rsidR="00F16374" w:rsidP="00F16374" w:rsidRDefault="00FA79E7" w14:paraId="6BCB9A46" w14:textId="6575B383">
      <w:pPr>
        <w:numPr>
          <w:ilvl w:val="0"/>
          <w:numId w:val="7"/>
        </w:numPr>
        <w:spacing w:after="120"/>
        <w:ind w:left="360"/>
        <w:jc w:val="both"/>
        <w:rPr>
          <w:color w:val="auto"/>
          <w:sz w:val="24"/>
          <w:szCs w:val="24"/>
        </w:rPr>
      </w:pPr>
      <w:bookmarkStart w:name="_Ref94212013" w:id="0"/>
      <w:r w:rsidRPr="00683034">
        <w:rPr>
          <w:color w:val="auto"/>
          <w:sz w:val="24"/>
          <w:szCs w:val="24"/>
        </w:rPr>
        <w:t>The Committee requested “additional information about the safeguards in place to ensure that the use of the death penalty in [Qatar] is compliant with the requirements of the Covenant .</w:t>
      </w:r>
      <w:r w:rsidRPr="00683034" w:rsidR="009A3391">
        <w:rPr>
          <w:color w:val="auto"/>
          <w:sz w:val="24"/>
          <w:szCs w:val="24"/>
        </w:rPr>
        <w:t> </w:t>
      </w:r>
      <w:r w:rsidRPr="00683034">
        <w:rPr>
          <w:color w:val="auto"/>
          <w:sz w:val="24"/>
          <w:szCs w:val="24"/>
        </w:rPr>
        <w:t>.</w:t>
      </w:r>
      <w:r w:rsidRPr="00683034" w:rsidR="009A3391">
        <w:rPr>
          <w:color w:val="auto"/>
          <w:sz w:val="24"/>
          <w:szCs w:val="24"/>
        </w:rPr>
        <w:t> </w:t>
      </w:r>
      <w:r w:rsidRPr="00683034">
        <w:rPr>
          <w:color w:val="auto"/>
          <w:sz w:val="24"/>
          <w:szCs w:val="24"/>
        </w:rPr>
        <w:t>.</w:t>
      </w:r>
      <w:r w:rsidRPr="00683034" w:rsidR="009A3391">
        <w:rPr>
          <w:color w:val="auto"/>
          <w:sz w:val="24"/>
          <w:szCs w:val="24"/>
        </w:rPr>
        <w:t> </w:t>
      </w:r>
      <w:r w:rsidRPr="00683034">
        <w:rPr>
          <w:color w:val="auto"/>
          <w:sz w:val="24"/>
          <w:szCs w:val="24"/>
        </w:rPr>
        <w:t>.”</w:t>
      </w:r>
      <w:r w:rsidRPr="00683034">
        <w:rPr>
          <w:rStyle w:val="FootnoteReference"/>
          <w:color w:val="auto"/>
          <w:sz w:val="24"/>
          <w:szCs w:val="24"/>
        </w:rPr>
        <w:footnoteReference w:id="2"/>
      </w:r>
      <w:r w:rsidR="003B1454">
        <w:rPr>
          <w:color w:val="auto"/>
          <w:sz w:val="24"/>
          <w:szCs w:val="24"/>
        </w:rPr>
        <w:t xml:space="preserve"> </w:t>
      </w:r>
      <w:r w:rsidRPr="00683034">
        <w:rPr>
          <w:color w:val="auto"/>
          <w:sz w:val="24"/>
          <w:szCs w:val="24"/>
        </w:rPr>
        <w:t>Qatar asserts that “Legislators have set tight controls on the application of the death penalty whereby its use is restricted within strict limits. This is consistent with article 6 of the Covenant and with the Committee’s general comment No. 36 on the right to life.”</w:t>
      </w:r>
      <w:r w:rsidRPr="00683034" w:rsidR="003B1CD1">
        <w:rPr>
          <w:rStyle w:val="FootnoteReference"/>
          <w:color w:val="auto"/>
          <w:sz w:val="24"/>
          <w:szCs w:val="24"/>
        </w:rPr>
        <w:footnoteReference w:id="3"/>
      </w:r>
      <w:bookmarkEnd w:id="0"/>
    </w:p>
    <w:p w:rsidRPr="00683034" w:rsidR="00AC040C" w:rsidP="00AC040C" w:rsidRDefault="003B1CD1" w14:paraId="1F227CA7" w14:textId="0419FADF">
      <w:pPr>
        <w:numPr>
          <w:ilvl w:val="0"/>
          <w:numId w:val="7"/>
        </w:numPr>
        <w:spacing w:after="120"/>
        <w:ind w:left="360"/>
        <w:jc w:val="both"/>
        <w:rPr>
          <w:color w:val="auto"/>
          <w:sz w:val="24"/>
          <w:szCs w:val="24"/>
        </w:rPr>
      </w:pPr>
      <w:r w:rsidRPr="00683034">
        <w:rPr>
          <w:color w:val="auto"/>
          <w:sz w:val="24"/>
          <w:szCs w:val="24"/>
        </w:rPr>
        <w:t>Qatari courts sentenced at least one person to death in 2018, at least two people in 2019, and at least four people in 2020. Qatar carried out one execution in 2020.</w:t>
      </w:r>
      <w:r w:rsidRPr="00683034">
        <w:rPr>
          <w:rStyle w:val="FootnoteReference"/>
          <w:color w:val="auto"/>
          <w:sz w:val="24"/>
          <w:szCs w:val="24"/>
        </w:rPr>
        <w:footnoteReference w:id="4"/>
      </w:r>
      <w:r w:rsidR="003B1454">
        <w:rPr>
          <w:color w:val="auto"/>
          <w:sz w:val="24"/>
          <w:szCs w:val="24"/>
        </w:rPr>
        <w:t xml:space="preserve"> </w:t>
      </w:r>
      <w:r w:rsidRPr="00683034">
        <w:rPr>
          <w:color w:val="auto"/>
          <w:sz w:val="24"/>
          <w:szCs w:val="24"/>
        </w:rPr>
        <w:t>Prior to 2020, Qatar’s last known execution took place in 2000.</w:t>
      </w:r>
      <w:r w:rsidRPr="00683034">
        <w:rPr>
          <w:rStyle w:val="FootnoteReference"/>
          <w:color w:val="auto"/>
          <w:sz w:val="24"/>
          <w:szCs w:val="24"/>
        </w:rPr>
        <w:footnoteReference w:id="5"/>
      </w:r>
    </w:p>
    <w:p w:rsidRPr="00683034" w:rsidR="003B1CD1" w:rsidP="00AA31E3" w:rsidRDefault="003B1CD1" w14:paraId="2E74917C" w14:textId="23641166">
      <w:pPr>
        <w:numPr>
          <w:ilvl w:val="0"/>
          <w:numId w:val="13"/>
        </w:numPr>
        <w:spacing w:after="120"/>
        <w:jc w:val="both"/>
        <w:rPr>
          <w:b/>
          <w:bCs/>
          <w:color w:val="auto"/>
          <w:sz w:val="24"/>
          <w:szCs w:val="24"/>
        </w:rPr>
      </w:pPr>
      <w:r w:rsidRPr="00683034">
        <w:rPr>
          <w:b/>
          <w:bCs/>
          <w:color w:val="auto"/>
          <w:sz w:val="24"/>
          <w:szCs w:val="24"/>
        </w:rPr>
        <w:t>Qatar does not limit the death penalty to the most serious crimes.</w:t>
      </w:r>
    </w:p>
    <w:p w:rsidRPr="00683034" w:rsidR="003B1CD1" w:rsidP="003B1CD1" w:rsidRDefault="003B1CD1" w14:paraId="2BE8B261" w14:textId="3F69E136">
      <w:pPr>
        <w:numPr>
          <w:ilvl w:val="0"/>
          <w:numId w:val="7"/>
        </w:numPr>
        <w:spacing w:after="120"/>
        <w:ind w:left="360"/>
        <w:jc w:val="both"/>
        <w:rPr>
          <w:sz w:val="24"/>
          <w:szCs w:val="24"/>
        </w:rPr>
      </w:pPr>
      <w:r w:rsidRPr="00683034">
        <w:rPr>
          <w:sz w:val="24"/>
          <w:szCs w:val="24"/>
        </w:rPr>
        <w:t xml:space="preserve">The </w:t>
      </w:r>
      <w:r w:rsidRPr="00683034">
        <w:rPr>
          <w:color w:val="auto"/>
          <w:sz w:val="24"/>
          <w:szCs w:val="24"/>
        </w:rPr>
        <w:t>Committee</w:t>
      </w:r>
      <w:r w:rsidRPr="00683034">
        <w:rPr>
          <w:sz w:val="24"/>
          <w:szCs w:val="24"/>
        </w:rPr>
        <w:t xml:space="preserve"> also asked for information about which crimes carry the death penalty and whether such provisions are compatible with the Covenant.</w:t>
      </w:r>
      <w:r w:rsidRPr="00683034">
        <w:rPr>
          <w:rStyle w:val="FootnoteReference"/>
          <w:sz w:val="24"/>
          <w:szCs w:val="24"/>
        </w:rPr>
        <w:footnoteReference w:id="6"/>
      </w:r>
      <w:r w:rsidRPr="00683034">
        <w:rPr>
          <w:sz w:val="24"/>
          <w:szCs w:val="24"/>
        </w:rPr>
        <w:t xml:space="preserve"> </w:t>
      </w:r>
    </w:p>
    <w:p w:rsidRPr="00683034" w:rsidR="003B1CD1" w:rsidP="003B1CD1" w:rsidRDefault="003B1CD1" w14:paraId="283388E2" w14:textId="37248E02">
      <w:pPr>
        <w:numPr>
          <w:ilvl w:val="0"/>
          <w:numId w:val="7"/>
        </w:numPr>
        <w:spacing w:after="120"/>
        <w:ind w:left="360"/>
        <w:jc w:val="both"/>
        <w:rPr>
          <w:sz w:val="24"/>
          <w:szCs w:val="24"/>
        </w:rPr>
      </w:pPr>
      <w:r w:rsidRPr="00683034">
        <w:rPr>
          <w:sz w:val="24"/>
          <w:szCs w:val="24"/>
        </w:rPr>
        <w:t>Despite Qatar’s assertions</w:t>
      </w:r>
      <w:r w:rsidR="009E6ADC">
        <w:rPr>
          <w:sz w:val="24"/>
          <w:szCs w:val="24"/>
        </w:rPr>
        <w:t xml:space="preserve"> (see paragraph </w:t>
      </w:r>
      <w:r w:rsidR="009E6ADC">
        <w:rPr>
          <w:sz w:val="24"/>
          <w:szCs w:val="24"/>
        </w:rPr>
        <w:fldChar w:fldCharType="begin"/>
      </w:r>
      <w:r w:rsidR="009E6ADC">
        <w:rPr>
          <w:sz w:val="24"/>
          <w:szCs w:val="24"/>
        </w:rPr>
        <w:instrText xml:space="preserve"> REF _Ref94212013 \r \h </w:instrText>
      </w:r>
      <w:r w:rsidR="009E6ADC">
        <w:rPr>
          <w:sz w:val="24"/>
          <w:szCs w:val="24"/>
        </w:rPr>
      </w:r>
      <w:r w:rsidR="009E6ADC">
        <w:rPr>
          <w:sz w:val="24"/>
          <w:szCs w:val="24"/>
        </w:rPr>
        <w:fldChar w:fldCharType="separate"/>
      </w:r>
      <w:r w:rsidR="009E6ADC">
        <w:rPr>
          <w:sz w:val="24"/>
          <w:szCs w:val="24"/>
        </w:rPr>
        <w:t>2</w:t>
      </w:r>
      <w:r w:rsidR="009E6ADC">
        <w:rPr>
          <w:sz w:val="24"/>
          <w:szCs w:val="24"/>
        </w:rPr>
        <w:fldChar w:fldCharType="end"/>
      </w:r>
      <w:r w:rsidR="009E6ADC">
        <w:rPr>
          <w:sz w:val="24"/>
          <w:szCs w:val="24"/>
        </w:rPr>
        <w:t xml:space="preserve"> above)</w:t>
      </w:r>
      <w:r w:rsidRPr="00683034">
        <w:rPr>
          <w:sz w:val="24"/>
          <w:szCs w:val="24"/>
        </w:rPr>
        <w:t xml:space="preserve">, Qatar does not limit the death penalty to intentional killings. Qatar is a constitutional monarchy in which Emir Sheikh Hamad bin Khalifa al-Thani exercises full executive power. Sharia or Islamic law is a primary source of legislation. The Qatari penal code, contained in Law No. 11 of 2004, as amended, stipulates </w:t>
      </w:r>
      <w:proofErr w:type="gramStart"/>
      <w:r w:rsidRPr="00683034">
        <w:rPr>
          <w:sz w:val="24"/>
          <w:szCs w:val="24"/>
        </w:rPr>
        <w:lastRenderedPageBreak/>
        <w:t>that crimes</w:t>
      </w:r>
      <w:proofErr w:type="gramEnd"/>
      <w:r w:rsidRPr="00683034">
        <w:rPr>
          <w:sz w:val="24"/>
          <w:szCs w:val="24"/>
        </w:rPr>
        <w:t xml:space="preserve"> punishable by the death penalty include murder,</w:t>
      </w:r>
      <w:r w:rsidRPr="00683034">
        <w:rPr>
          <w:sz w:val="24"/>
          <w:szCs w:val="24"/>
          <w:vertAlign w:val="superscript"/>
        </w:rPr>
        <w:footnoteReference w:id="7"/>
      </w:r>
      <w:r w:rsidRPr="00683034">
        <w:rPr>
          <w:sz w:val="24"/>
          <w:szCs w:val="24"/>
        </w:rPr>
        <w:t xml:space="preserve"> abduction leading to death,</w:t>
      </w:r>
      <w:r w:rsidRPr="00683034">
        <w:rPr>
          <w:sz w:val="24"/>
          <w:szCs w:val="24"/>
          <w:vertAlign w:val="superscript"/>
        </w:rPr>
        <w:footnoteReference w:id="8"/>
      </w:r>
      <w:r w:rsidRPr="00683034">
        <w:rPr>
          <w:sz w:val="24"/>
          <w:szCs w:val="24"/>
        </w:rPr>
        <w:t xml:space="preserve"> 11 terrorism-related offenses,</w:t>
      </w:r>
      <w:r w:rsidRPr="00683034">
        <w:rPr>
          <w:sz w:val="24"/>
          <w:szCs w:val="24"/>
          <w:vertAlign w:val="superscript"/>
        </w:rPr>
        <w:footnoteReference w:id="9"/>
      </w:r>
      <w:r w:rsidRPr="00683034">
        <w:rPr>
          <w:sz w:val="24"/>
          <w:szCs w:val="24"/>
        </w:rPr>
        <w:t xml:space="preserve"> rape,</w:t>
      </w:r>
      <w:r w:rsidRPr="00683034">
        <w:rPr>
          <w:sz w:val="24"/>
          <w:szCs w:val="24"/>
          <w:vertAlign w:val="superscript"/>
        </w:rPr>
        <w:footnoteReference w:id="10"/>
      </w:r>
      <w:r w:rsidRPr="00683034">
        <w:rPr>
          <w:sz w:val="24"/>
          <w:szCs w:val="24"/>
        </w:rPr>
        <w:t xml:space="preserve"> incest,</w:t>
      </w:r>
      <w:r w:rsidRPr="00683034">
        <w:rPr>
          <w:sz w:val="24"/>
          <w:szCs w:val="24"/>
          <w:vertAlign w:val="superscript"/>
        </w:rPr>
        <w:footnoteReference w:id="11"/>
      </w:r>
      <w:r w:rsidRPr="00683034">
        <w:rPr>
          <w:sz w:val="24"/>
          <w:szCs w:val="24"/>
        </w:rPr>
        <w:t xml:space="preserve"> repeat drug trafficking offenses, treason,</w:t>
      </w:r>
      <w:r w:rsidRPr="00683034">
        <w:rPr>
          <w:sz w:val="24"/>
          <w:szCs w:val="24"/>
          <w:vertAlign w:val="superscript"/>
        </w:rPr>
        <w:footnoteReference w:id="12"/>
      </w:r>
      <w:r w:rsidRPr="00683034">
        <w:rPr>
          <w:sz w:val="24"/>
          <w:szCs w:val="24"/>
        </w:rPr>
        <w:t xml:space="preserve"> espionage,</w:t>
      </w:r>
      <w:r w:rsidRPr="00683034">
        <w:rPr>
          <w:sz w:val="24"/>
          <w:szCs w:val="24"/>
          <w:vertAlign w:val="superscript"/>
        </w:rPr>
        <w:footnoteReference w:id="13"/>
      </w:r>
      <w:r w:rsidRPr="00683034">
        <w:rPr>
          <w:sz w:val="24"/>
          <w:szCs w:val="24"/>
        </w:rPr>
        <w:t xml:space="preserve"> extortion by threat of accusation of a crime of honor, such as adultery or fornication, and giving false witness with the consequence of inflicting capital punishment on the accused. The penal code also adopts the provisions of Sharia law for certain </w:t>
      </w:r>
      <w:r w:rsidRPr="00683034">
        <w:rPr>
          <w:i/>
          <w:iCs/>
          <w:sz w:val="24"/>
          <w:szCs w:val="24"/>
        </w:rPr>
        <w:t>hudud</w:t>
      </w:r>
      <w:r w:rsidRPr="00683034">
        <w:rPr>
          <w:sz w:val="24"/>
          <w:szCs w:val="24"/>
        </w:rPr>
        <w:t xml:space="preserve"> offenses, ranging from theft and drinking alcohol to apostasy. Such offenses are punishable by death. Death sentences are to be carried out by hanging or firing squad.</w:t>
      </w:r>
      <w:r w:rsidRPr="00683034">
        <w:rPr>
          <w:sz w:val="24"/>
          <w:szCs w:val="24"/>
          <w:vertAlign w:val="superscript"/>
        </w:rPr>
        <w:footnoteReference w:id="14"/>
      </w:r>
      <w:r w:rsidRPr="00683034">
        <w:rPr>
          <w:sz w:val="24"/>
          <w:szCs w:val="24"/>
        </w:rPr>
        <w:t xml:space="preserve"> </w:t>
      </w:r>
    </w:p>
    <w:p w:rsidRPr="00683034" w:rsidR="003B1CD1" w:rsidP="003B1CD1" w:rsidRDefault="003B1CD1" w14:paraId="5C1710CE" w14:textId="7404BAAC">
      <w:pPr>
        <w:numPr>
          <w:ilvl w:val="0"/>
          <w:numId w:val="7"/>
        </w:numPr>
        <w:spacing w:after="120"/>
        <w:ind w:left="360"/>
        <w:jc w:val="both"/>
        <w:rPr>
          <w:sz w:val="24"/>
          <w:szCs w:val="24"/>
        </w:rPr>
      </w:pPr>
      <w:r w:rsidRPr="00683034">
        <w:rPr>
          <w:sz w:val="24"/>
          <w:szCs w:val="24"/>
        </w:rPr>
        <w:t xml:space="preserve">A death sentence may not be carried out unless </w:t>
      </w:r>
      <w:r w:rsidR="009E6ADC">
        <w:rPr>
          <w:sz w:val="24"/>
          <w:szCs w:val="24"/>
        </w:rPr>
        <w:t xml:space="preserve">the Emir </w:t>
      </w:r>
      <w:r w:rsidRPr="00683034">
        <w:rPr>
          <w:sz w:val="24"/>
          <w:szCs w:val="24"/>
        </w:rPr>
        <w:t>ratifie</w:t>
      </w:r>
      <w:r w:rsidR="009E6ADC">
        <w:rPr>
          <w:sz w:val="24"/>
          <w:szCs w:val="24"/>
        </w:rPr>
        <w:t>s it</w:t>
      </w:r>
      <w:r w:rsidRPr="00683034">
        <w:rPr>
          <w:sz w:val="24"/>
          <w:szCs w:val="24"/>
        </w:rPr>
        <w:t>.</w:t>
      </w:r>
      <w:r w:rsidRPr="00683034">
        <w:rPr>
          <w:sz w:val="24"/>
          <w:szCs w:val="24"/>
          <w:vertAlign w:val="superscript"/>
        </w:rPr>
        <w:footnoteReference w:id="15"/>
      </w:r>
      <w:r w:rsidRPr="00683034">
        <w:rPr>
          <w:sz w:val="24"/>
          <w:szCs w:val="24"/>
        </w:rPr>
        <w:t xml:space="preserve"> </w:t>
      </w:r>
      <w:r w:rsidR="00C775ED">
        <w:rPr>
          <w:sz w:val="24"/>
          <w:szCs w:val="24"/>
        </w:rPr>
        <w:t xml:space="preserve">A reviewing court may reduce a </w:t>
      </w:r>
      <w:r w:rsidRPr="00683034">
        <w:rPr>
          <w:sz w:val="24"/>
          <w:szCs w:val="24"/>
        </w:rPr>
        <w:t xml:space="preserve">death penalty to life imprisonment, or to a term of no less than five years, if </w:t>
      </w:r>
      <w:r w:rsidR="00C775ED">
        <w:rPr>
          <w:sz w:val="24"/>
          <w:szCs w:val="24"/>
        </w:rPr>
        <w:t xml:space="preserve">it </w:t>
      </w:r>
      <w:r w:rsidRPr="00683034">
        <w:rPr>
          <w:sz w:val="24"/>
          <w:szCs w:val="24"/>
        </w:rPr>
        <w:t>determines that mercy is warranted.</w:t>
      </w:r>
      <w:r w:rsidRPr="00683034">
        <w:rPr>
          <w:sz w:val="24"/>
          <w:szCs w:val="24"/>
          <w:vertAlign w:val="superscript"/>
        </w:rPr>
        <w:footnoteReference w:id="16"/>
      </w:r>
      <w:r w:rsidRPr="00683034">
        <w:rPr>
          <w:sz w:val="24"/>
          <w:szCs w:val="24"/>
        </w:rPr>
        <w:t xml:space="preserve"> The death penalty for the crime of murder may be commuted to a term of imprisonment if the “avenger of blood heir” forgives or accepts “blood money” from the offender.</w:t>
      </w:r>
      <w:r w:rsidRPr="00683034">
        <w:rPr>
          <w:sz w:val="24"/>
          <w:szCs w:val="24"/>
          <w:vertAlign w:val="superscript"/>
        </w:rPr>
        <w:footnoteReference w:id="17"/>
      </w:r>
      <w:r w:rsidRPr="00683034">
        <w:rPr>
          <w:sz w:val="24"/>
          <w:szCs w:val="24"/>
        </w:rPr>
        <w:t xml:space="preserve"> </w:t>
      </w:r>
    </w:p>
    <w:p w:rsidRPr="00683034" w:rsidR="0051494C" w:rsidP="003B1CD1" w:rsidRDefault="003B1CD1" w14:paraId="45771436" w14:textId="71C5B991">
      <w:pPr>
        <w:numPr>
          <w:ilvl w:val="0"/>
          <w:numId w:val="7"/>
        </w:numPr>
        <w:spacing w:after="120"/>
        <w:ind w:left="360"/>
        <w:jc w:val="both"/>
        <w:rPr>
          <w:color w:val="auto"/>
          <w:sz w:val="24"/>
          <w:szCs w:val="24"/>
        </w:rPr>
      </w:pPr>
      <w:r w:rsidRPr="00683034">
        <w:rPr>
          <w:sz w:val="24"/>
          <w:szCs w:val="24"/>
        </w:rPr>
        <w:t>Death sentences may not be imposed on persons who were under the age of 18 at the time of the offense,</w:t>
      </w:r>
      <w:r w:rsidRPr="00683034">
        <w:rPr>
          <w:sz w:val="24"/>
          <w:szCs w:val="24"/>
          <w:vertAlign w:val="superscript"/>
        </w:rPr>
        <w:footnoteReference w:id="18"/>
      </w:r>
      <w:r w:rsidRPr="00683034">
        <w:rPr>
          <w:sz w:val="24"/>
          <w:szCs w:val="24"/>
        </w:rPr>
        <w:t xml:space="preserve"> pregnant women, and people with severe psycho-social disabilities.</w:t>
      </w:r>
      <w:r w:rsidRPr="00683034">
        <w:rPr>
          <w:rStyle w:val="FootnoteReference"/>
          <w:sz w:val="24"/>
          <w:szCs w:val="24"/>
        </w:rPr>
        <w:footnoteReference w:id="19"/>
      </w:r>
      <w:r w:rsidRPr="00683034">
        <w:rPr>
          <w:sz w:val="24"/>
          <w:szCs w:val="24"/>
        </w:rPr>
        <w:t xml:space="preserve"> For persons with intellectual disabilities, “‘mental defect’ resulting in partial incapacity is an extenuating excuse, while total incapacity precludes criminal responsibility.”</w:t>
      </w:r>
      <w:r w:rsidRPr="00683034">
        <w:rPr>
          <w:rStyle w:val="FootnoteReference"/>
          <w:sz w:val="24"/>
          <w:szCs w:val="24"/>
        </w:rPr>
        <w:footnoteReference w:id="20"/>
      </w:r>
    </w:p>
    <w:p w:rsidRPr="00683034" w:rsidR="009A3391" w:rsidP="00AA31E3" w:rsidRDefault="009A3391" w14:paraId="496CECCE" w14:textId="1E98E2DF">
      <w:pPr>
        <w:numPr>
          <w:ilvl w:val="0"/>
          <w:numId w:val="13"/>
        </w:numPr>
        <w:spacing w:after="120"/>
        <w:ind w:left="900" w:hanging="540"/>
        <w:jc w:val="both"/>
        <w:rPr>
          <w:b/>
          <w:bCs/>
          <w:color w:val="auto"/>
          <w:sz w:val="24"/>
          <w:szCs w:val="24"/>
        </w:rPr>
      </w:pPr>
      <w:r w:rsidRPr="00683034">
        <w:rPr>
          <w:b/>
          <w:bCs/>
          <w:color w:val="auto"/>
          <w:sz w:val="24"/>
          <w:szCs w:val="24"/>
        </w:rPr>
        <w:t xml:space="preserve">In 2020, Qatar ended its de facto moratorium on </w:t>
      </w:r>
      <w:proofErr w:type="gramStart"/>
      <w:r w:rsidRPr="00683034">
        <w:rPr>
          <w:b/>
          <w:bCs/>
          <w:color w:val="auto"/>
          <w:sz w:val="24"/>
          <w:szCs w:val="24"/>
        </w:rPr>
        <w:t>executions</w:t>
      </w:r>
      <w:proofErr w:type="gramEnd"/>
      <w:r w:rsidRPr="00683034">
        <w:rPr>
          <w:b/>
          <w:bCs/>
          <w:color w:val="auto"/>
          <w:sz w:val="24"/>
          <w:szCs w:val="24"/>
        </w:rPr>
        <w:t xml:space="preserve"> and it has not indicated willingness to institute a formal moratorium on the death penalty or ratify the Second Optional Protocol.</w:t>
      </w:r>
    </w:p>
    <w:p w:rsidRPr="00683034" w:rsidR="00F16374" w:rsidP="0051494C" w:rsidRDefault="009A3391" w14:paraId="7BD70880" w14:textId="4EDE4F9D">
      <w:pPr>
        <w:numPr>
          <w:ilvl w:val="0"/>
          <w:numId w:val="7"/>
        </w:numPr>
        <w:spacing w:after="120"/>
        <w:ind w:left="360"/>
        <w:jc w:val="both"/>
        <w:rPr>
          <w:color w:val="auto"/>
          <w:sz w:val="24"/>
          <w:szCs w:val="24"/>
        </w:rPr>
      </w:pPr>
      <w:r w:rsidRPr="00683034">
        <w:rPr>
          <w:color w:val="auto"/>
          <w:sz w:val="24"/>
          <w:szCs w:val="24"/>
        </w:rPr>
        <w:t>The Committee asked whether Qatar “intends to take steps towards a full moratorium on the death penalty and whether it is considering ratifying the Second Optional Protocol to the International Covenant on Civil and Political Rights, aiming at the abolition of the death penalty.”</w:t>
      </w:r>
      <w:r w:rsidRPr="00683034">
        <w:rPr>
          <w:rStyle w:val="FootnoteReference"/>
          <w:color w:val="auto"/>
          <w:sz w:val="24"/>
          <w:szCs w:val="24"/>
        </w:rPr>
        <w:footnoteReference w:id="21"/>
      </w:r>
      <w:r w:rsidR="003B1454">
        <w:rPr>
          <w:color w:val="auto"/>
          <w:sz w:val="24"/>
          <w:szCs w:val="24"/>
        </w:rPr>
        <w:t xml:space="preserve"> </w:t>
      </w:r>
      <w:r w:rsidRPr="00683034">
        <w:rPr>
          <w:color w:val="auto"/>
          <w:sz w:val="24"/>
          <w:szCs w:val="24"/>
        </w:rPr>
        <w:t>Qatar offers a generic response on ratification of outstanding human rights treaties, explaining that “the State has also embraced the principle of gradual accession, as it believes that quality is more important than quantity.”</w:t>
      </w:r>
      <w:r w:rsidRPr="00683034">
        <w:rPr>
          <w:rStyle w:val="FootnoteReference"/>
          <w:color w:val="auto"/>
          <w:sz w:val="24"/>
          <w:szCs w:val="24"/>
        </w:rPr>
        <w:footnoteReference w:id="22"/>
      </w:r>
      <w:r w:rsidR="003B1454">
        <w:rPr>
          <w:color w:val="auto"/>
          <w:sz w:val="24"/>
          <w:szCs w:val="24"/>
        </w:rPr>
        <w:t xml:space="preserve"> </w:t>
      </w:r>
      <w:r w:rsidRPr="00683034">
        <w:rPr>
          <w:color w:val="auto"/>
          <w:sz w:val="24"/>
          <w:szCs w:val="24"/>
        </w:rPr>
        <w:t>In 2018 and 2020,</w:t>
      </w:r>
      <w:r w:rsidR="003B1454">
        <w:rPr>
          <w:color w:val="auto"/>
          <w:sz w:val="24"/>
          <w:szCs w:val="24"/>
        </w:rPr>
        <w:t xml:space="preserve"> </w:t>
      </w:r>
      <w:r w:rsidRPr="00683034">
        <w:rPr>
          <w:color w:val="auto"/>
          <w:sz w:val="24"/>
          <w:szCs w:val="24"/>
        </w:rPr>
        <w:t xml:space="preserve">Qatar voted against the </w:t>
      </w:r>
      <w:r w:rsidRPr="00683034">
        <w:rPr>
          <w:color w:val="auto"/>
          <w:sz w:val="24"/>
          <w:szCs w:val="24"/>
        </w:rPr>
        <w:lastRenderedPageBreak/>
        <w:t>United Nation’s General Assembly Resolution on the moratorium on the use of the death penalty</w:t>
      </w:r>
      <w:r w:rsidRPr="00683034">
        <w:rPr>
          <w:rStyle w:val="FootnoteReference"/>
          <w:color w:val="auto"/>
          <w:sz w:val="24"/>
          <w:szCs w:val="24"/>
        </w:rPr>
        <w:footnoteReference w:id="23"/>
      </w:r>
      <w:r w:rsidRPr="00683034">
        <w:rPr>
          <w:color w:val="auto"/>
          <w:sz w:val="24"/>
          <w:szCs w:val="24"/>
        </w:rPr>
        <w:t xml:space="preserve"> and</w:t>
      </w:r>
      <w:r w:rsidR="009E6ADC">
        <w:rPr>
          <w:color w:val="auto"/>
          <w:sz w:val="24"/>
          <w:szCs w:val="24"/>
        </w:rPr>
        <w:t xml:space="preserve"> it</w:t>
      </w:r>
      <w:r w:rsidRPr="00683034">
        <w:rPr>
          <w:color w:val="auto"/>
          <w:sz w:val="24"/>
          <w:szCs w:val="24"/>
        </w:rPr>
        <w:t xml:space="preserve"> </w:t>
      </w:r>
      <w:r w:rsidR="009E6ADC">
        <w:rPr>
          <w:color w:val="auto"/>
          <w:sz w:val="24"/>
          <w:szCs w:val="24"/>
        </w:rPr>
        <w:t>has</w:t>
      </w:r>
      <w:r w:rsidRPr="00683034">
        <w:rPr>
          <w:color w:val="auto"/>
          <w:sz w:val="24"/>
          <w:szCs w:val="24"/>
        </w:rPr>
        <w:t xml:space="preserve"> yet to ratify the Second Optional Protocol.</w:t>
      </w:r>
    </w:p>
    <w:p w:rsidRPr="00683034" w:rsidR="00683034" w:rsidP="0051494C" w:rsidRDefault="00683034" w14:paraId="0D4AFCF9" w14:textId="54F6D478">
      <w:pPr>
        <w:numPr>
          <w:ilvl w:val="0"/>
          <w:numId w:val="7"/>
        </w:numPr>
        <w:spacing w:after="120"/>
        <w:ind w:left="360"/>
        <w:jc w:val="both"/>
        <w:rPr>
          <w:color w:val="auto"/>
          <w:sz w:val="24"/>
          <w:szCs w:val="24"/>
        </w:rPr>
      </w:pPr>
      <w:r w:rsidRPr="00683034">
        <w:rPr>
          <w:color w:val="auto"/>
          <w:sz w:val="24"/>
          <w:szCs w:val="24"/>
        </w:rPr>
        <w:t>Indeed, Qatar appears to be moving in the opposite direction. It resumed executions in 2020 and sentenced at least four people to death in that year, up from 1-2 death sentences per year in previous years.</w:t>
      </w:r>
    </w:p>
    <w:p w:rsidRPr="00683034" w:rsidR="00683034" w:rsidP="00AA31E3" w:rsidRDefault="00683034" w14:paraId="0D538E29" w14:textId="197FE579">
      <w:pPr>
        <w:numPr>
          <w:ilvl w:val="0"/>
          <w:numId w:val="13"/>
        </w:numPr>
        <w:spacing w:after="120"/>
        <w:ind w:left="900" w:hanging="540"/>
        <w:jc w:val="both"/>
        <w:rPr>
          <w:b/>
          <w:bCs/>
          <w:color w:val="auto"/>
          <w:sz w:val="24"/>
          <w:szCs w:val="24"/>
        </w:rPr>
      </w:pPr>
      <w:r w:rsidRPr="00683034">
        <w:rPr>
          <w:b/>
          <w:bCs/>
          <w:color w:val="auto"/>
          <w:sz w:val="24"/>
          <w:szCs w:val="24"/>
        </w:rPr>
        <w:t>Legal proceedings in capital cases lack the procedural safeguards required under Article 6 as well as Articles 2, 7, 9, 10, and 14</w:t>
      </w:r>
      <w:r w:rsidR="00121018">
        <w:rPr>
          <w:b/>
          <w:bCs/>
          <w:color w:val="auto"/>
          <w:sz w:val="24"/>
          <w:szCs w:val="24"/>
        </w:rPr>
        <w:t>, particularly for foreign nationals</w:t>
      </w:r>
      <w:r w:rsidRPr="00683034">
        <w:rPr>
          <w:b/>
          <w:bCs/>
          <w:color w:val="auto"/>
          <w:sz w:val="24"/>
          <w:szCs w:val="24"/>
        </w:rPr>
        <w:t xml:space="preserve"> (List of Issues paragraphs 10 and 21). </w:t>
      </w:r>
    </w:p>
    <w:p w:rsidRPr="00D93243" w:rsidR="00683034" w:rsidP="00683034" w:rsidRDefault="00683034" w14:paraId="2E668E3A" w14:textId="77777777">
      <w:pPr>
        <w:numPr>
          <w:ilvl w:val="0"/>
          <w:numId w:val="7"/>
        </w:numPr>
        <w:spacing w:after="120"/>
        <w:ind w:left="360"/>
        <w:jc w:val="both"/>
        <w:rPr>
          <w:sz w:val="24"/>
          <w:szCs w:val="24"/>
        </w:rPr>
      </w:pPr>
      <w:r w:rsidRPr="00D93243">
        <w:rPr>
          <w:sz w:val="24"/>
          <w:szCs w:val="24"/>
        </w:rPr>
        <w:t xml:space="preserve">The Committee asked about “the steps taken to ensure judicial impartiality and independence and the autonomy of prosecutors,” and requested that Qatar “respond to reports of </w:t>
      </w:r>
      <w:r w:rsidRPr="00683034">
        <w:rPr>
          <w:color w:val="auto"/>
          <w:sz w:val="24"/>
          <w:szCs w:val="24"/>
        </w:rPr>
        <w:t>individuals</w:t>
      </w:r>
      <w:r w:rsidRPr="00D93243">
        <w:rPr>
          <w:sz w:val="24"/>
          <w:szCs w:val="24"/>
        </w:rPr>
        <w:t xml:space="preserve"> being denied the procedural safeguards of a fair trial, contrary to article 14 of the Covenant, such as inadequate access to counsel, including in a language that they can understand, restrictions on defendants’ ability to address the courts, and the use of trials in absentia without adequate attempts to summon defendants.” </w:t>
      </w:r>
      <w:r w:rsidRPr="00D93243">
        <w:rPr>
          <w:rStyle w:val="FootnoteReference"/>
          <w:sz w:val="24"/>
          <w:szCs w:val="24"/>
        </w:rPr>
        <w:footnoteReference w:id="24"/>
      </w:r>
    </w:p>
    <w:p w:rsidR="00683034" w:rsidP="00683034" w:rsidRDefault="00683034" w14:paraId="2F6B0988" w14:textId="40E82C9C">
      <w:pPr>
        <w:numPr>
          <w:ilvl w:val="0"/>
          <w:numId w:val="7"/>
        </w:numPr>
        <w:spacing w:after="120"/>
        <w:ind w:left="360"/>
        <w:jc w:val="both"/>
        <w:rPr>
          <w:sz w:val="24"/>
          <w:szCs w:val="24"/>
        </w:rPr>
      </w:pPr>
      <w:r w:rsidRPr="00D93243">
        <w:rPr>
          <w:sz w:val="24"/>
          <w:szCs w:val="24"/>
        </w:rPr>
        <w:t xml:space="preserve">Qatar asserts that “it has received no complaints of torture or ill-treatment and detected no cases of either. Nor </w:t>
      </w:r>
      <w:r w:rsidRPr="00683034">
        <w:rPr>
          <w:color w:val="auto"/>
        </w:rPr>
        <w:t>has</w:t>
      </w:r>
      <w:r w:rsidRPr="00D93243">
        <w:rPr>
          <w:sz w:val="24"/>
          <w:szCs w:val="24"/>
        </w:rPr>
        <w:t xml:space="preserve"> it received any complaints of abuse of power by police officers assigned to the Ministry [of the Interior] that involves acts meeting the definition of torture.”</w:t>
      </w:r>
      <w:r w:rsidRPr="00D93243">
        <w:rPr>
          <w:rStyle w:val="FootnoteReference"/>
          <w:sz w:val="24"/>
          <w:szCs w:val="24"/>
        </w:rPr>
        <w:footnoteReference w:id="25"/>
      </w:r>
    </w:p>
    <w:p w:rsidRPr="00121018" w:rsidR="00121018" w:rsidP="00121018" w:rsidRDefault="00121018" w14:paraId="26043D8E" w14:textId="7372B5E9">
      <w:pPr>
        <w:numPr>
          <w:ilvl w:val="0"/>
          <w:numId w:val="7"/>
        </w:numPr>
        <w:spacing w:after="120"/>
        <w:ind w:left="360"/>
        <w:jc w:val="both"/>
        <w:rPr>
          <w:color w:val="auto"/>
          <w:sz w:val="24"/>
          <w:szCs w:val="24"/>
        </w:rPr>
      </w:pPr>
      <w:r w:rsidRPr="00683034">
        <w:rPr>
          <w:sz w:val="24"/>
          <w:szCs w:val="24"/>
        </w:rPr>
        <w:t xml:space="preserve">Amnesty International </w:t>
      </w:r>
      <w:r>
        <w:rPr>
          <w:sz w:val="24"/>
          <w:szCs w:val="24"/>
        </w:rPr>
        <w:t xml:space="preserve">has </w:t>
      </w:r>
      <w:r w:rsidRPr="00683034">
        <w:rPr>
          <w:sz w:val="24"/>
          <w:szCs w:val="24"/>
        </w:rPr>
        <w:t xml:space="preserve">reported instances </w:t>
      </w:r>
      <w:r>
        <w:rPr>
          <w:sz w:val="24"/>
          <w:szCs w:val="24"/>
        </w:rPr>
        <w:t xml:space="preserve">in which </w:t>
      </w:r>
      <w:r w:rsidRPr="00683034">
        <w:rPr>
          <w:sz w:val="24"/>
          <w:szCs w:val="24"/>
        </w:rPr>
        <w:t xml:space="preserve">authorities </w:t>
      </w:r>
      <w:r>
        <w:rPr>
          <w:sz w:val="24"/>
          <w:szCs w:val="24"/>
        </w:rPr>
        <w:t xml:space="preserve">used </w:t>
      </w:r>
      <w:r w:rsidRPr="00683034">
        <w:rPr>
          <w:sz w:val="24"/>
          <w:szCs w:val="24"/>
        </w:rPr>
        <w:t xml:space="preserve">torture and </w:t>
      </w:r>
      <w:r>
        <w:rPr>
          <w:sz w:val="24"/>
          <w:szCs w:val="24"/>
        </w:rPr>
        <w:t xml:space="preserve">other forms of </w:t>
      </w:r>
      <w:r w:rsidRPr="00683034">
        <w:rPr>
          <w:sz w:val="24"/>
          <w:szCs w:val="24"/>
        </w:rPr>
        <w:t xml:space="preserve">coercion to obtain evidence </w:t>
      </w:r>
      <w:r>
        <w:rPr>
          <w:sz w:val="24"/>
          <w:szCs w:val="24"/>
        </w:rPr>
        <w:t xml:space="preserve">used </w:t>
      </w:r>
      <w:r w:rsidRPr="00683034">
        <w:rPr>
          <w:sz w:val="24"/>
          <w:szCs w:val="24"/>
        </w:rPr>
        <w:t xml:space="preserve">to </w:t>
      </w:r>
      <w:r w:rsidRPr="00683034">
        <w:rPr>
          <w:sz w:val="24"/>
          <w:szCs w:val="24"/>
          <w:highlight w:val="white"/>
        </w:rPr>
        <w:t>convict</w:t>
      </w:r>
      <w:r w:rsidRPr="00683034">
        <w:rPr>
          <w:sz w:val="24"/>
          <w:szCs w:val="24"/>
        </w:rPr>
        <w:t xml:space="preserve"> </w:t>
      </w:r>
      <w:r>
        <w:rPr>
          <w:sz w:val="24"/>
          <w:szCs w:val="24"/>
        </w:rPr>
        <w:t xml:space="preserve">people </w:t>
      </w:r>
      <w:r w:rsidRPr="00683034">
        <w:rPr>
          <w:sz w:val="24"/>
          <w:szCs w:val="24"/>
        </w:rPr>
        <w:t>charged with capital offenses.</w:t>
      </w:r>
      <w:r w:rsidRPr="00D93243">
        <w:rPr>
          <w:sz w:val="24"/>
          <w:szCs w:val="24"/>
          <w:vertAlign w:val="superscript"/>
        </w:rPr>
        <w:footnoteReference w:id="26"/>
      </w:r>
      <w:r w:rsidR="003677C4">
        <w:rPr>
          <w:sz w:val="24"/>
          <w:szCs w:val="24"/>
        </w:rPr>
        <w:t xml:space="preserve"> In many cases, the defendants raising allegations of torture are not Qatari nationals.</w:t>
      </w:r>
      <w:r w:rsidR="003677C4">
        <w:rPr>
          <w:rStyle w:val="FootnoteReference"/>
          <w:sz w:val="24"/>
          <w:szCs w:val="24"/>
        </w:rPr>
        <w:footnoteReference w:id="27"/>
      </w:r>
    </w:p>
    <w:p w:rsidRPr="00D93243" w:rsidR="00683034" w:rsidP="00683034" w:rsidRDefault="00683034" w14:paraId="385984AB" w14:textId="77777777">
      <w:pPr>
        <w:numPr>
          <w:ilvl w:val="0"/>
          <w:numId w:val="7"/>
        </w:numPr>
        <w:spacing w:after="120"/>
        <w:ind w:left="360"/>
        <w:jc w:val="both"/>
        <w:rPr>
          <w:sz w:val="24"/>
          <w:szCs w:val="24"/>
        </w:rPr>
      </w:pPr>
      <w:r w:rsidRPr="00D93243">
        <w:rPr>
          <w:sz w:val="24"/>
          <w:szCs w:val="24"/>
        </w:rPr>
        <w:t>Qatar further asserts that the Code of Civil and Commercial Procedure, the Code of Criminal Procedure, and the Judicial Authority Act No. 10 of 2003, “offer full guarantees of a fair hearing.”</w:t>
      </w:r>
      <w:r w:rsidRPr="00D93243">
        <w:rPr>
          <w:rStyle w:val="FootnoteReference"/>
          <w:sz w:val="24"/>
          <w:szCs w:val="24"/>
        </w:rPr>
        <w:footnoteReference w:id="28"/>
      </w:r>
      <w:r w:rsidRPr="00D93243">
        <w:rPr>
          <w:sz w:val="24"/>
          <w:szCs w:val="24"/>
        </w:rPr>
        <w:t xml:space="preserve"> Qatar also asserts that “access to a lawyer is available and guaranteed for accused persons from the beginning of the investigation.” The Initial State Party report also observes </w:t>
      </w:r>
      <w:r w:rsidRPr="00D93243">
        <w:rPr>
          <w:sz w:val="24"/>
          <w:szCs w:val="24"/>
        </w:rPr>
        <w:lastRenderedPageBreak/>
        <w:t>that “the law requires that an interpreter be present” during any investigation in which the accused person does not speak the language being used in the interrogation.</w:t>
      </w:r>
      <w:r w:rsidRPr="00D93243">
        <w:rPr>
          <w:rStyle w:val="FootnoteReference"/>
          <w:sz w:val="24"/>
          <w:szCs w:val="24"/>
        </w:rPr>
        <w:footnoteReference w:id="29"/>
      </w:r>
    </w:p>
    <w:p w:rsidR="00683034" w:rsidP="00683034" w:rsidRDefault="00683034" w14:paraId="2DB4B542" w14:textId="45EFC716">
      <w:pPr>
        <w:numPr>
          <w:ilvl w:val="0"/>
          <w:numId w:val="7"/>
        </w:numPr>
        <w:spacing w:after="120"/>
        <w:ind w:left="360"/>
        <w:jc w:val="both"/>
        <w:rPr>
          <w:sz w:val="24"/>
          <w:szCs w:val="24"/>
        </w:rPr>
      </w:pPr>
      <w:r w:rsidRPr="00D93243">
        <w:rPr>
          <w:sz w:val="24"/>
          <w:szCs w:val="24"/>
        </w:rPr>
        <w:t xml:space="preserve">According to </w:t>
      </w:r>
      <w:r>
        <w:rPr>
          <w:sz w:val="24"/>
          <w:szCs w:val="24"/>
        </w:rPr>
        <w:t>the U.S. State Department</w:t>
      </w:r>
      <w:r w:rsidRPr="00D93243">
        <w:rPr>
          <w:sz w:val="24"/>
          <w:szCs w:val="24"/>
        </w:rPr>
        <w:t xml:space="preserve">, “foreign detainees had access to the legal system, although some complained of opaque legal procedures and complications, mostly stemming from language </w:t>
      </w:r>
      <w:r w:rsidRPr="00683034">
        <w:rPr>
          <w:sz w:val="24"/>
          <w:szCs w:val="24"/>
          <w:highlight w:val="white"/>
        </w:rPr>
        <w:t>barriers</w:t>
      </w:r>
      <w:r w:rsidRPr="00D93243">
        <w:rPr>
          <w:sz w:val="24"/>
          <w:szCs w:val="24"/>
        </w:rPr>
        <w:t>. Foreign nationals did not uniformly receive translations of legal proceedings, although interpretation was generally provided within courtrooms.”</w:t>
      </w:r>
      <w:r w:rsidR="000C48B5">
        <w:rPr>
          <w:rStyle w:val="FootnoteReference"/>
          <w:sz w:val="24"/>
          <w:szCs w:val="24"/>
        </w:rPr>
        <w:footnoteReference w:id="30"/>
      </w:r>
    </w:p>
    <w:p w:rsidRPr="000C48B5" w:rsidR="00C775ED" w:rsidP="00734B50" w:rsidRDefault="00C775ED" w14:paraId="79A1B026" w14:textId="101031C6">
      <w:pPr>
        <w:numPr>
          <w:ilvl w:val="0"/>
          <w:numId w:val="7"/>
        </w:numPr>
        <w:spacing w:after="120"/>
        <w:ind w:left="360"/>
        <w:jc w:val="both"/>
        <w:rPr>
          <w:color w:val="auto"/>
          <w:sz w:val="24"/>
          <w:szCs w:val="24"/>
        </w:rPr>
      </w:pPr>
      <w:r>
        <w:rPr>
          <w:sz w:val="24"/>
          <w:szCs w:val="24"/>
        </w:rPr>
        <w:t xml:space="preserve">Recent history suggests that prosecutors and courts may discriminate against </w:t>
      </w:r>
      <w:r w:rsidR="00DC1592">
        <w:rPr>
          <w:sz w:val="24"/>
          <w:szCs w:val="24"/>
        </w:rPr>
        <w:t>migrant workers</w:t>
      </w:r>
      <w:r>
        <w:rPr>
          <w:sz w:val="24"/>
          <w:szCs w:val="24"/>
        </w:rPr>
        <w:t xml:space="preserve"> in capital cases</w:t>
      </w:r>
      <w:r w:rsidR="00F8444F">
        <w:rPr>
          <w:sz w:val="24"/>
          <w:szCs w:val="24"/>
        </w:rPr>
        <w:t xml:space="preserve">, particularly if they are accused of killing a Qatari </w:t>
      </w:r>
      <w:r w:rsidR="00FA0611">
        <w:rPr>
          <w:sz w:val="24"/>
          <w:szCs w:val="24"/>
        </w:rPr>
        <w:t>national</w:t>
      </w:r>
      <w:r w:rsidR="00F8444F">
        <w:rPr>
          <w:sz w:val="24"/>
          <w:szCs w:val="24"/>
        </w:rPr>
        <w:t>.</w:t>
      </w:r>
      <w:r w:rsidR="00FA0611">
        <w:rPr>
          <w:sz w:val="24"/>
          <w:szCs w:val="24"/>
        </w:rPr>
        <w:t xml:space="preserve"> At the time authorities executed the Nepali migrant worker who had killed a Qatari national, ten other Nepalis were imprisoned for murder, but all of their victims were Nepalis.</w:t>
      </w:r>
      <w:r w:rsidR="00FA0611">
        <w:rPr>
          <w:rStyle w:val="FootnoteReference"/>
          <w:sz w:val="24"/>
          <w:szCs w:val="24"/>
        </w:rPr>
        <w:footnoteReference w:id="31"/>
      </w:r>
      <w:r w:rsidR="00FA0611">
        <w:rPr>
          <w:sz w:val="24"/>
          <w:szCs w:val="24"/>
        </w:rPr>
        <w:t xml:space="preserve"> Of those</w:t>
      </w:r>
      <w:r w:rsidR="00B46D07">
        <w:rPr>
          <w:sz w:val="24"/>
          <w:szCs w:val="24"/>
        </w:rPr>
        <w:t xml:space="preserve"> ten</w:t>
      </w:r>
      <w:r w:rsidR="00FA0611">
        <w:rPr>
          <w:sz w:val="24"/>
          <w:szCs w:val="24"/>
        </w:rPr>
        <w:t>, some ha</w:t>
      </w:r>
      <w:r w:rsidR="00B46D07">
        <w:rPr>
          <w:sz w:val="24"/>
          <w:szCs w:val="24"/>
        </w:rPr>
        <w:t>d</w:t>
      </w:r>
      <w:r w:rsidR="00FA0611">
        <w:rPr>
          <w:sz w:val="24"/>
          <w:szCs w:val="24"/>
        </w:rPr>
        <w:t xml:space="preserve"> been sentenced to death but none have been executed.</w:t>
      </w:r>
      <w:r w:rsidR="00FA0611">
        <w:rPr>
          <w:rStyle w:val="FootnoteReference"/>
          <w:sz w:val="24"/>
          <w:szCs w:val="24"/>
        </w:rPr>
        <w:footnoteReference w:id="32"/>
      </w:r>
      <w:r w:rsidR="00B46D07">
        <w:rPr>
          <w:sz w:val="24"/>
          <w:szCs w:val="24"/>
        </w:rPr>
        <w:t xml:space="preserve"> The facts suggest that authorities singled out the Nepali who had killed a Qatari national to carry out his death sentence, perhaps deeming that his crime was more grave due to the nationality of his victim.</w:t>
      </w:r>
      <w:r w:rsidR="003F0897">
        <w:rPr>
          <w:sz w:val="24"/>
          <w:szCs w:val="24"/>
        </w:rPr>
        <w:t xml:space="preserve"> It is also not clear whether sentencing authorities accounted for the exploitation and abuse </w:t>
      </w:r>
      <w:proofErr w:type="gramStart"/>
      <w:r w:rsidR="003F0897">
        <w:rPr>
          <w:sz w:val="24"/>
          <w:szCs w:val="24"/>
        </w:rPr>
        <w:t>that migrant workers</w:t>
      </w:r>
      <w:proofErr w:type="gramEnd"/>
      <w:r w:rsidR="003F0897">
        <w:rPr>
          <w:sz w:val="24"/>
          <w:szCs w:val="24"/>
        </w:rPr>
        <w:t xml:space="preserve"> can face in the </w:t>
      </w:r>
      <w:proofErr w:type="spellStart"/>
      <w:r w:rsidR="003F0897">
        <w:rPr>
          <w:i/>
          <w:iCs/>
          <w:sz w:val="24"/>
          <w:szCs w:val="24"/>
        </w:rPr>
        <w:t>kafalah</w:t>
      </w:r>
      <w:proofErr w:type="spellEnd"/>
      <w:r w:rsidR="003F0897">
        <w:rPr>
          <w:sz w:val="24"/>
          <w:szCs w:val="24"/>
        </w:rPr>
        <w:t xml:space="preserve"> system.</w:t>
      </w:r>
      <w:r w:rsidR="003F0897">
        <w:rPr>
          <w:rStyle w:val="FootnoteReference"/>
          <w:sz w:val="24"/>
          <w:szCs w:val="24"/>
        </w:rPr>
        <w:footnoteReference w:id="33"/>
      </w:r>
      <w:r w:rsidRPr="003F0897" w:rsidR="003F0897">
        <w:rPr>
          <w:color w:val="auto"/>
          <w:sz w:val="24"/>
          <w:szCs w:val="24"/>
        </w:rPr>
        <w:t xml:space="preserve"> </w:t>
      </w:r>
      <w:r w:rsidR="003F0897">
        <w:rPr>
          <w:color w:val="auto"/>
          <w:sz w:val="24"/>
          <w:szCs w:val="24"/>
        </w:rPr>
        <w:t xml:space="preserve">The sentencing authority </w:t>
      </w:r>
      <w:r w:rsidR="00DC1592">
        <w:rPr>
          <w:color w:val="auto"/>
          <w:sz w:val="24"/>
          <w:szCs w:val="24"/>
        </w:rPr>
        <w:t xml:space="preserve">likely </w:t>
      </w:r>
      <w:r w:rsidR="003F0897">
        <w:rPr>
          <w:color w:val="auto"/>
          <w:sz w:val="24"/>
          <w:szCs w:val="24"/>
        </w:rPr>
        <w:t>did not take those circumstances into account, if they had any relevance to the alleged crime. Rather, the migrant worker’s fate was in the hands of the victim’s family, who refused to accept “blood money” in return for a reduced sentence.</w:t>
      </w:r>
      <w:r w:rsidR="003F0897">
        <w:rPr>
          <w:rStyle w:val="FootnoteReference"/>
          <w:color w:val="auto"/>
          <w:sz w:val="24"/>
          <w:szCs w:val="24"/>
        </w:rPr>
        <w:footnoteReference w:id="34"/>
      </w:r>
    </w:p>
    <w:p w:rsidRPr="00683034" w:rsidR="00085935" w:rsidP="007B46CD" w:rsidRDefault="00111994" w14:paraId="5BA5FD26" w14:textId="5F0C4632">
      <w:pPr>
        <w:keepNext/>
        <w:numPr>
          <w:ilvl w:val="0"/>
          <w:numId w:val="8"/>
        </w:numPr>
        <w:spacing w:before="240" w:after="120"/>
        <w:ind w:left="720" w:hanging="360"/>
        <w:jc w:val="both"/>
        <w:rPr>
          <w:b/>
          <w:color w:val="auto"/>
          <w:sz w:val="24"/>
          <w:szCs w:val="24"/>
        </w:rPr>
      </w:pPr>
      <w:r w:rsidRPr="00683034">
        <w:rPr>
          <w:b/>
          <w:color w:val="auto"/>
          <w:sz w:val="24"/>
          <w:szCs w:val="24"/>
        </w:rPr>
        <w:t>Suggested recommendations</w:t>
      </w:r>
      <w:r w:rsidRPr="00683034" w:rsidR="00255789">
        <w:rPr>
          <w:b/>
          <w:color w:val="auto"/>
          <w:sz w:val="24"/>
          <w:szCs w:val="24"/>
        </w:rPr>
        <w:t xml:space="preserve"> for</w:t>
      </w:r>
      <w:r w:rsidRPr="00683034" w:rsidR="000A66B8">
        <w:rPr>
          <w:b/>
          <w:color w:val="auto"/>
          <w:sz w:val="24"/>
          <w:szCs w:val="24"/>
        </w:rPr>
        <w:t xml:space="preserve"> the Government of </w:t>
      </w:r>
      <w:r w:rsidR="00E6215A">
        <w:rPr>
          <w:b/>
          <w:color w:val="auto"/>
          <w:sz w:val="24"/>
          <w:szCs w:val="24"/>
        </w:rPr>
        <w:t>Qatar</w:t>
      </w:r>
      <w:r w:rsidRPr="00683034" w:rsidR="00EA0EEB">
        <w:rPr>
          <w:b/>
          <w:color w:val="auto"/>
          <w:sz w:val="24"/>
          <w:szCs w:val="24"/>
        </w:rPr>
        <w:t xml:space="preserve"> </w:t>
      </w:r>
    </w:p>
    <w:p w:rsidRPr="00683034" w:rsidR="00111994" w:rsidP="007B46CD" w:rsidRDefault="00E6215A" w14:paraId="09ED740C" w14:textId="1B467EE4">
      <w:pPr>
        <w:numPr>
          <w:ilvl w:val="0"/>
          <w:numId w:val="7"/>
        </w:numPr>
        <w:spacing w:after="120"/>
        <w:ind w:left="360"/>
        <w:jc w:val="both"/>
        <w:rPr>
          <w:color w:val="auto"/>
          <w:sz w:val="24"/>
          <w:szCs w:val="24"/>
        </w:rPr>
      </w:pPr>
      <w:r>
        <w:rPr>
          <w:color w:val="auto"/>
          <w:sz w:val="24"/>
          <w:szCs w:val="24"/>
        </w:rPr>
        <w:t>Qatar</w:t>
      </w:r>
      <w:r w:rsidRPr="00683034" w:rsidR="00E114C5">
        <w:rPr>
          <w:color w:val="auto"/>
          <w:sz w:val="24"/>
          <w:szCs w:val="24"/>
        </w:rPr>
        <w:t xml:space="preserve"> </w:t>
      </w:r>
      <w:r w:rsidRPr="00683034" w:rsidR="00255789">
        <w:rPr>
          <w:color w:val="auto"/>
          <w:sz w:val="24"/>
          <w:szCs w:val="24"/>
        </w:rPr>
        <w:t>should:</w:t>
      </w:r>
    </w:p>
    <w:p w:rsidR="00255789" w:rsidP="007B46CD" w:rsidRDefault="002D3697" w14:paraId="7589B0A5" w14:textId="4210C8A2">
      <w:pPr>
        <w:numPr>
          <w:ilvl w:val="1"/>
          <w:numId w:val="7"/>
        </w:numPr>
        <w:spacing w:after="120"/>
        <w:jc w:val="both"/>
        <w:rPr>
          <w:color w:val="auto"/>
          <w:sz w:val="24"/>
          <w:szCs w:val="24"/>
        </w:rPr>
      </w:pPr>
      <w:r>
        <w:rPr>
          <w:color w:val="auto"/>
          <w:sz w:val="24"/>
          <w:szCs w:val="24"/>
        </w:rPr>
        <w:t>I</w:t>
      </w:r>
      <w:r w:rsidR="00DA4B82">
        <w:rPr>
          <w:color w:val="auto"/>
          <w:sz w:val="24"/>
          <w:szCs w:val="24"/>
        </w:rPr>
        <w:t>mmediately i</w:t>
      </w:r>
      <w:r>
        <w:rPr>
          <w:color w:val="auto"/>
          <w:sz w:val="24"/>
          <w:szCs w:val="24"/>
        </w:rPr>
        <w:t xml:space="preserve">nstitute a de jure moratorium on executions with a view to abolishing the death penalty and, in the meantime, commute the death sentences of any persons currently under sentence of death and replace them with penalties that are fair, proportionate, and consistent with international human rights </w:t>
      </w:r>
      <w:proofErr w:type="gramStart"/>
      <w:r>
        <w:rPr>
          <w:color w:val="auto"/>
          <w:sz w:val="24"/>
          <w:szCs w:val="24"/>
        </w:rPr>
        <w:t>standards;</w:t>
      </w:r>
      <w:proofErr w:type="gramEnd"/>
    </w:p>
    <w:p w:rsidR="00DA4B82" w:rsidP="007B46CD" w:rsidRDefault="00DA4B82" w14:paraId="18EDCADE" w14:textId="68208D6E">
      <w:pPr>
        <w:numPr>
          <w:ilvl w:val="1"/>
          <w:numId w:val="7"/>
        </w:numPr>
        <w:spacing w:after="120"/>
        <w:jc w:val="both"/>
        <w:rPr>
          <w:color w:val="auto"/>
          <w:sz w:val="24"/>
          <w:szCs w:val="24"/>
        </w:rPr>
      </w:pPr>
      <w:r>
        <w:rPr>
          <w:color w:val="auto"/>
          <w:sz w:val="24"/>
          <w:szCs w:val="24"/>
        </w:rPr>
        <w:t xml:space="preserve">Ratify the Second Optional Protocol to the </w:t>
      </w:r>
      <w:proofErr w:type="gramStart"/>
      <w:r>
        <w:rPr>
          <w:color w:val="auto"/>
          <w:sz w:val="24"/>
          <w:szCs w:val="24"/>
        </w:rPr>
        <w:t>ICCPR;</w:t>
      </w:r>
      <w:proofErr w:type="gramEnd"/>
      <w:r>
        <w:rPr>
          <w:color w:val="auto"/>
          <w:sz w:val="24"/>
          <w:szCs w:val="24"/>
        </w:rPr>
        <w:t xml:space="preserve"> </w:t>
      </w:r>
    </w:p>
    <w:p w:rsidR="00F51AFD" w:rsidP="002D3697" w:rsidRDefault="002D3697" w14:paraId="3E4AA44D" w14:textId="3B4AE554">
      <w:pPr>
        <w:numPr>
          <w:ilvl w:val="1"/>
          <w:numId w:val="7"/>
        </w:numPr>
        <w:spacing w:after="120"/>
        <w:jc w:val="both"/>
        <w:rPr>
          <w:color w:val="auto"/>
          <w:sz w:val="24"/>
          <w:szCs w:val="24"/>
        </w:rPr>
      </w:pPr>
      <w:r>
        <w:rPr>
          <w:color w:val="auto"/>
          <w:sz w:val="24"/>
          <w:szCs w:val="24"/>
        </w:rPr>
        <w:t xml:space="preserve">Amend the Qatari Penal Code to eliminate any provisions authorizing the death penalty for any crime that does not constitute an intentional </w:t>
      </w:r>
      <w:proofErr w:type="gramStart"/>
      <w:r>
        <w:rPr>
          <w:color w:val="auto"/>
          <w:sz w:val="24"/>
          <w:szCs w:val="24"/>
        </w:rPr>
        <w:t>killing</w:t>
      </w:r>
      <w:r w:rsidR="00DA4B82">
        <w:rPr>
          <w:color w:val="auto"/>
          <w:sz w:val="24"/>
          <w:szCs w:val="24"/>
        </w:rPr>
        <w:t>;</w:t>
      </w:r>
      <w:proofErr w:type="gramEnd"/>
    </w:p>
    <w:p w:rsidR="002D3697" w:rsidP="002D3697" w:rsidRDefault="002D3697" w14:paraId="27C336DC" w14:textId="409E59B3">
      <w:pPr>
        <w:numPr>
          <w:ilvl w:val="1"/>
          <w:numId w:val="7"/>
        </w:numPr>
        <w:spacing w:after="120"/>
        <w:jc w:val="both"/>
        <w:rPr>
          <w:color w:val="auto"/>
          <w:sz w:val="24"/>
          <w:szCs w:val="24"/>
        </w:rPr>
      </w:pPr>
      <w:r>
        <w:rPr>
          <w:color w:val="auto"/>
          <w:sz w:val="24"/>
          <w:szCs w:val="24"/>
        </w:rPr>
        <w:lastRenderedPageBreak/>
        <w:t xml:space="preserve">Adopt a system </w:t>
      </w:r>
      <w:r w:rsidR="00724535">
        <w:rPr>
          <w:color w:val="auto"/>
          <w:sz w:val="24"/>
          <w:szCs w:val="24"/>
        </w:rPr>
        <w:t>of</w:t>
      </w:r>
      <w:r>
        <w:rPr>
          <w:color w:val="auto"/>
          <w:sz w:val="24"/>
          <w:szCs w:val="24"/>
        </w:rPr>
        <w:t xml:space="preserve"> financial aid to ensure that no person sentenced to death is denied the opportunity for a lesser sentence due to socioeconomic status in the context of payment of “blood money” to the victim’s </w:t>
      </w:r>
      <w:proofErr w:type="gramStart"/>
      <w:r>
        <w:rPr>
          <w:color w:val="auto"/>
          <w:sz w:val="24"/>
          <w:szCs w:val="24"/>
        </w:rPr>
        <w:t>family</w:t>
      </w:r>
      <w:r w:rsidR="00DA4B82">
        <w:rPr>
          <w:color w:val="auto"/>
          <w:sz w:val="24"/>
          <w:szCs w:val="24"/>
        </w:rPr>
        <w:t>;</w:t>
      </w:r>
      <w:proofErr w:type="gramEnd"/>
    </w:p>
    <w:p w:rsidR="00724535" w:rsidP="00724535" w:rsidRDefault="00724535" w14:paraId="183B3ECF" w14:textId="20591229">
      <w:pPr>
        <w:numPr>
          <w:ilvl w:val="1"/>
          <w:numId w:val="7"/>
        </w:numPr>
        <w:spacing w:after="120"/>
        <w:jc w:val="both"/>
        <w:rPr>
          <w:color w:val="auto"/>
          <w:sz w:val="24"/>
          <w:szCs w:val="24"/>
        </w:rPr>
      </w:pPr>
      <w:r>
        <w:rPr>
          <w:color w:val="auto"/>
          <w:sz w:val="24"/>
          <w:szCs w:val="24"/>
        </w:rPr>
        <w:t>Commission an independent investigation into the 2020 execution of a Nepali national</w:t>
      </w:r>
      <w:r w:rsidRPr="00724535">
        <w:rPr>
          <w:color w:val="auto"/>
          <w:sz w:val="24"/>
          <w:szCs w:val="24"/>
        </w:rPr>
        <w:t xml:space="preserve">, including </w:t>
      </w:r>
      <w:r>
        <w:rPr>
          <w:color w:val="auto"/>
          <w:sz w:val="24"/>
          <w:szCs w:val="24"/>
        </w:rPr>
        <w:t xml:space="preserve">the facts and circumstances of the alleged crime, the role, if any, that his status as a migrant worker played in the alleged crime, whether he timely received his consular notification rights under the Vienna Convention, </w:t>
      </w:r>
      <w:r w:rsidR="00DA4B82">
        <w:rPr>
          <w:color w:val="auto"/>
          <w:sz w:val="24"/>
          <w:szCs w:val="24"/>
        </w:rPr>
        <w:t xml:space="preserve">the adequacy of his legal counsel, </w:t>
      </w:r>
      <w:r>
        <w:rPr>
          <w:color w:val="auto"/>
          <w:sz w:val="24"/>
          <w:szCs w:val="24"/>
        </w:rPr>
        <w:t>the extent to which Nepal provided legal assistance to the Nepali national, the decision to carry out his execution and how he was selected as the person to be executed, whether he and his counsel and family received timely notice of the imminent execution, and any observations, notes, or reports from individuals who observed his execution</w:t>
      </w:r>
      <w:r w:rsidR="003E46E9">
        <w:rPr>
          <w:color w:val="auto"/>
          <w:sz w:val="24"/>
          <w:szCs w:val="24"/>
        </w:rPr>
        <w:t>;</w:t>
      </w:r>
    </w:p>
    <w:p w:rsidR="00DA4B82" w:rsidP="00724535" w:rsidRDefault="00DA4B82" w14:paraId="3E873A24" w14:textId="570DFC36">
      <w:pPr>
        <w:numPr>
          <w:ilvl w:val="1"/>
          <w:numId w:val="7"/>
        </w:numPr>
        <w:spacing w:after="120"/>
        <w:jc w:val="both"/>
        <w:rPr>
          <w:color w:val="auto"/>
          <w:sz w:val="24"/>
          <w:szCs w:val="24"/>
        </w:rPr>
      </w:pPr>
      <w:r>
        <w:rPr>
          <w:color w:val="auto"/>
          <w:sz w:val="24"/>
          <w:szCs w:val="24"/>
        </w:rPr>
        <w:t xml:space="preserve">Enact a policy to ensure that all defendants in all criminal proceedings who are not native speakers of Arabic have the opportunity to avail themselves of a court-financed interpreter during all stages of the criminal process, from arrest and interrogation through the </w:t>
      </w:r>
      <w:proofErr w:type="gramStart"/>
      <w:r>
        <w:rPr>
          <w:color w:val="auto"/>
          <w:sz w:val="24"/>
          <w:szCs w:val="24"/>
        </w:rPr>
        <w:t>appeal</w:t>
      </w:r>
      <w:r w:rsidR="003E46E9">
        <w:rPr>
          <w:color w:val="auto"/>
          <w:sz w:val="24"/>
          <w:szCs w:val="24"/>
        </w:rPr>
        <w:t>;</w:t>
      </w:r>
      <w:proofErr w:type="gramEnd"/>
    </w:p>
    <w:p w:rsidR="00DA4B82" w:rsidP="00724535" w:rsidRDefault="00DA4B82" w14:paraId="7BA216FB" w14:textId="147055AF">
      <w:pPr>
        <w:numPr>
          <w:ilvl w:val="1"/>
          <w:numId w:val="7"/>
        </w:numPr>
        <w:spacing w:after="120"/>
        <w:jc w:val="both"/>
        <w:rPr>
          <w:color w:val="auto"/>
          <w:sz w:val="24"/>
          <w:szCs w:val="24"/>
        </w:rPr>
      </w:pPr>
      <w:r>
        <w:rPr>
          <w:color w:val="auto"/>
          <w:sz w:val="24"/>
          <w:szCs w:val="24"/>
        </w:rPr>
        <w:t xml:space="preserve">Establish an independent mechanism to investigate all allegations of torture and cruel, inhuman, or degrading treatment within detention facilities, and ensure that perpetrators are held </w:t>
      </w:r>
      <w:proofErr w:type="gramStart"/>
      <w:r>
        <w:rPr>
          <w:color w:val="auto"/>
          <w:sz w:val="24"/>
          <w:szCs w:val="24"/>
        </w:rPr>
        <w:t>accountable</w:t>
      </w:r>
      <w:proofErr w:type="gramEnd"/>
      <w:r>
        <w:rPr>
          <w:color w:val="auto"/>
          <w:sz w:val="24"/>
          <w:szCs w:val="24"/>
        </w:rPr>
        <w:t xml:space="preserve"> and victims receive appropriate remedies and services, regardless of whether they reside in detention or in a public setting</w:t>
      </w:r>
      <w:r w:rsidR="00476D24">
        <w:rPr>
          <w:color w:val="auto"/>
          <w:sz w:val="24"/>
          <w:szCs w:val="24"/>
        </w:rPr>
        <w:t>;</w:t>
      </w:r>
    </w:p>
    <w:p w:rsidR="003E46E9" w:rsidP="00724535" w:rsidRDefault="003E46E9" w14:paraId="4132E465" w14:textId="24C4E0DD">
      <w:pPr>
        <w:numPr>
          <w:ilvl w:val="1"/>
          <w:numId w:val="7"/>
        </w:numPr>
        <w:spacing w:after="120"/>
        <w:jc w:val="both"/>
        <w:rPr>
          <w:color w:val="auto"/>
          <w:sz w:val="24"/>
          <w:szCs w:val="24"/>
        </w:rPr>
      </w:pPr>
      <w:r>
        <w:rPr>
          <w:color w:val="auto"/>
          <w:sz w:val="24"/>
          <w:szCs w:val="24"/>
        </w:rPr>
        <w:t xml:space="preserve">In collaboration with civil society organizations, initiate a public dialogue regarding the death penalty with members of parliament and the general public, with a view to identifying the human rights violations implicated in the process and explaining the benefits of alternatives to the death </w:t>
      </w:r>
      <w:proofErr w:type="gramStart"/>
      <w:r>
        <w:rPr>
          <w:color w:val="auto"/>
          <w:sz w:val="24"/>
          <w:szCs w:val="24"/>
        </w:rPr>
        <w:t>penalty</w:t>
      </w:r>
      <w:r w:rsidR="00476D24">
        <w:rPr>
          <w:color w:val="auto"/>
          <w:sz w:val="24"/>
          <w:szCs w:val="24"/>
        </w:rPr>
        <w:t>;</w:t>
      </w:r>
      <w:proofErr w:type="gramEnd"/>
    </w:p>
    <w:p w:rsidRPr="00724535" w:rsidR="003E46E9" w:rsidP="00724535" w:rsidRDefault="003E46E9" w14:paraId="48F292D0" w14:textId="23F3748A">
      <w:pPr>
        <w:numPr>
          <w:ilvl w:val="1"/>
          <w:numId w:val="7"/>
        </w:numPr>
        <w:spacing w:after="120"/>
        <w:jc w:val="both"/>
        <w:rPr>
          <w:color w:val="auto"/>
          <w:sz w:val="24"/>
          <w:szCs w:val="24"/>
        </w:rPr>
      </w:pPr>
      <w:r>
        <w:rPr>
          <w:color w:val="auto"/>
          <w:sz w:val="24"/>
          <w:szCs w:val="24"/>
        </w:rPr>
        <w:t>Appoint a commission to conduct a study regarding discrimination based on national origin and the death penalty in Qatar and ensure that the study’s results are promulgated to all relevant stakeholders who might benefit from the results of the research.</w:t>
      </w:r>
    </w:p>
    <w:sectPr w:rsidRPr="00724535" w:rsidR="003E46E9" w:rsidSect="004B1E4E">
      <w:headerReference w:type="default" r:id="rId12"/>
      <w:footerReference w:type="default" r:id="rId13"/>
      <w:headerReference w:type="first" r:id="rId14"/>
      <w:footerReference w:type="first" r:id="rId15"/>
      <w:pgSz w:w="12240" w:h="15840" w:orient="portrait"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F3915" w:rsidRDefault="005F3915" w14:paraId="7D4EC5F2" w14:textId="77777777">
      <w:r>
        <w:separator/>
      </w:r>
    </w:p>
  </w:endnote>
  <w:endnote w:type="continuationSeparator" w:id="0">
    <w:p w:rsidR="005F3915" w:rsidRDefault="005F3915" w14:paraId="4E2B362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4604" w:rsidRDefault="00804604" w14:paraId="14630B52" w14:textId="77777777">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rsidRPr="00C26130" w:rsidR="00804604" w:rsidP="00C26130" w:rsidRDefault="00804604" w14:paraId="36B5F958" w14:textId="77777777">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804604" w:rsidP="00C26130" w:rsidRDefault="002F7A11" w14:paraId="0B6B8E91" w14:textId="2146F7AB">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8668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rsidRPr="00345B90" w:rsidR="00804604" w:rsidP="00C26130" w:rsidRDefault="00FA79E7" w14:paraId="38491264" w14:textId="69D7D7B6">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Pr="008856D7" w:rsidR="00804604">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Pr="008856D7" w:rsidR="00804604">
      <w:rPr>
        <w:rFonts w:ascii="Gill Sans MT" w:hAnsi="Gill Sans MT"/>
        <w:color w:val="333333"/>
        <w:sz w:val="18"/>
        <w:szCs w:val="18"/>
        <w:lang w:val="en"/>
      </w:rPr>
      <w:t xml:space="preserve"> Avenue South </w:t>
    </w:r>
    <w:r w:rsidRPr="008856D7" w:rsidR="00804604">
      <w:rPr>
        <w:rFonts w:ascii="Verdana" w:hAnsi="Verdana"/>
        <w:color w:val="333333"/>
        <w:sz w:val="18"/>
        <w:szCs w:val="18"/>
        <w:lang w:val="en"/>
      </w:rPr>
      <w:t>•</w:t>
    </w:r>
    <w:r w:rsidRPr="008856D7" w:rsidR="00804604">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Pr="008856D7" w:rsidR="00804604">
      <w:rPr>
        <w:rFonts w:ascii="Gill Sans MT" w:hAnsi="Gill Sans MT"/>
        <w:color w:val="333333"/>
        <w:sz w:val="18"/>
        <w:szCs w:val="18"/>
        <w:lang w:val="en"/>
      </w:rPr>
      <w:t xml:space="preserve"> </w:t>
    </w:r>
    <w:r w:rsidRPr="008856D7" w:rsidR="00804604">
      <w:rPr>
        <w:rFonts w:ascii="Verdana" w:hAnsi="Verdana"/>
        <w:color w:val="333333"/>
        <w:sz w:val="18"/>
        <w:szCs w:val="18"/>
        <w:lang w:val="en"/>
      </w:rPr>
      <w:t>•</w:t>
    </w:r>
    <w:r w:rsidRPr="008856D7" w:rsidR="00804604">
      <w:rPr>
        <w:rFonts w:ascii="Gill Sans MT" w:hAnsi="Gill Sans MT"/>
        <w:color w:val="333333"/>
        <w:sz w:val="18"/>
        <w:szCs w:val="18"/>
        <w:lang w:val="en"/>
      </w:rPr>
      <w:t xml:space="preserve"> Minneapolis, MN</w:t>
    </w:r>
    <w:r w:rsidR="003B1454">
      <w:rPr>
        <w:rFonts w:ascii="Gill Sans MT" w:hAnsi="Gill Sans MT"/>
        <w:color w:val="333333"/>
        <w:sz w:val="18"/>
        <w:szCs w:val="18"/>
        <w:lang w:val="en"/>
      </w:rPr>
      <w:t xml:space="preserve"> </w:t>
    </w:r>
    <w:r w:rsidRPr="008856D7" w:rsidR="00804604">
      <w:rPr>
        <w:rFonts w:ascii="Gill Sans MT" w:hAnsi="Gill Sans MT"/>
        <w:color w:val="333333"/>
        <w:sz w:val="18"/>
        <w:szCs w:val="18"/>
        <w:lang w:val="en"/>
      </w:rPr>
      <w:t>5540</w:t>
    </w:r>
    <w:r w:rsidR="00804604">
      <w:rPr>
        <w:rFonts w:ascii="Gill Sans MT" w:hAnsi="Gill Sans MT"/>
        <w:color w:val="333333"/>
        <w:sz w:val="18"/>
        <w:szCs w:val="18"/>
        <w:lang w:val="en"/>
      </w:rPr>
      <w:t>1</w:t>
    </w:r>
    <w:r w:rsidRPr="008856D7" w:rsidR="00804604">
      <w:rPr>
        <w:rFonts w:ascii="Gill Sans MT" w:hAnsi="Gill Sans MT"/>
        <w:color w:val="333333"/>
        <w:sz w:val="18"/>
        <w:szCs w:val="18"/>
        <w:lang w:val="en"/>
      </w:rPr>
      <w:t xml:space="preserve"> </w:t>
    </w:r>
    <w:r w:rsidRPr="008856D7" w:rsidR="00804604">
      <w:rPr>
        <w:rFonts w:ascii="Verdana" w:hAnsi="Verdana"/>
        <w:color w:val="333333"/>
        <w:sz w:val="18"/>
        <w:szCs w:val="18"/>
        <w:lang w:val="en"/>
      </w:rPr>
      <w:t>•</w:t>
    </w:r>
    <w:r w:rsidRPr="008856D7" w:rsidR="00804604">
      <w:rPr>
        <w:rFonts w:ascii="Gill Sans MT" w:hAnsi="Gill Sans MT"/>
        <w:color w:val="333333"/>
        <w:sz w:val="18"/>
        <w:szCs w:val="18"/>
        <w:lang w:val="en"/>
      </w:rPr>
      <w:t xml:space="preserve"> USA </w:t>
    </w:r>
  </w:p>
  <w:p w:rsidRPr="008856D7" w:rsidR="00804604" w:rsidP="00E114C5" w:rsidRDefault="00804604" w14:paraId="66534544" w14:textId="06C15767">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3B145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3B145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rsidR="00804604" w:rsidRDefault="00804604" w14:paraId="239531B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F3915" w:rsidRDefault="005F3915" w14:paraId="283A70B6" w14:textId="77777777">
      <w:r>
        <w:separator/>
      </w:r>
    </w:p>
  </w:footnote>
  <w:footnote w:type="continuationSeparator" w:id="0">
    <w:p w:rsidR="005F3915" w:rsidRDefault="005F3915" w14:paraId="3489C2DD" w14:textId="77777777">
      <w:r>
        <w:continuationSeparator/>
      </w:r>
    </w:p>
  </w:footnote>
  <w:footnote w:id="1">
    <w:p w:rsidR="00FA79E7" w:rsidP="00FA79E7" w:rsidRDefault="00FA79E7" w14:paraId="1B599F6C" w14:textId="090FBCA2">
      <w:r>
        <w:rPr>
          <w:rStyle w:val="FootnoteReference"/>
        </w:rPr>
        <w:footnoteRef/>
      </w:r>
      <w:r>
        <w:t xml:space="preserve"> Amnesty International Report 2020/21 on Qatar </w:t>
      </w:r>
      <w:r w:rsidRPr="00C775ED">
        <w:rPr>
          <w:color w:val="000000" w:themeColor="text1"/>
        </w:rPr>
        <w:t>https://www.amnesty.org/en/location/middle-east-and-north-africa/qatar/report-qatar/.</w:t>
      </w:r>
    </w:p>
  </w:footnote>
  <w:footnote w:id="2">
    <w:p w:rsidR="00FA79E7" w:rsidRDefault="00FA79E7" w14:paraId="7B907DB4" w14:textId="1DD6334B">
      <w:pPr>
        <w:pStyle w:val="FootnoteText"/>
      </w:pPr>
      <w:r>
        <w:rPr>
          <w:rStyle w:val="FootnoteReference"/>
        </w:rPr>
        <w:footnoteRef/>
      </w:r>
      <w:r>
        <w:t xml:space="preserve"> Human Rights Committee, </w:t>
      </w:r>
      <w:r>
        <w:rPr>
          <w:i/>
          <w:iCs/>
        </w:rPr>
        <w:t>List of issues in relation to the initial report of Qatar</w:t>
      </w:r>
      <w:r>
        <w:t>, U.N. Doc. CCPR/C/QAT/Q/1, (24 Aug. 2020), ¶ 10.</w:t>
      </w:r>
    </w:p>
  </w:footnote>
  <w:footnote w:id="3">
    <w:p w:rsidR="003B1CD1" w:rsidRDefault="003B1CD1" w14:paraId="65DB16FA" w14:textId="39D6C028">
      <w:pPr>
        <w:pStyle w:val="FootnoteText"/>
      </w:pPr>
      <w:r>
        <w:rPr>
          <w:rStyle w:val="FootnoteReference"/>
        </w:rPr>
        <w:footnoteRef/>
      </w:r>
      <w:r>
        <w:t xml:space="preserve"> Human Rights Committee, </w:t>
      </w:r>
      <w:r>
        <w:rPr>
          <w:i/>
          <w:iCs/>
        </w:rPr>
        <w:t>Replies of Qatar to the list of issues in relation to its initial report</w:t>
      </w:r>
      <w:r>
        <w:t>, U.N. Doc. CCPR/C/QAT/RQ/1, (8 Apr. 2021), ¶ 41.</w:t>
      </w:r>
    </w:p>
  </w:footnote>
  <w:footnote w:id="4">
    <w:p w:rsidR="003B1CD1" w:rsidRDefault="003B1CD1" w14:paraId="6D398466" w14:textId="614A43F6">
      <w:pPr>
        <w:pStyle w:val="FootnoteText"/>
      </w:pPr>
      <w:r>
        <w:rPr>
          <w:rStyle w:val="FootnoteReference"/>
        </w:rPr>
        <w:footnoteRef/>
      </w:r>
      <w:r>
        <w:t xml:space="preserve"> Cornell Center on the Death Penalty Worldwide, </w:t>
      </w:r>
      <w:r>
        <w:rPr>
          <w:i/>
          <w:iCs/>
        </w:rPr>
        <w:t>Qatar</w:t>
      </w:r>
      <w:r>
        <w:t xml:space="preserve">, last visited Jan. 27, 2022, </w:t>
      </w:r>
      <w:r w:rsidRPr="00E54F92">
        <w:t>https://deathpenaltyworldwide.org/database/#/results/country?id=59</w:t>
      </w:r>
      <w:r>
        <w:t>.</w:t>
      </w:r>
    </w:p>
  </w:footnote>
  <w:footnote w:id="5">
    <w:p w:rsidR="003B1CD1" w:rsidRDefault="003B1CD1" w14:paraId="27059039" w14:textId="3CAF24A8">
      <w:pPr>
        <w:pStyle w:val="FootnoteText"/>
      </w:pPr>
      <w:r>
        <w:rPr>
          <w:rStyle w:val="FootnoteReference"/>
        </w:rPr>
        <w:footnoteRef/>
      </w:r>
      <w:r>
        <w:t xml:space="preserve"> Amnesty International, </w:t>
      </w:r>
      <w:r>
        <w:rPr>
          <w:i/>
          <w:iCs/>
        </w:rPr>
        <w:t>Death Sentences and Executions 2020</w:t>
      </w:r>
      <w:r>
        <w:t xml:space="preserve"> (2021), at 43, available at </w:t>
      </w:r>
      <w:r w:rsidRPr="0032479C">
        <w:t>https://www.amnesty.org/en/wp-content/uploads/2021/05/ACT5037602021ENGLISH.pdf</w:t>
      </w:r>
      <w:r>
        <w:t>.</w:t>
      </w:r>
    </w:p>
  </w:footnote>
  <w:footnote w:id="6">
    <w:p w:rsidR="003B1CD1" w:rsidRDefault="003B1CD1" w14:paraId="5BF1AA7C" w14:textId="0FA838AA">
      <w:pPr>
        <w:pStyle w:val="FootnoteText"/>
      </w:pPr>
      <w:r>
        <w:rPr>
          <w:rStyle w:val="FootnoteReference"/>
        </w:rPr>
        <w:footnoteRef/>
      </w:r>
      <w:r>
        <w:t xml:space="preserve"> Human Rights Committee, </w:t>
      </w:r>
      <w:r>
        <w:rPr>
          <w:i/>
          <w:iCs/>
        </w:rPr>
        <w:t>List of issues in relation to the initial report of Qatar</w:t>
      </w:r>
      <w:r>
        <w:t>, U.N. Doc. CCPR/C/QAT/Q/1, (24 Aug. 2020), ¶ 10.</w:t>
      </w:r>
    </w:p>
  </w:footnote>
  <w:footnote w:id="7">
    <w:p w:rsidR="003B1CD1" w:rsidP="003B1CD1" w:rsidRDefault="003B1CD1" w14:paraId="3CD1002F" w14:textId="77777777">
      <w:r>
        <w:rPr>
          <w:rStyle w:val="FootnoteReference"/>
        </w:rPr>
        <w:footnoteRef/>
      </w:r>
      <w:r>
        <w:t xml:space="preserve"> Law No. 11 of 2004, Articles 300, 301, 302.</w:t>
      </w:r>
    </w:p>
  </w:footnote>
  <w:footnote w:id="8">
    <w:p w:rsidR="003B1CD1" w:rsidP="003B1CD1" w:rsidRDefault="003B1CD1" w14:paraId="3900DA6D" w14:textId="77777777">
      <w:r>
        <w:rPr>
          <w:rStyle w:val="FootnoteReference"/>
        </w:rPr>
        <w:footnoteRef/>
      </w:r>
      <w:r>
        <w:t xml:space="preserve"> Law No. 11 of 2004, Article 318.</w:t>
      </w:r>
    </w:p>
  </w:footnote>
  <w:footnote w:id="9">
    <w:p w:rsidR="003B1CD1" w:rsidP="003B1CD1" w:rsidRDefault="003B1CD1" w14:paraId="70C848C8" w14:textId="77777777">
      <w:r>
        <w:rPr>
          <w:rStyle w:val="FootnoteReference"/>
        </w:rPr>
        <w:footnoteRef/>
      </w:r>
      <w:r>
        <w:t xml:space="preserve"> Law No. 11 of 2004, Articles 250, 252</w:t>
      </w:r>
    </w:p>
  </w:footnote>
  <w:footnote w:id="10">
    <w:p w:rsidR="003B1CD1" w:rsidP="003B1CD1" w:rsidRDefault="003B1CD1" w14:paraId="4E9D21E8" w14:textId="77777777">
      <w:r>
        <w:rPr>
          <w:rStyle w:val="FootnoteReference"/>
        </w:rPr>
        <w:footnoteRef/>
      </w:r>
      <w:r>
        <w:t xml:space="preserve"> Law No. 11 of 2004, Article 279.</w:t>
      </w:r>
    </w:p>
  </w:footnote>
  <w:footnote w:id="11">
    <w:p w:rsidR="003B1CD1" w:rsidP="003B1CD1" w:rsidRDefault="003B1CD1" w14:paraId="7D2AA7DB" w14:textId="77777777">
      <w:r>
        <w:rPr>
          <w:rStyle w:val="FootnoteReference"/>
        </w:rPr>
        <w:footnoteRef/>
      </w:r>
      <w:r>
        <w:t xml:space="preserve"> Law No. 11 of 2004, Articles 279, 280, 284</w:t>
      </w:r>
    </w:p>
  </w:footnote>
  <w:footnote w:id="12">
    <w:p w:rsidR="003B1CD1" w:rsidP="003B1CD1" w:rsidRDefault="003B1CD1" w14:paraId="68766FF2" w14:textId="77777777">
      <w:r>
        <w:rPr>
          <w:rStyle w:val="FootnoteReference"/>
        </w:rPr>
        <w:footnoteRef/>
      </w:r>
      <w:r>
        <w:t xml:space="preserve"> Law No. 11 of 2004, Articles 98, 99, 100, 101, 103, 105, 114, 118, 130, 131, 132, 135.</w:t>
      </w:r>
    </w:p>
  </w:footnote>
  <w:footnote w:id="13">
    <w:p w:rsidR="003B1CD1" w:rsidP="003B1CD1" w:rsidRDefault="003B1CD1" w14:paraId="22B18CA1" w14:textId="77777777">
      <w:r>
        <w:rPr>
          <w:rStyle w:val="FootnoteReference"/>
        </w:rPr>
        <w:footnoteRef/>
      </w:r>
      <w:r>
        <w:t xml:space="preserve"> Law No. 11 of 2004, Articles 107, 110, 111.</w:t>
      </w:r>
    </w:p>
  </w:footnote>
  <w:footnote w:id="14">
    <w:p w:rsidR="003B1CD1" w:rsidP="003B1CD1" w:rsidRDefault="003B1CD1" w14:paraId="106CBDAE" w14:textId="77777777">
      <w:r>
        <w:rPr>
          <w:rStyle w:val="FootnoteReference"/>
        </w:rPr>
        <w:footnoteRef/>
      </w:r>
      <w:r>
        <w:t xml:space="preserve"> Law No. 11 of 2004, Article 59.</w:t>
      </w:r>
    </w:p>
  </w:footnote>
  <w:footnote w:id="15">
    <w:p w:rsidR="003B1CD1" w:rsidP="003B1CD1" w:rsidRDefault="003B1CD1" w14:paraId="36B570BD" w14:textId="77777777">
      <w:r>
        <w:rPr>
          <w:rStyle w:val="FootnoteReference"/>
        </w:rPr>
        <w:footnoteRef/>
      </w:r>
      <w:r>
        <w:t xml:space="preserve"> Law No. 11 of 2004, Article 58</w:t>
      </w:r>
    </w:p>
  </w:footnote>
  <w:footnote w:id="16">
    <w:p w:rsidR="003B1CD1" w:rsidP="003B1CD1" w:rsidRDefault="003B1CD1" w14:paraId="69B2C2CC" w14:textId="77777777">
      <w:r>
        <w:rPr>
          <w:rStyle w:val="FootnoteReference"/>
        </w:rPr>
        <w:footnoteRef/>
      </w:r>
      <w:r>
        <w:t xml:space="preserve"> Law No. 11 of 2004, Article 92.</w:t>
      </w:r>
    </w:p>
  </w:footnote>
  <w:footnote w:id="17">
    <w:p w:rsidR="003B1CD1" w:rsidP="003B1CD1" w:rsidRDefault="003B1CD1" w14:paraId="09E7F889" w14:textId="77777777">
      <w:r>
        <w:rPr>
          <w:rStyle w:val="FootnoteReference"/>
        </w:rPr>
        <w:footnoteRef/>
      </w:r>
      <w:r>
        <w:t xml:space="preserve"> Law No. 11 of 2004, Articles 300, 302</w:t>
      </w:r>
    </w:p>
  </w:footnote>
  <w:footnote w:id="18">
    <w:p w:rsidR="003B1CD1" w:rsidP="003B1CD1" w:rsidRDefault="003B1CD1" w14:paraId="23364CE1" w14:textId="77777777">
      <w:r>
        <w:rPr>
          <w:rStyle w:val="FootnoteReference"/>
        </w:rPr>
        <w:footnoteRef/>
      </w:r>
      <w:r>
        <w:t xml:space="preserve"> Law No. 11 of 2004, Article 20.</w:t>
      </w:r>
    </w:p>
  </w:footnote>
  <w:footnote w:id="19">
    <w:p w:rsidR="003B1CD1" w:rsidP="003B1CD1" w:rsidRDefault="003B1CD1" w14:paraId="7530148C" w14:textId="77777777">
      <w:pPr>
        <w:pStyle w:val="FootnoteText"/>
      </w:pPr>
      <w:r>
        <w:rPr>
          <w:rStyle w:val="FootnoteReference"/>
        </w:rPr>
        <w:footnoteRef/>
      </w:r>
      <w:r>
        <w:t xml:space="preserve"> Cornell Center on the Death Penalty Worldwide, </w:t>
      </w:r>
      <w:r>
        <w:rPr>
          <w:i/>
          <w:iCs/>
        </w:rPr>
        <w:t>Qatar</w:t>
      </w:r>
      <w:r>
        <w:t xml:space="preserve">, last visited Jan. 27, 2022, </w:t>
      </w:r>
      <w:r w:rsidRPr="00E54F92">
        <w:t>https://deathpenaltyworldwide.org/database/#/results/country?id=59</w:t>
      </w:r>
      <w:r>
        <w:t xml:space="preserve"> (citing Qatar Penal Code, art. 54, Law No. 11 of 2004.</w:t>
      </w:r>
    </w:p>
  </w:footnote>
  <w:footnote w:id="20">
    <w:p w:rsidR="003B1CD1" w:rsidP="003B1CD1" w:rsidRDefault="003B1CD1" w14:paraId="509143A2" w14:textId="77777777">
      <w:pPr>
        <w:pStyle w:val="FootnoteText"/>
      </w:pPr>
      <w:r>
        <w:rPr>
          <w:rStyle w:val="FootnoteReference"/>
        </w:rPr>
        <w:footnoteRef/>
      </w:r>
      <w:r>
        <w:t xml:space="preserve"> Cornell Center on the Death Penalty Worldwide, </w:t>
      </w:r>
      <w:r>
        <w:rPr>
          <w:i/>
          <w:iCs/>
        </w:rPr>
        <w:t>Qatar</w:t>
      </w:r>
      <w:r>
        <w:t xml:space="preserve">, last visited Jan. 27, 2022, </w:t>
      </w:r>
      <w:r w:rsidRPr="00E54F92">
        <w:t>https://deathpenaltyworldwide.org/database/#/results/country?id=59</w:t>
      </w:r>
      <w:r>
        <w:t xml:space="preserve"> (citing Qatar Penal Code, art. 54, Law No. 11 of 2004.</w:t>
      </w:r>
    </w:p>
  </w:footnote>
  <w:footnote w:id="21">
    <w:p w:rsidR="009A3391" w:rsidRDefault="009A3391" w14:paraId="26056AA0" w14:textId="7215ACC0">
      <w:pPr>
        <w:pStyle w:val="FootnoteText"/>
      </w:pPr>
      <w:r>
        <w:rPr>
          <w:rStyle w:val="FootnoteReference"/>
        </w:rPr>
        <w:footnoteRef/>
      </w:r>
      <w:r>
        <w:t xml:space="preserve"> Human Rights Committee, </w:t>
      </w:r>
      <w:r>
        <w:rPr>
          <w:i/>
          <w:iCs/>
        </w:rPr>
        <w:t>List of issues in relation to the initial report of Qatar</w:t>
      </w:r>
      <w:r>
        <w:t>, U.N. Doc. CCPR/C/QAT/Q/1, (24 Aug. 2020), ¶ 10.</w:t>
      </w:r>
    </w:p>
  </w:footnote>
  <w:footnote w:id="22">
    <w:p w:rsidR="009A3391" w:rsidRDefault="009A3391" w14:paraId="2B7B73B8" w14:textId="040B64EA">
      <w:pPr>
        <w:pStyle w:val="FootnoteText"/>
      </w:pPr>
      <w:r>
        <w:rPr>
          <w:rStyle w:val="FootnoteReference"/>
        </w:rPr>
        <w:footnoteRef/>
      </w:r>
      <w:r>
        <w:t xml:space="preserve"> Human Rights Committee, </w:t>
      </w:r>
      <w:r>
        <w:rPr>
          <w:i/>
          <w:iCs/>
        </w:rPr>
        <w:t>Replies of Qatar to the list of issues in relation to its initial report</w:t>
      </w:r>
      <w:r>
        <w:t>, U.N. Doc. CCPR/C/QAT/RQ/1, (8 Apr. 2021), ¶¶ 8, 42.</w:t>
      </w:r>
    </w:p>
  </w:footnote>
  <w:footnote w:id="23">
    <w:p w:rsidRPr="00683034" w:rsidR="009A3391" w:rsidRDefault="009A3391" w14:paraId="42491663" w14:textId="013CCDE0">
      <w:pPr>
        <w:pStyle w:val="FootnoteText"/>
        <w:rPr>
          <w:iCs/>
        </w:rPr>
      </w:pPr>
      <w:r w:rsidRPr="00683034">
        <w:rPr>
          <w:rStyle w:val="FootnoteReference"/>
        </w:rPr>
        <w:footnoteRef/>
      </w:r>
      <w:r w:rsidRPr="00683034">
        <w:t xml:space="preserve"> </w:t>
      </w:r>
      <w:r w:rsidRPr="00683034" w:rsidR="00683034">
        <w:rPr>
          <w:sz w:val="21"/>
          <w:szCs w:val="21"/>
          <w:shd w:val="clear" w:color="auto" w:fill="F8F8F8"/>
        </w:rPr>
        <w:t>UNGA Vote 2018 Resolution 73/175 accessed at https://undocs.org/pdf?symbol=en/A/RES/73/175);</w:t>
      </w:r>
      <w:r w:rsidR="00683034">
        <w:rPr>
          <w:sz w:val="21"/>
          <w:szCs w:val="21"/>
          <w:shd w:val="clear" w:color="auto" w:fill="F8F8F8"/>
        </w:rPr>
        <w:t xml:space="preserve"> </w:t>
      </w:r>
      <w:r w:rsidR="00683034">
        <w:rPr>
          <w:i/>
        </w:rPr>
        <w:t xml:space="preserve">Report of the Third Committee (A/75/478/Add.2, </w:t>
      </w:r>
      <w:r w:rsidRPr="00683034" w:rsidR="00683034">
        <w:rPr>
          <w:i/>
        </w:rPr>
        <w:t>¶</w:t>
      </w:r>
      <w:r w:rsidR="00683034">
        <w:rPr>
          <w:i/>
        </w:rPr>
        <w:t> 89); see also the International Commission Against the Death Penalty, UNGA Moratorium Resolution Map https://icomdp.org/unga/</w:t>
      </w:r>
      <w:r w:rsidR="00683034">
        <w:rPr>
          <w:iCs/>
        </w:rPr>
        <w:t>.</w:t>
      </w:r>
    </w:p>
  </w:footnote>
  <w:footnote w:id="24">
    <w:p w:rsidRPr="000D30C3" w:rsidR="00683034" w:rsidP="00683034" w:rsidRDefault="00683034" w14:paraId="5D435AED" w14:textId="77777777">
      <w:pPr>
        <w:pStyle w:val="FootnoteText"/>
      </w:pPr>
      <w:r>
        <w:rPr>
          <w:rStyle w:val="FootnoteReference"/>
        </w:rPr>
        <w:footnoteRef/>
      </w:r>
      <w:r>
        <w:t xml:space="preserve"> Human Rights Committee, </w:t>
      </w:r>
      <w:r>
        <w:rPr>
          <w:i/>
          <w:iCs/>
        </w:rPr>
        <w:t>List of issues in relation to the initial report of Qatar</w:t>
      </w:r>
      <w:r>
        <w:t>, UN Doc. No. CCPR/C/QAT/Q/1, 24 Aug. 2020, ¶ 21.</w:t>
      </w:r>
    </w:p>
  </w:footnote>
  <w:footnote w:id="25">
    <w:p w:rsidR="00683034" w:rsidP="00683034" w:rsidRDefault="00683034" w14:paraId="7C0428E2" w14:textId="77777777">
      <w:pPr>
        <w:pStyle w:val="FootnoteText"/>
      </w:pPr>
      <w:r>
        <w:rPr>
          <w:rStyle w:val="FootnoteReference"/>
        </w:rPr>
        <w:footnoteRef/>
      </w:r>
      <w:r>
        <w:t xml:space="preserve"> Human Rights Committee, </w:t>
      </w:r>
      <w:r>
        <w:rPr>
          <w:i/>
          <w:iCs/>
        </w:rPr>
        <w:t>Replies of Qatar to the list of issues in relation to its initial report</w:t>
      </w:r>
      <w:r>
        <w:t>, UN Doc. No. CCPR/C/QAT/RQ/1, 8 Apr. 2021, ¶ 80.</w:t>
      </w:r>
    </w:p>
  </w:footnote>
  <w:footnote w:id="26">
    <w:p w:rsidRPr="00121018" w:rsidR="00121018" w:rsidP="00121018" w:rsidRDefault="00121018" w14:paraId="03F9F275" w14:textId="21199B9A">
      <w:r>
        <w:rPr>
          <w:rStyle w:val="FootnoteReference"/>
        </w:rPr>
        <w:footnoteRef/>
      </w:r>
      <w:r>
        <w:t xml:space="preserve"> Amnesty International, Qatar investigate Torture Allegations of Filipino Man Convicted on the Basis of Forced Confession https://www.amnesty.org/en/latest/news/2015/03/qatar-investigate-torture-allegations-of-filipino-man-convicted-on-basis-of-forced-confessions/; </w:t>
      </w:r>
      <w:r>
        <w:rPr>
          <w:i/>
          <w:iCs/>
        </w:rPr>
        <w:t>see</w:t>
      </w:r>
      <w:r>
        <w:t xml:space="preserve"> </w:t>
      </w:r>
      <w:r w:rsidRPr="00121018">
        <w:rPr>
          <w:i/>
          <w:iCs/>
        </w:rPr>
        <w:t>Australian academic warned consulate staff he was being tortured in Qatari prison</w:t>
      </w:r>
      <w:r>
        <w:t xml:space="preserve">, Guardian, 27 Apr. 2021, available at </w:t>
      </w:r>
      <w:r w:rsidRPr="00121018">
        <w:t>https://www.theguardian.com/australia-news/2021/apr/14/australian-academic-haunted-by-possibility-of-false-confession-during-torture-in-qatar</w:t>
      </w:r>
      <w:r>
        <w:t xml:space="preserve">. </w:t>
      </w:r>
    </w:p>
  </w:footnote>
  <w:footnote w:id="27">
    <w:p w:rsidRPr="003677C4" w:rsidR="003677C4" w:rsidRDefault="003677C4" w14:paraId="12B9A87A" w14:textId="51FF7DA5">
      <w:pPr>
        <w:pStyle w:val="FootnoteText"/>
      </w:pPr>
      <w:r>
        <w:rPr>
          <w:rStyle w:val="FootnoteReference"/>
        </w:rPr>
        <w:footnoteRef/>
      </w:r>
      <w:r>
        <w:t xml:space="preserve"> </w:t>
      </w:r>
      <w:r>
        <w:rPr>
          <w:i/>
          <w:iCs/>
        </w:rPr>
        <w:t>See, e.g.</w:t>
      </w:r>
      <w:r>
        <w:t xml:space="preserve">, </w:t>
      </w:r>
      <w:r w:rsidRPr="00121018">
        <w:rPr>
          <w:i/>
          <w:iCs/>
        </w:rPr>
        <w:t>Australian academic warned consulate staff he was being tortured in Qatari prison</w:t>
      </w:r>
      <w:r>
        <w:t xml:space="preserve">, Guardian, 27 Apr. 2021, available at </w:t>
      </w:r>
      <w:r w:rsidRPr="00121018">
        <w:t>https://www.theguardian.com/australia-news/2021/apr/14/australian-academic-haunted-by-possibility-of-false-confession-during-torture-in-qatar</w:t>
      </w:r>
      <w:r>
        <w:t xml:space="preserve">; </w:t>
      </w:r>
      <w:r>
        <w:rPr>
          <w:i/>
          <w:iCs/>
        </w:rPr>
        <w:t xml:space="preserve">Calls for a Fair Trial in Qatar for Jordanian Abdullah </w:t>
      </w:r>
      <w:proofErr w:type="spellStart"/>
      <w:r>
        <w:rPr>
          <w:i/>
          <w:iCs/>
        </w:rPr>
        <w:t>Abhis</w:t>
      </w:r>
      <w:proofErr w:type="spellEnd"/>
      <w:r>
        <w:t xml:space="preserve">, Arab </w:t>
      </w:r>
      <w:proofErr w:type="spellStart"/>
      <w:r>
        <w:t>Organisation</w:t>
      </w:r>
      <w:proofErr w:type="spellEnd"/>
      <w:r>
        <w:t xml:space="preserve"> for Human Rights in the UK, 9 Oct. 2021, available at </w:t>
      </w:r>
      <w:r w:rsidRPr="003677C4">
        <w:t>https://aohr.org.uk/calls-for-a-fair-trial-in-qatar-for-jordanian-abdullah-abhis/</w:t>
      </w:r>
      <w:r>
        <w:t xml:space="preserve">. </w:t>
      </w:r>
    </w:p>
  </w:footnote>
  <w:footnote w:id="28">
    <w:p w:rsidR="00683034" w:rsidP="00683034" w:rsidRDefault="00683034" w14:paraId="46A170CB" w14:textId="77777777">
      <w:pPr>
        <w:pStyle w:val="FootnoteText"/>
      </w:pPr>
      <w:r>
        <w:rPr>
          <w:rStyle w:val="FootnoteReference"/>
        </w:rPr>
        <w:footnoteRef/>
      </w:r>
      <w:r>
        <w:t xml:space="preserve"> Human Rights Committee, </w:t>
      </w:r>
      <w:r>
        <w:rPr>
          <w:i/>
          <w:iCs/>
        </w:rPr>
        <w:t>Replies of Qatar to the list of issues in relation to its initial report</w:t>
      </w:r>
      <w:r>
        <w:t>, UN Doc. No. CCPR/C/QAT/RQ/1, 8 Apr. 2021, ¶¶ 93-94.</w:t>
      </w:r>
    </w:p>
  </w:footnote>
  <w:footnote w:id="29">
    <w:p w:rsidR="00683034" w:rsidP="00683034" w:rsidRDefault="00683034" w14:paraId="3A70FDFA" w14:textId="77777777">
      <w:pPr>
        <w:pStyle w:val="FootnoteText"/>
      </w:pPr>
      <w:r>
        <w:rPr>
          <w:rStyle w:val="FootnoteReference"/>
        </w:rPr>
        <w:footnoteRef/>
      </w:r>
      <w:r>
        <w:t xml:space="preserve"> Human Rights Committee, </w:t>
      </w:r>
      <w:r>
        <w:rPr>
          <w:i/>
          <w:iCs/>
        </w:rPr>
        <w:t>Replies of Qatar to the list of issues in relation to its initial report</w:t>
      </w:r>
      <w:r>
        <w:t>, UN Doc. No. CCPR/C/QAT/RQ/1, 8 Apr. 2021, ¶ 102.</w:t>
      </w:r>
    </w:p>
  </w:footnote>
  <w:footnote w:id="30">
    <w:p w:rsidR="000C48B5" w:rsidRDefault="000C48B5" w14:paraId="1AB56F8F" w14:textId="7B4FA0CC">
      <w:pPr>
        <w:pStyle w:val="FootnoteText"/>
      </w:pPr>
      <w:r>
        <w:rPr>
          <w:rStyle w:val="FootnoteReference"/>
        </w:rPr>
        <w:footnoteRef/>
      </w:r>
      <w:r>
        <w:t xml:space="preserve"> U.S. State Department, Qatar Human Rights Report (2020), </w:t>
      </w:r>
      <w:r w:rsidRPr="000C48B5">
        <w:t>https://www.state.gov/wp-content/uploads/2021/03/QATAR-2020-HUMAN-RIGHTS-REPORT.pdf</w:t>
      </w:r>
      <w:r>
        <w:t xml:space="preserve"> (last visited Jan. 27, 2022).</w:t>
      </w:r>
    </w:p>
  </w:footnote>
  <w:footnote w:id="31">
    <w:p w:rsidR="00FA0611" w:rsidRDefault="00FA0611" w14:paraId="6AA171B5" w14:textId="67ACF789">
      <w:pPr>
        <w:pStyle w:val="FootnoteText"/>
      </w:pPr>
      <w:r>
        <w:rPr>
          <w:rStyle w:val="FootnoteReference"/>
        </w:rPr>
        <w:footnoteRef/>
      </w:r>
      <w:r>
        <w:t xml:space="preserve"> Hands Off Cain, </w:t>
      </w:r>
      <w:r>
        <w:rPr>
          <w:i/>
          <w:iCs/>
        </w:rPr>
        <w:t>Qatar: Nepali man shot to death as punishment for murder</w:t>
      </w:r>
      <w:r>
        <w:t xml:space="preserve">, 25 May 2020, </w:t>
      </w:r>
      <w:r w:rsidRPr="00083B61">
        <w:t>http://www.handsoffcain.info/notizia/qatar-nepali-man-shot-to-death-as-punishment-for-murder-60308945</w:t>
      </w:r>
      <w:r>
        <w:t xml:space="preserve"> (last visited 27 Jan. 2022).</w:t>
      </w:r>
    </w:p>
  </w:footnote>
  <w:footnote w:id="32">
    <w:p w:rsidR="00FA0611" w:rsidP="00FA0611" w:rsidRDefault="00FA0611" w14:paraId="3DDBCBB6" w14:textId="77777777">
      <w:pPr>
        <w:pStyle w:val="FootnoteText"/>
      </w:pPr>
      <w:r>
        <w:rPr>
          <w:rStyle w:val="FootnoteReference"/>
        </w:rPr>
        <w:footnoteRef/>
      </w:r>
      <w:r>
        <w:t xml:space="preserve"> Hands Off Cain, </w:t>
      </w:r>
      <w:r>
        <w:rPr>
          <w:i/>
          <w:iCs/>
        </w:rPr>
        <w:t>Qatar: Nepali man shot to death as punishment for murder</w:t>
      </w:r>
      <w:r>
        <w:t xml:space="preserve">, 25 May 2020, </w:t>
      </w:r>
      <w:r w:rsidRPr="00083B61">
        <w:t>http://www.handsoffcain.info/notizia/qatar-nepali-man-shot-to-death-as-punishment-for-murder-60308945</w:t>
      </w:r>
      <w:r>
        <w:t xml:space="preserve"> (last visited 27 Jan. 2022).</w:t>
      </w:r>
    </w:p>
  </w:footnote>
  <w:footnote w:id="33">
    <w:p w:rsidR="003F0897" w:rsidRDefault="003F0897" w14:paraId="32FBE8DA" w14:textId="2585D5FE">
      <w:pPr>
        <w:pStyle w:val="FootnoteText"/>
      </w:pPr>
      <w:r>
        <w:rPr>
          <w:rStyle w:val="FootnoteReference"/>
        </w:rPr>
        <w:footnoteRef/>
      </w:r>
      <w:r>
        <w:t xml:space="preserve"> </w:t>
      </w:r>
      <w:r>
        <w:rPr>
          <w:i/>
          <w:iCs/>
        </w:rPr>
        <w:t>See, e.g.</w:t>
      </w:r>
      <w:r>
        <w:t xml:space="preserve">, Human Rights Committee, </w:t>
      </w:r>
      <w:r>
        <w:rPr>
          <w:i/>
          <w:iCs/>
        </w:rPr>
        <w:t>List of issues in relation to the initial report of Qatar</w:t>
      </w:r>
      <w:r>
        <w:t>, UN Doc. No. CCPR/C/QAT/Q/1, 24 Aug. 2020, ¶ 12.</w:t>
      </w:r>
    </w:p>
  </w:footnote>
  <w:footnote w:id="34">
    <w:p w:rsidR="003F0897" w:rsidP="003F0897" w:rsidRDefault="003F0897" w14:paraId="5C8EA7F7" w14:textId="77777777">
      <w:pPr>
        <w:pStyle w:val="FootnoteText"/>
      </w:pPr>
      <w:r>
        <w:rPr>
          <w:rStyle w:val="FootnoteReference"/>
        </w:rPr>
        <w:footnoteRef/>
      </w:r>
      <w:r>
        <w:t xml:space="preserve"> Hands Off Cain, </w:t>
      </w:r>
      <w:r>
        <w:rPr>
          <w:i/>
          <w:iCs/>
        </w:rPr>
        <w:t>Qatar: Nepali man shot to death as punishment for murder</w:t>
      </w:r>
      <w:r>
        <w:t xml:space="preserve">, 25 May 2020, </w:t>
      </w:r>
      <w:r w:rsidRPr="00083B61">
        <w:t>http://www.handsoffcain.info/notizia/qatar-nepali-man-shot-to-death-as-punishment-for-murder-60308945</w:t>
      </w:r>
      <w:r>
        <w:t xml:space="preserve"> (last visited 27 Jan. 2022); U.S. State Department, Qatar Human Rights Report (2020), </w:t>
      </w:r>
      <w:r w:rsidRPr="000C48B5">
        <w:t>https://www.state.gov/wp-content/uploads/2021/03/QATAR-2020-HUMAN-RIGHTS-REPORT.pdf</w:t>
      </w:r>
      <w:r>
        <w:t xml:space="preserve"> (last visited Jan. 27,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4604" w:rsidP="00C26130" w:rsidRDefault="00804604" w14:paraId="298008FD" w14:textId="77777777">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804604" w:rsidRDefault="009738ED" w14:paraId="63F7B087" w14:textId="4A3CF8FD">
    <w:pPr>
      <w:pStyle w:val="Header"/>
    </w:pPr>
    <w:r>
      <w:rPr>
        <w:noProof/>
      </w:rPr>
      <w:drawing>
        <wp:anchor distT="0" distB="0" distL="114300" distR="114300" simplePos="0" relativeHeight="251659264" behindDoc="0" locked="0" layoutInCell="1" allowOverlap="1" wp14:anchorId="0DB57194" wp14:editId="2028D130">
          <wp:simplePos x="0" y="0"/>
          <wp:positionH relativeFrom="margin">
            <wp:align>left</wp:align>
          </wp:positionH>
          <wp:positionV relativeFrom="paragraph">
            <wp:posOffset>-58576</wp:posOffset>
          </wp:positionV>
          <wp:extent cx="1619250" cy="858438"/>
          <wp:effectExtent l="0" t="0" r="0" b="0"/>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619250" cy="85843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14:anchorId="0D691956" wp14:editId="63B88E59">
          <wp:simplePos x="0" y="0"/>
          <wp:positionH relativeFrom="margin">
            <wp:align>right</wp:align>
          </wp:positionH>
          <wp:positionV relativeFrom="paragraph">
            <wp:posOffset>-93980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F4FAD2B2"/>
    <w:lvl w:ilvl="0" w:tplc="0409000F">
      <w:start w:val="1"/>
      <w:numFmt w:val="decimal"/>
      <w:lvlText w:val="%1."/>
      <w:lvlJc w:val="left"/>
      <w:pPr>
        <w:ind w:left="720" w:hanging="360"/>
      </w:pPr>
    </w:lvl>
    <w:lvl w:ilvl="1" w:tplc="04090001">
      <w:start w:val="1"/>
      <w:numFmt w:val="bullet"/>
      <w:lvlText w:val=""/>
      <w:lvlJc w:val="left"/>
      <w:rPr>
        <w:rFonts w:hint="default" w:ascii="Symbol" w:hAnsi="Symbol"/>
        <w:spacing w:val="-1"/>
        <w:w w:val="100"/>
        <w:sz w:val="22"/>
        <w:szCs w:val="22"/>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hint="default" w:ascii="Symbol" w:hAnsi="Symbol" w:eastAsia="Times New Roman" w:cs="Aria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4DA748AE"/>
    <w:multiLevelType w:val="hybridMultilevel"/>
    <w:tmpl w:val="EB14F5C4"/>
    <w:lvl w:ilvl="0" w:tplc="ECB20FF6">
      <w:start w:val="1"/>
      <w:numFmt w:val="lowerLetter"/>
      <w:lvlText w:val="%1."/>
      <w:lvlJc w:val="left"/>
      <w:pPr>
        <w:ind w:left="360" w:firstLine="0"/>
      </w:pPr>
      <w:rPr>
        <w:rFonts w:hint="default" w:ascii="Calibri" w:hAnsi="Calibri" w:eastAsia="Calibri" w:cs="Calibri"/>
        <w:spacing w:val="-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6D2760D"/>
    <w:multiLevelType w:val="hybridMultilevel"/>
    <w:tmpl w:val="497EE1B2"/>
    <w:lvl w:ilvl="0" w:tplc="AF70F99A">
      <w:start w:val="1"/>
      <w:numFmt w:val="decimal"/>
      <w:lvlText w:val="%1."/>
      <w:lvlJc w:val="left"/>
      <w:pPr>
        <w:ind w:left="720" w:hanging="360"/>
      </w:pPr>
      <w:rPr>
        <w:rFonts w:hint="default"/>
      </w:rPr>
    </w:lvl>
    <w:lvl w:ilvl="1" w:tplc="4E2205BC">
      <w:start w:val="1"/>
      <w:numFmt w:val="lowerLetter"/>
      <w:lvlText w:val="%2."/>
      <w:lvlJc w:val="left"/>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95773C"/>
    <w:multiLevelType w:val="hybridMultilevel"/>
    <w:tmpl w:val="6F404588"/>
    <w:lvl w:ilvl="0" w:tplc="DAB871A6">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A36B78"/>
    <w:multiLevelType w:val="hybridMultilevel"/>
    <w:tmpl w:val="52E6BDDE"/>
    <w:lvl w:ilvl="0" w:tplc="B754896E">
      <w:start w:val="2"/>
      <w:numFmt w:val="lowerLetter"/>
      <w:lvlText w:val="%1."/>
      <w:lvlJc w:val="left"/>
      <w:pPr>
        <w:ind w:left="0" w:firstLine="0"/>
      </w:pPr>
      <w:rPr>
        <w:rFonts w:hint="default" w:ascii="Calibri" w:hAnsi="Calibri" w:eastAsia="Calibri" w:cs="Calibri"/>
        <w:spacing w:val="-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12"/>
  </w:num>
  <w:num w:numId="9">
    <w:abstractNumId w:val="1"/>
  </w:num>
  <w:num w:numId="10">
    <w:abstractNumId w:val="9"/>
  </w:num>
  <w:num w:numId="11">
    <w:abstractNumId w:val="11"/>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6377"/>
    <w:rsid w:val="0004687D"/>
    <w:rsid w:val="00046C62"/>
    <w:rsid w:val="00056CF5"/>
    <w:rsid w:val="000734A4"/>
    <w:rsid w:val="0008238F"/>
    <w:rsid w:val="00083B61"/>
    <w:rsid w:val="00085935"/>
    <w:rsid w:val="000910FC"/>
    <w:rsid w:val="0009644E"/>
    <w:rsid w:val="000A1F17"/>
    <w:rsid w:val="000A66B8"/>
    <w:rsid w:val="000B042D"/>
    <w:rsid w:val="000B4DB3"/>
    <w:rsid w:val="000C48B5"/>
    <w:rsid w:val="000C6340"/>
    <w:rsid w:val="000D0680"/>
    <w:rsid w:val="000E1DDC"/>
    <w:rsid w:val="000F1E67"/>
    <w:rsid w:val="000F56E0"/>
    <w:rsid w:val="001008D1"/>
    <w:rsid w:val="00107355"/>
    <w:rsid w:val="00111994"/>
    <w:rsid w:val="00121018"/>
    <w:rsid w:val="001215B4"/>
    <w:rsid w:val="00136514"/>
    <w:rsid w:val="00143423"/>
    <w:rsid w:val="00147EA4"/>
    <w:rsid w:val="001565F9"/>
    <w:rsid w:val="00160BDA"/>
    <w:rsid w:val="00181B2A"/>
    <w:rsid w:val="001832BA"/>
    <w:rsid w:val="0018642B"/>
    <w:rsid w:val="001A59C1"/>
    <w:rsid w:val="001A5ED5"/>
    <w:rsid w:val="001A7AF4"/>
    <w:rsid w:val="001B1AC4"/>
    <w:rsid w:val="001B27D7"/>
    <w:rsid w:val="001B46C2"/>
    <w:rsid w:val="001B799A"/>
    <w:rsid w:val="001C42EB"/>
    <w:rsid w:val="00220D48"/>
    <w:rsid w:val="00237C8C"/>
    <w:rsid w:val="00242F64"/>
    <w:rsid w:val="002439A3"/>
    <w:rsid w:val="00243E14"/>
    <w:rsid w:val="00255789"/>
    <w:rsid w:val="00272519"/>
    <w:rsid w:val="002734D9"/>
    <w:rsid w:val="00273933"/>
    <w:rsid w:val="00282223"/>
    <w:rsid w:val="00291BE8"/>
    <w:rsid w:val="002A0797"/>
    <w:rsid w:val="002A4838"/>
    <w:rsid w:val="002C57BC"/>
    <w:rsid w:val="002D3697"/>
    <w:rsid w:val="002D36C6"/>
    <w:rsid w:val="002E34EA"/>
    <w:rsid w:val="002E46A1"/>
    <w:rsid w:val="002F7A11"/>
    <w:rsid w:val="00315C53"/>
    <w:rsid w:val="00322CB1"/>
    <w:rsid w:val="003369A6"/>
    <w:rsid w:val="00340484"/>
    <w:rsid w:val="00344140"/>
    <w:rsid w:val="00344556"/>
    <w:rsid w:val="00345B90"/>
    <w:rsid w:val="0035378E"/>
    <w:rsid w:val="0035424D"/>
    <w:rsid w:val="003677C4"/>
    <w:rsid w:val="00374FD8"/>
    <w:rsid w:val="00390AC3"/>
    <w:rsid w:val="003937C6"/>
    <w:rsid w:val="003A0BC2"/>
    <w:rsid w:val="003A1D3E"/>
    <w:rsid w:val="003A6F6D"/>
    <w:rsid w:val="003B1454"/>
    <w:rsid w:val="003B1CD1"/>
    <w:rsid w:val="003C1E49"/>
    <w:rsid w:val="003C60FE"/>
    <w:rsid w:val="003E46E9"/>
    <w:rsid w:val="003F0897"/>
    <w:rsid w:val="004076CD"/>
    <w:rsid w:val="00417CE5"/>
    <w:rsid w:val="00430A63"/>
    <w:rsid w:val="00450118"/>
    <w:rsid w:val="00450405"/>
    <w:rsid w:val="00453314"/>
    <w:rsid w:val="00476CC4"/>
    <w:rsid w:val="00476D24"/>
    <w:rsid w:val="004866AE"/>
    <w:rsid w:val="004A17D9"/>
    <w:rsid w:val="004A5B01"/>
    <w:rsid w:val="004A7D93"/>
    <w:rsid w:val="004A7FF9"/>
    <w:rsid w:val="004B1E4E"/>
    <w:rsid w:val="004B4CAF"/>
    <w:rsid w:val="004B73AF"/>
    <w:rsid w:val="004D2568"/>
    <w:rsid w:val="004D3EE9"/>
    <w:rsid w:val="004D51DD"/>
    <w:rsid w:val="004E7176"/>
    <w:rsid w:val="004E783D"/>
    <w:rsid w:val="004F2465"/>
    <w:rsid w:val="004F34E5"/>
    <w:rsid w:val="005132BB"/>
    <w:rsid w:val="0051494C"/>
    <w:rsid w:val="00524166"/>
    <w:rsid w:val="00524C18"/>
    <w:rsid w:val="005336C2"/>
    <w:rsid w:val="005403E3"/>
    <w:rsid w:val="0055461C"/>
    <w:rsid w:val="00565D56"/>
    <w:rsid w:val="00571EF6"/>
    <w:rsid w:val="0059754B"/>
    <w:rsid w:val="005B0C1B"/>
    <w:rsid w:val="005C183B"/>
    <w:rsid w:val="005C58B6"/>
    <w:rsid w:val="005C5BF7"/>
    <w:rsid w:val="005D4EE6"/>
    <w:rsid w:val="005F2A19"/>
    <w:rsid w:val="005F3915"/>
    <w:rsid w:val="0060568A"/>
    <w:rsid w:val="0060622C"/>
    <w:rsid w:val="0061778F"/>
    <w:rsid w:val="00624A10"/>
    <w:rsid w:val="00626C39"/>
    <w:rsid w:val="00643D7A"/>
    <w:rsid w:val="00646D29"/>
    <w:rsid w:val="0066318F"/>
    <w:rsid w:val="00683034"/>
    <w:rsid w:val="006927DD"/>
    <w:rsid w:val="006B7B89"/>
    <w:rsid w:val="006D39C4"/>
    <w:rsid w:val="006E6703"/>
    <w:rsid w:val="006E7D5B"/>
    <w:rsid w:val="006F582F"/>
    <w:rsid w:val="007143B8"/>
    <w:rsid w:val="00724535"/>
    <w:rsid w:val="007316AA"/>
    <w:rsid w:val="00741B9C"/>
    <w:rsid w:val="00757A1C"/>
    <w:rsid w:val="007637D8"/>
    <w:rsid w:val="00765EBC"/>
    <w:rsid w:val="0077231B"/>
    <w:rsid w:val="00774643"/>
    <w:rsid w:val="007838DE"/>
    <w:rsid w:val="007B46CD"/>
    <w:rsid w:val="007C4387"/>
    <w:rsid w:val="007C7CCE"/>
    <w:rsid w:val="007D2FB7"/>
    <w:rsid w:val="007E79C4"/>
    <w:rsid w:val="007F23A8"/>
    <w:rsid w:val="00804604"/>
    <w:rsid w:val="0081221D"/>
    <w:rsid w:val="00826961"/>
    <w:rsid w:val="00836428"/>
    <w:rsid w:val="00847C78"/>
    <w:rsid w:val="00852B97"/>
    <w:rsid w:val="00870521"/>
    <w:rsid w:val="0087642D"/>
    <w:rsid w:val="008806CE"/>
    <w:rsid w:val="008856D7"/>
    <w:rsid w:val="0089523C"/>
    <w:rsid w:val="008C3B9B"/>
    <w:rsid w:val="008C7B1F"/>
    <w:rsid w:val="008C7B63"/>
    <w:rsid w:val="008E0859"/>
    <w:rsid w:val="008F0BDD"/>
    <w:rsid w:val="008F14F3"/>
    <w:rsid w:val="008F2F99"/>
    <w:rsid w:val="008F6084"/>
    <w:rsid w:val="009057C8"/>
    <w:rsid w:val="0093193B"/>
    <w:rsid w:val="00947170"/>
    <w:rsid w:val="00947B3D"/>
    <w:rsid w:val="00956E94"/>
    <w:rsid w:val="00962312"/>
    <w:rsid w:val="009627A1"/>
    <w:rsid w:val="009712FE"/>
    <w:rsid w:val="009738ED"/>
    <w:rsid w:val="009875AD"/>
    <w:rsid w:val="009924AF"/>
    <w:rsid w:val="009A3391"/>
    <w:rsid w:val="009A7F71"/>
    <w:rsid w:val="009B51D7"/>
    <w:rsid w:val="009D3BEA"/>
    <w:rsid w:val="009D5161"/>
    <w:rsid w:val="009E4D16"/>
    <w:rsid w:val="009E6ADC"/>
    <w:rsid w:val="009E6C33"/>
    <w:rsid w:val="009F12E2"/>
    <w:rsid w:val="009F3358"/>
    <w:rsid w:val="009F478B"/>
    <w:rsid w:val="009F69C1"/>
    <w:rsid w:val="00A40EE1"/>
    <w:rsid w:val="00A423ED"/>
    <w:rsid w:val="00A536F3"/>
    <w:rsid w:val="00A91D08"/>
    <w:rsid w:val="00AA31E3"/>
    <w:rsid w:val="00AA6318"/>
    <w:rsid w:val="00AA7FCB"/>
    <w:rsid w:val="00AB4B66"/>
    <w:rsid w:val="00AB59AE"/>
    <w:rsid w:val="00AB5BD9"/>
    <w:rsid w:val="00AC040C"/>
    <w:rsid w:val="00AD0AA1"/>
    <w:rsid w:val="00AE07A3"/>
    <w:rsid w:val="00AE372A"/>
    <w:rsid w:val="00B275A9"/>
    <w:rsid w:val="00B40DBF"/>
    <w:rsid w:val="00B44231"/>
    <w:rsid w:val="00B457C4"/>
    <w:rsid w:val="00B46D07"/>
    <w:rsid w:val="00B54060"/>
    <w:rsid w:val="00B71178"/>
    <w:rsid w:val="00B914A2"/>
    <w:rsid w:val="00B9541E"/>
    <w:rsid w:val="00BA4CDE"/>
    <w:rsid w:val="00BB0488"/>
    <w:rsid w:val="00BB3ED5"/>
    <w:rsid w:val="00BB4AB9"/>
    <w:rsid w:val="00BC07C0"/>
    <w:rsid w:val="00BD3CFF"/>
    <w:rsid w:val="00BE59BD"/>
    <w:rsid w:val="00C0174A"/>
    <w:rsid w:val="00C05D9B"/>
    <w:rsid w:val="00C214BA"/>
    <w:rsid w:val="00C26130"/>
    <w:rsid w:val="00C315B6"/>
    <w:rsid w:val="00C376F3"/>
    <w:rsid w:val="00C4132F"/>
    <w:rsid w:val="00C463D2"/>
    <w:rsid w:val="00C62A44"/>
    <w:rsid w:val="00C775ED"/>
    <w:rsid w:val="00C80A39"/>
    <w:rsid w:val="00C81936"/>
    <w:rsid w:val="00C84C4C"/>
    <w:rsid w:val="00CA5CC2"/>
    <w:rsid w:val="00CA7D78"/>
    <w:rsid w:val="00CB631F"/>
    <w:rsid w:val="00CC5314"/>
    <w:rsid w:val="00CF5003"/>
    <w:rsid w:val="00D0019C"/>
    <w:rsid w:val="00D17F80"/>
    <w:rsid w:val="00D3182B"/>
    <w:rsid w:val="00D527BD"/>
    <w:rsid w:val="00D52AD6"/>
    <w:rsid w:val="00D73837"/>
    <w:rsid w:val="00D861C1"/>
    <w:rsid w:val="00D86901"/>
    <w:rsid w:val="00D92835"/>
    <w:rsid w:val="00D94424"/>
    <w:rsid w:val="00DA4B82"/>
    <w:rsid w:val="00DA6063"/>
    <w:rsid w:val="00DA6DB6"/>
    <w:rsid w:val="00DC1592"/>
    <w:rsid w:val="00DC41C9"/>
    <w:rsid w:val="00DC5473"/>
    <w:rsid w:val="00DD2F76"/>
    <w:rsid w:val="00DD3996"/>
    <w:rsid w:val="00DE6FE8"/>
    <w:rsid w:val="00E0265A"/>
    <w:rsid w:val="00E114C5"/>
    <w:rsid w:val="00E13D93"/>
    <w:rsid w:val="00E162F5"/>
    <w:rsid w:val="00E307F3"/>
    <w:rsid w:val="00E3230E"/>
    <w:rsid w:val="00E35775"/>
    <w:rsid w:val="00E6215A"/>
    <w:rsid w:val="00E73324"/>
    <w:rsid w:val="00E826D1"/>
    <w:rsid w:val="00E95CF7"/>
    <w:rsid w:val="00EA0EEB"/>
    <w:rsid w:val="00ED2912"/>
    <w:rsid w:val="00ED2DCC"/>
    <w:rsid w:val="00EF2BE5"/>
    <w:rsid w:val="00F042FA"/>
    <w:rsid w:val="00F16374"/>
    <w:rsid w:val="00F22813"/>
    <w:rsid w:val="00F2442A"/>
    <w:rsid w:val="00F4107A"/>
    <w:rsid w:val="00F51AFD"/>
    <w:rsid w:val="00F612FF"/>
    <w:rsid w:val="00F6493F"/>
    <w:rsid w:val="00F75663"/>
    <w:rsid w:val="00F811E7"/>
    <w:rsid w:val="00F8444F"/>
    <w:rsid w:val="00F9056C"/>
    <w:rsid w:val="00F92EF4"/>
    <w:rsid w:val="00FA0611"/>
    <w:rsid w:val="00FA79E7"/>
    <w:rsid w:val="00FB4891"/>
    <w:rsid w:val="00FC686F"/>
    <w:rsid w:val="00FC7FBE"/>
    <w:rsid w:val="00FE0378"/>
    <w:rsid w:val="00FE2347"/>
    <w:rsid w:val="20EBB8F7"/>
    <w:rsid w:val="27553789"/>
    <w:rsid w:val="33A7E4E3"/>
    <w:rsid w:val="4284AD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C41C9"/>
    <w:rPr>
      <w:color w:val="000000"/>
      <w:kern w:val="28"/>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styleId="cthomas" w:customStyle="1">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styleId="apple-converted-space" w:customStyle="1">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hAnsi="Calibri" w:eastAsia="Calibri"/>
      <w:color w:val="auto"/>
      <w:kern w:val="0"/>
      <w:sz w:val="22"/>
      <w:szCs w:val="22"/>
    </w:rPr>
  </w:style>
  <w:style w:type="character" w:styleId="FooterChar" w:customStyle="1">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styleId="FootnoteTextChar" w:customStyle="1">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styleId="CommentTextChar" w:customStyle="1">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styleId="CommentSubjectChar" w:customStyle="1">
    <w:name w:val="Comment Subject Char"/>
    <w:link w:val="CommentSubject"/>
    <w:rsid w:val="00DD3996"/>
    <w:rPr>
      <w:b/>
      <w:bCs/>
      <w:color w:val="000000"/>
      <w:kern w:val="28"/>
    </w:rPr>
  </w:style>
  <w:style w:type="character" w:styleId="UnresolvedMention">
    <w:name w:val="Unresolved Mention"/>
    <w:basedOn w:val="DefaultParagraphFont"/>
    <w:uiPriority w:val="99"/>
    <w:semiHidden/>
    <w:unhideWhenUsed/>
    <w:rsid w:val="00683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BFD5DCA8-8205-42AB-9084-AC22D109E28A}"/>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Minnesota Advocates for Human Rights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Jennifer Prestholdt</cp:lastModifiedBy>
  <cp:revision>15</cp:revision>
  <cp:lastPrinted>2011-09-16T18:52:00Z</cp:lastPrinted>
  <dcterms:created xsi:type="dcterms:W3CDTF">2022-01-28T01:02:00Z</dcterms:created>
  <dcterms:modified xsi:type="dcterms:W3CDTF">2022-01-31T22:53:34Z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