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C6ED4E" w14:textId="77777777" w:rsidR="00D81E61" w:rsidRPr="00FE0A0D" w:rsidRDefault="00D81E61" w:rsidP="0091523D">
      <w:pPr>
        <w:spacing w:line="360" w:lineRule="auto"/>
        <w:jc w:val="center"/>
        <w:rPr>
          <w:rFonts w:cstheme="minorHAnsi"/>
          <w:sz w:val="28"/>
          <w:szCs w:val="28"/>
        </w:rPr>
      </w:pPr>
    </w:p>
    <w:p w14:paraId="773C6C53" w14:textId="77777777" w:rsidR="00197969" w:rsidRPr="00197969" w:rsidRDefault="00197969" w:rsidP="00197969">
      <w:pPr>
        <w:spacing w:line="276" w:lineRule="auto"/>
        <w:jc w:val="center"/>
        <w:rPr>
          <w:rFonts w:cstheme="minorHAnsi"/>
          <w:b/>
          <w:bCs/>
          <w:sz w:val="24"/>
          <w:szCs w:val="24"/>
        </w:rPr>
      </w:pPr>
      <w:r w:rsidRPr="00197969">
        <w:rPr>
          <w:rFonts w:cstheme="minorHAnsi"/>
          <w:b/>
          <w:bCs/>
          <w:sz w:val="24"/>
          <w:szCs w:val="24"/>
        </w:rPr>
        <w:t>The Alliance Against Discrimination of LGBTI and ILGA WORLD</w:t>
      </w:r>
    </w:p>
    <w:p w14:paraId="07B9F076" w14:textId="77777777" w:rsidR="00D81E61" w:rsidRPr="00FE0A0D" w:rsidRDefault="00D81E61" w:rsidP="0091523D">
      <w:pPr>
        <w:spacing w:line="360" w:lineRule="auto"/>
        <w:jc w:val="center"/>
        <w:rPr>
          <w:rFonts w:cstheme="minorHAnsi"/>
          <w:sz w:val="32"/>
          <w:szCs w:val="32"/>
        </w:rPr>
      </w:pPr>
    </w:p>
    <w:p w14:paraId="5CE8E224" w14:textId="77777777" w:rsidR="00D81E61" w:rsidRPr="00FE0A0D" w:rsidRDefault="00D81E61" w:rsidP="0091523D">
      <w:pPr>
        <w:spacing w:line="360" w:lineRule="auto"/>
        <w:jc w:val="center"/>
        <w:rPr>
          <w:rFonts w:cstheme="minorHAnsi"/>
          <w:sz w:val="32"/>
          <w:szCs w:val="32"/>
        </w:rPr>
      </w:pPr>
    </w:p>
    <w:p w14:paraId="29A06B0B" w14:textId="77777777" w:rsidR="00D81E61" w:rsidRPr="00FE0A0D" w:rsidRDefault="00D81E61" w:rsidP="0091523D">
      <w:pPr>
        <w:spacing w:line="360" w:lineRule="auto"/>
        <w:jc w:val="center"/>
        <w:rPr>
          <w:rFonts w:cstheme="minorHAnsi"/>
          <w:sz w:val="32"/>
          <w:szCs w:val="32"/>
        </w:rPr>
      </w:pPr>
    </w:p>
    <w:p w14:paraId="05A07310" w14:textId="77777777" w:rsidR="00D81E61" w:rsidRPr="00FE0A0D" w:rsidRDefault="00D81E61" w:rsidP="0091523D">
      <w:pPr>
        <w:spacing w:line="360" w:lineRule="auto"/>
        <w:jc w:val="center"/>
        <w:rPr>
          <w:rFonts w:cstheme="minorHAnsi"/>
          <w:sz w:val="32"/>
          <w:szCs w:val="32"/>
        </w:rPr>
      </w:pPr>
    </w:p>
    <w:p w14:paraId="57BE647D" w14:textId="77777777" w:rsidR="00D81E61" w:rsidRPr="00FE0A0D" w:rsidRDefault="00D81E61" w:rsidP="0091523D">
      <w:pPr>
        <w:spacing w:line="360" w:lineRule="auto"/>
        <w:jc w:val="center"/>
        <w:rPr>
          <w:rFonts w:cstheme="minorHAnsi"/>
          <w:b/>
          <w:bCs/>
          <w:sz w:val="32"/>
          <w:szCs w:val="32"/>
        </w:rPr>
      </w:pPr>
    </w:p>
    <w:p w14:paraId="09712154" w14:textId="2232953F" w:rsidR="007D6556" w:rsidRPr="00FE0A0D" w:rsidRDefault="00197969" w:rsidP="0091523D">
      <w:pPr>
        <w:spacing w:line="360" w:lineRule="auto"/>
        <w:jc w:val="center"/>
        <w:rPr>
          <w:rFonts w:cstheme="minorHAnsi"/>
          <w:b/>
          <w:bCs/>
          <w:sz w:val="32"/>
          <w:szCs w:val="32"/>
        </w:rPr>
      </w:pPr>
      <w:r>
        <w:rPr>
          <w:rFonts w:cstheme="minorHAnsi"/>
          <w:b/>
          <w:bCs/>
          <w:sz w:val="32"/>
          <w:szCs w:val="32"/>
        </w:rPr>
        <w:t xml:space="preserve">Joint </w:t>
      </w:r>
      <w:r w:rsidR="007D6556" w:rsidRPr="00FE0A0D">
        <w:rPr>
          <w:rFonts w:cstheme="minorHAnsi"/>
          <w:b/>
          <w:bCs/>
          <w:sz w:val="32"/>
          <w:szCs w:val="32"/>
        </w:rPr>
        <w:t xml:space="preserve">Written Contribution on the </w:t>
      </w:r>
      <w:r w:rsidR="00D81E61" w:rsidRPr="00FE0A0D">
        <w:rPr>
          <w:rFonts w:cstheme="minorHAnsi"/>
          <w:b/>
          <w:bCs/>
          <w:sz w:val="32"/>
          <w:szCs w:val="32"/>
        </w:rPr>
        <w:t>P</w:t>
      </w:r>
      <w:r w:rsidR="007D6556" w:rsidRPr="00FE0A0D">
        <w:rPr>
          <w:rFonts w:cstheme="minorHAnsi"/>
          <w:b/>
          <w:bCs/>
          <w:sz w:val="32"/>
          <w:szCs w:val="32"/>
        </w:rPr>
        <w:t xml:space="preserve">osition of LGBTI </w:t>
      </w:r>
      <w:r w:rsidR="00D81E61" w:rsidRPr="00FE0A0D">
        <w:rPr>
          <w:rFonts w:cstheme="minorHAnsi"/>
          <w:b/>
          <w:bCs/>
          <w:sz w:val="32"/>
          <w:szCs w:val="32"/>
        </w:rPr>
        <w:t>P</w:t>
      </w:r>
      <w:r w:rsidR="007D6556" w:rsidRPr="00FE0A0D">
        <w:rPr>
          <w:rFonts w:cstheme="minorHAnsi"/>
          <w:b/>
          <w:bCs/>
          <w:sz w:val="32"/>
          <w:szCs w:val="32"/>
        </w:rPr>
        <w:t xml:space="preserve">ersons to the </w:t>
      </w:r>
      <w:r w:rsidR="00D81E61" w:rsidRPr="00FE0A0D">
        <w:rPr>
          <w:rFonts w:cstheme="minorHAnsi"/>
          <w:b/>
          <w:bCs/>
          <w:sz w:val="32"/>
          <w:szCs w:val="32"/>
        </w:rPr>
        <w:t>C</w:t>
      </w:r>
      <w:r w:rsidR="007D6556" w:rsidRPr="00FE0A0D">
        <w:rPr>
          <w:rFonts w:cstheme="minorHAnsi"/>
          <w:b/>
          <w:bCs/>
          <w:sz w:val="32"/>
          <w:szCs w:val="32"/>
        </w:rPr>
        <w:t xml:space="preserve">onsideration of the 4th </w:t>
      </w:r>
      <w:r w:rsidR="00D81E61" w:rsidRPr="00FE0A0D">
        <w:rPr>
          <w:rFonts w:cstheme="minorHAnsi"/>
          <w:b/>
          <w:bCs/>
          <w:sz w:val="32"/>
          <w:szCs w:val="32"/>
        </w:rPr>
        <w:t>P</w:t>
      </w:r>
      <w:r w:rsidR="007D6556" w:rsidRPr="00FE0A0D">
        <w:rPr>
          <w:rFonts w:cstheme="minorHAnsi"/>
          <w:b/>
          <w:bCs/>
          <w:sz w:val="32"/>
          <w:szCs w:val="32"/>
        </w:rPr>
        <w:t xml:space="preserve">eriodic </w:t>
      </w:r>
      <w:r w:rsidR="00D81E61" w:rsidRPr="00FE0A0D">
        <w:rPr>
          <w:rFonts w:cstheme="minorHAnsi"/>
          <w:b/>
          <w:bCs/>
          <w:sz w:val="32"/>
          <w:szCs w:val="32"/>
        </w:rPr>
        <w:t>R</w:t>
      </w:r>
      <w:r w:rsidR="007D6556" w:rsidRPr="00FE0A0D">
        <w:rPr>
          <w:rFonts w:cstheme="minorHAnsi"/>
          <w:b/>
          <w:bCs/>
          <w:sz w:val="32"/>
          <w:szCs w:val="32"/>
        </w:rPr>
        <w:t xml:space="preserve">eport </w:t>
      </w:r>
      <w:r w:rsidR="00D81E61" w:rsidRPr="00FE0A0D">
        <w:rPr>
          <w:rFonts w:cstheme="minorHAnsi"/>
          <w:b/>
          <w:bCs/>
          <w:sz w:val="32"/>
          <w:szCs w:val="32"/>
        </w:rPr>
        <w:t>S</w:t>
      </w:r>
      <w:r w:rsidR="007D6556" w:rsidRPr="00FE0A0D">
        <w:rPr>
          <w:rFonts w:cstheme="minorHAnsi"/>
          <w:b/>
          <w:bCs/>
          <w:sz w:val="32"/>
          <w:szCs w:val="32"/>
        </w:rPr>
        <w:t>ubmitted by Albania (E/C.12/ALB/4) to the Committee on Economic, Social and Cultural Rights</w:t>
      </w:r>
      <w:r w:rsidR="00D81E61" w:rsidRPr="00FE0A0D">
        <w:rPr>
          <w:rFonts w:cstheme="minorHAnsi"/>
          <w:b/>
          <w:bCs/>
          <w:sz w:val="32"/>
          <w:szCs w:val="32"/>
        </w:rPr>
        <w:t xml:space="preserve"> (CESCR)</w:t>
      </w:r>
    </w:p>
    <w:p w14:paraId="20F48251" w14:textId="01EA4D32" w:rsidR="00D81E61" w:rsidRPr="00FE0A0D" w:rsidRDefault="00D81E61" w:rsidP="0091523D">
      <w:pPr>
        <w:spacing w:line="240" w:lineRule="auto"/>
        <w:jc w:val="center"/>
        <w:rPr>
          <w:rFonts w:cstheme="minorHAnsi"/>
        </w:rPr>
      </w:pPr>
    </w:p>
    <w:p w14:paraId="14A01E21" w14:textId="5DB09CD9" w:rsidR="00D81E61" w:rsidRPr="00FE0A0D" w:rsidRDefault="00D81E61" w:rsidP="0091523D">
      <w:pPr>
        <w:spacing w:line="240" w:lineRule="auto"/>
        <w:jc w:val="center"/>
        <w:rPr>
          <w:rFonts w:cstheme="minorHAnsi"/>
        </w:rPr>
      </w:pPr>
    </w:p>
    <w:p w14:paraId="5B7E1EE6" w14:textId="1074573E" w:rsidR="00D81E61" w:rsidRPr="00FE0A0D" w:rsidRDefault="00D81E61" w:rsidP="0091523D">
      <w:pPr>
        <w:spacing w:line="240" w:lineRule="auto"/>
        <w:jc w:val="center"/>
        <w:rPr>
          <w:rFonts w:cstheme="minorHAnsi"/>
        </w:rPr>
      </w:pPr>
    </w:p>
    <w:p w14:paraId="5A439866" w14:textId="6E3A67B4" w:rsidR="00D81E61" w:rsidRPr="00FE0A0D" w:rsidRDefault="00D81E61" w:rsidP="0091523D">
      <w:pPr>
        <w:spacing w:line="240" w:lineRule="auto"/>
        <w:jc w:val="center"/>
        <w:rPr>
          <w:rFonts w:cstheme="minorHAnsi"/>
        </w:rPr>
      </w:pPr>
    </w:p>
    <w:p w14:paraId="51A95EBF" w14:textId="69A4B70D" w:rsidR="00D81E61" w:rsidRPr="00FE0A0D" w:rsidRDefault="00D81E61" w:rsidP="0091523D">
      <w:pPr>
        <w:spacing w:line="240" w:lineRule="auto"/>
        <w:jc w:val="center"/>
        <w:rPr>
          <w:rFonts w:cstheme="minorHAnsi"/>
        </w:rPr>
      </w:pPr>
    </w:p>
    <w:p w14:paraId="6F0F5C9D" w14:textId="3B60ECA5" w:rsidR="00D81E61" w:rsidRPr="00FE0A0D" w:rsidRDefault="00D81E61" w:rsidP="0091523D">
      <w:pPr>
        <w:spacing w:line="240" w:lineRule="auto"/>
        <w:jc w:val="center"/>
        <w:rPr>
          <w:rFonts w:cstheme="minorHAnsi"/>
        </w:rPr>
      </w:pPr>
    </w:p>
    <w:p w14:paraId="1063484A" w14:textId="4BD90A43" w:rsidR="00D81E61" w:rsidRPr="00FE0A0D" w:rsidRDefault="00D81E61" w:rsidP="0091523D">
      <w:pPr>
        <w:spacing w:line="240" w:lineRule="auto"/>
        <w:jc w:val="center"/>
        <w:rPr>
          <w:rFonts w:cstheme="minorHAnsi"/>
        </w:rPr>
      </w:pPr>
    </w:p>
    <w:p w14:paraId="5E32D371" w14:textId="38EDE2B3" w:rsidR="00D81E61" w:rsidRPr="00FE0A0D" w:rsidRDefault="00FE0A0D" w:rsidP="0091523D">
      <w:pPr>
        <w:spacing w:line="240" w:lineRule="auto"/>
        <w:jc w:val="center"/>
        <w:rPr>
          <w:rFonts w:cstheme="minorHAnsi"/>
          <w:b/>
          <w:bCs/>
          <w:sz w:val="28"/>
          <w:szCs w:val="28"/>
        </w:rPr>
      </w:pPr>
      <w:r>
        <w:rPr>
          <w:rFonts w:cstheme="minorHAnsi"/>
          <w:b/>
          <w:bCs/>
          <w:sz w:val="28"/>
          <w:szCs w:val="28"/>
        </w:rPr>
        <w:t>10</w:t>
      </w:r>
      <w:r w:rsidR="00D81E61" w:rsidRPr="00FE0A0D">
        <w:rPr>
          <w:rFonts w:cstheme="minorHAnsi"/>
          <w:b/>
          <w:bCs/>
          <w:sz w:val="28"/>
          <w:szCs w:val="28"/>
        </w:rPr>
        <w:t xml:space="preserve"> August, 202</w:t>
      </w:r>
      <w:r>
        <w:rPr>
          <w:rFonts w:cstheme="minorHAnsi"/>
          <w:b/>
          <w:bCs/>
          <w:sz w:val="28"/>
          <w:szCs w:val="28"/>
        </w:rPr>
        <w:t>4</w:t>
      </w:r>
    </w:p>
    <w:p w14:paraId="664C8ABE" w14:textId="77777777" w:rsidR="00D81E61" w:rsidRPr="00FE0A0D" w:rsidRDefault="00D81E61" w:rsidP="0091523D">
      <w:pPr>
        <w:spacing w:line="240" w:lineRule="auto"/>
        <w:jc w:val="both"/>
        <w:rPr>
          <w:rFonts w:cstheme="minorHAnsi"/>
        </w:rPr>
      </w:pPr>
    </w:p>
    <w:p w14:paraId="7F176653" w14:textId="1337FF5F" w:rsidR="00673CA3" w:rsidRPr="00FE0A0D" w:rsidRDefault="00026416" w:rsidP="0091523D">
      <w:pPr>
        <w:spacing w:line="240" w:lineRule="auto"/>
        <w:jc w:val="both"/>
        <w:rPr>
          <w:rFonts w:cstheme="minorHAnsi"/>
          <w:b/>
          <w:bCs/>
          <w:u w:val="single"/>
        </w:rPr>
      </w:pPr>
      <w:r w:rsidRPr="00FE0A0D">
        <w:rPr>
          <w:rFonts w:cstheme="minorHAnsi"/>
          <w:b/>
          <w:bCs/>
          <w:u w:val="single"/>
        </w:rPr>
        <w:t>List of Abbreviations</w:t>
      </w:r>
    </w:p>
    <w:p w14:paraId="3E3F5F91" w14:textId="77777777" w:rsidR="00C1241B" w:rsidRPr="00FE0A0D" w:rsidRDefault="00C1241B" w:rsidP="0091523D">
      <w:pPr>
        <w:jc w:val="both"/>
        <w:rPr>
          <w:rFonts w:cstheme="minorHAnsi"/>
        </w:rPr>
      </w:pPr>
      <w:r w:rsidRPr="00FE0A0D">
        <w:rPr>
          <w:rFonts w:cstheme="minorHAnsi"/>
        </w:rPr>
        <w:t>CESCR- Committee on Economic, Social and Cultural Rights</w:t>
      </w:r>
    </w:p>
    <w:p w14:paraId="204203A9" w14:textId="77777777" w:rsidR="00C1241B" w:rsidRPr="00FE0A0D" w:rsidRDefault="00C1241B" w:rsidP="0091523D">
      <w:pPr>
        <w:jc w:val="both"/>
        <w:rPr>
          <w:rFonts w:cstheme="minorHAnsi"/>
        </w:rPr>
      </w:pPr>
      <w:r w:rsidRPr="00FE0A0D">
        <w:rPr>
          <w:rFonts w:cstheme="minorHAnsi"/>
        </w:rPr>
        <w:t>CPD- Commissioner for Protection from Discrimination</w:t>
      </w:r>
    </w:p>
    <w:p w14:paraId="1F9336E6" w14:textId="77777777" w:rsidR="00C1241B" w:rsidRPr="00FE0A0D" w:rsidRDefault="00C1241B" w:rsidP="0091523D">
      <w:pPr>
        <w:jc w:val="both"/>
        <w:rPr>
          <w:rFonts w:cstheme="minorHAnsi"/>
        </w:rPr>
      </w:pPr>
      <w:r w:rsidRPr="00FE0A0D">
        <w:rPr>
          <w:rFonts w:cstheme="minorHAnsi"/>
        </w:rPr>
        <w:t>CSO- Civil Society Organization</w:t>
      </w:r>
    </w:p>
    <w:p w14:paraId="6DADDA7C" w14:textId="77777777" w:rsidR="00C1241B" w:rsidRPr="00FE0A0D" w:rsidRDefault="00C1241B" w:rsidP="0091523D">
      <w:pPr>
        <w:jc w:val="both"/>
        <w:rPr>
          <w:rFonts w:cstheme="minorHAnsi"/>
        </w:rPr>
      </w:pPr>
      <w:r w:rsidRPr="00FE0A0D">
        <w:rPr>
          <w:rFonts w:cstheme="minorHAnsi"/>
        </w:rPr>
        <w:t>ECRI- European Commission against Racism and Intolerance</w:t>
      </w:r>
    </w:p>
    <w:p w14:paraId="41A3CB72" w14:textId="77777777" w:rsidR="00C1241B" w:rsidRPr="00FE0A0D" w:rsidRDefault="00C1241B" w:rsidP="0091523D">
      <w:pPr>
        <w:jc w:val="both"/>
        <w:rPr>
          <w:rFonts w:cstheme="minorHAnsi"/>
        </w:rPr>
      </w:pPr>
      <w:proofErr w:type="spellStart"/>
      <w:r w:rsidRPr="00FE0A0D">
        <w:rPr>
          <w:rFonts w:cstheme="minorHAnsi"/>
        </w:rPr>
        <w:t>GoA</w:t>
      </w:r>
      <w:proofErr w:type="spellEnd"/>
      <w:r w:rsidRPr="00FE0A0D">
        <w:rPr>
          <w:rFonts w:cstheme="minorHAnsi"/>
        </w:rPr>
        <w:t xml:space="preserve">- </w:t>
      </w:r>
      <w:proofErr w:type="spellStart"/>
      <w:r w:rsidRPr="00FE0A0D">
        <w:rPr>
          <w:rFonts w:cstheme="minorHAnsi"/>
        </w:rPr>
        <w:t>Governement</w:t>
      </w:r>
      <w:proofErr w:type="spellEnd"/>
      <w:r w:rsidRPr="00FE0A0D">
        <w:rPr>
          <w:rFonts w:cstheme="minorHAnsi"/>
        </w:rPr>
        <w:t xml:space="preserve"> of Albania</w:t>
      </w:r>
    </w:p>
    <w:p w14:paraId="43C0ACC1" w14:textId="77777777" w:rsidR="00C1241B" w:rsidRPr="00FE0A0D" w:rsidRDefault="00C1241B" w:rsidP="0091523D">
      <w:pPr>
        <w:jc w:val="both"/>
        <w:rPr>
          <w:rFonts w:cstheme="minorHAnsi"/>
        </w:rPr>
      </w:pPr>
      <w:r w:rsidRPr="00FE0A0D">
        <w:rPr>
          <w:rFonts w:cstheme="minorHAnsi"/>
        </w:rPr>
        <w:t>LGBTI+- Lesbian, Gay, Bisexual, Transgender, Intersex</w:t>
      </w:r>
    </w:p>
    <w:p w14:paraId="51B047DF" w14:textId="77777777" w:rsidR="00C1241B" w:rsidRPr="00FE0A0D" w:rsidRDefault="00C1241B" w:rsidP="0091523D">
      <w:pPr>
        <w:jc w:val="both"/>
        <w:rPr>
          <w:rFonts w:cstheme="minorHAnsi"/>
        </w:rPr>
      </w:pPr>
      <w:r w:rsidRPr="00FE0A0D">
        <w:rPr>
          <w:rFonts w:cstheme="minorHAnsi"/>
        </w:rPr>
        <w:t>NAP- National Action Plan</w:t>
      </w:r>
    </w:p>
    <w:p w14:paraId="72C21518" w14:textId="77777777" w:rsidR="00C1241B" w:rsidRPr="00FE0A0D" w:rsidRDefault="00C1241B" w:rsidP="0091523D">
      <w:pPr>
        <w:jc w:val="both"/>
        <w:rPr>
          <w:rFonts w:cstheme="minorHAnsi"/>
        </w:rPr>
      </w:pPr>
      <w:r w:rsidRPr="00FE0A0D">
        <w:rPr>
          <w:rFonts w:cstheme="minorHAnsi"/>
        </w:rPr>
        <w:t>PEP- Post-Exposure Prophylaxis</w:t>
      </w:r>
    </w:p>
    <w:p w14:paraId="1AB026D1" w14:textId="77777777" w:rsidR="00C1241B" w:rsidRPr="00FE0A0D" w:rsidRDefault="00C1241B" w:rsidP="0091523D">
      <w:pPr>
        <w:jc w:val="both"/>
        <w:rPr>
          <w:rFonts w:cstheme="minorHAnsi"/>
        </w:rPr>
      </w:pPr>
      <w:proofErr w:type="spellStart"/>
      <w:r w:rsidRPr="00FE0A0D">
        <w:rPr>
          <w:rFonts w:cstheme="minorHAnsi"/>
        </w:rPr>
        <w:t>PrEP</w:t>
      </w:r>
      <w:proofErr w:type="spellEnd"/>
      <w:r w:rsidRPr="00FE0A0D">
        <w:rPr>
          <w:rFonts w:cstheme="minorHAnsi"/>
        </w:rPr>
        <w:t>- Pre-Exposure Prophylaxis</w:t>
      </w:r>
    </w:p>
    <w:p w14:paraId="72CDE562" w14:textId="77777777" w:rsidR="00C1241B" w:rsidRPr="00FE0A0D" w:rsidRDefault="00C1241B" w:rsidP="0091523D">
      <w:pPr>
        <w:jc w:val="both"/>
        <w:rPr>
          <w:rFonts w:cstheme="minorHAnsi"/>
        </w:rPr>
      </w:pPr>
      <w:r w:rsidRPr="00FE0A0D">
        <w:rPr>
          <w:rFonts w:cstheme="minorHAnsi"/>
        </w:rPr>
        <w:t>SOGIESC- Sexual Orientation, Gender Identity and Expression, and Sex Characteristics</w:t>
      </w:r>
    </w:p>
    <w:p w14:paraId="5FE5C90D" w14:textId="77777777" w:rsidR="00C1241B" w:rsidRPr="00FE0A0D" w:rsidRDefault="00C1241B" w:rsidP="0091523D">
      <w:pPr>
        <w:jc w:val="both"/>
        <w:rPr>
          <w:rFonts w:cstheme="minorHAnsi"/>
        </w:rPr>
      </w:pPr>
      <w:r w:rsidRPr="00FE0A0D">
        <w:rPr>
          <w:rFonts w:cstheme="minorHAnsi"/>
        </w:rPr>
        <w:t>UPR- Universal Periodic Review</w:t>
      </w:r>
    </w:p>
    <w:p w14:paraId="03D4C213" w14:textId="77777777" w:rsidR="00C1241B" w:rsidRPr="00FE0A0D" w:rsidRDefault="00C1241B" w:rsidP="0091523D">
      <w:pPr>
        <w:jc w:val="both"/>
        <w:rPr>
          <w:rFonts w:cstheme="minorHAnsi"/>
        </w:rPr>
      </w:pPr>
    </w:p>
    <w:p w14:paraId="07B2F1A4" w14:textId="3F82AFC1" w:rsidR="00C1241B" w:rsidRPr="00FE0A0D" w:rsidRDefault="00C1241B" w:rsidP="0091523D">
      <w:pPr>
        <w:spacing w:line="240" w:lineRule="auto"/>
        <w:jc w:val="both"/>
        <w:rPr>
          <w:rFonts w:cstheme="minorHAnsi"/>
        </w:rPr>
      </w:pPr>
    </w:p>
    <w:p w14:paraId="2C06487E" w14:textId="77777777" w:rsidR="00D81E61" w:rsidRPr="00FE0A0D" w:rsidRDefault="00D81E61" w:rsidP="0091523D">
      <w:pPr>
        <w:spacing w:line="240" w:lineRule="auto"/>
        <w:jc w:val="both"/>
        <w:rPr>
          <w:rFonts w:cstheme="minorHAnsi"/>
        </w:rPr>
      </w:pPr>
    </w:p>
    <w:p w14:paraId="17F6CA89" w14:textId="77777777" w:rsidR="00D81E61" w:rsidRPr="00FE0A0D" w:rsidRDefault="00D81E61" w:rsidP="0091523D">
      <w:pPr>
        <w:spacing w:line="240" w:lineRule="auto"/>
        <w:jc w:val="both"/>
        <w:rPr>
          <w:rFonts w:cstheme="minorHAnsi"/>
        </w:rPr>
      </w:pPr>
    </w:p>
    <w:p w14:paraId="22CADDC8" w14:textId="77777777" w:rsidR="00D81E61" w:rsidRPr="00FE0A0D" w:rsidRDefault="00D81E61" w:rsidP="0091523D">
      <w:pPr>
        <w:spacing w:line="240" w:lineRule="auto"/>
        <w:jc w:val="both"/>
        <w:rPr>
          <w:rFonts w:cstheme="minorHAnsi"/>
        </w:rPr>
      </w:pPr>
    </w:p>
    <w:p w14:paraId="48516D9C" w14:textId="77777777" w:rsidR="00D81E61" w:rsidRPr="00FE0A0D" w:rsidRDefault="00D81E61" w:rsidP="0091523D">
      <w:pPr>
        <w:spacing w:line="240" w:lineRule="auto"/>
        <w:jc w:val="both"/>
        <w:rPr>
          <w:rFonts w:cstheme="minorHAnsi"/>
        </w:rPr>
      </w:pPr>
    </w:p>
    <w:p w14:paraId="11165136" w14:textId="77777777" w:rsidR="00D81E61" w:rsidRPr="00FE0A0D" w:rsidRDefault="00D81E61" w:rsidP="0091523D">
      <w:pPr>
        <w:spacing w:line="240" w:lineRule="auto"/>
        <w:jc w:val="both"/>
        <w:rPr>
          <w:rFonts w:cstheme="minorHAnsi"/>
        </w:rPr>
      </w:pPr>
    </w:p>
    <w:p w14:paraId="5DC4A35A" w14:textId="77777777" w:rsidR="00D81E61" w:rsidRPr="00FE0A0D" w:rsidRDefault="00D81E61" w:rsidP="0091523D">
      <w:pPr>
        <w:spacing w:line="240" w:lineRule="auto"/>
        <w:jc w:val="both"/>
        <w:rPr>
          <w:rFonts w:cstheme="minorHAnsi"/>
        </w:rPr>
      </w:pPr>
    </w:p>
    <w:p w14:paraId="466244BC" w14:textId="77777777" w:rsidR="00D81E61" w:rsidRPr="00FE0A0D" w:rsidRDefault="00D81E61" w:rsidP="0091523D">
      <w:pPr>
        <w:spacing w:line="240" w:lineRule="auto"/>
        <w:jc w:val="both"/>
        <w:rPr>
          <w:rFonts w:cstheme="minorHAnsi"/>
        </w:rPr>
      </w:pPr>
    </w:p>
    <w:p w14:paraId="18EE3CC6" w14:textId="77777777" w:rsidR="00D81E61" w:rsidRPr="00FE0A0D" w:rsidRDefault="00D81E61" w:rsidP="0091523D">
      <w:pPr>
        <w:spacing w:line="240" w:lineRule="auto"/>
        <w:jc w:val="both"/>
        <w:rPr>
          <w:rFonts w:cstheme="minorHAnsi"/>
        </w:rPr>
      </w:pPr>
    </w:p>
    <w:p w14:paraId="7C644CEB" w14:textId="77777777" w:rsidR="00D81E61" w:rsidRPr="00FE0A0D" w:rsidRDefault="00D81E61" w:rsidP="0091523D">
      <w:pPr>
        <w:spacing w:line="240" w:lineRule="auto"/>
        <w:jc w:val="both"/>
        <w:rPr>
          <w:rFonts w:cstheme="minorHAnsi"/>
        </w:rPr>
      </w:pPr>
    </w:p>
    <w:p w14:paraId="0AFDAA92" w14:textId="77777777" w:rsidR="00D81E61" w:rsidRPr="00FE0A0D" w:rsidRDefault="00D81E61" w:rsidP="0091523D">
      <w:pPr>
        <w:spacing w:line="240" w:lineRule="auto"/>
        <w:jc w:val="both"/>
        <w:rPr>
          <w:rFonts w:cstheme="minorHAnsi"/>
        </w:rPr>
      </w:pPr>
    </w:p>
    <w:p w14:paraId="58A7DCDA" w14:textId="77777777" w:rsidR="00D81E61" w:rsidRPr="00FE0A0D" w:rsidRDefault="00D81E61" w:rsidP="0091523D">
      <w:pPr>
        <w:spacing w:line="240" w:lineRule="auto"/>
        <w:jc w:val="both"/>
        <w:rPr>
          <w:rFonts w:cstheme="minorHAnsi"/>
        </w:rPr>
      </w:pPr>
    </w:p>
    <w:p w14:paraId="6DDFE626" w14:textId="77777777" w:rsidR="00D81E61" w:rsidRPr="00FE0A0D" w:rsidRDefault="00D81E61" w:rsidP="0091523D">
      <w:pPr>
        <w:spacing w:line="240" w:lineRule="auto"/>
        <w:jc w:val="both"/>
        <w:rPr>
          <w:rFonts w:cstheme="minorHAnsi"/>
        </w:rPr>
      </w:pPr>
    </w:p>
    <w:p w14:paraId="60BE16FD" w14:textId="77777777" w:rsidR="00D81E61" w:rsidRPr="00FE0A0D" w:rsidRDefault="00D81E61" w:rsidP="0091523D">
      <w:pPr>
        <w:spacing w:line="240" w:lineRule="auto"/>
        <w:jc w:val="both"/>
        <w:rPr>
          <w:rFonts w:cstheme="minorHAnsi"/>
        </w:rPr>
      </w:pPr>
    </w:p>
    <w:p w14:paraId="3ECCA919" w14:textId="77777777" w:rsidR="00D81E61" w:rsidRPr="00FE0A0D" w:rsidRDefault="00D81E61" w:rsidP="0091523D">
      <w:pPr>
        <w:spacing w:line="240" w:lineRule="auto"/>
        <w:jc w:val="both"/>
        <w:rPr>
          <w:rFonts w:cstheme="minorHAnsi"/>
        </w:rPr>
      </w:pPr>
    </w:p>
    <w:p w14:paraId="6542D825" w14:textId="77777777" w:rsidR="00D81E61" w:rsidRPr="00FE0A0D" w:rsidRDefault="00D81E61" w:rsidP="0091523D">
      <w:pPr>
        <w:spacing w:line="240" w:lineRule="auto"/>
        <w:jc w:val="both"/>
        <w:rPr>
          <w:rFonts w:cstheme="minorHAnsi"/>
        </w:rPr>
      </w:pPr>
    </w:p>
    <w:p w14:paraId="4935104D" w14:textId="77777777" w:rsidR="00FE0A0D" w:rsidRDefault="00FE0A0D" w:rsidP="00FE0A0D">
      <w:pPr>
        <w:spacing w:line="240" w:lineRule="auto"/>
        <w:jc w:val="both"/>
        <w:rPr>
          <w:rFonts w:cstheme="minorHAnsi"/>
        </w:rPr>
      </w:pPr>
    </w:p>
    <w:p w14:paraId="0060244B" w14:textId="69A0644F" w:rsidR="00604BCC" w:rsidRPr="00FE0A0D" w:rsidRDefault="00604BCC" w:rsidP="00FE0A0D">
      <w:pPr>
        <w:spacing w:line="360" w:lineRule="auto"/>
        <w:jc w:val="both"/>
        <w:rPr>
          <w:rFonts w:cstheme="minorHAnsi"/>
          <w:b/>
          <w:bCs/>
          <w:color w:val="2F5496" w:themeColor="accent1" w:themeShade="BF"/>
          <w:u w:val="single"/>
        </w:rPr>
      </w:pPr>
      <w:r w:rsidRPr="00FE0A0D">
        <w:rPr>
          <w:rFonts w:cstheme="minorHAnsi"/>
          <w:b/>
          <w:bCs/>
          <w:color w:val="2F5496" w:themeColor="accent1" w:themeShade="BF"/>
          <w:u w:val="single"/>
        </w:rPr>
        <w:t xml:space="preserve">Statement of Interest </w:t>
      </w:r>
    </w:p>
    <w:p w14:paraId="035CF417" w14:textId="47143629" w:rsidR="00604BCC" w:rsidRPr="00FE0A0D" w:rsidRDefault="00604BCC" w:rsidP="00FE0A0D">
      <w:pPr>
        <w:spacing w:line="360" w:lineRule="auto"/>
        <w:jc w:val="both"/>
        <w:rPr>
          <w:rFonts w:cstheme="minorHAnsi"/>
          <w:color w:val="2F5496" w:themeColor="accent1" w:themeShade="BF"/>
        </w:rPr>
      </w:pPr>
      <w:proofErr w:type="spellStart"/>
      <w:r w:rsidRPr="00FE0A0D">
        <w:rPr>
          <w:rFonts w:cstheme="minorHAnsi"/>
          <w:color w:val="2F5496" w:themeColor="accent1" w:themeShade="BF"/>
        </w:rPr>
        <w:t>Aleanca</w:t>
      </w:r>
      <w:proofErr w:type="spellEnd"/>
      <w:r w:rsidRPr="00FE0A0D">
        <w:rPr>
          <w:rFonts w:cstheme="minorHAnsi"/>
          <w:color w:val="2F5496" w:themeColor="accent1" w:themeShade="BF"/>
        </w:rPr>
        <w:t xml:space="preserve"> LGBTI is an Albanian Civil Society Organization (CSO) that envisions an Albanian society devoid of discrimination; one that is open, egalitarian, and accommodating of diversity across all sexual orientations and gender identities. Our central mission is to promote and safeguard LGBTI+ human rights, extend support, empower, and amplify the visibility of LGBTI communities as well as LGBTI sex workers within Albania. This mission extends to bolstering advocacy tools and capacities to ensure a meaningful engagement at policy-making levels, while simultaneously facilitating the development and implementation of policies that squarely address the issues faced by LGBTI communities. Moreover, our pursuit encompasses the documentation of human rights violations encountered by the LGBTI+ communities in the country. Integral to our objective is securing legal recognition for same-sex couples, transgender individuals, and rainbow families through strategic litigation.</w:t>
      </w:r>
    </w:p>
    <w:p w14:paraId="6D6EA533" w14:textId="07D767ED" w:rsidR="00FE0A0D" w:rsidRPr="00FE0A0D" w:rsidRDefault="00FE0A0D" w:rsidP="00FE0A0D">
      <w:pPr>
        <w:pStyle w:val="NoSpacing"/>
        <w:spacing w:line="360" w:lineRule="auto"/>
        <w:jc w:val="both"/>
        <w:rPr>
          <w:rFonts w:cstheme="minorHAnsi"/>
          <w:color w:val="2F5496" w:themeColor="accent1" w:themeShade="BF"/>
        </w:rPr>
      </w:pPr>
      <w:r w:rsidRPr="00FE0A0D">
        <w:rPr>
          <w:rStyle w:val="Strong"/>
          <w:rFonts w:cstheme="minorHAnsi"/>
          <w:color w:val="2F5496" w:themeColor="accent1" w:themeShade="BF"/>
        </w:rPr>
        <w:t>ILGA World –</w:t>
      </w:r>
      <w:r w:rsidRPr="00FE0A0D">
        <w:rPr>
          <w:rFonts w:cstheme="minorHAnsi"/>
          <w:color w:val="2F5496" w:themeColor="accent1" w:themeShade="BF"/>
        </w:rPr>
        <w:t>is a worldwide federation of more than 1,700 organizations from over 160 countries and territories campaigning for lesbian, gay, bisexual, trans and intersex human rights. We work to achieve and maintain recognition and protection of the human rights of people with diverse SOGIESC by the United Nations and other global institutions. We also collect reliable, evidence-based data on laws towards our communities, and produce guides that are crucial resources in the hands of human rights defenders, including the</w:t>
      </w:r>
      <w:r w:rsidRPr="00FE0A0D">
        <w:rPr>
          <w:rStyle w:val="apple-converted-space"/>
          <w:rFonts w:cstheme="minorHAnsi"/>
          <w:color w:val="2F5496" w:themeColor="accent1" w:themeShade="BF"/>
        </w:rPr>
        <w:t> </w:t>
      </w:r>
      <w:r w:rsidRPr="00FE0A0D">
        <w:rPr>
          <w:rStyle w:val="Emphasis"/>
          <w:rFonts w:cstheme="minorHAnsi"/>
          <w:color w:val="2F5496" w:themeColor="accent1" w:themeShade="BF"/>
        </w:rPr>
        <w:t>State-Sponsored Homophobia</w:t>
      </w:r>
      <w:r w:rsidRPr="00FE0A0D">
        <w:rPr>
          <w:rStyle w:val="apple-converted-space"/>
          <w:rFonts w:cstheme="minorHAnsi"/>
          <w:color w:val="2F5496" w:themeColor="accent1" w:themeShade="BF"/>
        </w:rPr>
        <w:t> </w:t>
      </w:r>
      <w:r w:rsidRPr="00FE0A0D">
        <w:rPr>
          <w:rFonts w:cstheme="minorHAnsi"/>
          <w:color w:val="2F5496" w:themeColor="accent1" w:themeShade="BF"/>
        </w:rPr>
        <w:t>report and the</w:t>
      </w:r>
      <w:r w:rsidRPr="00FE0A0D">
        <w:rPr>
          <w:rStyle w:val="apple-converted-space"/>
          <w:rFonts w:cstheme="minorHAnsi"/>
          <w:color w:val="2F5496" w:themeColor="accent1" w:themeShade="BF"/>
        </w:rPr>
        <w:t> </w:t>
      </w:r>
      <w:r w:rsidRPr="00FE0A0D">
        <w:rPr>
          <w:rStyle w:val="Emphasis"/>
          <w:rFonts w:cstheme="minorHAnsi"/>
          <w:color w:val="2F5496" w:themeColor="accent1" w:themeShade="BF"/>
        </w:rPr>
        <w:t>Trans Legal Mapping Report</w:t>
      </w:r>
      <w:r w:rsidRPr="00FE0A0D">
        <w:rPr>
          <w:rFonts w:cstheme="minorHAnsi"/>
          <w:color w:val="2F5496" w:themeColor="accent1" w:themeShade="BF"/>
        </w:rPr>
        <w:t>. We also support LGBTI organizations around the world with capacity building trainings and organize world and regional conferences to provide them with occasions to network and strategies.</w:t>
      </w:r>
    </w:p>
    <w:p w14:paraId="4B0B17FA" w14:textId="77777777" w:rsidR="00FE0A0D" w:rsidRDefault="00FE0A0D" w:rsidP="00FE0A0D">
      <w:pPr>
        <w:spacing w:line="360" w:lineRule="auto"/>
        <w:jc w:val="both"/>
        <w:rPr>
          <w:rFonts w:cstheme="minorHAnsi"/>
          <w:color w:val="2F5496" w:themeColor="accent1" w:themeShade="BF"/>
        </w:rPr>
      </w:pPr>
    </w:p>
    <w:p w14:paraId="200CDB98" w14:textId="7519BBD9" w:rsidR="00604BCC" w:rsidRPr="00FE0A0D" w:rsidRDefault="00604BCC" w:rsidP="00FE0A0D">
      <w:pPr>
        <w:spacing w:line="360" w:lineRule="auto"/>
        <w:jc w:val="both"/>
        <w:rPr>
          <w:rFonts w:cstheme="minorHAnsi"/>
          <w:color w:val="2F5496" w:themeColor="accent1" w:themeShade="BF"/>
        </w:rPr>
      </w:pPr>
      <w:r w:rsidRPr="00FE0A0D">
        <w:rPr>
          <w:rFonts w:cstheme="minorHAnsi"/>
          <w:color w:val="2F5496" w:themeColor="accent1" w:themeShade="BF"/>
        </w:rPr>
        <w:t>In representation of the Lesbian, Gay, Bisexual, Transgender, and Intersex (LGBTI+) communities in Albania, in response to the 4th periodic report submitted by the Albanian Government (</w:t>
      </w:r>
      <w:proofErr w:type="spellStart"/>
      <w:r w:rsidRPr="00FE0A0D">
        <w:rPr>
          <w:rFonts w:cstheme="minorHAnsi"/>
          <w:color w:val="2F5496" w:themeColor="accent1" w:themeShade="BF"/>
        </w:rPr>
        <w:t>GoA</w:t>
      </w:r>
      <w:proofErr w:type="spellEnd"/>
      <w:r w:rsidRPr="00FE0A0D">
        <w:rPr>
          <w:rFonts w:cstheme="minorHAnsi"/>
          <w:color w:val="2F5496" w:themeColor="accent1" w:themeShade="BF"/>
        </w:rPr>
        <w:t>) scheduled for consideration during the 7</w:t>
      </w:r>
      <w:r w:rsidR="009E753A">
        <w:rPr>
          <w:rFonts w:cstheme="minorHAnsi"/>
          <w:color w:val="2F5496" w:themeColor="accent1" w:themeShade="BF"/>
        </w:rPr>
        <w:t>6</w:t>
      </w:r>
      <w:r w:rsidRPr="00FE0A0D">
        <w:rPr>
          <w:rFonts w:cstheme="minorHAnsi"/>
          <w:color w:val="2F5496" w:themeColor="accent1" w:themeShade="BF"/>
        </w:rPr>
        <w:t>th session of the Committee on Economic, Social and Cultural Rights (CESCR), it is with utmost respect that we present this parallel report.</w:t>
      </w:r>
    </w:p>
    <w:p w14:paraId="285111C6" w14:textId="77777777" w:rsidR="00604BCC" w:rsidRPr="00FE0A0D" w:rsidRDefault="00604BCC" w:rsidP="00FE0A0D">
      <w:pPr>
        <w:spacing w:line="360" w:lineRule="auto"/>
        <w:jc w:val="both"/>
        <w:rPr>
          <w:rFonts w:cstheme="minorHAnsi"/>
          <w:color w:val="2F5496" w:themeColor="accent1" w:themeShade="BF"/>
        </w:rPr>
      </w:pPr>
      <w:r w:rsidRPr="00FE0A0D">
        <w:rPr>
          <w:rFonts w:cstheme="minorHAnsi"/>
          <w:color w:val="2F5496" w:themeColor="accent1" w:themeShade="BF"/>
        </w:rPr>
        <w:t xml:space="preserve">Aligned with the structural framework of report E/C.12/ALB/4, regarding the list of presented issues, our intent is to provide a lucid and precise overview on the implementation of the Convention obligations by the Albanian State, particularly in relation to the multifaceted challenges confronting the LGBTI+ communities in Albania. Discrimination against lesbian, gay, bisexual, transgender, intersex and queer (LGBTI+) persons </w:t>
      </w:r>
      <w:proofErr w:type="gramStart"/>
      <w:r w:rsidRPr="00FE0A0D">
        <w:rPr>
          <w:rFonts w:cstheme="minorHAnsi"/>
          <w:color w:val="2F5496" w:themeColor="accent1" w:themeShade="BF"/>
        </w:rPr>
        <w:t>is</w:t>
      </w:r>
      <w:proofErr w:type="gramEnd"/>
      <w:r w:rsidRPr="00FE0A0D">
        <w:rPr>
          <w:rFonts w:cstheme="minorHAnsi"/>
          <w:color w:val="2F5496" w:themeColor="accent1" w:themeShade="BF"/>
        </w:rPr>
        <w:t xml:space="preserve"> still very prevalent, especially regarding access to healthcare, education, justice, </w:t>
      </w:r>
      <w:r w:rsidRPr="00FE0A0D">
        <w:rPr>
          <w:rFonts w:cstheme="minorHAnsi"/>
          <w:color w:val="2F5496" w:themeColor="accent1" w:themeShade="BF"/>
        </w:rPr>
        <w:lastRenderedPageBreak/>
        <w:t>employment and housing. Members of the LGBTIQ community continue to experience physical aggression and hate speech, while there is no legal recognition for same-sex couples, children born in de facto same-sex families, and transgender individuals</w:t>
      </w:r>
      <w:r w:rsidRPr="00FE0A0D">
        <w:rPr>
          <w:rFonts w:cstheme="minorHAnsi"/>
          <w:color w:val="2F5496" w:themeColor="accent1" w:themeShade="BF"/>
          <w:vertAlign w:val="superscript"/>
        </w:rPr>
        <w:footnoteReference w:id="1"/>
      </w:r>
      <w:r w:rsidRPr="00FE0A0D">
        <w:rPr>
          <w:rFonts w:cstheme="minorHAnsi"/>
          <w:color w:val="2F5496" w:themeColor="accent1" w:themeShade="BF"/>
        </w:rPr>
        <w:t>.</w:t>
      </w:r>
    </w:p>
    <w:p w14:paraId="4923AB63" w14:textId="5CFD2FF6" w:rsidR="00604BCC" w:rsidRPr="00FE0A0D" w:rsidRDefault="00604BCC" w:rsidP="00FE0A0D">
      <w:pPr>
        <w:spacing w:line="360" w:lineRule="auto"/>
        <w:rPr>
          <w:rFonts w:cstheme="minorHAnsi"/>
          <w:color w:val="2F5496" w:themeColor="accent1" w:themeShade="BF"/>
        </w:rPr>
      </w:pPr>
      <w:r w:rsidRPr="00FE0A0D">
        <w:rPr>
          <w:rFonts w:cstheme="minorHAnsi"/>
          <w:color w:val="2F5496" w:themeColor="accent1" w:themeShade="BF"/>
        </w:rPr>
        <w:t xml:space="preserve">This </w:t>
      </w:r>
      <w:r w:rsidR="00FE0A0D" w:rsidRPr="00FE0A0D">
        <w:rPr>
          <w:rFonts w:cstheme="minorHAnsi"/>
          <w:color w:val="2F5496" w:themeColor="accent1" w:themeShade="BF"/>
        </w:rPr>
        <w:t xml:space="preserve">Joint Written Contribution on the Position of LGBTI Persons to the Consideration of the 4th Periodic Report Submitted by Albania (E/C.12/ALB/4) to the Committee on Economic, Social and Cultural Rights (CESCR) </w:t>
      </w:r>
      <w:r w:rsidRPr="00FE0A0D">
        <w:rPr>
          <w:rFonts w:cstheme="minorHAnsi"/>
          <w:color w:val="2F5496" w:themeColor="accent1" w:themeShade="BF"/>
        </w:rPr>
        <w:t>is the result of a rigorous analysis and insight from experts affiliated with the LGBTI Alliance. All the insights have been derived from substantial experience and daily engagement with the LGBTI+ communities and national institutions.</w:t>
      </w:r>
    </w:p>
    <w:p w14:paraId="7872DDF9" w14:textId="77777777" w:rsidR="00604BCC" w:rsidRPr="00FE0A0D" w:rsidRDefault="00604BCC" w:rsidP="00FE0A0D">
      <w:pPr>
        <w:spacing w:line="360" w:lineRule="auto"/>
        <w:jc w:val="both"/>
        <w:rPr>
          <w:rFonts w:cstheme="minorHAnsi"/>
          <w:color w:val="2F5496" w:themeColor="accent1" w:themeShade="BF"/>
        </w:rPr>
      </w:pPr>
    </w:p>
    <w:p w14:paraId="69BA9C48" w14:textId="77777777" w:rsidR="00604BCC" w:rsidRPr="00FE0A0D" w:rsidRDefault="00604BCC" w:rsidP="00FE0A0D">
      <w:pPr>
        <w:spacing w:line="360" w:lineRule="auto"/>
        <w:jc w:val="both"/>
        <w:rPr>
          <w:rFonts w:cstheme="minorHAnsi"/>
          <w:color w:val="2F5496" w:themeColor="accent1" w:themeShade="BF"/>
        </w:rPr>
        <w:sectPr w:rsidR="00604BCC" w:rsidRPr="00FE0A0D" w:rsidSect="00D81E61">
          <w:headerReference w:type="default" r:id="rId8"/>
          <w:headerReference w:type="first" r:id="rId9"/>
          <w:pgSz w:w="12240" w:h="15840"/>
          <w:pgMar w:top="1440" w:right="1440" w:bottom="1440" w:left="1440" w:header="720" w:footer="720" w:gutter="0"/>
          <w:cols w:space="720"/>
          <w:titlePg/>
          <w:docGrid w:linePitch="360"/>
        </w:sectPr>
      </w:pPr>
    </w:p>
    <w:p w14:paraId="370A55B1" w14:textId="77777777" w:rsidR="00604BCC" w:rsidRPr="00FE0A0D" w:rsidRDefault="00604BCC" w:rsidP="00FE0A0D">
      <w:pPr>
        <w:spacing w:line="360" w:lineRule="auto"/>
        <w:jc w:val="right"/>
        <w:rPr>
          <w:rFonts w:cstheme="minorHAnsi"/>
          <w:b/>
          <w:bCs/>
          <w:i/>
          <w:iCs/>
          <w:color w:val="2F5496" w:themeColor="accent1" w:themeShade="BF"/>
        </w:rPr>
      </w:pPr>
      <w:r w:rsidRPr="00FE0A0D">
        <w:rPr>
          <w:rFonts w:cstheme="minorHAnsi"/>
          <w:b/>
          <w:bCs/>
          <w:i/>
          <w:iCs/>
          <w:color w:val="2F5496" w:themeColor="accent1" w:themeShade="BF"/>
        </w:rPr>
        <w:t xml:space="preserve">We extend our gratitude for the consideration </w:t>
      </w:r>
    </w:p>
    <w:p w14:paraId="2286317B" w14:textId="77777777" w:rsidR="00604BCC" w:rsidRPr="00FE0A0D" w:rsidRDefault="00604BCC" w:rsidP="00FE0A0D">
      <w:pPr>
        <w:spacing w:line="360" w:lineRule="auto"/>
        <w:jc w:val="right"/>
        <w:rPr>
          <w:rFonts w:cstheme="minorHAnsi"/>
          <w:b/>
          <w:bCs/>
          <w:i/>
          <w:iCs/>
          <w:color w:val="2F5496" w:themeColor="accent1" w:themeShade="BF"/>
        </w:rPr>
      </w:pPr>
      <w:r w:rsidRPr="00FE0A0D">
        <w:rPr>
          <w:rFonts w:cstheme="minorHAnsi"/>
          <w:b/>
          <w:bCs/>
          <w:i/>
          <w:iCs/>
          <w:color w:val="2F5496" w:themeColor="accent1" w:themeShade="BF"/>
        </w:rPr>
        <w:t xml:space="preserve">of this substantial contribution </w:t>
      </w:r>
    </w:p>
    <w:p w14:paraId="7A90659A" w14:textId="52C6F656" w:rsidR="002973AD" w:rsidRPr="00FE0A0D" w:rsidRDefault="00604BCC" w:rsidP="00FE0A0D">
      <w:pPr>
        <w:spacing w:line="360" w:lineRule="auto"/>
        <w:jc w:val="right"/>
        <w:rPr>
          <w:rFonts w:cstheme="minorHAnsi"/>
          <w:b/>
          <w:bCs/>
          <w:i/>
          <w:iCs/>
          <w:color w:val="2F5496" w:themeColor="accent1" w:themeShade="BF"/>
        </w:rPr>
      </w:pPr>
      <w:r w:rsidRPr="00FE0A0D">
        <w:rPr>
          <w:rFonts w:cstheme="minorHAnsi"/>
          <w:b/>
          <w:bCs/>
          <w:i/>
          <w:iCs/>
          <w:color w:val="2F5496" w:themeColor="accent1" w:themeShade="BF"/>
        </w:rPr>
        <w:t>on behalf of all LGBTI+ communities in Albania!</w:t>
      </w:r>
    </w:p>
    <w:p w14:paraId="2DCBB1C9" w14:textId="77777777" w:rsidR="00D47A9A" w:rsidRPr="00FE0A0D" w:rsidRDefault="00D47A9A" w:rsidP="00FE0A0D">
      <w:pPr>
        <w:spacing w:line="360" w:lineRule="auto"/>
        <w:rPr>
          <w:rFonts w:cstheme="minorHAnsi"/>
          <w:b/>
          <w:bCs/>
          <w:i/>
          <w:iCs/>
          <w:color w:val="2F5496" w:themeColor="accent1" w:themeShade="BF"/>
        </w:rPr>
      </w:pPr>
    </w:p>
    <w:p w14:paraId="3D29DDA4" w14:textId="77777777" w:rsidR="00D47A9A" w:rsidRPr="00FE0A0D" w:rsidRDefault="00D47A9A" w:rsidP="00FE0A0D">
      <w:pPr>
        <w:spacing w:line="360" w:lineRule="auto"/>
        <w:rPr>
          <w:rFonts w:cstheme="minorHAnsi"/>
          <w:b/>
          <w:bCs/>
          <w:i/>
          <w:iCs/>
          <w:color w:val="2F5496" w:themeColor="accent1" w:themeShade="BF"/>
        </w:rPr>
      </w:pPr>
    </w:p>
    <w:p w14:paraId="578071D1" w14:textId="77777777" w:rsidR="00D47A9A" w:rsidRPr="00FE0A0D" w:rsidRDefault="00D47A9A" w:rsidP="00FE0A0D">
      <w:pPr>
        <w:spacing w:line="360" w:lineRule="auto"/>
        <w:rPr>
          <w:rFonts w:cstheme="minorHAnsi"/>
          <w:b/>
          <w:bCs/>
          <w:i/>
          <w:iCs/>
          <w:color w:val="2F5496" w:themeColor="accent1" w:themeShade="BF"/>
        </w:rPr>
      </w:pPr>
    </w:p>
    <w:p w14:paraId="46EDB60E" w14:textId="77777777" w:rsidR="00D47A9A" w:rsidRPr="00FE0A0D" w:rsidRDefault="00D47A9A" w:rsidP="00FE0A0D">
      <w:pPr>
        <w:spacing w:line="360" w:lineRule="auto"/>
        <w:rPr>
          <w:rFonts w:cstheme="minorHAnsi"/>
          <w:b/>
          <w:bCs/>
          <w:i/>
          <w:iCs/>
          <w:color w:val="2F5496" w:themeColor="accent1" w:themeShade="BF"/>
          <w:sz w:val="18"/>
          <w:szCs w:val="18"/>
        </w:rPr>
      </w:pPr>
    </w:p>
    <w:p w14:paraId="2491D3AC" w14:textId="77777777" w:rsidR="00D47A9A" w:rsidRPr="00FE0A0D" w:rsidRDefault="00D47A9A" w:rsidP="00FE0A0D">
      <w:pPr>
        <w:spacing w:line="360" w:lineRule="auto"/>
        <w:rPr>
          <w:rFonts w:cstheme="minorHAnsi"/>
          <w:b/>
          <w:bCs/>
          <w:color w:val="2F5496" w:themeColor="accent1" w:themeShade="BF"/>
          <w:sz w:val="18"/>
          <w:szCs w:val="18"/>
          <w:u w:val="single"/>
        </w:rPr>
      </w:pPr>
    </w:p>
    <w:p w14:paraId="7AB7CB6A" w14:textId="77777777" w:rsidR="00D47A9A" w:rsidRPr="00FE0A0D" w:rsidRDefault="00D47A9A" w:rsidP="00FE0A0D">
      <w:pPr>
        <w:spacing w:line="360" w:lineRule="auto"/>
        <w:rPr>
          <w:rFonts w:cstheme="minorHAnsi"/>
          <w:b/>
          <w:bCs/>
          <w:color w:val="2F5496" w:themeColor="accent1" w:themeShade="BF"/>
          <w:sz w:val="18"/>
          <w:szCs w:val="18"/>
          <w:u w:val="single"/>
        </w:rPr>
      </w:pPr>
    </w:p>
    <w:p w14:paraId="3ACEEF1E" w14:textId="77777777" w:rsidR="00FE0A0D" w:rsidRDefault="00FE0A0D" w:rsidP="00FE0A0D">
      <w:pPr>
        <w:spacing w:line="360" w:lineRule="auto"/>
        <w:rPr>
          <w:rFonts w:cstheme="minorHAnsi"/>
          <w:b/>
          <w:bCs/>
          <w:color w:val="2F5496" w:themeColor="accent1" w:themeShade="BF"/>
          <w:sz w:val="18"/>
          <w:szCs w:val="18"/>
        </w:rPr>
      </w:pPr>
    </w:p>
    <w:p w14:paraId="45115EC0" w14:textId="77777777" w:rsidR="00FE0A0D" w:rsidRDefault="00FE0A0D" w:rsidP="00FE0A0D">
      <w:pPr>
        <w:spacing w:line="360" w:lineRule="auto"/>
        <w:rPr>
          <w:rFonts w:cstheme="minorHAnsi"/>
          <w:b/>
          <w:bCs/>
          <w:color w:val="2F5496" w:themeColor="accent1" w:themeShade="BF"/>
          <w:sz w:val="18"/>
          <w:szCs w:val="18"/>
        </w:rPr>
      </w:pPr>
    </w:p>
    <w:p w14:paraId="5486534E" w14:textId="77777777" w:rsidR="00FE0A0D" w:rsidRDefault="00FE0A0D" w:rsidP="00FE0A0D">
      <w:pPr>
        <w:spacing w:line="360" w:lineRule="auto"/>
        <w:rPr>
          <w:rFonts w:cstheme="minorHAnsi"/>
          <w:b/>
          <w:bCs/>
          <w:color w:val="2F5496" w:themeColor="accent1" w:themeShade="BF"/>
          <w:sz w:val="18"/>
          <w:szCs w:val="18"/>
        </w:rPr>
      </w:pPr>
    </w:p>
    <w:p w14:paraId="0DC1D6D1" w14:textId="77777777" w:rsidR="00FE0A0D" w:rsidRDefault="00FE0A0D" w:rsidP="00FE0A0D">
      <w:pPr>
        <w:spacing w:line="360" w:lineRule="auto"/>
        <w:rPr>
          <w:rFonts w:cstheme="minorHAnsi"/>
          <w:b/>
          <w:bCs/>
          <w:color w:val="2F5496" w:themeColor="accent1" w:themeShade="BF"/>
          <w:sz w:val="18"/>
          <w:szCs w:val="18"/>
        </w:rPr>
      </w:pPr>
    </w:p>
    <w:p w14:paraId="140FE337" w14:textId="77777777" w:rsidR="00FE0A0D" w:rsidRDefault="00FE0A0D" w:rsidP="00FE0A0D">
      <w:pPr>
        <w:spacing w:line="360" w:lineRule="auto"/>
        <w:rPr>
          <w:rFonts w:cstheme="minorHAnsi"/>
          <w:b/>
          <w:bCs/>
          <w:color w:val="2F5496" w:themeColor="accent1" w:themeShade="BF"/>
          <w:sz w:val="18"/>
          <w:szCs w:val="18"/>
        </w:rPr>
      </w:pPr>
    </w:p>
    <w:p w14:paraId="66DD932C" w14:textId="77777777" w:rsidR="00FE0A0D" w:rsidRDefault="00FE0A0D" w:rsidP="00FE0A0D">
      <w:pPr>
        <w:spacing w:line="360" w:lineRule="auto"/>
        <w:rPr>
          <w:rFonts w:cstheme="minorHAnsi"/>
          <w:b/>
          <w:bCs/>
          <w:color w:val="2F5496" w:themeColor="accent1" w:themeShade="BF"/>
          <w:sz w:val="18"/>
          <w:szCs w:val="18"/>
        </w:rPr>
      </w:pPr>
    </w:p>
    <w:p w14:paraId="251E9FD0" w14:textId="5D63ED0D" w:rsidR="00D47A9A" w:rsidRPr="00FE0A0D" w:rsidRDefault="00D47A9A" w:rsidP="00FE0A0D">
      <w:pPr>
        <w:spacing w:line="360" w:lineRule="auto"/>
        <w:rPr>
          <w:rFonts w:cstheme="minorHAnsi"/>
          <w:b/>
          <w:bCs/>
          <w:color w:val="2F5496" w:themeColor="accent1" w:themeShade="BF"/>
          <w:sz w:val="18"/>
          <w:szCs w:val="18"/>
          <w:u w:val="single"/>
        </w:rPr>
      </w:pPr>
      <w:r w:rsidRPr="00FE0A0D">
        <w:rPr>
          <w:rFonts w:cstheme="minorHAnsi"/>
          <w:b/>
          <w:bCs/>
          <w:color w:val="2F5496" w:themeColor="accent1" w:themeShade="BF"/>
          <w:sz w:val="18"/>
          <w:szCs w:val="18"/>
        </w:rPr>
        <w:t>List of Contributors:</w:t>
      </w:r>
      <w:r w:rsidRPr="00FE0A0D">
        <w:rPr>
          <w:rFonts w:cstheme="minorHAnsi"/>
          <w:b/>
          <w:bCs/>
          <w:color w:val="2F5496" w:themeColor="accent1" w:themeShade="BF"/>
          <w:sz w:val="18"/>
          <w:szCs w:val="18"/>
          <w:u w:val="single"/>
        </w:rPr>
        <w:t xml:space="preserve"> </w:t>
      </w:r>
      <w:proofErr w:type="spellStart"/>
      <w:r w:rsidRPr="00FE0A0D">
        <w:rPr>
          <w:rFonts w:cstheme="minorHAnsi"/>
          <w:color w:val="2F5496" w:themeColor="accent1" w:themeShade="BF"/>
          <w:sz w:val="18"/>
          <w:szCs w:val="18"/>
        </w:rPr>
        <w:t>Dea</w:t>
      </w:r>
      <w:proofErr w:type="spellEnd"/>
      <w:r w:rsidRPr="00FE0A0D">
        <w:rPr>
          <w:rFonts w:cstheme="minorHAnsi"/>
          <w:color w:val="2F5496" w:themeColor="accent1" w:themeShade="BF"/>
          <w:sz w:val="18"/>
          <w:szCs w:val="18"/>
        </w:rPr>
        <w:t xml:space="preserve"> Nini, </w:t>
      </w:r>
      <w:proofErr w:type="spellStart"/>
      <w:r w:rsidRPr="00FE0A0D">
        <w:rPr>
          <w:rFonts w:cstheme="minorHAnsi"/>
          <w:color w:val="2F5496" w:themeColor="accent1" w:themeShade="BF"/>
          <w:sz w:val="18"/>
          <w:szCs w:val="18"/>
        </w:rPr>
        <w:t>Xheni</w:t>
      </w:r>
      <w:proofErr w:type="spellEnd"/>
      <w:r w:rsidRPr="00FE0A0D">
        <w:rPr>
          <w:rFonts w:cstheme="minorHAnsi"/>
          <w:color w:val="2F5496" w:themeColor="accent1" w:themeShade="BF"/>
          <w:sz w:val="18"/>
          <w:szCs w:val="18"/>
        </w:rPr>
        <w:t xml:space="preserve"> Karaj</w:t>
      </w:r>
    </w:p>
    <w:p w14:paraId="31414D0B" w14:textId="77777777" w:rsidR="00FE0A0D" w:rsidRDefault="00FE0A0D" w:rsidP="00D47A9A">
      <w:pPr>
        <w:spacing w:line="240" w:lineRule="auto"/>
        <w:rPr>
          <w:rFonts w:cstheme="minorHAnsi"/>
          <w:b/>
          <w:bCs/>
          <w:sz w:val="24"/>
          <w:szCs w:val="24"/>
          <w:u w:val="single"/>
        </w:rPr>
      </w:pPr>
    </w:p>
    <w:p w14:paraId="57FADAFD" w14:textId="13F744FB" w:rsidR="007D6556" w:rsidRPr="00FE0A0D" w:rsidRDefault="00D47A9A" w:rsidP="00D47A9A">
      <w:pPr>
        <w:spacing w:line="240" w:lineRule="auto"/>
        <w:rPr>
          <w:rFonts w:cstheme="minorHAnsi"/>
          <w:b/>
          <w:bCs/>
          <w:color w:val="2F5496" w:themeColor="accent1" w:themeShade="BF"/>
          <w:sz w:val="18"/>
          <w:szCs w:val="18"/>
          <w:u w:val="single"/>
        </w:rPr>
      </w:pPr>
      <w:r w:rsidRPr="00FE0A0D">
        <w:rPr>
          <w:rFonts w:cstheme="minorHAnsi"/>
          <w:b/>
          <w:bCs/>
          <w:sz w:val="24"/>
          <w:szCs w:val="24"/>
          <w:u w:val="single"/>
        </w:rPr>
        <w:t>M</w:t>
      </w:r>
      <w:r w:rsidR="007D6556" w:rsidRPr="00FE0A0D">
        <w:rPr>
          <w:rFonts w:cstheme="minorHAnsi"/>
          <w:b/>
          <w:bCs/>
          <w:sz w:val="24"/>
          <w:szCs w:val="24"/>
          <w:u w:val="single"/>
        </w:rPr>
        <w:t>ethodolog</w:t>
      </w:r>
      <w:r w:rsidRPr="00FE0A0D">
        <w:rPr>
          <w:rFonts w:cstheme="minorHAnsi"/>
          <w:b/>
          <w:bCs/>
          <w:sz w:val="24"/>
          <w:szCs w:val="24"/>
          <w:u w:val="single"/>
        </w:rPr>
        <w:t>y</w:t>
      </w:r>
    </w:p>
    <w:p w14:paraId="10CBE03A" w14:textId="59E712E3" w:rsidR="00C1241B" w:rsidRPr="00FE0A0D" w:rsidRDefault="0005002D" w:rsidP="0091523D">
      <w:pPr>
        <w:spacing w:line="240" w:lineRule="auto"/>
        <w:jc w:val="both"/>
        <w:rPr>
          <w:rFonts w:cstheme="minorHAnsi"/>
        </w:rPr>
      </w:pPr>
      <w:r w:rsidRPr="00FE0A0D">
        <w:rPr>
          <w:rFonts w:cstheme="minorHAnsi"/>
        </w:rPr>
        <w:t>The formulation of this report rests upon the application of a mixed-method approach encompassing both qualitative and quantitative scientific research techniques. In the contextual expanse of this contribution, the dataset employed stems from recent investigations undertaken by the LGBTI+ Alliance. This dataset comprises findings drawn from four distinct focus groups comprising members of the LGBTI communities. Additionally, a dedicated questionnaire involving a sample size of 300 respondents was administered to collect crucial insights pertaining to domains such as healthcare access, education, housing, employment, and legal safeguards. In addition, we organized one round table discussion with four partner</w:t>
      </w:r>
      <w:r w:rsidR="00C1241B" w:rsidRPr="00FE0A0D">
        <w:rPr>
          <w:rFonts w:cstheme="minorHAnsi"/>
        </w:rPr>
        <w:t xml:space="preserve"> </w:t>
      </w:r>
      <w:r w:rsidRPr="00FE0A0D">
        <w:rPr>
          <w:rFonts w:cstheme="minorHAnsi"/>
        </w:rPr>
        <w:t xml:space="preserve">organizations. </w:t>
      </w:r>
    </w:p>
    <w:p w14:paraId="09B61F74" w14:textId="7E40A376" w:rsidR="0005002D" w:rsidRPr="00FE0A0D" w:rsidRDefault="0005002D" w:rsidP="0091523D">
      <w:pPr>
        <w:spacing w:line="240" w:lineRule="auto"/>
        <w:jc w:val="both"/>
        <w:rPr>
          <w:rFonts w:cstheme="minorHAnsi"/>
        </w:rPr>
      </w:pPr>
      <w:r w:rsidRPr="00FE0A0D">
        <w:rPr>
          <w:rFonts w:cstheme="minorHAnsi"/>
        </w:rPr>
        <w:t xml:space="preserve">In terms of qualitative research methods, we have adopted the doctrinal and analytical approach in this report. This encompasses an evaluation of the </w:t>
      </w:r>
      <w:r w:rsidR="000D3BEA" w:rsidRPr="00FE0A0D">
        <w:rPr>
          <w:rFonts w:cstheme="minorHAnsi"/>
        </w:rPr>
        <w:t>actual</w:t>
      </w:r>
      <w:r w:rsidRPr="00FE0A0D">
        <w:rPr>
          <w:rFonts w:cstheme="minorHAnsi"/>
        </w:rPr>
        <w:t xml:space="preserve"> legal framework, along with an exhaustive review of diverse reports addressing the </w:t>
      </w:r>
      <w:r w:rsidR="000D3BEA" w:rsidRPr="00FE0A0D">
        <w:rPr>
          <w:rFonts w:cstheme="minorHAnsi"/>
        </w:rPr>
        <w:t>situation</w:t>
      </w:r>
      <w:r w:rsidRPr="00FE0A0D">
        <w:rPr>
          <w:rFonts w:cstheme="minorHAnsi"/>
        </w:rPr>
        <w:t xml:space="preserve"> of LGBTI</w:t>
      </w:r>
      <w:r w:rsidR="000D3BEA" w:rsidRPr="00FE0A0D">
        <w:rPr>
          <w:rFonts w:cstheme="minorHAnsi"/>
        </w:rPr>
        <w:t>+</w:t>
      </w:r>
      <w:r w:rsidRPr="00FE0A0D">
        <w:rPr>
          <w:rFonts w:cstheme="minorHAnsi"/>
        </w:rPr>
        <w:t xml:space="preserve"> rights within both the national and regional contexts</w:t>
      </w:r>
      <w:r w:rsidR="000D3BEA" w:rsidRPr="00FE0A0D">
        <w:rPr>
          <w:rFonts w:cstheme="minorHAnsi"/>
        </w:rPr>
        <w:t xml:space="preserve"> and </w:t>
      </w:r>
      <w:r w:rsidRPr="00FE0A0D">
        <w:rPr>
          <w:rFonts w:cstheme="minorHAnsi"/>
        </w:rPr>
        <w:t xml:space="preserve">reports generated by independent </w:t>
      </w:r>
      <w:r w:rsidR="000D3BEA" w:rsidRPr="00FE0A0D">
        <w:rPr>
          <w:rFonts w:cstheme="minorHAnsi"/>
        </w:rPr>
        <w:t xml:space="preserve">and equality </w:t>
      </w:r>
      <w:r w:rsidRPr="00FE0A0D">
        <w:rPr>
          <w:rFonts w:cstheme="minorHAnsi"/>
        </w:rPr>
        <w:t xml:space="preserve">human rights </w:t>
      </w:r>
      <w:r w:rsidR="000D3BEA" w:rsidRPr="00FE0A0D">
        <w:rPr>
          <w:rFonts w:cstheme="minorHAnsi"/>
        </w:rPr>
        <w:t>bodies in</w:t>
      </w:r>
      <w:r w:rsidRPr="00FE0A0D">
        <w:rPr>
          <w:rFonts w:cstheme="minorHAnsi"/>
        </w:rPr>
        <w:t xml:space="preserve"> Albania, including the Ombudsman and the Commissioner for Protection from Discrimination.</w:t>
      </w:r>
    </w:p>
    <w:p w14:paraId="2AE15060" w14:textId="30423E55" w:rsidR="0005002D" w:rsidRPr="00FE0A0D" w:rsidRDefault="0005002D" w:rsidP="0091523D">
      <w:pPr>
        <w:spacing w:line="240" w:lineRule="auto"/>
        <w:jc w:val="both"/>
        <w:rPr>
          <w:rFonts w:cstheme="minorHAnsi"/>
        </w:rPr>
      </w:pPr>
      <w:r w:rsidRPr="00FE0A0D">
        <w:rPr>
          <w:rFonts w:cstheme="minorHAnsi"/>
        </w:rPr>
        <w:t xml:space="preserve">It is imperative to emphasize that the primary </w:t>
      </w:r>
      <w:r w:rsidR="000D3BEA" w:rsidRPr="00FE0A0D">
        <w:rPr>
          <w:rFonts w:cstheme="minorHAnsi"/>
        </w:rPr>
        <w:t>reference</w:t>
      </w:r>
      <w:r w:rsidRPr="00FE0A0D">
        <w:rPr>
          <w:rFonts w:cstheme="minorHAnsi"/>
        </w:rPr>
        <w:t xml:space="preserve"> for quality assessment within this contribution remains the fourth periodic report submitted by the Albanian state</w:t>
      </w:r>
      <w:r w:rsidR="000D3BEA" w:rsidRPr="00FE0A0D">
        <w:rPr>
          <w:rFonts w:cstheme="minorHAnsi"/>
        </w:rPr>
        <w:t xml:space="preserve"> scheduled</w:t>
      </w:r>
      <w:r w:rsidRPr="00FE0A0D">
        <w:rPr>
          <w:rFonts w:cstheme="minorHAnsi"/>
        </w:rPr>
        <w:t xml:space="preserve"> for </w:t>
      </w:r>
      <w:r w:rsidR="000D3BEA" w:rsidRPr="00FE0A0D">
        <w:rPr>
          <w:rFonts w:cstheme="minorHAnsi"/>
        </w:rPr>
        <w:t>consideration</w:t>
      </w:r>
      <w:r w:rsidRPr="00FE0A0D">
        <w:rPr>
          <w:rFonts w:cstheme="minorHAnsi"/>
        </w:rPr>
        <w:t xml:space="preserve"> during the 7</w:t>
      </w:r>
      <w:r w:rsidR="009E753A">
        <w:rPr>
          <w:rFonts w:cstheme="minorHAnsi"/>
        </w:rPr>
        <w:t>6</w:t>
      </w:r>
      <w:r w:rsidRPr="00FE0A0D">
        <w:rPr>
          <w:rFonts w:cstheme="minorHAnsi"/>
        </w:rPr>
        <w:t>th session of the CESCR.</w:t>
      </w:r>
    </w:p>
    <w:p w14:paraId="2655B981" w14:textId="637C67D9" w:rsidR="007D6556" w:rsidRPr="00FE0A0D" w:rsidRDefault="00604BCC" w:rsidP="0091523D">
      <w:pPr>
        <w:spacing w:line="240" w:lineRule="auto"/>
        <w:jc w:val="both"/>
        <w:rPr>
          <w:rFonts w:cstheme="minorHAnsi"/>
          <w:b/>
          <w:bCs/>
          <w:sz w:val="24"/>
          <w:szCs w:val="24"/>
          <w:u w:val="single"/>
        </w:rPr>
      </w:pPr>
      <w:r w:rsidRPr="00FE0A0D">
        <w:rPr>
          <w:rFonts w:cstheme="minorHAnsi"/>
          <w:b/>
          <w:bCs/>
          <w:sz w:val="24"/>
          <w:szCs w:val="24"/>
          <w:u w:val="single"/>
        </w:rPr>
        <w:t>1.</w:t>
      </w:r>
      <w:r w:rsidR="007D6556" w:rsidRPr="00FE0A0D">
        <w:rPr>
          <w:rFonts w:cstheme="minorHAnsi"/>
          <w:b/>
          <w:bCs/>
          <w:sz w:val="24"/>
          <w:szCs w:val="24"/>
          <w:u w:val="single"/>
        </w:rPr>
        <w:t>Information on the implementation of the provisions of the covenant</w:t>
      </w:r>
    </w:p>
    <w:p w14:paraId="7030D43B" w14:textId="3035899A" w:rsidR="007D6556" w:rsidRPr="00FE0A0D" w:rsidRDefault="00604BCC" w:rsidP="0091523D">
      <w:pPr>
        <w:spacing w:line="240" w:lineRule="auto"/>
        <w:jc w:val="both"/>
        <w:rPr>
          <w:rFonts w:cstheme="minorHAnsi"/>
          <w:b/>
          <w:bCs/>
          <w:sz w:val="24"/>
          <w:szCs w:val="24"/>
          <w:u w:val="single"/>
        </w:rPr>
      </w:pPr>
      <w:r w:rsidRPr="00FE0A0D">
        <w:rPr>
          <w:rFonts w:cstheme="minorHAnsi"/>
          <w:b/>
          <w:bCs/>
          <w:sz w:val="24"/>
          <w:szCs w:val="24"/>
          <w:u w:val="single"/>
        </w:rPr>
        <w:t>1.1</w:t>
      </w:r>
      <w:r w:rsidR="007D6556" w:rsidRPr="00FE0A0D">
        <w:rPr>
          <w:rFonts w:cstheme="minorHAnsi"/>
          <w:b/>
          <w:bCs/>
          <w:sz w:val="24"/>
          <w:szCs w:val="24"/>
          <w:u w:val="single"/>
        </w:rPr>
        <w:t>Article 1 – Legal framework on prohibition of discrimination</w:t>
      </w:r>
    </w:p>
    <w:p w14:paraId="701152EF" w14:textId="6D5CCF2F" w:rsidR="000D3BEA" w:rsidRPr="00FE0A0D" w:rsidRDefault="000D3BEA" w:rsidP="0091523D">
      <w:pPr>
        <w:spacing w:line="240" w:lineRule="auto"/>
        <w:jc w:val="both"/>
        <w:rPr>
          <w:rFonts w:cstheme="minorHAnsi"/>
          <w:b/>
          <w:bCs/>
        </w:rPr>
      </w:pPr>
      <w:r w:rsidRPr="00FE0A0D">
        <w:rPr>
          <w:rFonts w:cstheme="minorHAnsi"/>
          <w:b/>
          <w:bCs/>
        </w:rPr>
        <w:t xml:space="preserve">Constitution of </w:t>
      </w:r>
      <w:r w:rsidR="00083D50" w:rsidRPr="00FE0A0D">
        <w:rPr>
          <w:rFonts w:cstheme="minorHAnsi"/>
          <w:b/>
          <w:bCs/>
        </w:rPr>
        <w:t xml:space="preserve">the Republic of </w:t>
      </w:r>
      <w:r w:rsidRPr="00FE0A0D">
        <w:rPr>
          <w:rFonts w:cstheme="minorHAnsi"/>
          <w:b/>
          <w:bCs/>
        </w:rPr>
        <w:t>Albania</w:t>
      </w:r>
    </w:p>
    <w:p w14:paraId="3AAF98E0" w14:textId="521AAF8C" w:rsidR="00A3015F" w:rsidRPr="00FE0A0D" w:rsidRDefault="00ED6FC9" w:rsidP="0091523D">
      <w:pPr>
        <w:pStyle w:val="ListParagraph"/>
        <w:numPr>
          <w:ilvl w:val="0"/>
          <w:numId w:val="6"/>
        </w:numPr>
        <w:spacing w:line="240" w:lineRule="auto"/>
        <w:jc w:val="both"/>
        <w:rPr>
          <w:rFonts w:cstheme="minorHAnsi"/>
        </w:rPr>
      </w:pPr>
      <w:r w:rsidRPr="00FE0A0D">
        <w:rPr>
          <w:rFonts w:cstheme="minorHAnsi"/>
        </w:rPr>
        <w:t>Albania's Constitution lacks dedicated provisions safeguarding the rights of LGBTI individuals. While Article 18</w:t>
      </w:r>
      <w:r w:rsidR="00083D50" w:rsidRPr="00FE0A0D">
        <w:rPr>
          <w:rFonts w:cstheme="minorHAnsi"/>
        </w:rPr>
        <w:t xml:space="preserve"> </w:t>
      </w:r>
      <w:r w:rsidRPr="00FE0A0D">
        <w:rPr>
          <w:rFonts w:cstheme="minorHAnsi"/>
        </w:rPr>
        <w:t>outlines the prohibited grounds for discrimination, it does not explicitly address crucial aspects such as sexual orientation, gender identity and expression, or sex characteristics (SOGIESC).</w:t>
      </w:r>
    </w:p>
    <w:p w14:paraId="5B310284" w14:textId="636BD3F7" w:rsidR="008B2E0C" w:rsidRPr="00FE0A0D" w:rsidRDefault="00ED6FC9" w:rsidP="0091523D">
      <w:pPr>
        <w:pStyle w:val="ListParagraph"/>
        <w:numPr>
          <w:ilvl w:val="0"/>
          <w:numId w:val="6"/>
        </w:numPr>
        <w:spacing w:line="240" w:lineRule="auto"/>
        <w:jc w:val="both"/>
        <w:rPr>
          <w:rFonts w:cstheme="minorHAnsi"/>
        </w:rPr>
      </w:pPr>
      <w:r w:rsidRPr="00FE0A0D">
        <w:rPr>
          <w:rFonts w:cstheme="minorHAnsi"/>
        </w:rPr>
        <w:t>In 2017, the Albanian Parliament put forth a series of proposed amendments to the Constitution. Among these proposed changes was a revision to Article 18, which aimed to introduce the term "SOGI" into the text. Despite initial positive expectations, this alteration was met with vehement opposition from several Members of Parliament, who resorted to hate speech and discrimination against the LGBTI community. Additionally, a number of religious leaders publicly voiced their disapproval of these proposed changes. In a surprising turn of events, mere days prior to the anticipated ratification of the constitutional amendments, the governing party withdrew its support for the revision to Article 18. As a result, the article remained unaltered. Since that pivotal moment, no significant progress has been made in relation to amending the constitutional safeguards to explicitly encompass the grounds of SOGI.</w:t>
      </w:r>
    </w:p>
    <w:p w14:paraId="128AA819" w14:textId="77777777" w:rsidR="00A3015F" w:rsidRPr="00FE0A0D" w:rsidRDefault="00ED6FC9" w:rsidP="0091523D">
      <w:pPr>
        <w:spacing w:line="240" w:lineRule="auto"/>
        <w:jc w:val="both"/>
        <w:rPr>
          <w:rFonts w:cstheme="minorHAnsi"/>
        </w:rPr>
      </w:pPr>
      <w:r w:rsidRPr="00FE0A0D">
        <w:rPr>
          <w:rFonts w:cstheme="minorHAnsi"/>
          <w:b/>
          <w:bCs/>
        </w:rPr>
        <w:t>Law</w:t>
      </w:r>
      <w:r w:rsidR="00AD3C12" w:rsidRPr="00FE0A0D">
        <w:rPr>
          <w:rFonts w:cstheme="minorHAnsi"/>
          <w:b/>
          <w:bCs/>
        </w:rPr>
        <w:t xml:space="preserve"> N</w:t>
      </w:r>
      <w:r w:rsidRPr="00FE0A0D">
        <w:rPr>
          <w:rFonts w:cstheme="minorHAnsi"/>
          <w:b/>
          <w:bCs/>
        </w:rPr>
        <w:t>o</w:t>
      </w:r>
      <w:r w:rsidR="00AD3C12" w:rsidRPr="00FE0A0D">
        <w:rPr>
          <w:rFonts w:cstheme="minorHAnsi"/>
          <w:b/>
          <w:bCs/>
        </w:rPr>
        <w:t xml:space="preserve">. 10 221, </w:t>
      </w:r>
      <w:r w:rsidRPr="00FE0A0D">
        <w:rPr>
          <w:rFonts w:cstheme="minorHAnsi"/>
          <w:b/>
          <w:bCs/>
        </w:rPr>
        <w:t>date</w:t>
      </w:r>
      <w:r w:rsidR="00AD3C12" w:rsidRPr="00FE0A0D">
        <w:rPr>
          <w:rFonts w:cstheme="minorHAnsi"/>
          <w:b/>
          <w:bCs/>
        </w:rPr>
        <w:t xml:space="preserve"> 04.02.2010 “</w:t>
      </w:r>
      <w:r w:rsidRPr="00FE0A0D">
        <w:rPr>
          <w:rFonts w:cstheme="minorHAnsi"/>
          <w:b/>
          <w:bCs/>
        </w:rPr>
        <w:t>On Protection from Discrimination</w:t>
      </w:r>
      <w:r w:rsidR="00AD3C12" w:rsidRPr="00FE0A0D">
        <w:rPr>
          <w:rFonts w:cstheme="minorHAnsi"/>
          <w:b/>
          <w:bCs/>
        </w:rPr>
        <w:t xml:space="preserve">”, </w:t>
      </w:r>
      <w:r w:rsidRPr="00FE0A0D">
        <w:rPr>
          <w:rFonts w:cstheme="minorHAnsi"/>
          <w:b/>
          <w:bCs/>
        </w:rPr>
        <w:t>as amended</w:t>
      </w:r>
      <w:r w:rsidR="00AD3C12" w:rsidRPr="00FE0A0D">
        <w:rPr>
          <w:rFonts w:cstheme="minorHAnsi"/>
        </w:rPr>
        <w:t xml:space="preserve"> </w:t>
      </w:r>
    </w:p>
    <w:p w14:paraId="7D280EEE" w14:textId="7F8D966D" w:rsidR="00A3015F" w:rsidRPr="00FE0A0D" w:rsidRDefault="00A51585" w:rsidP="0091523D">
      <w:pPr>
        <w:pStyle w:val="ListParagraph"/>
        <w:numPr>
          <w:ilvl w:val="0"/>
          <w:numId w:val="6"/>
        </w:numPr>
        <w:spacing w:line="240" w:lineRule="auto"/>
        <w:jc w:val="both"/>
        <w:rPr>
          <w:rFonts w:cstheme="minorHAnsi"/>
          <w:sz w:val="24"/>
          <w:szCs w:val="24"/>
        </w:rPr>
      </w:pPr>
      <w:r w:rsidRPr="00FE0A0D">
        <w:rPr>
          <w:rFonts w:cstheme="minorHAnsi"/>
        </w:rPr>
        <w:t>Law no. 10221</w:t>
      </w:r>
      <w:r w:rsidR="00E36F37" w:rsidRPr="00FE0A0D">
        <w:rPr>
          <w:rStyle w:val="FootnoteReference"/>
          <w:rFonts w:cstheme="minorHAnsi"/>
        </w:rPr>
        <w:footnoteReference w:id="2"/>
      </w:r>
      <w:r w:rsidRPr="00FE0A0D">
        <w:rPr>
          <w:rFonts w:cstheme="minorHAnsi"/>
        </w:rPr>
        <w:t xml:space="preserve">, </w:t>
      </w:r>
      <w:r w:rsidR="00A3015F" w:rsidRPr="00FE0A0D">
        <w:rPr>
          <w:rFonts w:cstheme="minorHAnsi"/>
        </w:rPr>
        <w:t>as amended</w:t>
      </w:r>
      <w:r w:rsidRPr="00FE0A0D">
        <w:rPr>
          <w:rFonts w:cstheme="minorHAnsi"/>
        </w:rPr>
        <w:t>, upholds equality and non-discrimination, explicitly recognizing gender identity, sexual orientation, and sex characteristics as grounds for protection (Article 1).</w:t>
      </w:r>
    </w:p>
    <w:p w14:paraId="5C29CADB" w14:textId="5123A2BC" w:rsidR="00A3015F" w:rsidRPr="00FE0A0D" w:rsidRDefault="00A51585" w:rsidP="0091523D">
      <w:pPr>
        <w:pStyle w:val="ListParagraph"/>
        <w:numPr>
          <w:ilvl w:val="0"/>
          <w:numId w:val="6"/>
        </w:numPr>
        <w:spacing w:line="240" w:lineRule="auto"/>
        <w:jc w:val="both"/>
        <w:rPr>
          <w:rFonts w:cstheme="minorHAnsi"/>
          <w:sz w:val="24"/>
          <w:szCs w:val="24"/>
        </w:rPr>
      </w:pPr>
      <w:r w:rsidRPr="00FE0A0D">
        <w:rPr>
          <w:rFonts w:cstheme="minorHAnsi"/>
        </w:rPr>
        <w:lastRenderedPageBreak/>
        <w:t>Despite a comprehensive</w:t>
      </w:r>
      <w:r w:rsidRPr="00FE0A0D">
        <w:rPr>
          <w:rFonts w:cstheme="minorHAnsi"/>
          <w:vertAlign w:val="superscript"/>
        </w:rPr>
        <w:footnoteReference w:id="3"/>
      </w:r>
      <w:r w:rsidRPr="00FE0A0D">
        <w:rPr>
          <w:rFonts w:cstheme="minorHAnsi"/>
        </w:rPr>
        <w:t xml:space="preserve"> legal framework against discrimination towards the LGBTI+ communities, its implementation falls short. Reported cases of discrimination to state and independent bodies remain scarce, mirroring limited public awareness about the law's provisions.</w:t>
      </w:r>
    </w:p>
    <w:p w14:paraId="335D2B00" w14:textId="51A57003" w:rsidR="00A3015F" w:rsidRPr="00FE0A0D" w:rsidRDefault="00E22350" w:rsidP="0091523D">
      <w:pPr>
        <w:pStyle w:val="ListParagraph"/>
        <w:numPr>
          <w:ilvl w:val="0"/>
          <w:numId w:val="6"/>
        </w:numPr>
        <w:spacing w:line="240" w:lineRule="auto"/>
        <w:jc w:val="both"/>
        <w:rPr>
          <w:rFonts w:cstheme="minorHAnsi"/>
          <w:sz w:val="24"/>
          <w:szCs w:val="24"/>
        </w:rPr>
      </w:pPr>
      <w:r w:rsidRPr="00FE0A0D">
        <w:rPr>
          <w:rFonts w:cstheme="minorHAnsi"/>
        </w:rPr>
        <w:t>Hate speech and discriminatory language in the media, especially online, and from politicians and criminal offences and discrimination against members of the trans-community remain a problem</w:t>
      </w:r>
      <w:r w:rsidRPr="00FE0A0D">
        <w:rPr>
          <w:rFonts w:cstheme="minorHAnsi"/>
          <w:vertAlign w:val="superscript"/>
        </w:rPr>
        <w:footnoteReference w:id="4"/>
      </w:r>
      <w:r w:rsidRPr="00FE0A0D">
        <w:rPr>
          <w:rFonts w:cstheme="minorHAnsi"/>
        </w:rPr>
        <w:t>. In the period 2020-2022, the C</w:t>
      </w:r>
      <w:r w:rsidR="00C1241B" w:rsidRPr="00FE0A0D">
        <w:rPr>
          <w:rFonts w:cstheme="minorHAnsi"/>
        </w:rPr>
        <w:t>ommissioner for Protection from Discrimination (C</w:t>
      </w:r>
      <w:r w:rsidRPr="00FE0A0D">
        <w:rPr>
          <w:rFonts w:cstheme="minorHAnsi"/>
        </w:rPr>
        <w:t>PD</w:t>
      </w:r>
      <w:r w:rsidR="00C1241B" w:rsidRPr="00FE0A0D">
        <w:rPr>
          <w:rFonts w:cstheme="minorHAnsi"/>
        </w:rPr>
        <w:t>)</w:t>
      </w:r>
      <w:r w:rsidRPr="00FE0A0D">
        <w:rPr>
          <w:rFonts w:cstheme="minorHAnsi"/>
        </w:rPr>
        <w:t xml:space="preserve"> handled </w:t>
      </w:r>
      <w:r w:rsidR="00215A0F" w:rsidRPr="00FE0A0D">
        <w:rPr>
          <w:rFonts w:cstheme="minorHAnsi"/>
        </w:rPr>
        <w:t>11</w:t>
      </w:r>
      <w:r w:rsidRPr="00FE0A0D">
        <w:rPr>
          <w:rFonts w:cstheme="minorHAnsi"/>
        </w:rPr>
        <w:t xml:space="preserve"> cases of discrimination against the LGBT</w:t>
      </w:r>
      <w:r w:rsidR="00D47A9A" w:rsidRPr="00FE0A0D">
        <w:rPr>
          <w:rFonts w:cstheme="minorHAnsi"/>
        </w:rPr>
        <w:t>I+</w:t>
      </w:r>
      <w:r w:rsidRPr="00FE0A0D">
        <w:rPr>
          <w:rFonts w:cstheme="minorHAnsi"/>
        </w:rPr>
        <w:t xml:space="preserve"> community. The Commissioner's rulings have identified discrimination only in </w:t>
      </w:r>
      <w:r w:rsidR="00215A0F" w:rsidRPr="00FE0A0D">
        <w:rPr>
          <w:rFonts w:cstheme="minorHAnsi"/>
        </w:rPr>
        <w:t>2</w:t>
      </w:r>
      <w:r w:rsidRPr="00FE0A0D">
        <w:rPr>
          <w:rFonts w:cstheme="minorHAnsi"/>
        </w:rPr>
        <w:t xml:space="preserve"> cases, where there appears to be a problematic approach toward acknowledging discrimination in situations where a fine line is drawn between hate speech and freedom of expression. This is despite the fact that the standards established by international courts in this regard unequivocally lean towards a zero-tolerance stance against hate speech.</w:t>
      </w:r>
    </w:p>
    <w:p w14:paraId="6719D590" w14:textId="544F43BB" w:rsidR="00A3015F" w:rsidRPr="00FE0A0D" w:rsidRDefault="00A51585" w:rsidP="0091523D">
      <w:pPr>
        <w:pStyle w:val="ListParagraph"/>
        <w:numPr>
          <w:ilvl w:val="0"/>
          <w:numId w:val="6"/>
        </w:numPr>
        <w:spacing w:line="240" w:lineRule="auto"/>
        <w:jc w:val="both"/>
        <w:rPr>
          <w:rFonts w:cstheme="minorHAnsi"/>
          <w:sz w:val="24"/>
          <w:szCs w:val="24"/>
        </w:rPr>
      </w:pPr>
      <w:r w:rsidRPr="00FE0A0D">
        <w:rPr>
          <w:rFonts w:cstheme="minorHAnsi"/>
        </w:rPr>
        <w:t>Our survey reveals that 43% of the LGBTI</w:t>
      </w:r>
      <w:r w:rsidR="00D47A9A" w:rsidRPr="00FE0A0D">
        <w:rPr>
          <w:rFonts w:cstheme="minorHAnsi"/>
        </w:rPr>
        <w:t>+</w:t>
      </w:r>
      <w:r w:rsidRPr="00FE0A0D">
        <w:rPr>
          <w:rFonts w:cstheme="minorHAnsi"/>
        </w:rPr>
        <w:t xml:space="preserve"> respondents personally experienced violence or discrimination in the past two years. Likewise, 30.8% were acquainted with another LGBTI person who faced similar issues. Notably, 73.8% of these incidents were linked to their LGBTI status, out of which 83% of respondents chose not to report violence or discrimination to any state institution, including the Commissioner's office.</w:t>
      </w:r>
    </w:p>
    <w:p w14:paraId="37A4DDE3" w14:textId="66BB43B6" w:rsidR="00A51585" w:rsidRPr="00FE0A0D" w:rsidRDefault="00A51585" w:rsidP="0091523D">
      <w:pPr>
        <w:pStyle w:val="ListParagraph"/>
        <w:numPr>
          <w:ilvl w:val="0"/>
          <w:numId w:val="6"/>
        </w:numPr>
        <w:spacing w:line="240" w:lineRule="auto"/>
        <w:jc w:val="both"/>
        <w:rPr>
          <w:rFonts w:cstheme="minorHAnsi"/>
          <w:sz w:val="24"/>
          <w:szCs w:val="24"/>
        </w:rPr>
      </w:pPr>
      <w:r w:rsidRPr="00FE0A0D">
        <w:rPr>
          <w:rFonts w:cstheme="minorHAnsi"/>
        </w:rPr>
        <w:t xml:space="preserve">Public Awareness Gap: Despite the law's provisions, public education on protection against discrimination remains notably low. </w:t>
      </w:r>
      <w:r w:rsidR="00D23BF5" w:rsidRPr="00FE0A0D">
        <w:rPr>
          <w:rFonts w:cstheme="minorHAnsi"/>
        </w:rPr>
        <w:t>Over</w:t>
      </w:r>
      <w:r w:rsidRPr="00FE0A0D">
        <w:rPr>
          <w:rFonts w:cstheme="minorHAnsi"/>
        </w:rPr>
        <w:t xml:space="preserve"> 63% of our surveyed LGBTI+ individuals were unaware of the Commissioner for Protection against Discrimination's existence. Equally noteworthy, 83% of informed respondents who encountered discrimination never lodged a </w:t>
      </w:r>
      <w:r w:rsidR="00D23BF5" w:rsidRPr="00FE0A0D">
        <w:rPr>
          <w:rFonts w:cstheme="minorHAnsi"/>
        </w:rPr>
        <w:t>discrimination complaint</w:t>
      </w:r>
      <w:r w:rsidRPr="00FE0A0D">
        <w:rPr>
          <w:rFonts w:cstheme="minorHAnsi"/>
        </w:rPr>
        <w:t xml:space="preserve"> with the Commissioner's office.</w:t>
      </w:r>
    </w:p>
    <w:p w14:paraId="39219A9F" w14:textId="2543A9CC" w:rsidR="00FE0A0D" w:rsidRPr="00FE0A0D" w:rsidRDefault="00FE0A0D" w:rsidP="00FE0A0D">
      <w:pPr>
        <w:pStyle w:val="ListParagraph"/>
        <w:numPr>
          <w:ilvl w:val="0"/>
          <w:numId w:val="6"/>
        </w:numPr>
        <w:spacing w:line="240" w:lineRule="auto"/>
        <w:jc w:val="both"/>
        <w:rPr>
          <w:rFonts w:cstheme="minorHAnsi"/>
        </w:rPr>
      </w:pPr>
      <w:r w:rsidRPr="00FE0A0D">
        <w:rPr>
          <w:rFonts w:cstheme="minorHAnsi"/>
          <w:color w:val="1D2228"/>
          <w:shd w:val="clear" w:color="auto" w:fill="FFFFFF"/>
        </w:rPr>
        <w:t xml:space="preserve">Over the past two years, Albania has witnessed a concerning rise in an anti-LGBT movement, spearheaded by influential political figures, religious leaders, and prominent public figures. This movement has periodically directed its hate rhetoric and actions towards the LGBTI+ communities, particularly transgender women, employing inflammatory and discriminatory rhetoric, perpetuating harmful stereotypes, and fostering public animosity. These developments are unfolding in a predominantly conservative environment, further exacerbated by the scarcity of objective information on LGBTI issues. Against this backdrop, over the past two years, </w:t>
      </w:r>
      <w:proofErr w:type="spellStart"/>
      <w:r w:rsidRPr="00FE0A0D">
        <w:rPr>
          <w:rFonts w:cstheme="minorHAnsi"/>
          <w:color w:val="1D2228"/>
          <w:shd w:val="clear" w:color="auto" w:fill="FFFFFF"/>
        </w:rPr>
        <w:t>Aleanca</w:t>
      </w:r>
      <w:proofErr w:type="spellEnd"/>
      <w:r w:rsidRPr="00FE0A0D">
        <w:rPr>
          <w:rFonts w:cstheme="minorHAnsi"/>
          <w:color w:val="1D2228"/>
          <w:shd w:val="clear" w:color="auto" w:fill="FFFFFF"/>
        </w:rPr>
        <w:t xml:space="preserve"> LGBT has taken proactive measures by lodging a series of complaints of discrimination and hate speech. However, it is disconcerting to note that the Commissioner for Protection from Discrimination (CPD) has established a precarious precedent in its handling of the delicate balance between hate speech, discriminatory language, and freedom of expression. Out of the six complaints filed, only one received a partially </w:t>
      </w:r>
      <w:proofErr w:type="spellStart"/>
      <w:r w:rsidRPr="00FE0A0D">
        <w:rPr>
          <w:rFonts w:cstheme="minorHAnsi"/>
          <w:color w:val="1D2228"/>
          <w:shd w:val="clear" w:color="auto" w:fill="FFFFFF"/>
        </w:rPr>
        <w:t>favourable</w:t>
      </w:r>
      <w:proofErr w:type="spellEnd"/>
      <w:r w:rsidRPr="00FE0A0D">
        <w:rPr>
          <w:rFonts w:cstheme="minorHAnsi"/>
          <w:color w:val="1D2228"/>
          <w:shd w:val="clear" w:color="auto" w:fill="FFFFFF"/>
        </w:rPr>
        <w:t xml:space="preserve"> decision, raising concerns about the safeguarding of these fundamental rights in the face of the growing anti-LGBTI sentiment in Albania</w:t>
      </w:r>
      <w:r w:rsidRPr="00FE0A0D">
        <w:rPr>
          <w:rFonts w:cstheme="minorHAnsi"/>
        </w:rPr>
        <w:t>.</w:t>
      </w:r>
    </w:p>
    <w:p w14:paraId="7EBC9587" w14:textId="4B67450C" w:rsidR="005A5C25" w:rsidRPr="00FE0A0D" w:rsidRDefault="00FF6847" w:rsidP="0091523D">
      <w:pPr>
        <w:spacing w:line="240" w:lineRule="auto"/>
        <w:jc w:val="both"/>
        <w:rPr>
          <w:rFonts w:cstheme="minorHAnsi"/>
          <w:b/>
          <w:bCs/>
        </w:rPr>
      </w:pPr>
      <w:r w:rsidRPr="00FE0A0D">
        <w:rPr>
          <w:rFonts w:cstheme="minorHAnsi"/>
          <w:b/>
          <w:bCs/>
        </w:rPr>
        <w:t>Criminal Code of the Republic of Albania</w:t>
      </w:r>
    </w:p>
    <w:p w14:paraId="63AFBC2D" w14:textId="108DEA6C" w:rsidR="00A3015F" w:rsidRPr="00FE0A0D" w:rsidRDefault="00A3015F" w:rsidP="0091523D">
      <w:pPr>
        <w:pStyle w:val="ListParagraph"/>
        <w:numPr>
          <w:ilvl w:val="0"/>
          <w:numId w:val="6"/>
        </w:numPr>
        <w:spacing w:line="240" w:lineRule="auto"/>
        <w:jc w:val="both"/>
        <w:rPr>
          <w:rFonts w:cstheme="minorHAnsi"/>
        </w:rPr>
      </w:pPr>
      <w:r w:rsidRPr="00FE0A0D">
        <w:rPr>
          <w:rFonts w:cstheme="minorHAnsi"/>
        </w:rPr>
        <w:t>Revisions to the Criminal Code</w:t>
      </w:r>
      <w:r w:rsidR="00E36F37" w:rsidRPr="00FE0A0D">
        <w:rPr>
          <w:rStyle w:val="FootnoteReference"/>
          <w:rFonts w:cstheme="minorHAnsi"/>
        </w:rPr>
        <w:footnoteReference w:id="5"/>
      </w:r>
      <w:r w:rsidRPr="00FE0A0D">
        <w:rPr>
          <w:rFonts w:cstheme="minorHAnsi"/>
        </w:rPr>
        <w:t xml:space="preserve"> have yielded advantages for the LGBTI+ community by rectifying deficiencies found in its prior iteration. </w:t>
      </w:r>
      <w:r w:rsidR="007E4C54" w:rsidRPr="00FE0A0D">
        <w:rPr>
          <w:rFonts w:cstheme="minorHAnsi"/>
        </w:rPr>
        <w:t>Notably:</w:t>
      </w:r>
      <w:r w:rsidRPr="00FE0A0D">
        <w:rPr>
          <w:rFonts w:cstheme="minorHAnsi"/>
        </w:rPr>
        <w:t xml:space="preserve"> a)</w:t>
      </w:r>
      <w:r w:rsidR="007E4C54" w:rsidRPr="00FE0A0D">
        <w:rPr>
          <w:rFonts w:cstheme="minorHAnsi"/>
        </w:rPr>
        <w:t>Article 50 outlines aggravating circumstances, specifically citing sexual orientation and gender identity as motives for harsher penalties in relevant criminal offenses</w:t>
      </w:r>
      <w:r w:rsidRPr="00FE0A0D">
        <w:rPr>
          <w:rFonts w:cstheme="minorHAnsi"/>
        </w:rPr>
        <w:t>; b)</w:t>
      </w:r>
      <w:r w:rsidR="007E4C54" w:rsidRPr="00FE0A0D">
        <w:rPr>
          <w:rFonts w:cstheme="minorHAnsi"/>
        </w:rPr>
        <w:t>Article 100 deems homosexual relations with minors a criminal offense</w:t>
      </w:r>
      <w:r w:rsidRPr="00FE0A0D">
        <w:rPr>
          <w:rFonts w:cstheme="minorHAnsi"/>
        </w:rPr>
        <w:t>; c)</w:t>
      </w:r>
      <w:r w:rsidR="007E4C54" w:rsidRPr="00FE0A0D">
        <w:rPr>
          <w:rFonts w:cstheme="minorHAnsi"/>
        </w:rPr>
        <w:t>Article 101 specifies that forcibly engaging in homosexual intercourse with minors is punishable by imprisonment, safeguarding minors' sexual integrity</w:t>
      </w:r>
      <w:r w:rsidRPr="00FE0A0D">
        <w:rPr>
          <w:rFonts w:cstheme="minorHAnsi"/>
        </w:rPr>
        <w:t>; d)</w:t>
      </w:r>
      <w:r w:rsidR="007E4C54" w:rsidRPr="00FE0A0D">
        <w:rPr>
          <w:rFonts w:cstheme="minorHAnsi"/>
        </w:rPr>
        <w:t xml:space="preserve">Articles 100 and 101 apply </w:t>
      </w:r>
      <w:r w:rsidR="007E4C54" w:rsidRPr="00FE0A0D">
        <w:rPr>
          <w:rFonts w:cstheme="minorHAnsi"/>
        </w:rPr>
        <w:lastRenderedPageBreak/>
        <w:t>universally to juvenile victims, irrespective of their sexual orientation or gender identity</w:t>
      </w:r>
      <w:r w:rsidRPr="00FE0A0D">
        <w:rPr>
          <w:rFonts w:cstheme="minorHAnsi"/>
        </w:rPr>
        <w:t>; e)</w:t>
      </w:r>
      <w:r w:rsidR="007E4C54" w:rsidRPr="00FE0A0D">
        <w:rPr>
          <w:rFonts w:cstheme="minorHAnsi"/>
        </w:rPr>
        <w:t>Articles 102/a - 107/a extend protection by criminalizing offenses that use physical or psychological violence to coerce homosexual intercourse.</w:t>
      </w:r>
    </w:p>
    <w:p w14:paraId="3B7BE66D" w14:textId="77777777" w:rsidR="00A3015F" w:rsidRPr="00FE0A0D" w:rsidRDefault="007E4C54" w:rsidP="0091523D">
      <w:pPr>
        <w:pStyle w:val="ListParagraph"/>
        <w:numPr>
          <w:ilvl w:val="0"/>
          <w:numId w:val="6"/>
        </w:numPr>
        <w:spacing w:line="240" w:lineRule="auto"/>
        <w:jc w:val="both"/>
        <w:rPr>
          <w:rFonts w:cstheme="minorHAnsi"/>
        </w:rPr>
      </w:pPr>
      <w:r w:rsidRPr="00FE0A0D">
        <w:rPr>
          <w:rFonts w:cstheme="minorHAnsi"/>
        </w:rPr>
        <w:t>Despite the ostensibly positive intentions behind these provisions, it's important to note that the term 'homosexual' appears in the Albanian penal code more than 21 times. This frequent mention creates a legal framework that categorizes individuals based on their homosexual sexuality, inadvertently contributing to the perpetuation of their societal othering. These legal clauses recognize only minors as victims of sexual violence when stemming from either heterosexual or homosexual relationships. They also extend recognition to women and girls in cases involving heterosexual relationships where the perpetrator is male, and to men and boys within homosexual relationships. However, these provisions overlook the broader reality that homosexual relationships encompass not just homosexual males, but also lesbian, bisexual, queer, and pansexual individuals."</w:t>
      </w:r>
      <w:r w:rsidRPr="00FE0A0D">
        <w:rPr>
          <w:rFonts w:cstheme="minorHAnsi"/>
          <w:vertAlign w:val="superscript"/>
        </w:rPr>
        <w:footnoteReference w:id="6"/>
      </w:r>
    </w:p>
    <w:p w14:paraId="01E3F164" w14:textId="60440647" w:rsidR="0075195C" w:rsidRPr="00FE0A0D" w:rsidRDefault="007E4C54" w:rsidP="0075195C">
      <w:pPr>
        <w:pStyle w:val="ListParagraph"/>
        <w:numPr>
          <w:ilvl w:val="0"/>
          <w:numId w:val="6"/>
        </w:numPr>
        <w:spacing w:line="240" w:lineRule="auto"/>
        <w:jc w:val="both"/>
        <w:rPr>
          <w:rFonts w:cstheme="minorHAnsi"/>
        </w:rPr>
      </w:pPr>
      <w:r w:rsidRPr="00FE0A0D">
        <w:rPr>
          <w:rFonts w:cstheme="minorHAnsi"/>
        </w:rPr>
        <w:t>Cybercrime Gap: Notably absent are provisions addressing cybercrimes that incite hate speech, discrimination, and conflict against LGBTI+ individuals.</w:t>
      </w:r>
      <w:r w:rsidR="004E6CFF" w:rsidRPr="00FE0A0D">
        <w:rPr>
          <w:rFonts w:cstheme="minorHAnsi"/>
        </w:rPr>
        <w:t xml:space="preserve"> </w:t>
      </w:r>
    </w:p>
    <w:p w14:paraId="5116F0B3" w14:textId="7FB8802B" w:rsidR="008B2E0C" w:rsidRPr="00FE0A0D" w:rsidRDefault="007E4C54" w:rsidP="0091523D">
      <w:pPr>
        <w:pStyle w:val="ListParagraph"/>
        <w:numPr>
          <w:ilvl w:val="0"/>
          <w:numId w:val="6"/>
        </w:numPr>
        <w:spacing w:line="240" w:lineRule="auto"/>
        <w:jc w:val="both"/>
        <w:rPr>
          <w:rFonts w:cstheme="minorHAnsi"/>
        </w:rPr>
      </w:pPr>
      <w:r w:rsidRPr="00FE0A0D">
        <w:rPr>
          <w:rFonts w:cstheme="minorHAnsi"/>
        </w:rPr>
        <w:t>Criminalization of Sex Work: Albania's law prohibits</w:t>
      </w:r>
      <w:r w:rsidR="00A3015F" w:rsidRPr="00FE0A0D">
        <w:rPr>
          <w:rFonts w:cstheme="minorHAnsi"/>
        </w:rPr>
        <w:t xml:space="preserve"> and criminalizes</w:t>
      </w:r>
      <w:r w:rsidRPr="00FE0A0D">
        <w:rPr>
          <w:rFonts w:cstheme="minorHAnsi"/>
        </w:rPr>
        <w:t xml:space="preserve"> sex work, disproportionately impacting transgender women who often engage in it. Given the inability to change gender indicators, transgender individuals face vulnerability to arrests, arbitrary sentences, and exposure to discrimination and violence among same-sex convicts. This violates their rights to dignity and physical integrity, primarily due to gender identity and expression.</w:t>
      </w:r>
      <w:r w:rsidR="00A5357B" w:rsidRPr="00FE0A0D">
        <w:rPr>
          <w:rFonts w:cstheme="minorHAnsi"/>
        </w:rPr>
        <w:t xml:space="preserve"> </w:t>
      </w:r>
    </w:p>
    <w:p w14:paraId="02E96329" w14:textId="1E9170AF" w:rsidR="007D6556" w:rsidRPr="00FE0A0D" w:rsidRDefault="00604BCC" w:rsidP="0091523D">
      <w:pPr>
        <w:spacing w:line="240" w:lineRule="auto"/>
        <w:jc w:val="both"/>
        <w:rPr>
          <w:rFonts w:cstheme="minorHAnsi"/>
          <w:b/>
          <w:bCs/>
          <w:sz w:val="24"/>
          <w:szCs w:val="24"/>
          <w:u w:val="single"/>
        </w:rPr>
      </w:pPr>
      <w:r w:rsidRPr="00FE0A0D">
        <w:rPr>
          <w:rFonts w:cstheme="minorHAnsi"/>
          <w:b/>
          <w:bCs/>
          <w:sz w:val="24"/>
          <w:szCs w:val="24"/>
          <w:u w:val="single"/>
        </w:rPr>
        <w:t>1.2</w:t>
      </w:r>
      <w:r w:rsidR="007D6556" w:rsidRPr="00FE0A0D">
        <w:rPr>
          <w:rFonts w:cstheme="minorHAnsi"/>
          <w:b/>
          <w:bCs/>
          <w:sz w:val="24"/>
          <w:szCs w:val="24"/>
          <w:u w:val="single"/>
        </w:rPr>
        <w:t>Article 6 and 7 – The right to work</w:t>
      </w:r>
    </w:p>
    <w:p w14:paraId="2569A4F9" w14:textId="5EEED036" w:rsidR="00A3015F" w:rsidRPr="00FE0A0D" w:rsidRDefault="005A5C25" w:rsidP="0091523D">
      <w:pPr>
        <w:pStyle w:val="ListParagraph"/>
        <w:numPr>
          <w:ilvl w:val="0"/>
          <w:numId w:val="6"/>
        </w:numPr>
        <w:spacing w:line="240" w:lineRule="auto"/>
        <w:jc w:val="both"/>
        <w:rPr>
          <w:rFonts w:cstheme="minorHAnsi"/>
        </w:rPr>
      </w:pPr>
      <w:r w:rsidRPr="00FE0A0D">
        <w:rPr>
          <w:rFonts w:cstheme="minorHAnsi"/>
        </w:rPr>
        <w:t xml:space="preserve">The </w:t>
      </w:r>
      <w:proofErr w:type="spellStart"/>
      <w:r w:rsidRPr="00FE0A0D">
        <w:rPr>
          <w:rFonts w:cstheme="minorHAnsi"/>
        </w:rPr>
        <w:t>Labour</w:t>
      </w:r>
      <w:proofErr w:type="spellEnd"/>
      <w:r w:rsidR="00047404" w:rsidRPr="00FE0A0D">
        <w:rPr>
          <w:rFonts w:cstheme="minorHAnsi"/>
        </w:rPr>
        <w:t xml:space="preserve"> </w:t>
      </w:r>
      <w:r w:rsidRPr="00FE0A0D">
        <w:rPr>
          <w:rFonts w:cstheme="minorHAnsi"/>
        </w:rPr>
        <w:t>Code</w:t>
      </w:r>
      <w:r w:rsidR="00047404" w:rsidRPr="00FE0A0D">
        <w:rPr>
          <w:rStyle w:val="FootnoteReference"/>
          <w:rFonts w:cstheme="minorHAnsi"/>
        </w:rPr>
        <w:footnoteReference w:id="7"/>
      </w:r>
      <w:r w:rsidRPr="00FE0A0D">
        <w:rPr>
          <w:rFonts w:cstheme="minorHAnsi"/>
        </w:rPr>
        <w:t xml:space="preserve"> amended in December 2015, prohibits discrimination in employment and professions on the grounds of SOGI. Article 9 defines discrimination as any differentiation, exclusion or preference threatening the individual right to be equal in terms of employment and treatment. Article 32 states that moral and sexual harassment and derogatory comments against the employee’s dignity and personality are prohibited.</w:t>
      </w:r>
    </w:p>
    <w:p w14:paraId="03AE852E" w14:textId="153CB097" w:rsidR="00A465A6" w:rsidRPr="00FE0A0D" w:rsidRDefault="00D273B3" w:rsidP="0091523D">
      <w:pPr>
        <w:pStyle w:val="ListParagraph"/>
        <w:numPr>
          <w:ilvl w:val="0"/>
          <w:numId w:val="6"/>
        </w:numPr>
        <w:spacing w:line="240" w:lineRule="auto"/>
        <w:jc w:val="both"/>
        <w:rPr>
          <w:rFonts w:cstheme="minorHAnsi"/>
        </w:rPr>
      </w:pPr>
      <w:r w:rsidRPr="00FE0A0D">
        <w:rPr>
          <w:rFonts w:cstheme="minorHAnsi"/>
        </w:rPr>
        <w:t>Despite the positive amendments, the reality paints a stark picture: LGBTI</w:t>
      </w:r>
      <w:r w:rsidR="00D47A9A" w:rsidRPr="00FE0A0D">
        <w:rPr>
          <w:rFonts w:cstheme="minorHAnsi"/>
        </w:rPr>
        <w:t>+</w:t>
      </w:r>
      <w:r w:rsidRPr="00FE0A0D">
        <w:rPr>
          <w:rFonts w:cstheme="minorHAnsi"/>
        </w:rPr>
        <w:t xml:space="preserve"> individuals confront significant inequalities and discrimination within the professional sphere. According to our survey findings, a notable 40.8% of surveyed LGBTI</w:t>
      </w:r>
      <w:r w:rsidR="00D47A9A" w:rsidRPr="00FE0A0D">
        <w:rPr>
          <w:rFonts w:cstheme="minorHAnsi"/>
        </w:rPr>
        <w:t>+</w:t>
      </w:r>
      <w:r w:rsidRPr="00FE0A0D">
        <w:rPr>
          <w:rFonts w:cstheme="minorHAnsi"/>
        </w:rPr>
        <w:t xml:space="preserve"> respondents are neither currently nor have ever been engaged in formal employment contracts. Conversely, 15.6% have taken up informal employment. When exploring the primary challenges encountered in the job market, respondents identified discrimination based on their LGBTI</w:t>
      </w:r>
      <w:r w:rsidR="00D47A9A" w:rsidRPr="00FE0A0D">
        <w:rPr>
          <w:rFonts w:cstheme="minorHAnsi"/>
        </w:rPr>
        <w:t>+</w:t>
      </w:r>
      <w:r w:rsidRPr="00FE0A0D">
        <w:rPr>
          <w:rFonts w:cstheme="minorHAnsi"/>
        </w:rPr>
        <w:t xml:space="preserve"> status as the foremost concern, closely trailed by limited job opportunities and reduced educational access within the LGBTI</w:t>
      </w:r>
      <w:r w:rsidR="00D47A9A" w:rsidRPr="00FE0A0D">
        <w:rPr>
          <w:rFonts w:cstheme="minorHAnsi"/>
        </w:rPr>
        <w:t>+</w:t>
      </w:r>
      <w:r w:rsidRPr="00FE0A0D">
        <w:rPr>
          <w:rFonts w:cstheme="minorHAnsi"/>
        </w:rPr>
        <w:t xml:space="preserve"> community due to barriers in the education system. Among those who reported previous engagement in regular employment over the past five years, an alarming 32% recounted instances of discrimination and bias at their workplaces, yet merely 2% of them had formally reported these cases.</w:t>
      </w:r>
    </w:p>
    <w:p w14:paraId="1364B6B2" w14:textId="0D8ED253" w:rsidR="007D6556" w:rsidRPr="00FE0A0D" w:rsidRDefault="00604BCC" w:rsidP="0091523D">
      <w:pPr>
        <w:spacing w:line="240" w:lineRule="auto"/>
        <w:jc w:val="both"/>
        <w:rPr>
          <w:rFonts w:cstheme="minorHAnsi"/>
          <w:b/>
          <w:bCs/>
          <w:sz w:val="24"/>
          <w:szCs w:val="24"/>
          <w:u w:val="single"/>
        </w:rPr>
      </w:pPr>
      <w:r w:rsidRPr="00FE0A0D">
        <w:rPr>
          <w:rFonts w:cstheme="minorHAnsi"/>
          <w:b/>
          <w:bCs/>
          <w:sz w:val="24"/>
          <w:szCs w:val="24"/>
          <w:u w:val="single"/>
        </w:rPr>
        <w:t>1.3</w:t>
      </w:r>
      <w:r w:rsidR="007D6556" w:rsidRPr="00FE0A0D">
        <w:rPr>
          <w:rFonts w:cstheme="minorHAnsi"/>
          <w:b/>
          <w:bCs/>
          <w:sz w:val="24"/>
          <w:szCs w:val="24"/>
          <w:u w:val="single"/>
        </w:rPr>
        <w:t>Article 10 – Family</w:t>
      </w:r>
    </w:p>
    <w:p w14:paraId="52981352" w14:textId="77777777" w:rsidR="0091523D" w:rsidRPr="00FE0A0D" w:rsidRDefault="005A5C25" w:rsidP="0091523D">
      <w:pPr>
        <w:pStyle w:val="ListParagraph"/>
        <w:numPr>
          <w:ilvl w:val="0"/>
          <w:numId w:val="6"/>
        </w:numPr>
        <w:spacing w:line="240" w:lineRule="auto"/>
        <w:jc w:val="both"/>
        <w:rPr>
          <w:rFonts w:cstheme="minorHAnsi"/>
        </w:rPr>
      </w:pPr>
      <w:r w:rsidRPr="00FE0A0D">
        <w:rPr>
          <w:rFonts w:cstheme="minorHAnsi"/>
        </w:rPr>
        <w:t xml:space="preserve">The Albanian Constitution does not prohibit same-sex marriage. Article 53 states that everybody has the right to get married and have children. However, the Family Code of Albania defines marriage </w:t>
      </w:r>
      <w:r w:rsidR="00D273B3" w:rsidRPr="00FE0A0D">
        <w:rPr>
          <w:rFonts w:cstheme="minorHAnsi"/>
        </w:rPr>
        <w:t>as a union</w:t>
      </w:r>
      <w:r w:rsidRPr="00FE0A0D">
        <w:rPr>
          <w:rFonts w:cstheme="minorHAnsi"/>
        </w:rPr>
        <w:t xml:space="preserve"> between a man and a woman.</w:t>
      </w:r>
      <w:r w:rsidR="00D273B3" w:rsidRPr="00FE0A0D">
        <w:rPr>
          <w:rFonts w:cstheme="minorHAnsi"/>
        </w:rPr>
        <w:t xml:space="preserve"> </w:t>
      </w:r>
    </w:p>
    <w:p w14:paraId="3B1AEE2F" w14:textId="1A146FEC" w:rsidR="0091523D" w:rsidRPr="00FE0A0D" w:rsidRDefault="00D273B3" w:rsidP="0091523D">
      <w:pPr>
        <w:pStyle w:val="ListParagraph"/>
        <w:numPr>
          <w:ilvl w:val="0"/>
          <w:numId w:val="6"/>
        </w:numPr>
        <w:spacing w:line="240" w:lineRule="auto"/>
        <w:jc w:val="both"/>
        <w:rPr>
          <w:rFonts w:cstheme="minorHAnsi"/>
        </w:rPr>
      </w:pPr>
      <w:r w:rsidRPr="00FE0A0D">
        <w:rPr>
          <w:rFonts w:cstheme="minorHAnsi"/>
        </w:rPr>
        <w:lastRenderedPageBreak/>
        <w:t>Currently, no law recognizes partnership or cohabitation between persons of the same sex, in violation of constitutional guarantees. Lack of such a provision brings many practical difficulties for gay, and lesbian couples</w:t>
      </w:r>
      <w:r w:rsidR="00063F46" w:rsidRPr="00FE0A0D">
        <w:rPr>
          <w:rFonts w:cstheme="minorHAnsi"/>
        </w:rPr>
        <w:t xml:space="preserve"> in different domains.</w:t>
      </w:r>
      <w:r w:rsidRPr="00FE0A0D">
        <w:rPr>
          <w:rFonts w:cstheme="minorHAnsi"/>
        </w:rPr>
        <w:t xml:space="preserve"> </w:t>
      </w:r>
      <w:r w:rsidR="00063F46" w:rsidRPr="00FE0A0D">
        <w:rPr>
          <w:rFonts w:cstheme="minorHAnsi"/>
        </w:rPr>
        <w:t xml:space="preserve">The absence of legal recognition as next-of-kin for the same-sex partners results in potential exclusion from survivor’s pensions, partner’s health </w:t>
      </w:r>
      <w:r w:rsidR="00047404" w:rsidRPr="00FE0A0D">
        <w:rPr>
          <w:rStyle w:val="FootnoteReference"/>
          <w:rFonts w:cstheme="minorHAnsi"/>
        </w:rPr>
        <w:footnoteReference w:id="8"/>
      </w:r>
      <w:r w:rsidR="00063F46" w:rsidRPr="00FE0A0D">
        <w:rPr>
          <w:rFonts w:cstheme="minorHAnsi"/>
        </w:rPr>
        <w:t xml:space="preserve">insurance, and the ability to reside in a deceased partner's house. In the same line, lack of recognition for same-sex relationships affects visitation privileges and access to medical records. The lack of recognition brings practical problems when couples separate, a parent passes away, or the unrecognized parent needs time off for child-related matters such as illness or disability. Also, committed same-sex partners don't have access to any tax benefits. </w:t>
      </w:r>
      <w:r w:rsidRPr="00FE0A0D">
        <w:rPr>
          <w:rFonts w:cstheme="minorHAnsi"/>
        </w:rPr>
        <w:t>Currently, couples of the same sex are not recognized as having the right to have children either through assisted reproductive procedures or through adoption procedures, while in any case what is sanctioned is only the right to have children as a single parent, and not as a two-parent family</w:t>
      </w:r>
      <w:r w:rsidR="00063F46" w:rsidRPr="00FE0A0D">
        <w:rPr>
          <w:rFonts w:cstheme="minorHAnsi"/>
          <w:vertAlign w:val="superscript"/>
        </w:rPr>
        <w:footnoteReference w:id="9"/>
      </w:r>
      <w:r w:rsidRPr="00FE0A0D">
        <w:rPr>
          <w:rFonts w:cstheme="minorHAnsi"/>
        </w:rPr>
        <w:t>.</w:t>
      </w:r>
    </w:p>
    <w:p w14:paraId="717DF3EE" w14:textId="06B8F307" w:rsidR="0006514D" w:rsidRPr="00FE0A0D" w:rsidRDefault="0006514D" w:rsidP="0091523D">
      <w:pPr>
        <w:pStyle w:val="ListParagraph"/>
        <w:numPr>
          <w:ilvl w:val="0"/>
          <w:numId w:val="6"/>
        </w:numPr>
        <w:spacing w:line="240" w:lineRule="auto"/>
        <w:jc w:val="both"/>
        <w:rPr>
          <w:rFonts w:cstheme="minorHAnsi"/>
        </w:rPr>
      </w:pPr>
      <w:r w:rsidRPr="00FE0A0D">
        <w:rPr>
          <w:rFonts w:cstheme="minorHAnsi"/>
        </w:rPr>
        <w:t>Despite the Ministry of Social Welfare and Youth (now Ministry of Health and Social Protection) drafting legal proposals for changes in this regard, Albania has not taken any measures to amend the Family Law regarding the cohabitation of LGBTI</w:t>
      </w:r>
      <w:r w:rsidR="00D47A9A" w:rsidRPr="00FE0A0D">
        <w:rPr>
          <w:rFonts w:cstheme="minorHAnsi"/>
        </w:rPr>
        <w:t>+</w:t>
      </w:r>
      <w:r w:rsidRPr="00FE0A0D">
        <w:rPr>
          <w:rFonts w:cstheme="minorHAnsi"/>
        </w:rPr>
        <w:t xml:space="preserve"> individuals. While LGBTI civil society organizations continue to advocate through discussions and lobbying, the stance of policy makers remains unchanged. Over the years, international reports and recommendations concerning Albania have consistently underlined the absence of legislative provisions for the legal recognition of same-sex unions in the country. Notably, </w:t>
      </w:r>
      <w:r w:rsidR="006C498F" w:rsidRPr="00FE0A0D">
        <w:rPr>
          <w:rFonts w:cstheme="minorHAnsi"/>
        </w:rPr>
        <w:t>Recommendation CM/Rec(2010)</w:t>
      </w:r>
      <w:r w:rsidR="006C498F" w:rsidRPr="00FE0A0D">
        <w:rPr>
          <w:rFonts w:cstheme="minorHAnsi"/>
          <w:vertAlign w:val="superscript"/>
        </w:rPr>
        <w:footnoteReference w:id="10"/>
      </w:r>
      <w:r w:rsidR="006C498F" w:rsidRPr="00FE0A0D">
        <w:rPr>
          <w:rFonts w:cstheme="minorHAnsi"/>
          <w:vertAlign w:val="superscript"/>
        </w:rPr>
        <w:t xml:space="preserve"> </w:t>
      </w:r>
      <w:r w:rsidR="006C498F" w:rsidRPr="00FE0A0D">
        <w:rPr>
          <w:rFonts w:cstheme="minorHAnsi"/>
        </w:rPr>
        <w:t xml:space="preserve">on measures to combat discrimination on grounds of sexual orientation or gender identity, latest </w:t>
      </w:r>
      <w:r w:rsidRPr="00FE0A0D">
        <w:rPr>
          <w:rFonts w:cstheme="minorHAnsi"/>
        </w:rPr>
        <w:t>reports by ECRI</w:t>
      </w:r>
      <w:r w:rsidR="006C498F" w:rsidRPr="00FE0A0D">
        <w:rPr>
          <w:rFonts w:cstheme="minorHAnsi"/>
          <w:vertAlign w:val="superscript"/>
        </w:rPr>
        <w:footnoteReference w:id="11"/>
      </w:r>
      <w:r w:rsidRPr="00FE0A0D">
        <w:rPr>
          <w:rFonts w:cstheme="minorHAnsi"/>
        </w:rPr>
        <w:t xml:space="preserve"> and the European Commission</w:t>
      </w:r>
      <w:r w:rsidRPr="00FE0A0D">
        <w:rPr>
          <w:rFonts w:cstheme="minorHAnsi"/>
          <w:vertAlign w:val="superscript"/>
        </w:rPr>
        <w:footnoteReference w:id="12"/>
      </w:r>
      <w:r w:rsidRPr="00FE0A0D">
        <w:rPr>
          <w:rFonts w:cstheme="minorHAnsi"/>
        </w:rPr>
        <w:t xml:space="preserve"> have highlighted this gap. Furthermore, during the third cycle of the Universal Periodic Review, Albania noted all recommendations associated with legal recognition of LGBTI</w:t>
      </w:r>
      <w:r w:rsidR="00D47A9A" w:rsidRPr="00FE0A0D">
        <w:rPr>
          <w:rFonts w:cstheme="minorHAnsi"/>
        </w:rPr>
        <w:t>+</w:t>
      </w:r>
      <w:r w:rsidRPr="00FE0A0D">
        <w:rPr>
          <w:rFonts w:cstheme="minorHAnsi"/>
        </w:rPr>
        <w:t xml:space="preserve"> individuals within the nation</w:t>
      </w:r>
      <w:r w:rsidR="006C498F" w:rsidRPr="00FE0A0D">
        <w:rPr>
          <w:rFonts w:cstheme="minorHAnsi"/>
        </w:rPr>
        <w:t>.</w:t>
      </w:r>
    </w:p>
    <w:p w14:paraId="437F9C07" w14:textId="221C2BC4" w:rsidR="007D6556" w:rsidRPr="00FE0A0D" w:rsidRDefault="00604BCC" w:rsidP="0091523D">
      <w:pPr>
        <w:spacing w:line="240" w:lineRule="auto"/>
        <w:jc w:val="both"/>
        <w:rPr>
          <w:rFonts w:cstheme="minorHAnsi"/>
          <w:b/>
          <w:bCs/>
          <w:sz w:val="24"/>
          <w:szCs w:val="24"/>
          <w:u w:val="single"/>
        </w:rPr>
      </w:pPr>
      <w:r w:rsidRPr="00FE0A0D">
        <w:rPr>
          <w:rFonts w:cstheme="minorHAnsi"/>
          <w:b/>
          <w:bCs/>
          <w:sz w:val="24"/>
          <w:szCs w:val="24"/>
          <w:u w:val="single"/>
        </w:rPr>
        <w:t>1.4</w:t>
      </w:r>
      <w:r w:rsidR="007D6556" w:rsidRPr="00FE0A0D">
        <w:rPr>
          <w:rFonts w:cstheme="minorHAnsi"/>
          <w:b/>
          <w:bCs/>
          <w:sz w:val="24"/>
          <w:szCs w:val="24"/>
          <w:u w:val="single"/>
        </w:rPr>
        <w:t>Article 11 – Housing</w:t>
      </w:r>
    </w:p>
    <w:p w14:paraId="68CA6E19" w14:textId="77777777" w:rsidR="0091523D" w:rsidRPr="00FE0A0D" w:rsidRDefault="00150531" w:rsidP="0091523D">
      <w:pPr>
        <w:pStyle w:val="ListParagraph"/>
        <w:numPr>
          <w:ilvl w:val="0"/>
          <w:numId w:val="6"/>
        </w:numPr>
        <w:spacing w:line="240" w:lineRule="auto"/>
        <w:jc w:val="both"/>
        <w:rPr>
          <w:rFonts w:cstheme="minorHAnsi"/>
        </w:rPr>
      </w:pPr>
      <w:r w:rsidRPr="00FE0A0D">
        <w:rPr>
          <w:rFonts w:cstheme="minorHAnsi"/>
        </w:rPr>
        <w:t>The law on social housing</w:t>
      </w:r>
      <w:r w:rsidR="00840DF1" w:rsidRPr="00FE0A0D">
        <w:rPr>
          <w:rFonts w:cstheme="minorHAnsi"/>
          <w:vertAlign w:val="superscript"/>
        </w:rPr>
        <w:footnoteReference w:id="13"/>
      </w:r>
      <w:r w:rsidRPr="00FE0A0D">
        <w:rPr>
          <w:rFonts w:cstheme="minorHAnsi"/>
        </w:rPr>
        <w:t xml:space="preserve"> is one of the most important national remedies for members of the LGBTI+ community, especially for transgender people as the target group most affected by housing problems. The law directly addresses the community as a group of interest</w:t>
      </w:r>
      <w:r w:rsidR="006C498F" w:rsidRPr="00FE0A0D">
        <w:rPr>
          <w:rFonts w:cstheme="minorHAnsi"/>
        </w:rPr>
        <w:t>.</w:t>
      </w:r>
    </w:p>
    <w:p w14:paraId="35F3029E" w14:textId="32127507" w:rsidR="0091523D" w:rsidRPr="00FE0A0D" w:rsidRDefault="006C498F" w:rsidP="0091523D">
      <w:pPr>
        <w:pStyle w:val="ListParagraph"/>
        <w:numPr>
          <w:ilvl w:val="0"/>
          <w:numId w:val="6"/>
        </w:numPr>
        <w:spacing w:line="240" w:lineRule="auto"/>
        <w:jc w:val="both"/>
        <w:rPr>
          <w:rFonts w:cstheme="minorHAnsi"/>
        </w:rPr>
      </w:pPr>
      <w:r w:rsidRPr="00FE0A0D">
        <w:rPr>
          <w:rFonts w:cstheme="minorHAnsi"/>
        </w:rPr>
        <w:t>However,</w:t>
      </w:r>
      <w:r w:rsidR="00150531" w:rsidRPr="00FE0A0D">
        <w:rPr>
          <w:rFonts w:cstheme="minorHAnsi"/>
        </w:rPr>
        <w:t xml:space="preserve"> </w:t>
      </w:r>
      <w:r w:rsidRPr="00FE0A0D">
        <w:rPr>
          <w:rFonts w:cstheme="minorHAnsi"/>
        </w:rPr>
        <w:t xml:space="preserve">the </w:t>
      </w:r>
      <w:r w:rsidR="00150531" w:rsidRPr="00FE0A0D">
        <w:rPr>
          <w:rFonts w:cstheme="minorHAnsi"/>
        </w:rPr>
        <w:t>realities faced by LGBTI+ individuals are complex. Due to violence, discrimination, stigma, bullying, and limited employment opportunities, community members often see the capital city as the only escape to being free, and to realize their right to an undisturbed life. Along with relocation, their need for accommodation arises</w:t>
      </w:r>
      <w:r w:rsidRPr="00FE0A0D">
        <w:rPr>
          <w:rFonts w:cstheme="minorHAnsi"/>
        </w:rPr>
        <w:t xml:space="preserve">. </w:t>
      </w:r>
      <w:r w:rsidR="00840DF1" w:rsidRPr="00FE0A0D">
        <w:rPr>
          <w:rFonts w:cstheme="minorHAnsi"/>
        </w:rPr>
        <w:t>Challenges in securing housing persist due to ongoing discrimination, presenting an obstacle for community members. Notably, between 2019 and 202</w:t>
      </w:r>
      <w:r w:rsidR="00FE0A0D">
        <w:rPr>
          <w:rFonts w:cstheme="minorHAnsi"/>
        </w:rPr>
        <w:t>4</w:t>
      </w:r>
      <w:r w:rsidR="00840DF1" w:rsidRPr="00FE0A0D">
        <w:rPr>
          <w:rFonts w:cstheme="minorHAnsi"/>
        </w:rPr>
        <w:t xml:space="preserve">, </w:t>
      </w:r>
      <w:r w:rsidR="004D5929" w:rsidRPr="00FE0A0D">
        <w:rPr>
          <w:rFonts w:cstheme="minorHAnsi"/>
        </w:rPr>
        <w:t>2</w:t>
      </w:r>
      <w:r w:rsidR="00FE0A0D">
        <w:rPr>
          <w:rFonts w:cstheme="minorHAnsi"/>
        </w:rPr>
        <w:t>2</w:t>
      </w:r>
      <w:r w:rsidR="00840DF1" w:rsidRPr="00FE0A0D">
        <w:rPr>
          <w:rFonts w:cstheme="minorHAnsi"/>
        </w:rPr>
        <w:t xml:space="preserve"> transgender women faced evictions from their landlords solely due to their gender identity. Among the primary contributors to the housing problems lies the inability to access social housing programs provided by local municipalities, owing to concerns of </w:t>
      </w:r>
      <w:r w:rsidR="00840DF1" w:rsidRPr="00FE0A0D">
        <w:rPr>
          <w:rFonts w:cstheme="minorHAnsi"/>
        </w:rPr>
        <w:lastRenderedPageBreak/>
        <w:t xml:space="preserve">compromised confidentiality within the scoring system. Here, personal information and one's LGBTI+ status risk becoming public, even when individuals have not disclosed this information to their families or broader social circles. </w:t>
      </w:r>
    </w:p>
    <w:p w14:paraId="058F41B2" w14:textId="77777777" w:rsidR="008B4C49" w:rsidRPr="00FE0A0D" w:rsidRDefault="00840DF1" w:rsidP="0091523D">
      <w:pPr>
        <w:pStyle w:val="ListParagraph"/>
        <w:numPr>
          <w:ilvl w:val="0"/>
          <w:numId w:val="6"/>
        </w:numPr>
        <w:spacing w:line="240" w:lineRule="auto"/>
        <w:jc w:val="both"/>
        <w:rPr>
          <w:rFonts w:cstheme="minorHAnsi"/>
        </w:rPr>
      </w:pPr>
      <w:r w:rsidRPr="00FE0A0D">
        <w:rPr>
          <w:rFonts w:cstheme="minorHAnsi"/>
        </w:rPr>
        <w:t>Furthermore, the absence of certain crucial bylaws compounds the challenges posed by this legislation. This gap hampers proper implementation, as pointed out in an article published by portavendore.al</w:t>
      </w:r>
      <w:r w:rsidRPr="00FE0A0D">
        <w:rPr>
          <w:rFonts w:cstheme="minorHAnsi"/>
          <w:vertAlign w:val="superscript"/>
        </w:rPr>
        <w:footnoteReference w:id="14"/>
      </w:r>
      <w:r w:rsidRPr="00FE0A0D">
        <w:rPr>
          <w:rFonts w:cstheme="minorHAnsi"/>
        </w:rPr>
        <w:t>. In numerous instances, due to this legal void, institutions still resort to referencing provisions from the previous law when dealing with diverse elements encompassed by the current legislation.</w:t>
      </w:r>
    </w:p>
    <w:p w14:paraId="4D41F771" w14:textId="43EDA9AF" w:rsidR="007D6556" w:rsidRPr="00FE0A0D" w:rsidRDefault="00604BCC" w:rsidP="008B4C49">
      <w:pPr>
        <w:spacing w:line="240" w:lineRule="auto"/>
        <w:ind w:left="360"/>
        <w:jc w:val="both"/>
        <w:rPr>
          <w:rFonts w:cstheme="minorHAnsi"/>
        </w:rPr>
      </w:pPr>
      <w:r w:rsidRPr="00FE0A0D">
        <w:rPr>
          <w:rFonts w:cstheme="minorHAnsi"/>
          <w:b/>
          <w:bCs/>
          <w:sz w:val="24"/>
          <w:szCs w:val="24"/>
          <w:u w:val="single"/>
        </w:rPr>
        <w:t>1.5</w:t>
      </w:r>
      <w:r w:rsidR="007D6556" w:rsidRPr="00FE0A0D">
        <w:rPr>
          <w:rFonts w:cstheme="minorHAnsi"/>
          <w:b/>
          <w:bCs/>
          <w:sz w:val="24"/>
          <w:szCs w:val="24"/>
          <w:u w:val="single"/>
        </w:rPr>
        <w:t>Article 12 – Social Care (with a focus on medical care)</w:t>
      </w:r>
    </w:p>
    <w:p w14:paraId="1C67D52F" w14:textId="1A4AE9DE" w:rsidR="0091523D" w:rsidRPr="00FE0A0D" w:rsidRDefault="008E4957" w:rsidP="0091523D">
      <w:pPr>
        <w:pStyle w:val="ListParagraph"/>
        <w:numPr>
          <w:ilvl w:val="0"/>
          <w:numId w:val="6"/>
        </w:numPr>
        <w:spacing w:line="240" w:lineRule="auto"/>
        <w:jc w:val="both"/>
        <w:rPr>
          <w:rFonts w:cstheme="minorHAnsi"/>
        </w:rPr>
      </w:pPr>
      <w:r w:rsidRPr="00FE0A0D">
        <w:rPr>
          <w:rFonts w:cstheme="minorHAnsi"/>
        </w:rPr>
        <w:t>Law No. 10 138, dated 11.05.2009 "On public health"</w:t>
      </w:r>
      <w:r w:rsidR="008B4C49" w:rsidRPr="00FE0A0D">
        <w:rPr>
          <w:rStyle w:val="FootnoteReference"/>
          <w:rFonts w:cstheme="minorHAnsi"/>
        </w:rPr>
        <w:footnoteReference w:id="15"/>
      </w:r>
      <w:r w:rsidRPr="00FE0A0D">
        <w:rPr>
          <w:rFonts w:cstheme="minorHAnsi"/>
        </w:rPr>
        <w:t xml:space="preserve">- Article 1 of the law explicitly defines the application of its provisions to the entire population in the Republic of Albania. The general approach is maintained throughout the content of this law, which fails to specifically address the SOGIESC grounds and the issue of discrimination by medical staff towards marginalized communities; </w:t>
      </w:r>
    </w:p>
    <w:p w14:paraId="47010068" w14:textId="01BBC45D" w:rsidR="0091523D" w:rsidRPr="00FE0A0D" w:rsidRDefault="0086573D" w:rsidP="0091523D">
      <w:pPr>
        <w:pStyle w:val="ListParagraph"/>
        <w:numPr>
          <w:ilvl w:val="0"/>
          <w:numId w:val="6"/>
        </w:numPr>
        <w:spacing w:line="240" w:lineRule="auto"/>
        <w:jc w:val="both"/>
        <w:rPr>
          <w:rFonts w:cstheme="minorHAnsi"/>
        </w:rPr>
      </w:pPr>
      <w:r w:rsidRPr="00FE0A0D">
        <w:rPr>
          <w:rFonts w:cstheme="minorHAnsi"/>
        </w:rPr>
        <w:t>Law no. 8876, dated 04.04.2002 "On reproductive health"</w:t>
      </w:r>
      <w:r w:rsidR="008B4C49" w:rsidRPr="00FE0A0D">
        <w:rPr>
          <w:rStyle w:val="FootnoteReference"/>
          <w:rFonts w:cstheme="minorHAnsi"/>
        </w:rPr>
        <w:footnoteReference w:id="16"/>
      </w:r>
      <w:r w:rsidR="008E4957" w:rsidRPr="00FE0A0D">
        <w:rPr>
          <w:rFonts w:cstheme="minorHAnsi"/>
        </w:rPr>
        <w:t xml:space="preserve">- </w:t>
      </w:r>
      <w:r w:rsidRPr="00FE0A0D">
        <w:rPr>
          <w:rFonts w:cstheme="minorHAnsi"/>
        </w:rPr>
        <w:t>This law addresses the problems that may arise in relation to reproductive health and guarantees the provision of reproductive health care service for every individual. It does not express any point regarding the prohibition of discrimination in benefiting of the guarantees it offers due to sexual orientation</w:t>
      </w:r>
      <w:r w:rsidR="008E4957" w:rsidRPr="00FE0A0D">
        <w:rPr>
          <w:rFonts w:cstheme="minorHAnsi"/>
        </w:rPr>
        <w:t xml:space="preserve">, </w:t>
      </w:r>
      <w:r w:rsidRPr="00FE0A0D">
        <w:rPr>
          <w:rFonts w:cstheme="minorHAnsi"/>
        </w:rPr>
        <w:t xml:space="preserve">gender identity </w:t>
      </w:r>
      <w:r w:rsidR="008E4957" w:rsidRPr="00FE0A0D">
        <w:rPr>
          <w:rFonts w:cstheme="minorHAnsi"/>
        </w:rPr>
        <w:t xml:space="preserve">and expression or sex characteristics, </w:t>
      </w:r>
      <w:r w:rsidRPr="00FE0A0D">
        <w:rPr>
          <w:rFonts w:cstheme="minorHAnsi"/>
        </w:rPr>
        <w:t>and does not address any issues that may arise as a result of discrimination or differentiated treatment of LGBTI+ individuals by medical staff, creating ambiguity and space for the violations.</w:t>
      </w:r>
    </w:p>
    <w:p w14:paraId="2EBEC9E5" w14:textId="77777777" w:rsidR="0091523D" w:rsidRPr="00FE0A0D" w:rsidRDefault="00F943AE" w:rsidP="0091523D">
      <w:pPr>
        <w:pStyle w:val="ListParagraph"/>
        <w:numPr>
          <w:ilvl w:val="0"/>
          <w:numId w:val="6"/>
        </w:numPr>
        <w:spacing w:line="240" w:lineRule="auto"/>
        <w:jc w:val="both"/>
        <w:rPr>
          <w:rFonts w:cstheme="minorHAnsi"/>
        </w:rPr>
      </w:pPr>
      <w:r w:rsidRPr="00FE0A0D">
        <w:rPr>
          <w:rFonts w:cstheme="minorHAnsi"/>
        </w:rPr>
        <w:t xml:space="preserve">From the survey conducted with LGBTI+ persons, in the frame of this report, </w:t>
      </w:r>
      <w:r w:rsidR="0027487C" w:rsidRPr="00FE0A0D">
        <w:rPr>
          <w:rFonts w:cstheme="minorHAnsi"/>
        </w:rPr>
        <w:t>20</w:t>
      </w:r>
      <w:r w:rsidRPr="00FE0A0D">
        <w:rPr>
          <w:rFonts w:cstheme="minorHAnsi"/>
        </w:rPr>
        <w:t>% of the participants stated that they had not had the opportunity to access the medical services that they needed or had accessed them only after they were accompanied by other persons. Of the nearly 8</w:t>
      </w:r>
      <w:r w:rsidR="0027487C" w:rsidRPr="00FE0A0D">
        <w:rPr>
          <w:rFonts w:cstheme="minorHAnsi"/>
        </w:rPr>
        <w:t>0</w:t>
      </w:r>
      <w:r w:rsidRPr="00FE0A0D">
        <w:rPr>
          <w:rFonts w:cstheme="minorHAnsi"/>
        </w:rPr>
        <w:t>% of participants who said they had received medical care in recent years, 1</w:t>
      </w:r>
      <w:r w:rsidR="0027487C" w:rsidRPr="00FE0A0D">
        <w:rPr>
          <w:rFonts w:cstheme="minorHAnsi"/>
        </w:rPr>
        <w:t>6</w:t>
      </w:r>
      <w:r w:rsidRPr="00FE0A0D">
        <w:rPr>
          <w:rFonts w:cstheme="minorHAnsi"/>
        </w:rPr>
        <w:t xml:space="preserve">% said they had been discriminated against by medical staff during their visits, while </w:t>
      </w:r>
      <w:r w:rsidR="0027487C" w:rsidRPr="00FE0A0D">
        <w:rPr>
          <w:rFonts w:cstheme="minorHAnsi"/>
        </w:rPr>
        <w:t>30</w:t>
      </w:r>
      <w:r w:rsidRPr="00FE0A0D">
        <w:rPr>
          <w:rFonts w:cstheme="minorHAnsi"/>
        </w:rPr>
        <w:t>% said they didn't feel comfortable receiving the services because of the feeling of fear and anxiety that they would be discriminated against, prejudiced or even violated in the premises of health care institutions. Regarding sexual and reproductive health visits, 64% of the surveyed community members said that they had not made such visits in the last 4 years, and/or had deliberately avoided them even though they thought they were needed, due to the fear that they would face misunderstandings from the staff, the fear of maintaining confidentiality, but also because of their economic difficulties. About 20% of respondents said that they suffer from permanent pathologies or chronic diseases, and as a result they'd need to visit health institutions more than 7 times a year, making them a frequent target of potential discrimination or violence which they face in these environments.</w:t>
      </w:r>
      <w:r w:rsidR="0091523D" w:rsidRPr="00FE0A0D">
        <w:rPr>
          <w:rFonts w:cstheme="minorHAnsi"/>
        </w:rPr>
        <w:t xml:space="preserve"> </w:t>
      </w:r>
    </w:p>
    <w:p w14:paraId="36D99D37" w14:textId="77777777" w:rsidR="0091523D" w:rsidRPr="00FE0A0D" w:rsidRDefault="00C655F5" w:rsidP="0091523D">
      <w:pPr>
        <w:pStyle w:val="ListParagraph"/>
        <w:numPr>
          <w:ilvl w:val="0"/>
          <w:numId w:val="6"/>
        </w:numPr>
        <w:spacing w:line="240" w:lineRule="auto"/>
        <w:jc w:val="both"/>
        <w:rPr>
          <w:rFonts w:cstheme="minorHAnsi"/>
        </w:rPr>
      </w:pPr>
      <w:r w:rsidRPr="00FE0A0D">
        <w:rPr>
          <w:rFonts w:cstheme="minorHAnsi"/>
        </w:rPr>
        <w:t xml:space="preserve">Currently in Albania there is no possibility to undergo hormonal therapies or sex reassignment surgeries, a fact that is emphasized in the report of the Commissioner for Human Rights-"Discrimination on the basis of sexual orientation, and gender identity in Europe”, where Albania is ranked as one of the countries where predictions for specific treatments performed on transgender people are non-existent, and where rehabilitation costs after such interventions are </w:t>
      </w:r>
      <w:r w:rsidRPr="00FE0A0D">
        <w:rPr>
          <w:rFonts w:cstheme="minorHAnsi"/>
        </w:rPr>
        <w:lastRenderedPageBreak/>
        <w:t>extremely problematic</w:t>
      </w:r>
      <w:r w:rsidRPr="00FE0A0D">
        <w:rPr>
          <w:rFonts w:cstheme="minorHAnsi"/>
          <w:vertAlign w:val="superscript"/>
        </w:rPr>
        <w:footnoteReference w:id="17"/>
      </w:r>
      <w:r w:rsidRPr="00FE0A0D">
        <w:rPr>
          <w:rFonts w:cstheme="minorHAnsi"/>
        </w:rPr>
        <w:t>. The study of the Danish Institute for Human Rights also emphasizes the fact that the national health scheme in Albania does not cover sex reassignment surgeries, and that Albanian hospitals are not technically prepared to perform these interventions</w:t>
      </w:r>
      <w:r w:rsidRPr="00FE0A0D">
        <w:rPr>
          <w:rFonts w:cstheme="minorHAnsi"/>
          <w:vertAlign w:val="superscript"/>
        </w:rPr>
        <w:footnoteReference w:id="18"/>
      </w:r>
      <w:r w:rsidRPr="00FE0A0D">
        <w:rPr>
          <w:rFonts w:cstheme="minorHAnsi"/>
        </w:rPr>
        <w:t>.</w:t>
      </w:r>
    </w:p>
    <w:p w14:paraId="3CB47FC7" w14:textId="56F00D8D" w:rsidR="007173E8" w:rsidRPr="00FE0A0D" w:rsidRDefault="007173E8" w:rsidP="007173E8">
      <w:pPr>
        <w:pStyle w:val="ListParagraph"/>
        <w:numPr>
          <w:ilvl w:val="0"/>
          <w:numId w:val="6"/>
        </w:numPr>
        <w:rPr>
          <w:rFonts w:cstheme="minorHAnsi"/>
        </w:rPr>
      </w:pPr>
      <w:r w:rsidRPr="00FE0A0D">
        <w:rPr>
          <w:rFonts w:cstheme="minorHAnsi"/>
        </w:rPr>
        <w:t xml:space="preserve">Since two years ago, </w:t>
      </w:r>
      <w:proofErr w:type="spellStart"/>
      <w:r w:rsidRPr="00FE0A0D">
        <w:rPr>
          <w:rFonts w:cstheme="minorHAnsi"/>
        </w:rPr>
        <w:t>Aleanca</w:t>
      </w:r>
      <w:proofErr w:type="spellEnd"/>
      <w:r w:rsidRPr="00FE0A0D">
        <w:rPr>
          <w:rFonts w:cstheme="minorHAnsi"/>
        </w:rPr>
        <w:t xml:space="preserve"> has advocated with the Ministry of Health to begin work on establishing a medical protocol for transgender people. This procedure will make it possible for transgender people in Albania to access hormone therapy. Work on the protocol's drafting by the working committee began in July 2023</w:t>
      </w:r>
      <w:r w:rsidR="00FE0A0D">
        <w:rPr>
          <w:rFonts w:cstheme="minorHAnsi"/>
        </w:rPr>
        <w:t xml:space="preserve"> and the final draft of protocol was concluded in May 2024</w:t>
      </w:r>
      <w:r w:rsidRPr="00FE0A0D">
        <w:rPr>
          <w:rFonts w:cstheme="minorHAnsi"/>
        </w:rPr>
        <w:t xml:space="preserve">. </w:t>
      </w:r>
      <w:r w:rsidR="00521129">
        <w:rPr>
          <w:rFonts w:cstheme="minorHAnsi"/>
        </w:rPr>
        <w:t>The protocol is still waiting for official approval.</w:t>
      </w:r>
      <w:r w:rsidRPr="00FE0A0D">
        <w:rPr>
          <w:rFonts w:cstheme="minorHAnsi"/>
        </w:rPr>
        <w:t xml:space="preserve">  </w:t>
      </w:r>
    </w:p>
    <w:p w14:paraId="19AE370A" w14:textId="01087671" w:rsidR="0091523D" w:rsidRPr="00FE0A0D" w:rsidRDefault="0091523D" w:rsidP="007173E8">
      <w:pPr>
        <w:pStyle w:val="ListParagraph"/>
        <w:spacing w:line="240" w:lineRule="auto"/>
        <w:jc w:val="both"/>
        <w:rPr>
          <w:rFonts w:cstheme="minorHAnsi"/>
        </w:rPr>
      </w:pPr>
    </w:p>
    <w:p w14:paraId="0D38EDFB" w14:textId="77777777" w:rsidR="0091523D" w:rsidRPr="00FE0A0D" w:rsidRDefault="00C22E9D" w:rsidP="0091523D">
      <w:pPr>
        <w:pStyle w:val="ListParagraph"/>
        <w:numPr>
          <w:ilvl w:val="0"/>
          <w:numId w:val="6"/>
        </w:numPr>
        <w:spacing w:line="240" w:lineRule="auto"/>
        <w:jc w:val="both"/>
        <w:rPr>
          <w:rFonts w:cstheme="minorHAnsi"/>
        </w:rPr>
      </w:pPr>
      <w:r w:rsidRPr="00FE0A0D">
        <w:rPr>
          <w:rFonts w:cstheme="minorHAnsi"/>
        </w:rPr>
        <w:t>The situation of intersex individuals remains extremely vague, as the exact figures regarding the number of intersex born babies remain unclear, and so does the information about the surgeries performed on them. A series of laws</w:t>
      </w:r>
      <w:r w:rsidRPr="00FE0A0D">
        <w:rPr>
          <w:rFonts w:cstheme="minorHAnsi"/>
          <w:vertAlign w:val="superscript"/>
        </w:rPr>
        <w:footnoteReference w:id="19"/>
      </w:r>
      <w:r w:rsidRPr="00FE0A0D">
        <w:rPr>
          <w:rFonts w:cstheme="minorHAnsi"/>
        </w:rPr>
        <w:t xml:space="preserve"> stipulates that persons undergoing surgical interventions in the Republic of Albania must give their expressed consent, but in the case of intersex infants the interventions are performed at a very young age, when the individual does not have the legal capacity to give this consent. Only in 2020, the Ministry of Health and Social Protection approved the "Medical Protocol for the Assessment of Children with Atypical Genital Development," which is currently the only official document aimed at safeguarding bodily integrity and the rights of intersex infants. This Protocol, however, does not provide adequate protection against the challenges faced by intersex individuals in the country, as Albania currently lacks a law that enforces a blanket ban on non-consensual and non-therapeutic surgeries on intersex infants.</w:t>
      </w:r>
    </w:p>
    <w:p w14:paraId="72FE3CF6" w14:textId="77777777" w:rsidR="0091523D" w:rsidRPr="00FE0A0D" w:rsidRDefault="00F943AE" w:rsidP="0091523D">
      <w:pPr>
        <w:pStyle w:val="ListParagraph"/>
        <w:numPr>
          <w:ilvl w:val="0"/>
          <w:numId w:val="6"/>
        </w:numPr>
        <w:spacing w:line="240" w:lineRule="auto"/>
        <w:jc w:val="both"/>
        <w:rPr>
          <w:rFonts w:cstheme="minorHAnsi"/>
        </w:rPr>
      </w:pPr>
      <w:r w:rsidRPr="00FE0A0D">
        <w:rPr>
          <w:rFonts w:cstheme="minorHAnsi"/>
        </w:rPr>
        <w:t>The lack of retroviral medications (</w:t>
      </w:r>
      <w:proofErr w:type="spellStart"/>
      <w:r w:rsidRPr="00FE0A0D">
        <w:rPr>
          <w:rFonts w:cstheme="minorHAnsi"/>
        </w:rPr>
        <w:t>P</w:t>
      </w:r>
      <w:r w:rsidR="007B264A" w:rsidRPr="00FE0A0D">
        <w:rPr>
          <w:rFonts w:cstheme="minorHAnsi"/>
        </w:rPr>
        <w:t>rEP</w:t>
      </w:r>
      <w:proofErr w:type="spellEnd"/>
      <w:r w:rsidRPr="00FE0A0D">
        <w:rPr>
          <w:rFonts w:cstheme="minorHAnsi"/>
        </w:rPr>
        <w:t xml:space="preserve"> and P</w:t>
      </w:r>
      <w:r w:rsidR="007B264A" w:rsidRPr="00FE0A0D">
        <w:rPr>
          <w:rFonts w:cstheme="minorHAnsi"/>
        </w:rPr>
        <w:t>E</w:t>
      </w:r>
      <w:r w:rsidRPr="00FE0A0D">
        <w:rPr>
          <w:rFonts w:cstheme="minorHAnsi"/>
        </w:rPr>
        <w:t>P) still remains an obvious problem</w:t>
      </w:r>
      <w:r w:rsidRPr="00FE0A0D">
        <w:rPr>
          <w:rFonts w:cstheme="minorHAnsi"/>
          <w:vertAlign w:val="superscript"/>
        </w:rPr>
        <w:footnoteReference w:id="20"/>
      </w:r>
      <w:r w:rsidRPr="00FE0A0D">
        <w:rPr>
          <w:rFonts w:cstheme="minorHAnsi"/>
        </w:rPr>
        <w:t>. For years, Albania has not been able to buy and import the necessary retroviral drugs in a timely manner, which should be taken continuously and uninterruptedly by HIV patients, who during the periods when the drugs are missing are forced to change the treatment schemes, to the detriment of their health and quality of life. In addition to the lack of retroviral drugs for long periods of time, individuals with HIV also face a lack of CD4 testing for viral load and virus resistance, forcing them to perform tests at extremely high costs near private clinics. Although Albania is considered a country with a low prevalence of the virus, the number of deaths related to HIV in the country is alarming. LGBTI and HIV+ individuals remain the category most affected by discrimination due to their HIV+ status, being subjects of double stigma, fear of discrimination, and exclusion</w:t>
      </w:r>
      <w:r w:rsidRPr="00FE0A0D">
        <w:rPr>
          <w:rFonts w:cstheme="minorHAnsi"/>
          <w:vertAlign w:val="superscript"/>
        </w:rPr>
        <w:footnoteReference w:id="21"/>
      </w:r>
      <w:r w:rsidRPr="00FE0A0D">
        <w:rPr>
          <w:rFonts w:cstheme="minorHAnsi"/>
        </w:rPr>
        <w:t>.</w:t>
      </w:r>
    </w:p>
    <w:p w14:paraId="14151C4F" w14:textId="38FB26E7" w:rsidR="00F943AE" w:rsidRPr="00FE0A0D" w:rsidRDefault="00F943AE" w:rsidP="0091523D">
      <w:pPr>
        <w:pStyle w:val="ListParagraph"/>
        <w:numPr>
          <w:ilvl w:val="0"/>
          <w:numId w:val="6"/>
        </w:numPr>
        <w:spacing w:line="240" w:lineRule="auto"/>
        <w:jc w:val="both"/>
        <w:rPr>
          <w:rFonts w:cstheme="minorHAnsi"/>
        </w:rPr>
      </w:pPr>
      <w:r w:rsidRPr="00FE0A0D">
        <w:rPr>
          <w:rFonts w:cstheme="minorHAnsi"/>
        </w:rPr>
        <w:t xml:space="preserve">Another pressing concern within the LGBTI+ community pertains to the realm of health education. Article 12 of the Reproductive Health Law enshrines the right of every individual to health education, encompassing comprehensive information and education on reproductive and sexual rights. Importantly, this right is safeguarded against any restrictions stemming from religion, philosophy, culture, or ideology. Furthermore, Article 13 of the Law on Prevention and Control of HIV/AIDS establishes the Ministry of Education, Sports, and Youth's responsibility to integrate information related to HIV/AIDS prevention and control into school curricula. However, insights garnered from a survey conducted among community members paint a disconcerting picture. Over 80% of respondents expressed a significant dearth of information concerning the sexual and </w:t>
      </w:r>
      <w:r w:rsidRPr="00FE0A0D">
        <w:rPr>
          <w:rFonts w:cstheme="minorHAnsi"/>
        </w:rPr>
        <w:lastRenderedPageBreak/>
        <w:t xml:space="preserve">reproductive health of LGBTI+ individuals. Notably, officially approved textbooks </w:t>
      </w:r>
      <w:r w:rsidR="002A1E91" w:rsidRPr="00FE0A0D">
        <w:rPr>
          <w:rFonts w:cstheme="minorHAnsi"/>
        </w:rPr>
        <w:t>are lacking</w:t>
      </w:r>
      <w:r w:rsidRPr="00FE0A0D">
        <w:rPr>
          <w:rFonts w:cstheme="minorHAnsi"/>
        </w:rPr>
        <w:t xml:space="preserve"> coverage of issues oriented toward the LGBTI+ community.</w:t>
      </w:r>
      <w:r w:rsidR="002A1E91" w:rsidRPr="00FE0A0D">
        <w:rPr>
          <w:rFonts w:cstheme="minorHAnsi"/>
        </w:rPr>
        <w:t xml:space="preserve"> </w:t>
      </w:r>
      <w:r w:rsidRPr="00FE0A0D">
        <w:rPr>
          <w:rFonts w:cstheme="minorHAnsi"/>
        </w:rPr>
        <w:t xml:space="preserve">Consequently, there exists a conspicuous deficiency in specialized sexual and reproductive health education tailored to LGBTI+ persons compared to their heterosexual peers. This deficit puts </w:t>
      </w:r>
      <w:r w:rsidR="002A1E91" w:rsidRPr="00FE0A0D">
        <w:rPr>
          <w:rFonts w:cstheme="minorHAnsi"/>
        </w:rPr>
        <w:t>LGBTI</w:t>
      </w:r>
      <w:r w:rsidR="00D47A9A" w:rsidRPr="00FE0A0D">
        <w:rPr>
          <w:rFonts w:cstheme="minorHAnsi"/>
        </w:rPr>
        <w:t>+</w:t>
      </w:r>
      <w:r w:rsidR="002A1E91" w:rsidRPr="00FE0A0D">
        <w:rPr>
          <w:rFonts w:cstheme="minorHAnsi"/>
        </w:rPr>
        <w:t xml:space="preserve"> youth</w:t>
      </w:r>
      <w:r w:rsidRPr="00FE0A0D">
        <w:rPr>
          <w:rFonts w:cstheme="minorHAnsi"/>
        </w:rPr>
        <w:t xml:space="preserve"> at heightened risk of contracting sexually transmitted diseases, infections, and engaging in unsafe sexual behaviors.</w:t>
      </w:r>
    </w:p>
    <w:p w14:paraId="4979D75E" w14:textId="7CB02EFF" w:rsidR="007D6556" w:rsidRPr="00FE0A0D" w:rsidRDefault="00604BCC" w:rsidP="0091523D">
      <w:pPr>
        <w:spacing w:line="240" w:lineRule="auto"/>
        <w:jc w:val="both"/>
        <w:rPr>
          <w:rFonts w:cstheme="minorHAnsi"/>
          <w:b/>
          <w:bCs/>
          <w:sz w:val="24"/>
          <w:szCs w:val="24"/>
          <w:u w:val="single"/>
        </w:rPr>
      </w:pPr>
      <w:r w:rsidRPr="00FE0A0D">
        <w:rPr>
          <w:rFonts w:cstheme="minorHAnsi"/>
          <w:b/>
          <w:bCs/>
          <w:sz w:val="24"/>
          <w:szCs w:val="24"/>
          <w:u w:val="single"/>
        </w:rPr>
        <w:t>1.6</w:t>
      </w:r>
      <w:r w:rsidR="007D6556" w:rsidRPr="00FE0A0D">
        <w:rPr>
          <w:rFonts w:cstheme="minorHAnsi"/>
          <w:b/>
          <w:bCs/>
          <w:sz w:val="24"/>
          <w:szCs w:val="24"/>
          <w:u w:val="single"/>
        </w:rPr>
        <w:t>Articles 13 - 14 – The right to education</w:t>
      </w:r>
    </w:p>
    <w:p w14:paraId="7DDB273A" w14:textId="06A9BE6E" w:rsidR="0091523D" w:rsidRPr="00FE0A0D" w:rsidRDefault="00EE70F2" w:rsidP="0091523D">
      <w:pPr>
        <w:pStyle w:val="ListParagraph"/>
        <w:numPr>
          <w:ilvl w:val="0"/>
          <w:numId w:val="6"/>
        </w:numPr>
        <w:spacing w:line="240" w:lineRule="auto"/>
        <w:jc w:val="both"/>
        <w:rPr>
          <w:rFonts w:cstheme="minorHAnsi"/>
        </w:rPr>
      </w:pPr>
      <w:r w:rsidRPr="00FE0A0D">
        <w:rPr>
          <w:rFonts w:cstheme="minorHAnsi"/>
        </w:rPr>
        <w:t>LGBTI</w:t>
      </w:r>
      <w:r w:rsidR="00D47A9A" w:rsidRPr="00FE0A0D">
        <w:rPr>
          <w:rFonts w:cstheme="minorHAnsi"/>
        </w:rPr>
        <w:t xml:space="preserve">+ </w:t>
      </w:r>
      <w:r w:rsidRPr="00FE0A0D">
        <w:rPr>
          <w:rFonts w:cstheme="minorHAnsi"/>
        </w:rPr>
        <w:t>individuals often face hurdles accessing education due to their sexual orientation, gender identity, and sex characteristics</w:t>
      </w:r>
      <w:r w:rsidR="00D81E61" w:rsidRPr="00FE0A0D">
        <w:rPr>
          <w:rFonts w:cstheme="minorHAnsi"/>
          <w:vertAlign w:val="superscript"/>
        </w:rPr>
        <w:footnoteReference w:id="22"/>
      </w:r>
      <w:r w:rsidRPr="00FE0A0D">
        <w:rPr>
          <w:rFonts w:cstheme="minorHAnsi"/>
        </w:rPr>
        <w:t>. From our questionnaire data, it's clear that 30% of those unable to complete compulsory education cited discrimination and economic challenges as key factors. Additionally, 25% encountered difficulties accessing high school, with 53% knowing other LGBTI</w:t>
      </w:r>
      <w:r w:rsidR="00D47A9A" w:rsidRPr="00FE0A0D">
        <w:rPr>
          <w:rFonts w:cstheme="minorHAnsi"/>
        </w:rPr>
        <w:t>+</w:t>
      </w:r>
      <w:r w:rsidRPr="00FE0A0D">
        <w:rPr>
          <w:rFonts w:cstheme="minorHAnsi"/>
        </w:rPr>
        <w:t xml:space="preserve"> individuals who faced similar hurdles.</w:t>
      </w:r>
    </w:p>
    <w:p w14:paraId="6B7AE837" w14:textId="3EEAE678" w:rsidR="0091523D" w:rsidRPr="00FE0A0D" w:rsidRDefault="00EE70F2" w:rsidP="0091523D">
      <w:pPr>
        <w:pStyle w:val="ListParagraph"/>
        <w:numPr>
          <w:ilvl w:val="0"/>
          <w:numId w:val="6"/>
        </w:numPr>
        <w:spacing w:line="240" w:lineRule="auto"/>
        <w:jc w:val="both"/>
        <w:rPr>
          <w:rFonts w:cstheme="minorHAnsi"/>
        </w:rPr>
      </w:pPr>
      <w:r w:rsidRPr="00FE0A0D">
        <w:rPr>
          <w:rFonts w:cstheme="minorHAnsi"/>
        </w:rPr>
        <w:t>Educational environments emerge as the primary spaces for LGBTI</w:t>
      </w:r>
      <w:r w:rsidR="00D47A9A" w:rsidRPr="00FE0A0D">
        <w:rPr>
          <w:rFonts w:cstheme="minorHAnsi"/>
        </w:rPr>
        <w:t>+</w:t>
      </w:r>
      <w:r w:rsidRPr="00FE0A0D">
        <w:rPr>
          <w:rFonts w:cstheme="minorHAnsi"/>
        </w:rPr>
        <w:t xml:space="preserve"> discrimination, backed by annual reports and recent survey results.</w:t>
      </w:r>
      <w:r w:rsidR="00D81E61" w:rsidRPr="00FE0A0D">
        <w:rPr>
          <w:rFonts w:cstheme="minorHAnsi"/>
        </w:rPr>
        <w:t xml:space="preserve"> Despite efforts to train educational staff within the framework of the National Action Plans (2016-202</w:t>
      </w:r>
      <w:r w:rsidR="00FE0A0D">
        <w:rPr>
          <w:rFonts w:cstheme="minorHAnsi"/>
        </w:rPr>
        <w:t>4</w:t>
      </w:r>
      <w:r w:rsidR="00D81E61" w:rsidRPr="00FE0A0D">
        <w:rPr>
          <w:rFonts w:cstheme="minorHAnsi"/>
        </w:rPr>
        <w:t xml:space="preserve">), about 63% of respondents believe that teachers and school principals remain uninformed about LGBTI+ issues. </w:t>
      </w:r>
      <w:r w:rsidRPr="00FE0A0D">
        <w:rPr>
          <w:rFonts w:cstheme="minorHAnsi"/>
        </w:rPr>
        <w:t xml:space="preserve"> Over five years, </w:t>
      </w:r>
      <w:r w:rsidR="004D5929" w:rsidRPr="00FE0A0D">
        <w:rPr>
          <w:rFonts w:cstheme="minorHAnsi"/>
        </w:rPr>
        <w:t>25</w:t>
      </w:r>
      <w:r w:rsidRPr="00FE0A0D">
        <w:rPr>
          <w:rFonts w:cstheme="minorHAnsi"/>
        </w:rPr>
        <w:t xml:space="preserve"> cases reported to the LGBT</w:t>
      </w:r>
      <w:r w:rsidR="00D47A9A" w:rsidRPr="00FE0A0D">
        <w:rPr>
          <w:rFonts w:cstheme="minorHAnsi"/>
        </w:rPr>
        <w:t>I</w:t>
      </w:r>
      <w:r w:rsidRPr="00FE0A0D">
        <w:rPr>
          <w:rFonts w:cstheme="minorHAnsi"/>
        </w:rPr>
        <w:t xml:space="preserve"> Alliance involve individuals leaving education due to bullying and societal pressure</w:t>
      </w:r>
      <w:r w:rsidR="00D81E61" w:rsidRPr="00FE0A0D">
        <w:rPr>
          <w:rFonts w:cstheme="minorHAnsi"/>
          <w:vertAlign w:val="superscript"/>
        </w:rPr>
        <w:footnoteReference w:id="23"/>
      </w:r>
      <w:r w:rsidRPr="00FE0A0D">
        <w:rPr>
          <w:rFonts w:cstheme="minorHAnsi"/>
        </w:rPr>
        <w:t>. 80.2% never reported discrimination due to fear of exposure and further mistreatment.</w:t>
      </w:r>
    </w:p>
    <w:p w14:paraId="463246A7" w14:textId="03679DA7" w:rsidR="00EE70F2" w:rsidRPr="00FE0A0D" w:rsidRDefault="00EE70F2" w:rsidP="0091523D">
      <w:pPr>
        <w:pStyle w:val="ListParagraph"/>
        <w:numPr>
          <w:ilvl w:val="0"/>
          <w:numId w:val="6"/>
        </w:numPr>
        <w:spacing w:line="240" w:lineRule="auto"/>
        <w:jc w:val="both"/>
        <w:rPr>
          <w:rFonts w:cstheme="minorHAnsi"/>
        </w:rPr>
      </w:pPr>
      <w:r w:rsidRPr="00FE0A0D">
        <w:rPr>
          <w:rFonts w:cstheme="minorHAnsi"/>
        </w:rPr>
        <w:t>Current curricula fall short in providing informative content for the LGBTI+ community. Sex education from a heteronormative stance leaves LGBTI+ individuals with fragmented knowledge about relevant issues. 93%</w:t>
      </w:r>
      <w:r w:rsidR="00D81E61" w:rsidRPr="00FE0A0D">
        <w:rPr>
          <w:rFonts w:cstheme="minorHAnsi"/>
        </w:rPr>
        <w:t xml:space="preserve"> of LGBTI respondents</w:t>
      </w:r>
      <w:r w:rsidRPr="00FE0A0D">
        <w:rPr>
          <w:rFonts w:cstheme="minorHAnsi"/>
        </w:rPr>
        <w:t xml:space="preserve"> expressed certainty that school curricula lack</w:t>
      </w:r>
      <w:r w:rsidR="00D81E61" w:rsidRPr="00FE0A0D">
        <w:rPr>
          <w:rFonts w:cstheme="minorHAnsi"/>
        </w:rPr>
        <w:t>ed</w:t>
      </w:r>
      <w:r w:rsidRPr="00FE0A0D">
        <w:rPr>
          <w:rFonts w:cstheme="minorHAnsi"/>
        </w:rPr>
        <w:t xml:space="preserve"> accurate LGBTI+ information during their education.</w:t>
      </w:r>
    </w:p>
    <w:p w14:paraId="3917B8BB" w14:textId="28BE5654" w:rsidR="00F532F3" w:rsidRPr="00FE0A0D" w:rsidRDefault="00F532F3" w:rsidP="0091523D">
      <w:pPr>
        <w:pStyle w:val="ListParagraph"/>
        <w:numPr>
          <w:ilvl w:val="0"/>
          <w:numId w:val="6"/>
        </w:numPr>
        <w:spacing w:line="240" w:lineRule="auto"/>
        <w:jc w:val="both"/>
        <w:rPr>
          <w:rFonts w:cstheme="minorHAnsi"/>
        </w:rPr>
      </w:pPr>
      <w:r w:rsidRPr="00FE0A0D">
        <w:rPr>
          <w:rFonts w:cstheme="minorHAnsi"/>
        </w:rPr>
        <w:t>Given the fact that in a democratic society working through a regular employment contract is the only way to earn legal incomes and to be covered by the health and social insurance fund, we can understand that about 70% of our respondents are currently uninsured and in an unstable economic situation, which complicates their strive for financial independence.</w:t>
      </w:r>
    </w:p>
    <w:p w14:paraId="3DFF429B" w14:textId="77777777" w:rsidR="007A2B2A" w:rsidRPr="00FE0A0D" w:rsidRDefault="007A2B2A" w:rsidP="0091523D">
      <w:pPr>
        <w:spacing w:line="240" w:lineRule="auto"/>
        <w:jc w:val="both"/>
        <w:rPr>
          <w:rFonts w:cstheme="minorHAnsi"/>
        </w:rPr>
      </w:pPr>
    </w:p>
    <w:p w14:paraId="0F8D45CA" w14:textId="3AADF0E5" w:rsidR="007D6556" w:rsidRPr="00FE0A0D" w:rsidRDefault="00604BCC" w:rsidP="0091523D">
      <w:pPr>
        <w:spacing w:line="240" w:lineRule="auto"/>
        <w:jc w:val="both"/>
        <w:rPr>
          <w:rFonts w:cstheme="minorHAnsi"/>
          <w:b/>
          <w:bCs/>
          <w:sz w:val="24"/>
          <w:szCs w:val="24"/>
          <w:u w:val="single"/>
        </w:rPr>
      </w:pPr>
      <w:r w:rsidRPr="00FE0A0D">
        <w:rPr>
          <w:rFonts w:cstheme="minorHAnsi"/>
          <w:b/>
          <w:bCs/>
          <w:sz w:val="24"/>
          <w:szCs w:val="24"/>
          <w:u w:val="single"/>
        </w:rPr>
        <w:t>2.</w:t>
      </w:r>
      <w:r w:rsidR="007D6556" w:rsidRPr="00FE0A0D">
        <w:rPr>
          <w:rFonts w:cstheme="minorHAnsi"/>
          <w:b/>
          <w:bCs/>
          <w:sz w:val="24"/>
          <w:szCs w:val="24"/>
          <w:u w:val="single"/>
        </w:rPr>
        <w:t xml:space="preserve">List of recommendations </w:t>
      </w:r>
    </w:p>
    <w:p w14:paraId="1A4F2073" w14:textId="4F9DBC98" w:rsidR="008B2E0C" w:rsidRPr="00FE0A0D" w:rsidRDefault="008B2E0C" w:rsidP="0091523D">
      <w:pPr>
        <w:spacing w:line="240" w:lineRule="auto"/>
        <w:jc w:val="both"/>
        <w:rPr>
          <w:rFonts w:cstheme="minorHAnsi"/>
        </w:rPr>
      </w:pPr>
      <w:r w:rsidRPr="00FE0A0D">
        <w:rPr>
          <w:rFonts w:cstheme="minorHAnsi"/>
        </w:rPr>
        <w:t xml:space="preserve">1. Adopt legislation on the recognition of gender identity and sex characteristics, in close cooperation with civil society organizations, ensuring their effective involvement in public consultation procedures. </w:t>
      </w:r>
    </w:p>
    <w:p w14:paraId="101932C9" w14:textId="655E1A93" w:rsidR="008B2E0C" w:rsidRPr="00FE0A0D" w:rsidRDefault="008B2E0C" w:rsidP="0091523D">
      <w:pPr>
        <w:spacing w:line="240" w:lineRule="auto"/>
        <w:jc w:val="both"/>
        <w:rPr>
          <w:rFonts w:cstheme="minorHAnsi"/>
        </w:rPr>
      </w:pPr>
      <w:r w:rsidRPr="00FE0A0D">
        <w:rPr>
          <w:rFonts w:cstheme="minorHAnsi"/>
        </w:rPr>
        <w:t xml:space="preserve">2. </w:t>
      </w:r>
      <w:r w:rsidR="0091523D" w:rsidRPr="00FE0A0D">
        <w:rPr>
          <w:rFonts w:cstheme="minorHAnsi"/>
        </w:rPr>
        <w:t>Adopt a blanket ban on non-therapeutic surgeries performed on intersex babies, through national legislation</w:t>
      </w:r>
      <w:r w:rsidRPr="00FE0A0D">
        <w:rPr>
          <w:rFonts w:cstheme="minorHAnsi"/>
        </w:rPr>
        <w:t xml:space="preserve">.  </w:t>
      </w:r>
    </w:p>
    <w:p w14:paraId="62808F4E" w14:textId="020BC23B" w:rsidR="008B2E0C" w:rsidRPr="00FE0A0D" w:rsidRDefault="0091523D" w:rsidP="0091523D">
      <w:pPr>
        <w:spacing w:line="240" w:lineRule="auto"/>
        <w:jc w:val="both"/>
        <w:rPr>
          <w:rFonts w:cstheme="minorHAnsi"/>
        </w:rPr>
      </w:pPr>
      <w:r w:rsidRPr="00FE0A0D">
        <w:rPr>
          <w:rFonts w:cstheme="minorHAnsi"/>
        </w:rPr>
        <w:t>3</w:t>
      </w:r>
      <w:r w:rsidR="008B2E0C" w:rsidRPr="00FE0A0D">
        <w:rPr>
          <w:rFonts w:cstheme="minorHAnsi"/>
        </w:rPr>
        <w:t xml:space="preserve">. </w:t>
      </w:r>
      <w:r w:rsidRPr="00FE0A0D">
        <w:rPr>
          <w:rFonts w:cstheme="minorHAnsi"/>
        </w:rPr>
        <w:t>Amend</w:t>
      </w:r>
      <w:r w:rsidR="008B2E0C" w:rsidRPr="00FE0A0D">
        <w:rPr>
          <w:rFonts w:cstheme="minorHAnsi"/>
        </w:rPr>
        <w:t xml:space="preserve"> the law "On HIV/AIDS Prevention", including </w:t>
      </w:r>
      <w:proofErr w:type="spellStart"/>
      <w:r w:rsidRPr="00FE0A0D">
        <w:rPr>
          <w:rFonts w:cstheme="minorHAnsi"/>
        </w:rPr>
        <w:t>PrEP</w:t>
      </w:r>
      <w:proofErr w:type="spellEnd"/>
      <w:r w:rsidRPr="00FE0A0D">
        <w:rPr>
          <w:rFonts w:cstheme="minorHAnsi"/>
        </w:rPr>
        <w:t xml:space="preserve"> and PEP prophylaxis </w:t>
      </w:r>
      <w:r w:rsidR="008B2E0C" w:rsidRPr="00FE0A0D">
        <w:rPr>
          <w:rFonts w:cstheme="minorHAnsi"/>
        </w:rPr>
        <w:t xml:space="preserve">at a national level, and </w:t>
      </w:r>
      <w:r w:rsidR="00047404" w:rsidRPr="00FE0A0D">
        <w:rPr>
          <w:rFonts w:cstheme="minorHAnsi"/>
        </w:rPr>
        <w:t xml:space="preserve">ensure </w:t>
      </w:r>
      <w:r w:rsidR="008B2E0C" w:rsidRPr="00FE0A0D">
        <w:rPr>
          <w:rFonts w:cstheme="minorHAnsi"/>
        </w:rPr>
        <w:t xml:space="preserve">effective access to social assistance for people with HIV/AIDS, respecting the </w:t>
      </w:r>
      <w:r w:rsidRPr="00FE0A0D">
        <w:rPr>
          <w:rFonts w:cstheme="minorHAnsi"/>
        </w:rPr>
        <w:t>data privacy and confidentiality</w:t>
      </w:r>
      <w:r w:rsidR="008B2E0C" w:rsidRPr="00FE0A0D">
        <w:rPr>
          <w:rFonts w:cstheme="minorHAnsi"/>
        </w:rPr>
        <w:t xml:space="preserve"> </w:t>
      </w:r>
      <w:r w:rsidRPr="00FE0A0D">
        <w:rPr>
          <w:rFonts w:cstheme="minorHAnsi"/>
        </w:rPr>
        <w:t>requirements</w:t>
      </w:r>
      <w:r w:rsidR="00EB1927" w:rsidRPr="00FE0A0D">
        <w:rPr>
          <w:rFonts w:cstheme="minorHAnsi"/>
        </w:rPr>
        <w:t>.</w:t>
      </w:r>
      <w:r w:rsidR="008B2E0C" w:rsidRPr="00FE0A0D">
        <w:rPr>
          <w:rFonts w:cstheme="minorHAnsi"/>
        </w:rPr>
        <w:t xml:space="preserve"> </w:t>
      </w:r>
    </w:p>
    <w:p w14:paraId="0285340C" w14:textId="5C248D92" w:rsidR="008B2E0C" w:rsidRPr="00FE0A0D" w:rsidRDefault="00EB1927" w:rsidP="0091523D">
      <w:pPr>
        <w:spacing w:line="240" w:lineRule="auto"/>
        <w:jc w:val="both"/>
        <w:rPr>
          <w:rFonts w:cstheme="minorHAnsi"/>
        </w:rPr>
      </w:pPr>
      <w:r w:rsidRPr="00FE0A0D">
        <w:rPr>
          <w:rFonts w:cstheme="minorHAnsi"/>
        </w:rPr>
        <w:t>4</w:t>
      </w:r>
      <w:r w:rsidR="008B2E0C" w:rsidRPr="00FE0A0D">
        <w:rPr>
          <w:rFonts w:cstheme="minorHAnsi"/>
        </w:rPr>
        <w:t xml:space="preserve">. Adopt legislation that guarantees the right to marriage of same-sex couples, and/or legally recognized </w:t>
      </w:r>
      <w:r w:rsidR="00047404" w:rsidRPr="00FE0A0D">
        <w:rPr>
          <w:rFonts w:cstheme="minorHAnsi"/>
        </w:rPr>
        <w:t xml:space="preserve">partnerships. Provide legal provisions to enable </w:t>
      </w:r>
      <w:r w:rsidRPr="00FE0A0D">
        <w:rPr>
          <w:rFonts w:cstheme="minorHAnsi"/>
        </w:rPr>
        <w:t>the registration of children born from same-sex parents.</w:t>
      </w:r>
    </w:p>
    <w:p w14:paraId="3926FF85" w14:textId="29B8E2B8" w:rsidR="008B2E0C" w:rsidRPr="00FE0A0D" w:rsidRDefault="00EB1927" w:rsidP="0091523D">
      <w:pPr>
        <w:spacing w:line="240" w:lineRule="auto"/>
        <w:jc w:val="both"/>
        <w:rPr>
          <w:rFonts w:cstheme="minorHAnsi"/>
        </w:rPr>
      </w:pPr>
      <w:r w:rsidRPr="00FE0A0D">
        <w:rPr>
          <w:rFonts w:cstheme="minorHAnsi"/>
        </w:rPr>
        <w:lastRenderedPageBreak/>
        <w:t>5.</w:t>
      </w:r>
      <w:r w:rsidR="008B2E0C" w:rsidRPr="00FE0A0D">
        <w:rPr>
          <w:rFonts w:cstheme="minorHAnsi"/>
        </w:rPr>
        <w:t xml:space="preserve"> Updat</w:t>
      </w:r>
      <w:r w:rsidR="00047404" w:rsidRPr="00FE0A0D">
        <w:rPr>
          <w:rFonts w:cstheme="minorHAnsi"/>
        </w:rPr>
        <w:t>e</w:t>
      </w:r>
      <w:r w:rsidR="008B2E0C" w:rsidRPr="00FE0A0D">
        <w:rPr>
          <w:rFonts w:cstheme="minorHAnsi"/>
        </w:rPr>
        <w:t xml:space="preserve"> education curricula with accurate, and impartial information regarding the social, legal, and health perspective on LGBTI+ issues, including information on sexual, and reproductive health, which directly targets LGBTI+ individuals. </w:t>
      </w:r>
    </w:p>
    <w:p w14:paraId="46148F4F" w14:textId="616DE954" w:rsidR="008B2E0C" w:rsidRPr="00FE0A0D" w:rsidRDefault="00EB1927" w:rsidP="0091523D">
      <w:pPr>
        <w:spacing w:line="240" w:lineRule="auto"/>
        <w:jc w:val="both"/>
        <w:rPr>
          <w:rFonts w:cstheme="minorHAnsi"/>
        </w:rPr>
      </w:pPr>
      <w:r w:rsidRPr="00FE0A0D">
        <w:rPr>
          <w:rFonts w:cstheme="minorHAnsi"/>
        </w:rPr>
        <w:t>6</w:t>
      </w:r>
      <w:r w:rsidR="008B2E0C" w:rsidRPr="00FE0A0D">
        <w:rPr>
          <w:rFonts w:cstheme="minorHAnsi"/>
        </w:rPr>
        <w:t xml:space="preserve">. Draft and adopt an individual law on the incitement of discriminatory language, and hate speech, evoking the </w:t>
      </w:r>
      <w:r w:rsidR="00047404" w:rsidRPr="00FE0A0D">
        <w:rPr>
          <w:rFonts w:cstheme="minorHAnsi"/>
        </w:rPr>
        <w:t xml:space="preserve">SOGIESC </w:t>
      </w:r>
      <w:r w:rsidR="008B2E0C" w:rsidRPr="00FE0A0D">
        <w:rPr>
          <w:rFonts w:cstheme="minorHAnsi"/>
        </w:rPr>
        <w:t xml:space="preserve">grounds as causes that legitimize more specialized protection for victims of these crimes. </w:t>
      </w:r>
    </w:p>
    <w:p w14:paraId="54AD4AA6" w14:textId="43E82AAA" w:rsidR="00604BCC" w:rsidRPr="00FE0A0D" w:rsidRDefault="00604BCC" w:rsidP="0091523D">
      <w:pPr>
        <w:spacing w:line="240" w:lineRule="auto"/>
        <w:jc w:val="both"/>
        <w:rPr>
          <w:rFonts w:cstheme="minorHAnsi"/>
        </w:rPr>
      </w:pPr>
      <w:r w:rsidRPr="00FE0A0D">
        <w:rPr>
          <w:rFonts w:cstheme="minorHAnsi"/>
        </w:rPr>
        <w:t>7. Revise the legislation governing audiovisual and online media to include explicit clauses addressing hate speech and discriminatory language, encompassing protection based on SOGIESC grounds</w:t>
      </w:r>
      <w:r w:rsidRPr="00FE0A0D">
        <w:rPr>
          <w:rFonts w:cstheme="minorHAnsi"/>
          <w:color w:val="374151"/>
          <w:shd w:val="clear" w:color="auto" w:fill="F7F7F8"/>
        </w:rPr>
        <w:t>.</w:t>
      </w:r>
    </w:p>
    <w:p w14:paraId="0055A94D" w14:textId="15D1ADB3" w:rsidR="008B2E0C" w:rsidRPr="00FE0A0D" w:rsidRDefault="00604BCC" w:rsidP="0091523D">
      <w:pPr>
        <w:spacing w:line="240" w:lineRule="auto"/>
        <w:jc w:val="both"/>
        <w:rPr>
          <w:rFonts w:cstheme="minorHAnsi"/>
        </w:rPr>
      </w:pPr>
      <w:r w:rsidRPr="00FE0A0D">
        <w:rPr>
          <w:rFonts w:cstheme="minorHAnsi"/>
        </w:rPr>
        <w:t>8.</w:t>
      </w:r>
      <w:r w:rsidR="008B2E0C" w:rsidRPr="00FE0A0D">
        <w:rPr>
          <w:rFonts w:cstheme="minorHAnsi"/>
        </w:rPr>
        <w:t xml:space="preserve"> Increas</w:t>
      </w:r>
      <w:r w:rsidR="00D47A9A" w:rsidRPr="00FE0A0D">
        <w:rPr>
          <w:rFonts w:cstheme="minorHAnsi"/>
        </w:rPr>
        <w:t xml:space="preserve">e </w:t>
      </w:r>
      <w:r w:rsidR="008B2E0C" w:rsidRPr="00FE0A0D">
        <w:rPr>
          <w:rFonts w:cstheme="minorHAnsi"/>
        </w:rPr>
        <w:t xml:space="preserve">the capacity of law enforcement officers in relation to reporting and handling cases of incitement of hatred, and discriminatory language used against the </w:t>
      </w:r>
      <w:r w:rsidR="00D47A9A" w:rsidRPr="00FE0A0D">
        <w:rPr>
          <w:rFonts w:cstheme="minorHAnsi"/>
        </w:rPr>
        <w:t>LGBTI</w:t>
      </w:r>
      <w:r w:rsidR="008B2E0C" w:rsidRPr="00FE0A0D">
        <w:rPr>
          <w:rFonts w:cstheme="minorHAnsi"/>
        </w:rPr>
        <w:t xml:space="preserve">+ community. </w:t>
      </w:r>
    </w:p>
    <w:p w14:paraId="21AE7086" w14:textId="7015127A" w:rsidR="00026416" w:rsidRPr="00FE0A0D" w:rsidRDefault="00604BCC" w:rsidP="0091523D">
      <w:pPr>
        <w:spacing w:line="240" w:lineRule="auto"/>
        <w:jc w:val="both"/>
        <w:rPr>
          <w:rFonts w:cstheme="minorHAnsi"/>
        </w:rPr>
      </w:pPr>
      <w:r w:rsidRPr="00FE0A0D">
        <w:rPr>
          <w:rFonts w:cstheme="minorHAnsi"/>
        </w:rPr>
        <w:t>9.</w:t>
      </w:r>
      <w:r w:rsidR="008B2E0C" w:rsidRPr="00FE0A0D">
        <w:rPr>
          <w:rFonts w:cstheme="minorHAnsi"/>
        </w:rPr>
        <w:t xml:space="preserve"> </w:t>
      </w:r>
      <w:r w:rsidRPr="00FE0A0D">
        <w:rPr>
          <w:rFonts w:cstheme="minorHAnsi"/>
        </w:rPr>
        <w:t>Introduce specific legal framework/provisions on cybercrimes, as a subcategory of hate crimes, and increase the organic capacities within law enforcement agencies, in relation to continuous reporting and prosecution of hate crimes.</w:t>
      </w:r>
    </w:p>
    <w:p w14:paraId="17E6464A" w14:textId="77777777" w:rsidR="00FE0A0D" w:rsidRPr="00FE0A0D" w:rsidRDefault="00FE0A0D" w:rsidP="00FE0A0D">
      <w:pPr>
        <w:spacing w:line="276" w:lineRule="auto"/>
        <w:jc w:val="both"/>
        <w:rPr>
          <w:rFonts w:cstheme="minorHAnsi"/>
          <w:b/>
          <w:bCs/>
          <w:sz w:val="24"/>
          <w:szCs w:val="24"/>
        </w:rPr>
      </w:pPr>
      <w:r w:rsidRPr="00FE0A0D">
        <w:rPr>
          <w:rFonts w:cstheme="minorHAnsi"/>
          <w:b/>
          <w:bCs/>
          <w:sz w:val="24"/>
          <w:szCs w:val="24"/>
        </w:rPr>
        <w:t>Rigorous Implementation of National Action Plan for LGBTI+ Persons 2021-2027:</w:t>
      </w:r>
    </w:p>
    <w:p w14:paraId="78233343" w14:textId="77777777" w:rsidR="00FE0A0D" w:rsidRPr="00FE0A0D" w:rsidRDefault="00FE0A0D" w:rsidP="00FE0A0D">
      <w:pPr>
        <w:pStyle w:val="ListParagraph"/>
        <w:numPr>
          <w:ilvl w:val="0"/>
          <w:numId w:val="18"/>
        </w:numPr>
        <w:spacing w:line="240" w:lineRule="auto"/>
        <w:jc w:val="both"/>
        <w:rPr>
          <w:rFonts w:cstheme="minorHAnsi"/>
        </w:rPr>
      </w:pPr>
      <w:r w:rsidRPr="00FE0A0D">
        <w:rPr>
          <w:rFonts w:cstheme="minorHAnsi"/>
        </w:rPr>
        <w:t>Ensure the rigorous implementation of the National Action Plan for LGBTI+ Persons 2021-2027, with dedicated resources, monitoring mechanisms, and accountability measures to track progress and address challenges effectively.</w:t>
      </w:r>
    </w:p>
    <w:p w14:paraId="79727BE2" w14:textId="77777777" w:rsidR="00FE0A0D" w:rsidRPr="00FE0A0D" w:rsidRDefault="00FE0A0D" w:rsidP="00FE0A0D">
      <w:pPr>
        <w:pStyle w:val="ListParagraph"/>
        <w:numPr>
          <w:ilvl w:val="0"/>
          <w:numId w:val="18"/>
        </w:numPr>
        <w:spacing w:line="240" w:lineRule="auto"/>
        <w:jc w:val="both"/>
        <w:rPr>
          <w:rFonts w:cstheme="minorHAnsi"/>
        </w:rPr>
      </w:pPr>
      <w:r w:rsidRPr="00FE0A0D">
        <w:rPr>
          <w:rFonts w:cstheme="minorHAnsi"/>
        </w:rPr>
        <w:t>Foster collaboration between government agencies, civil society organizations, and international partners to implement the action plan comprehensively, leveraging expertise, resources, and support to advance the rights and well-being of LGBTI+ individuals.</w:t>
      </w:r>
    </w:p>
    <w:p w14:paraId="6DD385A7" w14:textId="77777777" w:rsidR="00FE0A0D" w:rsidRPr="00FE0A0D" w:rsidRDefault="00FE0A0D" w:rsidP="00FE0A0D">
      <w:pPr>
        <w:pStyle w:val="ListParagraph"/>
        <w:numPr>
          <w:ilvl w:val="0"/>
          <w:numId w:val="18"/>
        </w:numPr>
        <w:spacing w:line="240" w:lineRule="auto"/>
        <w:jc w:val="both"/>
        <w:rPr>
          <w:rFonts w:cstheme="minorHAnsi"/>
        </w:rPr>
      </w:pPr>
      <w:r w:rsidRPr="00FE0A0D">
        <w:rPr>
          <w:rFonts w:cstheme="minorHAnsi"/>
        </w:rPr>
        <w:t>Conduct regular evaluations and reviews of the action plan's implementation, soliciting feedback from LGBTI+ communities and stakeholders to identify gaps, adjust strategies, and improve outcomes over time.</w:t>
      </w:r>
    </w:p>
    <w:p w14:paraId="7372D870" w14:textId="05F046A9" w:rsidR="00FE0A0D" w:rsidRPr="00FE0A0D" w:rsidRDefault="00FE0A0D" w:rsidP="00FE0A0D">
      <w:pPr>
        <w:pStyle w:val="ListParagraph"/>
        <w:numPr>
          <w:ilvl w:val="0"/>
          <w:numId w:val="18"/>
        </w:numPr>
        <w:spacing w:line="240" w:lineRule="auto"/>
        <w:jc w:val="both"/>
        <w:rPr>
          <w:rFonts w:cstheme="minorHAnsi"/>
        </w:rPr>
      </w:pPr>
      <w:r w:rsidRPr="00FE0A0D">
        <w:rPr>
          <w:rFonts w:cstheme="minorHAnsi"/>
        </w:rPr>
        <w:t>Promote public awareness and engagement regarding the implementation of the national action plan, ensuring transparency, accountability, and participation in efforts to promote inclusivity, equality, and dignity for all LGBTI+ individuals.</w:t>
      </w:r>
    </w:p>
    <w:sectPr w:rsidR="00FE0A0D" w:rsidRPr="00FE0A0D" w:rsidSect="002973AD">
      <w:headerReference w:type="default" r:id="rId10"/>
      <w:headerReference w:type="first" r:id="rId11"/>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4C922A" w14:textId="77777777" w:rsidR="008D69AB" w:rsidRDefault="008D69AB" w:rsidP="00A858B8">
      <w:pPr>
        <w:spacing w:after="0" w:line="240" w:lineRule="auto"/>
      </w:pPr>
      <w:r>
        <w:separator/>
      </w:r>
    </w:p>
  </w:endnote>
  <w:endnote w:type="continuationSeparator" w:id="0">
    <w:p w14:paraId="705B6996" w14:textId="77777777" w:rsidR="008D69AB" w:rsidRDefault="008D69AB" w:rsidP="00A858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Lato">
    <w:charset w:val="00"/>
    <w:family w:val="swiss"/>
    <w:pitch w:val="variable"/>
    <w:sig w:usb0="E10002FF" w:usb1="5000ECFF" w:usb2="00000021"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0EC3FC" w14:textId="77777777" w:rsidR="008D69AB" w:rsidRDefault="008D69AB" w:rsidP="00A858B8">
      <w:pPr>
        <w:spacing w:after="0" w:line="240" w:lineRule="auto"/>
      </w:pPr>
      <w:r>
        <w:separator/>
      </w:r>
    </w:p>
  </w:footnote>
  <w:footnote w:type="continuationSeparator" w:id="0">
    <w:p w14:paraId="5566F929" w14:textId="77777777" w:rsidR="008D69AB" w:rsidRDefault="008D69AB" w:rsidP="00A858B8">
      <w:pPr>
        <w:spacing w:after="0" w:line="240" w:lineRule="auto"/>
      </w:pPr>
      <w:r>
        <w:continuationSeparator/>
      </w:r>
    </w:p>
  </w:footnote>
  <w:footnote w:id="1">
    <w:p w14:paraId="55B4D2FD" w14:textId="77777777" w:rsidR="00604BCC" w:rsidRDefault="00604BCC" w:rsidP="00604BCC">
      <w:pPr>
        <w:pStyle w:val="FootnoteText"/>
      </w:pPr>
      <w:r>
        <w:rPr>
          <w:rStyle w:val="FootnoteReference"/>
        </w:rPr>
        <w:footnoteRef/>
      </w:r>
      <w:r>
        <w:t xml:space="preserve"> European Comission Report on Albania, 2022, p. 36.</w:t>
      </w:r>
    </w:p>
  </w:footnote>
  <w:footnote w:id="2">
    <w:p w14:paraId="674FA7EA" w14:textId="7B61232F" w:rsidR="00E36F37" w:rsidRPr="00083D50" w:rsidRDefault="00E36F37" w:rsidP="00083D50">
      <w:pPr>
        <w:spacing w:line="240" w:lineRule="auto"/>
        <w:jc w:val="both"/>
        <w:rPr>
          <w:rFonts w:cstheme="minorHAnsi"/>
          <w:sz w:val="20"/>
          <w:szCs w:val="20"/>
        </w:rPr>
      </w:pPr>
      <w:r>
        <w:rPr>
          <w:rStyle w:val="FootnoteReference"/>
        </w:rPr>
        <w:footnoteRef/>
      </w:r>
      <w:r>
        <w:t xml:space="preserve"> </w:t>
      </w:r>
      <w:r w:rsidR="00083D50" w:rsidRPr="00083D50">
        <w:rPr>
          <w:rFonts w:cstheme="minorHAnsi"/>
          <w:sz w:val="20"/>
          <w:szCs w:val="20"/>
        </w:rPr>
        <w:t>Law No. 10 221, date 04.02.2010 “On Protection from Discrimination”, as amended.</w:t>
      </w:r>
    </w:p>
  </w:footnote>
  <w:footnote w:id="3">
    <w:p w14:paraId="27D2ECA1" w14:textId="41F12C28" w:rsidR="00A51585" w:rsidRDefault="00A51585">
      <w:pPr>
        <w:pStyle w:val="FootnoteText"/>
      </w:pPr>
      <w:r>
        <w:rPr>
          <w:rStyle w:val="FootnoteReference"/>
        </w:rPr>
        <w:footnoteRef/>
      </w:r>
      <w:r>
        <w:t xml:space="preserve"> Information paper on protection against sexual orientation, gender identity and expression, and sexual characteristics (SOGIESC) discrimination, International </w:t>
      </w:r>
      <w:r w:rsidR="00047404">
        <w:t>Labour</w:t>
      </w:r>
      <w:r>
        <w:t xml:space="preserve"> Standards Department (2019).</w:t>
      </w:r>
    </w:p>
  </w:footnote>
  <w:footnote w:id="4">
    <w:p w14:paraId="2D65F4D2" w14:textId="0C44300F" w:rsidR="00E22350" w:rsidRDefault="00E22350">
      <w:pPr>
        <w:pStyle w:val="FootnoteText"/>
      </w:pPr>
      <w:r>
        <w:rPr>
          <w:rStyle w:val="FootnoteReference"/>
        </w:rPr>
        <w:footnoteRef/>
      </w:r>
      <w:r>
        <w:t xml:space="preserve"> European </w:t>
      </w:r>
      <w:r w:rsidR="00047404">
        <w:t>Commission</w:t>
      </w:r>
      <w:r>
        <w:t xml:space="preserve"> Report on Albania, 2022.</w:t>
      </w:r>
    </w:p>
  </w:footnote>
  <w:footnote w:id="5">
    <w:p w14:paraId="2F66DDBE" w14:textId="34BEE2ED" w:rsidR="00E36F37" w:rsidRDefault="00E36F37">
      <w:pPr>
        <w:pStyle w:val="FootnoteText"/>
      </w:pPr>
      <w:r>
        <w:rPr>
          <w:rStyle w:val="FootnoteReference"/>
        </w:rPr>
        <w:footnoteRef/>
      </w:r>
      <w:r>
        <w:t xml:space="preserve"> </w:t>
      </w:r>
      <w:r w:rsidR="00083D50">
        <w:t xml:space="preserve">Law No. 7895, dated 27 January 1995, </w:t>
      </w:r>
      <w:r w:rsidR="00047404">
        <w:t xml:space="preserve">“The Criminal Code of the Republic of Albania”, </w:t>
      </w:r>
      <w:r w:rsidR="00083D50">
        <w:t>as amended.</w:t>
      </w:r>
    </w:p>
  </w:footnote>
  <w:footnote w:id="6">
    <w:p w14:paraId="5BF3E97C" w14:textId="0D9E7791" w:rsidR="007E4C54" w:rsidRDefault="007E4C54">
      <w:pPr>
        <w:pStyle w:val="FootnoteText"/>
      </w:pPr>
      <w:r>
        <w:rPr>
          <w:rStyle w:val="FootnoteReference"/>
        </w:rPr>
        <w:footnoteRef/>
      </w:r>
      <w:r>
        <w:t xml:space="preserve"> </w:t>
      </w:r>
      <w:r w:rsidR="00E36F37">
        <w:t xml:space="preserve">Link to the article: </w:t>
      </w:r>
      <w:hyperlink r:id="rId1" w:history="1">
        <w:r w:rsidR="00E36F37" w:rsidRPr="00EE7AA9">
          <w:rPr>
            <w:rStyle w:val="Hyperlink"/>
          </w:rPr>
          <w:t>https://www.reporter.al/2023/07/18/gjuha-e-kodit-penal-shqiptar-ruan-stigmen-rreth-homoseksualitetit/</w:t>
        </w:r>
      </w:hyperlink>
      <w:r>
        <w:t xml:space="preserve"> </w:t>
      </w:r>
    </w:p>
  </w:footnote>
  <w:footnote w:id="7">
    <w:p w14:paraId="0AB69637" w14:textId="26BE0E76" w:rsidR="00047404" w:rsidRDefault="00047404">
      <w:pPr>
        <w:pStyle w:val="FootnoteText"/>
      </w:pPr>
      <w:r>
        <w:rPr>
          <w:rStyle w:val="FootnoteReference"/>
        </w:rPr>
        <w:footnoteRef/>
      </w:r>
      <w:r>
        <w:t xml:space="preserve"> Law No. 7961, dated 12.7.1995, “The Labour Code of the Republic of Albania”.</w:t>
      </w:r>
    </w:p>
  </w:footnote>
  <w:footnote w:id="8">
    <w:p w14:paraId="1D1671B3" w14:textId="39D46EF0" w:rsidR="00047404" w:rsidRDefault="00047404">
      <w:pPr>
        <w:pStyle w:val="FootnoteText"/>
      </w:pPr>
      <w:r>
        <w:rPr>
          <w:rStyle w:val="FootnoteReference"/>
        </w:rPr>
        <w:footnoteRef/>
      </w:r>
      <w:r>
        <w:t xml:space="preserve"> Law No. 9062, dated 08.5.2003, “Family Code of the Republic of Albania”.</w:t>
      </w:r>
    </w:p>
  </w:footnote>
  <w:footnote w:id="9">
    <w:p w14:paraId="40B45C36" w14:textId="1165CC2E" w:rsidR="00063F46" w:rsidRPr="0075195C" w:rsidRDefault="00063F46" w:rsidP="00083D50">
      <w:pPr>
        <w:jc w:val="both"/>
      </w:pPr>
      <w:r>
        <w:rPr>
          <w:rStyle w:val="FootnoteReference"/>
        </w:rPr>
        <w:footnoteRef/>
      </w:r>
      <w:r w:rsidRPr="0075195C">
        <w:t xml:space="preserve"> </w:t>
      </w:r>
      <w:r w:rsidR="00E57B5F" w:rsidRPr="00083D50">
        <w:rPr>
          <w:sz w:val="20"/>
          <w:szCs w:val="20"/>
        </w:rPr>
        <w:t>Edlira Mara and Alba Ahmetaj are a lesbian couple that have given birth to two twins in 2020. Only the biological mother is recognized by the Albanian Civil Registry as a parent; the other mother is not granted any parental rights under the existing law.  The lesbian couple filed a court case against the Albanian Civil Registry Office because they were unable to register their children under Albanian law</w:t>
      </w:r>
      <w:r w:rsidR="00604BCC" w:rsidRPr="00083D50">
        <w:rPr>
          <w:sz w:val="20"/>
          <w:szCs w:val="20"/>
        </w:rPr>
        <w:t xml:space="preserve"> (their children remain unregistered). </w:t>
      </w:r>
      <w:r w:rsidR="00E57B5F" w:rsidRPr="00083D50">
        <w:rPr>
          <w:sz w:val="20"/>
          <w:szCs w:val="20"/>
        </w:rPr>
        <w:t>Currently, the Superior Court is hearing the matter</w:t>
      </w:r>
      <w:r w:rsidR="00604BCC" w:rsidRPr="00083D50">
        <w:rPr>
          <w:sz w:val="20"/>
          <w:szCs w:val="20"/>
        </w:rPr>
        <w:t>.</w:t>
      </w:r>
    </w:p>
  </w:footnote>
  <w:footnote w:id="10">
    <w:p w14:paraId="1E1F2DCC" w14:textId="379CC638" w:rsidR="006C498F" w:rsidRDefault="006C498F">
      <w:pPr>
        <w:pStyle w:val="FootnoteText"/>
      </w:pPr>
      <w:r>
        <w:rPr>
          <w:rStyle w:val="FootnoteReference"/>
        </w:rPr>
        <w:footnoteRef/>
      </w:r>
      <w:r>
        <w:t xml:space="preserve"> Council of Europe, Committee of Ministers, Recommendation CM/Rec (2010)5: especially </w:t>
      </w:r>
      <w:r w:rsidR="008B4C49">
        <w:t>para.</w:t>
      </w:r>
      <w:r>
        <w:t xml:space="preserve"> 23-25.</w:t>
      </w:r>
    </w:p>
  </w:footnote>
  <w:footnote w:id="11">
    <w:p w14:paraId="2A65936A" w14:textId="09BA7EAC" w:rsidR="006C498F" w:rsidRDefault="006C498F">
      <w:pPr>
        <w:pStyle w:val="FootnoteText"/>
      </w:pPr>
      <w:r>
        <w:rPr>
          <w:rStyle w:val="FootnoteReference"/>
        </w:rPr>
        <w:footnoteRef/>
      </w:r>
      <w:r>
        <w:t xml:space="preserve"> ECRI Report on Albania (6</w:t>
      </w:r>
      <w:r w:rsidRPr="006C498F">
        <w:rPr>
          <w:vertAlign w:val="superscript"/>
        </w:rPr>
        <w:t>th</w:t>
      </w:r>
      <w:r>
        <w:t xml:space="preserve"> monitoring cycle), 2020, p. 12.</w:t>
      </w:r>
    </w:p>
  </w:footnote>
  <w:footnote w:id="12">
    <w:p w14:paraId="79BC5470" w14:textId="3CB1E632" w:rsidR="0006514D" w:rsidRDefault="0006514D">
      <w:pPr>
        <w:pStyle w:val="FootnoteText"/>
      </w:pPr>
      <w:r>
        <w:rPr>
          <w:rStyle w:val="FootnoteReference"/>
        </w:rPr>
        <w:footnoteRef/>
      </w:r>
      <w:r>
        <w:t xml:space="preserve"> European Commission Report on Albania, 2022, p. 36.</w:t>
      </w:r>
    </w:p>
  </w:footnote>
  <w:footnote w:id="13">
    <w:p w14:paraId="1843B2D3" w14:textId="50B531C6" w:rsidR="00840DF1" w:rsidRDefault="00840DF1">
      <w:pPr>
        <w:pStyle w:val="FootnoteText"/>
      </w:pPr>
      <w:r>
        <w:rPr>
          <w:rStyle w:val="FootnoteReference"/>
        </w:rPr>
        <w:footnoteRef/>
      </w:r>
      <w:r>
        <w:t xml:space="preserve"> Law no. 22/2018</w:t>
      </w:r>
      <w:r w:rsidR="00047404">
        <w:t>,</w:t>
      </w:r>
      <w:r>
        <w:t xml:space="preserve"> “On Social Housing”.</w:t>
      </w:r>
    </w:p>
  </w:footnote>
  <w:footnote w:id="14">
    <w:p w14:paraId="4A61A5F7" w14:textId="38260D54" w:rsidR="00840DF1" w:rsidRDefault="00840DF1">
      <w:pPr>
        <w:pStyle w:val="FootnoteText"/>
      </w:pPr>
      <w:r>
        <w:rPr>
          <w:rStyle w:val="FootnoteReference"/>
        </w:rPr>
        <w:footnoteRef/>
      </w:r>
      <w:r>
        <w:t xml:space="preserve"> Link to the article: </w:t>
      </w:r>
      <w:hyperlink r:id="rId2" w:history="1">
        <w:r w:rsidRPr="00EE7AA9">
          <w:rPr>
            <w:rStyle w:val="Hyperlink"/>
          </w:rPr>
          <w:t>https://portavendore.al/2020/02/18/ligji-i-ri-per-strehimin-bashkia-e-tiranes-sorollat-te-pastrehet-me-ligjin-e-vjeter/</w:t>
        </w:r>
      </w:hyperlink>
      <w:r>
        <w:t xml:space="preserve"> </w:t>
      </w:r>
    </w:p>
  </w:footnote>
  <w:footnote w:id="15">
    <w:p w14:paraId="46FAAB96" w14:textId="714D0098" w:rsidR="008B4C49" w:rsidRDefault="008B4C49">
      <w:pPr>
        <w:pStyle w:val="FootnoteText"/>
      </w:pPr>
      <w:r>
        <w:rPr>
          <w:rStyle w:val="FootnoteReference"/>
        </w:rPr>
        <w:footnoteRef/>
      </w:r>
      <w:r>
        <w:t xml:space="preserve"> </w:t>
      </w:r>
      <w:r w:rsidR="00083D50">
        <w:t>Law No. 10 138, date 11.5.2009, “On Public Health”.</w:t>
      </w:r>
    </w:p>
  </w:footnote>
  <w:footnote w:id="16">
    <w:p w14:paraId="1B68D40B" w14:textId="51952CE3" w:rsidR="008B4C49" w:rsidRDefault="008B4C49">
      <w:pPr>
        <w:pStyle w:val="FootnoteText"/>
      </w:pPr>
      <w:r>
        <w:rPr>
          <w:rStyle w:val="FootnoteReference"/>
        </w:rPr>
        <w:footnoteRef/>
      </w:r>
      <w:r>
        <w:t xml:space="preserve"> </w:t>
      </w:r>
      <w:r w:rsidR="00083D50">
        <w:t>Law No. 8876, date 4.4.2002, “On Reproductive Health”.</w:t>
      </w:r>
    </w:p>
  </w:footnote>
  <w:footnote w:id="17">
    <w:p w14:paraId="42F73F4F" w14:textId="60F13D40" w:rsidR="00C655F5" w:rsidRDefault="00C655F5">
      <w:pPr>
        <w:pStyle w:val="FootnoteText"/>
      </w:pPr>
      <w:r>
        <w:rPr>
          <w:rStyle w:val="FootnoteReference"/>
        </w:rPr>
        <w:footnoteRef/>
      </w:r>
      <w:r>
        <w:t xml:space="preserve"> Commissioner for Human Rights- Discrimination on grounds of sexual orientation and gender identity in Europe- 2nd edition: section 5.2</w:t>
      </w:r>
    </w:p>
  </w:footnote>
  <w:footnote w:id="18">
    <w:p w14:paraId="18AB9B59" w14:textId="73280268" w:rsidR="00C655F5" w:rsidRDefault="00C655F5">
      <w:pPr>
        <w:pStyle w:val="FootnoteText"/>
      </w:pPr>
      <w:r>
        <w:rPr>
          <w:rStyle w:val="FootnoteReference"/>
        </w:rPr>
        <w:footnoteRef/>
      </w:r>
      <w:r>
        <w:t xml:space="preserve"> The Danish Institute- COWI-; Study on Homophobia, Transphobia and Discrimination on Grounds of Sexual Orientation and Gender Identity-Legal Report: Albania by Independent researcher K. Loloçi. </w:t>
      </w:r>
    </w:p>
  </w:footnote>
  <w:footnote w:id="19">
    <w:p w14:paraId="4431D514" w14:textId="4DE45E63" w:rsidR="00C22E9D" w:rsidRDefault="00C22E9D">
      <w:pPr>
        <w:pStyle w:val="FootnoteText"/>
      </w:pPr>
      <w:r>
        <w:rPr>
          <w:rStyle w:val="FootnoteReference"/>
        </w:rPr>
        <w:footnoteRef/>
      </w:r>
      <w:r>
        <w:t xml:space="preserve"> Law No. 10107/2009 “On health care in the Republic of Albania”; Law no. 8876/2002 “On reproductive health”. </w:t>
      </w:r>
      <w:r w:rsidRPr="00047404">
        <w:rPr>
          <w:vertAlign w:val="superscript"/>
        </w:rPr>
        <w:t xml:space="preserve">15 </w:t>
      </w:r>
      <w:r>
        <w:t>Law No. 10221/2010 “On Protection from Discrimination”.</w:t>
      </w:r>
    </w:p>
  </w:footnote>
  <w:footnote w:id="20">
    <w:p w14:paraId="26469A18" w14:textId="700C958B" w:rsidR="00F943AE" w:rsidRDefault="00F943AE">
      <w:pPr>
        <w:pStyle w:val="FootnoteText"/>
      </w:pPr>
      <w:r>
        <w:rPr>
          <w:rStyle w:val="FootnoteReference"/>
        </w:rPr>
        <w:footnoteRef/>
      </w:r>
      <w:r>
        <w:t>Nini. D, SDGs Implementation in the Context of Albania, 2020, p. 12.</w:t>
      </w:r>
    </w:p>
  </w:footnote>
  <w:footnote w:id="21">
    <w:p w14:paraId="0007CBE8" w14:textId="1B6ED5A0" w:rsidR="00F943AE" w:rsidRDefault="00F943AE">
      <w:pPr>
        <w:pStyle w:val="FootnoteText"/>
      </w:pPr>
      <w:r>
        <w:rPr>
          <w:rStyle w:val="FootnoteReference"/>
        </w:rPr>
        <w:footnoteRef/>
      </w:r>
      <w:r>
        <w:t xml:space="preserve"> https://www.lgbti-era.org/news/shocking-, and-unacceptable-2020-albania-fails-its-hivaids-fight </w:t>
      </w:r>
    </w:p>
  </w:footnote>
  <w:footnote w:id="22">
    <w:p w14:paraId="3D12D945" w14:textId="47F2E2E6" w:rsidR="00D81E61" w:rsidRDefault="00D81E61">
      <w:pPr>
        <w:pStyle w:val="FootnoteText"/>
      </w:pPr>
      <w:r>
        <w:rPr>
          <w:rStyle w:val="FootnoteReference"/>
        </w:rPr>
        <w:footnoteRef/>
      </w:r>
      <w:r>
        <w:t xml:space="preserve"> European Commission Report on Albania, 2022, p. 16.</w:t>
      </w:r>
    </w:p>
  </w:footnote>
  <w:footnote w:id="23">
    <w:p w14:paraId="6E0251CF" w14:textId="53E6A553" w:rsidR="00D81E61" w:rsidRDefault="00D81E61">
      <w:pPr>
        <w:pStyle w:val="FootnoteText"/>
      </w:pPr>
      <w:r>
        <w:rPr>
          <w:rStyle w:val="FootnoteReference"/>
        </w:rPr>
        <w:footnoteRef/>
      </w:r>
      <w:r>
        <w:t xml:space="preserve"> Nini. D, (n. 15), p. 14.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F26EE" w14:textId="77777777" w:rsidR="00604BCC" w:rsidRPr="00D81E61" w:rsidRDefault="00604BCC" w:rsidP="00D81E61">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8088FF" w14:textId="77777777" w:rsidR="00197969" w:rsidRDefault="00197969" w:rsidP="00197969">
    <w:pPr>
      <w:pStyle w:val="Header"/>
      <w:jc w:val="center"/>
    </w:pPr>
    <w:r>
      <w:rPr>
        <w:noProof/>
      </w:rPr>
      <w:drawing>
        <wp:inline distT="0" distB="0" distL="0" distR="0" wp14:anchorId="3014A25D" wp14:editId="22A589DA">
          <wp:extent cx="1123950" cy="1371075"/>
          <wp:effectExtent l="0" t="0" r="0" b="635"/>
          <wp:docPr id="552421076" name="Picture 55242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7164" cy="1374995"/>
                  </a:xfrm>
                  <a:prstGeom prst="rect">
                    <a:avLst/>
                  </a:prstGeom>
                  <a:noFill/>
                  <a:ln>
                    <a:noFill/>
                  </a:ln>
                </pic:spPr>
              </pic:pic>
            </a:graphicData>
          </a:graphic>
        </wp:inline>
      </w:drawing>
    </w:r>
    <w:r>
      <w:rPr>
        <w:rFonts w:ascii="Lato" w:hAnsi="Lato" w:cs="Calibri"/>
        <w:noProof/>
        <w:color w:val="000000"/>
      </w:rPr>
      <w:drawing>
        <wp:inline distT="0" distB="0" distL="0" distR="0" wp14:anchorId="43A62F49" wp14:editId="5970DB1C">
          <wp:extent cx="1120743" cy="1552353"/>
          <wp:effectExtent l="0" t="0" r="0" b="0"/>
          <wp:docPr id="806100861" name="Picture 1" descr="ILG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LGA logo"/>
                  <pic:cNvPicPr>
                    <a:picLocks noChangeAspect="1" noChangeArrowheads="1"/>
                  </pic:cNvPicPr>
                </pic:nvPicPr>
                <pic:blipFill>
                  <a:blip r:embed="rId2" r:link="rId3" cstate="print">
                    <a:extLst>
                      <a:ext uri="{28A0092B-C50C-407E-A947-70E740481C1C}">
                        <a14:useLocalDpi xmlns:a14="http://schemas.microsoft.com/office/drawing/2010/main" val="0"/>
                      </a:ext>
                    </a:extLst>
                  </a:blip>
                  <a:srcRect/>
                  <a:stretch>
                    <a:fillRect/>
                  </a:stretch>
                </pic:blipFill>
                <pic:spPr bwMode="auto">
                  <a:xfrm>
                    <a:off x="0" y="0"/>
                    <a:ext cx="1156795" cy="1602290"/>
                  </a:xfrm>
                  <a:prstGeom prst="rect">
                    <a:avLst/>
                  </a:prstGeom>
                  <a:noFill/>
                  <a:ln>
                    <a:noFill/>
                  </a:ln>
                </pic:spPr>
              </pic:pic>
            </a:graphicData>
          </a:graphic>
        </wp:inline>
      </w:drawing>
    </w:r>
  </w:p>
  <w:p w14:paraId="3A7813E3" w14:textId="6384D8DD" w:rsidR="00604BCC" w:rsidRDefault="00604BCC" w:rsidP="00D81E61">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06E864" w14:textId="46CC150B" w:rsidR="00D81E61" w:rsidRPr="00D81E61" w:rsidRDefault="00D81E61" w:rsidP="00D81E61">
    <w:pPr>
      <w:pStyle w:val="Header"/>
      <w:jc w:val="cent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941E22" w14:textId="6758B463" w:rsidR="00D81E61" w:rsidRDefault="00D81E61" w:rsidP="00D81E61">
    <w:pPr>
      <w:pStyle w:val="Header"/>
      <w:jc w:val="center"/>
    </w:pPr>
    <w:r>
      <w:rPr>
        <w:noProof/>
      </w:rPr>
      <w:drawing>
        <wp:inline distT="0" distB="0" distL="0" distR="0" wp14:anchorId="1521C7C1" wp14:editId="0F21E820">
          <wp:extent cx="1123950" cy="1371075"/>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7164" cy="137499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24920"/>
    <w:multiLevelType w:val="hybridMultilevel"/>
    <w:tmpl w:val="280489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1835DA"/>
    <w:multiLevelType w:val="hybridMultilevel"/>
    <w:tmpl w:val="7B304C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3040FD"/>
    <w:multiLevelType w:val="hybridMultilevel"/>
    <w:tmpl w:val="D534C7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98110E"/>
    <w:multiLevelType w:val="hybridMultilevel"/>
    <w:tmpl w:val="D14E4A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345EAF"/>
    <w:multiLevelType w:val="hybridMultilevel"/>
    <w:tmpl w:val="4DE838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3B03CC3"/>
    <w:multiLevelType w:val="hybridMultilevel"/>
    <w:tmpl w:val="8996CE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632011A"/>
    <w:multiLevelType w:val="hybridMultilevel"/>
    <w:tmpl w:val="CE0E69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26B02BC"/>
    <w:multiLevelType w:val="multilevel"/>
    <w:tmpl w:val="1CF2B8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676BE4"/>
    <w:multiLevelType w:val="hybridMultilevel"/>
    <w:tmpl w:val="A4EEA9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5DF3D96"/>
    <w:multiLevelType w:val="hybridMultilevel"/>
    <w:tmpl w:val="D0865E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FFE1571"/>
    <w:multiLevelType w:val="hybridMultilevel"/>
    <w:tmpl w:val="9FBC78D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5586B74"/>
    <w:multiLevelType w:val="multilevel"/>
    <w:tmpl w:val="10F62166"/>
    <w:lvl w:ilvl="0">
      <w:start w:val="7"/>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8DC2CDA"/>
    <w:multiLevelType w:val="hybridMultilevel"/>
    <w:tmpl w:val="A00424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E971296"/>
    <w:multiLevelType w:val="multilevel"/>
    <w:tmpl w:val="8DAED7F0"/>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AC67B49"/>
    <w:multiLevelType w:val="multilevel"/>
    <w:tmpl w:val="DF4ADE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4757331"/>
    <w:multiLevelType w:val="hybridMultilevel"/>
    <w:tmpl w:val="F61AFC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73B60B2"/>
    <w:multiLevelType w:val="hybridMultilevel"/>
    <w:tmpl w:val="9D4864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DF31D06"/>
    <w:multiLevelType w:val="hybridMultilevel"/>
    <w:tmpl w:val="2C4E31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7"/>
  </w:num>
  <w:num w:numId="3">
    <w:abstractNumId w:val="11"/>
  </w:num>
  <w:num w:numId="4">
    <w:abstractNumId w:val="13"/>
  </w:num>
  <w:num w:numId="5">
    <w:abstractNumId w:val="17"/>
  </w:num>
  <w:num w:numId="6">
    <w:abstractNumId w:val="2"/>
  </w:num>
  <w:num w:numId="7">
    <w:abstractNumId w:val="12"/>
  </w:num>
  <w:num w:numId="8">
    <w:abstractNumId w:val="8"/>
  </w:num>
  <w:num w:numId="9">
    <w:abstractNumId w:val="16"/>
  </w:num>
  <w:num w:numId="10">
    <w:abstractNumId w:val="0"/>
  </w:num>
  <w:num w:numId="11">
    <w:abstractNumId w:val="1"/>
  </w:num>
  <w:num w:numId="12">
    <w:abstractNumId w:val="4"/>
  </w:num>
  <w:num w:numId="13">
    <w:abstractNumId w:val="3"/>
  </w:num>
  <w:num w:numId="14">
    <w:abstractNumId w:val="9"/>
  </w:num>
  <w:num w:numId="15">
    <w:abstractNumId w:val="6"/>
  </w:num>
  <w:num w:numId="16">
    <w:abstractNumId w:val="5"/>
  </w:num>
  <w:num w:numId="17">
    <w:abstractNumId w:val="15"/>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6416"/>
    <w:rsid w:val="00026416"/>
    <w:rsid w:val="00042080"/>
    <w:rsid w:val="00047404"/>
    <w:rsid w:val="0005002D"/>
    <w:rsid w:val="00063F46"/>
    <w:rsid w:val="0006514D"/>
    <w:rsid w:val="00083D50"/>
    <w:rsid w:val="000D3BEA"/>
    <w:rsid w:val="000D68E6"/>
    <w:rsid w:val="00150531"/>
    <w:rsid w:val="00197969"/>
    <w:rsid w:val="001A0148"/>
    <w:rsid w:val="00215A0F"/>
    <w:rsid w:val="0027487C"/>
    <w:rsid w:val="002973AD"/>
    <w:rsid w:val="002A1E91"/>
    <w:rsid w:val="002A2C42"/>
    <w:rsid w:val="002E233E"/>
    <w:rsid w:val="002F37E4"/>
    <w:rsid w:val="00381A64"/>
    <w:rsid w:val="004D5929"/>
    <w:rsid w:val="004E6CFF"/>
    <w:rsid w:val="004F2FE0"/>
    <w:rsid w:val="00521129"/>
    <w:rsid w:val="005A5C25"/>
    <w:rsid w:val="005E014D"/>
    <w:rsid w:val="00604BCC"/>
    <w:rsid w:val="0064086F"/>
    <w:rsid w:val="00673CA3"/>
    <w:rsid w:val="00675164"/>
    <w:rsid w:val="006C498F"/>
    <w:rsid w:val="00705453"/>
    <w:rsid w:val="007173E8"/>
    <w:rsid w:val="007504C3"/>
    <w:rsid w:val="0075195C"/>
    <w:rsid w:val="0077162D"/>
    <w:rsid w:val="007A2B2A"/>
    <w:rsid w:val="007B264A"/>
    <w:rsid w:val="007D6556"/>
    <w:rsid w:val="007E2205"/>
    <w:rsid w:val="007E4C54"/>
    <w:rsid w:val="00837935"/>
    <w:rsid w:val="00840DF1"/>
    <w:rsid w:val="0086573D"/>
    <w:rsid w:val="008B2E0C"/>
    <w:rsid w:val="008B4C49"/>
    <w:rsid w:val="008D69AB"/>
    <w:rsid w:val="008E4957"/>
    <w:rsid w:val="00903ED4"/>
    <w:rsid w:val="0091523D"/>
    <w:rsid w:val="009A0A11"/>
    <w:rsid w:val="009E753A"/>
    <w:rsid w:val="00A3015F"/>
    <w:rsid w:val="00A465A6"/>
    <w:rsid w:val="00A51585"/>
    <w:rsid w:val="00A5357B"/>
    <w:rsid w:val="00A858B8"/>
    <w:rsid w:val="00AD3C12"/>
    <w:rsid w:val="00B226F2"/>
    <w:rsid w:val="00B41FA4"/>
    <w:rsid w:val="00BB0FC5"/>
    <w:rsid w:val="00C1241B"/>
    <w:rsid w:val="00C22E9D"/>
    <w:rsid w:val="00C655F5"/>
    <w:rsid w:val="00CE60D8"/>
    <w:rsid w:val="00D23BF5"/>
    <w:rsid w:val="00D273B3"/>
    <w:rsid w:val="00D47A9A"/>
    <w:rsid w:val="00D81E61"/>
    <w:rsid w:val="00E22350"/>
    <w:rsid w:val="00E36F37"/>
    <w:rsid w:val="00E57B5F"/>
    <w:rsid w:val="00EB1927"/>
    <w:rsid w:val="00EC2E2C"/>
    <w:rsid w:val="00ED6FC9"/>
    <w:rsid w:val="00EE70F2"/>
    <w:rsid w:val="00F532F3"/>
    <w:rsid w:val="00F8620D"/>
    <w:rsid w:val="00F943AE"/>
    <w:rsid w:val="00FE0A0D"/>
    <w:rsid w:val="00FF68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57C9CE"/>
  <w15:chartTrackingRefBased/>
  <w15:docId w15:val="{FA4A51C4-164F-4C5C-9ABA-85F22ADF23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1241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F37E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x193iq5w">
    <w:name w:val="x193iq5w"/>
    <w:basedOn w:val="DefaultParagraphFont"/>
    <w:rsid w:val="0086573D"/>
  </w:style>
  <w:style w:type="paragraph" w:customStyle="1" w:styleId="x1rg5ohu">
    <w:name w:val="x1rg5ohu"/>
    <w:basedOn w:val="Normal"/>
    <w:rsid w:val="0086573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x4k7w5x">
    <w:name w:val="x4k7w5x"/>
    <w:basedOn w:val="DefaultParagraphFont"/>
    <w:rsid w:val="0086573D"/>
  </w:style>
  <w:style w:type="character" w:customStyle="1" w:styleId="x1lliihq">
    <w:name w:val="x1lliihq"/>
    <w:basedOn w:val="DefaultParagraphFont"/>
    <w:rsid w:val="0086573D"/>
  </w:style>
  <w:style w:type="paragraph" w:styleId="FootnoteText">
    <w:name w:val="footnote text"/>
    <w:basedOn w:val="Normal"/>
    <w:link w:val="FootnoteTextChar"/>
    <w:uiPriority w:val="99"/>
    <w:semiHidden/>
    <w:unhideWhenUsed/>
    <w:rsid w:val="00A858B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858B8"/>
    <w:rPr>
      <w:sz w:val="20"/>
      <w:szCs w:val="20"/>
    </w:rPr>
  </w:style>
  <w:style w:type="character" w:styleId="FootnoteReference">
    <w:name w:val="footnote reference"/>
    <w:basedOn w:val="DefaultParagraphFont"/>
    <w:uiPriority w:val="99"/>
    <w:semiHidden/>
    <w:unhideWhenUsed/>
    <w:rsid w:val="00A858B8"/>
    <w:rPr>
      <w:vertAlign w:val="superscript"/>
    </w:rPr>
  </w:style>
  <w:style w:type="character" w:styleId="Hyperlink">
    <w:name w:val="Hyperlink"/>
    <w:basedOn w:val="DefaultParagraphFont"/>
    <w:uiPriority w:val="99"/>
    <w:unhideWhenUsed/>
    <w:rsid w:val="00A858B8"/>
    <w:rPr>
      <w:color w:val="0563C1" w:themeColor="hyperlink"/>
      <w:u w:val="single"/>
    </w:rPr>
  </w:style>
  <w:style w:type="character" w:customStyle="1" w:styleId="UnresolvedMention1">
    <w:name w:val="Unresolved Mention1"/>
    <w:basedOn w:val="DefaultParagraphFont"/>
    <w:uiPriority w:val="99"/>
    <w:semiHidden/>
    <w:unhideWhenUsed/>
    <w:rsid w:val="00A858B8"/>
    <w:rPr>
      <w:color w:val="605E5C"/>
      <w:shd w:val="clear" w:color="auto" w:fill="E1DFDD"/>
    </w:rPr>
  </w:style>
  <w:style w:type="character" w:styleId="Strong">
    <w:name w:val="Strong"/>
    <w:basedOn w:val="DefaultParagraphFont"/>
    <w:uiPriority w:val="22"/>
    <w:qFormat/>
    <w:rsid w:val="00A51585"/>
    <w:rPr>
      <w:b/>
      <w:bCs/>
    </w:rPr>
  </w:style>
  <w:style w:type="paragraph" w:styleId="ListParagraph">
    <w:name w:val="List Paragraph"/>
    <w:basedOn w:val="Normal"/>
    <w:uiPriority w:val="34"/>
    <w:qFormat/>
    <w:rsid w:val="007E4C54"/>
    <w:pPr>
      <w:ind w:left="720"/>
      <w:contextualSpacing/>
    </w:pPr>
  </w:style>
  <w:style w:type="paragraph" w:styleId="Header">
    <w:name w:val="header"/>
    <w:basedOn w:val="Normal"/>
    <w:link w:val="HeaderChar"/>
    <w:uiPriority w:val="99"/>
    <w:unhideWhenUsed/>
    <w:rsid w:val="00D81E61"/>
    <w:pPr>
      <w:tabs>
        <w:tab w:val="center" w:pos="4680"/>
        <w:tab w:val="right" w:pos="9360"/>
      </w:tabs>
      <w:spacing w:after="0" w:line="240" w:lineRule="auto"/>
    </w:pPr>
  </w:style>
  <w:style w:type="character" w:customStyle="1" w:styleId="HeaderChar">
    <w:name w:val="Header Char"/>
    <w:basedOn w:val="DefaultParagraphFont"/>
    <w:link w:val="Header"/>
    <w:uiPriority w:val="99"/>
    <w:rsid w:val="00D81E61"/>
  </w:style>
  <w:style w:type="paragraph" w:styleId="Footer">
    <w:name w:val="footer"/>
    <w:basedOn w:val="Normal"/>
    <w:link w:val="FooterChar"/>
    <w:uiPriority w:val="99"/>
    <w:unhideWhenUsed/>
    <w:rsid w:val="00D81E61"/>
    <w:pPr>
      <w:tabs>
        <w:tab w:val="center" w:pos="4680"/>
        <w:tab w:val="right" w:pos="9360"/>
      </w:tabs>
      <w:spacing w:after="0" w:line="240" w:lineRule="auto"/>
    </w:pPr>
  </w:style>
  <w:style w:type="character" w:customStyle="1" w:styleId="FooterChar">
    <w:name w:val="Footer Char"/>
    <w:basedOn w:val="DefaultParagraphFont"/>
    <w:link w:val="Footer"/>
    <w:uiPriority w:val="99"/>
    <w:rsid w:val="00D81E61"/>
  </w:style>
  <w:style w:type="character" w:customStyle="1" w:styleId="Heading1Char">
    <w:name w:val="Heading 1 Char"/>
    <w:basedOn w:val="DefaultParagraphFont"/>
    <w:link w:val="Heading1"/>
    <w:uiPriority w:val="9"/>
    <w:rsid w:val="00C1241B"/>
    <w:rPr>
      <w:rFonts w:ascii="Times New Roman" w:eastAsia="Times New Roman" w:hAnsi="Times New Roman" w:cs="Times New Roman"/>
      <w:b/>
      <w:bCs/>
      <w:kern w:val="36"/>
      <w:sz w:val="48"/>
      <w:szCs w:val="48"/>
    </w:rPr>
  </w:style>
  <w:style w:type="character" w:styleId="CommentReference">
    <w:name w:val="annotation reference"/>
    <w:basedOn w:val="DefaultParagraphFont"/>
    <w:uiPriority w:val="99"/>
    <w:semiHidden/>
    <w:unhideWhenUsed/>
    <w:rsid w:val="00604BCC"/>
    <w:rPr>
      <w:sz w:val="16"/>
      <w:szCs w:val="16"/>
    </w:rPr>
  </w:style>
  <w:style w:type="paragraph" w:styleId="NoSpacing">
    <w:name w:val="No Spacing"/>
    <w:link w:val="NoSpacingChar"/>
    <w:uiPriority w:val="1"/>
    <w:qFormat/>
    <w:rsid w:val="00FE0A0D"/>
    <w:pPr>
      <w:spacing w:after="0" w:line="240" w:lineRule="auto"/>
    </w:pPr>
    <w:rPr>
      <w:rFonts w:eastAsiaTheme="minorEastAsia"/>
      <w:lang w:eastAsia="en-GB"/>
    </w:rPr>
  </w:style>
  <w:style w:type="character" w:customStyle="1" w:styleId="NoSpacingChar">
    <w:name w:val="No Spacing Char"/>
    <w:basedOn w:val="DefaultParagraphFont"/>
    <w:link w:val="NoSpacing"/>
    <w:uiPriority w:val="1"/>
    <w:rsid w:val="00FE0A0D"/>
    <w:rPr>
      <w:rFonts w:eastAsiaTheme="minorEastAsia"/>
      <w:lang w:eastAsia="en-GB"/>
    </w:rPr>
  </w:style>
  <w:style w:type="character" w:customStyle="1" w:styleId="apple-converted-space">
    <w:name w:val="apple-converted-space"/>
    <w:basedOn w:val="DefaultParagraphFont"/>
    <w:rsid w:val="00FE0A0D"/>
  </w:style>
  <w:style w:type="character" w:styleId="Emphasis">
    <w:name w:val="Emphasis"/>
    <w:basedOn w:val="DefaultParagraphFont"/>
    <w:uiPriority w:val="20"/>
    <w:qFormat/>
    <w:rsid w:val="00FE0A0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618370">
      <w:bodyDiv w:val="1"/>
      <w:marLeft w:val="0"/>
      <w:marRight w:val="0"/>
      <w:marTop w:val="0"/>
      <w:marBottom w:val="0"/>
      <w:divBdr>
        <w:top w:val="none" w:sz="0" w:space="0" w:color="auto"/>
        <w:left w:val="none" w:sz="0" w:space="0" w:color="auto"/>
        <w:bottom w:val="none" w:sz="0" w:space="0" w:color="auto"/>
        <w:right w:val="none" w:sz="0" w:space="0" w:color="auto"/>
      </w:divBdr>
    </w:div>
    <w:div w:id="331303846">
      <w:bodyDiv w:val="1"/>
      <w:marLeft w:val="0"/>
      <w:marRight w:val="0"/>
      <w:marTop w:val="0"/>
      <w:marBottom w:val="0"/>
      <w:divBdr>
        <w:top w:val="none" w:sz="0" w:space="0" w:color="auto"/>
        <w:left w:val="none" w:sz="0" w:space="0" w:color="auto"/>
        <w:bottom w:val="none" w:sz="0" w:space="0" w:color="auto"/>
        <w:right w:val="none" w:sz="0" w:space="0" w:color="auto"/>
      </w:divBdr>
    </w:div>
    <w:div w:id="400714583">
      <w:bodyDiv w:val="1"/>
      <w:marLeft w:val="0"/>
      <w:marRight w:val="0"/>
      <w:marTop w:val="0"/>
      <w:marBottom w:val="0"/>
      <w:divBdr>
        <w:top w:val="none" w:sz="0" w:space="0" w:color="auto"/>
        <w:left w:val="none" w:sz="0" w:space="0" w:color="auto"/>
        <w:bottom w:val="none" w:sz="0" w:space="0" w:color="auto"/>
        <w:right w:val="none" w:sz="0" w:space="0" w:color="auto"/>
      </w:divBdr>
    </w:div>
    <w:div w:id="530801429">
      <w:bodyDiv w:val="1"/>
      <w:marLeft w:val="0"/>
      <w:marRight w:val="0"/>
      <w:marTop w:val="0"/>
      <w:marBottom w:val="0"/>
      <w:divBdr>
        <w:top w:val="none" w:sz="0" w:space="0" w:color="auto"/>
        <w:left w:val="none" w:sz="0" w:space="0" w:color="auto"/>
        <w:bottom w:val="none" w:sz="0" w:space="0" w:color="auto"/>
        <w:right w:val="none" w:sz="0" w:space="0" w:color="auto"/>
      </w:divBdr>
      <w:divsChild>
        <w:div w:id="70739792">
          <w:marLeft w:val="0"/>
          <w:marRight w:val="0"/>
          <w:marTop w:val="0"/>
          <w:marBottom w:val="0"/>
          <w:divBdr>
            <w:top w:val="none" w:sz="0" w:space="0" w:color="auto"/>
            <w:left w:val="none" w:sz="0" w:space="0" w:color="auto"/>
            <w:bottom w:val="none" w:sz="0" w:space="0" w:color="auto"/>
            <w:right w:val="none" w:sz="0" w:space="0" w:color="auto"/>
          </w:divBdr>
          <w:divsChild>
            <w:div w:id="829758619">
              <w:marLeft w:val="0"/>
              <w:marRight w:val="0"/>
              <w:marTop w:val="0"/>
              <w:marBottom w:val="0"/>
              <w:divBdr>
                <w:top w:val="none" w:sz="0" w:space="0" w:color="auto"/>
                <w:left w:val="none" w:sz="0" w:space="0" w:color="auto"/>
                <w:bottom w:val="none" w:sz="0" w:space="0" w:color="auto"/>
                <w:right w:val="none" w:sz="0" w:space="0" w:color="auto"/>
              </w:divBdr>
              <w:divsChild>
                <w:div w:id="1431898724">
                  <w:marLeft w:val="0"/>
                  <w:marRight w:val="0"/>
                  <w:marTop w:val="0"/>
                  <w:marBottom w:val="0"/>
                  <w:divBdr>
                    <w:top w:val="none" w:sz="0" w:space="0" w:color="auto"/>
                    <w:left w:val="none" w:sz="0" w:space="0" w:color="auto"/>
                    <w:bottom w:val="none" w:sz="0" w:space="0" w:color="auto"/>
                    <w:right w:val="none" w:sz="0" w:space="0" w:color="auto"/>
                  </w:divBdr>
                  <w:divsChild>
                    <w:div w:id="682442942">
                      <w:marLeft w:val="0"/>
                      <w:marRight w:val="0"/>
                      <w:marTop w:val="0"/>
                      <w:marBottom w:val="0"/>
                      <w:divBdr>
                        <w:top w:val="none" w:sz="0" w:space="0" w:color="auto"/>
                        <w:left w:val="none" w:sz="0" w:space="0" w:color="auto"/>
                        <w:bottom w:val="none" w:sz="0" w:space="0" w:color="auto"/>
                        <w:right w:val="none" w:sz="0" w:space="0" w:color="auto"/>
                      </w:divBdr>
                      <w:divsChild>
                        <w:div w:id="1464538585">
                          <w:marLeft w:val="0"/>
                          <w:marRight w:val="0"/>
                          <w:marTop w:val="0"/>
                          <w:marBottom w:val="0"/>
                          <w:divBdr>
                            <w:top w:val="none" w:sz="0" w:space="0" w:color="auto"/>
                            <w:left w:val="none" w:sz="0" w:space="0" w:color="auto"/>
                            <w:bottom w:val="none" w:sz="0" w:space="0" w:color="auto"/>
                            <w:right w:val="none" w:sz="0" w:space="0" w:color="auto"/>
                          </w:divBdr>
                          <w:divsChild>
                            <w:div w:id="1162113471">
                              <w:marLeft w:val="0"/>
                              <w:marRight w:val="0"/>
                              <w:marTop w:val="0"/>
                              <w:marBottom w:val="0"/>
                              <w:divBdr>
                                <w:top w:val="none" w:sz="0" w:space="0" w:color="auto"/>
                                <w:left w:val="none" w:sz="0" w:space="0" w:color="auto"/>
                                <w:bottom w:val="none" w:sz="0" w:space="0" w:color="auto"/>
                                <w:right w:val="none" w:sz="0" w:space="0" w:color="auto"/>
                              </w:divBdr>
                              <w:divsChild>
                                <w:div w:id="536046715">
                                  <w:marLeft w:val="0"/>
                                  <w:marRight w:val="0"/>
                                  <w:marTop w:val="0"/>
                                  <w:marBottom w:val="0"/>
                                  <w:divBdr>
                                    <w:top w:val="none" w:sz="0" w:space="0" w:color="auto"/>
                                    <w:left w:val="none" w:sz="0" w:space="0" w:color="auto"/>
                                    <w:bottom w:val="none" w:sz="0" w:space="0" w:color="auto"/>
                                    <w:right w:val="none" w:sz="0" w:space="0" w:color="auto"/>
                                  </w:divBdr>
                                  <w:divsChild>
                                    <w:div w:id="1892184506">
                                      <w:marLeft w:val="0"/>
                                      <w:marRight w:val="0"/>
                                      <w:marTop w:val="0"/>
                                      <w:marBottom w:val="0"/>
                                      <w:divBdr>
                                        <w:top w:val="none" w:sz="0" w:space="0" w:color="auto"/>
                                        <w:left w:val="none" w:sz="0" w:space="0" w:color="auto"/>
                                        <w:bottom w:val="none" w:sz="0" w:space="0" w:color="auto"/>
                                        <w:right w:val="none" w:sz="0" w:space="0" w:color="auto"/>
                                      </w:divBdr>
                                      <w:divsChild>
                                        <w:div w:id="418913385">
                                          <w:marLeft w:val="0"/>
                                          <w:marRight w:val="0"/>
                                          <w:marTop w:val="0"/>
                                          <w:marBottom w:val="0"/>
                                          <w:divBdr>
                                            <w:top w:val="none" w:sz="0" w:space="0" w:color="auto"/>
                                            <w:left w:val="none" w:sz="0" w:space="0" w:color="auto"/>
                                            <w:bottom w:val="none" w:sz="0" w:space="0" w:color="auto"/>
                                            <w:right w:val="none" w:sz="0" w:space="0" w:color="auto"/>
                                          </w:divBdr>
                                          <w:divsChild>
                                            <w:div w:id="1151605496">
                                              <w:marLeft w:val="0"/>
                                              <w:marRight w:val="0"/>
                                              <w:marTop w:val="0"/>
                                              <w:marBottom w:val="0"/>
                                              <w:divBdr>
                                                <w:top w:val="none" w:sz="0" w:space="0" w:color="auto"/>
                                                <w:left w:val="none" w:sz="0" w:space="0" w:color="auto"/>
                                                <w:bottom w:val="none" w:sz="0" w:space="0" w:color="auto"/>
                                                <w:right w:val="none" w:sz="0" w:space="0" w:color="auto"/>
                                              </w:divBdr>
                                              <w:divsChild>
                                                <w:div w:id="1727946326">
                                                  <w:marLeft w:val="0"/>
                                                  <w:marRight w:val="0"/>
                                                  <w:marTop w:val="0"/>
                                                  <w:marBottom w:val="0"/>
                                                  <w:divBdr>
                                                    <w:top w:val="none" w:sz="0" w:space="0" w:color="auto"/>
                                                    <w:left w:val="none" w:sz="0" w:space="0" w:color="auto"/>
                                                    <w:bottom w:val="none" w:sz="0" w:space="0" w:color="auto"/>
                                                    <w:right w:val="none" w:sz="0" w:space="0" w:color="auto"/>
                                                  </w:divBdr>
                                                  <w:divsChild>
                                                    <w:div w:id="1081758578">
                                                      <w:marLeft w:val="0"/>
                                                      <w:marRight w:val="0"/>
                                                      <w:marTop w:val="0"/>
                                                      <w:marBottom w:val="0"/>
                                                      <w:divBdr>
                                                        <w:top w:val="none" w:sz="0" w:space="0" w:color="auto"/>
                                                        <w:left w:val="none" w:sz="0" w:space="0" w:color="auto"/>
                                                        <w:bottom w:val="none" w:sz="0" w:space="0" w:color="auto"/>
                                                        <w:right w:val="none" w:sz="0" w:space="0" w:color="auto"/>
                                                      </w:divBdr>
                                                      <w:divsChild>
                                                        <w:div w:id="990518305">
                                                          <w:marLeft w:val="0"/>
                                                          <w:marRight w:val="0"/>
                                                          <w:marTop w:val="0"/>
                                                          <w:marBottom w:val="0"/>
                                                          <w:divBdr>
                                                            <w:top w:val="none" w:sz="0" w:space="0" w:color="auto"/>
                                                            <w:left w:val="none" w:sz="0" w:space="0" w:color="auto"/>
                                                            <w:bottom w:val="none" w:sz="0" w:space="0" w:color="auto"/>
                                                            <w:right w:val="none" w:sz="0" w:space="0" w:color="auto"/>
                                                          </w:divBdr>
                                                          <w:divsChild>
                                                            <w:div w:id="128671782">
                                                              <w:marLeft w:val="0"/>
                                                              <w:marRight w:val="0"/>
                                                              <w:marTop w:val="0"/>
                                                              <w:marBottom w:val="0"/>
                                                              <w:divBdr>
                                                                <w:top w:val="none" w:sz="0" w:space="0" w:color="auto"/>
                                                                <w:left w:val="none" w:sz="0" w:space="0" w:color="auto"/>
                                                                <w:bottom w:val="none" w:sz="0" w:space="0" w:color="auto"/>
                                                                <w:right w:val="none" w:sz="0" w:space="0" w:color="auto"/>
                                                              </w:divBdr>
                                                              <w:divsChild>
                                                                <w:div w:id="1628655268">
                                                                  <w:marLeft w:val="0"/>
                                                                  <w:marRight w:val="0"/>
                                                                  <w:marTop w:val="0"/>
                                                                  <w:marBottom w:val="0"/>
                                                                  <w:divBdr>
                                                                    <w:top w:val="none" w:sz="0" w:space="0" w:color="auto"/>
                                                                    <w:left w:val="none" w:sz="0" w:space="0" w:color="auto"/>
                                                                    <w:bottom w:val="none" w:sz="0" w:space="0" w:color="auto"/>
                                                                    <w:right w:val="none" w:sz="0" w:space="0" w:color="auto"/>
                                                                  </w:divBdr>
                                                                  <w:divsChild>
                                                                    <w:div w:id="52431438">
                                                                      <w:marLeft w:val="0"/>
                                                                      <w:marRight w:val="0"/>
                                                                      <w:marTop w:val="0"/>
                                                                      <w:marBottom w:val="0"/>
                                                                      <w:divBdr>
                                                                        <w:top w:val="none" w:sz="0" w:space="0" w:color="auto"/>
                                                                        <w:left w:val="none" w:sz="0" w:space="0" w:color="auto"/>
                                                                        <w:bottom w:val="none" w:sz="0" w:space="0" w:color="auto"/>
                                                                        <w:right w:val="none" w:sz="0" w:space="0" w:color="auto"/>
                                                                      </w:divBdr>
                                                                      <w:divsChild>
                                                                        <w:div w:id="1469857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203468">
                                                  <w:marLeft w:val="0"/>
                                                  <w:marRight w:val="0"/>
                                                  <w:marTop w:val="0"/>
                                                  <w:marBottom w:val="0"/>
                                                  <w:divBdr>
                                                    <w:top w:val="none" w:sz="0" w:space="0" w:color="auto"/>
                                                    <w:left w:val="none" w:sz="0" w:space="0" w:color="auto"/>
                                                    <w:bottom w:val="none" w:sz="0" w:space="0" w:color="auto"/>
                                                    <w:right w:val="none" w:sz="0" w:space="0" w:color="auto"/>
                                                  </w:divBdr>
                                                  <w:divsChild>
                                                    <w:div w:id="683677708">
                                                      <w:marLeft w:val="0"/>
                                                      <w:marRight w:val="0"/>
                                                      <w:marTop w:val="0"/>
                                                      <w:marBottom w:val="0"/>
                                                      <w:divBdr>
                                                        <w:top w:val="none" w:sz="0" w:space="0" w:color="auto"/>
                                                        <w:left w:val="none" w:sz="0" w:space="0" w:color="auto"/>
                                                        <w:bottom w:val="none" w:sz="0" w:space="0" w:color="auto"/>
                                                        <w:right w:val="none" w:sz="0" w:space="0" w:color="auto"/>
                                                      </w:divBdr>
                                                    </w:div>
                                                    <w:div w:id="910849980">
                                                      <w:marLeft w:val="240"/>
                                                      <w:marRight w:val="0"/>
                                                      <w:marTop w:val="30"/>
                                                      <w:marBottom w:val="30"/>
                                                      <w:divBdr>
                                                        <w:top w:val="none" w:sz="0" w:space="0" w:color="auto"/>
                                                        <w:left w:val="none" w:sz="0" w:space="0" w:color="auto"/>
                                                        <w:bottom w:val="none" w:sz="0" w:space="0" w:color="auto"/>
                                                        <w:right w:val="none" w:sz="0" w:space="0" w:color="auto"/>
                                                      </w:divBdr>
                                                      <w:divsChild>
                                                        <w:div w:id="1194731227">
                                                          <w:marLeft w:val="0"/>
                                                          <w:marRight w:val="0"/>
                                                          <w:marTop w:val="0"/>
                                                          <w:marBottom w:val="0"/>
                                                          <w:divBdr>
                                                            <w:top w:val="none" w:sz="0" w:space="0" w:color="auto"/>
                                                            <w:left w:val="none" w:sz="0" w:space="0" w:color="auto"/>
                                                            <w:bottom w:val="none" w:sz="0" w:space="0" w:color="auto"/>
                                                            <w:right w:val="none" w:sz="0" w:space="0" w:color="auto"/>
                                                          </w:divBdr>
                                                          <w:divsChild>
                                                            <w:div w:id="1698654791">
                                                              <w:marLeft w:val="0"/>
                                                              <w:marRight w:val="0"/>
                                                              <w:marTop w:val="0"/>
                                                              <w:marBottom w:val="0"/>
                                                              <w:divBdr>
                                                                <w:top w:val="none" w:sz="0" w:space="0" w:color="auto"/>
                                                                <w:left w:val="none" w:sz="0" w:space="0" w:color="auto"/>
                                                                <w:bottom w:val="none" w:sz="0" w:space="0" w:color="auto"/>
                                                                <w:right w:val="none" w:sz="0" w:space="0" w:color="auto"/>
                                                              </w:divBdr>
                                                              <w:divsChild>
                                                                <w:div w:id="2029480613">
                                                                  <w:marLeft w:val="0"/>
                                                                  <w:marRight w:val="0"/>
                                                                  <w:marTop w:val="0"/>
                                                                  <w:marBottom w:val="0"/>
                                                                  <w:divBdr>
                                                                    <w:top w:val="none" w:sz="0" w:space="0" w:color="auto"/>
                                                                    <w:left w:val="none" w:sz="0" w:space="0" w:color="auto"/>
                                                                    <w:bottom w:val="none" w:sz="0" w:space="0" w:color="auto"/>
                                                                    <w:right w:val="none" w:sz="0" w:space="0" w:color="auto"/>
                                                                  </w:divBdr>
                                                                  <w:divsChild>
                                                                    <w:div w:id="1093361460">
                                                                      <w:marLeft w:val="0"/>
                                                                      <w:marRight w:val="0"/>
                                                                      <w:marTop w:val="0"/>
                                                                      <w:marBottom w:val="0"/>
                                                                      <w:divBdr>
                                                                        <w:top w:val="none" w:sz="0" w:space="0" w:color="auto"/>
                                                                        <w:left w:val="none" w:sz="0" w:space="0" w:color="auto"/>
                                                                        <w:bottom w:val="none" w:sz="0" w:space="0" w:color="auto"/>
                                                                        <w:right w:val="none" w:sz="0" w:space="0" w:color="auto"/>
                                                                      </w:divBdr>
                                                                      <w:divsChild>
                                                                        <w:div w:id="657877788">
                                                                          <w:marLeft w:val="0"/>
                                                                          <w:marRight w:val="0"/>
                                                                          <w:marTop w:val="0"/>
                                                                          <w:marBottom w:val="0"/>
                                                                          <w:divBdr>
                                                                            <w:top w:val="none" w:sz="0" w:space="0" w:color="auto"/>
                                                                            <w:left w:val="none" w:sz="0" w:space="0" w:color="auto"/>
                                                                            <w:bottom w:val="none" w:sz="0" w:space="0" w:color="auto"/>
                                                                            <w:right w:val="none" w:sz="0" w:space="0" w:color="auto"/>
                                                                          </w:divBdr>
                                                                          <w:divsChild>
                                                                            <w:div w:id="447546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78311387">
          <w:marLeft w:val="0"/>
          <w:marRight w:val="0"/>
          <w:marTop w:val="0"/>
          <w:marBottom w:val="0"/>
          <w:divBdr>
            <w:top w:val="none" w:sz="0" w:space="0" w:color="auto"/>
            <w:left w:val="none" w:sz="0" w:space="0" w:color="auto"/>
            <w:bottom w:val="none" w:sz="0" w:space="0" w:color="auto"/>
            <w:right w:val="none" w:sz="0" w:space="0" w:color="auto"/>
          </w:divBdr>
          <w:divsChild>
            <w:div w:id="1957131100">
              <w:marLeft w:val="0"/>
              <w:marRight w:val="0"/>
              <w:marTop w:val="0"/>
              <w:marBottom w:val="0"/>
              <w:divBdr>
                <w:top w:val="none" w:sz="0" w:space="0" w:color="auto"/>
                <w:left w:val="none" w:sz="0" w:space="0" w:color="auto"/>
                <w:bottom w:val="none" w:sz="0" w:space="0" w:color="auto"/>
                <w:right w:val="none" w:sz="0" w:space="0" w:color="auto"/>
              </w:divBdr>
              <w:divsChild>
                <w:div w:id="2085446819">
                  <w:marLeft w:val="0"/>
                  <w:marRight w:val="0"/>
                  <w:marTop w:val="0"/>
                  <w:marBottom w:val="0"/>
                  <w:divBdr>
                    <w:top w:val="none" w:sz="0" w:space="0" w:color="auto"/>
                    <w:left w:val="none" w:sz="0" w:space="0" w:color="auto"/>
                    <w:bottom w:val="none" w:sz="0" w:space="0" w:color="auto"/>
                    <w:right w:val="none" w:sz="0" w:space="0" w:color="auto"/>
                  </w:divBdr>
                  <w:divsChild>
                    <w:div w:id="1390809683">
                      <w:marLeft w:val="0"/>
                      <w:marRight w:val="0"/>
                      <w:marTop w:val="0"/>
                      <w:marBottom w:val="0"/>
                      <w:divBdr>
                        <w:top w:val="none" w:sz="0" w:space="0" w:color="auto"/>
                        <w:left w:val="none" w:sz="0" w:space="0" w:color="auto"/>
                        <w:bottom w:val="none" w:sz="0" w:space="0" w:color="auto"/>
                        <w:right w:val="none" w:sz="0" w:space="0" w:color="auto"/>
                      </w:divBdr>
                      <w:divsChild>
                        <w:div w:id="440153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3647051">
      <w:bodyDiv w:val="1"/>
      <w:marLeft w:val="0"/>
      <w:marRight w:val="0"/>
      <w:marTop w:val="0"/>
      <w:marBottom w:val="0"/>
      <w:divBdr>
        <w:top w:val="none" w:sz="0" w:space="0" w:color="auto"/>
        <w:left w:val="none" w:sz="0" w:space="0" w:color="auto"/>
        <w:bottom w:val="none" w:sz="0" w:space="0" w:color="auto"/>
        <w:right w:val="none" w:sz="0" w:space="0" w:color="auto"/>
      </w:divBdr>
    </w:div>
    <w:div w:id="1096750074">
      <w:bodyDiv w:val="1"/>
      <w:marLeft w:val="0"/>
      <w:marRight w:val="0"/>
      <w:marTop w:val="0"/>
      <w:marBottom w:val="0"/>
      <w:divBdr>
        <w:top w:val="none" w:sz="0" w:space="0" w:color="auto"/>
        <w:left w:val="none" w:sz="0" w:space="0" w:color="auto"/>
        <w:bottom w:val="none" w:sz="0" w:space="0" w:color="auto"/>
        <w:right w:val="none" w:sz="0" w:space="0" w:color="auto"/>
      </w:divBdr>
    </w:div>
    <w:div w:id="1115061054">
      <w:bodyDiv w:val="1"/>
      <w:marLeft w:val="0"/>
      <w:marRight w:val="0"/>
      <w:marTop w:val="0"/>
      <w:marBottom w:val="0"/>
      <w:divBdr>
        <w:top w:val="none" w:sz="0" w:space="0" w:color="auto"/>
        <w:left w:val="none" w:sz="0" w:space="0" w:color="auto"/>
        <w:bottom w:val="none" w:sz="0" w:space="0" w:color="auto"/>
        <w:right w:val="none" w:sz="0" w:space="0" w:color="auto"/>
      </w:divBdr>
    </w:div>
    <w:div w:id="1168011424">
      <w:bodyDiv w:val="1"/>
      <w:marLeft w:val="0"/>
      <w:marRight w:val="0"/>
      <w:marTop w:val="0"/>
      <w:marBottom w:val="0"/>
      <w:divBdr>
        <w:top w:val="none" w:sz="0" w:space="0" w:color="auto"/>
        <w:left w:val="none" w:sz="0" w:space="0" w:color="auto"/>
        <w:bottom w:val="none" w:sz="0" w:space="0" w:color="auto"/>
        <w:right w:val="none" w:sz="0" w:space="0" w:color="auto"/>
      </w:divBdr>
    </w:div>
    <w:div w:id="1200825964">
      <w:bodyDiv w:val="1"/>
      <w:marLeft w:val="0"/>
      <w:marRight w:val="0"/>
      <w:marTop w:val="0"/>
      <w:marBottom w:val="0"/>
      <w:divBdr>
        <w:top w:val="none" w:sz="0" w:space="0" w:color="auto"/>
        <w:left w:val="none" w:sz="0" w:space="0" w:color="auto"/>
        <w:bottom w:val="none" w:sz="0" w:space="0" w:color="auto"/>
        <w:right w:val="none" w:sz="0" w:space="0" w:color="auto"/>
      </w:divBdr>
    </w:div>
    <w:div w:id="1350719697">
      <w:bodyDiv w:val="1"/>
      <w:marLeft w:val="0"/>
      <w:marRight w:val="0"/>
      <w:marTop w:val="0"/>
      <w:marBottom w:val="0"/>
      <w:divBdr>
        <w:top w:val="none" w:sz="0" w:space="0" w:color="auto"/>
        <w:left w:val="none" w:sz="0" w:space="0" w:color="auto"/>
        <w:bottom w:val="none" w:sz="0" w:space="0" w:color="auto"/>
        <w:right w:val="none" w:sz="0" w:space="0" w:color="auto"/>
      </w:divBdr>
    </w:div>
    <w:div w:id="1450197121">
      <w:bodyDiv w:val="1"/>
      <w:marLeft w:val="0"/>
      <w:marRight w:val="0"/>
      <w:marTop w:val="0"/>
      <w:marBottom w:val="0"/>
      <w:divBdr>
        <w:top w:val="none" w:sz="0" w:space="0" w:color="auto"/>
        <w:left w:val="none" w:sz="0" w:space="0" w:color="auto"/>
        <w:bottom w:val="none" w:sz="0" w:space="0" w:color="auto"/>
        <w:right w:val="none" w:sz="0" w:space="0" w:color="auto"/>
      </w:divBdr>
    </w:div>
    <w:div w:id="1539851189">
      <w:bodyDiv w:val="1"/>
      <w:marLeft w:val="0"/>
      <w:marRight w:val="0"/>
      <w:marTop w:val="0"/>
      <w:marBottom w:val="0"/>
      <w:divBdr>
        <w:top w:val="none" w:sz="0" w:space="0" w:color="auto"/>
        <w:left w:val="none" w:sz="0" w:space="0" w:color="auto"/>
        <w:bottom w:val="none" w:sz="0" w:space="0" w:color="auto"/>
        <w:right w:val="none" w:sz="0" w:space="0" w:color="auto"/>
      </w:divBdr>
    </w:div>
    <w:div w:id="2058165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footnotes.xml.rels><?xml version="1.0" encoding="UTF-8" standalone="yes"?>
<Relationships xmlns="http://schemas.openxmlformats.org/package/2006/relationships"><Relationship Id="rId2" Type="http://schemas.openxmlformats.org/officeDocument/2006/relationships/hyperlink" Target="https://portavendore.al/2020/02/18/ligji-i-ri-per-strehimin-bashkia-e-tiranes-sorollat-te-pastrehet-me-ligjin-e-vjeter/" TargetMode="External"/><Relationship Id="rId1" Type="http://schemas.openxmlformats.org/officeDocument/2006/relationships/hyperlink" Target="https://www.reporter.al/2023/07/18/gjuha-e-kodit-penal-shqiptar-ruan-stigmen-rreth-homoseksualitetit/" TargetMode="External"/></Relationships>
</file>

<file path=word/_rels/header2.xml.rels><?xml version="1.0" encoding="UTF-8" standalone="yes"?>
<Relationships xmlns="http://schemas.openxmlformats.org/package/2006/relationships"><Relationship Id="rId3" Type="http://schemas.openxmlformats.org/officeDocument/2006/relationships/image" Target="file:////Users/kevinmwangi/Library/Containers/com.microsoft.Outlook/Data/Library/Caches/Signatures/signature_2523888288" TargetMode="External"/><Relationship Id="rId2" Type="http://schemas.openxmlformats.org/officeDocument/2006/relationships/image" Target="media/image2.png"/><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64F5FE0-F1A6-47B1-9E8C-CDE902B7E75E}">
  <we:reference id="wa200000368" version="1.0.0.0" store="en-US" storeType="OMEX"/>
  <we:alternateReferences>
    <we:reference id="wa200000368" version="1.0.0.0" store="WA200000368"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8A516A-09C0-44C5-B4CA-AE416B542A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12</Pages>
  <Words>4466</Words>
  <Characters>25458</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cp:lastPrinted>2023-08-24T18:04:00Z</cp:lastPrinted>
  <dcterms:created xsi:type="dcterms:W3CDTF">2024-08-10T21:40:00Z</dcterms:created>
  <dcterms:modified xsi:type="dcterms:W3CDTF">2024-08-10T21:47:00Z</dcterms:modified>
</cp:coreProperties>
</file>