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25F31" w:rsidRDefault="00036113">
      <w:pPr>
        <w:pStyle w:val="Title"/>
        <w:spacing w:after="100"/>
        <w:rPr>
          <w:sz w:val="28"/>
          <w:szCs w:val="28"/>
        </w:rPr>
      </w:pPr>
      <w:r>
        <w:rPr>
          <w:sz w:val="28"/>
          <w:szCs w:val="28"/>
        </w:rPr>
        <w:t>Submission to the Committee on the Elimination of Racial Discrimination (CERD)</w:t>
      </w:r>
    </w:p>
    <w:p w14:paraId="00000002" w14:textId="77777777" w:rsidR="00025F31" w:rsidRDefault="00025F31">
      <w:pPr>
        <w:pStyle w:val="Heading2"/>
        <w:spacing w:after="100"/>
        <w:jc w:val="center"/>
      </w:pPr>
    </w:p>
    <w:p w14:paraId="00000003" w14:textId="77777777" w:rsidR="00025F31" w:rsidRDefault="00025F31">
      <w:pPr>
        <w:pStyle w:val="Heading2"/>
        <w:spacing w:after="100"/>
        <w:jc w:val="center"/>
        <w:rPr>
          <w:color w:val="000000"/>
        </w:rPr>
      </w:pPr>
    </w:p>
    <w:p w14:paraId="00000004" w14:textId="77777777" w:rsidR="00025F31" w:rsidRDefault="00036113">
      <w:pPr>
        <w:pStyle w:val="Heading2"/>
        <w:spacing w:after="100"/>
        <w:jc w:val="center"/>
        <w:rPr>
          <w:color w:val="000000"/>
        </w:rPr>
      </w:pPr>
      <w:r>
        <w:rPr>
          <w:color w:val="000000"/>
        </w:rPr>
        <w:t>Follow-up to the Concluding Observations on Bosnia and Herzegovina (CERD/C/BIH/CO/14-15), paragraph 32</w:t>
      </w:r>
    </w:p>
    <w:p w14:paraId="00000005" w14:textId="77777777" w:rsidR="00025F31" w:rsidRDefault="00036113">
      <w:pPr>
        <w:spacing w:after="50"/>
        <w:jc w:val="center"/>
        <w:rPr>
          <w:sz w:val="24"/>
          <w:szCs w:val="24"/>
        </w:rPr>
      </w:pPr>
      <w:r>
        <w:rPr>
          <w:sz w:val="24"/>
          <w:szCs w:val="24"/>
        </w:rPr>
        <w:t>118th Session (10–25 August 2026)</w:t>
      </w:r>
    </w:p>
    <w:p w14:paraId="00000006" w14:textId="77777777" w:rsidR="00025F31" w:rsidRDefault="00025F31">
      <w:pPr>
        <w:spacing w:after="50"/>
        <w:jc w:val="center"/>
        <w:rPr>
          <w:sz w:val="24"/>
          <w:szCs w:val="24"/>
        </w:rPr>
      </w:pPr>
    </w:p>
    <w:p w14:paraId="00000007" w14:textId="77777777" w:rsidR="00025F31" w:rsidRDefault="00025F31">
      <w:pPr>
        <w:spacing w:after="50"/>
        <w:jc w:val="center"/>
        <w:rPr>
          <w:sz w:val="24"/>
          <w:szCs w:val="24"/>
        </w:rPr>
      </w:pPr>
    </w:p>
    <w:p w14:paraId="00000008" w14:textId="77777777" w:rsidR="00025F31" w:rsidRDefault="00025F31">
      <w:pPr>
        <w:spacing w:after="50"/>
        <w:jc w:val="center"/>
        <w:rPr>
          <w:sz w:val="24"/>
          <w:szCs w:val="24"/>
        </w:rPr>
      </w:pPr>
    </w:p>
    <w:p w14:paraId="00000009" w14:textId="77777777" w:rsidR="00025F31" w:rsidRDefault="00025F31">
      <w:pPr>
        <w:spacing w:after="50"/>
        <w:jc w:val="center"/>
        <w:rPr>
          <w:sz w:val="24"/>
          <w:szCs w:val="24"/>
        </w:rPr>
      </w:pPr>
    </w:p>
    <w:p w14:paraId="0000000A" w14:textId="77777777" w:rsidR="00025F31" w:rsidRDefault="00036113">
      <w:pPr>
        <w:spacing w:after="50"/>
        <w:jc w:val="center"/>
        <w:rPr>
          <w:sz w:val="24"/>
          <w:szCs w:val="24"/>
        </w:rPr>
      </w:pPr>
      <w:r>
        <w:rPr>
          <w:sz w:val="24"/>
          <w:szCs w:val="24"/>
        </w:rPr>
        <w:t xml:space="preserve">Submitted by: </w:t>
      </w:r>
    </w:p>
    <w:p w14:paraId="0000000B" w14:textId="77777777" w:rsidR="00025F31" w:rsidRDefault="00036113">
      <w:pPr>
        <w:spacing w:after="50"/>
        <w:jc w:val="center"/>
        <w:rPr>
          <w:sz w:val="24"/>
          <w:szCs w:val="24"/>
        </w:rPr>
      </w:pPr>
      <w:r>
        <w:rPr>
          <w:sz w:val="24"/>
          <w:szCs w:val="24"/>
        </w:rPr>
        <w:t>Border Violence Monitoring Network &amp; Collective Aid</w:t>
      </w:r>
    </w:p>
    <w:p w14:paraId="0000000C" w14:textId="77777777" w:rsidR="00025F31" w:rsidRDefault="00036113">
      <w:pPr>
        <w:spacing w:after="50"/>
        <w:jc w:val="center"/>
        <w:rPr>
          <w:sz w:val="24"/>
          <w:szCs w:val="24"/>
        </w:rPr>
      </w:pPr>
      <w:r>
        <w:rPr>
          <w:sz w:val="24"/>
          <w:szCs w:val="24"/>
        </w:rPr>
        <w:t>(July 20</w:t>
      </w:r>
      <w:proofErr w:type="gramStart"/>
      <w:r>
        <w:rPr>
          <w:sz w:val="24"/>
          <w:szCs w:val="24"/>
        </w:rPr>
        <w:t xml:space="preserve"> 2026</w:t>
      </w:r>
      <w:proofErr w:type="gramEnd"/>
      <w:r>
        <w:rPr>
          <w:sz w:val="24"/>
          <w:szCs w:val="24"/>
        </w:rPr>
        <w:t>)</w:t>
      </w:r>
    </w:p>
    <w:p w14:paraId="0000000D" w14:textId="77777777" w:rsidR="00025F31" w:rsidRDefault="00025F31">
      <w:pPr>
        <w:pStyle w:val="Heading1"/>
        <w:spacing w:after="150"/>
      </w:pPr>
    </w:p>
    <w:p w14:paraId="0000000E" w14:textId="77777777" w:rsidR="00025F31" w:rsidRDefault="00025F31">
      <w:pPr>
        <w:pStyle w:val="Heading1"/>
        <w:spacing w:after="150"/>
      </w:pPr>
    </w:p>
    <w:p w14:paraId="0000000F" w14:textId="77777777" w:rsidR="00025F31" w:rsidRDefault="00025F31">
      <w:pPr>
        <w:pStyle w:val="Heading1"/>
        <w:spacing w:after="150"/>
      </w:pPr>
    </w:p>
    <w:p w14:paraId="00000010" w14:textId="77777777" w:rsidR="00025F31" w:rsidRDefault="00025F31">
      <w:pPr>
        <w:pStyle w:val="Heading1"/>
        <w:spacing w:after="150"/>
      </w:pPr>
    </w:p>
    <w:p w14:paraId="00000011" w14:textId="77777777" w:rsidR="00025F31" w:rsidRDefault="00025F31">
      <w:pPr>
        <w:pStyle w:val="Heading1"/>
        <w:spacing w:after="150"/>
      </w:pPr>
    </w:p>
    <w:p w14:paraId="00000012" w14:textId="77777777" w:rsidR="00025F31" w:rsidRDefault="00025F31">
      <w:pPr>
        <w:pStyle w:val="Heading1"/>
        <w:spacing w:after="150"/>
      </w:pPr>
    </w:p>
    <w:p w14:paraId="00000013" w14:textId="77777777" w:rsidR="00025F31" w:rsidRDefault="00025F31">
      <w:pPr>
        <w:pStyle w:val="Heading1"/>
        <w:spacing w:after="150"/>
      </w:pPr>
    </w:p>
    <w:p w14:paraId="00000014" w14:textId="77777777" w:rsidR="00025F31" w:rsidRDefault="00025F31">
      <w:pPr>
        <w:pStyle w:val="Heading1"/>
        <w:spacing w:after="150"/>
      </w:pPr>
    </w:p>
    <w:p w14:paraId="00000015" w14:textId="77777777" w:rsidR="00025F31" w:rsidRDefault="00025F31">
      <w:pPr>
        <w:pStyle w:val="Heading1"/>
        <w:spacing w:after="150"/>
      </w:pPr>
    </w:p>
    <w:p w14:paraId="00000016" w14:textId="77777777" w:rsidR="00025F31" w:rsidRDefault="00025F31">
      <w:pPr>
        <w:pStyle w:val="Heading1"/>
        <w:spacing w:after="150"/>
      </w:pPr>
    </w:p>
    <w:p w14:paraId="00000017" w14:textId="77777777" w:rsidR="00025F31" w:rsidRDefault="00025F31">
      <w:pPr>
        <w:pStyle w:val="Heading1"/>
        <w:spacing w:after="150"/>
      </w:pPr>
    </w:p>
    <w:p w14:paraId="00000018" w14:textId="77777777" w:rsidR="00025F31" w:rsidRDefault="00025F31">
      <w:pPr>
        <w:pStyle w:val="Heading1"/>
        <w:spacing w:after="150"/>
      </w:pPr>
    </w:p>
    <w:p w14:paraId="00000019" w14:textId="77777777" w:rsidR="00025F31" w:rsidRDefault="00025F31">
      <w:pPr>
        <w:pStyle w:val="Heading1"/>
        <w:spacing w:after="150"/>
      </w:pPr>
    </w:p>
    <w:p w14:paraId="0000001A" w14:textId="77777777" w:rsidR="00025F31" w:rsidRDefault="00025F31">
      <w:pPr>
        <w:pStyle w:val="Heading1"/>
        <w:spacing w:after="150"/>
      </w:pPr>
    </w:p>
    <w:p w14:paraId="0000001B" w14:textId="77777777" w:rsidR="00025F31" w:rsidRDefault="00025F31">
      <w:pPr>
        <w:pStyle w:val="Heading1"/>
        <w:spacing w:after="150"/>
      </w:pPr>
    </w:p>
    <w:p w14:paraId="0000001C" w14:textId="77777777" w:rsidR="00025F31" w:rsidRDefault="00025F31">
      <w:pPr>
        <w:pStyle w:val="Heading1"/>
        <w:spacing w:after="150"/>
      </w:pPr>
    </w:p>
    <w:p w14:paraId="0000001D" w14:textId="77777777" w:rsidR="00025F31" w:rsidRDefault="00025F31">
      <w:pPr>
        <w:pStyle w:val="Heading1"/>
        <w:spacing w:after="150"/>
        <w:rPr>
          <w:sz w:val="2"/>
          <w:szCs w:val="2"/>
        </w:rPr>
      </w:pPr>
    </w:p>
    <w:p w14:paraId="0000001E" w14:textId="77777777" w:rsidR="00025F31" w:rsidRDefault="00036113">
      <w:pPr>
        <w:pStyle w:val="Heading1"/>
        <w:keepNext/>
        <w:spacing w:before="200" w:after="200" w:line="276" w:lineRule="auto"/>
        <w:jc w:val="both"/>
        <w:rPr>
          <w:b/>
          <w:bCs/>
          <w:color w:val="000000"/>
          <w:sz w:val="24"/>
          <w:szCs w:val="24"/>
        </w:rPr>
      </w:pPr>
      <w:r>
        <w:rPr>
          <w:b/>
          <w:bCs/>
          <w:color w:val="000000"/>
          <w:sz w:val="24"/>
          <w:szCs w:val="24"/>
        </w:rPr>
        <w:lastRenderedPageBreak/>
        <w:t>I. Reporting Organisation</w:t>
      </w:r>
    </w:p>
    <w:p w14:paraId="0000001F" w14:textId="77777777" w:rsidR="00025F31" w:rsidRDefault="00036113">
      <w:pPr>
        <w:keepNext/>
        <w:spacing w:before="200" w:after="200" w:line="276" w:lineRule="auto"/>
        <w:jc w:val="both"/>
        <w:rPr>
          <w:sz w:val="24"/>
          <w:szCs w:val="24"/>
        </w:rPr>
      </w:pPr>
      <w:r>
        <w:rPr>
          <w:sz w:val="24"/>
          <w:szCs w:val="24"/>
        </w:rPr>
        <w:t>1. The Border Violence Monitoring Network (BVMN) is a coalition of 20+ organisations working to document illegal pushbacks, collective expulsions, detention, and police violence along the EU’s external borders in the Western Balkans, Poland, Bulgaria, France, Turkey and Greece. The collection of data on illegal pushbacks and police violence is done by a consortium of independent field experts who are part of or cooperate with humanitarian support groups united through the Border Violence Monitoring Network.</w:t>
      </w:r>
    </w:p>
    <w:p w14:paraId="00000020" w14:textId="77777777" w:rsidR="00025F31" w:rsidRDefault="00036113">
      <w:pPr>
        <w:keepNext/>
        <w:spacing w:before="200" w:after="200" w:line="276" w:lineRule="auto"/>
        <w:jc w:val="both"/>
        <w:rPr>
          <w:sz w:val="24"/>
          <w:szCs w:val="24"/>
        </w:rPr>
      </w:pPr>
      <w:r>
        <w:rPr>
          <w:sz w:val="24"/>
          <w:szCs w:val="24"/>
        </w:rPr>
        <w:t xml:space="preserve">2. Collective Aid is a grassroots organization providing material assistance to refugees and displaced people in Serbia, Bosnia and Herzegovina, and Greece. It is a member of the Border Violence Monitoring Network (BVMN) and documents testimonies of border violence and illegal pushbacks across its operational sites. Central to its work is the development and application of its core investigative methodology, </w:t>
      </w:r>
      <w:hyperlink r:id="rId8">
        <w:r>
          <w:rPr>
            <w:color w:val="1155CC"/>
            <w:sz w:val="24"/>
            <w:szCs w:val="24"/>
            <w:u w:val="single"/>
          </w:rPr>
          <w:t>Total Incident Ecology (TIE).</w:t>
        </w:r>
      </w:hyperlink>
      <w:r>
        <w:rPr>
          <w:sz w:val="24"/>
          <w:szCs w:val="24"/>
        </w:rPr>
        <w:t xml:space="preserve">  It combines testimony collection with open-source research, spatial analysis, and multi-source verification to systematically map incidents of detention, border violence, and deaths and disappearances. Through this approach, Collective Aid produces evidence-based analyses that identify patterns of harm and responsibility across border regions.</w:t>
      </w:r>
      <w:r>
        <w:rPr>
          <w:sz w:val="24"/>
          <w:szCs w:val="24"/>
        </w:rPr>
        <w:br/>
      </w:r>
    </w:p>
    <w:p w14:paraId="00000021" w14:textId="77777777" w:rsidR="00025F31" w:rsidRDefault="00036113">
      <w:pPr>
        <w:keepNext/>
        <w:spacing w:before="200" w:after="200" w:line="276" w:lineRule="auto"/>
        <w:jc w:val="both"/>
        <w:rPr>
          <w:b/>
          <w:bCs/>
          <w:sz w:val="24"/>
          <w:szCs w:val="24"/>
        </w:rPr>
      </w:pPr>
      <w:r>
        <w:rPr>
          <w:b/>
          <w:bCs/>
          <w:sz w:val="24"/>
          <w:szCs w:val="24"/>
        </w:rPr>
        <w:t>II. Purpose and Scope of this Submission</w:t>
      </w:r>
    </w:p>
    <w:p w14:paraId="00000022" w14:textId="77777777" w:rsidR="00025F31" w:rsidRDefault="00036113">
      <w:pPr>
        <w:keepNext/>
        <w:spacing w:before="200" w:after="200" w:line="276" w:lineRule="auto"/>
        <w:jc w:val="both"/>
        <w:rPr>
          <w:sz w:val="24"/>
          <w:szCs w:val="24"/>
        </w:rPr>
      </w:pPr>
      <w:r>
        <w:rPr>
          <w:sz w:val="24"/>
          <w:szCs w:val="24"/>
        </w:rPr>
        <w:t>3. At its 113th session, the Committee on the Elimination of Racial Discrimination (CERD) requested Bosnia and Herzegovina to report, within one year, on implementation of the recommendations in paragraphs 20, 22, and 32 of its Concluding Observations.</w:t>
      </w:r>
      <w:r>
        <w:rPr>
          <w:sz w:val="24"/>
          <w:szCs w:val="24"/>
          <w:vertAlign w:val="superscript"/>
        </w:rPr>
        <w:footnoteReference w:id="1"/>
      </w:r>
      <w:r>
        <w:rPr>
          <w:sz w:val="24"/>
          <w:szCs w:val="24"/>
        </w:rPr>
        <w:t xml:space="preserve"> In response, Bosnia and Herzegovina submitted its follow-up report on 24 October 2025.</w:t>
      </w:r>
      <w:r>
        <w:rPr>
          <w:sz w:val="24"/>
          <w:szCs w:val="24"/>
          <w:vertAlign w:val="superscript"/>
        </w:rPr>
        <w:footnoteReference w:id="2"/>
      </w:r>
      <w:r>
        <w:rPr>
          <w:sz w:val="24"/>
          <w:szCs w:val="24"/>
        </w:rPr>
        <w:t xml:space="preserve"> This submission responds specifically to the lack of progress, and regression made in the areas of concern listed in paragraph 32 (situation of migrants, asylum-seekers and refugees).</w:t>
      </w:r>
    </w:p>
    <w:p w14:paraId="00000023" w14:textId="77777777" w:rsidR="00025F31" w:rsidRDefault="00036113">
      <w:pPr>
        <w:keepNext/>
        <w:spacing w:before="200" w:after="200" w:line="276" w:lineRule="auto"/>
        <w:jc w:val="both"/>
        <w:rPr>
          <w:b/>
          <w:bCs/>
          <w:sz w:val="24"/>
          <w:szCs w:val="24"/>
        </w:rPr>
      </w:pPr>
      <w:r>
        <w:rPr>
          <w:sz w:val="24"/>
          <w:szCs w:val="24"/>
        </w:rPr>
        <w:t>4.</w:t>
      </w:r>
      <w:r>
        <w:rPr>
          <w:b/>
          <w:bCs/>
          <w:sz w:val="24"/>
          <w:szCs w:val="24"/>
        </w:rPr>
        <w:t xml:space="preserve"> </w:t>
      </w:r>
      <w:r>
        <w:rPr>
          <w:sz w:val="24"/>
          <w:szCs w:val="24"/>
        </w:rPr>
        <w:t xml:space="preserve">We make this submission recalling the Committee’s position on immigration detention and border policies, laid out in its Joint General Recommendation (No.39/No.8) issued with the UN Committee on Migrant Workers (2025), specifically the Committee’s recommendation that “States </w:t>
      </w:r>
      <w:r>
        <w:rPr>
          <w:sz w:val="24"/>
          <w:szCs w:val="24"/>
        </w:rPr>
        <w:lastRenderedPageBreak/>
        <w:t>Parties take all appropriate measures without delay to progressively abolish migration-related detention policies and practices.”</w:t>
      </w:r>
      <w:r>
        <w:rPr>
          <w:b/>
          <w:bCs/>
          <w:sz w:val="24"/>
          <w:szCs w:val="24"/>
        </w:rPr>
        <w:t xml:space="preserve"> </w:t>
      </w:r>
      <w:r>
        <w:rPr>
          <w:sz w:val="24"/>
          <w:szCs w:val="24"/>
          <w:vertAlign w:val="superscript"/>
        </w:rPr>
        <w:footnoteReference w:id="3"/>
      </w:r>
    </w:p>
    <w:p w14:paraId="00000024" w14:textId="77777777" w:rsidR="00025F31" w:rsidRDefault="00036113">
      <w:pPr>
        <w:pStyle w:val="Heading1"/>
        <w:keepNext/>
        <w:spacing w:before="200" w:after="200" w:line="276" w:lineRule="auto"/>
        <w:jc w:val="both"/>
        <w:rPr>
          <w:b/>
          <w:bCs/>
          <w:color w:val="000000"/>
          <w:sz w:val="24"/>
          <w:szCs w:val="24"/>
        </w:rPr>
      </w:pPr>
      <w:r>
        <w:rPr>
          <w:b/>
          <w:bCs/>
          <w:color w:val="000000"/>
          <w:sz w:val="24"/>
          <w:szCs w:val="24"/>
        </w:rPr>
        <w:t xml:space="preserve">III. Bosnia’s Failure to Address Recommendations </w:t>
      </w:r>
    </w:p>
    <w:p w14:paraId="00000025" w14:textId="77777777" w:rsidR="00025F31" w:rsidRDefault="00036113">
      <w:pPr>
        <w:pStyle w:val="Heading2"/>
        <w:keepNext/>
        <w:spacing w:before="200" w:after="200" w:line="276" w:lineRule="auto"/>
        <w:jc w:val="both"/>
        <w:rPr>
          <w:b/>
          <w:bCs/>
          <w:color w:val="000000"/>
          <w:sz w:val="24"/>
          <w:szCs w:val="24"/>
          <w:u w:val="single"/>
        </w:rPr>
      </w:pPr>
      <w:r>
        <w:rPr>
          <w:b/>
          <w:bCs/>
          <w:color w:val="000000"/>
          <w:sz w:val="24"/>
          <w:szCs w:val="24"/>
          <w:u w:val="single"/>
        </w:rPr>
        <w:t>32(a) — Ensure respect for non-refoulement; effective access to asylum procedures</w:t>
      </w:r>
      <w:r>
        <w:rPr>
          <w:b/>
          <w:bCs/>
          <w:color w:val="000000"/>
          <w:sz w:val="24"/>
          <w:szCs w:val="24"/>
          <w:u w:val="single"/>
          <w:vertAlign w:val="superscript"/>
        </w:rPr>
        <w:footnoteReference w:id="4"/>
      </w:r>
    </w:p>
    <w:p w14:paraId="00000026" w14:textId="77777777" w:rsidR="00025F31" w:rsidRDefault="00036113">
      <w:pPr>
        <w:keepNext/>
        <w:pBdr>
          <w:top w:val="nil"/>
          <w:left w:val="nil"/>
          <w:bottom w:val="nil"/>
          <w:right w:val="nil"/>
          <w:between w:val="nil"/>
        </w:pBdr>
        <w:spacing w:before="200" w:line="276" w:lineRule="auto"/>
        <w:jc w:val="both"/>
        <w:rPr>
          <w:sz w:val="24"/>
          <w:szCs w:val="24"/>
          <w:vertAlign w:val="superscript"/>
        </w:rPr>
      </w:pPr>
      <w:r>
        <w:rPr>
          <w:sz w:val="24"/>
          <w:szCs w:val="24"/>
        </w:rPr>
        <w:t>4. The UN Special Rapporteur on Migrants has recognised that the use of pushbacks by State security forces is so widespread that it exists along most migration routes and represents ‘</w:t>
      </w:r>
      <w:r>
        <w:rPr>
          <w:i/>
          <w:iCs/>
          <w:sz w:val="24"/>
          <w:szCs w:val="24"/>
        </w:rPr>
        <w:t>an entrenched prejudice against migrants.’</w:t>
      </w:r>
      <w:r>
        <w:rPr>
          <w:sz w:val="24"/>
          <w:szCs w:val="24"/>
        </w:rPr>
        <w:t xml:space="preserve"> The use of pushbacks has been confirmed by both the CMW</w:t>
      </w:r>
      <w:r>
        <w:rPr>
          <w:sz w:val="24"/>
          <w:szCs w:val="24"/>
          <w:vertAlign w:val="superscript"/>
        </w:rPr>
        <w:footnoteReference w:id="5"/>
      </w:r>
      <w:r>
        <w:rPr>
          <w:sz w:val="24"/>
          <w:szCs w:val="24"/>
        </w:rPr>
        <w:t xml:space="preserve"> and the CERD</w:t>
      </w:r>
      <w:r>
        <w:rPr>
          <w:sz w:val="24"/>
          <w:szCs w:val="24"/>
          <w:vertAlign w:val="superscript"/>
        </w:rPr>
        <w:footnoteReference w:id="6"/>
      </w:r>
      <w:r>
        <w:rPr>
          <w:sz w:val="24"/>
          <w:szCs w:val="24"/>
        </w:rPr>
        <w:t>, as well as a range of other Treaty Bodies and international human rights mechanisms.</w:t>
      </w:r>
      <w:r>
        <w:rPr>
          <w:sz w:val="24"/>
          <w:szCs w:val="24"/>
          <w:vertAlign w:val="superscript"/>
        </w:rPr>
        <w:footnoteReference w:id="7"/>
      </w:r>
    </w:p>
    <w:p w14:paraId="00000027" w14:textId="77777777" w:rsidR="00025F31" w:rsidRDefault="00036113">
      <w:pPr>
        <w:keepNext/>
        <w:pBdr>
          <w:top w:val="nil"/>
          <w:left w:val="nil"/>
          <w:bottom w:val="nil"/>
          <w:right w:val="nil"/>
          <w:between w:val="nil"/>
        </w:pBdr>
        <w:spacing w:after="200"/>
        <w:jc w:val="both"/>
        <w:rPr>
          <w:sz w:val="24"/>
          <w:szCs w:val="24"/>
        </w:rPr>
      </w:pPr>
      <w:r>
        <w:rPr>
          <w:sz w:val="24"/>
          <w:szCs w:val="24"/>
        </w:rPr>
        <w:br/>
        <w:t xml:space="preserve">4. To date, through our field-based member organisations, </w:t>
      </w:r>
      <w:r>
        <w:rPr>
          <w:sz w:val="24"/>
          <w:szCs w:val="24"/>
        </w:rPr>
        <w:t>BVMN has collected evidence of over 25,000 pushbacks from 14 countries across Europe.</w:t>
      </w:r>
      <w:r>
        <w:rPr>
          <w:sz w:val="24"/>
          <w:szCs w:val="24"/>
        </w:rPr>
        <w:t xml:space="preserve"> We affirm that such practices are now so frequent they represent an unofficial strategy of European states’ border management.</w:t>
      </w:r>
    </w:p>
    <w:p w14:paraId="00000028" w14:textId="77777777" w:rsidR="00025F31" w:rsidRDefault="00036113">
      <w:pPr>
        <w:keepNext/>
        <w:pBdr>
          <w:top w:val="nil"/>
          <w:left w:val="nil"/>
          <w:bottom w:val="nil"/>
          <w:right w:val="nil"/>
          <w:between w:val="nil"/>
        </w:pBdr>
        <w:spacing w:before="200" w:after="200" w:line="276" w:lineRule="auto"/>
        <w:jc w:val="both"/>
        <w:rPr>
          <w:i/>
          <w:iCs/>
          <w:sz w:val="24"/>
          <w:szCs w:val="24"/>
        </w:rPr>
      </w:pPr>
      <w:r>
        <w:rPr>
          <w:i/>
          <w:iCs/>
          <w:sz w:val="24"/>
          <w:szCs w:val="24"/>
        </w:rPr>
        <w:t>Evidence of pushbacks</w:t>
      </w:r>
    </w:p>
    <w:p w14:paraId="00000029" w14:textId="77777777" w:rsidR="00025F31" w:rsidRDefault="00036113">
      <w:pPr>
        <w:keepNext/>
        <w:numPr>
          <w:ilvl w:val="0"/>
          <w:numId w:val="1"/>
        </w:numPr>
        <w:pBdr>
          <w:top w:val="nil"/>
          <w:left w:val="nil"/>
          <w:bottom w:val="nil"/>
          <w:right w:val="nil"/>
          <w:between w:val="nil"/>
        </w:pBdr>
        <w:spacing w:before="200" w:after="200" w:line="276" w:lineRule="auto"/>
        <w:jc w:val="both"/>
        <w:rPr>
          <w:sz w:val="24"/>
          <w:szCs w:val="24"/>
        </w:rPr>
      </w:pPr>
      <w:r>
        <w:rPr>
          <w:sz w:val="24"/>
          <w:szCs w:val="24"/>
        </w:rPr>
        <w:t xml:space="preserve">On September 26, 2024, three men arrived at the Serbian border town of </w:t>
      </w:r>
      <w:proofErr w:type="spellStart"/>
      <w:r>
        <w:rPr>
          <w:sz w:val="24"/>
          <w:szCs w:val="24"/>
        </w:rPr>
        <w:t>Loznica</w:t>
      </w:r>
      <w:proofErr w:type="spellEnd"/>
      <w:r>
        <w:rPr>
          <w:sz w:val="24"/>
          <w:szCs w:val="24"/>
        </w:rPr>
        <w:t xml:space="preserve"> on the banks of the Drina River between Serbia and Bosnia. The group was on a </w:t>
      </w:r>
      <w:r>
        <w:rPr>
          <w:sz w:val="24"/>
          <w:szCs w:val="24"/>
        </w:rPr>
        <w:t>bridge</w:t>
      </w:r>
      <w:r>
        <w:rPr>
          <w:sz w:val="24"/>
          <w:szCs w:val="24"/>
        </w:rPr>
        <w:t xml:space="preserve"> crossing the river when uniformed men used tear gas on the group to prevent them from entering Bosnian territory. The uniformed men were identified as Bosnian police officials wearing dark blue uniforms. The police then pushed the group back across the border to the outskirts of </w:t>
      </w:r>
      <w:proofErr w:type="spellStart"/>
      <w:r>
        <w:rPr>
          <w:sz w:val="24"/>
          <w:szCs w:val="24"/>
        </w:rPr>
        <w:t>Loznica</w:t>
      </w:r>
      <w:proofErr w:type="spellEnd"/>
      <w:r>
        <w:rPr>
          <w:sz w:val="24"/>
          <w:szCs w:val="24"/>
        </w:rPr>
        <w:t>.</w:t>
      </w:r>
      <w:r>
        <w:rPr>
          <w:sz w:val="24"/>
          <w:szCs w:val="24"/>
          <w:vertAlign w:val="superscript"/>
        </w:rPr>
        <w:footnoteReference w:id="8"/>
      </w:r>
      <w:r>
        <w:rPr>
          <w:sz w:val="24"/>
          <w:szCs w:val="24"/>
        </w:rPr>
        <w:t xml:space="preserve"> </w:t>
      </w:r>
    </w:p>
    <w:p w14:paraId="0000002A" w14:textId="77777777" w:rsidR="00025F31" w:rsidRDefault="00036113">
      <w:pPr>
        <w:keepNext/>
        <w:numPr>
          <w:ilvl w:val="0"/>
          <w:numId w:val="1"/>
        </w:numPr>
        <w:pBdr>
          <w:top w:val="nil"/>
          <w:left w:val="nil"/>
          <w:bottom w:val="nil"/>
          <w:right w:val="nil"/>
          <w:between w:val="nil"/>
        </w:pBdr>
        <w:spacing w:before="200" w:after="200" w:line="276" w:lineRule="auto"/>
        <w:jc w:val="both"/>
        <w:rPr>
          <w:sz w:val="24"/>
          <w:szCs w:val="24"/>
        </w:rPr>
      </w:pPr>
      <w:r>
        <w:rPr>
          <w:sz w:val="24"/>
          <w:szCs w:val="24"/>
        </w:rPr>
        <w:t xml:space="preserve">On September 29, 2024, a 53-year-old man traveling with a group of 29 people was attempting to cross the border on the Sremska </w:t>
      </w:r>
      <w:proofErr w:type="spellStart"/>
      <w:r>
        <w:rPr>
          <w:sz w:val="24"/>
          <w:szCs w:val="24"/>
        </w:rPr>
        <w:t>Rača</w:t>
      </w:r>
      <w:proofErr w:type="spellEnd"/>
      <w:r>
        <w:rPr>
          <w:sz w:val="24"/>
          <w:szCs w:val="24"/>
        </w:rPr>
        <w:t xml:space="preserve"> bridge, when they were apprehended </w:t>
      </w:r>
      <w:r>
        <w:rPr>
          <w:sz w:val="24"/>
          <w:szCs w:val="24"/>
        </w:rPr>
        <w:lastRenderedPageBreak/>
        <w:t>4 Bosnian policemen who asked, “why are you coming into Bosnia?” before proceeding to hit them. Afterwards, they were forced to lie on the ground face down. The Bosnian police stripped the respondent of all his clothes, except for his underwear and socks. The policeman took their phones and money and threw them into the river below, together with all his clothes. Meanwhile, the officers taunted him</w:t>
      </w:r>
      <w:r>
        <w:rPr>
          <w:sz w:val="24"/>
          <w:szCs w:val="24"/>
        </w:rPr>
        <w:t xml:space="preserve"> and</w:t>
      </w:r>
      <w:r>
        <w:rPr>
          <w:sz w:val="24"/>
          <w:szCs w:val="24"/>
        </w:rPr>
        <w:t xml:space="preserve"> used an electric taser on the back of the respondent’s legs and lo</w:t>
      </w:r>
      <w:r>
        <w:rPr>
          <w:sz w:val="24"/>
          <w:szCs w:val="24"/>
        </w:rPr>
        <w:t>wer back. The respondent said that he still has scars from the tasing. After this violence, they were grabbed by the arm and dragged back over the border into Serbia. Half a kilometre away from the bridge inside Serbia, 3 men the respondent could identify as Serbian police officers from the Gendarmery found him and started kicking him in the waist and lower back, causing further injuries.</w:t>
      </w:r>
      <w:r>
        <w:rPr>
          <w:sz w:val="24"/>
          <w:szCs w:val="24"/>
          <w:vertAlign w:val="superscript"/>
        </w:rPr>
        <w:footnoteReference w:id="9"/>
      </w:r>
    </w:p>
    <w:p w14:paraId="0000002B" w14:textId="77777777" w:rsidR="00025F31" w:rsidRDefault="00036113">
      <w:pPr>
        <w:keepNext/>
        <w:numPr>
          <w:ilvl w:val="0"/>
          <w:numId w:val="1"/>
        </w:numPr>
        <w:pBdr>
          <w:top w:val="nil"/>
          <w:left w:val="nil"/>
          <w:bottom w:val="nil"/>
          <w:right w:val="nil"/>
          <w:between w:val="nil"/>
        </w:pBdr>
        <w:spacing w:before="200" w:after="200" w:line="276" w:lineRule="auto"/>
        <w:jc w:val="both"/>
        <w:rPr>
          <w:sz w:val="24"/>
          <w:szCs w:val="24"/>
        </w:rPr>
      </w:pPr>
      <w:r>
        <w:rPr>
          <w:sz w:val="24"/>
          <w:szCs w:val="24"/>
        </w:rPr>
        <w:t xml:space="preserve">On April 24, 2024, a group of three men experienced two pushbacks in one day by Bosnian police officers. On their second attempt, the police officers took their phones and broke them so that they could not be used. The respondent asked for </w:t>
      </w:r>
      <w:proofErr w:type="gramStart"/>
      <w:r>
        <w:rPr>
          <w:sz w:val="24"/>
          <w:szCs w:val="24"/>
        </w:rPr>
        <w:t>water, and</w:t>
      </w:r>
      <w:proofErr w:type="gramEnd"/>
      <w:r>
        <w:rPr>
          <w:sz w:val="24"/>
          <w:szCs w:val="24"/>
        </w:rPr>
        <w:t xml:space="preserve"> was denied. He was then pushed back again to </w:t>
      </w:r>
      <w:r>
        <w:rPr>
          <w:sz w:val="24"/>
          <w:szCs w:val="24"/>
        </w:rPr>
        <w:t>Montenegro</w:t>
      </w:r>
      <w:r>
        <w:rPr>
          <w:sz w:val="24"/>
          <w:szCs w:val="24"/>
        </w:rPr>
        <w:t>.</w:t>
      </w:r>
      <w:r>
        <w:rPr>
          <w:sz w:val="24"/>
          <w:szCs w:val="24"/>
          <w:vertAlign w:val="superscript"/>
        </w:rPr>
        <w:footnoteReference w:id="10"/>
      </w:r>
      <w:r>
        <w:rPr>
          <w:sz w:val="24"/>
          <w:szCs w:val="24"/>
        </w:rPr>
        <w:t xml:space="preserve"> </w:t>
      </w:r>
    </w:p>
    <w:p w14:paraId="0000002C" w14:textId="77777777" w:rsidR="00025F31" w:rsidRDefault="00036113">
      <w:pPr>
        <w:pStyle w:val="Heading2"/>
        <w:keepNext/>
        <w:spacing w:before="200" w:after="200" w:line="276" w:lineRule="auto"/>
        <w:jc w:val="both"/>
        <w:rPr>
          <w:b/>
          <w:bCs/>
          <w:color w:val="000000"/>
          <w:sz w:val="24"/>
          <w:szCs w:val="24"/>
          <w:u w:val="single"/>
        </w:rPr>
      </w:pPr>
      <w:r>
        <w:rPr>
          <w:b/>
          <w:bCs/>
          <w:color w:val="000000"/>
          <w:sz w:val="24"/>
          <w:szCs w:val="24"/>
          <w:u w:val="single"/>
        </w:rPr>
        <w:t>32(b) — Immigration detention only as a measure of last resort; end detention of migrant children</w:t>
      </w:r>
      <w:r>
        <w:rPr>
          <w:b/>
          <w:bCs/>
          <w:color w:val="000000"/>
          <w:sz w:val="24"/>
          <w:szCs w:val="24"/>
          <w:u w:val="single"/>
          <w:vertAlign w:val="superscript"/>
        </w:rPr>
        <w:footnoteReference w:id="11"/>
      </w:r>
    </w:p>
    <w:p w14:paraId="0000002D" w14:textId="77777777" w:rsidR="00025F31" w:rsidRDefault="00036113">
      <w:pPr>
        <w:keepNext/>
        <w:numPr>
          <w:ilvl w:val="0"/>
          <w:numId w:val="1"/>
        </w:numPr>
        <w:spacing w:before="200" w:after="200" w:line="276" w:lineRule="auto"/>
        <w:jc w:val="both"/>
        <w:rPr>
          <w:sz w:val="24"/>
          <w:szCs w:val="24"/>
        </w:rPr>
      </w:pPr>
      <w:r>
        <w:rPr>
          <w:sz w:val="24"/>
          <w:szCs w:val="24"/>
        </w:rPr>
        <w:t xml:space="preserve">Despite Bosnia's claim that "unaccompanied minors are kept in the immigration centre exceptionally, only as a last measure and for the shortest possible time," evidence documented by Collective Aid shows a different reality. Between 2018 and 2024, 115 children were detained in </w:t>
      </w:r>
      <w:proofErr w:type="spellStart"/>
      <w:r>
        <w:rPr>
          <w:sz w:val="24"/>
          <w:szCs w:val="24"/>
        </w:rPr>
        <w:t>Lukavica</w:t>
      </w:r>
      <w:proofErr w:type="spellEnd"/>
      <w:r>
        <w:rPr>
          <w:sz w:val="24"/>
          <w:szCs w:val="24"/>
        </w:rPr>
        <w:t>, because Bosnian law still allows immigration detention of minors despite criticism from UNHCR.</w:t>
      </w:r>
      <w:r>
        <w:rPr>
          <w:sz w:val="24"/>
          <w:szCs w:val="24"/>
          <w:vertAlign w:val="superscript"/>
        </w:rPr>
        <w:footnoteReference w:id="12"/>
      </w:r>
      <w:r>
        <w:rPr>
          <w:sz w:val="24"/>
          <w:szCs w:val="24"/>
        </w:rPr>
        <w:t xml:space="preserve">  All of these children were held in conditions that are inappropriate and substandard for adults, and especially harmful for children.</w:t>
      </w:r>
      <w:r>
        <w:rPr>
          <w:sz w:val="24"/>
          <w:szCs w:val="24"/>
          <w:vertAlign w:val="superscript"/>
        </w:rPr>
        <w:footnoteReference w:id="13"/>
      </w:r>
      <w:r>
        <w:rPr>
          <w:sz w:val="24"/>
          <w:szCs w:val="24"/>
        </w:rPr>
        <w:t xml:space="preserve"> </w:t>
      </w:r>
    </w:p>
    <w:p w14:paraId="0000002E" w14:textId="77777777" w:rsidR="00025F31" w:rsidRDefault="00036113">
      <w:pPr>
        <w:keepNext/>
        <w:numPr>
          <w:ilvl w:val="0"/>
          <w:numId w:val="1"/>
        </w:numPr>
        <w:spacing w:before="200" w:after="200" w:line="276" w:lineRule="auto"/>
        <w:jc w:val="both"/>
        <w:rPr>
          <w:sz w:val="24"/>
          <w:szCs w:val="24"/>
        </w:rPr>
      </w:pPr>
      <w:r>
        <w:rPr>
          <w:sz w:val="24"/>
          <w:szCs w:val="24"/>
        </w:rPr>
        <w:t xml:space="preserve">In </w:t>
      </w:r>
      <w:proofErr w:type="spellStart"/>
      <w:r>
        <w:rPr>
          <w:sz w:val="24"/>
          <w:szCs w:val="24"/>
        </w:rPr>
        <w:t>Lukavica</w:t>
      </w:r>
      <w:proofErr w:type="spellEnd"/>
      <w:r>
        <w:rPr>
          <w:sz w:val="24"/>
          <w:szCs w:val="24"/>
        </w:rPr>
        <w:t>, beyond the material conditions, children face systematic violations of their rights to information, legal assistance and protection in Bosnia’s detention system. Safeguards that should exist on paper are often absent or ignored in practice.</w:t>
      </w:r>
    </w:p>
    <w:p w14:paraId="0000002F" w14:textId="77777777" w:rsidR="00025F31" w:rsidRDefault="00036113">
      <w:pPr>
        <w:keepNext/>
        <w:spacing w:before="200" w:after="200" w:line="276" w:lineRule="auto"/>
        <w:jc w:val="both"/>
        <w:rPr>
          <w:i/>
          <w:iCs/>
          <w:sz w:val="24"/>
          <w:szCs w:val="24"/>
        </w:rPr>
      </w:pPr>
      <w:r>
        <w:rPr>
          <w:i/>
          <w:iCs/>
          <w:sz w:val="24"/>
          <w:szCs w:val="24"/>
        </w:rPr>
        <w:t>Evidence of Harmful Detention of Children</w:t>
      </w:r>
    </w:p>
    <w:p w14:paraId="00000030" w14:textId="77777777" w:rsidR="00025F31" w:rsidRDefault="00036113">
      <w:pPr>
        <w:keepNext/>
        <w:numPr>
          <w:ilvl w:val="0"/>
          <w:numId w:val="1"/>
        </w:numPr>
        <w:spacing w:before="200" w:after="200" w:line="276" w:lineRule="auto"/>
        <w:jc w:val="both"/>
        <w:rPr>
          <w:sz w:val="24"/>
          <w:szCs w:val="24"/>
        </w:rPr>
      </w:pPr>
      <w:r>
        <w:rPr>
          <w:sz w:val="24"/>
          <w:szCs w:val="24"/>
        </w:rPr>
        <w:t xml:space="preserve">In the case of the Chechen women represented by Vasa Prava, it is underscored how children in detention are particularly vulnerable to the absence of proper safeguards. The </w:t>
      </w:r>
      <w:r>
        <w:rPr>
          <w:sz w:val="24"/>
          <w:szCs w:val="24"/>
        </w:rPr>
        <w:lastRenderedPageBreak/>
        <w:t xml:space="preserve">Chechen woman was treated as a security threat solely because the passport she carried did not match her real identity, even though she was a person in need of international protection. Her children were mis-registered as “relatives” without any indication that they were her offspring, and no one speaking their language helped them understand why their mother disappeared or where she had gone. The prolonged separation and lack of information reflect the broader pattern in </w:t>
      </w:r>
      <w:proofErr w:type="spellStart"/>
      <w:r>
        <w:rPr>
          <w:sz w:val="24"/>
          <w:szCs w:val="24"/>
        </w:rPr>
        <w:t>Lukavica</w:t>
      </w:r>
      <w:proofErr w:type="spellEnd"/>
      <w:r>
        <w:rPr>
          <w:sz w:val="24"/>
          <w:szCs w:val="24"/>
        </w:rPr>
        <w:t xml:space="preserve"> where children are detaine</w:t>
      </w:r>
      <w:r>
        <w:rPr>
          <w:sz w:val="24"/>
          <w:szCs w:val="24"/>
        </w:rPr>
        <w:t>d in conditions inappropriate for anyone, and especially damaging for minors, even while the law still allows their immigration detention despite repeated criticism from UNHCR and the Committee on the Rights of the Child.</w:t>
      </w:r>
      <w:r>
        <w:rPr>
          <w:sz w:val="24"/>
          <w:szCs w:val="24"/>
          <w:vertAlign w:val="superscript"/>
        </w:rPr>
        <w:footnoteReference w:id="14"/>
      </w:r>
    </w:p>
    <w:p w14:paraId="00000031" w14:textId="77777777" w:rsidR="00025F31" w:rsidRDefault="00036113">
      <w:pPr>
        <w:keepNext/>
        <w:numPr>
          <w:ilvl w:val="0"/>
          <w:numId w:val="1"/>
        </w:numPr>
        <w:spacing w:before="200" w:after="200" w:line="276" w:lineRule="auto"/>
        <w:jc w:val="both"/>
        <w:rPr>
          <w:sz w:val="24"/>
          <w:szCs w:val="24"/>
        </w:rPr>
      </w:pPr>
      <w:r>
        <w:rPr>
          <w:sz w:val="24"/>
          <w:szCs w:val="24"/>
        </w:rPr>
        <w:t>There are also multiple cases where minors are treated as adults in detention procedures. Vasa Prava reported that one of their clients, who was a minor, was held and processed as an adult; only after he attempted suicide did the authorities begin to question his age, and it then took six months for Vasa Prava to prove he was a child.</w:t>
      </w:r>
      <w:r>
        <w:rPr>
          <w:sz w:val="24"/>
          <w:szCs w:val="24"/>
          <w:vertAlign w:val="superscript"/>
        </w:rPr>
        <w:footnoteReference w:id="15"/>
      </w:r>
    </w:p>
    <w:p w14:paraId="00000032" w14:textId="77777777" w:rsidR="00025F31" w:rsidRDefault="00036113">
      <w:pPr>
        <w:keepNext/>
        <w:numPr>
          <w:ilvl w:val="0"/>
          <w:numId w:val="1"/>
        </w:numPr>
        <w:spacing w:before="200" w:after="200" w:line="276" w:lineRule="auto"/>
        <w:jc w:val="both"/>
        <w:rPr>
          <w:sz w:val="24"/>
          <w:szCs w:val="24"/>
        </w:rPr>
      </w:pPr>
      <w:r>
        <w:rPr>
          <w:sz w:val="24"/>
          <w:szCs w:val="24"/>
        </w:rPr>
        <w:t xml:space="preserve">A private lawyer reported similar failures in age assessment procedures, stating “there is no procedure for age assessment.” He represented a minor detained at </w:t>
      </w:r>
      <w:proofErr w:type="spellStart"/>
      <w:r>
        <w:rPr>
          <w:sz w:val="24"/>
          <w:szCs w:val="24"/>
        </w:rPr>
        <w:t>Lukavica</w:t>
      </w:r>
      <w:proofErr w:type="spellEnd"/>
      <w:r>
        <w:rPr>
          <w:sz w:val="24"/>
          <w:szCs w:val="24"/>
        </w:rPr>
        <w:t xml:space="preserve"> who was held while trying to prove his age. The boy was eventually transferred to </w:t>
      </w:r>
      <w:proofErr w:type="spellStart"/>
      <w:r>
        <w:rPr>
          <w:sz w:val="24"/>
          <w:szCs w:val="24"/>
        </w:rPr>
        <w:t>Delijaš</w:t>
      </w:r>
      <w:proofErr w:type="spellEnd"/>
      <w:r>
        <w:rPr>
          <w:sz w:val="24"/>
          <w:szCs w:val="24"/>
        </w:rPr>
        <w:t>, a non-prison facility where he could move freely, but when later arrested for a serious crime, authorities again treated him as an adult, despite being recognized as a child before. The lawyer had to re-prove the minor's age using a prior social worker decision that had already accepted him as a child without documents, avoiding a medical exam only because the court accepted the existing documentation. “The c</w:t>
      </w:r>
      <w:r>
        <w:rPr>
          <w:sz w:val="24"/>
          <w:szCs w:val="24"/>
        </w:rPr>
        <w:t xml:space="preserve">riminal procedures for minors and adults are different. </w:t>
      </w:r>
      <w:proofErr w:type="gramStart"/>
      <w:r>
        <w:rPr>
          <w:sz w:val="24"/>
          <w:szCs w:val="24"/>
        </w:rPr>
        <w:t>So</w:t>
      </w:r>
      <w:proofErr w:type="gramEnd"/>
      <w:r>
        <w:rPr>
          <w:sz w:val="24"/>
          <w:szCs w:val="24"/>
        </w:rPr>
        <w:t xml:space="preserve"> it was important that he was treated as a minor,” he emphasized.</w:t>
      </w:r>
      <w:r>
        <w:rPr>
          <w:sz w:val="24"/>
          <w:szCs w:val="24"/>
          <w:vertAlign w:val="superscript"/>
        </w:rPr>
        <w:footnoteReference w:id="16"/>
      </w:r>
    </w:p>
    <w:p w14:paraId="00000033" w14:textId="77777777" w:rsidR="00025F31" w:rsidRDefault="00036113">
      <w:pPr>
        <w:keepNext/>
        <w:numPr>
          <w:ilvl w:val="0"/>
          <w:numId w:val="1"/>
        </w:numPr>
        <w:spacing w:before="200" w:after="200" w:line="276" w:lineRule="auto"/>
        <w:jc w:val="both"/>
        <w:rPr>
          <w:sz w:val="24"/>
          <w:szCs w:val="24"/>
        </w:rPr>
      </w:pPr>
      <w:r>
        <w:rPr>
          <w:sz w:val="24"/>
          <w:szCs w:val="24"/>
        </w:rPr>
        <w:t>In another case (</w:t>
      </w:r>
      <w:proofErr w:type="spellStart"/>
      <w:r>
        <w:rPr>
          <w:sz w:val="24"/>
          <w:szCs w:val="24"/>
        </w:rPr>
        <w:t>Ustavni</w:t>
      </w:r>
      <w:proofErr w:type="spellEnd"/>
      <w:r>
        <w:rPr>
          <w:sz w:val="24"/>
          <w:szCs w:val="24"/>
        </w:rPr>
        <w:t xml:space="preserve"> </w:t>
      </w:r>
      <w:proofErr w:type="spellStart"/>
      <w:r>
        <w:rPr>
          <w:sz w:val="24"/>
          <w:szCs w:val="24"/>
        </w:rPr>
        <w:t>sud</w:t>
      </w:r>
      <w:proofErr w:type="spellEnd"/>
      <w:r>
        <w:rPr>
          <w:sz w:val="24"/>
          <w:szCs w:val="24"/>
        </w:rPr>
        <w:t xml:space="preserve"> BiH, AP-267/23),</w:t>
      </w:r>
      <w:r>
        <w:rPr>
          <w:sz w:val="24"/>
          <w:szCs w:val="24"/>
          <w:vertAlign w:val="superscript"/>
        </w:rPr>
        <w:footnoteReference w:id="17"/>
      </w:r>
      <w:r>
        <w:rPr>
          <w:sz w:val="24"/>
          <w:szCs w:val="24"/>
        </w:rPr>
        <w:t xml:space="preserve"> a boy who said he was a minor was placed under supervision in the Immigration </w:t>
      </w:r>
      <w:proofErr w:type="spellStart"/>
      <w:r>
        <w:rPr>
          <w:sz w:val="24"/>
          <w:szCs w:val="24"/>
        </w:rPr>
        <w:t>Center</w:t>
      </w:r>
      <w:proofErr w:type="spellEnd"/>
      <w:r>
        <w:rPr>
          <w:sz w:val="24"/>
          <w:szCs w:val="24"/>
        </w:rPr>
        <w:t xml:space="preserve"> in East Sarajevo after being returned from Croatia with forged Belgian identity documents. The police treated him as an adult, but the Constitutional Court later overturned this, confirming that he should have been treated as a child.</w:t>
      </w:r>
    </w:p>
    <w:p w14:paraId="00000034" w14:textId="77777777" w:rsidR="00025F31" w:rsidRDefault="00036113">
      <w:pPr>
        <w:keepNext/>
        <w:numPr>
          <w:ilvl w:val="0"/>
          <w:numId w:val="1"/>
        </w:numPr>
        <w:spacing w:before="200" w:after="200" w:line="276" w:lineRule="auto"/>
        <w:jc w:val="both"/>
        <w:rPr>
          <w:sz w:val="24"/>
          <w:szCs w:val="24"/>
        </w:rPr>
      </w:pPr>
      <w:r>
        <w:rPr>
          <w:sz w:val="24"/>
          <w:szCs w:val="24"/>
        </w:rPr>
        <w:t xml:space="preserve">Rather than winding detention down, the evidence points toward expansion, not contraction. Collective Aid documented an IOM tender from 2022 for an "extension and upgrade" of </w:t>
      </w:r>
      <w:proofErr w:type="spellStart"/>
      <w:r>
        <w:rPr>
          <w:sz w:val="24"/>
          <w:szCs w:val="24"/>
        </w:rPr>
        <w:t>Lukavica</w:t>
      </w:r>
      <w:proofErr w:type="spellEnd"/>
      <w:r>
        <w:rPr>
          <w:sz w:val="24"/>
          <w:szCs w:val="24"/>
        </w:rPr>
        <w:t xml:space="preserve">, multiple 2025 tenders for kitchen installation, furniture, and surveillance systems, and confirmed that as of March 2026, IOM was still issuing procurement calls for construction and upgrade works at the centre, thereby engaging in </w:t>
      </w:r>
      <w:r>
        <w:rPr>
          <w:sz w:val="24"/>
          <w:szCs w:val="24"/>
        </w:rPr>
        <w:lastRenderedPageBreak/>
        <w:t>institutional planning for a larger, more permanent detention capacity, not a facility being scaled back as a matter of last resort.</w:t>
      </w:r>
      <w:r>
        <w:rPr>
          <w:sz w:val="24"/>
          <w:szCs w:val="24"/>
          <w:vertAlign w:val="superscript"/>
        </w:rPr>
        <w:footnoteReference w:id="18"/>
      </w:r>
    </w:p>
    <w:p w14:paraId="00000035" w14:textId="77777777" w:rsidR="00025F31" w:rsidRDefault="00036113">
      <w:pPr>
        <w:pStyle w:val="Heading2"/>
        <w:keepNext/>
        <w:spacing w:before="200" w:after="200" w:line="276" w:lineRule="auto"/>
        <w:jc w:val="both"/>
        <w:rPr>
          <w:b/>
          <w:bCs/>
          <w:color w:val="000000"/>
          <w:sz w:val="24"/>
          <w:szCs w:val="24"/>
          <w:u w:val="single"/>
        </w:rPr>
      </w:pPr>
      <w:r>
        <w:rPr>
          <w:b/>
          <w:bCs/>
          <w:color w:val="000000"/>
          <w:sz w:val="24"/>
          <w:szCs w:val="24"/>
          <w:u w:val="single"/>
        </w:rPr>
        <w:t>32(c) — Adequate protection of unaccompanied children; timely access to legal guardians</w:t>
      </w:r>
      <w:r>
        <w:rPr>
          <w:b/>
          <w:bCs/>
          <w:color w:val="000000"/>
          <w:sz w:val="24"/>
          <w:szCs w:val="24"/>
          <w:u w:val="single"/>
          <w:vertAlign w:val="superscript"/>
        </w:rPr>
        <w:footnoteReference w:id="19"/>
      </w:r>
    </w:p>
    <w:p w14:paraId="00000036" w14:textId="77777777" w:rsidR="00025F31" w:rsidRDefault="00036113">
      <w:pPr>
        <w:keepNext/>
        <w:numPr>
          <w:ilvl w:val="0"/>
          <w:numId w:val="1"/>
        </w:numPr>
        <w:spacing w:before="200" w:after="200" w:line="276" w:lineRule="auto"/>
        <w:jc w:val="both"/>
        <w:rPr>
          <w:sz w:val="24"/>
          <w:szCs w:val="24"/>
        </w:rPr>
      </w:pPr>
      <w:r>
        <w:rPr>
          <w:sz w:val="24"/>
          <w:szCs w:val="24"/>
        </w:rPr>
        <w:t>While Bosnia's own follow-up report cites Article 123 of the Law on Foreigners as guaranteeing "special care and respect" for minors, and describes a temporary guardian (</w:t>
      </w:r>
      <w:proofErr w:type="spellStart"/>
      <w:r>
        <w:rPr>
          <w:sz w:val="24"/>
          <w:szCs w:val="24"/>
        </w:rPr>
        <w:t>Center</w:t>
      </w:r>
      <w:proofErr w:type="spellEnd"/>
      <w:r>
        <w:rPr>
          <w:sz w:val="24"/>
          <w:szCs w:val="24"/>
        </w:rPr>
        <w:t xml:space="preserve"> for Social Work) as appointed for all unaccompanied minors, in practice, evidence from both Bosnia's detention system and its reception system shows this protection failing in different ways, at different points in the process as children move through.</w:t>
      </w:r>
    </w:p>
    <w:p w14:paraId="00000037" w14:textId="77777777" w:rsidR="00025F31" w:rsidRDefault="00036113">
      <w:pPr>
        <w:keepNext/>
        <w:numPr>
          <w:ilvl w:val="0"/>
          <w:numId w:val="1"/>
        </w:numPr>
        <w:spacing w:before="200" w:after="200" w:line="276" w:lineRule="auto"/>
        <w:jc w:val="both"/>
        <w:rPr>
          <w:sz w:val="24"/>
          <w:szCs w:val="24"/>
        </w:rPr>
      </w:pPr>
      <w:r>
        <w:rPr>
          <w:b/>
          <w:bCs/>
          <w:sz w:val="24"/>
          <w:szCs w:val="24"/>
        </w:rPr>
        <w:t>In detention (</w:t>
      </w:r>
      <w:proofErr w:type="spellStart"/>
      <w:r>
        <w:rPr>
          <w:b/>
          <w:bCs/>
          <w:sz w:val="24"/>
          <w:szCs w:val="24"/>
        </w:rPr>
        <w:t>Lukavica</w:t>
      </w:r>
      <w:proofErr w:type="spellEnd"/>
      <w:r>
        <w:rPr>
          <w:b/>
          <w:bCs/>
          <w:sz w:val="24"/>
          <w:szCs w:val="24"/>
        </w:rPr>
        <w:t>):</w:t>
      </w:r>
      <w:r>
        <w:rPr>
          <w:sz w:val="24"/>
          <w:szCs w:val="24"/>
        </w:rPr>
        <w:t xml:space="preserve"> The Law on Aliens does not prohibit the detention of minors for immigration purposes, and on the contrary, it permits it explicitly, and sets out no additional safeguards or stricter criteria for children than for adults</w:t>
      </w:r>
    </w:p>
    <w:p w14:paraId="00000038" w14:textId="77777777" w:rsidR="00025F31" w:rsidRDefault="00036113">
      <w:pPr>
        <w:keepNext/>
        <w:numPr>
          <w:ilvl w:val="0"/>
          <w:numId w:val="1"/>
        </w:numPr>
        <w:spacing w:before="200" w:after="200" w:line="276" w:lineRule="auto"/>
        <w:jc w:val="both"/>
        <w:rPr>
          <w:sz w:val="24"/>
          <w:szCs w:val="24"/>
        </w:rPr>
      </w:pPr>
      <w:r>
        <w:rPr>
          <w:sz w:val="24"/>
          <w:szCs w:val="24"/>
        </w:rPr>
        <w:t xml:space="preserve">A further problem is the absence of proper legal guardianship for children in detention. Vasa prava noted that the SFA often wrongly designates who the “legal guardian” is for detained minors, simply </w:t>
      </w:r>
      <w:proofErr w:type="gramStart"/>
      <w:r>
        <w:rPr>
          <w:sz w:val="24"/>
          <w:szCs w:val="24"/>
        </w:rPr>
        <w:t>assuming that</w:t>
      </w:r>
      <w:proofErr w:type="gramEnd"/>
      <w:r>
        <w:rPr>
          <w:sz w:val="24"/>
          <w:szCs w:val="24"/>
        </w:rPr>
        <w:t xml:space="preserve"> people travelling together are relatives and issuing expulsion decisions for them as a group. </w:t>
      </w:r>
      <w:proofErr w:type="gramStart"/>
      <w:r>
        <w:rPr>
          <w:sz w:val="24"/>
          <w:szCs w:val="24"/>
        </w:rPr>
        <w:t>In reality, these</w:t>
      </w:r>
      <w:proofErr w:type="gramEnd"/>
      <w:r>
        <w:rPr>
          <w:sz w:val="24"/>
          <w:szCs w:val="24"/>
        </w:rPr>
        <w:t xml:space="preserve"> adults may not be related at all, placing children at risk of being deported to countries they have never lived in. Because having a legal guardian is also a formal requirement for a child to apply for asylum, these failures make it almost impossible for many detained children to access international protection from inside </w:t>
      </w:r>
      <w:proofErr w:type="spellStart"/>
      <w:r>
        <w:rPr>
          <w:sz w:val="24"/>
          <w:szCs w:val="24"/>
        </w:rPr>
        <w:t>Lukavica</w:t>
      </w:r>
      <w:proofErr w:type="spellEnd"/>
      <w:r>
        <w:rPr>
          <w:sz w:val="24"/>
          <w:szCs w:val="24"/>
        </w:rPr>
        <w:t>.</w:t>
      </w:r>
      <w:r>
        <w:rPr>
          <w:sz w:val="24"/>
          <w:szCs w:val="24"/>
          <w:vertAlign w:val="superscript"/>
        </w:rPr>
        <w:footnoteReference w:id="20"/>
      </w:r>
    </w:p>
    <w:p w14:paraId="00000039" w14:textId="77777777" w:rsidR="00025F31" w:rsidRDefault="00036113">
      <w:pPr>
        <w:keepNext/>
        <w:numPr>
          <w:ilvl w:val="0"/>
          <w:numId w:val="1"/>
        </w:numPr>
        <w:spacing w:before="200" w:after="200" w:line="276" w:lineRule="auto"/>
        <w:jc w:val="both"/>
        <w:rPr>
          <w:sz w:val="24"/>
          <w:szCs w:val="24"/>
        </w:rPr>
      </w:pPr>
      <w:r>
        <w:rPr>
          <w:sz w:val="24"/>
          <w:szCs w:val="24"/>
        </w:rPr>
        <w:t xml:space="preserve">Structural issues inside the centre remain as well, with only two lawyers covering the entire facility, and the centre's phone line described by detainees as "effectively non-functional"; and, </w:t>
      </w:r>
      <w:proofErr w:type="gramStart"/>
      <w:r>
        <w:rPr>
          <w:sz w:val="24"/>
          <w:szCs w:val="24"/>
        </w:rPr>
        <w:t>as a consequence</w:t>
      </w:r>
      <w:proofErr w:type="gramEnd"/>
      <w:r>
        <w:rPr>
          <w:sz w:val="24"/>
          <w:szCs w:val="24"/>
        </w:rPr>
        <w:t>, self-harm attempts by minors, including at least one case of a child attempting suicide while being administratively treated as an adult.</w:t>
      </w:r>
    </w:p>
    <w:p w14:paraId="0000003A" w14:textId="77777777" w:rsidR="00025F31" w:rsidRDefault="00036113">
      <w:pPr>
        <w:keepNext/>
        <w:numPr>
          <w:ilvl w:val="0"/>
          <w:numId w:val="1"/>
        </w:numPr>
        <w:spacing w:before="200" w:after="200" w:line="276" w:lineRule="auto"/>
        <w:jc w:val="both"/>
        <w:rPr>
          <w:sz w:val="24"/>
          <w:szCs w:val="24"/>
        </w:rPr>
      </w:pPr>
      <w:r>
        <w:rPr>
          <w:b/>
          <w:bCs/>
          <w:sz w:val="24"/>
          <w:szCs w:val="24"/>
        </w:rPr>
        <w:t>In reception (</w:t>
      </w:r>
      <w:proofErr w:type="spellStart"/>
      <w:r>
        <w:rPr>
          <w:b/>
          <w:bCs/>
          <w:sz w:val="24"/>
          <w:szCs w:val="24"/>
        </w:rPr>
        <w:t>Ušivak</w:t>
      </w:r>
      <w:proofErr w:type="spellEnd"/>
      <w:r>
        <w:rPr>
          <w:b/>
          <w:bCs/>
          <w:sz w:val="24"/>
          <w:szCs w:val="24"/>
        </w:rPr>
        <w:t xml:space="preserve"> closure):</w:t>
      </w:r>
      <w:r>
        <w:rPr>
          <w:sz w:val="24"/>
          <w:szCs w:val="24"/>
        </w:rPr>
        <w:t xml:space="preserve"> The “guardianship” safeguard also does not function outside the detention context. </w:t>
      </w:r>
      <w:proofErr w:type="spellStart"/>
      <w:r>
        <w:rPr>
          <w:sz w:val="24"/>
          <w:szCs w:val="24"/>
        </w:rPr>
        <w:t>Ušivak</w:t>
      </w:r>
      <w:proofErr w:type="spellEnd"/>
      <w:r>
        <w:rPr>
          <w:sz w:val="24"/>
          <w:szCs w:val="24"/>
        </w:rPr>
        <w:t xml:space="preserve"> TRC (Sarajevo), the only TRC in </w:t>
      </w:r>
      <w:proofErr w:type="gramStart"/>
      <w:r>
        <w:rPr>
          <w:sz w:val="24"/>
          <w:szCs w:val="24"/>
        </w:rPr>
        <w:t>all of</w:t>
      </w:r>
      <w:proofErr w:type="gramEnd"/>
      <w:r>
        <w:rPr>
          <w:sz w:val="24"/>
          <w:szCs w:val="24"/>
        </w:rPr>
        <w:t xml:space="preserve"> BiH specifically dedicated to families, unaccompanied minors, and women, was abruptly closed by authorities and IOM effective 28 February 2026, with residents given only hours' notice and no public announcement. Registered unaccompanied minors were transferred to Lipa TRC or </w:t>
      </w:r>
      <w:proofErr w:type="spellStart"/>
      <w:r>
        <w:rPr>
          <w:sz w:val="24"/>
          <w:szCs w:val="24"/>
        </w:rPr>
        <w:t>Delijaš</w:t>
      </w:r>
      <w:proofErr w:type="spellEnd"/>
      <w:r>
        <w:rPr>
          <w:sz w:val="24"/>
          <w:szCs w:val="24"/>
        </w:rPr>
        <w:t xml:space="preserve"> Asylum </w:t>
      </w:r>
      <w:proofErr w:type="spellStart"/>
      <w:r>
        <w:rPr>
          <w:sz w:val="24"/>
          <w:szCs w:val="24"/>
        </w:rPr>
        <w:t>Center</w:t>
      </w:r>
      <w:proofErr w:type="spellEnd"/>
      <w:r>
        <w:rPr>
          <w:sz w:val="24"/>
          <w:szCs w:val="24"/>
        </w:rPr>
        <w:t xml:space="preserve"> without individual assessment, without consent, and </w:t>
      </w:r>
      <w:r>
        <w:rPr>
          <w:sz w:val="24"/>
          <w:szCs w:val="24"/>
        </w:rPr>
        <w:lastRenderedPageBreak/>
        <w:t>without their assigned legal gua</w:t>
      </w:r>
      <w:r>
        <w:rPr>
          <w:sz w:val="24"/>
          <w:szCs w:val="24"/>
        </w:rPr>
        <w:t>rdians being consulted, which constitutes a direct breach of the guardianship safeguard the state describes in paragraph 75.</w:t>
      </w:r>
      <w:r>
        <w:rPr>
          <w:sz w:val="24"/>
          <w:szCs w:val="24"/>
          <w:vertAlign w:val="superscript"/>
        </w:rPr>
        <w:footnoteReference w:id="21"/>
      </w:r>
      <w:r>
        <w:rPr>
          <w:sz w:val="24"/>
          <w:szCs w:val="24"/>
        </w:rPr>
        <w:t xml:space="preserve"> </w:t>
      </w:r>
    </w:p>
    <w:p w14:paraId="0000003B" w14:textId="77777777" w:rsidR="00025F31" w:rsidRDefault="00036113">
      <w:pPr>
        <w:keepNext/>
        <w:numPr>
          <w:ilvl w:val="0"/>
          <w:numId w:val="1"/>
        </w:numPr>
        <w:spacing w:before="200" w:after="200" w:line="276" w:lineRule="auto"/>
        <w:jc w:val="both"/>
        <w:rPr>
          <w:sz w:val="24"/>
          <w:szCs w:val="24"/>
        </w:rPr>
      </w:pPr>
      <w:r>
        <w:rPr>
          <w:sz w:val="24"/>
          <w:szCs w:val="24"/>
        </w:rPr>
        <w:t xml:space="preserve">Field documentation from the same period found three unaccompanied Afghan boys (aged 15–16) leaving </w:t>
      </w:r>
      <w:proofErr w:type="spellStart"/>
      <w:r>
        <w:rPr>
          <w:sz w:val="24"/>
          <w:szCs w:val="24"/>
        </w:rPr>
        <w:t>Ušivak</w:t>
      </w:r>
      <w:proofErr w:type="spellEnd"/>
      <w:r>
        <w:rPr>
          <w:sz w:val="24"/>
          <w:szCs w:val="24"/>
        </w:rPr>
        <w:t xml:space="preserve"> turned away from </w:t>
      </w:r>
      <w:proofErr w:type="spellStart"/>
      <w:r>
        <w:rPr>
          <w:sz w:val="24"/>
          <w:szCs w:val="24"/>
        </w:rPr>
        <w:t>Blažuj</w:t>
      </w:r>
      <w:proofErr w:type="spellEnd"/>
      <w:r>
        <w:rPr>
          <w:sz w:val="24"/>
          <w:szCs w:val="24"/>
        </w:rPr>
        <w:t xml:space="preserve"> TRC (a men-only facility) with no alternative placement, left to choose between a bus to distant Lipa or an unsupervised, dangerous crossing near the Croatian border.</w:t>
      </w:r>
      <w:r>
        <w:rPr>
          <w:sz w:val="24"/>
          <w:szCs w:val="24"/>
          <w:vertAlign w:val="superscript"/>
        </w:rPr>
        <w:footnoteReference w:id="22"/>
      </w:r>
      <w:r>
        <w:rPr>
          <w:sz w:val="24"/>
          <w:szCs w:val="24"/>
        </w:rPr>
        <w:t xml:space="preserve"> </w:t>
      </w:r>
    </w:p>
    <w:p w14:paraId="0000003C" w14:textId="77777777" w:rsidR="00025F31" w:rsidRDefault="00036113">
      <w:pPr>
        <w:keepNext/>
        <w:numPr>
          <w:ilvl w:val="0"/>
          <w:numId w:val="1"/>
        </w:numPr>
        <w:spacing w:before="200" w:after="200" w:line="276" w:lineRule="auto"/>
        <w:jc w:val="both"/>
        <w:rPr>
          <w:sz w:val="24"/>
          <w:szCs w:val="24"/>
        </w:rPr>
      </w:pPr>
      <w:r>
        <w:rPr>
          <w:sz w:val="24"/>
          <w:szCs w:val="24"/>
        </w:rPr>
        <w:t>BVMN's April 2026 field report confirms the structural risk has not been resolved: Lipa still lacks "proper separation between the areas designated for unaccompanied minors and those available for single men... no significant changes have been implemented to safeguard these vulnerable groups and prevent risks of trafficking and abuse.</w:t>
      </w:r>
    </w:p>
    <w:p w14:paraId="0000003D" w14:textId="77777777" w:rsidR="00025F31" w:rsidRDefault="00036113">
      <w:pPr>
        <w:pStyle w:val="Heading2"/>
        <w:keepNext/>
        <w:spacing w:before="200" w:after="200" w:line="276" w:lineRule="auto"/>
        <w:jc w:val="both"/>
        <w:rPr>
          <w:b/>
          <w:bCs/>
          <w:color w:val="000000"/>
          <w:sz w:val="24"/>
          <w:szCs w:val="24"/>
          <w:u w:val="single"/>
        </w:rPr>
      </w:pPr>
      <w:r>
        <w:rPr>
          <w:b/>
          <w:bCs/>
          <w:color w:val="000000"/>
          <w:sz w:val="24"/>
          <w:szCs w:val="24"/>
          <w:u w:val="single"/>
        </w:rPr>
        <w:t>32(e &amp; f) — Prohibit racial profiling; clear guidelines for police and border officials,</w:t>
      </w:r>
      <w:r>
        <w:rPr>
          <w:b/>
          <w:bCs/>
          <w:color w:val="000000"/>
          <w:sz w:val="24"/>
          <w:szCs w:val="24"/>
          <w:u w:val="single"/>
          <w:vertAlign w:val="superscript"/>
        </w:rPr>
        <w:footnoteReference w:id="23"/>
      </w:r>
      <w:r>
        <w:rPr>
          <w:b/>
          <w:bCs/>
          <w:color w:val="000000"/>
          <w:sz w:val="24"/>
          <w:szCs w:val="24"/>
          <w:u w:val="single"/>
          <w:vertAlign w:val="superscript"/>
        </w:rPr>
        <w:t xml:space="preserve">  </w:t>
      </w:r>
      <w:r>
        <w:rPr>
          <w:b/>
          <w:bCs/>
          <w:color w:val="000000"/>
          <w:sz w:val="24"/>
          <w:szCs w:val="24"/>
          <w:u w:val="single"/>
        </w:rPr>
        <w:t>prevent and combat hate speech and racism against migrants</w:t>
      </w:r>
      <w:r>
        <w:rPr>
          <w:b/>
          <w:bCs/>
          <w:color w:val="000000"/>
          <w:sz w:val="24"/>
          <w:szCs w:val="24"/>
          <w:u w:val="single"/>
          <w:vertAlign w:val="superscript"/>
        </w:rPr>
        <w:footnoteReference w:id="24"/>
      </w:r>
    </w:p>
    <w:p w14:paraId="0000003E" w14:textId="77777777" w:rsidR="00025F31" w:rsidRDefault="00036113">
      <w:pPr>
        <w:keepNext/>
        <w:spacing w:before="200" w:after="200" w:line="276" w:lineRule="auto"/>
        <w:jc w:val="both"/>
        <w:rPr>
          <w:sz w:val="24"/>
          <w:szCs w:val="24"/>
        </w:rPr>
      </w:pPr>
      <w:r>
        <w:rPr>
          <w:b/>
          <w:bCs/>
          <w:sz w:val="24"/>
          <w:szCs w:val="24"/>
        </w:rPr>
        <w:t>BVMN evidence:</w:t>
      </w:r>
    </w:p>
    <w:p w14:paraId="0000003F" w14:textId="77777777" w:rsidR="00025F31" w:rsidRDefault="00036113">
      <w:pPr>
        <w:keepNext/>
        <w:numPr>
          <w:ilvl w:val="0"/>
          <w:numId w:val="1"/>
        </w:numPr>
        <w:pBdr>
          <w:top w:val="nil"/>
          <w:left w:val="nil"/>
          <w:bottom w:val="nil"/>
          <w:right w:val="nil"/>
          <w:between w:val="nil"/>
        </w:pBdr>
        <w:spacing w:before="200" w:after="200" w:line="276" w:lineRule="auto"/>
        <w:jc w:val="both"/>
        <w:rPr>
          <w:sz w:val="24"/>
          <w:szCs w:val="24"/>
        </w:rPr>
      </w:pPr>
      <w:r>
        <w:rPr>
          <w:sz w:val="24"/>
          <w:szCs w:val="24"/>
        </w:rPr>
        <w:t>The state's follow-up report does not address paragraph 32(e) at all</w:t>
      </w:r>
      <w:r>
        <w:rPr>
          <w:sz w:val="24"/>
          <w:szCs w:val="24"/>
        </w:rPr>
        <w:t xml:space="preserve">, and </w:t>
      </w:r>
      <w:r>
        <w:rPr>
          <w:sz w:val="24"/>
          <w:szCs w:val="24"/>
        </w:rPr>
        <w:t xml:space="preserve">no measures on racial profiling are reported under Section 32. </w:t>
      </w:r>
      <w:r>
        <w:rPr>
          <w:sz w:val="24"/>
          <w:szCs w:val="24"/>
        </w:rPr>
        <w:t>BVMN recognises pushbacks and all forms of border violence against migrants</w:t>
      </w:r>
      <w:r>
        <w:rPr>
          <w:sz w:val="24"/>
          <w:szCs w:val="24"/>
          <w:vertAlign w:val="superscript"/>
        </w:rPr>
        <w:footnoteReference w:id="25"/>
      </w:r>
      <w:r>
        <w:rPr>
          <w:sz w:val="24"/>
          <w:szCs w:val="24"/>
        </w:rPr>
        <w:t xml:space="preserve"> as inherently xenophobic bordering practices. Racial profiling in migration control is, by its nature, difficult to evidence. BVMN's evidence base captures it primarily in the </w:t>
      </w:r>
      <w:proofErr w:type="gramStart"/>
      <w:r>
        <w:rPr>
          <w:sz w:val="24"/>
          <w:szCs w:val="24"/>
        </w:rPr>
        <w:t>moments</w:t>
      </w:r>
      <w:proofErr w:type="gramEnd"/>
      <w:r>
        <w:rPr>
          <w:sz w:val="24"/>
          <w:szCs w:val="24"/>
        </w:rPr>
        <w:t xml:space="preserve"> officers voice what pushbacks, violence, destruction of personal belongings, cruel and degrading treatment, and enforced disappearances otherwise conceals.</w:t>
      </w:r>
    </w:p>
    <w:p w14:paraId="00000040" w14:textId="77777777" w:rsidR="00025F31" w:rsidRDefault="00036113">
      <w:pPr>
        <w:keepNext/>
        <w:numPr>
          <w:ilvl w:val="0"/>
          <w:numId w:val="1"/>
        </w:numPr>
        <w:spacing w:before="200" w:after="200" w:line="276" w:lineRule="auto"/>
        <w:jc w:val="both"/>
        <w:rPr>
          <w:sz w:val="24"/>
          <w:szCs w:val="24"/>
        </w:rPr>
      </w:pPr>
      <w:r>
        <w:rPr>
          <w:sz w:val="24"/>
          <w:szCs w:val="24"/>
        </w:rPr>
        <w:t xml:space="preserve">Between 2017 to 2023, BVMN has identified 31 incidents of direct and explicit Islamophobic violence perpetrated against Muslims and those who security forces perceive to be Muslim. This has included incidents of harassment, intimidation, and physical assault by beating, all justified in reference to religion and belief. Further highlighting the indiscriminate nature of the direct, explicit Islamophobic violence perpetrated during </w:t>
      </w:r>
      <w:r>
        <w:rPr>
          <w:sz w:val="24"/>
          <w:szCs w:val="24"/>
        </w:rPr>
        <w:lastRenderedPageBreak/>
        <w:t xml:space="preserve">pushbacks, 14 testimonies include islamophobia against especially vulnerable groups such as children, women, and the elderly. </w:t>
      </w:r>
    </w:p>
    <w:p w14:paraId="00000041" w14:textId="77777777" w:rsidR="00025F31" w:rsidRDefault="00036113">
      <w:pPr>
        <w:keepNext/>
        <w:numPr>
          <w:ilvl w:val="0"/>
          <w:numId w:val="1"/>
        </w:numPr>
        <w:spacing w:before="200" w:after="200" w:line="276" w:lineRule="auto"/>
        <w:jc w:val="both"/>
        <w:rPr>
          <w:sz w:val="24"/>
          <w:szCs w:val="24"/>
        </w:rPr>
      </w:pPr>
      <w:r>
        <w:rPr>
          <w:sz w:val="24"/>
          <w:szCs w:val="24"/>
        </w:rPr>
        <w:t>Highlighting the extraordinary levels of xenophobic cruelty carried out during pushbacks, testimonies have recalled multiple incidents</w:t>
      </w:r>
      <w:r>
        <w:rPr>
          <w:sz w:val="24"/>
          <w:szCs w:val="24"/>
          <w:vertAlign w:val="superscript"/>
        </w:rPr>
        <w:footnoteReference w:id="26"/>
      </w:r>
      <w:r>
        <w:rPr>
          <w:sz w:val="24"/>
          <w:szCs w:val="24"/>
        </w:rPr>
        <w:t xml:space="preserve"> in which security forces have torn up the Quran carried by migrants in transit, with one testimony describing security forces explicitly stating “no Muslims in Europe” whilst destroying the Quran. </w:t>
      </w:r>
    </w:p>
    <w:p w14:paraId="00000042" w14:textId="77777777" w:rsidR="00025F31" w:rsidRDefault="00036113">
      <w:pPr>
        <w:keepNext/>
        <w:numPr>
          <w:ilvl w:val="0"/>
          <w:numId w:val="1"/>
        </w:numPr>
        <w:pBdr>
          <w:top w:val="none" w:sz="0" w:space="0" w:color="000000"/>
          <w:left w:val="none" w:sz="0" w:space="0" w:color="000000"/>
          <w:bottom w:val="none" w:sz="0" w:space="0" w:color="000000"/>
          <w:right w:val="none" w:sz="0" w:space="0" w:color="000000"/>
          <w:between w:val="none" w:sz="0" w:space="0" w:color="000000"/>
        </w:pBdr>
        <w:spacing w:before="200" w:after="200" w:line="276" w:lineRule="auto"/>
        <w:jc w:val="both"/>
        <w:rPr>
          <w:sz w:val="24"/>
          <w:szCs w:val="24"/>
        </w:rPr>
      </w:pPr>
      <w:r>
        <w:rPr>
          <w:sz w:val="24"/>
          <w:szCs w:val="24"/>
        </w:rPr>
        <w:t>Further to this, testimonies recorded by BVMN member organisations have also shown how security forces beat a man with a wooden stick for refusing to smoke a cigarette during the holy fasting month of Ramadan</w:t>
      </w:r>
      <w:r>
        <w:rPr>
          <w:sz w:val="24"/>
          <w:szCs w:val="24"/>
          <w:vertAlign w:val="superscript"/>
        </w:rPr>
        <w:footnoteReference w:id="27"/>
      </w:r>
      <w:r>
        <w:rPr>
          <w:sz w:val="24"/>
          <w:szCs w:val="24"/>
        </w:rPr>
        <w:t>, or incidents in which police tried to coerce a detained migrant into smoking a cigarette doused in pepper spray.</w:t>
      </w:r>
      <w:r>
        <w:rPr>
          <w:sz w:val="24"/>
          <w:szCs w:val="24"/>
          <w:vertAlign w:val="superscript"/>
        </w:rPr>
        <w:footnoteReference w:id="28"/>
      </w:r>
      <w:r>
        <w:rPr>
          <w:sz w:val="24"/>
          <w:szCs w:val="24"/>
        </w:rPr>
        <w:t xml:space="preserve"> Further to this, other examples of extreme xenophobic cruelty designed to psychologically traumatise and humiliate religiously observant migrants, or those perceived to be Muslim, include incidents in which security forces have spray-painted crosses onto the heads of migrants</w:t>
      </w:r>
      <w:r>
        <w:rPr>
          <w:sz w:val="24"/>
          <w:szCs w:val="24"/>
          <w:vertAlign w:val="superscript"/>
        </w:rPr>
        <w:footnoteReference w:id="29"/>
      </w:r>
      <w:r>
        <w:rPr>
          <w:sz w:val="24"/>
          <w:szCs w:val="24"/>
        </w:rPr>
        <w:t>, or have poured alcohol over a respondent</w:t>
      </w:r>
      <w:r>
        <w:rPr>
          <w:sz w:val="24"/>
          <w:szCs w:val="24"/>
          <w:vertAlign w:val="superscript"/>
        </w:rPr>
        <w:footnoteReference w:id="30"/>
      </w:r>
      <w:r>
        <w:rPr>
          <w:sz w:val="24"/>
          <w:szCs w:val="24"/>
        </w:rPr>
        <w:t>.</w:t>
      </w:r>
    </w:p>
    <w:p w14:paraId="00000043" w14:textId="77777777" w:rsidR="00025F31" w:rsidRDefault="00036113">
      <w:pPr>
        <w:keepNext/>
        <w:numPr>
          <w:ilvl w:val="0"/>
          <w:numId w:val="1"/>
        </w:numPr>
        <w:spacing w:before="200" w:after="200" w:line="276" w:lineRule="auto"/>
        <w:jc w:val="both"/>
        <w:rPr>
          <w:sz w:val="24"/>
          <w:szCs w:val="24"/>
        </w:rPr>
      </w:pPr>
      <w:r>
        <w:rPr>
          <w:sz w:val="24"/>
          <w:szCs w:val="24"/>
        </w:rPr>
        <w:t xml:space="preserve">Furthermore, BVMN recognises how Islamophobic violence is often overlapping and intersecting with other forms of xenophobia. For example, </w:t>
      </w:r>
      <w:proofErr w:type="gramStart"/>
      <w:r>
        <w:rPr>
          <w:sz w:val="24"/>
          <w:szCs w:val="24"/>
        </w:rPr>
        <w:t>a number of</w:t>
      </w:r>
      <w:proofErr w:type="gramEnd"/>
      <w:r>
        <w:rPr>
          <w:sz w:val="24"/>
          <w:szCs w:val="24"/>
        </w:rPr>
        <w:t xml:space="preserve"> testimonies include insults and abuse justified with reference to nationality.</w:t>
      </w:r>
      <w:r>
        <w:rPr>
          <w:sz w:val="24"/>
          <w:szCs w:val="24"/>
          <w:vertAlign w:val="superscript"/>
        </w:rPr>
        <w:footnoteReference w:id="31"/>
      </w:r>
      <w:r>
        <w:rPr>
          <w:sz w:val="24"/>
          <w:szCs w:val="24"/>
        </w:rPr>
        <w:t xml:space="preserve"> In a testimony detailing a pushback from Greece to Turkey, the respondent from Morocco stated his nationality as Libyan when apprehended by the Greek police in the hopes to be ‘treated better’. The officer, however, proceeded to beat the respondent shouting ‘Moroccan’ and, </w:t>
      </w:r>
      <w:proofErr w:type="gramStart"/>
      <w:r>
        <w:rPr>
          <w:sz w:val="24"/>
          <w:szCs w:val="24"/>
        </w:rPr>
        <w:t>later on</w:t>
      </w:r>
      <w:proofErr w:type="gramEnd"/>
      <w:r>
        <w:rPr>
          <w:sz w:val="24"/>
          <w:szCs w:val="24"/>
        </w:rPr>
        <w:t xml:space="preserve">, </w:t>
      </w:r>
      <w:r>
        <w:rPr>
          <w:sz w:val="24"/>
          <w:szCs w:val="24"/>
        </w:rPr>
        <w:lastRenderedPageBreak/>
        <w:t>accusing the respondent to be a terrorist.</w:t>
      </w:r>
      <w:r>
        <w:rPr>
          <w:sz w:val="24"/>
          <w:szCs w:val="24"/>
          <w:vertAlign w:val="superscript"/>
        </w:rPr>
        <w:footnoteReference w:id="32"/>
      </w:r>
      <w:r>
        <w:rPr>
          <w:sz w:val="24"/>
          <w:szCs w:val="24"/>
        </w:rPr>
        <w:t xml:space="preserve"> Another case details the arbitrary denial of an asylum request based on Pakistani nationality and Islamic religion.</w:t>
      </w:r>
      <w:r>
        <w:rPr>
          <w:sz w:val="24"/>
          <w:szCs w:val="24"/>
          <w:vertAlign w:val="superscript"/>
        </w:rPr>
        <w:footnoteReference w:id="33"/>
      </w:r>
    </w:p>
    <w:p w14:paraId="00000044" w14:textId="77777777" w:rsidR="00025F31" w:rsidRDefault="00036113">
      <w:pPr>
        <w:keepNext/>
        <w:numPr>
          <w:ilvl w:val="0"/>
          <w:numId w:val="1"/>
        </w:numPr>
        <w:spacing w:before="200" w:after="200" w:line="276" w:lineRule="auto"/>
        <w:jc w:val="both"/>
        <w:rPr>
          <w:sz w:val="24"/>
          <w:szCs w:val="24"/>
        </w:rPr>
      </w:pPr>
      <w:r>
        <w:rPr>
          <w:sz w:val="24"/>
          <w:szCs w:val="24"/>
        </w:rPr>
        <w:t xml:space="preserve">Furthermore, BVMN attests that the widespread, systematic, and deliberate practice in which migrants who are pushed back are denied their right to claim international protection through access to asylum is predicated on racism and racial profiling. </w:t>
      </w:r>
    </w:p>
    <w:p w14:paraId="00000045" w14:textId="77777777" w:rsidR="00025F31" w:rsidRDefault="00036113">
      <w:pPr>
        <w:pStyle w:val="Heading2"/>
        <w:keepNext/>
        <w:spacing w:before="200" w:after="200" w:line="276" w:lineRule="auto"/>
        <w:jc w:val="both"/>
        <w:rPr>
          <w:b/>
          <w:bCs/>
          <w:color w:val="000000"/>
          <w:sz w:val="24"/>
          <w:szCs w:val="24"/>
          <w:u w:val="single"/>
        </w:rPr>
      </w:pPr>
      <w:r>
        <w:rPr>
          <w:b/>
          <w:bCs/>
          <w:color w:val="000000"/>
          <w:sz w:val="24"/>
          <w:szCs w:val="24"/>
          <w:u w:val="single"/>
        </w:rPr>
        <w:t>32(g) — Effective implementation of the Migration and Asylum Strategy and Action Plan 2021–2025</w:t>
      </w:r>
      <w:r>
        <w:rPr>
          <w:b/>
          <w:bCs/>
          <w:color w:val="000000"/>
          <w:sz w:val="24"/>
          <w:szCs w:val="24"/>
          <w:u w:val="single"/>
          <w:vertAlign w:val="superscript"/>
        </w:rPr>
        <w:footnoteReference w:id="34"/>
      </w:r>
    </w:p>
    <w:p w14:paraId="00000046" w14:textId="77777777" w:rsidR="00025F31" w:rsidRDefault="00036113">
      <w:pPr>
        <w:keepNext/>
        <w:numPr>
          <w:ilvl w:val="0"/>
          <w:numId w:val="1"/>
        </w:numPr>
        <w:pBdr>
          <w:top w:val="nil"/>
          <w:left w:val="nil"/>
          <w:bottom w:val="nil"/>
          <w:right w:val="nil"/>
          <w:between w:val="nil"/>
        </w:pBdr>
        <w:spacing w:before="200" w:after="200" w:line="276" w:lineRule="auto"/>
        <w:jc w:val="both"/>
        <w:rPr>
          <w:sz w:val="24"/>
          <w:szCs w:val="24"/>
        </w:rPr>
      </w:pPr>
      <w:r>
        <w:rPr>
          <w:sz w:val="24"/>
          <w:szCs w:val="24"/>
        </w:rPr>
        <w:t>Bosnia's follow-up report claims "humane and legal accommodation conditions" (para 71) and cites the Council of Ministers' Rulebook on reception centre standards as evidence of progress (para 70). The conditions BVMN has documented on the ground do not meet either standard.</w:t>
      </w:r>
    </w:p>
    <w:p w14:paraId="00000047" w14:textId="77777777" w:rsidR="00025F31" w:rsidRDefault="00036113">
      <w:pPr>
        <w:keepNext/>
        <w:numPr>
          <w:ilvl w:val="0"/>
          <w:numId w:val="1"/>
        </w:numPr>
        <w:spacing w:before="200" w:after="200" w:line="276" w:lineRule="auto"/>
        <w:jc w:val="both"/>
        <w:rPr>
          <w:sz w:val="24"/>
          <w:szCs w:val="24"/>
        </w:rPr>
      </w:pPr>
      <w:r>
        <w:rPr>
          <w:sz w:val="24"/>
          <w:szCs w:val="24"/>
        </w:rPr>
        <w:t xml:space="preserve">At Lipa TRC, now the country's only facility handling the caseload once split between Lipa and </w:t>
      </w:r>
      <w:proofErr w:type="spellStart"/>
      <w:r>
        <w:rPr>
          <w:sz w:val="24"/>
          <w:szCs w:val="24"/>
        </w:rPr>
        <w:t>Ušivak</w:t>
      </w:r>
      <w:proofErr w:type="spellEnd"/>
      <w:r>
        <w:rPr>
          <w:sz w:val="24"/>
          <w:szCs w:val="24"/>
        </w:rPr>
        <w:t>, BVMN's April 2026 field monitoring found a population averaging around 700, including unaccompanied and separated children (~9%) and families/single women (~5%), with healthcare reliant on already-stretched city hospital staff and assessed as inadequate for the population's size and needs. Residents report ongoing problems with food quality and irregular market access. Structurally, the facility still lacks proper separation between areas designated for unaccompanied minors and those for single men.</w:t>
      </w:r>
      <w:r>
        <w:rPr>
          <w:sz w:val="24"/>
          <w:szCs w:val="24"/>
        </w:rPr>
        <w:t xml:space="preserve"> This is a gap BVMN found unchanged month over month, with the attendant risk of trafficking and abuse that separation is meant to prevent.</w:t>
      </w:r>
    </w:p>
    <w:p w14:paraId="00000048" w14:textId="77777777" w:rsidR="00025F31" w:rsidRDefault="00036113">
      <w:pPr>
        <w:keepNext/>
        <w:numPr>
          <w:ilvl w:val="0"/>
          <w:numId w:val="1"/>
        </w:numPr>
        <w:spacing w:before="200" w:after="200" w:line="276" w:lineRule="auto"/>
        <w:jc w:val="both"/>
        <w:rPr>
          <w:sz w:val="24"/>
          <w:szCs w:val="24"/>
        </w:rPr>
      </w:pPr>
      <w:r>
        <w:rPr>
          <w:sz w:val="24"/>
          <w:szCs w:val="24"/>
        </w:rPr>
        <w:t xml:space="preserve">Whatever the Rulebook prescribes on individualized assessment, healthcare, and protection of vulnerable groups, these outcomes show it is not being met in practice. The same period also saw continued violent pushbacks at the BiH-Croatian border reported by residents of Lipa and </w:t>
      </w:r>
      <w:proofErr w:type="spellStart"/>
      <w:r>
        <w:rPr>
          <w:sz w:val="24"/>
          <w:szCs w:val="24"/>
        </w:rPr>
        <w:t>Bihać</w:t>
      </w:r>
      <w:proofErr w:type="spellEnd"/>
      <w:r>
        <w:rPr>
          <w:sz w:val="24"/>
          <w:szCs w:val="24"/>
        </w:rPr>
        <w:t>, baton beatings, phone destruction, and clothing/shoe confiscation described "systematically" by both adult men and unaccompanied minors, which indicates that the protective aims of both the Rulebook and the Migration and Asylum Strategy are not reaching the population they are meant to serve.</w:t>
      </w:r>
    </w:p>
    <w:p w14:paraId="00000049" w14:textId="77777777" w:rsidR="00025F31" w:rsidRDefault="00036113">
      <w:pPr>
        <w:keepNext/>
        <w:numPr>
          <w:ilvl w:val="0"/>
          <w:numId w:val="1"/>
        </w:numPr>
        <w:spacing w:before="200" w:after="200" w:line="276" w:lineRule="auto"/>
        <w:jc w:val="both"/>
        <w:rPr>
          <w:sz w:val="24"/>
          <w:szCs w:val="24"/>
        </w:rPr>
      </w:pPr>
      <w:r>
        <w:rPr>
          <w:sz w:val="24"/>
          <w:szCs w:val="24"/>
        </w:rPr>
        <w:t xml:space="preserve">This is not a resourcing problem in the sense of a state doing its best with limited means. Rather, capacity and control are visibly expanding on the enforcement side. Frontex deployment in BiH is expanding toward a 116-officer operational capacity (agreement signed November 2025), and the EU handed over equipment including heartbeat detectors, </w:t>
      </w:r>
      <w:r>
        <w:rPr>
          <w:sz w:val="24"/>
          <w:szCs w:val="24"/>
        </w:rPr>
        <w:lastRenderedPageBreak/>
        <w:t>document-check magnifiers, a patrol boat to Bosnian Border Police on 27 April 2026 under the EU4FAST project. The same state that reports these enforcement gains to its EU partners reports only a Rulebook, with no evidence of monitoring or enforcement, to this Committee.</w:t>
      </w:r>
    </w:p>
    <w:p w14:paraId="0000004A" w14:textId="77777777" w:rsidR="00025F31" w:rsidRDefault="00036113">
      <w:pPr>
        <w:pStyle w:val="Heading1"/>
        <w:keepNext/>
        <w:spacing w:before="200" w:after="200" w:line="276" w:lineRule="auto"/>
        <w:jc w:val="both"/>
        <w:rPr>
          <w:b/>
          <w:bCs/>
          <w:i/>
          <w:iCs/>
          <w:color w:val="000000"/>
          <w:sz w:val="26"/>
          <w:szCs w:val="26"/>
        </w:rPr>
      </w:pPr>
      <w:r>
        <w:rPr>
          <w:b/>
          <w:bCs/>
          <w:color w:val="000000"/>
          <w:sz w:val="26"/>
          <w:szCs w:val="26"/>
        </w:rPr>
        <w:t xml:space="preserve">IV. Recommendations </w:t>
      </w:r>
    </w:p>
    <w:p w14:paraId="0000004B" w14:textId="77777777" w:rsidR="00025F31" w:rsidRDefault="00036113">
      <w:pPr>
        <w:keepNext/>
        <w:spacing w:before="200" w:after="200" w:line="276" w:lineRule="auto"/>
        <w:jc w:val="both"/>
        <w:rPr>
          <w:sz w:val="24"/>
          <w:szCs w:val="24"/>
        </w:rPr>
      </w:pPr>
      <w:proofErr w:type="gramStart"/>
      <w:r>
        <w:rPr>
          <w:sz w:val="24"/>
          <w:szCs w:val="24"/>
        </w:rPr>
        <w:t>In light of</w:t>
      </w:r>
      <w:proofErr w:type="gramEnd"/>
      <w:r>
        <w:rPr>
          <w:sz w:val="24"/>
          <w:szCs w:val="24"/>
        </w:rPr>
        <w:t xml:space="preserve"> the above, BVMN respectfully requests that the Committee:</w:t>
      </w:r>
    </w:p>
    <w:p w14:paraId="0000004C" w14:textId="77777777" w:rsidR="00025F31" w:rsidRDefault="00036113">
      <w:pPr>
        <w:keepNext/>
        <w:numPr>
          <w:ilvl w:val="0"/>
          <w:numId w:val="1"/>
        </w:numPr>
        <w:spacing w:before="200" w:after="200" w:line="276" w:lineRule="auto"/>
        <w:jc w:val="both"/>
        <w:rPr>
          <w:sz w:val="24"/>
          <w:szCs w:val="24"/>
        </w:rPr>
      </w:pPr>
      <w:r>
        <w:rPr>
          <w:b/>
          <w:bCs/>
          <w:sz w:val="24"/>
          <w:szCs w:val="24"/>
        </w:rPr>
        <w:t xml:space="preserve">Find that Bosnia and Herzegovina has not implemented the recommendations in paragraph </w:t>
      </w:r>
      <w:r>
        <w:rPr>
          <w:sz w:val="24"/>
          <w:szCs w:val="24"/>
        </w:rPr>
        <w:t>32 of its 2023 Concluding Observations, and that conditions for migrants, asylum-seekers, and refugees have regressed in several respects since the follow-up report was submitted on 24 October 2025.</w:t>
      </w:r>
    </w:p>
    <w:p w14:paraId="0000004D" w14:textId="77777777" w:rsidR="00025F31" w:rsidRDefault="00036113">
      <w:pPr>
        <w:keepNext/>
        <w:numPr>
          <w:ilvl w:val="0"/>
          <w:numId w:val="1"/>
        </w:numPr>
        <w:spacing w:before="200" w:after="200" w:line="276" w:lineRule="auto"/>
        <w:jc w:val="both"/>
        <w:rPr>
          <w:sz w:val="24"/>
          <w:szCs w:val="24"/>
        </w:rPr>
      </w:pPr>
      <w:r>
        <w:rPr>
          <w:b/>
          <w:bCs/>
          <w:sz w:val="24"/>
          <w:szCs w:val="24"/>
        </w:rPr>
        <w:t>Request that Bosnia and Herzegovina immediately end the immigration detention of children</w:t>
      </w:r>
      <w:r>
        <w:rPr>
          <w:sz w:val="24"/>
          <w:szCs w:val="24"/>
        </w:rPr>
        <w:t xml:space="preserve"> at the </w:t>
      </w:r>
      <w:proofErr w:type="spellStart"/>
      <w:r>
        <w:rPr>
          <w:sz w:val="24"/>
          <w:szCs w:val="24"/>
        </w:rPr>
        <w:t>Lukavica</w:t>
      </w:r>
      <w:proofErr w:type="spellEnd"/>
      <w:r>
        <w:rPr>
          <w:sz w:val="24"/>
          <w:szCs w:val="24"/>
        </w:rPr>
        <w:t xml:space="preserve"> Immigration Centre, in line with the Committee's Joint General Recommendation No. 39/CMW No. 8 (2025) that States progressively abolish migration-related </w:t>
      </w:r>
      <w:proofErr w:type="gramStart"/>
      <w:r>
        <w:rPr>
          <w:sz w:val="24"/>
          <w:szCs w:val="24"/>
        </w:rPr>
        <w:t>detention, and</w:t>
      </w:r>
      <w:proofErr w:type="gramEnd"/>
      <w:r>
        <w:rPr>
          <w:sz w:val="24"/>
          <w:szCs w:val="24"/>
        </w:rPr>
        <w:t xml:space="preserve"> amend the Law on Aliens to explicitly prohibit child detention rather than merely failing to address it.</w:t>
      </w:r>
    </w:p>
    <w:p w14:paraId="0000004E" w14:textId="77777777" w:rsidR="00025F31" w:rsidRDefault="00036113">
      <w:pPr>
        <w:keepNext/>
        <w:numPr>
          <w:ilvl w:val="0"/>
          <w:numId w:val="1"/>
        </w:numPr>
        <w:spacing w:before="200" w:after="200" w:line="276" w:lineRule="auto"/>
        <w:jc w:val="both"/>
        <w:rPr>
          <w:sz w:val="24"/>
          <w:szCs w:val="24"/>
        </w:rPr>
      </w:pPr>
      <w:r>
        <w:rPr>
          <w:b/>
          <w:bCs/>
          <w:sz w:val="24"/>
          <w:szCs w:val="24"/>
        </w:rPr>
        <w:t>Request disaggregated data from Bosnia</w:t>
      </w:r>
      <w:r>
        <w:rPr>
          <w:sz w:val="24"/>
          <w:szCs w:val="24"/>
        </w:rPr>
        <w:t xml:space="preserve"> on: the number, ages, and average detention length of children held at </w:t>
      </w:r>
      <w:proofErr w:type="spellStart"/>
      <w:r>
        <w:rPr>
          <w:sz w:val="24"/>
          <w:szCs w:val="24"/>
        </w:rPr>
        <w:t>Lukavica</w:t>
      </w:r>
      <w:proofErr w:type="spellEnd"/>
      <w:r>
        <w:rPr>
          <w:sz w:val="24"/>
          <w:szCs w:val="24"/>
        </w:rPr>
        <w:t xml:space="preserve"> since the 2023 Concluding Observations; the number of age-assessment disputes and their outcomes, including cases like </w:t>
      </w:r>
      <w:proofErr w:type="spellStart"/>
      <w:r>
        <w:rPr>
          <w:i/>
          <w:iCs/>
          <w:sz w:val="24"/>
          <w:szCs w:val="24"/>
        </w:rPr>
        <w:t>Ustavni</w:t>
      </w:r>
      <w:proofErr w:type="spellEnd"/>
      <w:r>
        <w:rPr>
          <w:i/>
          <w:iCs/>
          <w:sz w:val="24"/>
          <w:szCs w:val="24"/>
        </w:rPr>
        <w:t xml:space="preserve"> </w:t>
      </w:r>
      <w:proofErr w:type="spellStart"/>
      <w:r>
        <w:rPr>
          <w:i/>
          <w:iCs/>
          <w:sz w:val="24"/>
          <w:szCs w:val="24"/>
        </w:rPr>
        <w:t>sud</w:t>
      </w:r>
      <w:proofErr w:type="spellEnd"/>
      <w:r>
        <w:rPr>
          <w:i/>
          <w:iCs/>
          <w:sz w:val="24"/>
          <w:szCs w:val="24"/>
        </w:rPr>
        <w:t xml:space="preserve"> BiH, AP-267/23</w:t>
      </w:r>
      <w:r>
        <w:rPr>
          <w:sz w:val="24"/>
          <w:szCs w:val="24"/>
        </w:rPr>
        <w:t>; and the current guardian-appointment process for unaccompanied minors, given documented cases of guardianship being assigned to unrelated co-travellers.</w:t>
      </w:r>
    </w:p>
    <w:p w14:paraId="0000004F" w14:textId="77777777" w:rsidR="00025F31" w:rsidRDefault="00036113">
      <w:pPr>
        <w:keepNext/>
        <w:numPr>
          <w:ilvl w:val="0"/>
          <w:numId w:val="1"/>
        </w:numPr>
        <w:spacing w:before="200" w:after="200" w:line="276" w:lineRule="auto"/>
        <w:jc w:val="both"/>
        <w:rPr>
          <w:sz w:val="24"/>
          <w:szCs w:val="24"/>
        </w:rPr>
      </w:pPr>
      <w:r>
        <w:rPr>
          <w:b/>
          <w:bCs/>
          <w:sz w:val="24"/>
          <w:szCs w:val="24"/>
        </w:rPr>
        <w:t xml:space="preserve">Request that Bosnia clarify what facility, if any, currently </w:t>
      </w:r>
      <w:proofErr w:type="spellStart"/>
      <w:r>
        <w:rPr>
          <w:b/>
          <w:bCs/>
          <w:sz w:val="24"/>
          <w:szCs w:val="24"/>
        </w:rPr>
        <w:t>fulfills</w:t>
      </w:r>
      <w:proofErr w:type="spellEnd"/>
      <w:r>
        <w:rPr>
          <w:b/>
          <w:bCs/>
          <w:sz w:val="24"/>
          <w:szCs w:val="24"/>
        </w:rPr>
        <w:t xml:space="preserve"> the role described in paragraph 74</w:t>
      </w:r>
      <w:r>
        <w:rPr>
          <w:sz w:val="24"/>
          <w:szCs w:val="24"/>
        </w:rPr>
        <w:t xml:space="preserve"> of its follow-up report as the dedicated Sarajevo-Canton vulnerable-category reception centre, given the closure of </w:t>
      </w:r>
      <w:proofErr w:type="spellStart"/>
      <w:r>
        <w:rPr>
          <w:sz w:val="24"/>
          <w:szCs w:val="24"/>
        </w:rPr>
        <w:t>Ušivak</w:t>
      </w:r>
      <w:proofErr w:type="spellEnd"/>
      <w:r>
        <w:rPr>
          <w:sz w:val="24"/>
          <w:szCs w:val="24"/>
        </w:rPr>
        <w:t xml:space="preserve"> TRC on 28 February 2026, and what individualized assessment or guardian-consultation protocol governed the transfer of unaccompanied minors out of that facility.</w:t>
      </w:r>
    </w:p>
    <w:p w14:paraId="00000050" w14:textId="77777777" w:rsidR="00025F31" w:rsidRDefault="00036113">
      <w:pPr>
        <w:keepNext/>
        <w:numPr>
          <w:ilvl w:val="0"/>
          <w:numId w:val="1"/>
        </w:numPr>
        <w:spacing w:before="200" w:after="200" w:line="276" w:lineRule="auto"/>
        <w:jc w:val="both"/>
        <w:rPr>
          <w:sz w:val="24"/>
          <w:szCs w:val="24"/>
        </w:rPr>
      </w:pPr>
      <w:r>
        <w:rPr>
          <w:b/>
          <w:bCs/>
          <w:sz w:val="24"/>
          <w:szCs w:val="24"/>
        </w:rPr>
        <w:t>Request that Bosnia report on concrete legislative and operational measures</w:t>
      </w:r>
      <w:r>
        <w:rPr>
          <w:sz w:val="24"/>
          <w:szCs w:val="24"/>
        </w:rPr>
        <w:t xml:space="preserve"> to prohibit racial profiling in migration control and combat hate speech and religiously-motivated violence against migrants, given that its follow-up report did not address paragraphs 32(e) or 32(f) at all, despite BVMN's documentation of 31 incidents of direct, explicit Islamophobic violence between 2017 and 2023, including against children, women, and the elderly.</w:t>
      </w:r>
    </w:p>
    <w:p w14:paraId="00000051" w14:textId="77777777" w:rsidR="00025F31" w:rsidRDefault="00036113">
      <w:pPr>
        <w:keepNext/>
        <w:numPr>
          <w:ilvl w:val="0"/>
          <w:numId w:val="1"/>
        </w:numPr>
        <w:spacing w:before="200" w:after="200" w:line="276" w:lineRule="auto"/>
        <w:jc w:val="both"/>
        <w:rPr>
          <w:sz w:val="24"/>
          <w:szCs w:val="24"/>
        </w:rPr>
      </w:pPr>
      <w:r>
        <w:rPr>
          <w:b/>
          <w:bCs/>
          <w:sz w:val="24"/>
          <w:szCs w:val="24"/>
        </w:rPr>
        <w:t>Request that Bosnia explain the relationship between its reported enforcement capacity gains</w:t>
      </w:r>
      <w:r>
        <w:rPr>
          <w:sz w:val="24"/>
          <w:szCs w:val="24"/>
        </w:rPr>
        <w:t xml:space="preserve"> including the expansion of Frontex deployment to a 116-officer operational capacity and EU equipment transfers under the EU4FAST project, and its parallel claims of "humane and legal accommodation conditions," given that BVMN's monitoring shows </w:t>
      </w:r>
      <w:r>
        <w:rPr>
          <w:sz w:val="24"/>
          <w:szCs w:val="24"/>
        </w:rPr>
        <w:lastRenderedPageBreak/>
        <w:t>protection-side capacity (dedicated reception facilities, healthcare, minor-adult separation) contracting over the same period that enforcement-side capacity has expanded.</w:t>
      </w:r>
    </w:p>
    <w:p w14:paraId="00000052" w14:textId="77777777" w:rsidR="00025F31" w:rsidRDefault="00036113">
      <w:pPr>
        <w:keepNext/>
        <w:numPr>
          <w:ilvl w:val="0"/>
          <w:numId w:val="1"/>
        </w:numPr>
        <w:spacing w:before="200" w:after="200" w:line="276" w:lineRule="auto"/>
        <w:jc w:val="both"/>
        <w:rPr>
          <w:sz w:val="24"/>
          <w:szCs w:val="24"/>
        </w:rPr>
      </w:pPr>
      <w:r>
        <w:rPr>
          <w:b/>
          <w:bCs/>
          <w:sz w:val="24"/>
          <w:szCs w:val="24"/>
        </w:rPr>
        <w:t>Request a concrete, time-bound implementation plan, not a further reporting cycle alone</w:t>
      </w:r>
      <w:r>
        <w:rPr>
          <w:sz w:val="24"/>
          <w:szCs w:val="24"/>
        </w:rPr>
        <w:t>, given that several of the concerns raised in this submission substantially restate recommendations first made in the Committee's 2018 Concluding Observations (CERD/C/BIH/CO/12-13) and echoed by the Committee on the Rights of the Child in 2019, indicating a pattern of non-implementation and surface level policy changes across treaty bodies rather than an isolated or newly-raised concern.</w:t>
      </w:r>
    </w:p>
    <w:p w14:paraId="00000053" w14:textId="77777777" w:rsidR="00025F31" w:rsidRDefault="00025F31">
      <w:pPr>
        <w:keepNext/>
        <w:pBdr>
          <w:top w:val="nil"/>
          <w:left w:val="nil"/>
          <w:bottom w:val="nil"/>
          <w:right w:val="nil"/>
          <w:between w:val="nil"/>
        </w:pBdr>
        <w:spacing w:before="200" w:after="200" w:line="276" w:lineRule="auto"/>
        <w:ind w:left="720"/>
        <w:jc w:val="both"/>
        <w:rPr>
          <w:sz w:val="24"/>
          <w:szCs w:val="24"/>
        </w:rPr>
      </w:pPr>
    </w:p>
    <w:sectPr w:rsidR="00025F31">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F72CB" w14:textId="77777777" w:rsidR="00036113" w:rsidRDefault="00036113">
      <w:r>
        <w:separator/>
      </w:r>
    </w:p>
  </w:endnote>
  <w:endnote w:type="continuationSeparator" w:id="0">
    <w:p w14:paraId="5304066C" w14:textId="77777777" w:rsidR="00036113" w:rsidRDefault="00036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1" w:fontKey="{7BBA0538-B7F2-4374-B8F9-240788EB44AF}"/>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CA9B524E-AFA2-447F-AFF3-9C52127143A2}"/>
  </w:font>
  <w:font w:name="Cambria">
    <w:panose1 w:val="02040503050406030204"/>
    <w:charset w:val="00"/>
    <w:family w:val="roman"/>
    <w:pitch w:val="variable"/>
    <w:sig w:usb0="E00006FF" w:usb1="420024FF" w:usb2="02000000" w:usb3="00000000" w:csb0="0000019F" w:csb1="00000000"/>
    <w:embedRegular r:id="rId3" w:fontKey="{2D3F2D68-1C9F-4C49-B53C-FA7FF95A3118}"/>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C218D" w14:textId="77777777" w:rsidR="00036113" w:rsidRDefault="00036113">
      <w:r>
        <w:separator/>
      </w:r>
    </w:p>
  </w:footnote>
  <w:footnote w:type="continuationSeparator" w:id="0">
    <w:p w14:paraId="277A7D2E" w14:textId="77777777" w:rsidR="00036113" w:rsidRDefault="00036113">
      <w:r>
        <w:continuationSeparator/>
      </w:r>
    </w:p>
  </w:footnote>
  <w:footnote w:id="1">
    <w:p w14:paraId="00000054" w14:textId="77777777" w:rsidR="00025F31" w:rsidRDefault="00036113">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w:t>
      </w:r>
      <w:hyperlink r:id="rId1">
        <w:r>
          <w:rPr>
            <w:color w:val="0563C1"/>
            <w:sz w:val="16"/>
            <w:szCs w:val="16"/>
            <w:u w:val="single"/>
          </w:rPr>
          <w:t>(CERD/C/BIH/CO/14-15).</w:t>
        </w:r>
      </w:hyperlink>
    </w:p>
  </w:footnote>
  <w:footnote w:id="2">
    <w:p w14:paraId="00000055" w14:textId="77777777" w:rsidR="00025F31" w:rsidRDefault="00036113">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w:t>
      </w:r>
      <w:hyperlink r:id="rId2">
        <w:r>
          <w:rPr>
            <w:color w:val="0563C1"/>
            <w:sz w:val="16"/>
            <w:szCs w:val="16"/>
            <w:u w:val="single"/>
          </w:rPr>
          <w:t>(CERD/C/BIH/FCO/14-15)</w:t>
        </w:r>
      </w:hyperlink>
    </w:p>
  </w:footnote>
  <w:footnote w:id="3">
    <w:p w14:paraId="00000056" w14:textId="77777777" w:rsidR="00025F31" w:rsidRDefault="00036113">
      <w:pPr>
        <w:pBdr>
          <w:top w:val="nil"/>
          <w:left w:val="nil"/>
          <w:bottom w:val="nil"/>
          <w:right w:val="nil"/>
          <w:between w:val="nil"/>
        </w:pBdr>
        <w:rPr>
          <w:color w:val="000000"/>
          <w:sz w:val="16"/>
          <w:szCs w:val="16"/>
        </w:rPr>
      </w:pPr>
      <w:r>
        <w:rPr>
          <w:vertAlign w:val="superscript"/>
        </w:rPr>
        <w:footnoteRef/>
      </w:r>
      <w:r>
        <w:rPr>
          <w:color w:val="000000"/>
        </w:rPr>
        <w:t xml:space="preserve"> </w:t>
      </w:r>
      <w:r>
        <w:rPr>
          <w:color w:val="000000"/>
          <w:sz w:val="16"/>
          <w:szCs w:val="16"/>
        </w:rPr>
        <w:t xml:space="preserve">UN Committee on the Elimination of Racial Discrimination Joint General Recommendation No. 39 (2025) of the Committee on the Elimination of Racial Discrimination and General Comment No. 8 (2025) of the Committee on the Protection of the Rights of All Migrant Workers and Members of Their Families on Thematic Guidelines for Eradicating  Xenophobia Towards Migrants and Others Perceived as Such, CERC/C/GC/39-CMW/C/GC/8, 3 February 2026, </w:t>
      </w:r>
      <w:hyperlink r:id="rId3">
        <w:r>
          <w:rPr>
            <w:color w:val="0563C1"/>
            <w:sz w:val="16"/>
            <w:szCs w:val="16"/>
            <w:u w:val="single"/>
          </w:rPr>
          <w:t>https://docs.un.org/en/CMW/C/GC/8</w:t>
        </w:r>
      </w:hyperlink>
    </w:p>
  </w:footnote>
  <w:footnote w:id="4">
    <w:p w14:paraId="00000057" w14:textId="77777777" w:rsidR="00025F31" w:rsidRDefault="00036113">
      <w:pPr>
        <w:rPr>
          <w:sz w:val="16"/>
          <w:szCs w:val="16"/>
        </w:rPr>
      </w:pPr>
      <w:r>
        <w:rPr>
          <w:vertAlign w:val="superscript"/>
        </w:rPr>
        <w:footnoteRef/>
      </w:r>
      <w:r>
        <w:t xml:space="preserve"> </w:t>
      </w:r>
      <w:hyperlink r:id="rId4">
        <w:r>
          <w:rPr>
            <w:color w:val="0563C1"/>
            <w:sz w:val="16"/>
            <w:szCs w:val="16"/>
            <w:u w:val="single"/>
          </w:rPr>
          <w:t>(CERD/C/BIH/CO/14-15).</w:t>
        </w:r>
      </w:hyperlink>
      <w:r>
        <w:rPr>
          <w:sz w:val="16"/>
          <w:szCs w:val="16"/>
        </w:rPr>
        <w:t xml:space="preserve">  Section 32(a). “Ensure the respect of the principle of non-refoulement and that, in law and in practice, migrants and asylum-seekers are effectively allowed to apply for international protection and referred to asylum authorities and refugee status determination procedures."</w:t>
      </w:r>
    </w:p>
  </w:footnote>
  <w:footnote w:id="5">
    <w:p w14:paraId="00000058" w14:textId="77777777" w:rsidR="00025F31" w:rsidRDefault="00036113">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Committee on the Protection of the Rights of All Migrant Workers and Members of Their Families, List of issues prior to submission of the second periodic report of Türkiye, CMW/C/TUR/QPR/2. </w:t>
      </w:r>
    </w:p>
    <w:p w14:paraId="00000059" w14:textId="77777777" w:rsidR="00025F31" w:rsidRDefault="00036113">
      <w:pPr>
        <w:pBdr>
          <w:top w:val="nil"/>
          <w:left w:val="nil"/>
          <w:bottom w:val="nil"/>
          <w:right w:val="nil"/>
          <w:between w:val="nil"/>
        </w:pBdr>
        <w:rPr>
          <w:color w:val="000000"/>
          <w:sz w:val="16"/>
          <w:szCs w:val="16"/>
        </w:rPr>
      </w:pPr>
      <w:r>
        <w:rPr>
          <w:color w:val="000000"/>
          <w:sz w:val="16"/>
          <w:szCs w:val="16"/>
        </w:rPr>
        <w:t>Committee on the Protection of the Rights of All Migrant Workers and Members of Their Families, Concluding observations on the combined second and third periodic reports of the Syrian Arab Republic, CMW/C/SYR/CO/2-3 </w:t>
      </w:r>
    </w:p>
  </w:footnote>
  <w:footnote w:id="6">
    <w:p w14:paraId="0000005A" w14:textId="77777777" w:rsidR="00025F31" w:rsidRDefault="00036113">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Committee on the Elimination of Racial Discrimination, Concluding observations on the twentieth to twenty-second periodic reports of Greece, CERD/C/GRC/CO/20-22.</w:t>
      </w:r>
    </w:p>
  </w:footnote>
  <w:footnote w:id="7">
    <w:p w14:paraId="00000062" w14:textId="77777777" w:rsidR="00025F31" w:rsidRDefault="00036113">
      <w:pPr>
        <w:rPr>
          <w:sz w:val="16"/>
          <w:szCs w:val="16"/>
        </w:rPr>
      </w:pPr>
      <w:r>
        <w:rPr>
          <w:vertAlign w:val="superscript"/>
        </w:rPr>
        <w:footnoteRef/>
      </w:r>
      <w:r>
        <w:rPr>
          <w:sz w:val="16"/>
          <w:szCs w:val="16"/>
        </w:rPr>
        <w:t xml:space="preserve"> The Committee on the Rights of the Child (CRC/C/BIH/CO/5-6, 5 December 2019), para. 44–45: flagged "asylum seeking and migrant children" as one of the areas requiring urgent measures, urging BiH to avoid all detention of migrant/asylum-seeking children and families, appoint guardians for unaccompanied children in a timely manner, and develop campaigns to counter hate speech against asylum-seeking and refugee children. The Council of Europe CPT (Committee for the Prevention of Torture), Report of the visit </w:t>
      </w:r>
      <w:r>
        <w:rPr>
          <w:sz w:val="16"/>
          <w:szCs w:val="16"/>
        </w:rPr>
        <w:t>to Bosnia and Herzegovina, 13 September 2024 (following an April 2024 visit): recommended BiH "end the immigration detention of unaccompanied children and children with their families at the Lukavica Immigration Detention Centre... and anywhere else in BiH.CERD's own 2018 Concluding Observations (CERD/C/BIH/CO/12-13) and the Committee against Torture's 2017 Concluding Observations (CAT/C/BIH/CO/6) made substantially similar recommendations on non-refoulement, detention as last resort, and guardianship.</w:t>
      </w:r>
    </w:p>
  </w:footnote>
  <w:footnote w:id="8">
    <w:p w14:paraId="0000005B" w14:textId="77777777" w:rsidR="00025F31" w:rsidRDefault="00036113">
      <w:pPr>
        <w:pBdr>
          <w:top w:val="nil"/>
          <w:left w:val="nil"/>
          <w:bottom w:val="nil"/>
          <w:right w:val="nil"/>
          <w:between w:val="nil"/>
        </w:pBdr>
        <w:rPr>
          <w:color w:val="000000"/>
        </w:rPr>
      </w:pPr>
      <w:r>
        <w:rPr>
          <w:vertAlign w:val="superscript"/>
        </w:rPr>
        <w:footnoteRef/>
      </w:r>
      <w:r>
        <w:rPr>
          <w:color w:val="000000"/>
        </w:rPr>
        <w:t xml:space="preserve"> </w:t>
      </w:r>
      <w:r>
        <w:rPr>
          <w:color w:val="000000"/>
          <w:sz w:val="16"/>
          <w:szCs w:val="16"/>
        </w:rPr>
        <w:t xml:space="preserve">Border Violence Monitoring Network. (2024). " Bosnian police used tear gas against two of us [...] and pushed us back to Serbia.” Reported by: Collective Aid. Available at: </w:t>
      </w:r>
      <w:hyperlink r:id="rId5">
        <w:r>
          <w:rPr>
            <w:color w:val="0563C1"/>
            <w:sz w:val="16"/>
            <w:szCs w:val="16"/>
            <w:u w:val="single"/>
          </w:rPr>
          <w:t>https://borderviolence.eu/testimony/september-26-2024-m14-1-bridge-over-the-drina-loznica</w:t>
        </w:r>
      </w:hyperlink>
    </w:p>
  </w:footnote>
  <w:footnote w:id="9">
    <w:p w14:paraId="0000005C" w14:textId="77777777" w:rsidR="00025F31" w:rsidRDefault="00036113">
      <w:pPr>
        <w:pBdr>
          <w:top w:val="nil"/>
          <w:left w:val="nil"/>
          <w:bottom w:val="nil"/>
          <w:right w:val="nil"/>
          <w:between w:val="nil"/>
        </w:pBdr>
        <w:rPr>
          <w:color w:val="000000"/>
        </w:rPr>
      </w:pPr>
      <w:r>
        <w:rPr>
          <w:vertAlign w:val="superscript"/>
        </w:rPr>
        <w:footnoteRef/>
      </w:r>
      <w:r>
        <w:rPr>
          <w:color w:val="000000"/>
        </w:rPr>
        <w:t xml:space="preserve"> </w:t>
      </w:r>
      <w:r>
        <w:rPr>
          <w:color w:val="000000"/>
          <w:sz w:val="16"/>
          <w:szCs w:val="16"/>
        </w:rPr>
        <w:t>Border Violence Monitoring Network. (2024). " His clothes were taken off and thrown into the water and was left freezing in the forest at night.” Reported by: Collective Aid. Available at:.</w:t>
      </w:r>
      <w:hyperlink r:id="rId6">
        <w:r>
          <w:rPr>
            <w:color w:val="0563C1"/>
            <w:sz w:val="16"/>
            <w:szCs w:val="16"/>
            <w:u w:val="single"/>
          </w:rPr>
          <w:t>https://borderviolence.eu/testimony/september-29-2024-sremska-raca-serbia</w:t>
        </w:r>
      </w:hyperlink>
    </w:p>
  </w:footnote>
  <w:footnote w:id="10">
    <w:p w14:paraId="0000005D" w14:textId="77777777" w:rsidR="00025F31" w:rsidRDefault="00036113">
      <w:pPr>
        <w:pBdr>
          <w:top w:val="nil"/>
          <w:left w:val="nil"/>
          <w:bottom w:val="nil"/>
          <w:right w:val="nil"/>
          <w:between w:val="nil"/>
        </w:pBdr>
        <w:rPr>
          <w:b/>
          <w:bCs/>
          <w:color w:val="000000"/>
          <w:sz w:val="16"/>
          <w:szCs w:val="16"/>
        </w:rPr>
      </w:pPr>
      <w:r>
        <w:rPr>
          <w:vertAlign w:val="superscript"/>
        </w:rPr>
        <w:footnoteRef/>
      </w:r>
      <w:r>
        <w:rPr>
          <w:color w:val="000000"/>
        </w:rPr>
        <w:t xml:space="preserve"> </w:t>
      </w:r>
      <w:r>
        <w:rPr>
          <w:color w:val="000000"/>
          <w:sz w:val="16"/>
          <w:szCs w:val="16"/>
        </w:rPr>
        <w:t>Border Violence Monitoring Network. (2024). " This time the police officer took his phone and broke it so that it could not be used. The respondent recounted asking for water and this was denied</w:t>
      </w:r>
      <w:r>
        <w:rPr>
          <w:b/>
          <w:bCs/>
          <w:color w:val="000000"/>
          <w:sz w:val="16"/>
          <w:szCs w:val="16"/>
        </w:rPr>
        <w:t>.</w:t>
      </w:r>
      <w:r>
        <w:rPr>
          <w:color w:val="000000"/>
          <w:sz w:val="16"/>
          <w:szCs w:val="16"/>
        </w:rPr>
        <w:t>” Reported by: Collective Aid. Available at:.</w:t>
      </w:r>
      <w:r>
        <w:rPr>
          <w:color w:val="000000"/>
        </w:rPr>
        <w:t xml:space="preserve"> </w:t>
      </w:r>
      <w:r>
        <w:rPr>
          <w:color w:val="000000"/>
          <w:sz w:val="16"/>
          <w:szCs w:val="16"/>
        </w:rPr>
        <w:t>https://borderviolence.eu/testimony/april-28-2024-bileca-bosnia-to-just-outside-the-village-of-vracenovici-montenegro</w:t>
      </w:r>
    </w:p>
  </w:footnote>
  <w:footnote w:id="11">
    <w:p w14:paraId="0000005E" w14:textId="77777777" w:rsidR="00025F31" w:rsidRDefault="00036113">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(CERD/C/BIH/CO/14-15).  Section 32(b). "ensure that immigration detention is applied only as a measure of last resort for the shortest period of time... and end the practice of detention of migrant children."</w:t>
      </w:r>
    </w:p>
  </w:footnote>
  <w:footnote w:id="12">
    <w:p w14:paraId="00000064" w14:textId="77777777" w:rsidR="00025F31" w:rsidRDefault="00036113">
      <w:pPr>
        <w:rPr>
          <w:b/>
          <w:bCs/>
          <w:sz w:val="16"/>
          <w:szCs w:val="16"/>
        </w:rPr>
      </w:pPr>
      <w:r>
        <w:rPr>
          <w:vertAlign w:val="superscript"/>
        </w:rPr>
        <w:footnoteRef/>
      </w:r>
      <w:r>
        <w:t xml:space="preserve"> </w:t>
      </w:r>
      <w:r>
        <w:rPr>
          <w:sz w:val="16"/>
          <w:szCs w:val="16"/>
        </w:rPr>
        <w:t>Collective Aid, Returns Position Paper, https://drive.google.com/file/d/1ygUEB_EYG5QX-A8WpSURDDzfcXuCR-Mg/view</w:t>
      </w:r>
    </w:p>
  </w:footnote>
  <w:footnote w:id="13">
    <w:p w14:paraId="00000063" w14:textId="77777777" w:rsidR="00025F31" w:rsidRDefault="00036113">
      <w:pPr>
        <w:rPr>
          <w:b/>
          <w:bCs/>
          <w:sz w:val="16"/>
          <w:szCs w:val="16"/>
        </w:rPr>
      </w:pPr>
      <w:r>
        <w:rPr>
          <w:vertAlign w:val="superscript"/>
        </w:rPr>
        <w:footnoteRef/>
      </w:r>
      <w:r>
        <w:t xml:space="preserve"> </w:t>
      </w:r>
      <w:r>
        <w:rPr>
          <w:sz w:val="16"/>
          <w:szCs w:val="16"/>
        </w:rPr>
        <w:t>Collective Aid, "Inside Lukavica: Bosnia's Immigration Detention Black Box," May 2026, and accompanying blog series (Parts I–V), April–May 2026; BIRN/Balkan Insight, "Report Slams Secretive, Prisonlike Conditions in Bosnia's Migrant Centre," 12 May 2026.</w:t>
      </w:r>
    </w:p>
  </w:footnote>
  <w:footnote w:id="14">
    <w:p w14:paraId="00000065" w14:textId="77777777" w:rsidR="00025F31" w:rsidRDefault="00036113">
      <w:pPr>
        <w:rPr>
          <w:b/>
          <w:bCs/>
          <w:sz w:val="16"/>
          <w:szCs w:val="16"/>
        </w:rPr>
      </w:pPr>
      <w:r>
        <w:rPr>
          <w:vertAlign w:val="superscript"/>
        </w:rPr>
        <w:footnoteRef/>
      </w:r>
      <w:r>
        <w:t xml:space="preserve"> </w:t>
      </w:r>
      <w:r>
        <w:rPr>
          <w:sz w:val="16"/>
          <w:szCs w:val="16"/>
        </w:rPr>
        <w:t>N1 Sarajevo, Chechen diaspora appeals to Bosnia to halt extradition of Selima Khadisova to Russia,2024. https://n1info.ba/english/news/chechen-diaspora-appeals-to-bosnia-to-halt-extradition-of-selima-khadisova-to-russia/</w:t>
      </w:r>
    </w:p>
  </w:footnote>
  <w:footnote w:id="15">
    <w:p w14:paraId="00000066" w14:textId="77777777" w:rsidR="00025F31" w:rsidRDefault="00036113">
      <w:pPr>
        <w:rPr>
          <w:sz w:val="16"/>
          <w:szCs w:val="16"/>
        </w:rPr>
      </w:pPr>
      <w:r>
        <w:rPr>
          <w:vertAlign w:val="superscript"/>
        </w:rPr>
        <w:footnoteRef/>
      </w:r>
      <w:r>
        <w:t xml:space="preserve"> </w:t>
      </w:r>
      <w:r>
        <w:rPr>
          <w:sz w:val="16"/>
          <w:szCs w:val="16"/>
        </w:rPr>
        <w:t>Collective Aid, "Inside Lukavica: Bosnia's Immigration Detention Black Box," May 2026, and accompanying blog series (Parts I–V), April–May 2026; BIRN/Balkan Insight, "Report Slams Secretive, Prisonlike Conditions in Bosnia's Migrant Centre," 12 May 2026.</w:t>
      </w:r>
    </w:p>
  </w:footnote>
  <w:footnote w:id="16">
    <w:p w14:paraId="00000067" w14:textId="77777777" w:rsidR="00025F31" w:rsidRDefault="00036113">
      <w:pPr>
        <w:rPr>
          <w:b/>
          <w:bCs/>
          <w:sz w:val="16"/>
          <w:szCs w:val="16"/>
        </w:rPr>
      </w:pPr>
      <w:r>
        <w:rPr>
          <w:vertAlign w:val="superscript"/>
        </w:rPr>
        <w:footnoteRef/>
      </w:r>
      <w:r>
        <w:rPr>
          <w:b/>
          <w:bCs/>
          <w:sz w:val="16"/>
          <w:szCs w:val="16"/>
        </w:rPr>
        <w:t xml:space="preserve"> </w:t>
      </w:r>
      <w:r>
        <w:rPr>
          <w:sz w:val="16"/>
          <w:szCs w:val="16"/>
        </w:rPr>
        <w:t>Collective Aid, "Inside Lukavica: Bosnia's Immigration Detention Black Box," May 2026, and accompanying blog series (Parts I–V), April–May 2026; BIRN/Balkan Insight, "Report Slams Secretive, Prisonlike Conditions in Bosnia's Migrant Centre," 12 May 2026.</w:t>
      </w:r>
    </w:p>
  </w:footnote>
  <w:footnote w:id="17">
    <w:p w14:paraId="00000068" w14:textId="77777777" w:rsidR="00025F31" w:rsidRDefault="00036113">
      <w:pPr>
        <w:rPr>
          <w:sz w:val="16"/>
          <w:szCs w:val="16"/>
        </w:rPr>
      </w:pPr>
      <w:r>
        <w:rPr>
          <w:vertAlign w:val="superscript"/>
        </w:rPr>
        <w:footnoteRef/>
      </w:r>
      <w:r>
        <w:rPr>
          <w:sz w:val="16"/>
          <w:szCs w:val="16"/>
        </w:rPr>
        <w:t xml:space="preserve"> The Constitutional Court of Bosnia and Herzegovina, DECISION ON ADMISSIBILITY AND MERITS, appeal lodged by minor A.H.Q./ A.K, for more info: https://www.ustavnisud.ba/uploads/odluke/_en/AP-267-23-1380158.pdf</w:t>
      </w:r>
    </w:p>
  </w:footnote>
  <w:footnote w:id="18">
    <w:p w14:paraId="00000069" w14:textId="77777777" w:rsidR="00025F31" w:rsidRDefault="00036113">
      <w:pPr>
        <w:rPr>
          <w:sz w:val="16"/>
          <w:szCs w:val="16"/>
        </w:rPr>
      </w:pPr>
      <w:r>
        <w:rPr>
          <w:vertAlign w:val="superscript"/>
        </w:rPr>
        <w:footnoteRef/>
      </w:r>
      <w:r>
        <w:rPr>
          <w:sz w:val="16"/>
          <w:szCs w:val="16"/>
        </w:rPr>
        <w:t xml:space="preserve"> Collective Aid, "Inside Lukavica: Bosnia's Immigration Detention Black Box," May 2026, and accompanying blog series (Parts I–V), April–May 2026; BIRN/Balkan Insight, "Report Slams Secretive, Prisonlike Conditions in Bosnia's Migrant Centre," 12 May 2026.</w:t>
      </w:r>
    </w:p>
  </w:footnote>
  <w:footnote w:id="19">
    <w:p w14:paraId="0000005F" w14:textId="77777777" w:rsidR="00025F31" w:rsidRDefault="00036113">
      <w:pPr>
        <w:pBdr>
          <w:top w:val="nil"/>
          <w:left w:val="nil"/>
          <w:bottom w:val="nil"/>
          <w:right w:val="nil"/>
          <w:between w:val="nil"/>
        </w:pBdr>
        <w:rPr>
          <w:sz w:val="16"/>
          <w:szCs w:val="16"/>
        </w:rPr>
      </w:pPr>
      <w:r>
        <w:rPr>
          <w:vertAlign w:val="superscript"/>
        </w:rPr>
        <w:footnoteRef/>
      </w:r>
      <w:r>
        <w:rPr>
          <w:color w:val="000000"/>
        </w:rPr>
        <w:t xml:space="preserve"> </w:t>
      </w:r>
      <w:r>
        <w:rPr>
          <w:sz w:val="16"/>
          <w:szCs w:val="16"/>
        </w:rPr>
        <w:t xml:space="preserve">(CERD/C/BIH/CO/14-15).  Section 32(c). "The Committee recommended </w:t>
      </w:r>
      <w:r>
        <w:rPr>
          <w:sz w:val="16"/>
          <w:szCs w:val="16"/>
        </w:rPr>
        <w:t>BiH adopt</w:t>
      </w:r>
      <w:r>
        <w:rPr>
          <w:sz w:val="16"/>
          <w:szCs w:val="16"/>
        </w:rPr>
        <w:t xml:space="preserve"> protocols to ensure the adequate and effective protection and care of unaccompanied children... ensuring that they have timely access to legal guardians."</w:t>
      </w:r>
    </w:p>
  </w:footnote>
  <w:footnote w:id="20">
    <w:p w14:paraId="0000006A" w14:textId="77777777" w:rsidR="00025F31" w:rsidRDefault="00036113">
      <w:pPr>
        <w:rPr>
          <w:sz w:val="16"/>
          <w:szCs w:val="16"/>
        </w:rPr>
      </w:pPr>
      <w:r>
        <w:rPr>
          <w:vertAlign w:val="superscript"/>
        </w:rPr>
        <w:footnoteRef/>
      </w:r>
      <w:r>
        <w:rPr>
          <w:sz w:val="16"/>
          <w:szCs w:val="16"/>
        </w:rPr>
        <w:t xml:space="preserve"> Collective Aid, "Inside Lukavica: Bosnia's Immigration Detention Black Box," May 2026, and accompanying blog series (Parts I–V), April–May 2026; BIRN/Balkan Insight, "Report Slams Secretive, Prisonlike Conditions in Bosnia's Migrant Centre," 12 May 2026.</w:t>
      </w:r>
    </w:p>
  </w:footnote>
  <w:footnote w:id="21">
    <w:p w14:paraId="0000006B" w14:textId="77777777" w:rsidR="00025F31" w:rsidRDefault="00036113">
      <w:pPr>
        <w:rPr>
          <w:sz w:val="16"/>
          <w:szCs w:val="16"/>
        </w:rPr>
      </w:pPr>
      <w:r>
        <w:rPr>
          <w:vertAlign w:val="superscript"/>
        </w:rPr>
        <w:footnoteRef/>
      </w:r>
      <w:r>
        <w:rPr>
          <w:sz w:val="16"/>
          <w:szCs w:val="16"/>
        </w:rPr>
        <w:t xml:space="preserve"> Collective Aid, Monthly Report, February 2026 ("Lines That Hurt"), section "Infrastructural Neglect in BiH: Closure of Ušivak .</w:t>
      </w:r>
    </w:p>
  </w:footnote>
  <w:footnote w:id="22">
    <w:p w14:paraId="0000006C" w14:textId="77777777" w:rsidR="00025F31" w:rsidRDefault="00036113">
      <w:pPr>
        <w:rPr>
          <w:sz w:val="16"/>
          <w:szCs w:val="16"/>
        </w:rPr>
      </w:pPr>
      <w:r>
        <w:rPr>
          <w:vertAlign w:val="superscript"/>
        </w:rPr>
        <w:footnoteRef/>
      </w:r>
      <w:r>
        <w:rPr>
          <w:sz w:val="16"/>
          <w:szCs w:val="16"/>
        </w:rPr>
        <w:t xml:space="preserve"> </w:t>
      </w:r>
      <w:r>
        <w:rPr>
          <w:i/>
          <w:iCs/>
          <w:sz w:val="16"/>
          <w:szCs w:val="16"/>
        </w:rPr>
        <w:t>Ibid</w:t>
      </w:r>
      <w:r>
        <w:rPr>
          <w:sz w:val="16"/>
          <w:szCs w:val="16"/>
        </w:rPr>
        <w:t>.</w:t>
      </w:r>
    </w:p>
  </w:footnote>
  <w:footnote w:id="23">
    <w:p w14:paraId="00000060" w14:textId="77777777" w:rsidR="00025F31" w:rsidRDefault="00036113">
      <w:pPr>
        <w:pBdr>
          <w:top w:val="nil"/>
          <w:left w:val="nil"/>
          <w:bottom w:val="nil"/>
          <w:right w:val="nil"/>
          <w:between w:val="nil"/>
        </w:pBdr>
        <w:rPr>
          <w:color w:val="000000"/>
        </w:rPr>
      </w:pPr>
      <w:r>
        <w:rPr>
          <w:vertAlign w:val="superscript"/>
        </w:rPr>
        <w:footnoteRef/>
      </w:r>
      <w:r>
        <w:rPr>
          <w:color w:val="000000"/>
          <w:sz w:val="16"/>
          <w:szCs w:val="16"/>
        </w:rPr>
        <w:t xml:space="preserve"> CERD/C/BIH/CO/14-15).  Section 32(e). "The Committee recommended BiH "include in its legislation a prohibition of racial profiling and ensure that police and other law enforcement officials are provided with clear guidelines aimed at preventing racial profiling in migration control."</w:t>
      </w:r>
    </w:p>
  </w:footnote>
  <w:footnote w:id="24">
    <w:p w14:paraId="0000006D" w14:textId="77777777" w:rsidR="00025F31" w:rsidRDefault="00036113">
      <w:pPr>
        <w:rPr>
          <w:sz w:val="16"/>
          <w:szCs w:val="16"/>
        </w:rPr>
      </w:pPr>
      <w:r>
        <w:rPr>
          <w:vertAlign w:val="superscript"/>
        </w:rPr>
        <w:footnoteRef/>
      </w:r>
      <w:r>
        <w:rPr>
          <w:sz w:val="16"/>
          <w:szCs w:val="16"/>
        </w:rPr>
        <w:t xml:space="preserve"> CERD/C/BIH/CO/14-15).  Section 32(f).The Committee recommended BiH "adopt effective measures to prevent and combat speech in the media inciting racial discrimination and manifestations of racism against migrants."</w:t>
      </w:r>
    </w:p>
  </w:footnote>
  <w:footnote w:id="25">
    <w:p w14:paraId="0000006E" w14:textId="77777777" w:rsidR="00025F31" w:rsidRDefault="00036113">
      <w:r>
        <w:rPr>
          <w:vertAlign w:val="superscript"/>
        </w:rPr>
        <w:footnoteRef/>
      </w:r>
      <w:r>
        <w:t xml:space="preserve"> </w:t>
      </w:r>
      <w:r>
        <w:rPr>
          <w:sz w:val="16"/>
          <w:szCs w:val="16"/>
        </w:rPr>
        <w:t>For the purpose of this submission, BVMN has aligned its terminology with the General Comment/Recommendation Concept Note that states the term “migrants” includes “</w:t>
      </w:r>
      <w:r>
        <w:rPr>
          <w:i/>
          <w:iCs/>
          <w:sz w:val="16"/>
          <w:szCs w:val="16"/>
        </w:rPr>
        <w:t>every person which is not national of the country where he/she temporarily/permanently is, regardless the reason for leaving his/her country and also regardless of his/her migratory status. It includes asylum seekers, refugees, statelessness, victims of trafficking, and other people in the context of international migration</w:t>
      </w:r>
      <w:r>
        <w:rPr>
          <w:sz w:val="16"/>
          <w:szCs w:val="16"/>
        </w:rPr>
        <w:t>”. </w:t>
      </w:r>
    </w:p>
  </w:footnote>
  <w:footnote w:id="26">
    <w:p w14:paraId="0000006F" w14:textId="77777777" w:rsidR="00025F31" w:rsidRDefault="00036113">
      <w:pPr>
        <w:jc w:val="both"/>
        <w:rPr>
          <w:sz w:val="18"/>
          <w:szCs w:val="18"/>
        </w:rPr>
      </w:pPr>
      <w:r>
        <w:rPr>
          <w:vertAlign w:val="superscript"/>
        </w:rPr>
        <w:footnoteRef/>
      </w:r>
      <w:r>
        <w:rPr>
          <w:sz w:val="16"/>
          <w:szCs w:val="16"/>
        </w:rPr>
        <w:t xml:space="preserve">Border Violence Monitoring Network. (2022). "They tore up my Quran and told us no Muslims in Europe.” Reported by: Collective Aid. Available at: </w:t>
      </w:r>
      <w:hyperlink r:id="rId7">
        <w:r>
          <w:rPr>
            <w:color w:val="1155CC"/>
            <w:sz w:val="16"/>
            <w:szCs w:val="16"/>
            <w:u w:val="single"/>
          </w:rPr>
          <w:t>https://borderviolence.eu/testimonies/october-10-2022-0500-horgos-serbia/</w:t>
        </w:r>
      </w:hyperlink>
    </w:p>
  </w:footnote>
  <w:footnote w:id="27">
    <w:p w14:paraId="00000070" w14:textId="77777777" w:rsidR="00025F31" w:rsidRDefault="00036113">
      <w:pPr>
        <w:jc w:val="both"/>
        <w:rPr>
          <w:sz w:val="16"/>
          <w:szCs w:val="16"/>
        </w:rPr>
      </w:pPr>
      <w:r>
        <w:rPr>
          <w:vertAlign w:val="superscript"/>
        </w:rPr>
        <w:footnoteRef/>
      </w:r>
      <w:r>
        <w:rPr>
          <w:sz w:val="16"/>
          <w:szCs w:val="16"/>
        </w:rPr>
        <w:t xml:space="preserve"> Border Violence Monitoring Network. (2021). "The policeman said: 'Morocco come here I give you a cigarette'. I said 'I cannot take the cigarette; I am doing Ramadan' - then they beat me", Reported by: No Name Kitchen. Available at: </w:t>
      </w:r>
      <w:hyperlink r:id="rId8">
        <w:r>
          <w:rPr>
            <w:color w:val="1155CC"/>
            <w:sz w:val="16"/>
            <w:szCs w:val="16"/>
            <w:u w:val="single"/>
          </w:rPr>
          <w:t>https://borderviolence.eu/testimonies/may-12-2021-0000-samobor-croatia/</w:t>
        </w:r>
      </w:hyperlink>
      <w:r>
        <w:rPr>
          <w:sz w:val="16"/>
          <w:szCs w:val="16"/>
        </w:rPr>
        <w:t xml:space="preserve"> </w:t>
      </w:r>
    </w:p>
  </w:footnote>
  <w:footnote w:id="28">
    <w:p w14:paraId="00000071" w14:textId="77777777" w:rsidR="00025F31" w:rsidRDefault="00036113">
      <w:pPr>
        <w:jc w:val="both"/>
        <w:rPr>
          <w:sz w:val="16"/>
          <w:szCs w:val="16"/>
        </w:rPr>
      </w:pPr>
      <w:r>
        <w:rPr>
          <w:vertAlign w:val="superscript"/>
        </w:rPr>
        <w:footnoteRef/>
      </w:r>
      <w:r>
        <w:rPr>
          <w:sz w:val="16"/>
          <w:szCs w:val="16"/>
        </w:rPr>
        <w:t xml:space="preserve"> Border Violence Monitoring Network. (2021). "Twelve Men Apprehended by Hungarian Police, Beaten and Pushed Back to Serbia.” Reported by: No Name Kitchen. Available at:</w:t>
      </w:r>
      <w:r>
        <w:rPr>
          <w:sz w:val="16"/>
          <w:szCs w:val="16"/>
        </w:rPr>
        <w:br/>
      </w:r>
      <w:hyperlink r:id="rId9">
        <w:r>
          <w:rPr>
            <w:color w:val="1155CC"/>
            <w:sz w:val="16"/>
            <w:szCs w:val="16"/>
            <w:u w:val="single"/>
          </w:rPr>
          <w:t>https://borderviolence.eu/testimonies/december-3-2021-0000-near-the-horgos-roeszke-border-crossing/</w:t>
        </w:r>
      </w:hyperlink>
      <w:r>
        <w:rPr>
          <w:sz w:val="16"/>
          <w:szCs w:val="16"/>
        </w:rPr>
        <w:t xml:space="preserve"> </w:t>
      </w:r>
    </w:p>
  </w:footnote>
  <w:footnote w:id="29">
    <w:p w14:paraId="00000072" w14:textId="77777777" w:rsidR="00025F31" w:rsidRDefault="00036113">
      <w:pPr>
        <w:jc w:val="both"/>
        <w:rPr>
          <w:sz w:val="16"/>
          <w:szCs w:val="16"/>
        </w:rPr>
      </w:pPr>
      <w:r>
        <w:rPr>
          <w:vertAlign w:val="superscript"/>
        </w:rPr>
        <w:footnoteRef/>
      </w:r>
      <w:r>
        <w:rPr>
          <w:sz w:val="18"/>
          <w:szCs w:val="18"/>
        </w:rPr>
        <w:t xml:space="preserve"> </w:t>
      </w:r>
      <w:r>
        <w:rPr>
          <w:sz w:val="16"/>
          <w:szCs w:val="16"/>
        </w:rPr>
        <w:t>The Guardian. (2020). ‘Croatian police accused of spray-painting heads of asylum seekers’. Available at:</w:t>
      </w:r>
      <w:r>
        <w:rPr>
          <w:sz w:val="16"/>
          <w:szCs w:val="16"/>
        </w:rPr>
        <w:br/>
      </w:r>
      <w:hyperlink r:id="rId10">
        <w:r>
          <w:rPr>
            <w:color w:val="1155CC"/>
            <w:sz w:val="16"/>
            <w:szCs w:val="16"/>
            <w:u w:val="single"/>
          </w:rPr>
          <w:t>https://www.theguardian.com/global-development/2020/may/12/croatian-police-accused-of-shaving-and-spray-painting-heads-of-asylum-seekers</w:t>
        </w:r>
      </w:hyperlink>
      <w:r>
        <w:rPr>
          <w:sz w:val="16"/>
          <w:szCs w:val="16"/>
        </w:rPr>
        <w:t xml:space="preserve"> </w:t>
      </w:r>
    </w:p>
  </w:footnote>
  <w:footnote w:id="30">
    <w:p w14:paraId="00000073" w14:textId="77777777" w:rsidR="00025F31" w:rsidRDefault="00036113">
      <w:pPr>
        <w:jc w:val="both"/>
        <w:rPr>
          <w:sz w:val="16"/>
          <w:szCs w:val="16"/>
        </w:rPr>
      </w:pPr>
      <w:r>
        <w:rPr>
          <w:vertAlign w:val="superscript"/>
        </w:rPr>
        <w:footnoteRef/>
      </w:r>
      <w:r>
        <w:rPr>
          <w:sz w:val="16"/>
          <w:szCs w:val="16"/>
        </w:rPr>
        <w:t xml:space="preserve">Border Violence Monitoring Network. (2022). "After being kicked repeatedly, a Syrian man gets alcohol poured over his face and clothes.” Reported by: Collective Aid. Available at: </w:t>
      </w:r>
      <w:hyperlink r:id="rId11">
        <w:r>
          <w:rPr>
            <w:color w:val="1155CC"/>
            <w:sz w:val="16"/>
            <w:szCs w:val="16"/>
            <w:u w:val="single"/>
          </w:rPr>
          <w:t>https://borderviolence.eu/testimonies/may-28-2022-2300-rabe-serbia/</w:t>
        </w:r>
      </w:hyperlink>
      <w:r>
        <w:rPr>
          <w:sz w:val="16"/>
          <w:szCs w:val="16"/>
        </w:rPr>
        <w:t xml:space="preserve"> </w:t>
      </w:r>
    </w:p>
  </w:footnote>
  <w:footnote w:id="31">
    <w:p w14:paraId="00000074" w14:textId="77777777" w:rsidR="00025F31" w:rsidRDefault="00036113">
      <w:pPr>
        <w:jc w:val="both"/>
        <w:rPr>
          <w:sz w:val="16"/>
          <w:szCs w:val="16"/>
        </w:rPr>
      </w:pPr>
      <w:r>
        <w:rPr>
          <w:vertAlign w:val="superscript"/>
        </w:rPr>
        <w:footnoteRef/>
      </w:r>
      <w:r>
        <w:rPr>
          <w:sz w:val="16"/>
          <w:szCs w:val="16"/>
        </w:rPr>
        <w:t xml:space="preserve">Border Violence Monitoring Network. (2022). "Our problem is with army, they want to kill us you know.”, Reported by: Collective Aid. Available at: </w:t>
      </w:r>
      <w:hyperlink r:id="rId12">
        <w:r>
          <w:rPr>
            <w:color w:val="1155CC"/>
            <w:sz w:val="16"/>
            <w:szCs w:val="16"/>
            <w:u w:val="single"/>
          </w:rPr>
          <w:t>https://borderviolence.eu/testimonies/july-1-2022-0500-horgos-serbia/</w:t>
        </w:r>
      </w:hyperlink>
      <w:r>
        <w:rPr>
          <w:sz w:val="16"/>
          <w:szCs w:val="16"/>
        </w:rPr>
        <w:t xml:space="preserve">, </w:t>
      </w:r>
      <w:r>
        <w:rPr>
          <w:sz w:val="16"/>
          <w:szCs w:val="16"/>
        </w:rPr>
        <w:br/>
        <w:t xml:space="preserve">Border Violence Monitoring Network. (2023). "We suffered an hour and a half of continuous beatings and torture while we were drowning in our own blood." Reported by: Anonymous. Available at: </w:t>
      </w:r>
    </w:p>
    <w:p w14:paraId="00000075" w14:textId="77777777" w:rsidR="00025F31" w:rsidRDefault="00036113">
      <w:pPr>
        <w:jc w:val="both"/>
        <w:rPr>
          <w:sz w:val="16"/>
          <w:szCs w:val="16"/>
        </w:rPr>
      </w:pPr>
      <w:hyperlink r:id="rId13">
        <w:r>
          <w:rPr>
            <w:color w:val="1155CC"/>
            <w:sz w:val="16"/>
            <w:szCs w:val="16"/>
            <w:u w:val="single"/>
          </w:rPr>
          <w:t>https://borderviolence.eu/testimonies/november-13-2023-maljevac-croatia/</w:t>
        </w:r>
      </w:hyperlink>
      <w:r>
        <w:rPr>
          <w:sz w:val="16"/>
          <w:szCs w:val="16"/>
        </w:rPr>
        <w:t xml:space="preserve"> </w:t>
      </w:r>
    </w:p>
  </w:footnote>
  <w:footnote w:id="32">
    <w:p w14:paraId="00000076" w14:textId="77777777" w:rsidR="00025F31" w:rsidRDefault="00036113">
      <w:pPr>
        <w:jc w:val="both"/>
        <w:rPr>
          <w:sz w:val="16"/>
          <w:szCs w:val="16"/>
        </w:rPr>
      </w:pPr>
      <w:r>
        <w:rPr>
          <w:vertAlign w:val="superscript"/>
        </w:rPr>
        <w:footnoteRef/>
      </w:r>
      <w:r>
        <w:rPr>
          <w:sz w:val="16"/>
          <w:szCs w:val="16"/>
        </w:rPr>
        <w:t xml:space="preserve"> Border Violence Monitoring Network. (2021). "The respondent could not take the beating anymore and tried to get up, but another officer shot a second can of tear gas at him, this time on his face.” Reported by: Josoor. Available at: </w:t>
      </w:r>
      <w:hyperlink r:id="rId14">
        <w:r>
          <w:rPr>
            <w:color w:val="1155CC"/>
            <w:sz w:val="16"/>
            <w:szCs w:val="16"/>
            <w:u w:val="single"/>
          </w:rPr>
          <w:t>https://borderviolence.eu/testimonies/july-13-2021-1100-tychero-balabancik/</w:t>
        </w:r>
      </w:hyperlink>
      <w:r>
        <w:rPr>
          <w:sz w:val="16"/>
          <w:szCs w:val="16"/>
        </w:rPr>
        <w:t xml:space="preserve">. </w:t>
      </w:r>
    </w:p>
  </w:footnote>
  <w:footnote w:id="33">
    <w:p w14:paraId="00000077" w14:textId="77777777" w:rsidR="00025F31" w:rsidRDefault="00036113">
      <w:pPr>
        <w:jc w:val="both"/>
        <w:rPr>
          <w:sz w:val="16"/>
          <w:szCs w:val="16"/>
        </w:rPr>
      </w:pPr>
      <w:r>
        <w:rPr>
          <w:vertAlign w:val="superscript"/>
        </w:rPr>
        <w:footnoteRef/>
      </w:r>
      <w:r>
        <w:rPr>
          <w:sz w:val="16"/>
          <w:szCs w:val="16"/>
        </w:rPr>
        <w:t xml:space="preserve">Border Violence Monitoring Network. (2023). "We suffered an hour and a half of continuous beatings and torture while we were drowning in our own blood." Reported by: Anonymous. Available at: </w:t>
      </w:r>
    </w:p>
    <w:p w14:paraId="00000078" w14:textId="77777777" w:rsidR="00025F31" w:rsidRDefault="00036113">
      <w:pPr>
        <w:jc w:val="both"/>
        <w:rPr>
          <w:sz w:val="16"/>
          <w:szCs w:val="16"/>
        </w:rPr>
      </w:pPr>
      <w:hyperlink r:id="rId15">
        <w:r>
          <w:rPr>
            <w:color w:val="1155CC"/>
            <w:sz w:val="16"/>
            <w:szCs w:val="16"/>
            <w:u w:val="single"/>
          </w:rPr>
          <w:t>https://borderviolence.eu/testimonies/november-13-2023-maljevac-croatia/</w:t>
        </w:r>
      </w:hyperlink>
      <w:r>
        <w:rPr>
          <w:sz w:val="16"/>
          <w:szCs w:val="16"/>
        </w:rPr>
        <w:t xml:space="preserve"> </w:t>
      </w:r>
    </w:p>
  </w:footnote>
  <w:footnote w:id="34">
    <w:p w14:paraId="00000061" w14:textId="77777777" w:rsidR="00025F31" w:rsidRDefault="00036113">
      <w:pPr>
        <w:pBdr>
          <w:top w:val="nil"/>
          <w:left w:val="nil"/>
          <w:bottom w:val="nil"/>
          <w:right w:val="nil"/>
          <w:between w:val="nil"/>
        </w:pBdr>
        <w:rPr>
          <w:color w:val="000000"/>
        </w:rPr>
      </w:pPr>
      <w:r>
        <w:rPr>
          <w:vertAlign w:val="superscript"/>
        </w:rPr>
        <w:footnoteRef/>
      </w:r>
      <w:r>
        <w:rPr>
          <w:color w:val="000000"/>
        </w:rPr>
        <w:t xml:space="preserve"> </w:t>
      </w:r>
      <w:r>
        <w:rPr>
          <w:color w:val="000000"/>
          <w:sz w:val="16"/>
          <w:szCs w:val="16"/>
        </w:rPr>
        <w:t>CERD/C/BIH/CO/14-15).  Section 32(g).The Committee recommended BiH "ensure the effective implementation of the Migration and Asylum Strategy and Action Plan 2021–2025," while noting concern about shortcomings in migrant protection generally.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D01F0"/>
    <w:multiLevelType w:val="multilevel"/>
    <w:tmpl w:val="6D221A8E"/>
    <w:lvl w:ilvl="0">
      <w:start w:val="5"/>
      <w:numFmt w:val="decimal"/>
      <w:lvlText w:val="%1."/>
      <w:lvlJc w:val="left"/>
      <w:pPr>
        <w:ind w:left="720" w:hanging="36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32992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F31"/>
    <w:rsid w:val="00025F31"/>
    <w:rsid w:val="00036113"/>
    <w:rsid w:val="00F10258"/>
    <w:rsid w:val="00FD0389"/>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404407-21F6-46EB-983E-A19060962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ollectiveaidngo.org/tie"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8" Type="http://schemas.openxmlformats.org/officeDocument/2006/relationships/hyperlink" Target="https://borderviolence.eu/testimonies/may-12-2021-0000-samobor-croatia/" TargetMode="External"/><Relationship Id="rId13" Type="http://schemas.openxmlformats.org/officeDocument/2006/relationships/hyperlink" Target="https://borderviolence.eu/testimonies/november-13-2023-maljevac-croatia/" TargetMode="External"/><Relationship Id="rId3" Type="http://schemas.openxmlformats.org/officeDocument/2006/relationships/hyperlink" Target="https://docs.un.org/en/CMW/C/GC/8" TargetMode="External"/><Relationship Id="rId7" Type="http://schemas.openxmlformats.org/officeDocument/2006/relationships/hyperlink" Target="https://borderviolence.eu/testimonies/october-10-2022-0500-horgos-serbia/" TargetMode="External"/><Relationship Id="rId12" Type="http://schemas.openxmlformats.org/officeDocument/2006/relationships/hyperlink" Target="https://borderviolence.eu/testimonies/july-1-2022-0500-horgos-serbia/" TargetMode="External"/><Relationship Id="rId2" Type="http://schemas.openxmlformats.org/officeDocument/2006/relationships/hyperlink" Target="https://tbinternet.ohchr.org/_layouts/15/treatybodyexternal/Download.aspx?symbolno=CERD%2FC%2FBIH%2FFCO%2F14-15&amp;Lang=en" TargetMode="External"/><Relationship Id="rId1" Type="http://schemas.openxmlformats.org/officeDocument/2006/relationships/hyperlink" Target="https://tbinternet.ohchr.org/_layouts/15/treatybodyexternal/Download.aspx?symbolno=CERD%2FC%2FBIH%2FCO%2F14-15&amp;Lang=en" TargetMode="External"/><Relationship Id="rId6" Type="http://schemas.openxmlformats.org/officeDocument/2006/relationships/hyperlink" Target="https://borderviolence.eu/testimony/september-29-2024-sremska-raca-serbia" TargetMode="External"/><Relationship Id="rId11" Type="http://schemas.openxmlformats.org/officeDocument/2006/relationships/hyperlink" Target="https://borderviolence.eu/testimonies/may-28-2022-2300-rabe-serbia/" TargetMode="External"/><Relationship Id="rId5" Type="http://schemas.openxmlformats.org/officeDocument/2006/relationships/hyperlink" Target="https://borderviolence.eu/testimony/september-26-2024-m14-1-bridge-over-the-drina-loznica" TargetMode="External"/><Relationship Id="rId15" Type="http://schemas.openxmlformats.org/officeDocument/2006/relationships/hyperlink" Target="https://borderviolence.eu/testimonies/november-13-2023-maljevac-croatia/" TargetMode="External"/><Relationship Id="rId10" Type="http://schemas.openxmlformats.org/officeDocument/2006/relationships/hyperlink" Target="https://www.theguardian.com/global-development/2020/may/12/croatian-police-accused-of-shaving-and-spray-painting-heads-of-asylum-seekers" TargetMode="External"/><Relationship Id="rId4" Type="http://schemas.openxmlformats.org/officeDocument/2006/relationships/hyperlink" Target="https://tbinternet.ohchr.org/_layouts/15/treatybodyexternal/Download.aspx?symbolno=CERD%2FC%2FBIH%2FCO%2F14-15&amp;Lang=en" TargetMode="External"/><Relationship Id="rId9" Type="http://schemas.openxmlformats.org/officeDocument/2006/relationships/hyperlink" Target="https://borderviolence.eu/testimonies/december-3-2021-0000-near-the-horgos-roeszke-border-crossing/" TargetMode="External"/><Relationship Id="rId14" Type="http://schemas.openxmlformats.org/officeDocument/2006/relationships/hyperlink" Target="https://borderviolence.eu/testimonies/july-13-2021-1100-tychero-balabanci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r9H9JmAx1dSP+Rl9mDL293sf6A==">CgMxLjA4AHIhMVJvSmZrWF9BYUpaNk1YdHBiT21RVE1hdHVTTnRIaXA3</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2026-07-31T10:23:08+00:00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38D66B1-E4CF-4067-A2CA-BDFCBE4F2693}"/>
</file>

<file path=customXml/itemProps3.xml><?xml version="1.0" encoding="utf-8"?>
<ds:datastoreItem xmlns:ds="http://schemas.openxmlformats.org/officeDocument/2006/customXml" ds:itemID="{AE967DE3-8D5B-475F-B648-F11291248BA5}"/>
</file>

<file path=customXml/itemProps4.xml><?xml version="1.0" encoding="utf-8"?>
<ds:datastoreItem xmlns:ds="http://schemas.openxmlformats.org/officeDocument/2006/customXml" ds:itemID="{8886F1D9-92D2-4CDD-99BB-8FB8A7B40DAE}"/>
</file>

<file path=docMetadata/LabelInfo.xml><?xml version="1.0" encoding="utf-8"?>
<clbl:labelList xmlns:clbl="http://schemas.microsoft.com/office/2020/mipLabelMetadata">
  <clbl:label id="{7eb58d0f-f804-411f-a20e-09ebfae62b4c}"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11</Pages>
  <Words>3097</Words>
  <Characters>17659</Characters>
  <Application>Microsoft Office Word</Application>
  <DocSecurity>4</DocSecurity>
  <Lines>147</Lines>
  <Paragraphs>41</Paragraphs>
  <ScaleCrop>false</ScaleCrop>
  <Company/>
  <LinksUpToDate>false</LinksUpToDate>
  <CharactersWithSpaces>20715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Augusto Sibille Rivera</dc:creator>
  <cp:lastModifiedBy>Author</cp:lastModifiedBy>
  <cp:revision>2</cp:revision>
  <dcterms:created xsi:type="dcterms:W3CDTF">2026-07-22T11:22:00Z</dcterms:created>
  <dcterms:modified xsi:type="dcterms:W3CDTF">2026-07-22T11:22:00Z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