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2E252EA0" w:rsidR="002E5F76" w:rsidRPr="009069DB" w:rsidRDefault="00FB3CB7"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8240" behindDoc="0" locked="0" layoutInCell="1" allowOverlap="1" wp14:anchorId="5FF650E3" wp14:editId="008C18EA">
            <wp:simplePos x="0" y="0"/>
            <wp:positionH relativeFrom="column">
              <wp:posOffset>3662045</wp:posOffset>
            </wp:positionH>
            <wp:positionV relativeFrom="paragraph">
              <wp:posOffset>114797</wp:posOffset>
            </wp:positionV>
            <wp:extent cx="278955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789555" cy="81089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3A617D">
        <w:rPr>
          <w:rFonts w:eastAsia="Times New Roman" w:cstheme="minorHAnsi"/>
          <w:b/>
          <w:sz w:val="44"/>
          <w:szCs w:val="44"/>
          <w:lang w:val="en-GB"/>
        </w:rPr>
        <w:t>Switzerland</w:t>
      </w:r>
      <w:r w:rsidR="004D437A">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727510A5" w:rsidR="003866C0" w:rsidRPr="009069DB" w:rsidRDefault="00425DEE" w:rsidP="00FB3CB7">
      <w:pPr>
        <w:spacing w:after="120"/>
        <w:rPr>
          <w:rFonts w:eastAsia="Times New Roman" w:cstheme="minorHAnsi"/>
          <w:b/>
          <w:sz w:val="24"/>
          <w:szCs w:val="24"/>
          <w:lang w:val="en-GB"/>
        </w:rPr>
      </w:pPr>
      <w:r w:rsidRPr="009069DB">
        <w:rPr>
          <w:rFonts w:eastAsia="Times New Roman" w:cstheme="minorHAnsi"/>
          <w:b/>
          <w:sz w:val="24"/>
          <w:szCs w:val="24"/>
          <w:lang w:val="en-GB"/>
        </w:rPr>
        <w:t>Information for the Committee on the Elimination of Discrimination Against Women</w:t>
      </w:r>
      <w:r w:rsidR="002A4484" w:rsidRPr="009069DB">
        <w:rPr>
          <w:rFonts w:eastAsia="Times New Roman" w:cstheme="minorHAnsi"/>
          <w:b/>
          <w:sz w:val="24"/>
          <w:szCs w:val="24"/>
          <w:lang w:val="en-GB"/>
        </w:rPr>
        <w:t>, Pre-Se</w:t>
      </w:r>
      <w:r w:rsidR="00466383" w:rsidRPr="009069DB">
        <w:rPr>
          <w:rFonts w:eastAsia="Times New Roman" w:cstheme="minorHAnsi"/>
          <w:b/>
          <w:sz w:val="24"/>
          <w:szCs w:val="24"/>
          <w:lang w:val="en-GB"/>
        </w:rPr>
        <w:t xml:space="preserve">ssional </w:t>
      </w:r>
      <w:r w:rsidR="009D7A6C">
        <w:rPr>
          <w:rFonts w:eastAsia="Times New Roman" w:cstheme="minorHAnsi"/>
          <w:b/>
          <w:sz w:val="24"/>
          <w:szCs w:val="24"/>
          <w:lang w:val="en-GB"/>
        </w:rPr>
        <w:t>Working Group for the 7</w:t>
      </w:r>
      <w:r w:rsidR="008970CB">
        <w:rPr>
          <w:rFonts w:eastAsia="Times New Roman" w:cstheme="minorHAnsi"/>
          <w:b/>
          <w:sz w:val="24"/>
          <w:szCs w:val="24"/>
          <w:lang w:val="en-GB"/>
        </w:rPr>
        <w:t>6</w:t>
      </w:r>
      <w:r w:rsidR="00474522" w:rsidRPr="00474522">
        <w:rPr>
          <w:rFonts w:eastAsia="Times New Roman" w:cstheme="minorHAnsi"/>
          <w:b/>
          <w:sz w:val="24"/>
          <w:szCs w:val="24"/>
          <w:vertAlign w:val="superscript"/>
          <w:lang w:val="en-GB"/>
        </w:rPr>
        <w:t>th</w:t>
      </w:r>
      <w:r w:rsidR="00474522">
        <w:rPr>
          <w:rFonts w:eastAsia="Times New Roman" w:cstheme="minorHAnsi"/>
          <w:b/>
          <w:sz w:val="24"/>
          <w:szCs w:val="24"/>
          <w:lang w:val="en-GB"/>
        </w:rPr>
        <w:t xml:space="preserve"> </w:t>
      </w:r>
      <w:r w:rsidR="002A4484" w:rsidRPr="009069DB">
        <w:rPr>
          <w:rFonts w:eastAsia="Times New Roman" w:cstheme="minorHAnsi"/>
          <w:b/>
          <w:sz w:val="24"/>
          <w:szCs w:val="24"/>
          <w:lang w:val="en-GB"/>
        </w:rPr>
        <w:t>session,</w:t>
      </w:r>
      <w:r w:rsidR="005677EF" w:rsidRPr="009069DB">
        <w:rPr>
          <w:rFonts w:eastAsia="Times New Roman" w:cstheme="minorHAnsi"/>
          <w:b/>
          <w:sz w:val="24"/>
          <w:szCs w:val="24"/>
          <w:lang w:val="en-GB"/>
        </w:rPr>
        <w:t xml:space="preserve"> </w:t>
      </w:r>
      <w:r w:rsidR="009D7A6C">
        <w:rPr>
          <w:rFonts w:eastAsia="Times New Roman" w:cstheme="minorHAnsi"/>
          <w:b/>
          <w:sz w:val="24"/>
          <w:szCs w:val="24"/>
          <w:lang w:val="en-GB"/>
        </w:rPr>
        <w:br/>
      </w:r>
      <w:r w:rsidRPr="009D7A6C">
        <w:rPr>
          <w:rFonts w:eastAsia="Times New Roman" w:cstheme="minorHAnsi"/>
          <w:i/>
          <w:sz w:val="24"/>
          <w:szCs w:val="24"/>
          <w:lang w:val="en-GB"/>
        </w:rPr>
        <w:t>from the Global Initiative to End All Corporal Punishment of Children (</w:t>
      </w:r>
      <w:hyperlink r:id="rId12" w:history="1">
        <w:r w:rsidRPr="00A15144">
          <w:rPr>
            <w:rStyle w:val="Hyperlink"/>
            <w:rFonts w:eastAsia="Times New Roman" w:cstheme="minorHAnsi"/>
            <w:i/>
            <w:color w:val="0096A3"/>
            <w:sz w:val="24"/>
            <w:szCs w:val="24"/>
            <w:lang w:val="en-GB"/>
          </w:rPr>
          <w:t>www.endcorporalpunishment.org</w:t>
        </w:r>
      </w:hyperlink>
      <w:r w:rsidRPr="009D7A6C">
        <w:rPr>
          <w:rFonts w:eastAsia="Times New Roman" w:cstheme="minorHAnsi"/>
          <w:i/>
          <w:sz w:val="24"/>
          <w:szCs w:val="24"/>
          <w:lang w:val="en-GB"/>
        </w:rPr>
        <w:t xml:space="preserve">), </w:t>
      </w:r>
      <w:r w:rsidR="008970CB">
        <w:rPr>
          <w:rFonts w:eastAsia="Times New Roman" w:cstheme="minorHAnsi"/>
          <w:i/>
          <w:sz w:val="24"/>
          <w:szCs w:val="24"/>
          <w:lang w:val="en-GB"/>
        </w:rPr>
        <w:t>September</w:t>
      </w:r>
      <w:r w:rsidR="000565BC" w:rsidRPr="009D7A6C">
        <w:rPr>
          <w:rFonts w:eastAsia="Times New Roman" w:cstheme="minorHAnsi"/>
          <w:i/>
          <w:sz w:val="24"/>
          <w:szCs w:val="24"/>
          <w:lang w:val="en-GB"/>
        </w:rPr>
        <w:t xml:space="preserve"> 201</w:t>
      </w:r>
      <w:r w:rsidR="00474522">
        <w:rPr>
          <w:rFonts w:eastAsia="Times New Roman" w:cstheme="minorHAnsi"/>
          <w:i/>
          <w:sz w:val="24"/>
          <w:szCs w:val="24"/>
          <w:lang w:val="en-GB"/>
        </w:rPr>
        <w:t>9</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499794FA"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3A617D">
        <w:rPr>
          <w:rFonts w:eastAsia="Times New Roman" w:cstheme="minorHAnsi"/>
          <w:b/>
          <w:sz w:val="30"/>
          <w:szCs w:val="30"/>
          <w:lang w:val="en-GB"/>
        </w:rPr>
        <w:t>Switzerland</w:t>
      </w:r>
      <w:r w:rsidR="00215892">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3A617D">
        <w:rPr>
          <w:rFonts w:eastAsia="Times New Roman" w:cstheme="minorHAnsi"/>
          <w:b/>
          <w:sz w:val="30"/>
          <w:szCs w:val="30"/>
          <w:lang w:val="en-GB"/>
        </w:rPr>
        <w:t>sixth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3B1EF3C8" w:rsidR="00A970EF" w:rsidRPr="00FA5B0D" w:rsidRDefault="00732217" w:rsidP="00FA5B0D">
      <w:pPr>
        <w:spacing w:after="120"/>
        <w:rPr>
          <w:rFonts w:eastAsia="Times New Roman" w:cstheme="minorHAnsi"/>
          <w:sz w:val="26"/>
          <w:szCs w:val="26"/>
          <w:lang w:val="en-GB"/>
        </w:rPr>
      </w:pPr>
      <w:r>
        <w:rPr>
          <w:rFonts w:eastAsia="Times New Roman" w:cstheme="minorHAnsi"/>
          <w:sz w:val="26"/>
          <w:szCs w:val="26"/>
          <w:lang w:val="en-GB"/>
        </w:rPr>
        <w:t>The</w:t>
      </w:r>
      <w:r w:rsidRPr="00732217">
        <w:rPr>
          <w:rFonts w:eastAsia="Times New Roman" w:cstheme="minorHAnsi"/>
          <w:sz w:val="26"/>
          <w:szCs w:val="26"/>
          <w:lang w:val="en-GB"/>
        </w:rPr>
        <w:t xml:space="preserve"> </w:t>
      </w:r>
      <w:r w:rsidR="00AE3311" w:rsidRPr="0063656C">
        <w:rPr>
          <w:rFonts w:eastAsia="Times New Roman" w:cstheme="minorHAnsi"/>
          <w:sz w:val="26"/>
          <w:szCs w:val="26"/>
          <w:lang w:val="en-GB"/>
        </w:rPr>
        <w:t>Penal</w:t>
      </w:r>
      <w:r w:rsidR="00AE3311">
        <w:rPr>
          <w:rFonts w:eastAsia="Times New Roman" w:cstheme="minorHAnsi"/>
          <w:sz w:val="26"/>
          <w:szCs w:val="26"/>
          <w:lang w:val="en-GB"/>
        </w:rPr>
        <w:t xml:space="preserve"> Code</w:t>
      </w:r>
      <w:r w:rsidRPr="00732217">
        <w:rPr>
          <w:rFonts w:eastAsia="Times New Roman" w:cstheme="minorHAnsi"/>
          <w:sz w:val="26"/>
          <w:szCs w:val="26"/>
          <w:lang w:val="en-GB"/>
        </w:rPr>
        <w:t xml:space="preserve"> </w:t>
      </w:r>
      <w:r w:rsidR="00B845E3">
        <w:rPr>
          <w:rFonts w:eastAsia="Times New Roman" w:cstheme="minorHAnsi"/>
          <w:sz w:val="26"/>
          <w:szCs w:val="26"/>
          <w:lang w:val="en-GB"/>
        </w:rPr>
        <w:t>provide</w:t>
      </w:r>
      <w:r w:rsidR="00AE3311">
        <w:rPr>
          <w:rFonts w:eastAsia="Times New Roman" w:cstheme="minorHAnsi"/>
          <w:sz w:val="26"/>
          <w:szCs w:val="26"/>
          <w:lang w:val="en-GB"/>
        </w:rPr>
        <w:t>s</w:t>
      </w:r>
      <w:r w:rsidR="00B845E3">
        <w:rPr>
          <w:rFonts w:eastAsia="Times New Roman" w:cstheme="minorHAnsi"/>
          <w:sz w:val="26"/>
          <w:szCs w:val="26"/>
          <w:lang w:val="en-GB"/>
        </w:rPr>
        <w:t xml:space="preserv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 interpreted as prohibiting all corporal punishment of children</w:t>
      </w:r>
      <w:r w:rsidR="00E04488">
        <w:rPr>
          <w:rFonts w:eastAsia="Times New Roman" w:cstheme="minorHAnsi"/>
          <w:sz w:val="26"/>
          <w:szCs w:val="26"/>
          <w:lang w:val="en-GB"/>
        </w:rPr>
        <w:t xml:space="preserve">. </w:t>
      </w:r>
    </w:p>
    <w:p w14:paraId="74487A7F" w14:textId="67945D95"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63656C">
        <w:rPr>
          <w:rFonts w:eastAsia="Times New Roman" w:cstheme="minorHAnsi"/>
          <w:b/>
          <w:sz w:val="26"/>
          <w:szCs w:val="26"/>
          <w:lang w:val="en-GB"/>
        </w:rPr>
        <w:t>Switzerland</w:t>
      </w:r>
      <w:r w:rsidR="00FA74E2" w:rsidRPr="009069DB">
        <w:rPr>
          <w:rFonts w:eastAsia="Times New Roman" w:cstheme="minorHAnsi"/>
          <w:b/>
          <w:sz w:val="26"/>
          <w:szCs w:val="26"/>
          <w:lang w:val="en-GB"/>
        </w:rPr>
        <w:t>. In particular, we hope the Committee will:</w:t>
      </w:r>
    </w:p>
    <w:p w14:paraId="1B9050FA" w14:textId="46A5378F" w:rsidR="002A4484" w:rsidRPr="00131E4B" w:rsidRDefault="002A4484" w:rsidP="00732217">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w:t>
      </w:r>
      <w:r w:rsidR="00FA5B0D">
        <w:rPr>
          <w:rFonts w:eastAsia="Times New Roman" w:cstheme="minorHAnsi"/>
          <w:b/>
          <w:sz w:val="26"/>
          <w:szCs w:val="26"/>
          <w:lang w:val="en-GB"/>
        </w:rPr>
        <w:t xml:space="preserve">prior to reporting </w:t>
      </w:r>
      <w:r w:rsidRPr="00131E4B">
        <w:rPr>
          <w:rFonts w:eastAsia="Times New Roman" w:cstheme="minorHAnsi"/>
          <w:b/>
          <w:sz w:val="26"/>
          <w:szCs w:val="26"/>
          <w:lang w:val="en-GB"/>
        </w:rPr>
        <w:t xml:space="preserve">for </w:t>
      </w:r>
      <w:r w:rsidR="0063656C">
        <w:rPr>
          <w:rFonts w:eastAsia="Times New Roman" w:cstheme="minorHAnsi"/>
          <w:b/>
          <w:sz w:val="26"/>
          <w:szCs w:val="26"/>
          <w:lang w:val="en-GB"/>
        </w:rPr>
        <w:t>Switzerland</w:t>
      </w:r>
      <w:r w:rsidRPr="00131E4B">
        <w:rPr>
          <w:rFonts w:eastAsia="Times New Roman" w:cstheme="minorHAnsi"/>
          <w:b/>
          <w:sz w:val="26"/>
          <w:szCs w:val="26"/>
          <w:lang w:val="en-GB"/>
        </w:rPr>
        <w:t xml:space="preserve">, </w:t>
      </w:r>
      <w:r w:rsidRPr="00732217">
        <w:rPr>
          <w:rFonts w:eastAsia="Times New Roman" w:cstheme="minorHAnsi"/>
          <w:b/>
          <w:sz w:val="26"/>
          <w:szCs w:val="26"/>
          <w:lang w:val="en-GB"/>
        </w:rPr>
        <w:t>ask</w:t>
      </w:r>
      <w:r w:rsidRPr="00131E4B">
        <w:rPr>
          <w:rFonts w:eastAsia="Times New Roman" w:cstheme="minorHAnsi"/>
          <w:b/>
          <w:sz w:val="26"/>
          <w:szCs w:val="26"/>
          <w:lang w:val="en-GB"/>
        </w:rPr>
        <w:t xml:space="preserve">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enacting </w:t>
      </w:r>
      <w:r w:rsidR="00A363CE">
        <w:rPr>
          <w:rFonts w:eastAsia="Times New Roman" w:cstheme="minorHAnsi"/>
          <w:b/>
          <w:sz w:val="26"/>
          <w:szCs w:val="26"/>
          <w:lang w:val="en-GB"/>
        </w:rPr>
        <w:t xml:space="preserve">as a matter of priority </w:t>
      </w:r>
      <w:r w:rsidR="002E528B">
        <w:rPr>
          <w:rFonts w:eastAsia="Times New Roman" w:cstheme="minorHAnsi"/>
          <w:b/>
          <w:sz w:val="26"/>
          <w:szCs w:val="26"/>
          <w:lang w:val="en-GB"/>
        </w:rPr>
        <w:t>the draft legislation currently under discussion</w:t>
      </w:r>
      <w:r w:rsidR="00732217" w:rsidRPr="00732217">
        <w:rPr>
          <w:rFonts w:eastAsia="Times New Roman" w:cstheme="minorHAnsi"/>
          <w:b/>
          <w:sz w:val="26"/>
          <w:szCs w:val="26"/>
          <w:lang w:val="en-GB"/>
        </w:rPr>
        <w:t xml:space="preserve"> </w:t>
      </w:r>
      <w:r w:rsidR="00FA5B0D">
        <w:rPr>
          <w:rFonts w:eastAsia="Times New Roman" w:cstheme="minorHAnsi"/>
          <w:b/>
          <w:sz w:val="26"/>
          <w:szCs w:val="26"/>
          <w:lang w:val="en-GB"/>
        </w:rPr>
        <w:t>to prohibit</w:t>
      </w:r>
      <w:r w:rsidR="00B40B2F">
        <w:rPr>
          <w:rFonts w:eastAsia="Times New Roman" w:cstheme="minorHAnsi"/>
          <w:b/>
          <w:sz w:val="26"/>
          <w:szCs w:val="26"/>
          <w:lang w:val="en-GB"/>
        </w:rPr>
        <w:t xml:space="preserve"> </w:t>
      </w:r>
      <w:r w:rsidR="0094143B">
        <w:rPr>
          <w:rFonts w:eastAsia="Times New Roman" w:cstheme="minorHAnsi"/>
          <w:b/>
          <w:sz w:val="26"/>
          <w:szCs w:val="26"/>
          <w:lang w:val="en-GB"/>
        </w:rPr>
        <w:t xml:space="preserve">all </w:t>
      </w:r>
      <w:r w:rsidR="00A32F32">
        <w:rPr>
          <w:rFonts w:eastAsia="Times New Roman" w:cstheme="minorHAnsi"/>
          <w:b/>
          <w:sz w:val="26"/>
          <w:szCs w:val="26"/>
          <w:lang w:val="en-GB"/>
        </w:rPr>
        <w:t>physical</w:t>
      </w:r>
      <w:r w:rsidR="0094143B">
        <w:rPr>
          <w:rFonts w:eastAsia="Times New Roman" w:cstheme="minorHAnsi"/>
          <w:b/>
          <w:sz w:val="26"/>
          <w:szCs w:val="26"/>
          <w:lang w:val="en-GB"/>
        </w:rPr>
        <w:t xml:space="preserve"> punishment of children</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23AFAF4B" w:rsidR="00B20BB9" w:rsidRPr="00131E4B" w:rsidRDefault="00FA74E2" w:rsidP="00B20BB9">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63656C">
        <w:rPr>
          <w:rFonts w:eastAsia="Times New Roman" w:cstheme="minorHAnsi"/>
          <w:b/>
          <w:sz w:val="26"/>
          <w:szCs w:val="26"/>
          <w:lang w:val="en-GB"/>
        </w:rPr>
        <w:t>sixth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00732217">
        <w:rPr>
          <w:rFonts w:eastAsia="Times New Roman" w:cstheme="minorHAnsi"/>
          <w:b/>
          <w:sz w:val="26"/>
          <w:szCs w:val="26"/>
          <w:lang w:val="en-GB"/>
        </w:rPr>
        <w:t xml:space="preserve">, recommend that </w:t>
      </w:r>
      <w:r w:rsidR="0063656C">
        <w:rPr>
          <w:rFonts w:eastAsia="Times New Roman" w:cstheme="minorHAnsi"/>
          <w:b/>
          <w:sz w:val="26"/>
          <w:szCs w:val="26"/>
          <w:lang w:val="en-GB"/>
        </w:rPr>
        <w:t>Switzerland</w:t>
      </w:r>
      <w:r w:rsidRPr="00131E4B">
        <w:rPr>
          <w:rFonts w:eastAsia="Times New Roman" w:cstheme="minorHAnsi"/>
          <w:b/>
          <w:sz w:val="26"/>
          <w:szCs w:val="26"/>
          <w:lang w:val="en-GB"/>
        </w:rPr>
        <w:t xml:space="preserve"> 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and that</w:t>
      </w:r>
      <w:r w:rsidR="00FA5B0D">
        <w:rPr>
          <w:rFonts w:eastAsia="Times New Roman" w:cstheme="minorHAnsi"/>
          <w:b/>
          <w:sz w:val="26"/>
          <w:szCs w:val="26"/>
          <w:lang w:val="en-GB"/>
        </w:rPr>
        <w:t xml:space="preserve"> </w:t>
      </w:r>
      <w:r w:rsidR="002E528B">
        <w:rPr>
          <w:rFonts w:eastAsia="Times New Roman" w:cstheme="minorHAnsi"/>
          <w:b/>
          <w:sz w:val="26"/>
          <w:szCs w:val="26"/>
          <w:lang w:val="en-GB"/>
        </w:rPr>
        <w:t xml:space="preserve">draft </w:t>
      </w:r>
      <w:r w:rsidRPr="00131E4B">
        <w:rPr>
          <w:rFonts w:eastAsia="Times New Roman" w:cstheme="minorHAnsi"/>
          <w:b/>
          <w:sz w:val="26"/>
          <w:szCs w:val="26"/>
          <w:lang w:val="en-GB"/>
        </w:rPr>
        <w:t>legislation</w:t>
      </w:r>
      <w:r w:rsidR="00B40B2F">
        <w:rPr>
          <w:rFonts w:eastAsia="Times New Roman" w:cstheme="minorHAnsi"/>
          <w:b/>
          <w:sz w:val="26"/>
          <w:szCs w:val="26"/>
          <w:lang w:val="en-GB"/>
        </w:rPr>
        <w:t xml:space="preserve"> </w:t>
      </w:r>
      <w:r w:rsidRPr="00131E4B">
        <w:rPr>
          <w:rFonts w:eastAsia="Times New Roman" w:cstheme="minorHAnsi"/>
          <w:b/>
          <w:sz w:val="26"/>
          <w:szCs w:val="26"/>
          <w:lang w:val="en-GB"/>
        </w:rPr>
        <w:t>is</w:t>
      </w:r>
      <w:r w:rsidR="00D56728">
        <w:rPr>
          <w:rFonts w:eastAsia="Times New Roman" w:cstheme="minorHAnsi"/>
          <w:b/>
          <w:sz w:val="26"/>
          <w:szCs w:val="26"/>
          <w:lang w:val="en-GB"/>
        </w:rPr>
        <w:t xml:space="preserve"> </w:t>
      </w:r>
      <w:r w:rsidRPr="00131E4B">
        <w:rPr>
          <w:rFonts w:eastAsia="Times New Roman" w:cstheme="minorHAnsi"/>
          <w:b/>
          <w:sz w:val="26"/>
          <w:szCs w:val="26"/>
          <w:lang w:val="en-GB"/>
        </w:rPr>
        <w:t>enacted to prohibit domestic violence against all family members</w:t>
      </w:r>
      <w:r w:rsidR="00131E4B" w:rsidRPr="00131E4B">
        <w:rPr>
          <w:rFonts w:eastAsia="Times New Roman" w:cstheme="minorHAnsi"/>
          <w:b/>
          <w:sz w:val="26"/>
          <w:szCs w:val="26"/>
          <w:lang w:val="en-GB"/>
        </w:rPr>
        <w:t>, including the violen</w:t>
      </w:r>
      <w:r w:rsidR="00214F8E" w:rsidRPr="00131E4B">
        <w:rPr>
          <w:rFonts w:eastAsia="Times New Roman" w:cstheme="minorHAnsi"/>
          <w:b/>
          <w:sz w:val="26"/>
          <w:szCs w:val="26"/>
          <w:lang w:val="en-GB"/>
        </w:rPr>
        <w:t>t</w:t>
      </w:r>
      <w:r w:rsidR="00131E4B" w:rsidRPr="00131E4B">
        <w:rPr>
          <w:rFonts w:eastAsia="Times New Roman" w:cstheme="minorHAnsi"/>
          <w:b/>
          <w:sz w:val="26"/>
          <w:szCs w:val="26"/>
          <w:lang w:val="en-GB"/>
        </w:rPr>
        <w:t xml:space="preserve"> punishment</w:t>
      </w:r>
      <w:r w:rsidR="00214F8E" w:rsidRPr="00131E4B">
        <w:rPr>
          <w:rFonts w:eastAsia="Times New Roman" w:cstheme="minorHAnsi"/>
          <w:b/>
          <w:sz w:val="26"/>
          <w:szCs w:val="26"/>
          <w:lang w:val="en-GB"/>
        </w:rPr>
        <w:t xml:space="preserve"> of girls and boys</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4C2542F1"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C25EB7">
        <w:rPr>
          <w:rFonts w:eastAsia="Times New Roman" w:cstheme="minorHAnsi"/>
          <w:sz w:val="26"/>
          <w:szCs w:val="26"/>
          <w:lang w:val="en-GB"/>
        </w:rPr>
        <w:t>Switzerland</w:t>
      </w:r>
      <w:r w:rsidR="005B69F3">
        <w:rPr>
          <w:rFonts w:eastAsia="Times New Roman" w:cstheme="minorHAnsi"/>
          <w:sz w:val="26"/>
          <w:szCs w:val="26"/>
          <w:lang w:val="en-GB"/>
        </w:rPr>
        <w:t>.</w:t>
      </w:r>
    </w:p>
    <w:p w14:paraId="1DF68802" w14:textId="35E98435"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C25EB7">
        <w:rPr>
          <w:rFonts w:eastAsia="Times New Roman" w:cstheme="minorHAnsi"/>
          <w:sz w:val="26"/>
          <w:szCs w:val="26"/>
          <w:lang w:val="en-GB"/>
        </w:rPr>
        <w:t>Switzerland</w:t>
      </w:r>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7E1A8F66"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3A617D">
        <w:rPr>
          <w:rFonts w:eastAsia="Times New Roman" w:cstheme="minorHAnsi"/>
          <w:b/>
          <w:sz w:val="26"/>
          <w:szCs w:val="26"/>
          <w:lang w:val="en-GB"/>
        </w:rPr>
        <w:t>Switzerland</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63656C">
        <w:rPr>
          <w:rFonts w:eastAsia="Times New Roman" w:cstheme="minorHAnsi"/>
          <w:b/>
          <w:i/>
          <w:sz w:val="24"/>
          <w:szCs w:val="24"/>
          <w:lang w:val="en-GB"/>
        </w:rPr>
        <w:t>Summary</w:t>
      </w:r>
    </w:p>
    <w:p w14:paraId="7FEF3E7C" w14:textId="052936AA"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4F144F" w:rsidRPr="009069DB">
        <w:rPr>
          <w:rFonts w:eastAsia="Times New Roman" w:cstheme="minorHAnsi"/>
          <w:sz w:val="24"/>
          <w:szCs w:val="24"/>
          <w:lang w:val="en-GB"/>
        </w:rPr>
        <w:t xml:space="preserve"> </w:t>
      </w:r>
      <w:r w:rsidR="003B7EB7" w:rsidRPr="00152D8E">
        <w:rPr>
          <w:rFonts w:eastAsia="Times New Roman" w:cstheme="minorHAnsi"/>
          <w:sz w:val="24"/>
          <w:szCs w:val="24"/>
          <w:lang w:val="en-GB"/>
        </w:rPr>
        <w:t>Provisions</w:t>
      </w:r>
      <w:r w:rsidR="003B7EB7">
        <w:rPr>
          <w:rFonts w:eastAsia="Times New Roman" w:cstheme="minorHAnsi"/>
          <w:sz w:val="24"/>
          <w:szCs w:val="24"/>
          <w:lang w:val="en-GB"/>
        </w:rPr>
        <w:t xml:space="preserve"> in the </w:t>
      </w:r>
      <w:r w:rsidR="00AE3311">
        <w:rPr>
          <w:rFonts w:eastAsia="Times New Roman" w:cs="Times New Roman"/>
          <w:sz w:val="24"/>
          <w:szCs w:val="24"/>
          <w:lang w:val="en-GB"/>
        </w:rPr>
        <w:t>Penal Code</w:t>
      </w:r>
      <w:r w:rsidR="00152D8E" w:rsidRPr="00152D8E">
        <w:rPr>
          <w:rFonts w:eastAsia="Times New Roman" w:cs="Times New Roman"/>
          <w:sz w:val="24"/>
          <w:szCs w:val="24"/>
          <w:lang w:val="en-GB"/>
        </w:rPr>
        <w:t xml:space="preserve"> </w:t>
      </w:r>
      <w:r w:rsidR="003B7EB7">
        <w:rPr>
          <w:rFonts w:eastAsia="Times New Roman" w:cs="Times New Roman"/>
          <w:sz w:val="24"/>
          <w:szCs w:val="24"/>
          <w:lang w:val="en-GB"/>
        </w:rPr>
        <w:t>provide some protection from family violence, but the law is not interpreted as prohibiting all forms of physical punishment of children.</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040180C8" w14:textId="77777777" w:rsidR="003A617D" w:rsidRPr="003A617D" w:rsidRDefault="00814891" w:rsidP="003A617D">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3A617D" w:rsidRPr="003A617D">
        <w:rPr>
          <w:rFonts w:eastAsia="Times New Roman" w:cs="Times New Roman"/>
          <w:sz w:val="24"/>
          <w:szCs w:val="24"/>
          <w:lang w:val="en-GB"/>
        </w:rPr>
        <w:t xml:space="preserve">Corporal punishment is lawful in the home under the parental “right of correction”. 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best interests is threatened, including “to remind parents, foster parents or the child of their duties, issue specific instructions regarding care, upbringing or education” (art. 307); when such measures fail, parental responsibility may be withdrawn (art. 311). In 2014, article 311 of the Civil Code was amended to specify violence as one of the reasons for the withdrawal of parental authority. The Penal Code 1937 punishes the causing of physical injury (arts. 122, 123 and 125) and assault (art. 126) and specifies that repeated assault of a child (or other specified vulnerable person) by a person having care of that child (or other specified vulnerable person), will automatically lead to prosecution (art. 126). But neither of these Codes explicitly prohibits all corporal punishment in childrearing. In reporting to the Committee on the Rights of the Child in 2013, the Government stated that “assault” in the Penal Code “means any act inflicted on a human being that does not cause bodily harm or harm to health but that nonetheless </w:t>
      </w:r>
      <w:r w:rsidR="003A617D" w:rsidRPr="003A617D">
        <w:rPr>
          <w:rFonts w:eastAsia="Times New Roman" w:cs="Times New Roman"/>
          <w:i/>
          <w:sz w:val="24"/>
          <w:szCs w:val="24"/>
          <w:lang w:val="en-GB"/>
        </w:rPr>
        <w:t>exceeds what is generally tolerated by society</w:t>
      </w:r>
      <w:r w:rsidR="003A617D" w:rsidRPr="003A617D">
        <w:rPr>
          <w:rFonts w:eastAsia="Times New Roman" w:cs="Times New Roman"/>
          <w:sz w:val="24"/>
          <w:szCs w:val="24"/>
          <w:lang w:val="en-GB"/>
        </w:rPr>
        <w:t xml:space="preserve">” and that “slaps, punches, kicks, violent shoves and the throwing of projectiles </w:t>
      </w:r>
      <w:r w:rsidR="003A617D" w:rsidRPr="003A617D">
        <w:rPr>
          <w:rFonts w:eastAsia="Times New Roman" w:cs="Times New Roman"/>
          <w:i/>
          <w:sz w:val="24"/>
          <w:szCs w:val="24"/>
          <w:lang w:val="en-GB"/>
        </w:rPr>
        <w:t>should</w:t>
      </w:r>
      <w:r w:rsidR="003A617D" w:rsidRPr="003A617D">
        <w:rPr>
          <w:rFonts w:eastAsia="Times New Roman" w:cs="Times New Roman"/>
          <w:sz w:val="24"/>
          <w:szCs w:val="24"/>
          <w:lang w:val="en-GB"/>
        </w:rPr>
        <w:t xml:space="preserve"> be classified as assault” (emphasis added).</w:t>
      </w:r>
      <w:r w:rsidR="003A617D" w:rsidRPr="003A617D">
        <w:rPr>
          <w:rFonts w:eastAsia="Times New Roman" w:cs="Times New Roman"/>
          <w:sz w:val="24"/>
          <w:szCs w:val="24"/>
          <w:vertAlign w:val="superscript"/>
          <w:lang w:val="en-GB"/>
        </w:rPr>
        <w:footnoteReference w:id="1"/>
      </w:r>
      <w:r w:rsidR="003A617D" w:rsidRPr="003A617D">
        <w:rPr>
          <w:rFonts w:eastAsia="Times New Roman" w:cs="Times New Roman"/>
          <w:sz w:val="24"/>
          <w:szCs w:val="24"/>
          <w:lang w:val="en-GB"/>
        </w:rPr>
        <w:t xml:space="preserve"> In 2017, the Government reported that the “Civil Code currently in effect does not expressly prohibit the corporal punishment of children” and that explicit prohibition was not necessary as “repeated acts of violence against dependants, including children, have been prosecuted automatically since 1990, while bodily harm inflicted intentionally is always prosecuted automatically”.</w:t>
      </w:r>
      <w:r w:rsidR="003A617D" w:rsidRPr="003A617D">
        <w:rPr>
          <w:rFonts w:eastAsia="Times New Roman" w:cs="Times New Roman"/>
          <w:sz w:val="24"/>
          <w:szCs w:val="24"/>
          <w:vertAlign w:val="superscript"/>
          <w:lang w:val="en-GB"/>
        </w:rPr>
        <w:footnoteReference w:id="2"/>
      </w:r>
      <w:r w:rsidR="003A617D" w:rsidRPr="003A617D">
        <w:rPr>
          <w:rFonts w:eastAsia="Times New Roman" w:cs="Times New Roman"/>
          <w:sz w:val="24"/>
          <w:szCs w:val="24"/>
          <w:lang w:val="en-GB"/>
        </w:rPr>
        <w:t xml:space="preserve"> This is not a clear message that all corporal punishment, however light, is prohibited.</w:t>
      </w:r>
    </w:p>
    <w:p w14:paraId="48B62550" w14:textId="1A75CD48"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003A617D" w:rsidRPr="003A617D">
        <w:rPr>
          <w:rFonts w:eastAsia="Times New Roman" w:cs="Times New Roman"/>
          <w:sz w:val="24"/>
          <w:szCs w:val="24"/>
          <w:lang w:val="en-GB"/>
        </w:rPr>
        <w:t>In the 1970s, article 278 of the Civil Code 1907 which provided for parents’ “right of correction” (“droit de correction”) over their children was removed from the law. The purpose of this law reform was not to prohibit corporal punishment but was because it was considered unnecessary to explicitly provide for this right in the legislation.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sidR="003A617D" w:rsidRPr="003A617D">
        <w:rPr>
          <w:rFonts w:eastAsia="Times New Roman" w:cs="Times New Roman"/>
          <w:sz w:val="24"/>
          <w:szCs w:val="24"/>
          <w:vertAlign w:val="superscript"/>
          <w:lang w:val="en-GB"/>
        </w:rPr>
        <w:footnoteReference w:id="3"/>
      </w:r>
      <w:r w:rsidR="003A617D" w:rsidRPr="003A617D">
        <w:rPr>
          <w:rFonts w:eastAsia="Times New Roman" w:cs="Times New Roman"/>
          <w:sz w:val="24"/>
          <w:szCs w:val="24"/>
          <w:lang w:val="en-GB"/>
        </w:rPr>
        <w:t xml:space="preserve"> </w:t>
      </w:r>
    </w:p>
    <w:p w14:paraId="0EC251CC" w14:textId="48EDDB47"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003A617D" w:rsidRPr="003A617D">
        <w:rPr>
          <w:rFonts w:eastAsia="Times New Roman" w:cs="Times New Roman"/>
          <w:sz w:val="24"/>
          <w:szCs w:val="24"/>
          <w:lang w:val="en-GB"/>
        </w:rPr>
        <w:t>When the Penal Code was amended in 1985 to strengthen children’s protection from abuse, the message of the Federal Council again referred to the right of correction. The Council confirmed that the “right of correction” did not provide a defence in cases when bodily harm had been inflicted on a child (“the education of a child never justifies inflicting bodily harm”).</w:t>
      </w:r>
      <w:r w:rsidR="003A617D" w:rsidRPr="003A617D">
        <w:rPr>
          <w:rFonts w:eastAsia="Times New Roman" w:cs="Times New Roman"/>
          <w:sz w:val="24"/>
          <w:szCs w:val="24"/>
          <w:vertAlign w:val="superscript"/>
          <w:lang w:val="en-GB"/>
        </w:rPr>
        <w:footnoteReference w:id="4"/>
      </w:r>
      <w:r w:rsidR="003A617D" w:rsidRPr="003A617D">
        <w:rPr>
          <w:rFonts w:eastAsia="Times New Roman" w:cs="Times New Roman"/>
          <w:sz w:val="24"/>
          <w:szCs w:val="24"/>
          <w:lang w:val="en-GB"/>
        </w:rP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w:t>
      </w:r>
      <w:r w:rsidR="003A617D" w:rsidRPr="003A617D">
        <w:rPr>
          <w:rFonts w:eastAsia="Times New Roman" w:cs="Times New Roman"/>
          <w:sz w:val="24"/>
          <w:szCs w:val="24"/>
          <w:lang w:val="en-GB"/>
        </w:rPr>
        <w:lastRenderedPageBreak/>
        <w:t>expressly confirm parents’ right of correction, but believed this was “superfluous” because “the right is deduced in particular in article 302 of the Civil Code”.</w:t>
      </w:r>
      <w:r w:rsidR="003A617D" w:rsidRPr="003A617D">
        <w:rPr>
          <w:rFonts w:eastAsia="Times New Roman" w:cs="Times New Roman"/>
          <w:sz w:val="24"/>
          <w:szCs w:val="24"/>
          <w:vertAlign w:val="superscript"/>
          <w:lang w:val="en-GB"/>
        </w:rPr>
        <w:footnoteReference w:id="5"/>
      </w:r>
      <w:r w:rsidR="003A617D" w:rsidRPr="003A617D">
        <w:rPr>
          <w:rFonts w:eastAsia="Times New Roman" w:cs="Times New Roman"/>
          <w:sz w:val="24"/>
          <w:szCs w:val="24"/>
          <w:lang w:val="en-GB"/>
        </w:rPr>
        <w:t xml:space="preserve"> The Council sought to “dispel the doubts expressed by those who fear a pair of slaps already constitutes assault prosecuted ex officio. As we have explained, the term ‘repeated occasions’ requires much more than that”.</w:t>
      </w:r>
      <w:r w:rsidR="003A617D" w:rsidRPr="003A617D">
        <w:rPr>
          <w:rFonts w:eastAsia="Times New Roman" w:cs="Times New Roman"/>
          <w:sz w:val="24"/>
          <w:szCs w:val="24"/>
          <w:vertAlign w:val="superscript"/>
          <w:lang w:val="en-GB"/>
        </w:rPr>
        <w:footnoteReference w:id="6"/>
      </w:r>
    </w:p>
    <w:p w14:paraId="4FC8A985" w14:textId="64135F83"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1.5 </w:t>
      </w:r>
      <w:r w:rsidR="003A617D" w:rsidRPr="003A617D">
        <w:rPr>
          <w:rFonts w:eastAsia="Times New Roman" w:cs="Times New Roman"/>
          <w:sz w:val="24"/>
          <w:szCs w:val="24"/>
          <w:lang w:val="en-GB"/>
        </w:rPr>
        <w:t>Subsequent case law has confirmed the “right of correction”. For example, a 2003 Federal Court judgment ruled that repeated and habitual corporal punishment is unacceptable but did not rule out the right of parents to use corporal punishment, stating that</w:t>
      </w:r>
      <w:r w:rsidR="003A617D" w:rsidRPr="003A617D">
        <w:rPr>
          <w:rFonts w:eastAsia="Times New Roman" w:cs="Times New Roman"/>
          <w:sz w:val="24"/>
          <w:szCs w:val="24"/>
        </w:rPr>
        <w:t xml:space="preserve"> “the perpetrator, who struck his girlfriend’s children a dozen times in the space of three years and who regularly boxed their ears was committing repeated assault under article 126, paragraph 2, of the Criminal Code and was thereby exceeding what was admissible in accordance with the possible right to inflict corporal punishment”</w:t>
      </w:r>
      <w:r w:rsidR="003A617D" w:rsidRPr="003A617D">
        <w:rPr>
          <w:rFonts w:eastAsia="Times New Roman" w:cs="Times New Roman"/>
          <w:sz w:val="24"/>
          <w:szCs w:val="24"/>
          <w:lang w:val="en-GB"/>
        </w:rPr>
        <w:t>.</w:t>
      </w:r>
      <w:r w:rsidR="003A617D" w:rsidRPr="003A617D">
        <w:rPr>
          <w:rFonts w:eastAsia="Times New Roman" w:cs="Times New Roman"/>
          <w:sz w:val="24"/>
          <w:szCs w:val="24"/>
          <w:vertAlign w:val="superscript"/>
          <w:lang w:val="en-GB"/>
        </w:rPr>
        <w:footnoteReference w:id="7"/>
      </w:r>
    </w:p>
    <w:p w14:paraId="601C25D0" w14:textId="30BA6D6A"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1.6 </w:t>
      </w:r>
      <w:r w:rsidR="003A617D" w:rsidRPr="003A617D">
        <w:rPr>
          <w:rFonts w:eastAsia="Times New Roman" w:cs="Times New Roman"/>
          <w:sz w:val="24"/>
          <w:szCs w:val="24"/>
          <w:lang w:val="en-GB"/>
        </w:rPr>
        <w:t>In October 2007, Parliamentary initiative 06.419 to prohibit all corporal punishment was adopted by the Committee for Legal Affairs; in May 2008, the Government accepted a recommendation made during the Universal Periodic Review (UPR) of Switzerland to “</w:t>
      </w:r>
      <w:r w:rsidR="003A617D" w:rsidRPr="003A617D">
        <w:rPr>
          <w:rFonts w:eastAsia="Times New Roman" w:cs="Times New Roman"/>
          <w:bCs/>
          <w:sz w:val="24"/>
          <w:szCs w:val="24"/>
          <w:lang w:val="en-GB"/>
        </w:rPr>
        <w:t>consider the explicit prohibition of all practices of corporal punishment of children”. However, the Parliamentary initiative was defeated, and proposed new legislation was rejected by Parliament in December 2008 on the grounds that it was considered that the law already prohibited all corporal punishment.</w:t>
      </w:r>
      <w:r w:rsidR="003A617D" w:rsidRPr="003A617D">
        <w:rPr>
          <w:rFonts w:eastAsia="Times New Roman" w:cs="Times New Roman"/>
          <w:sz w:val="24"/>
          <w:szCs w:val="24"/>
          <w:vertAlign w:val="superscript"/>
          <w:lang w:val="en-GB"/>
        </w:rPr>
        <w:t xml:space="preserve"> </w:t>
      </w:r>
      <w:r w:rsidR="003A617D" w:rsidRPr="003A617D">
        <w:rPr>
          <w:rFonts w:eastAsia="Times New Roman" w:cs="Times New Roman"/>
          <w:sz w:val="24"/>
          <w:szCs w:val="24"/>
          <w:vertAlign w:val="superscript"/>
          <w:lang w:val="en-GB"/>
        </w:rPr>
        <w:footnoteReference w:id="8"/>
      </w:r>
      <w:r w:rsidR="003A617D" w:rsidRPr="003A617D">
        <w:rPr>
          <w:rFonts w:eastAsia="Times New Roman" w:cs="Times New Roman"/>
          <w:sz w:val="24"/>
          <w:szCs w:val="24"/>
          <w:lang w:val="en-GB"/>
        </w:rPr>
        <w:t xml:space="preserve"> </w:t>
      </w:r>
      <w:r w:rsidR="003A617D" w:rsidRPr="003A617D">
        <w:rPr>
          <w:rFonts w:eastAsia="Times New Roman" w:cs="Times New Roman"/>
          <w:bCs/>
          <w:sz w:val="24"/>
          <w:szCs w:val="24"/>
          <w:lang w:val="en-GB"/>
        </w:rPr>
        <w:t>Since then, the Government has repeatedly asserted, to human rights treaty monitoring bodies as well as during the second UPR of Switzerland in 2012, that existing legislation on bodily injury and assault adequately protects children from all corporal punishment.</w:t>
      </w:r>
      <w:r w:rsidR="003A617D" w:rsidRPr="003A617D">
        <w:rPr>
          <w:rFonts w:eastAsia="Times New Roman" w:cs="Times New Roman"/>
          <w:bCs/>
          <w:sz w:val="24"/>
          <w:szCs w:val="24"/>
          <w:vertAlign w:val="superscript"/>
          <w:lang w:val="en-GB"/>
        </w:rPr>
        <w:footnoteReference w:id="9"/>
      </w:r>
      <w:r w:rsidR="003A617D" w:rsidRPr="003A617D">
        <w:rPr>
          <w:rFonts w:eastAsia="Times New Roman" w:cs="Times New Roman"/>
          <w:bCs/>
          <w:sz w:val="24"/>
          <w:szCs w:val="24"/>
          <w:lang w:val="en-GB"/>
        </w:rPr>
        <w:t xml:space="preserve"> </w:t>
      </w:r>
      <w:r w:rsidR="003A617D" w:rsidRPr="003A617D">
        <w:rPr>
          <w:rFonts w:eastAsia="Times New Roman" w:cs="Times New Roman"/>
          <w:sz w:val="24"/>
          <w:szCs w:val="24"/>
          <w:lang w:val="en-GB"/>
        </w:rPr>
        <w:t>The Government rejected the recommendation made during the 2012 UPR to prohibit corporal punishment in the home.</w:t>
      </w:r>
      <w:r w:rsidR="003A617D" w:rsidRPr="003A617D">
        <w:rPr>
          <w:rFonts w:eastAsia="Times New Roman" w:cs="Times New Roman"/>
          <w:sz w:val="24"/>
          <w:szCs w:val="24"/>
          <w:vertAlign w:val="superscript"/>
          <w:lang w:val="en-GB"/>
        </w:rPr>
        <w:footnoteReference w:id="10"/>
      </w:r>
      <w:r w:rsidR="003A617D" w:rsidRPr="003A617D">
        <w:rPr>
          <w:rFonts w:eastAsia="Times New Roman" w:cs="Times New Roman"/>
          <w:sz w:val="24"/>
          <w:szCs w:val="24"/>
          <w:lang w:val="en-GB"/>
        </w:rPr>
        <w:t xml:space="preserve"> During the UPR in 2017, the Government had a mixed response to recommendations on corporal punishment, supporting one to “prohibit all practices of corporal punishment” and noting another to enact legislation explicitly prohibiting corporal punishment in all settings, including the home.</w:t>
      </w:r>
      <w:r w:rsidR="003A617D" w:rsidRPr="003A617D">
        <w:rPr>
          <w:rFonts w:eastAsia="Times New Roman" w:cs="Times New Roman"/>
          <w:sz w:val="24"/>
          <w:szCs w:val="24"/>
          <w:vertAlign w:val="superscript"/>
          <w:lang w:val="en-GB"/>
        </w:rPr>
        <w:footnoteReference w:id="11"/>
      </w:r>
    </w:p>
    <w:p w14:paraId="32E375E1" w14:textId="06EFAEDA"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1.7 </w:t>
      </w:r>
      <w:r w:rsidR="003A617D" w:rsidRPr="003A617D">
        <w:rPr>
          <w:rFonts w:eastAsia="Times New Roman" w:cs="Times New Roman"/>
          <w:sz w:val="24"/>
          <w:szCs w:val="24"/>
          <w:lang w:val="en-GB"/>
        </w:rPr>
        <w:t>Following a motion in 2012 “Violence in the family. Protection of children and young people (Motion 07.3725), the National Council ruled that existing law adequately protected children from corporal punishment.</w:t>
      </w:r>
      <w:r w:rsidR="003A617D" w:rsidRPr="003A617D">
        <w:rPr>
          <w:rFonts w:eastAsia="Times New Roman" w:cs="Times New Roman"/>
          <w:sz w:val="24"/>
          <w:szCs w:val="24"/>
          <w:vertAlign w:val="superscript"/>
          <w:lang w:val="en-GB"/>
        </w:rPr>
        <w:footnoteReference w:id="12"/>
      </w:r>
      <w:r w:rsidR="003A617D" w:rsidRPr="003A617D">
        <w:rPr>
          <w:rFonts w:eastAsia="Times New Roman" w:cs="Times New Roman"/>
          <w:sz w:val="24"/>
          <w:szCs w:val="24"/>
          <w:lang w:val="en-GB"/>
        </w:rPr>
        <w:t xml:space="preserve"> Similarly, a parliamentary request in 2013 “In support of upbringing without violence” (Motion 13.3156)</w:t>
      </w:r>
      <w:r w:rsidR="003A617D" w:rsidRPr="003A617D">
        <w:rPr>
          <w:rFonts w:eastAsia="Times New Roman" w:cs="Times New Roman"/>
          <w:sz w:val="24"/>
          <w:szCs w:val="24"/>
          <w:vertAlign w:val="superscript"/>
          <w:lang w:val="en-GB"/>
        </w:rPr>
        <w:footnoteReference w:id="13"/>
      </w:r>
      <w:r w:rsidR="003A617D" w:rsidRPr="003A617D">
        <w:rPr>
          <w:rFonts w:eastAsia="Times New Roman" w:cs="Times New Roman"/>
          <w:sz w:val="24"/>
          <w:szCs w:val="24"/>
          <w:lang w:val="en-GB"/>
        </w:rPr>
        <w:t xml:space="preserve"> was rejected by the National Council in June 2014 on the grounds that existing Penal Code provisions adequately protect children from corporal punishment.</w:t>
      </w:r>
      <w:r w:rsidR="003A617D" w:rsidRPr="003A617D">
        <w:rPr>
          <w:rFonts w:eastAsia="Times New Roman" w:cs="Times New Roman"/>
          <w:sz w:val="24"/>
          <w:szCs w:val="24"/>
          <w:vertAlign w:val="superscript"/>
          <w:lang w:val="en-GB"/>
        </w:rPr>
        <w:footnoteReference w:id="14"/>
      </w:r>
      <w:r w:rsidR="003A617D" w:rsidRPr="003A617D">
        <w:rPr>
          <w:rFonts w:eastAsia="Times New Roman" w:cs="Times New Roman"/>
          <w:sz w:val="24"/>
          <w:szCs w:val="24"/>
          <w:lang w:val="en-GB"/>
        </w:rPr>
        <w:t xml:space="preserve"> The Government reported to the Committee Against Torture in 2014 that efforts are under way to raise awareness of “the unlawfulness of using force” and promoting non-violent education.</w:t>
      </w:r>
      <w:r w:rsidR="003A617D" w:rsidRPr="003A617D">
        <w:rPr>
          <w:rFonts w:eastAsia="Times New Roman" w:cs="Times New Roman"/>
          <w:sz w:val="24"/>
          <w:szCs w:val="24"/>
          <w:vertAlign w:val="superscript"/>
          <w:lang w:val="en-GB"/>
        </w:rPr>
        <w:footnoteReference w:id="15"/>
      </w:r>
      <w:r w:rsidR="003A617D" w:rsidRPr="003A617D">
        <w:rPr>
          <w:rFonts w:eastAsia="Times New Roman" w:cs="Times New Roman"/>
          <w:sz w:val="24"/>
          <w:szCs w:val="24"/>
          <w:lang w:val="en-GB"/>
        </w:rPr>
        <w:t xml:space="preserve"> Most recently (in May 2017), parliamentary motion Galladé “Abolition of corporal </w:t>
      </w:r>
      <w:r w:rsidR="003A617D" w:rsidRPr="003A617D">
        <w:rPr>
          <w:rFonts w:eastAsia="Times New Roman" w:cs="Times New Roman"/>
          <w:sz w:val="24"/>
          <w:szCs w:val="24"/>
          <w:lang w:val="en-GB"/>
        </w:rPr>
        <w:lastRenderedPageBreak/>
        <w:t>punishment” (motion 15.3639) which was tabled for discussion in June 2015</w:t>
      </w:r>
      <w:r w:rsidR="003A617D" w:rsidRPr="003A617D">
        <w:rPr>
          <w:rFonts w:eastAsia="Times New Roman" w:cs="Times New Roman"/>
          <w:sz w:val="24"/>
          <w:szCs w:val="24"/>
          <w:vertAlign w:val="superscript"/>
          <w:lang w:val="en-GB"/>
        </w:rPr>
        <w:t xml:space="preserve"> </w:t>
      </w:r>
      <w:r w:rsidR="003A617D" w:rsidRPr="003A617D">
        <w:rPr>
          <w:rFonts w:eastAsia="Times New Roman" w:cs="Times New Roman"/>
          <w:sz w:val="24"/>
          <w:szCs w:val="24"/>
          <w:vertAlign w:val="superscript"/>
          <w:lang w:val="en-GB"/>
        </w:rPr>
        <w:footnoteReference w:id="16"/>
      </w:r>
      <w:r w:rsidR="003A617D" w:rsidRPr="003A617D">
        <w:rPr>
          <w:rFonts w:eastAsia="Times New Roman" w:cs="Times New Roman"/>
          <w:sz w:val="24"/>
          <w:szCs w:val="24"/>
          <w:lang w:val="en-GB"/>
        </w:rPr>
        <w:t xml:space="preserve"> was rejected by the National Council after the Federal Council argued against it, stating that the “right of correction” had disappeared in the 1970’s and that the current legislation was sufficient.</w:t>
      </w:r>
      <w:r w:rsidR="003A617D" w:rsidRPr="003A617D">
        <w:rPr>
          <w:rFonts w:eastAsia="Times New Roman" w:cs="Times New Roman"/>
          <w:sz w:val="24"/>
          <w:szCs w:val="24"/>
          <w:vertAlign w:val="superscript"/>
          <w:lang w:val="en-GB"/>
        </w:rPr>
        <w:footnoteReference w:id="17"/>
      </w:r>
      <w:r w:rsidR="003A617D" w:rsidRPr="003A617D">
        <w:rPr>
          <w:rFonts w:eastAsia="Times New Roman" w:cs="Times New Roman"/>
          <w:sz w:val="24"/>
          <w:szCs w:val="24"/>
          <w:lang w:val="en-GB"/>
        </w:rPr>
        <w:t xml:space="preserve"> Motion Marchand Ballet on the prohibition of corporal punishment (motion 18.3603) was introduced in June 2018 and is awaiting deliberation at the National Council.</w:t>
      </w:r>
      <w:r w:rsidR="003A617D" w:rsidRPr="003A617D">
        <w:rPr>
          <w:rFonts w:eastAsia="Times New Roman" w:cs="Times New Roman"/>
          <w:sz w:val="24"/>
          <w:szCs w:val="24"/>
          <w:vertAlign w:val="superscript"/>
          <w:lang w:val="en-GB"/>
        </w:rPr>
        <w:footnoteReference w:id="18"/>
      </w:r>
      <w:r w:rsidR="003A617D" w:rsidRPr="003A617D">
        <w:rPr>
          <w:rFonts w:eastAsia="Times New Roman" w:cs="Times New Roman"/>
          <w:sz w:val="24"/>
          <w:szCs w:val="24"/>
          <w:lang w:val="en-GB"/>
        </w:rPr>
        <w:t xml:space="preserve"> </w:t>
      </w:r>
    </w:p>
    <w:p w14:paraId="5B2DFFFE" w14:textId="309FD257" w:rsidR="003A617D" w:rsidRPr="003A617D" w:rsidRDefault="00C25EB7" w:rsidP="003A617D">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1.8 </w:t>
      </w:r>
      <w:r w:rsidR="003A617D" w:rsidRPr="003A617D">
        <w:rPr>
          <w:rFonts w:eastAsia="Times New Roman" w:cs="Times New Roman"/>
          <w:sz w:val="24"/>
          <w:szCs w:val="24"/>
          <w:lang w:val="en-GB"/>
        </w:rPr>
        <w:t>While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w:t>
      </w:r>
    </w:p>
    <w:p w14:paraId="7ACC225C" w14:textId="731DDA2D" w:rsidR="00A970EF" w:rsidRDefault="00814891" w:rsidP="003A617D">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8970CB">
        <w:rPr>
          <w:rFonts w:eastAsia="Times New Roman" w:cstheme="minorHAnsi"/>
          <w:b/>
          <w:sz w:val="24"/>
          <w:szCs w:val="24"/>
          <w:lang w:val="en-GB"/>
        </w:rPr>
        <w:t>9</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We hope the Committee will urge the Government of </w:t>
      </w:r>
      <w:r w:rsidR="00C25EB7">
        <w:rPr>
          <w:rFonts w:eastAsia="Times New Roman" w:cstheme="minorHAnsi"/>
          <w:b/>
          <w:sz w:val="24"/>
          <w:szCs w:val="24"/>
          <w:lang w:val="en-GB"/>
        </w:rPr>
        <w:t>Switzerland</w:t>
      </w:r>
      <w:r w:rsidR="006E09F7">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9069DB">
        <w:rPr>
          <w:rFonts w:eastAsia="Times New Roman" w:cstheme="minorHAnsi"/>
          <w:b/>
          <w:sz w:val="24"/>
          <w:szCs w:val="24"/>
          <w:lang w:val="en-GB"/>
        </w:rPr>
        <w:t>legislation</w:t>
      </w:r>
      <w:r w:rsidR="00332931" w:rsidRPr="009069DB">
        <w:rPr>
          <w:rFonts w:eastAsia="Times New Roman" w:cstheme="minorHAnsi"/>
          <w:b/>
          <w:sz w:val="24"/>
          <w:szCs w:val="24"/>
          <w:lang w:val="en-GB"/>
        </w:rPr>
        <w:t xml:space="preserve"> as a matter of </w:t>
      </w:r>
      <w:r w:rsidR="00324CD5">
        <w:rPr>
          <w:rFonts w:eastAsia="Times New Roman" w:cstheme="minorHAnsi"/>
          <w:b/>
          <w:sz w:val="24"/>
          <w:szCs w:val="24"/>
          <w:lang w:val="en-GB"/>
        </w:rPr>
        <w:t>urgency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6E09F7">
      <w:pPr>
        <w:pStyle w:val="BodyText"/>
        <w:ind w:left="426" w:hanging="426"/>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Recommendations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5D6AE1B0" w14:textId="116B9055" w:rsidR="003A617D" w:rsidRPr="003A617D" w:rsidRDefault="003A617D" w:rsidP="003A617D">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 xml:space="preserve">.1 In 2002, the </w:t>
      </w:r>
      <w:r w:rsidRPr="003A617D">
        <w:rPr>
          <w:rFonts w:cstheme="minorHAnsi"/>
          <w:bCs/>
          <w:i/>
          <w:sz w:val="24"/>
          <w:szCs w:val="24"/>
          <w:lang w:val="en-GB"/>
        </w:rPr>
        <w:t>Committee on the Rights of the Child</w:t>
      </w:r>
      <w:r w:rsidRPr="003A617D">
        <w:rPr>
          <w:rFonts w:cstheme="minorHAnsi"/>
          <w:bCs/>
          <w:sz w:val="24"/>
          <w:szCs w:val="24"/>
          <w:lang w:val="en-GB"/>
        </w:rPr>
        <w:t xml:space="preserve"> recommended prohibition of corporal punishment in all settings in Switzerland.</w:t>
      </w:r>
      <w:r w:rsidRPr="003A617D">
        <w:rPr>
          <w:rFonts w:cstheme="minorHAnsi"/>
          <w:bCs/>
          <w:sz w:val="24"/>
          <w:szCs w:val="24"/>
          <w:vertAlign w:val="superscript"/>
          <w:lang w:val="en-GB"/>
        </w:rPr>
        <w:footnoteReference w:id="19"/>
      </w:r>
      <w:r w:rsidRPr="003A617D">
        <w:rPr>
          <w:rFonts w:cstheme="minorHAnsi"/>
          <w:bCs/>
          <w:sz w:val="24"/>
          <w:szCs w:val="24"/>
          <w:lang w:val="en-GB"/>
        </w:rPr>
        <w:t xml:space="preserve"> The Committee reiterated its concerns in 2015 and again recommended prohibition in all settings.</w:t>
      </w:r>
      <w:r w:rsidRPr="003A617D">
        <w:rPr>
          <w:rFonts w:cstheme="minorHAnsi"/>
          <w:bCs/>
          <w:sz w:val="24"/>
          <w:szCs w:val="24"/>
          <w:vertAlign w:val="superscript"/>
          <w:lang w:val="en-GB"/>
        </w:rPr>
        <w:footnoteReference w:id="20"/>
      </w:r>
    </w:p>
    <w:p w14:paraId="6860FCB2" w14:textId="68F1535C" w:rsidR="003A617D" w:rsidRPr="003A617D" w:rsidRDefault="003A617D" w:rsidP="003A617D">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 xml:space="preserve">.2 In 2010, the </w:t>
      </w:r>
      <w:r w:rsidRPr="003A617D">
        <w:rPr>
          <w:rFonts w:cstheme="minorHAnsi"/>
          <w:bCs/>
          <w:i/>
          <w:sz w:val="24"/>
          <w:szCs w:val="24"/>
          <w:lang w:val="en-GB"/>
        </w:rPr>
        <w:t>Committee Against Torture</w:t>
      </w:r>
      <w:r w:rsidRPr="003A617D">
        <w:rPr>
          <w:rFonts w:cstheme="minorHAnsi"/>
          <w:bCs/>
          <w:sz w:val="24"/>
          <w:szCs w:val="24"/>
          <w:lang w:val="en-GB"/>
        </w:rPr>
        <w:t xml:space="preserve"> recommended that Switzerland specifically prohibit corporal punishment in its legislation.</w:t>
      </w:r>
      <w:r w:rsidRPr="003A617D">
        <w:rPr>
          <w:rFonts w:cstheme="minorHAnsi"/>
          <w:bCs/>
          <w:sz w:val="24"/>
          <w:szCs w:val="24"/>
          <w:vertAlign w:val="superscript"/>
          <w:lang w:val="en-GB"/>
        </w:rPr>
        <w:footnoteReference w:id="21"/>
      </w:r>
    </w:p>
    <w:p w14:paraId="6DF0EB35" w14:textId="12D54E29" w:rsidR="00C25EB7" w:rsidRPr="00C25EB7" w:rsidRDefault="003A617D" w:rsidP="00C25EB7">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 xml:space="preserve">.3 Switzerland was examined at the </w:t>
      </w:r>
      <w:r w:rsidRPr="003A617D">
        <w:rPr>
          <w:rFonts w:cstheme="minorHAnsi"/>
          <w:bCs/>
          <w:i/>
          <w:sz w:val="24"/>
          <w:szCs w:val="24"/>
          <w:lang w:val="en-GB"/>
        </w:rPr>
        <w:t>Universal Periodic Review</w:t>
      </w:r>
      <w:r w:rsidRPr="003A617D">
        <w:rPr>
          <w:rFonts w:cstheme="minorHAnsi"/>
          <w:bCs/>
          <w:sz w:val="24"/>
          <w:szCs w:val="24"/>
          <w:lang w:val="en-GB"/>
        </w:rPr>
        <w:t xml:space="preserve"> in 2008. The Government accepted a recommendation to consider prohibiting corporal punishment but stated that domestic law already protected children’s “corporal integrity”.</w:t>
      </w:r>
      <w:r w:rsidRPr="003A617D">
        <w:rPr>
          <w:rFonts w:cstheme="minorHAnsi"/>
          <w:bCs/>
          <w:sz w:val="24"/>
          <w:szCs w:val="24"/>
          <w:vertAlign w:val="superscript"/>
          <w:lang w:val="en-GB"/>
        </w:rPr>
        <w:footnoteReference w:id="22"/>
      </w:r>
      <w:r w:rsidRPr="003A617D">
        <w:rPr>
          <w:rFonts w:cstheme="minorHAnsi"/>
          <w:bCs/>
          <w:sz w:val="24"/>
          <w:szCs w:val="24"/>
          <w:lang w:val="en-GB"/>
        </w:rPr>
        <w:t xml:space="preserve"> At the second cycle UPR in 2012, the Government accepted the recommendation concerning awareness raising on the negative effects of corporal punishment but rejected the recommendation to prohibit corporal punishment in the home.</w:t>
      </w:r>
      <w:r w:rsidRPr="003A617D">
        <w:rPr>
          <w:rFonts w:cstheme="minorHAnsi"/>
          <w:bCs/>
          <w:sz w:val="24"/>
          <w:szCs w:val="24"/>
          <w:vertAlign w:val="superscript"/>
          <w:lang w:val="en-GB"/>
        </w:rPr>
        <w:footnoteReference w:id="23"/>
      </w:r>
      <w:r w:rsidR="00C25EB7" w:rsidRPr="00C25EB7">
        <w:rPr>
          <w:rFonts w:ascii="Calibri" w:eastAsia="Times New Roman" w:hAnsi="Calibri" w:cs="Calibri"/>
          <w:sz w:val="24"/>
          <w:szCs w:val="24"/>
          <w:lang w:val="en-GB" w:eastAsia="en-GB"/>
        </w:rPr>
        <w:t xml:space="preserve"> </w:t>
      </w:r>
      <w:r w:rsidR="00C25EB7">
        <w:rPr>
          <w:rFonts w:ascii="Calibri" w:eastAsia="Times New Roman" w:hAnsi="Calibri" w:cs="Calibri"/>
          <w:sz w:val="24"/>
          <w:szCs w:val="24"/>
          <w:lang w:val="en-GB" w:eastAsia="en-GB"/>
        </w:rPr>
        <w:t>During the third cycle examination in 2018, the Government supported a recommendation to “prohibit all practices of corporal punishment” but noted another to enact legislation explicitly prohibiting corporal punishment in all settings.</w:t>
      </w:r>
      <w:r w:rsidR="00C25EB7" w:rsidRPr="00C25EB7">
        <w:rPr>
          <w:rFonts w:cstheme="minorHAnsi"/>
          <w:bCs/>
          <w:sz w:val="24"/>
          <w:szCs w:val="24"/>
          <w:vertAlign w:val="superscript"/>
          <w:lang w:val="en-GB"/>
        </w:rPr>
        <w:t xml:space="preserve"> </w:t>
      </w:r>
      <w:r w:rsidR="00C25EB7" w:rsidRPr="00C25EB7">
        <w:rPr>
          <w:rFonts w:cstheme="minorHAnsi"/>
          <w:bCs/>
          <w:sz w:val="24"/>
          <w:szCs w:val="24"/>
          <w:vertAlign w:val="superscript"/>
          <w:lang w:val="en-GB"/>
        </w:rPr>
        <w:footnoteReference w:id="24"/>
      </w:r>
    </w:p>
    <w:p w14:paraId="212C597C" w14:textId="6F17A354" w:rsidR="00734B3D" w:rsidRDefault="00734B3D" w:rsidP="00734B3D">
      <w:pPr>
        <w:spacing w:after="120"/>
        <w:ind w:left="482" w:hanging="482"/>
        <w:rPr>
          <w:rFonts w:cstheme="minorHAnsi"/>
          <w:bCs/>
          <w:sz w:val="24"/>
          <w:szCs w:val="24"/>
          <w:lang w:val="en-GB"/>
        </w:rPr>
      </w:pPr>
      <w:bookmarkStart w:id="0" w:name="_GoBack"/>
      <w:bookmarkEnd w:id="0"/>
    </w:p>
    <w:p w14:paraId="5FD7A3C8" w14:textId="77777777" w:rsidR="001D03EA" w:rsidRPr="00734B3D" w:rsidRDefault="001D03EA"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474522" w:rsidRDefault="00BE33FC" w:rsidP="00466383">
      <w:pPr>
        <w:rPr>
          <w:rFonts w:eastAsia="Times New Roman" w:cstheme="minorHAnsi"/>
          <w:i/>
          <w:sz w:val="24"/>
          <w:szCs w:val="24"/>
          <w:lang w:val="en-GB"/>
        </w:rPr>
      </w:pPr>
      <w:hyperlink r:id="rId13">
        <w:r w:rsidR="00FB34F5" w:rsidRPr="00474522">
          <w:rPr>
            <w:rStyle w:val="Hyperlink"/>
            <w:rFonts w:eastAsia="Times New Roman"/>
            <w:i/>
            <w:color w:val="0096A3"/>
            <w:sz w:val="24"/>
            <w:szCs w:val="24"/>
            <w:lang w:eastAsia="en-GB"/>
          </w:rPr>
          <w:t>www.endcorporalpunishment.org</w:t>
        </w:r>
      </w:hyperlink>
      <w:r w:rsidR="00FB34F5" w:rsidRPr="00474522">
        <w:rPr>
          <w:rFonts w:cstheme="minorHAnsi"/>
          <w:i/>
          <w:spacing w:val="-1"/>
          <w:sz w:val="24"/>
          <w:szCs w:val="24"/>
          <w:lang w:val="en-GB"/>
        </w:rPr>
        <w:t xml:space="preserve">; </w:t>
      </w:r>
      <w:hyperlink r:id="rId14">
        <w:r w:rsidR="00FB34F5" w:rsidRPr="00474522">
          <w:rPr>
            <w:rStyle w:val="Hyperlink"/>
            <w:rFonts w:eastAsia="Times New Roman"/>
            <w:i/>
            <w:color w:val="0096A3"/>
            <w:sz w:val="24"/>
            <w:szCs w:val="24"/>
            <w:lang w:eastAsia="en-GB"/>
          </w:rPr>
          <w:t>info@endcorporalpunishment.org</w:t>
        </w:r>
      </w:hyperlink>
    </w:p>
    <w:sectPr w:rsidR="00015B33" w:rsidRPr="00474522"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77D08" w14:textId="77777777" w:rsidR="00BE33FC" w:rsidRDefault="00BE33FC">
      <w:r>
        <w:separator/>
      </w:r>
    </w:p>
  </w:endnote>
  <w:endnote w:type="continuationSeparator" w:id="0">
    <w:p w14:paraId="65B31230" w14:textId="77777777" w:rsidR="00BE33FC" w:rsidRDefault="00BE3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44BED280"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559B">
      <w:rPr>
        <w:rStyle w:val="PageNumber"/>
        <w:noProof/>
      </w:rPr>
      <w:t>4</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4B2AF" w14:textId="77777777" w:rsidR="00BE33FC" w:rsidRDefault="00BE33FC">
      <w:r>
        <w:separator/>
      </w:r>
    </w:p>
  </w:footnote>
  <w:footnote w:type="continuationSeparator" w:id="0">
    <w:p w14:paraId="71979A2A" w14:textId="77777777" w:rsidR="00BE33FC" w:rsidRDefault="00BE33FC">
      <w:r>
        <w:continuationSeparator/>
      </w:r>
    </w:p>
  </w:footnote>
  <w:footnote w:id="1">
    <w:p w14:paraId="0EC2A983"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r w:rsidRPr="005E559B">
        <w:rPr>
          <w:rFonts w:eastAsia="Calibri" w:cstheme="minorHAnsi"/>
          <w:sz w:val="20"/>
          <w:szCs w:val="20"/>
        </w:rPr>
        <w:t>30 October 2013, CRC/C/CHE/2-4, Second-fourth state party report, para. 159</w:t>
      </w:r>
    </w:p>
  </w:footnote>
  <w:footnote w:id="2">
    <w:p w14:paraId="5CEDD231"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rPr>
        <w:t xml:space="preserve"> 11 July 2017, A/HRC/WG.6/28/CHE/1, National report to the UPR, para. </w:t>
      </w:r>
      <w:r w:rsidRPr="005E559B">
        <w:rPr>
          <w:rFonts w:cstheme="minorHAnsi"/>
          <w:sz w:val="20"/>
          <w:szCs w:val="20"/>
          <w:lang w:val="fr-FR"/>
        </w:rPr>
        <w:t>22</w:t>
      </w:r>
    </w:p>
  </w:footnote>
  <w:footnote w:id="3">
    <w:p w14:paraId="2AA58635"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lang w:val="fr-FR"/>
        </w:rPr>
        <w:t xml:space="preserve"> “Message du Conseil federal à l’Assemblée fédérale concernant la modification du code civil Suisse (Filiation) (Du 5 juin 1974)”, </w:t>
      </w:r>
      <w:r w:rsidRPr="005E559B">
        <w:rPr>
          <w:rFonts w:cstheme="minorHAnsi"/>
          <w:i/>
          <w:sz w:val="20"/>
          <w:szCs w:val="20"/>
          <w:lang w:val="fr-FR"/>
        </w:rPr>
        <w:t>Feuille Fédérale</w:t>
      </w:r>
      <w:r w:rsidRPr="005E559B">
        <w:rPr>
          <w:rFonts w:cstheme="minorHAnsi"/>
          <w:sz w:val="20"/>
          <w:szCs w:val="20"/>
          <w:lang w:val="fr-FR"/>
        </w:rPr>
        <w:t>, 8 July 1974, II, No. 27, p. 78</w:t>
      </w:r>
    </w:p>
  </w:footnote>
  <w:footnote w:id="4">
    <w:p w14:paraId="2B1A6204"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lang w:val="fr-FR"/>
        </w:rPr>
        <w:t xml:space="preserve"> “Message concernant la modification du code penal et du code penal militaire (Infractions contre la vie et l’intégrité corporelle, les mœurs et la famille) du 26 juin 1985”, </w:t>
      </w:r>
      <w:r w:rsidRPr="005E559B">
        <w:rPr>
          <w:rFonts w:cstheme="minorHAnsi"/>
          <w:i/>
          <w:sz w:val="20"/>
          <w:szCs w:val="20"/>
          <w:lang w:val="fr-FR"/>
        </w:rPr>
        <w:t>Feuille Fédérale</w:t>
      </w:r>
      <w:r w:rsidRPr="005E559B">
        <w:rPr>
          <w:rFonts w:cstheme="minorHAnsi"/>
          <w:sz w:val="20"/>
          <w:szCs w:val="20"/>
          <w:lang w:val="fr-FR"/>
        </w:rPr>
        <w:t>, 10 September 1985, II, p. 1042</w:t>
      </w:r>
    </w:p>
  </w:footnote>
  <w:footnote w:id="5">
    <w:p w14:paraId="2E2F0739"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lang w:val="fr-FR"/>
        </w:rPr>
        <w:t xml:space="preserve"> “Message concernant la modification du code penal et du code penal militaire (Infractions contre la vie et l’intégrité corporelle, les mœurs et la famille) du 26 juin 1985”, </w:t>
      </w:r>
      <w:r w:rsidRPr="005E559B">
        <w:rPr>
          <w:rFonts w:cstheme="minorHAnsi"/>
          <w:i/>
          <w:sz w:val="20"/>
          <w:szCs w:val="20"/>
          <w:lang w:val="fr-FR"/>
        </w:rPr>
        <w:t>Feuille Fédérale</w:t>
      </w:r>
      <w:r w:rsidRPr="005E559B">
        <w:rPr>
          <w:rFonts w:cstheme="minorHAnsi"/>
          <w:sz w:val="20"/>
          <w:szCs w:val="20"/>
          <w:lang w:val="fr-FR"/>
        </w:rPr>
        <w:t>, 10 September 1985, II, p. 1045</w:t>
      </w:r>
    </w:p>
  </w:footnote>
  <w:footnote w:id="6">
    <w:p w14:paraId="5D34F264"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lang w:val="fr-FR"/>
        </w:rPr>
        <w:t xml:space="preserve"> “Message concernant la modification du code penal et du code penal militaire (Infractions contre la vie et l’intégrité corporelle, les mœurs et la famille) du 26 juin 1985”, </w:t>
      </w:r>
      <w:r w:rsidRPr="005E559B">
        <w:rPr>
          <w:rFonts w:cstheme="minorHAnsi"/>
          <w:i/>
          <w:sz w:val="20"/>
          <w:szCs w:val="20"/>
          <w:lang w:val="fr-FR"/>
        </w:rPr>
        <w:t>Feuille Fédérale</w:t>
      </w:r>
      <w:r w:rsidRPr="005E559B">
        <w:rPr>
          <w:rFonts w:cstheme="minorHAnsi"/>
          <w:sz w:val="20"/>
          <w:szCs w:val="20"/>
          <w:lang w:val="fr-FR"/>
        </w:rPr>
        <w:t>, 10 September 1985, II, p. 1046</w:t>
      </w:r>
    </w:p>
  </w:footnote>
  <w:footnote w:id="7">
    <w:p w14:paraId="5343DA9E"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5 June 2003, ATF 129 IV 216ss, quoted in </w:t>
      </w:r>
      <w:r w:rsidRPr="005E559B">
        <w:rPr>
          <w:rFonts w:eastAsia="Calibri" w:cstheme="minorHAnsi"/>
          <w:sz w:val="20"/>
          <w:szCs w:val="20"/>
        </w:rPr>
        <w:t>30 October 2013, CRC/C/CHE/2-4, Second-fourth state party report, para. 161</w:t>
      </w:r>
    </w:p>
  </w:footnote>
  <w:footnote w:id="8">
    <w:p w14:paraId="6D26B5A3"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5 March 2013, A/HRC/22/11/Add.1, Report of the working group: Addendum, para. 123(81)</w:t>
      </w:r>
    </w:p>
  </w:footnote>
  <w:footnote w:id="9">
    <w:p w14:paraId="0113310B"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For example, see 3 March 2010, CAT/C/CHE/Q/6/Add.1, Reply to list of issues, para. 135; 6 August 2012, A/HRC/WG.6/14/CHE/1, National report to the UPR, para. 28; 28 May 2008, A/HRC/8/41, Report of the working group, paras. 8 and 55; 30 October 2013, CRC/C/CHE/2-4, Second-fourth state party report, para. 159; </w:t>
      </w:r>
      <w:r w:rsidRPr="005E559B">
        <w:rPr>
          <w:rFonts w:eastAsia="Calibri" w:cstheme="minorHAnsi"/>
          <w:sz w:val="20"/>
          <w:szCs w:val="20"/>
        </w:rPr>
        <w:t>30 October 2013, CRC/C/CHE/2-4, Second-fourth state party report, paras. 159ff; 29 August 2014, CAT/C/CHE/7, Seventh state party report, para. 140</w:t>
      </w:r>
    </w:p>
  </w:footnote>
  <w:footnote w:id="10">
    <w:p w14:paraId="584D2C2A"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5 March 2013, A/HRC/22/11/Add.1, Report of the working group: Addendum, para. 123(81)</w:t>
      </w:r>
    </w:p>
  </w:footnote>
  <w:footnote w:id="11">
    <w:p w14:paraId="23A437CE"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29 December 2017, A/HRC/37/12, Report of the working group, paras. 146(103) and 148(61)</w:t>
      </w:r>
    </w:p>
  </w:footnote>
  <w:footnote w:id="12">
    <w:p w14:paraId="6DFD9208"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r w:rsidRPr="005E559B">
        <w:rPr>
          <w:rFonts w:eastAsia="Calibri" w:cstheme="minorHAnsi"/>
          <w:sz w:val="20"/>
          <w:szCs w:val="20"/>
        </w:rPr>
        <w:t>29 August 2014, CAT/C/CHE/7, Seventh state party report, para. 140</w:t>
      </w:r>
    </w:p>
  </w:footnote>
  <w:footnote w:id="13">
    <w:p w14:paraId="33D81F96"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hyperlink r:id="rId1" w:history="1">
        <w:r w:rsidRPr="005E559B">
          <w:rPr>
            <w:rStyle w:val="Hyperlink"/>
            <w:rFonts w:cstheme="minorHAnsi"/>
            <w:sz w:val="20"/>
            <w:szCs w:val="20"/>
          </w:rPr>
          <w:t>http://www.parlament.ch/e/suche/pages/geschaefte.aspx?gesch_id=20133156</w:t>
        </w:r>
      </w:hyperlink>
      <w:r w:rsidRPr="005E559B">
        <w:rPr>
          <w:rFonts w:cstheme="minorHAnsi"/>
          <w:sz w:val="20"/>
          <w:szCs w:val="20"/>
        </w:rPr>
        <w:t xml:space="preserve"> and </w:t>
      </w:r>
      <w:hyperlink r:id="rId2" w:history="1">
        <w:r w:rsidRPr="005E559B">
          <w:rPr>
            <w:rStyle w:val="Hyperlink"/>
            <w:rFonts w:cstheme="minorHAnsi"/>
            <w:sz w:val="20"/>
            <w:szCs w:val="20"/>
          </w:rPr>
          <w:t>http://www.parlament.ch/ab/frameset/d/n/4914/440929/d_n_4914_440929_441221.htm</w:t>
        </w:r>
      </w:hyperlink>
      <w:r w:rsidRPr="005E559B">
        <w:rPr>
          <w:rFonts w:cstheme="minorHAnsi"/>
          <w:sz w:val="20"/>
          <w:szCs w:val="20"/>
        </w:rPr>
        <w:t>, accessed 20 February 2015</w:t>
      </w:r>
    </w:p>
  </w:footnote>
  <w:footnote w:id="14">
    <w:p w14:paraId="05409FE0"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r w:rsidRPr="005E559B">
        <w:rPr>
          <w:rFonts w:eastAsia="Calibri" w:cstheme="minorHAnsi"/>
          <w:sz w:val="20"/>
          <w:szCs w:val="20"/>
        </w:rPr>
        <w:t>14 November 2014, CRC/C/CHE/Q/2-4/Add.1, Reply to list of issues, para. 51</w:t>
      </w:r>
    </w:p>
  </w:footnote>
  <w:footnote w:id="15">
    <w:p w14:paraId="1B421ACF"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r w:rsidRPr="005E559B">
        <w:rPr>
          <w:rFonts w:eastAsia="Calibri" w:cstheme="minorHAnsi"/>
          <w:sz w:val="20"/>
          <w:szCs w:val="20"/>
        </w:rPr>
        <w:t>29 August 2014, CAT/C/CHE/7, Seventh state party report, paras. 142 and 143</w:t>
      </w:r>
    </w:p>
  </w:footnote>
  <w:footnote w:id="16">
    <w:p w14:paraId="520B4726"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16 June 2016, CEDAW/C/CHE/Q/4-5/Add.1, Reply to the list of issues on fourth/fifth report, para. 11.2</w:t>
      </w:r>
    </w:p>
  </w:footnote>
  <w:footnote w:id="17">
    <w:p w14:paraId="15B54F61"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hyperlink r:id="rId3" w:history="1">
        <w:r w:rsidRPr="005E559B">
          <w:rPr>
            <w:rStyle w:val="Hyperlink"/>
            <w:rFonts w:cstheme="minorHAnsi"/>
            <w:sz w:val="20"/>
            <w:szCs w:val="20"/>
          </w:rPr>
          <w:t>https://www.parlament.ch/en/ratsbetrieb/suche-curia-vista/geschaeft?AffairId=20153639</w:t>
        </w:r>
      </w:hyperlink>
      <w:r w:rsidRPr="005E559B">
        <w:rPr>
          <w:rFonts w:cstheme="minorHAnsi"/>
          <w:sz w:val="20"/>
          <w:szCs w:val="20"/>
        </w:rPr>
        <w:t>, in French, accessed 12 May 2017</w:t>
      </w:r>
    </w:p>
  </w:footnote>
  <w:footnote w:id="18">
    <w:p w14:paraId="67B2F628" w14:textId="77777777" w:rsidR="003A617D" w:rsidRPr="005E559B" w:rsidRDefault="003A617D" w:rsidP="003A617D">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w:t>
      </w:r>
      <w:hyperlink r:id="rId4" w:history="1">
        <w:r w:rsidRPr="005E559B">
          <w:rPr>
            <w:rStyle w:val="Hyperlink"/>
            <w:rFonts w:cstheme="minorHAnsi"/>
            <w:sz w:val="20"/>
            <w:szCs w:val="20"/>
          </w:rPr>
          <w:t>https://www.parlament.ch/fr/ratsbetrieb/suche-curia-vista/geschaeft?AffairId=20183603</w:t>
        </w:r>
      </w:hyperlink>
      <w:r w:rsidRPr="005E559B">
        <w:rPr>
          <w:rFonts w:cstheme="minorHAnsi"/>
          <w:sz w:val="20"/>
          <w:szCs w:val="20"/>
        </w:rPr>
        <w:t>, accessed 26 June 2019</w:t>
      </w:r>
    </w:p>
  </w:footnote>
  <w:footnote w:id="19">
    <w:p w14:paraId="695AE77B" w14:textId="77777777" w:rsidR="003A617D" w:rsidRPr="005E559B" w:rsidRDefault="003A617D" w:rsidP="003A617D">
      <w:pPr>
        <w:pStyle w:val="FootnoteText"/>
        <w:rPr>
          <w:rFonts w:cstheme="minorHAnsi"/>
          <w:sz w:val="20"/>
          <w:szCs w:val="20"/>
          <w:lang w:val="en-GB"/>
        </w:rPr>
      </w:pPr>
      <w:r w:rsidRPr="005E559B">
        <w:rPr>
          <w:rStyle w:val="FootnoteReference"/>
          <w:rFonts w:cstheme="minorHAnsi"/>
          <w:sz w:val="20"/>
          <w:szCs w:val="20"/>
        </w:rPr>
        <w:footnoteRef/>
      </w:r>
      <w:r w:rsidRPr="005E559B">
        <w:rPr>
          <w:rFonts w:cstheme="minorHAnsi"/>
          <w:sz w:val="20"/>
          <w:szCs w:val="20"/>
          <w:lang w:val="en-GB"/>
        </w:rPr>
        <w:t xml:space="preserve"> </w:t>
      </w:r>
      <w:r w:rsidRPr="005E559B">
        <w:rPr>
          <w:rFonts w:cstheme="minorHAnsi"/>
          <w:iCs/>
          <w:sz w:val="20"/>
          <w:szCs w:val="20"/>
          <w:lang w:val="en-GB"/>
        </w:rPr>
        <w:t>7 June 2002, CRC/C/15/Add.182, Concluding observations on initial report, paras. 32 and 33</w:t>
      </w:r>
    </w:p>
  </w:footnote>
  <w:footnote w:id="20">
    <w:p w14:paraId="5F6F4581" w14:textId="77777777" w:rsidR="003A617D" w:rsidRPr="005E559B" w:rsidRDefault="003A617D" w:rsidP="003A617D">
      <w:pPr>
        <w:pStyle w:val="FootnoteText"/>
        <w:rPr>
          <w:rFonts w:cstheme="minorHAnsi"/>
          <w:sz w:val="20"/>
          <w:szCs w:val="20"/>
          <w:lang w:val="en-GB"/>
        </w:rPr>
      </w:pPr>
      <w:r w:rsidRPr="005E559B">
        <w:rPr>
          <w:rStyle w:val="FootnoteReference"/>
          <w:rFonts w:cstheme="minorHAnsi"/>
          <w:sz w:val="20"/>
          <w:szCs w:val="20"/>
        </w:rPr>
        <w:footnoteRef/>
      </w:r>
      <w:r w:rsidRPr="005E559B">
        <w:rPr>
          <w:rFonts w:cstheme="minorHAnsi"/>
          <w:sz w:val="20"/>
          <w:szCs w:val="20"/>
          <w:lang w:val="en-GB"/>
        </w:rPr>
        <w:t xml:space="preserve"> </w:t>
      </w:r>
      <w:r w:rsidRPr="005E559B">
        <w:rPr>
          <w:rFonts w:eastAsia="Calibri" w:cstheme="minorHAnsi"/>
          <w:color w:val="000000"/>
          <w:sz w:val="20"/>
          <w:szCs w:val="20"/>
          <w:lang w:eastAsia="en-GB"/>
        </w:rPr>
        <w:t>4 February 2015, CRC/C/CHE/CO/2-4 Advance Unedited Version, Concluding observations on second-fourth report, paras. 38 and 39</w:t>
      </w:r>
    </w:p>
  </w:footnote>
  <w:footnote w:id="21">
    <w:p w14:paraId="4ACA4E50" w14:textId="77777777" w:rsidR="003A617D" w:rsidRPr="005E559B" w:rsidRDefault="003A617D" w:rsidP="003A617D">
      <w:pPr>
        <w:pStyle w:val="FootnoteText"/>
        <w:rPr>
          <w:rFonts w:cstheme="minorHAnsi"/>
          <w:sz w:val="20"/>
          <w:szCs w:val="20"/>
          <w:lang w:val="en-GB"/>
        </w:rPr>
      </w:pPr>
      <w:r w:rsidRPr="005E559B">
        <w:rPr>
          <w:rStyle w:val="FootnoteReference"/>
          <w:rFonts w:cstheme="minorHAnsi"/>
          <w:sz w:val="20"/>
          <w:szCs w:val="20"/>
        </w:rPr>
        <w:footnoteRef/>
      </w:r>
      <w:r w:rsidRPr="005E559B">
        <w:rPr>
          <w:rFonts w:cstheme="minorHAnsi"/>
          <w:sz w:val="20"/>
          <w:szCs w:val="20"/>
          <w:lang w:val="en-GB"/>
        </w:rPr>
        <w:t xml:space="preserve"> 25 May 2010, CAT/C/CHE/CO/6, Concluding observations on sixth report, para. 23</w:t>
      </w:r>
    </w:p>
  </w:footnote>
  <w:footnote w:id="22">
    <w:p w14:paraId="4E2B34D8" w14:textId="77777777" w:rsidR="003A617D" w:rsidRPr="005E559B" w:rsidRDefault="003A617D" w:rsidP="003A617D">
      <w:pPr>
        <w:pStyle w:val="FootnoteText"/>
        <w:rPr>
          <w:rFonts w:cstheme="minorHAnsi"/>
          <w:sz w:val="20"/>
          <w:szCs w:val="20"/>
          <w:lang w:val="en-GB"/>
        </w:rPr>
      </w:pPr>
      <w:r w:rsidRPr="005E559B">
        <w:rPr>
          <w:rStyle w:val="FootnoteReference"/>
          <w:rFonts w:cstheme="minorHAnsi"/>
          <w:sz w:val="20"/>
          <w:szCs w:val="20"/>
        </w:rPr>
        <w:footnoteRef/>
      </w:r>
      <w:r w:rsidRPr="005E559B">
        <w:rPr>
          <w:rFonts w:cstheme="minorHAnsi"/>
          <w:sz w:val="20"/>
          <w:szCs w:val="20"/>
          <w:lang w:val="en-GB"/>
        </w:rPr>
        <w:t xml:space="preserve"> </w:t>
      </w:r>
      <w:r w:rsidRPr="005E559B">
        <w:rPr>
          <w:rFonts w:eastAsia="Calibri" w:cstheme="minorHAnsi"/>
          <w:bCs/>
          <w:sz w:val="20"/>
          <w:szCs w:val="20"/>
          <w:lang w:val="en-GB"/>
        </w:rPr>
        <w:t>25 August 2008, A/HRC/8/41/Add.1, Report of the working group: Addendum, para. 25</w:t>
      </w:r>
    </w:p>
  </w:footnote>
  <w:footnote w:id="23">
    <w:p w14:paraId="6A971DE1" w14:textId="77777777" w:rsidR="003A617D" w:rsidRPr="005E559B" w:rsidRDefault="003A617D" w:rsidP="003A617D">
      <w:pPr>
        <w:pStyle w:val="FootnoteText"/>
        <w:rPr>
          <w:rFonts w:cstheme="minorHAnsi"/>
          <w:sz w:val="20"/>
          <w:szCs w:val="20"/>
          <w:lang w:val="fr-FR"/>
        </w:rPr>
      </w:pPr>
      <w:r w:rsidRPr="005E559B">
        <w:rPr>
          <w:rStyle w:val="FootnoteReference"/>
          <w:rFonts w:cstheme="minorHAnsi"/>
          <w:sz w:val="20"/>
          <w:szCs w:val="20"/>
        </w:rPr>
        <w:footnoteRef/>
      </w:r>
      <w:r w:rsidRPr="005E559B">
        <w:rPr>
          <w:rFonts w:cstheme="minorHAnsi"/>
          <w:sz w:val="20"/>
          <w:szCs w:val="20"/>
          <w:lang w:val="en-GB"/>
        </w:rPr>
        <w:t xml:space="preserve"> 5 March 2013, A/HRC/22/11/Add.1, Report of the working group: Addendum, para. </w:t>
      </w:r>
      <w:r w:rsidRPr="005E559B">
        <w:rPr>
          <w:rFonts w:cstheme="minorHAnsi"/>
          <w:sz w:val="20"/>
          <w:szCs w:val="20"/>
        </w:rPr>
        <w:t>123(81)</w:t>
      </w:r>
    </w:p>
  </w:footnote>
  <w:footnote w:id="24">
    <w:p w14:paraId="10B1BB11" w14:textId="77777777" w:rsidR="00C25EB7" w:rsidRPr="005E559B" w:rsidRDefault="00C25EB7" w:rsidP="00C25EB7">
      <w:pPr>
        <w:pStyle w:val="FootnoteText"/>
        <w:rPr>
          <w:rFonts w:cstheme="minorHAnsi"/>
          <w:sz w:val="20"/>
          <w:szCs w:val="20"/>
        </w:rPr>
      </w:pPr>
      <w:r w:rsidRPr="005E559B">
        <w:rPr>
          <w:rStyle w:val="FootnoteReference"/>
          <w:rFonts w:cstheme="minorHAnsi"/>
          <w:sz w:val="20"/>
          <w:szCs w:val="20"/>
        </w:rPr>
        <w:footnoteRef/>
      </w:r>
      <w:r w:rsidRPr="005E559B">
        <w:rPr>
          <w:rFonts w:cstheme="minorHAnsi"/>
          <w:sz w:val="20"/>
          <w:szCs w:val="20"/>
        </w:rPr>
        <w:t xml:space="preserve"> 29 December 2017, A/HRC/37/12, Report of the working group, paras. 146(103) and 148(61)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465D"/>
    <w:rsid w:val="00004F12"/>
    <w:rsid w:val="0000655D"/>
    <w:rsid w:val="00015B33"/>
    <w:rsid w:val="000172B9"/>
    <w:rsid w:val="00023216"/>
    <w:rsid w:val="000237D5"/>
    <w:rsid w:val="0004463B"/>
    <w:rsid w:val="00046414"/>
    <w:rsid w:val="00051B7A"/>
    <w:rsid w:val="00052D37"/>
    <w:rsid w:val="00056533"/>
    <w:rsid w:val="000565BC"/>
    <w:rsid w:val="000617BA"/>
    <w:rsid w:val="000873B5"/>
    <w:rsid w:val="00090EC6"/>
    <w:rsid w:val="000A0795"/>
    <w:rsid w:val="000B1213"/>
    <w:rsid w:val="000D6F69"/>
    <w:rsid w:val="000F2F81"/>
    <w:rsid w:val="000F39B5"/>
    <w:rsid w:val="000F698C"/>
    <w:rsid w:val="00114FD3"/>
    <w:rsid w:val="00131E4B"/>
    <w:rsid w:val="00141559"/>
    <w:rsid w:val="00152D8E"/>
    <w:rsid w:val="00156598"/>
    <w:rsid w:val="001842FF"/>
    <w:rsid w:val="00195005"/>
    <w:rsid w:val="0019666A"/>
    <w:rsid w:val="001A344C"/>
    <w:rsid w:val="001B10D8"/>
    <w:rsid w:val="001B3A03"/>
    <w:rsid w:val="001B4A12"/>
    <w:rsid w:val="001D03EA"/>
    <w:rsid w:val="001D3761"/>
    <w:rsid w:val="00201836"/>
    <w:rsid w:val="00203D59"/>
    <w:rsid w:val="00204AFD"/>
    <w:rsid w:val="00214F8E"/>
    <w:rsid w:val="00215892"/>
    <w:rsid w:val="002236F2"/>
    <w:rsid w:val="00225BDF"/>
    <w:rsid w:val="00245511"/>
    <w:rsid w:val="00250435"/>
    <w:rsid w:val="00254D04"/>
    <w:rsid w:val="0025528E"/>
    <w:rsid w:val="0026613A"/>
    <w:rsid w:val="00281DCE"/>
    <w:rsid w:val="00286205"/>
    <w:rsid w:val="002A4484"/>
    <w:rsid w:val="002A4758"/>
    <w:rsid w:val="002A573D"/>
    <w:rsid w:val="002C1788"/>
    <w:rsid w:val="002D1829"/>
    <w:rsid w:val="002E528B"/>
    <w:rsid w:val="002E5F76"/>
    <w:rsid w:val="00305B3A"/>
    <w:rsid w:val="0032457A"/>
    <w:rsid w:val="00324CD5"/>
    <w:rsid w:val="00324DCB"/>
    <w:rsid w:val="003265C9"/>
    <w:rsid w:val="003327C9"/>
    <w:rsid w:val="00332931"/>
    <w:rsid w:val="00351A23"/>
    <w:rsid w:val="003533B0"/>
    <w:rsid w:val="003540FB"/>
    <w:rsid w:val="0036069B"/>
    <w:rsid w:val="00372F53"/>
    <w:rsid w:val="00385162"/>
    <w:rsid w:val="003866C0"/>
    <w:rsid w:val="00386703"/>
    <w:rsid w:val="00397CE1"/>
    <w:rsid w:val="003A617D"/>
    <w:rsid w:val="003A7E00"/>
    <w:rsid w:val="003B0DDD"/>
    <w:rsid w:val="003B7EB7"/>
    <w:rsid w:val="003C36EB"/>
    <w:rsid w:val="003F1E3C"/>
    <w:rsid w:val="00425DEE"/>
    <w:rsid w:val="00425E71"/>
    <w:rsid w:val="004508A3"/>
    <w:rsid w:val="004512B2"/>
    <w:rsid w:val="0045274A"/>
    <w:rsid w:val="00455F1B"/>
    <w:rsid w:val="00466383"/>
    <w:rsid w:val="00473638"/>
    <w:rsid w:val="00474522"/>
    <w:rsid w:val="004A2DB2"/>
    <w:rsid w:val="004D437A"/>
    <w:rsid w:val="004F144F"/>
    <w:rsid w:val="004F220E"/>
    <w:rsid w:val="0052090F"/>
    <w:rsid w:val="00524A05"/>
    <w:rsid w:val="00531EC6"/>
    <w:rsid w:val="00536734"/>
    <w:rsid w:val="00540A13"/>
    <w:rsid w:val="00556CCC"/>
    <w:rsid w:val="00557F21"/>
    <w:rsid w:val="005677EF"/>
    <w:rsid w:val="005A3967"/>
    <w:rsid w:val="005B69F3"/>
    <w:rsid w:val="005C211E"/>
    <w:rsid w:val="005C4EF7"/>
    <w:rsid w:val="005D5362"/>
    <w:rsid w:val="005E559B"/>
    <w:rsid w:val="005F08A2"/>
    <w:rsid w:val="005F3DB9"/>
    <w:rsid w:val="006040E0"/>
    <w:rsid w:val="0063656C"/>
    <w:rsid w:val="00647F27"/>
    <w:rsid w:val="00651BC7"/>
    <w:rsid w:val="0065239D"/>
    <w:rsid w:val="00674B20"/>
    <w:rsid w:val="00690E23"/>
    <w:rsid w:val="006B2D0D"/>
    <w:rsid w:val="006C1D33"/>
    <w:rsid w:val="006D7815"/>
    <w:rsid w:val="006E09F7"/>
    <w:rsid w:val="006E6DAE"/>
    <w:rsid w:val="00727862"/>
    <w:rsid w:val="00732217"/>
    <w:rsid w:val="00734B3D"/>
    <w:rsid w:val="007436D7"/>
    <w:rsid w:val="00757738"/>
    <w:rsid w:val="00770416"/>
    <w:rsid w:val="00790829"/>
    <w:rsid w:val="00794BF1"/>
    <w:rsid w:val="00797F6C"/>
    <w:rsid w:val="007B47BE"/>
    <w:rsid w:val="007D2134"/>
    <w:rsid w:val="007E0A38"/>
    <w:rsid w:val="008029FD"/>
    <w:rsid w:val="00811653"/>
    <w:rsid w:val="00814471"/>
    <w:rsid w:val="00814891"/>
    <w:rsid w:val="00841CF2"/>
    <w:rsid w:val="00853D56"/>
    <w:rsid w:val="00856996"/>
    <w:rsid w:val="00875929"/>
    <w:rsid w:val="008970CB"/>
    <w:rsid w:val="008E13C7"/>
    <w:rsid w:val="008F7BE9"/>
    <w:rsid w:val="00903511"/>
    <w:rsid w:val="009069DB"/>
    <w:rsid w:val="00940E4C"/>
    <w:rsid w:val="0094143B"/>
    <w:rsid w:val="009859AD"/>
    <w:rsid w:val="009A0870"/>
    <w:rsid w:val="009A5718"/>
    <w:rsid w:val="009B1E5D"/>
    <w:rsid w:val="009C550F"/>
    <w:rsid w:val="009D3BAB"/>
    <w:rsid w:val="009D3E63"/>
    <w:rsid w:val="009D7A6C"/>
    <w:rsid w:val="00A05C58"/>
    <w:rsid w:val="00A15144"/>
    <w:rsid w:val="00A32F32"/>
    <w:rsid w:val="00A363CE"/>
    <w:rsid w:val="00A40C54"/>
    <w:rsid w:val="00A611AF"/>
    <w:rsid w:val="00A91F0C"/>
    <w:rsid w:val="00A9391B"/>
    <w:rsid w:val="00A970EF"/>
    <w:rsid w:val="00AA4FCB"/>
    <w:rsid w:val="00AA532A"/>
    <w:rsid w:val="00AC7CDC"/>
    <w:rsid w:val="00AC7D57"/>
    <w:rsid w:val="00AE3311"/>
    <w:rsid w:val="00AE3BB2"/>
    <w:rsid w:val="00AF2C81"/>
    <w:rsid w:val="00B20BB9"/>
    <w:rsid w:val="00B23F56"/>
    <w:rsid w:val="00B301D6"/>
    <w:rsid w:val="00B40B2F"/>
    <w:rsid w:val="00B47068"/>
    <w:rsid w:val="00B676BC"/>
    <w:rsid w:val="00B70DC0"/>
    <w:rsid w:val="00B845E3"/>
    <w:rsid w:val="00BA376C"/>
    <w:rsid w:val="00BA61BD"/>
    <w:rsid w:val="00BB1216"/>
    <w:rsid w:val="00BD71D0"/>
    <w:rsid w:val="00BE33FC"/>
    <w:rsid w:val="00BF1440"/>
    <w:rsid w:val="00C0306B"/>
    <w:rsid w:val="00C05E9C"/>
    <w:rsid w:val="00C125AA"/>
    <w:rsid w:val="00C20AF6"/>
    <w:rsid w:val="00C25EB7"/>
    <w:rsid w:val="00C2735A"/>
    <w:rsid w:val="00C35902"/>
    <w:rsid w:val="00C45C75"/>
    <w:rsid w:val="00C52C22"/>
    <w:rsid w:val="00CB20E2"/>
    <w:rsid w:val="00CE1235"/>
    <w:rsid w:val="00CE1B73"/>
    <w:rsid w:val="00CF1067"/>
    <w:rsid w:val="00CF3135"/>
    <w:rsid w:val="00D12CEF"/>
    <w:rsid w:val="00D16D07"/>
    <w:rsid w:val="00D35AC7"/>
    <w:rsid w:val="00D43755"/>
    <w:rsid w:val="00D538F1"/>
    <w:rsid w:val="00D56728"/>
    <w:rsid w:val="00D759F5"/>
    <w:rsid w:val="00D86145"/>
    <w:rsid w:val="00DB18C0"/>
    <w:rsid w:val="00DC6F45"/>
    <w:rsid w:val="00DE21DA"/>
    <w:rsid w:val="00DF1532"/>
    <w:rsid w:val="00DF3F48"/>
    <w:rsid w:val="00E04488"/>
    <w:rsid w:val="00E16457"/>
    <w:rsid w:val="00E16FEA"/>
    <w:rsid w:val="00E170A5"/>
    <w:rsid w:val="00E170C0"/>
    <w:rsid w:val="00E43E05"/>
    <w:rsid w:val="00E45B78"/>
    <w:rsid w:val="00E5444D"/>
    <w:rsid w:val="00E96D9F"/>
    <w:rsid w:val="00EA1767"/>
    <w:rsid w:val="00EA1E17"/>
    <w:rsid w:val="00ED5BC1"/>
    <w:rsid w:val="00F13827"/>
    <w:rsid w:val="00F349A9"/>
    <w:rsid w:val="00F46740"/>
    <w:rsid w:val="00F7165B"/>
    <w:rsid w:val="00F73E20"/>
    <w:rsid w:val="00F77961"/>
    <w:rsid w:val="00F8168C"/>
    <w:rsid w:val="00F86275"/>
    <w:rsid w:val="00FA5B0D"/>
    <w:rsid w:val="00FA74E2"/>
    <w:rsid w:val="00FB34F5"/>
    <w:rsid w:val="00FB3CB7"/>
    <w:rsid w:val="00FB488D"/>
    <w:rsid w:val="00FE12B6"/>
    <w:rsid w:val="00FE48B8"/>
    <w:rsid w:val="00FF57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
    <w:name w:val="Unresolved Mention"/>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524102539">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435591274">
      <w:bodyDiv w:val="1"/>
      <w:marLeft w:val="0"/>
      <w:marRight w:val="0"/>
      <w:marTop w:val="0"/>
      <w:marBottom w:val="0"/>
      <w:divBdr>
        <w:top w:val="none" w:sz="0" w:space="0" w:color="auto"/>
        <w:left w:val="none" w:sz="0" w:space="0" w:color="auto"/>
        <w:bottom w:val="none" w:sz="0" w:space="0" w:color="auto"/>
        <w:right w:val="none" w:sz="0" w:space="0" w:color="auto"/>
      </w:divBdr>
    </w:div>
    <w:div w:id="1669670610">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arlament.ch/en/ratsbetrieb/suche-curia-vista/geschaeft?AffairId=20153639" TargetMode="External"/><Relationship Id="rId2" Type="http://schemas.openxmlformats.org/officeDocument/2006/relationships/hyperlink" Target="http://www.parlament.ch/ab/frameset/d/n/4914/440929/d_n_4914_440929_441221.htm" TargetMode="External"/><Relationship Id="rId1" Type="http://schemas.openxmlformats.org/officeDocument/2006/relationships/hyperlink" Target="http://www.parlament.ch/e/suche/pages/geschaefte.aspx?gesch_id=20133156" TargetMode="External"/><Relationship Id="rId4" Type="http://schemas.openxmlformats.org/officeDocument/2006/relationships/hyperlink" Target="https://www.parlament.ch/fr/ratsbetrieb/suche-curia-vista/geschaeft?AffairId=20183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A8E743-5EA3-412A-88CC-1358552C3712}"/>
</file>

<file path=customXml/itemProps2.xml><?xml version="1.0" encoding="utf-8"?>
<ds:datastoreItem xmlns:ds="http://schemas.openxmlformats.org/officeDocument/2006/customXml" ds:itemID="{DF935CC0-8409-4B14-8F63-9016C3DD86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4.xml><?xml version="1.0" encoding="utf-8"?>
<ds:datastoreItem xmlns:ds="http://schemas.openxmlformats.org/officeDocument/2006/customXml" ds:itemID="{10B8A3E3-F909-4761-AC2E-E05737A86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Eloise Di Gianni</cp:lastModifiedBy>
  <cp:revision>70</cp:revision>
  <dcterms:created xsi:type="dcterms:W3CDTF">2016-01-21T13:24:00Z</dcterms:created>
  <dcterms:modified xsi:type="dcterms:W3CDTF">2019-09-30T09:46:00Z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