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52F" w:rsidRPr="006C73D0" w:rsidRDefault="0058552F" w:rsidP="0058552F">
      <w:pPr>
        <w:pStyle w:val="HChG"/>
        <w:rPr>
          <w:sz w:val="24"/>
        </w:rPr>
      </w:pPr>
      <w:bookmarkStart w:id="0" w:name="_GoBack"/>
      <w:bookmarkEnd w:id="0"/>
      <w:r w:rsidRPr="006C73D0">
        <w:rPr>
          <w:bCs/>
          <w:sz w:val="20"/>
          <w:szCs w:val="24"/>
        </w:rPr>
        <w:t xml:space="preserve">ANNEX 1 - </w:t>
      </w:r>
      <w:r w:rsidRPr="006C73D0">
        <w:rPr>
          <w:bCs/>
          <w:sz w:val="20"/>
          <w:szCs w:val="24"/>
        </w:rPr>
        <w:tab/>
      </w:r>
      <w:r w:rsidRPr="006C73D0">
        <w:rPr>
          <w:sz w:val="24"/>
        </w:rPr>
        <w:t>Tokelau</w:t>
      </w:r>
    </w:p>
    <w:p w:rsidR="0058552F" w:rsidRPr="006C73D0" w:rsidRDefault="0058552F" w:rsidP="0058552F">
      <w:pPr>
        <w:pStyle w:val="HChG"/>
        <w:rPr>
          <w:sz w:val="24"/>
        </w:rPr>
      </w:pPr>
      <w:r w:rsidRPr="006C73D0">
        <w:rPr>
          <w:sz w:val="24"/>
        </w:rPr>
        <w:t>Tokelau</w:t>
      </w:r>
    </w:p>
    <w:p w:rsidR="0058552F" w:rsidRPr="006C73D0" w:rsidRDefault="0058552F" w:rsidP="0058552F">
      <w:pPr>
        <w:pStyle w:val="HChG"/>
        <w:rPr>
          <w:sz w:val="24"/>
        </w:rPr>
      </w:pPr>
      <w:bookmarkStart w:id="1" w:name="_Toc216772774"/>
      <w:r w:rsidRPr="006C73D0">
        <w:rPr>
          <w:sz w:val="24"/>
        </w:rPr>
        <w:t>I.</w:t>
      </w:r>
      <w:r w:rsidRPr="006C73D0">
        <w:rPr>
          <w:sz w:val="24"/>
        </w:rPr>
        <w:tab/>
        <w:t>Introduction</w:t>
      </w:r>
      <w:bookmarkEnd w:id="1"/>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As already stated above, New Zealand ratified the International Covenant on Economic, Social and Cultural Rights on 28 December 1978 and it entered into force for New Zealand on 28 March 1979. New Zealand’s ratification also applied to Tokelau. The present information covers implementation of the Covenant with regard to Tokelau from 2008 to 2017. It should be read in conjunction with New Zealand’s Fifth and Sixth Periodic Reports under the International Covenant on Civil and Political Rights.</w:t>
      </w:r>
    </w:p>
    <w:p w:rsidR="0058552F" w:rsidRPr="006C73D0" w:rsidRDefault="0058552F" w:rsidP="0058552F">
      <w:pPr>
        <w:pStyle w:val="HChG"/>
        <w:rPr>
          <w:sz w:val="24"/>
        </w:rPr>
      </w:pPr>
      <w:bookmarkStart w:id="2" w:name="_Toc216772775"/>
      <w:r w:rsidRPr="006C73D0">
        <w:rPr>
          <w:sz w:val="24"/>
        </w:rPr>
        <w:t>II.</w:t>
      </w:r>
      <w:r w:rsidRPr="006C73D0">
        <w:rPr>
          <w:sz w:val="24"/>
        </w:rPr>
        <w:tab/>
        <w:t>General</w:t>
      </w:r>
      <w:bookmarkEnd w:id="2"/>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Some updated figures for this reporting period include:</w:t>
      </w:r>
    </w:p>
    <w:p w:rsidR="0058552F" w:rsidRPr="006C73D0" w:rsidRDefault="0058552F" w:rsidP="0058552F">
      <w:pPr>
        <w:pStyle w:val="ListParagraph"/>
        <w:numPr>
          <w:ilvl w:val="1"/>
          <w:numId w:val="9"/>
        </w:numPr>
        <w:spacing w:after="240" w:line="240" w:lineRule="auto"/>
        <w:jc w:val="both"/>
        <w:rPr>
          <w:rFonts w:ascii="Times New Roman" w:hAnsi="Times New Roman" w:cs="Times New Roman"/>
          <w:sz w:val="20"/>
          <w:szCs w:val="24"/>
        </w:rPr>
      </w:pPr>
      <w:r w:rsidRPr="006C73D0">
        <w:rPr>
          <w:rFonts w:ascii="Times New Roman" w:hAnsi="Times New Roman" w:cs="Times New Roman"/>
          <w:sz w:val="20"/>
          <w:szCs w:val="24"/>
        </w:rPr>
        <w:t>The population of Tokelau was counted as 1,499 in the 2016 census</w:t>
      </w:r>
    </w:p>
    <w:p w:rsidR="0058552F" w:rsidRPr="006C73D0" w:rsidRDefault="0058552F" w:rsidP="0058552F">
      <w:pPr>
        <w:pStyle w:val="ListParagraph"/>
        <w:numPr>
          <w:ilvl w:val="1"/>
          <w:numId w:val="9"/>
        </w:numPr>
        <w:spacing w:after="240" w:line="240" w:lineRule="auto"/>
        <w:jc w:val="both"/>
        <w:rPr>
          <w:rFonts w:ascii="Times New Roman" w:hAnsi="Times New Roman" w:cs="Times New Roman"/>
          <w:sz w:val="20"/>
          <w:szCs w:val="24"/>
        </w:rPr>
      </w:pPr>
      <w:r w:rsidRPr="006C73D0">
        <w:rPr>
          <w:rFonts w:ascii="Times New Roman" w:hAnsi="Times New Roman" w:cs="Times New Roman"/>
          <w:sz w:val="20"/>
          <w:szCs w:val="24"/>
        </w:rPr>
        <w:t>Tokelau’s economy is dominated by economic assistance from New Zealand and fisheries revenue</w:t>
      </w:r>
      <w:r w:rsidRPr="006C73D0">
        <w:rPr>
          <w:rFonts w:ascii="Times New Roman" w:hAnsi="Times New Roman" w:cs="Times New Roman"/>
          <w:sz w:val="18"/>
        </w:rPr>
        <w:t xml:space="preserve"> </w:t>
      </w:r>
      <w:r w:rsidRPr="006C73D0">
        <w:rPr>
          <w:rFonts w:ascii="Times New Roman" w:hAnsi="Times New Roman" w:cs="Times New Roman"/>
          <w:sz w:val="20"/>
          <w:szCs w:val="24"/>
        </w:rPr>
        <w:t>(US$13.5m in the 2016 fishing year). For the 2015/16 financial year, New Zealand’s total assistance to Tokelau was approximately $NZ16.3 million. New Zealand works closely with Tokelau to maximize the revenue Tokelau can generate from fisheries</w:t>
      </w:r>
    </w:p>
    <w:p w:rsidR="0058552F" w:rsidRPr="006C73D0" w:rsidRDefault="0058552F" w:rsidP="0058552F">
      <w:pPr>
        <w:pStyle w:val="ListParagraph"/>
        <w:numPr>
          <w:ilvl w:val="1"/>
          <w:numId w:val="9"/>
        </w:numPr>
        <w:spacing w:after="240" w:line="240" w:lineRule="auto"/>
        <w:jc w:val="both"/>
        <w:rPr>
          <w:rFonts w:ascii="Times New Roman" w:hAnsi="Times New Roman" w:cs="Times New Roman"/>
          <w:sz w:val="20"/>
          <w:szCs w:val="24"/>
        </w:rPr>
      </w:pPr>
      <w:r w:rsidRPr="006C73D0">
        <w:rPr>
          <w:rFonts w:ascii="Times New Roman" w:hAnsi="Times New Roman" w:cs="Times New Roman"/>
          <w:sz w:val="20"/>
          <w:szCs w:val="24"/>
        </w:rPr>
        <w:t>An International Trust Fund was established in 2004 to provide Tokelau with an independent source of revenue and the value of the Fund stands at $NZ 87.44 million (31 Dec 2016).</w:t>
      </w:r>
    </w:p>
    <w:p w:rsidR="0058552F" w:rsidRPr="006C73D0" w:rsidRDefault="0058552F" w:rsidP="0058552F">
      <w:pPr>
        <w:pStyle w:val="H1G"/>
        <w:rPr>
          <w:sz w:val="20"/>
        </w:rPr>
      </w:pPr>
      <w:bookmarkStart w:id="3" w:name="_Toc216772776"/>
      <w:r w:rsidRPr="006C73D0">
        <w:rPr>
          <w:sz w:val="20"/>
        </w:rPr>
        <w:t xml:space="preserve">A. </w:t>
      </w:r>
      <w:r w:rsidRPr="006C73D0">
        <w:rPr>
          <w:sz w:val="20"/>
        </w:rPr>
        <w:tab/>
        <w:t>Constitutional programme</w:t>
      </w:r>
      <w:bookmarkEnd w:id="3"/>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As mentioned in previous reports, for the purposes of the principle of self-determination of peoples enshrined in the United Nations Charter, Tokelau is classified as a non-self-governing territory. Thus New Zealand is responsible, as a member of the United Nations, for assisting Tokelau to exercise its options of self-determination and, should it so chose, to move towards self-government. As administering power for Tokelau, New Zealand is also responsible for assisting its Government to meet the needs of the people of Tokelau.</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In 1992, Tokelau and New Zealand agreed to follow a constitutional programme which has the effect of providing Tokelau with formal powers to enable it to establish and operate its own national government. Constitutional development in Tokelau has recognised the villages as the source of administrative authority. This stands in contrast to other systems of government in the Pacific, which typically follow the Westminster model. Village affairs in Tokelau have traditionally been administered by the village councils, the Taupulega. This remains the case today. In May 2004, the powers of the Administrator in respect of Tokelau as a whole were delegated to the villages.</w:t>
      </w:r>
      <w:r w:rsidRPr="006C73D0">
        <w:rPr>
          <w:rStyle w:val="FootnoteReference"/>
          <w:rFonts w:ascii="Times New Roman" w:hAnsi="Times New Roman" w:cs="Times New Roman"/>
          <w:sz w:val="20"/>
          <w:szCs w:val="24"/>
        </w:rPr>
        <w:footnoteReference w:id="1"/>
      </w:r>
      <w:r w:rsidRPr="006C73D0">
        <w:rPr>
          <w:rFonts w:ascii="Times New Roman" w:hAnsi="Times New Roman" w:cs="Times New Roman"/>
          <w:sz w:val="20"/>
          <w:szCs w:val="24"/>
        </w:rPr>
        <w:t xml:space="preserve"> The Taupulega in turn delegated their authority in national matters to Tokelau’s national legislative/executive body, the General Fono (and, when the General Fono is not in session, to its executive committee, the Council for the Ongoing Government of Tokelau). Work is currently progressing to enhance the decision-making of the national and village governance bodies, and to strengthen the delivery of public services.</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lastRenderedPageBreak/>
        <w:t xml:space="preserve">The General Fono has had statutory authority to make Rules for the peace, order, and good government of Tokelau since 1996. Rules of the General Fono have legal effect in Tokelau. Although Rules may be disallowed by the Administrator within 30 days, the disallowance power has never been exercised. New Zealand statute law does not apply to Tokelau unless it is expressly extended to Tokelau. In practice, no New Zealand legislation is extended to Tokelau without Tokelauan consent.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Tokelau’s ability to participate in certain regional organisations in its own right is a very important aspect of its progress toward greater autonomy. Accordingly (and with New Zealand’s support), Tokelau participates fully and in its own right in regional organisations such as the Forum Fisheries Agency, the Secretariat of the Pacific Community, the South Pacific Regional Environmental Programme and the Council of the University of the South Pacific. Tokelau is also an associate member of the World Health Organisation and the United Nations Educational, Scientific, and Cultural Organisation and the Pacific Islands Forum.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On 21 November 2003, representatives of the Governments of New Zealand and Tokelau signed the Joint Statement on the Principles of Partnership between New Zealand and Tokelau. The Joint Statement sets out the medium to long-term context in which work can be carried forward on Tokelau’s constitutional and other development. The document is of a political rather than legal nature. It addresses the management of the partnership, self-determination for Tokelau, Tokelau’s language and culture, New Zealand citizenship, shared values, economic and administrative assistance, coordination of services to Tokelau, defence and security, foreign affairs, and the Tokelauan community in New Zealand.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At the same time, the General Fono also endorsed self-government in free association with New Zealand as the self-determination choice to be actively explored with the New Zealand Government. That endorsement was confirmed in October 2004 in the presence of the Chair of the United Nations Special Committee on Decolonisation, and two referenda on this issue have subsequently been held.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In February 2006, Tokelau, under United Nations supervision, voted on whether to become self-governing in free association with New Zealand. This status was to be based on two documents – a Constitution for Tokelau and a Treaty of Free Association between Tokelau and New Zealand. Sixty percent of registered voters supported self-government. However, as this was less than the two-thirds majority level set by the General Fono, the referendum resulted in no change to Tokelau’s status. A second referendum on this issue, was held in October 2007, but still failed to reach the required two-thirds majority (by 16 votes).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Following the second referendum, Tokelau, with the full support of New Zealand, has been engaging in a period of reflection on how it can ensure its people’s needs are met on each atoll through the strengthening of infrastructure and services. New Zealand’s focus remains on ensuring that all Tokelauans as New Zealand citizens are receiving appropriate essential services. This requires ongoing dialogue, a substantial level of general budget support to Tokelau, and effective responses to Tokelau’s requests for assistance to improve the quality of life for people living in Tokelau.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As New Zealand representatives have noted in recent statements to the UN C24 Decolonisation Committee, New Zealand continues to support Tokelau’s current focus on providing core services and improving the quality of life of its people while it remains paused in its self-determination efforts. New Zealand will be guided by the pace that Tokelau alone will set as it develops towards the future of its choosing.</w:t>
      </w:r>
    </w:p>
    <w:p w:rsidR="0058552F" w:rsidRPr="006C73D0" w:rsidRDefault="0058552F" w:rsidP="0058552F">
      <w:pPr>
        <w:pStyle w:val="H1G"/>
        <w:rPr>
          <w:sz w:val="20"/>
          <w:szCs w:val="24"/>
        </w:rPr>
      </w:pPr>
      <w:bookmarkStart w:id="4" w:name="_Toc216772777"/>
      <w:r w:rsidRPr="006C73D0">
        <w:rPr>
          <w:sz w:val="20"/>
          <w:szCs w:val="24"/>
        </w:rPr>
        <w:t xml:space="preserve">B. </w:t>
      </w:r>
      <w:r w:rsidRPr="006C73D0">
        <w:rPr>
          <w:sz w:val="20"/>
          <w:szCs w:val="24"/>
        </w:rPr>
        <w:tab/>
        <w:t>Tokelau and the Covenant on Economic, Social and Cultural Rights</w:t>
      </w:r>
      <w:bookmarkEnd w:id="4"/>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Tokelau understands that it is bound by a number of international human rights treaties, including the Covenant. A booklet produced in Tokelauan and English in 1990 included the main human rights documents of relevance to Tokelau. The 2008 Handbook for the Law Commissioners of Tokelau also includes them. The Handbook for the Law Commissioners is a manual that will assist and guide the Law Commissioners in their work mainly when writing and delivering judgments on cases that come before them. It is hoped that the Handbook would contribute to the development of quality justice for the people of Tokelau.</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lastRenderedPageBreak/>
        <w:t>In 2003 the General Fono made Human Rights Rules for Tokelau, which were incorporated as Article 16 of Tokelau’s Constitution endorsed by the General Fono following the second referendum in 2007. Article 16 of Tokelau’s Constitution states:</w:t>
      </w:r>
    </w:p>
    <w:p w:rsidR="0058552F" w:rsidRPr="006C73D0" w:rsidRDefault="0058552F" w:rsidP="0058552F">
      <w:pPr>
        <w:pStyle w:val="SingleTxtG"/>
        <w:numPr>
          <w:ilvl w:val="3"/>
          <w:numId w:val="8"/>
        </w:numPr>
        <w:ind w:left="1985" w:hanging="567"/>
        <w:rPr>
          <w:szCs w:val="24"/>
        </w:rPr>
      </w:pPr>
      <w:r w:rsidRPr="006C73D0">
        <w:rPr>
          <w:szCs w:val="24"/>
        </w:rPr>
        <w:t>Individual human rights for all people in Tokelau are stated in the Universal Declaration of Human Rights and are implemented in the International Covenant on Civil and Political Rights</w:t>
      </w:r>
    </w:p>
    <w:p w:rsidR="0058552F" w:rsidRPr="006C73D0" w:rsidRDefault="0058552F" w:rsidP="0058552F">
      <w:pPr>
        <w:pStyle w:val="SingleTxtG"/>
        <w:numPr>
          <w:ilvl w:val="3"/>
          <w:numId w:val="8"/>
        </w:numPr>
        <w:ind w:left="1985" w:hanging="567"/>
        <w:rPr>
          <w:szCs w:val="24"/>
        </w:rPr>
      </w:pPr>
      <w:r w:rsidRPr="006C73D0">
        <w:rPr>
          <w:szCs w:val="24"/>
        </w:rPr>
        <w:t>The rights of individuals in Tokelau shall be exercised having proper regard to the duties of other individuals, and to the community to which the individual belongs</w:t>
      </w:r>
    </w:p>
    <w:p w:rsidR="0058552F" w:rsidRPr="006C73D0" w:rsidRDefault="0058552F" w:rsidP="0058552F">
      <w:pPr>
        <w:pStyle w:val="SingleTxtG"/>
        <w:numPr>
          <w:ilvl w:val="3"/>
          <w:numId w:val="8"/>
        </w:numPr>
        <w:ind w:left="1985" w:hanging="567"/>
        <w:rPr>
          <w:szCs w:val="24"/>
        </w:rPr>
      </w:pPr>
      <w:r w:rsidRPr="006C73D0">
        <w:rPr>
          <w:szCs w:val="24"/>
        </w:rPr>
        <w:t>If a person thinks that one of their human rights provided by these Rules has been denied or may be denied, that person may apply to the Council for the Ongoing Government for protection of that right, and if the Council for the Ongoing Government agrees with that complaint, it may make any order it thinks appropriate for the protection of that right.</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As mentioned in New Zealand’s previous reports to the Committee, Tokelau does nonetheless face a core question of law and custom. Because, traditionally, government in Tokelau is on a village by village basis, there has been little in the Tokelau system that takes a formal shape recognisable externally. Custom is at the heart of the system. Much of it is unwritten but hallowed by tradition and by regular reinforcement in practice.</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At a time, as now, when custom and law interact to an increasing degree, Tokelau seeks understanding of its situation. For it faces a large challenge in moving from socially known rules in an oral tradition, to written law of the Western conception. As Tokelau considers what its commitment should be to basic human rights, Tokelau is mindful that human rights promote the imported notion of individuality, while the idea of community, with which Tokelauans are familiar, promotes a sense of unity and sharing.</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So this is a considerable evolution away from tradition. For Tokelauans this means a move away from following a particular set of rules and practices within their cultural setting, to following a set of rules and practices recognisable as consistent with life in the international community, and the rules and practices of other states.</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At this stage of Tokelau’s constitutional evolution, questions concerning the application of the Covenant on Economic, Social and Cultural Rights remain formally the responsibility of the New Zealand Government. They are addressed in the context of New Zealand’s relations with Tokelau. The Administrator has a close consultative relationship with the General Fono and the Council for the Ongoing Government.</w:t>
      </w:r>
    </w:p>
    <w:p w:rsidR="0058552F" w:rsidRPr="006C73D0" w:rsidRDefault="0058552F" w:rsidP="0058552F">
      <w:pPr>
        <w:pStyle w:val="HChG"/>
        <w:rPr>
          <w:sz w:val="24"/>
        </w:rPr>
      </w:pPr>
      <w:bookmarkStart w:id="5" w:name="_Toc216772778"/>
      <w:r w:rsidRPr="006C73D0">
        <w:rPr>
          <w:sz w:val="24"/>
        </w:rPr>
        <w:t>III.</w:t>
      </w:r>
      <w:r w:rsidRPr="006C73D0">
        <w:rPr>
          <w:sz w:val="24"/>
        </w:rPr>
        <w:tab/>
        <w:t>Information relating to specific articles</w:t>
      </w:r>
      <w:bookmarkEnd w:id="5"/>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Information on Tokelau relating to specific Articles of the Covenant follows. Please also refer to New Zealand’s previous reports to the Committee.</w:t>
      </w:r>
    </w:p>
    <w:p w:rsidR="0058552F" w:rsidRPr="006C73D0" w:rsidRDefault="0058552F" w:rsidP="0058552F">
      <w:pPr>
        <w:pStyle w:val="H1G"/>
        <w:rPr>
          <w:sz w:val="20"/>
        </w:rPr>
      </w:pPr>
      <w:bookmarkStart w:id="6" w:name="_Toc216772779"/>
      <w:r w:rsidRPr="006C73D0">
        <w:rPr>
          <w:sz w:val="20"/>
        </w:rPr>
        <w:tab/>
        <w:t>Article 1</w:t>
      </w:r>
      <w:bookmarkEnd w:id="6"/>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New Zealand continues to support Tokelau’s current focus on providing core services and improving the quality of life of its people while it remains paused in its self-determination efforts, as has been the case since the referenda to change its status in 2006 and 2007 did not achieve the required majority set by Tokelau’s leaders. New Zealand will be guided by the pace that Tokelau alone will set as it develops towards the future of its choosing.</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Tokelau’s current focus on ensuring its people’s needs are met on each atoll through the strengthening of infrastructure and services is viewed as a prelude to a possible further referendum at some stage in the </w:t>
      </w:r>
      <w:r w:rsidRPr="006C73D0">
        <w:rPr>
          <w:rFonts w:ascii="Times New Roman" w:hAnsi="Times New Roman" w:cs="Times New Roman"/>
          <w:sz w:val="20"/>
          <w:szCs w:val="24"/>
        </w:rPr>
        <w:lastRenderedPageBreak/>
        <w:t>future. Furthermore, in the meantime Tokelau is gaining experience of self-government, and making use of political structures which will make meaningful its choice of one of the political status options offered under relevant resolutions of the United Nations General Assembly.</w:t>
      </w:r>
    </w:p>
    <w:p w:rsidR="0058552F" w:rsidRPr="006C73D0" w:rsidRDefault="0058552F" w:rsidP="0058552F">
      <w:pPr>
        <w:pStyle w:val="H1G"/>
        <w:rPr>
          <w:sz w:val="20"/>
        </w:rPr>
      </w:pPr>
      <w:bookmarkStart w:id="7" w:name="_Toc216772780"/>
      <w:r w:rsidRPr="006C73D0">
        <w:rPr>
          <w:sz w:val="20"/>
        </w:rPr>
        <w:tab/>
        <w:t>Article 2</w:t>
      </w:r>
      <w:bookmarkEnd w:id="7"/>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New Zealand, with Tokelau, has taken consistent steps, through economic and technical assistance and cooperation, to ensure that the rights recognised in the Covenant are realised in Tokelau.</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Tokelau has a notably cohesive social structure based on family and the principle of sharing. The cultural order gives high priority to the welfare of the weaker members and the equitable distribution of economic resources. Tokelau’s Human Rights Rules 2003 provide for the protection of individual human rights for all people in Tokelau.</w:t>
      </w:r>
    </w:p>
    <w:p w:rsidR="0058552F" w:rsidRPr="006C73D0" w:rsidRDefault="0058552F" w:rsidP="0058552F">
      <w:pPr>
        <w:pStyle w:val="H1G"/>
        <w:rPr>
          <w:sz w:val="20"/>
        </w:rPr>
      </w:pPr>
      <w:bookmarkStart w:id="8" w:name="_Toc216772781"/>
      <w:r w:rsidRPr="006C73D0">
        <w:rPr>
          <w:sz w:val="20"/>
        </w:rPr>
        <w:tab/>
        <w:t>Article 3</w:t>
      </w:r>
      <w:bookmarkEnd w:id="8"/>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As we have previously reported, in Tokelau culture there has traditionally been a clear demarcation between male and female roles. However, there is nothing in the laws of Tokelau sanctioning any kind of discrimination against women.</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The Government of Tokelau has always been supportive towards the women of Tokelau. Women’s organisations receive funds from the Government to support their work in their respective villages. Further, regional organisations have also funded projects to support the work of the women in the villages. The Office of the Council for the Ongoing Government of Tokelau and the Department responsible for economic development also support women in their efforts to enhance their lives in Tokelau. </w:t>
      </w:r>
    </w:p>
    <w:p w:rsidR="0058552F" w:rsidRPr="006C73D0" w:rsidRDefault="0058552F" w:rsidP="0058552F">
      <w:pPr>
        <w:pStyle w:val="H1G"/>
        <w:rPr>
          <w:sz w:val="20"/>
        </w:rPr>
      </w:pPr>
      <w:bookmarkStart w:id="9" w:name="_Toc216772782"/>
      <w:r w:rsidRPr="006C73D0">
        <w:rPr>
          <w:sz w:val="20"/>
        </w:rPr>
        <w:tab/>
        <w:t>Article 4</w:t>
      </w:r>
      <w:bookmarkEnd w:id="9"/>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Neither the New Zealand Government nor Tokelau have taken any practical measures to limit the enjoyment of the rights recognised by the Covenant.</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Tokelau’s Human Rights Rules 2003 state that the rights of individuals in Tokelau shall be exercised having proper regard to the duties of other individuals, and to the community to which the individual belongs. This is consistent with the requirements of Article 4 and with Tokelau’s traditional focus on community unity and sharing.</w:t>
      </w:r>
    </w:p>
    <w:p w:rsidR="0058552F" w:rsidRPr="006C73D0" w:rsidRDefault="0058552F" w:rsidP="0058552F">
      <w:pPr>
        <w:pStyle w:val="H1G"/>
        <w:rPr>
          <w:sz w:val="20"/>
        </w:rPr>
      </w:pPr>
      <w:bookmarkStart w:id="10" w:name="_Toc216772783"/>
      <w:r w:rsidRPr="006C73D0">
        <w:rPr>
          <w:sz w:val="20"/>
        </w:rPr>
        <w:tab/>
        <w:t>Article 5</w:t>
      </w:r>
      <w:bookmarkEnd w:id="10"/>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There has been no attempt to destroy or unduly limit the rights and freedoms contained in the Convention in Tokelau; nor has there been any restriction or derogation from any existing fundamental human rights recognised in Tokelau.</w:t>
      </w:r>
    </w:p>
    <w:p w:rsidR="0058552F" w:rsidRPr="006C73D0" w:rsidRDefault="0058552F" w:rsidP="0058552F">
      <w:pPr>
        <w:pStyle w:val="H1G"/>
        <w:rPr>
          <w:sz w:val="20"/>
        </w:rPr>
      </w:pPr>
      <w:bookmarkStart w:id="11" w:name="_Toc216772784"/>
      <w:r w:rsidRPr="006C73D0">
        <w:rPr>
          <w:sz w:val="20"/>
        </w:rPr>
        <w:t>Article 6 (and article 13)</w:t>
      </w:r>
      <w:bookmarkEnd w:id="11"/>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 xml:space="preserve">Questions concerning the right to work must be seen in light of Tokelau’s physical, economic and cultural context, and must take into account the virtual absence of employment opportunity outside of that which is community or publicly funded. To survive Tokelau has placed more emphasis on the obligations of its members to provide and share, than on individual effort. Over the past 25 years, the Tokelau Public Service has become the major employer; this includes both the National Public Service and the Public Services in each of the three villages. </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lastRenderedPageBreak/>
        <w:t>Education is free. Literacy levels are high. There is one hundred percent access to primary through to Level 11 education (i.e. up to 16 years), and senior secondary / foundation tertiary education is provided on each atoll. No fees are charged. The Governments of Tokelau and New Zealand, and the village councils make substantial financial commitments to scholarships for study overseas.</w:t>
      </w:r>
    </w:p>
    <w:p w:rsidR="0058552F" w:rsidRPr="006C73D0" w:rsidRDefault="0058552F" w:rsidP="0058552F">
      <w:pPr>
        <w:spacing w:after="240" w:line="240" w:lineRule="auto"/>
        <w:ind w:left="6"/>
        <w:jc w:val="both"/>
        <w:rPr>
          <w:rFonts w:ascii="Times New Roman" w:hAnsi="Times New Roman" w:cs="Times New Roman"/>
          <w:b/>
          <w:sz w:val="20"/>
          <w:szCs w:val="24"/>
        </w:rPr>
      </w:pPr>
      <w:r w:rsidRPr="006C73D0">
        <w:rPr>
          <w:rFonts w:ascii="Times New Roman" w:hAnsi="Times New Roman" w:cs="Times New Roman"/>
          <w:b/>
          <w:sz w:val="20"/>
          <w:szCs w:val="24"/>
        </w:rPr>
        <w:t>Article 12</w:t>
      </w:r>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18"/>
        </w:rPr>
      </w:pPr>
      <w:r w:rsidRPr="006C73D0">
        <w:rPr>
          <w:rFonts w:ascii="Times New Roman" w:hAnsi="Times New Roman" w:cs="Times New Roman"/>
          <w:sz w:val="20"/>
          <w:szCs w:val="24"/>
        </w:rPr>
        <w:t xml:space="preserve">Tokelau is in the process of strengthening its health services and focusing more on public health to reduce the high incidence of non-communicable diseases. </w:t>
      </w:r>
    </w:p>
    <w:p w:rsidR="0058552F" w:rsidRPr="006C73D0" w:rsidRDefault="0058552F" w:rsidP="0058552F">
      <w:pPr>
        <w:pStyle w:val="H1G"/>
        <w:rPr>
          <w:sz w:val="20"/>
        </w:rPr>
      </w:pPr>
      <w:bookmarkStart w:id="12" w:name="_Toc216772785"/>
      <w:r w:rsidRPr="006C73D0">
        <w:rPr>
          <w:sz w:val="20"/>
        </w:rPr>
        <w:t>Article 7</w:t>
      </w:r>
      <w:bookmarkEnd w:id="12"/>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18"/>
        </w:rPr>
      </w:pPr>
      <w:r w:rsidRPr="006C73D0">
        <w:rPr>
          <w:rFonts w:ascii="Times New Roman" w:hAnsi="Times New Roman" w:cs="Times New Roman"/>
          <w:sz w:val="20"/>
          <w:szCs w:val="24"/>
        </w:rPr>
        <w:t>In 2004, Tokelau agreed that all public services for Tokelau should be handled consistently and that common manuals and instructions should be developed. The Public Service Rules 2004 (the Rules) and the Tokelau Public Services Human Resources Manual (the Manual) were approved and endorsed by the General Fono. The Manual was reviewed in 2015 and 2016. A Remuneration Framework was developed with the Hay Group, reviewed and approved by the General Fono in March 2016. The rules of the Tokelau Public Service Commission were approved in 2016 and a Commissioner was appointed by the General Fono in November 2016.  Together, these developments provide a basis for ensuring the rights contained in this Article are realised in Tokelau.</w:t>
      </w:r>
      <w:bookmarkStart w:id="13" w:name="_Toc216772786"/>
    </w:p>
    <w:p w:rsidR="0058552F" w:rsidRPr="006C73D0" w:rsidRDefault="0058552F" w:rsidP="0058552F">
      <w:pPr>
        <w:spacing w:after="240" w:line="240" w:lineRule="auto"/>
        <w:ind w:left="6"/>
        <w:jc w:val="both"/>
        <w:rPr>
          <w:rFonts w:ascii="Times New Roman" w:hAnsi="Times New Roman" w:cs="Times New Roman"/>
          <w:sz w:val="20"/>
          <w:szCs w:val="24"/>
        </w:rPr>
      </w:pPr>
      <w:r w:rsidRPr="006C73D0">
        <w:rPr>
          <w:rFonts w:ascii="Times New Roman" w:hAnsi="Times New Roman" w:cs="Times New Roman"/>
          <w:b/>
          <w:sz w:val="20"/>
          <w:szCs w:val="24"/>
        </w:rPr>
        <w:t>Article 8</w:t>
      </w:r>
      <w:bookmarkEnd w:id="13"/>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The comments under Articles 6 and 7 apply here. While there are no trade unions in Tokelau in the outside world’s sense, there is an informal association of public service employees.</w:t>
      </w:r>
    </w:p>
    <w:p w:rsidR="0058552F" w:rsidRPr="006C73D0" w:rsidRDefault="0058552F" w:rsidP="0058552F">
      <w:pPr>
        <w:pStyle w:val="H1G"/>
        <w:rPr>
          <w:sz w:val="20"/>
        </w:rPr>
      </w:pPr>
      <w:bookmarkStart w:id="14" w:name="_Toc216772787"/>
      <w:r w:rsidRPr="006C73D0">
        <w:rPr>
          <w:sz w:val="20"/>
        </w:rPr>
        <w:tab/>
        <w:t>Article 9</w:t>
      </w:r>
      <w:bookmarkEnd w:id="14"/>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A sharing and caring ethos is fundamental to Tokelau society. Persons older than 60 receive a pension of NZ$350 a fortnight, unless they receive NZ superannuation. Patients requiring medical treatment that is unavailable in Tokelau are officially sponsored to travel to Samoa or New Zealand, as required.</w:t>
      </w:r>
    </w:p>
    <w:p w:rsidR="0058552F" w:rsidRPr="006C73D0" w:rsidRDefault="0058552F" w:rsidP="0058552F">
      <w:pPr>
        <w:pStyle w:val="H1G"/>
        <w:rPr>
          <w:sz w:val="20"/>
        </w:rPr>
      </w:pPr>
      <w:bookmarkStart w:id="15" w:name="_Toc216772788"/>
      <w:r w:rsidRPr="006C73D0">
        <w:rPr>
          <w:sz w:val="20"/>
        </w:rPr>
        <w:tab/>
        <w:t>Article 10</w:t>
      </w:r>
      <w:bookmarkEnd w:id="15"/>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Law, custom and practice recognise the family as the natural and fundamental group unit of Tokelau society. The Manual referred to in Article 7 provides for paid maternity leave.</w:t>
      </w:r>
    </w:p>
    <w:p w:rsidR="0058552F" w:rsidRPr="006C73D0" w:rsidRDefault="0058552F" w:rsidP="0058552F">
      <w:pPr>
        <w:pStyle w:val="H1G"/>
        <w:rPr>
          <w:sz w:val="20"/>
        </w:rPr>
      </w:pPr>
      <w:bookmarkStart w:id="16" w:name="_Toc216772789"/>
      <w:r w:rsidRPr="006C73D0">
        <w:rPr>
          <w:sz w:val="20"/>
        </w:rPr>
        <w:tab/>
        <w:t>Articles 11 to 15 and generally</w:t>
      </w:r>
      <w:bookmarkEnd w:id="16"/>
    </w:p>
    <w:p w:rsidR="0058552F" w:rsidRPr="006C73D0" w:rsidRDefault="0058552F" w:rsidP="0058552F">
      <w:pPr>
        <w:pStyle w:val="ListParagraph"/>
        <w:numPr>
          <w:ilvl w:val="0"/>
          <w:numId w:val="9"/>
        </w:numPr>
        <w:spacing w:after="240" w:line="240" w:lineRule="auto"/>
        <w:ind w:left="426"/>
        <w:jc w:val="both"/>
        <w:rPr>
          <w:rFonts w:ascii="Times New Roman" w:hAnsi="Times New Roman" w:cs="Times New Roman"/>
          <w:sz w:val="20"/>
          <w:szCs w:val="24"/>
        </w:rPr>
      </w:pPr>
      <w:r w:rsidRPr="006C73D0">
        <w:rPr>
          <w:rFonts w:ascii="Times New Roman" w:hAnsi="Times New Roman" w:cs="Times New Roman"/>
          <w:sz w:val="20"/>
          <w:szCs w:val="24"/>
        </w:rPr>
        <w:t>The rights and freedoms established under the Covenant are broadly upheld in Tokelau practice, and are continue to be progressively realised by the people of Tokelau. This report shows how the implementation of those rights and freedoms may be viewed in a decolonisation context which is distinctive and challenging. The Joint Statement on the Principles of Partnership between New Zealand and Tokelau provides a blueprint for how Tokelau and New Zealand will continue to move forward together on matters covered by the Covenant, including:</w:t>
      </w:r>
    </w:p>
    <w:p w:rsidR="0058552F" w:rsidRPr="006C73D0" w:rsidRDefault="0058552F" w:rsidP="0058552F">
      <w:pPr>
        <w:pStyle w:val="ListParagraph"/>
        <w:numPr>
          <w:ilvl w:val="1"/>
          <w:numId w:val="9"/>
        </w:numPr>
        <w:spacing w:after="240" w:line="240" w:lineRule="auto"/>
        <w:jc w:val="both"/>
        <w:rPr>
          <w:rFonts w:ascii="Times New Roman" w:hAnsi="Times New Roman" w:cs="Times New Roman"/>
          <w:sz w:val="20"/>
          <w:szCs w:val="24"/>
        </w:rPr>
      </w:pPr>
      <w:r w:rsidRPr="006C73D0">
        <w:rPr>
          <w:rFonts w:ascii="Times New Roman" w:hAnsi="Times New Roman" w:cs="Times New Roman"/>
          <w:sz w:val="20"/>
          <w:szCs w:val="24"/>
        </w:rPr>
        <w:t>Self-determination for Tokelau</w:t>
      </w:r>
    </w:p>
    <w:p w:rsidR="0058552F" w:rsidRPr="006C73D0" w:rsidRDefault="0058552F" w:rsidP="0058552F">
      <w:pPr>
        <w:pStyle w:val="ListParagraph"/>
        <w:numPr>
          <w:ilvl w:val="1"/>
          <w:numId w:val="9"/>
        </w:numPr>
        <w:spacing w:after="240" w:line="240" w:lineRule="auto"/>
        <w:jc w:val="both"/>
        <w:rPr>
          <w:rFonts w:ascii="Times New Roman" w:hAnsi="Times New Roman" w:cs="Times New Roman"/>
          <w:sz w:val="20"/>
          <w:szCs w:val="24"/>
        </w:rPr>
      </w:pPr>
      <w:r w:rsidRPr="006C73D0">
        <w:rPr>
          <w:rFonts w:ascii="Times New Roman" w:hAnsi="Times New Roman" w:cs="Times New Roman"/>
          <w:sz w:val="20"/>
          <w:szCs w:val="24"/>
        </w:rPr>
        <w:t>The retention and development of the language and culture of Tokelau, and</w:t>
      </w:r>
    </w:p>
    <w:p w:rsidR="0058552F" w:rsidRPr="006C73D0" w:rsidRDefault="0058552F" w:rsidP="0058552F">
      <w:pPr>
        <w:pStyle w:val="ListParagraph"/>
        <w:numPr>
          <w:ilvl w:val="1"/>
          <w:numId w:val="9"/>
        </w:numPr>
        <w:spacing w:after="240" w:line="240" w:lineRule="auto"/>
        <w:jc w:val="both"/>
        <w:rPr>
          <w:rFonts w:ascii="Times New Roman" w:hAnsi="Times New Roman" w:cs="Times New Roman"/>
          <w:sz w:val="20"/>
          <w:szCs w:val="24"/>
        </w:rPr>
      </w:pPr>
      <w:r w:rsidRPr="006C73D0">
        <w:rPr>
          <w:rFonts w:ascii="Times New Roman" w:hAnsi="Times New Roman" w:cs="Times New Roman"/>
          <w:sz w:val="20"/>
          <w:szCs w:val="24"/>
        </w:rPr>
        <w:t>The economic and social development of Tokelau.</w:t>
      </w:r>
    </w:p>
    <w:p w:rsidR="00803EF1" w:rsidRPr="0058552F" w:rsidRDefault="00803EF1" w:rsidP="003F4A6D">
      <w:pPr>
        <w:rPr>
          <w:lang w:val="en-GB"/>
        </w:rPr>
      </w:pPr>
    </w:p>
    <w:sectPr w:rsidR="00803EF1" w:rsidRPr="0058552F" w:rsidSect="002B6045">
      <w:headerReference w:type="default" r:id="rId9"/>
      <w:footerReference w:type="default" r:id="rId10"/>
      <w:headerReference w:type="first" r:id="rId11"/>
      <w:footerReference w:type="first" r:id="rId12"/>
      <w:pgSz w:w="11906" w:h="16838"/>
      <w:pgMar w:top="1701" w:right="1418" w:bottom="1701" w:left="1418"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DBD" w:rsidRDefault="00243DBD" w:rsidP="00023335">
      <w:pPr>
        <w:spacing w:line="240" w:lineRule="auto"/>
      </w:pPr>
      <w:r>
        <w:separator/>
      </w:r>
    </w:p>
  </w:endnote>
  <w:endnote w:type="continuationSeparator" w:id="0">
    <w:p w:rsidR="00243DBD" w:rsidRDefault="00243DBD" w:rsidP="000233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A0" w:rsidRPr="00D175FF" w:rsidRDefault="00CE1AA0" w:rsidP="00CE1AA0">
    <w:pPr>
      <w:pStyle w:val="Footer"/>
      <w:tabs>
        <w:tab w:val="left" w:pos="2565"/>
      </w:tabs>
      <w:jc w:val="center"/>
      <w:rPr>
        <w:sz w:val="20"/>
        <w:szCs w:val="20"/>
      </w:rPr>
    </w:pPr>
  </w:p>
  <w:p w:rsidR="00023335" w:rsidRDefault="00023335" w:rsidP="00CE1AA0">
    <w:pPr>
      <w:pStyle w:val="Footer"/>
      <w:jc w:val="center"/>
    </w:pPr>
    <w:bookmarkStart w:id="18" w:name="covering_classification_footer2"/>
    <w:bookmarkEnd w:id="18"/>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A0" w:rsidRDefault="00CE1AA0" w:rsidP="00CE1AA0">
    <w:pPr>
      <w:pStyle w:val="DocumentID"/>
    </w:pPr>
    <w:bookmarkStart w:id="20" w:name="document_id"/>
    <w:r>
      <w:t>[Document ID]</w:t>
    </w:r>
    <w:bookmarkEnd w:id="20"/>
  </w:p>
  <w:p w:rsidR="00CE1AA0" w:rsidRPr="00D175FF" w:rsidRDefault="00CE1AA0" w:rsidP="00CE1AA0">
    <w:pPr>
      <w:pStyle w:val="Footer"/>
      <w:rPr>
        <w:sz w:val="20"/>
      </w:rPr>
    </w:pPr>
  </w:p>
  <w:p w:rsidR="00023335" w:rsidRDefault="00023335" w:rsidP="00CE1AA0">
    <w:pPr>
      <w:pStyle w:val="Footer"/>
      <w:jc w:val="center"/>
    </w:pPr>
    <w:bookmarkStart w:id="21" w:name="covering_classification_footer"/>
    <w:bookmarkEnd w:id="2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DBD" w:rsidRDefault="00243DBD" w:rsidP="00023335">
      <w:pPr>
        <w:spacing w:line="240" w:lineRule="auto"/>
      </w:pPr>
      <w:r>
        <w:separator/>
      </w:r>
    </w:p>
  </w:footnote>
  <w:footnote w:type="continuationSeparator" w:id="0">
    <w:p w:rsidR="00243DBD" w:rsidRDefault="00243DBD" w:rsidP="00023335">
      <w:pPr>
        <w:spacing w:line="240" w:lineRule="auto"/>
      </w:pPr>
      <w:r>
        <w:continuationSeparator/>
      </w:r>
    </w:p>
  </w:footnote>
  <w:footnote w:id="1">
    <w:p w:rsidR="0058552F" w:rsidRPr="00DC61F1" w:rsidRDefault="0058552F" w:rsidP="0058552F">
      <w:pPr>
        <w:pStyle w:val="FootnoteText"/>
        <w:rPr>
          <w:rFonts w:ascii="Times New Roman" w:hAnsi="Times New Roman" w:cs="Times New Roman"/>
          <w:sz w:val="18"/>
          <w:szCs w:val="18"/>
        </w:rPr>
      </w:pPr>
      <w:r w:rsidRPr="00DC61F1">
        <w:rPr>
          <w:rStyle w:val="FootnoteReference"/>
          <w:rFonts w:ascii="Times New Roman" w:hAnsi="Times New Roman" w:cs="Times New Roman"/>
          <w:sz w:val="18"/>
          <w:szCs w:val="18"/>
        </w:rPr>
        <w:footnoteRef/>
      </w:r>
      <w:r w:rsidRPr="00DC61F1">
        <w:rPr>
          <w:rFonts w:ascii="Times New Roman" w:hAnsi="Times New Roman" w:cs="Times New Roman"/>
          <w:sz w:val="18"/>
          <w:szCs w:val="18"/>
        </w:rPr>
        <w:t xml:space="preserve"> The Administrator of Tokelau retains legislative responsibility for Tokelau’s Offshore Fisheries Management Plan and management of Tokelau’s Exclusive Economic Zone. A programme to strengthen fisheries management and governance is underway.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A0" w:rsidRPr="00D175FF" w:rsidRDefault="00CE1AA0" w:rsidP="00CE1AA0">
    <w:pPr>
      <w:jc w:val="center"/>
    </w:pPr>
    <w:bookmarkStart w:id="17" w:name="covering_classification_header2"/>
    <w:bookmarkEnd w:id="17"/>
  </w:p>
  <w:p w:rsidR="00CE1AA0" w:rsidRPr="00F452A0" w:rsidRDefault="00CE1AA0" w:rsidP="00CE1AA0">
    <w:pPr>
      <w:pStyle w:val="Header"/>
      <w:jc w:val="center"/>
      <w:rPr>
        <w:rStyle w:val="PageNumber"/>
      </w:rPr>
    </w:pPr>
  </w:p>
  <w:p w:rsidR="00CE1AA0" w:rsidRPr="00F452A0" w:rsidRDefault="00CE1AA0" w:rsidP="00CE1AA0">
    <w:pPr>
      <w:pStyle w:val="PageNumbers"/>
      <w:framePr w:wrap="around"/>
      <w:rPr>
        <w:sz w:val="16"/>
      </w:rPr>
    </w:pPr>
    <w:r w:rsidRPr="00F452A0">
      <w:rPr>
        <w:rStyle w:val="PageNumber"/>
      </w:rPr>
      <w:t xml:space="preserve">Page </w:t>
    </w:r>
    <w:r w:rsidRPr="00F452A0">
      <w:rPr>
        <w:rStyle w:val="PageNumber"/>
      </w:rPr>
      <w:fldChar w:fldCharType="begin"/>
    </w:r>
    <w:r w:rsidRPr="00F452A0">
      <w:rPr>
        <w:rStyle w:val="PageNumber"/>
      </w:rPr>
      <w:instrText xml:space="preserve"> PAGE </w:instrText>
    </w:r>
    <w:r w:rsidRPr="00F452A0">
      <w:rPr>
        <w:rStyle w:val="PageNumber"/>
      </w:rPr>
      <w:fldChar w:fldCharType="separate"/>
    </w:r>
    <w:r w:rsidR="00191276">
      <w:rPr>
        <w:rStyle w:val="PageNumber"/>
        <w:noProof/>
      </w:rPr>
      <w:t>5</w:t>
    </w:r>
    <w:r w:rsidRPr="00F452A0">
      <w:rPr>
        <w:rStyle w:val="PageNumber"/>
      </w:rPr>
      <w:fldChar w:fldCharType="end"/>
    </w:r>
    <w:r w:rsidRPr="00F452A0">
      <w:rPr>
        <w:rStyle w:val="PageNumber"/>
      </w:rPr>
      <w:t xml:space="preserve"> of </w:t>
    </w:r>
    <w:r w:rsidRPr="00F452A0">
      <w:rPr>
        <w:rStyle w:val="PageNumber"/>
      </w:rPr>
      <w:fldChar w:fldCharType="begin"/>
    </w:r>
    <w:r w:rsidRPr="00F452A0">
      <w:rPr>
        <w:rStyle w:val="PageNumber"/>
      </w:rPr>
      <w:instrText xml:space="preserve"> NUMPAGES   \* MERGEFORMAT </w:instrText>
    </w:r>
    <w:r w:rsidRPr="00F452A0">
      <w:rPr>
        <w:rStyle w:val="PageNumber"/>
      </w:rPr>
      <w:fldChar w:fldCharType="separate"/>
    </w:r>
    <w:r w:rsidR="00191276">
      <w:rPr>
        <w:rStyle w:val="PageNumber"/>
        <w:noProof/>
      </w:rPr>
      <w:t>5</w:t>
    </w:r>
    <w:r w:rsidRPr="00F452A0">
      <w:rPr>
        <w:rStyle w:val="PageNumber"/>
      </w:rPr>
      <w:fldChar w:fldCharType="end"/>
    </w:r>
  </w:p>
  <w:p w:rsidR="00023335" w:rsidRPr="00023335" w:rsidRDefault="00023335" w:rsidP="000233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335" w:rsidRDefault="00023335" w:rsidP="00CE1AA0">
    <w:pPr>
      <w:pStyle w:val="SecurityClassification"/>
    </w:pPr>
    <w:bookmarkStart w:id="19" w:name="covering_classification_header"/>
    <w:bookmarkEnd w:id="1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AE2BA04"/>
    <w:lvl w:ilvl="0">
      <w:start w:val="1"/>
      <w:numFmt w:val="decimal"/>
      <w:pStyle w:val="ListNumber2"/>
      <w:lvlText w:val="%1."/>
      <w:lvlJc w:val="left"/>
      <w:pPr>
        <w:tabs>
          <w:tab w:val="num" w:pos="643"/>
        </w:tabs>
        <w:ind w:left="643" w:hanging="360"/>
      </w:pPr>
    </w:lvl>
  </w:abstractNum>
  <w:abstractNum w:abstractNumId="1">
    <w:nsid w:val="01AA7BF7"/>
    <w:multiLevelType w:val="hybridMultilevel"/>
    <w:tmpl w:val="3466BCDA"/>
    <w:lvl w:ilvl="0" w:tplc="4CBEABC4">
      <w:start w:val="1"/>
      <w:numFmt w:val="bullet"/>
      <w:pStyle w:val="Bulletpointsindent2MFAT"/>
      <w:lvlText w:val=""/>
      <w:lvlJc w:val="left"/>
      <w:pPr>
        <w:ind w:left="1494" w:hanging="360"/>
      </w:pPr>
      <w:rPr>
        <w:rFonts w:ascii="Symbol" w:hAnsi="Symbol" w:hint="default"/>
        <w:b w:val="0"/>
        <w:i w:val="0"/>
        <w:color w:val="000000" w:themeColor="text1"/>
        <w:sz w:val="20"/>
      </w:rPr>
    </w:lvl>
    <w:lvl w:ilvl="1" w:tplc="14090003" w:tentative="1">
      <w:start w:val="1"/>
      <w:numFmt w:val="bullet"/>
      <w:lvlText w:val="o"/>
      <w:lvlJc w:val="left"/>
      <w:pPr>
        <w:ind w:left="2007" w:hanging="360"/>
      </w:pPr>
      <w:rPr>
        <w:rFonts w:ascii="Courier New" w:hAnsi="Courier New" w:cs="Courier New" w:hint="default"/>
      </w:rPr>
    </w:lvl>
    <w:lvl w:ilvl="2" w:tplc="14090005" w:tentative="1">
      <w:start w:val="1"/>
      <w:numFmt w:val="bullet"/>
      <w:lvlText w:val=""/>
      <w:lvlJc w:val="left"/>
      <w:pPr>
        <w:ind w:left="2727" w:hanging="360"/>
      </w:pPr>
      <w:rPr>
        <w:rFonts w:ascii="Wingdings" w:hAnsi="Wingdings" w:hint="default"/>
      </w:rPr>
    </w:lvl>
    <w:lvl w:ilvl="3" w:tplc="14090001" w:tentative="1">
      <w:start w:val="1"/>
      <w:numFmt w:val="bullet"/>
      <w:lvlText w:val=""/>
      <w:lvlJc w:val="left"/>
      <w:pPr>
        <w:ind w:left="3447" w:hanging="360"/>
      </w:pPr>
      <w:rPr>
        <w:rFonts w:ascii="Symbol" w:hAnsi="Symbol" w:hint="default"/>
      </w:rPr>
    </w:lvl>
    <w:lvl w:ilvl="4" w:tplc="14090003" w:tentative="1">
      <w:start w:val="1"/>
      <w:numFmt w:val="bullet"/>
      <w:lvlText w:val="o"/>
      <w:lvlJc w:val="left"/>
      <w:pPr>
        <w:ind w:left="4167" w:hanging="360"/>
      </w:pPr>
      <w:rPr>
        <w:rFonts w:ascii="Courier New" w:hAnsi="Courier New" w:cs="Courier New" w:hint="default"/>
      </w:rPr>
    </w:lvl>
    <w:lvl w:ilvl="5" w:tplc="14090005" w:tentative="1">
      <w:start w:val="1"/>
      <w:numFmt w:val="bullet"/>
      <w:lvlText w:val=""/>
      <w:lvlJc w:val="left"/>
      <w:pPr>
        <w:ind w:left="4887" w:hanging="360"/>
      </w:pPr>
      <w:rPr>
        <w:rFonts w:ascii="Wingdings" w:hAnsi="Wingdings" w:hint="default"/>
      </w:rPr>
    </w:lvl>
    <w:lvl w:ilvl="6" w:tplc="14090001" w:tentative="1">
      <w:start w:val="1"/>
      <w:numFmt w:val="bullet"/>
      <w:lvlText w:val=""/>
      <w:lvlJc w:val="left"/>
      <w:pPr>
        <w:ind w:left="5607" w:hanging="360"/>
      </w:pPr>
      <w:rPr>
        <w:rFonts w:ascii="Symbol" w:hAnsi="Symbol" w:hint="default"/>
      </w:rPr>
    </w:lvl>
    <w:lvl w:ilvl="7" w:tplc="14090003" w:tentative="1">
      <w:start w:val="1"/>
      <w:numFmt w:val="bullet"/>
      <w:lvlText w:val="o"/>
      <w:lvlJc w:val="left"/>
      <w:pPr>
        <w:ind w:left="6327" w:hanging="360"/>
      </w:pPr>
      <w:rPr>
        <w:rFonts w:ascii="Courier New" w:hAnsi="Courier New" w:cs="Courier New" w:hint="default"/>
      </w:rPr>
    </w:lvl>
    <w:lvl w:ilvl="8" w:tplc="14090005" w:tentative="1">
      <w:start w:val="1"/>
      <w:numFmt w:val="bullet"/>
      <w:lvlText w:val=""/>
      <w:lvlJc w:val="left"/>
      <w:pPr>
        <w:ind w:left="7047" w:hanging="360"/>
      </w:pPr>
      <w:rPr>
        <w:rFonts w:ascii="Wingdings" w:hAnsi="Wingdings" w:hint="default"/>
      </w:rPr>
    </w:lvl>
  </w:abstractNum>
  <w:abstractNum w:abstractNumId="2">
    <w:nsid w:val="322574EB"/>
    <w:multiLevelType w:val="multilevel"/>
    <w:tmpl w:val="B44AE9C0"/>
    <w:lvl w:ilvl="0">
      <w:start w:val="1"/>
      <w:numFmt w:val="bullet"/>
      <w:pStyle w:val="ListBullet"/>
      <w:lvlText w:val=""/>
      <w:lvlJc w:val="left"/>
      <w:pPr>
        <w:ind w:left="567" w:hanging="567"/>
      </w:pPr>
      <w:rPr>
        <w:rFonts w:ascii="Symbol" w:hAnsi="Symbol" w:hint="default"/>
        <w:color w:val="A6A6A6" w:themeColor="background1" w:themeShade="A6"/>
      </w:rPr>
    </w:lvl>
    <w:lvl w:ilvl="1">
      <w:start w:val="1"/>
      <w:numFmt w:val="bullet"/>
      <w:lvlRestart w:val="0"/>
      <w:lvlText w:val=""/>
      <w:lvlJc w:val="left"/>
      <w:pPr>
        <w:ind w:left="1134" w:hanging="567"/>
      </w:pPr>
      <w:rPr>
        <w:rFonts w:ascii="Symbol" w:hAnsi="Symbol" w:hint="default"/>
        <w:color w:val="auto"/>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
    <w:nsid w:val="46D06AC4"/>
    <w:multiLevelType w:val="multilevel"/>
    <w:tmpl w:val="23CA5902"/>
    <w:lvl w:ilvl="0">
      <w:start w:val="1"/>
      <w:numFmt w:val="decimal"/>
      <w:pStyle w:val="ListNumber"/>
      <w:lvlText w:val="%1."/>
      <w:lvlJc w:val="left"/>
      <w:pPr>
        <w:ind w:left="360" w:hanging="360"/>
      </w:pPr>
      <w:rPr>
        <w:rFonts w:hint="default"/>
      </w:rPr>
    </w:lvl>
    <w:lvl w:ilvl="1">
      <w:start w:val="1"/>
      <w:numFmt w:val="decimal"/>
      <w:lvlRestart w:val="0"/>
      <w:lvlText w:val="%1.%2."/>
      <w:lvlJc w:val="left"/>
      <w:pPr>
        <w:ind w:left="1134" w:hanging="567"/>
      </w:pPr>
      <w:rPr>
        <w:rFonts w:hint="default"/>
      </w:rPr>
    </w:lvl>
    <w:lvl w:ilvl="2">
      <w:start w:val="1"/>
      <w:numFmt w:val="decimal"/>
      <w:lvlRestart w:val="0"/>
      <w:lvlText w:val="%1.%2.%3."/>
      <w:lvlJc w:val="left"/>
      <w:pPr>
        <w:ind w:left="1985" w:hanging="851"/>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4">
    <w:nsid w:val="47444EF9"/>
    <w:multiLevelType w:val="hybridMultilevel"/>
    <w:tmpl w:val="F216E60A"/>
    <w:lvl w:ilvl="0" w:tplc="EC46FDD6">
      <w:start w:val="1"/>
      <w:numFmt w:val="bullet"/>
      <w:pStyle w:val="BulletPoints"/>
      <w:lvlText w:val=""/>
      <w:lvlJc w:val="left"/>
      <w:pPr>
        <w:ind w:left="720" w:hanging="360"/>
      </w:pPr>
      <w:rPr>
        <w:rFonts w:ascii="Symbol" w:hAnsi="Symbol" w:hint="default"/>
        <w:b w:val="0"/>
        <w:i w:val="0"/>
        <w:color w:val="999999"/>
        <w:sz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nsid w:val="4F0E1BEC"/>
    <w:multiLevelType w:val="hybridMultilevel"/>
    <w:tmpl w:val="6C8CB9FE"/>
    <w:lvl w:ilvl="0" w:tplc="CEE85A14">
      <w:start w:val="1"/>
      <w:numFmt w:val="bullet"/>
      <w:pStyle w:val="BulletpointsindentMFAT"/>
      <w:lvlText w:val=""/>
      <w:lvlJc w:val="left"/>
      <w:pPr>
        <w:tabs>
          <w:tab w:val="num" w:pos="567"/>
        </w:tabs>
        <w:ind w:left="567" w:hanging="567"/>
      </w:pPr>
      <w:rPr>
        <w:rFonts w:ascii="Symbol" w:hAnsi="Symbol" w:hint="default"/>
        <w:b w:val="0"/>
        <w:i w:val="0"/>
        <w:color w:val="999999"/>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99D3116"/>
    <w:multiLevelType w:val="multilevel"/>
    <w:tmpl w:val="434C1B90"/>
    <w:lvl w:ilvl="0">
      <w:start w:val="1"/>
      <w:numFmt w:val="bullet"/>
      <w:pStyle w:val="BulletPoints2MFAT"/>
      <w:lvlText w:val=""/>
      <w:lvlJc w:val="left"/>
      <w:pPr>
        <w:tabs>
          <w:tab w:val="num" w:pos="794"/>
        </w:tabs>
        <w:ind w:left="794" w:hanging="397"/>
      </w:pPr>
      <w:rPr>
        <w:rFonts w:ascii="Symbol" w:hAnsi="Symbol" w:hint="default"/>
        <w:b w:val="0"/>
        <w:i w:val="0"/>
        <w:caps w:val="0"/>
        <w:strike w:val="0"/>
        <w:dstrike w:val="0"/>
        <w:vanish w:val="0"/>
        <w:color w:val="333333"/>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907"/>
        </w:tabs>
        <w:ind w:left="907" w:hanging="39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644"/>
        </w:tabs>
        <w:ind w:left="1644" w:hanging="56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2211"/>
        </w:tabs>
        <w:ind w:left="2211" w:hanging="567"/>
      </w:pPr>
      <w:rPr>
        <w:rFonts w:ascii="Symbol" w:hAnsi="Symbol" w:hint="default"/>
        <w:b w:val="0"/>
        <w:i w:val="0"/>
        <w:sz w:val="16"/>
      </w:rPr>
    </w:lvl>
    <w:lvl w:ilvl="4">
      <w:start w:val="1"/>
      <w:numFmt w:val="bullet"/>
      <w:lvlText w:val="o"/>
      <w:lvlJc w:val="left"/>
      <w:pPr>
        <w:tabs>
          <w:tab w:val="num" w:pos="6916"/>
        </w:tabs>
        <w:ind w:left="6916" w:hanging="360"/>
      </w:pPr>
      <w:rPr>
        <w:rFonts w:ascii="Courier New" w:hAnsi="Courier New" w:hint="default"/>
      </w:rPr>
    </w:lvl>
    <w:lvl w:ilvl="5">
      <w:start w:val="1"/>
      <w:numFmt w:val="bullet"/>
      <w:lvlText w:val=""/>
      <w:lvlJc w:val="left"/>
      <w:pPr>
        <w:tabs>
          <w:tab w:val="num" w:pos="7636"/>
        </w:tabs>
        <w:ind w:left="7636" w:hanging="360"/>
      </w:pPr>
      <w:rPr>
        <w:rFonts w:ascii="Wingdings" w:hAnsi="Wingdings" w:hint="default"/>
      </w:rPr>
    </w:lvl>
    <w:lvl w:ilvl="6">
      <w:start w:val="1"/>
      <w:numFmt w:val="bullet"/>
      <w:lvlText w:val=""/>
      <w:lvlJc w:val="left"/>
      <w:pPr>
        <w:tabs>
          <w:tab w:val="num" w:pos="8356"/>
        </w:tabs>
        <w:ind w:left="8356" w:hanging="360"/>
      </w:pPr>
      <w:rPr>
        <w:rFonts w:ascii="Symbol" w:hAnsi="Symbol" w:hint="default"/>
      </w:rPr>
    </w:lvl>
    <w:lvl w:ilvl="7">
      <w:start w:val="1"/>
      <w:numFmt w:val="bullet"/>
      <w:lvlText w:val="o"/>
      <w:lvlJc w:val="left"/>
      <w:pPr>
        <w:tabs>
          <w:tab w:val="num" w:pos="9076"/>
        </w:tabs>
        <w:ind w:left="9076" w:hanging="360"/>
      </w:pPr>
      <w:rPr>
        <w:rFonts w:ascii="Courier New" w:hAnsi="Courier New" w:hint="default"/>
      </w:rPr>
    </w:lvl>
    <w:lvl w:ilvl="8">
      <w:start w:val="1"/>
      <w:numFmt w:val="bullet"/>
      <w:lvlText w:val=""/>
      <w:lvlJc w:val="left"/>
      <w:pPr>
        <w:tabs>
          <w:tab w:val="num" w:pos="9796"/>
        </w:tabs>
        <w:ind w:left="9796" w:hanging="360"/>
      </w:pPr>
      <w:rPr>
        <w:rFonts w:ascii="Wingdings" w:hAnsi="Wingdings" w:hint="default"/>
      </w:rPr>
    </w:lvl>
  </w:abstractNum>
  <w:abstractNum w:abstractNumId="7">
    <w:nsid w:val="6FBA09A0"/>
    <w:multiLevelType w:val="hybridMultilevel"/>
    <w:tmpl w:val="060670D6"/>
    <w:lvl w:ilvl="0" w:tplc="543C0428">
      <w:start w:val="1"/>
      <w:numFmt w:val="decimal"/>
      <w:lvlText w:val="%1."/>
      <w:lvlJc w:val="left"/>
      <w:pPr>
        <w:ind w:left="846" w:hanging="420"/>
      </w:pPr>
      <w:rPr>
        <w:rFonts w:ascii="Times New Roman" w:hAnsi="Times New Roman" w:cs="Times New Roman" w:hint="default"/>
        <w:color w:val="auto"/>
        <w:sz w:val="24"/>
        <w:szCs w:val="24"/>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nsid w:val="79ED5322"/>
    <w:multiLevelType w:val="hybridMultilevel"/>
    <w:tmpl w:val="6510AA1A"/>
    <w:lvl w:ilvl="0" w:tplc="14090019">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3"/>
  </w:num>
  <w:num w:numId="5">
    <w:abstractNumId w:val="6"/>
  </w:num>
  <w:num w:numId="6">
    <w:abstractNumId w:val="5"/>
  </w:num>
  <w:num w:numId="7">
    <w:abstractNumId w:val="1"/>
  </w:num>
  <w:num w:numId="8">
    <w:abstractNumId w:val="8"/>
  </w:num>
  <w:num w:numId="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52F"/>
    <w:rsid w:val="00023335"/>
    <w:rsid w:val="00071F86"/>
    <w:rsid w:val="000A3B90"/>
    <w:rsid w:val="00191276"/>
    <w:rsid w:val="002173C7"/>
    <w:rsid w:val="00236A09"/>
    <w:rsid w:val="00243DBD"/>
    <w:rsid w:val="00255554"/>
    <w:rsid w:val="00291F8E"/>
    <w:rsid w:val="002B6045"/>
    <w:rsid w:val="00303A38"/>
    <w:rsid w:val="003E5F24"/>
    <w:rsid w:val="003F4A6D"/>
    <w:rsid w:val="00515590"/>
    <w:rsid w:val="0058552F"/>
    <w:rsid w:val="005F099A"/>
    <w:rsid w:val="005F1313"/>
    <w:rsid w:val="00631640"/>
    <w:rsid w:val="006A699C"/>
    <w:rsid w:val="00803EF1"/>
    <w:rsid w:val="00832846"/>
    <w:rsid w:val="008A31F0"/>
    <w:rsid w:val="008D17C5"/>
    <w:rsid w:val="008D2C23"/>
    <w:rsid w:val="009602EC"/>
    <w:rsid w:val="009D261D"/>
    <w:rsid w:val="009D40EF"/>
    <w:rsid w:val="009F5D27"/>
    <w:rsid w:val="00AE0B06"/>
    <w:rsid w:val="00B37FF1"/>
    <w:rsid w:val="00B72B22"/>
    <w:rsid w:val="00CE1AA0"/>
    <w:rsid w:val="00D96C65"/>
    <w:rsid w:val="00DB5226"/>
    <w:rsid w:val="00EA04C8"/>
    <w:rsid w:val="00F06D90"/>
    <w:rsid w:val="00FC043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4" w:qFormat="1"/>
    <w:lsdException w:name="heading 3" w:uiPriority="5" w:qFormat="1"/>
    <w:lsdException w:name="heading 4" w:uiPriority="49"/>
    <w:lsdException w:name="heading 5" w:uiPriority="49"/>
    <w:lsdException w:name="heading 6" w:uiPriority="49" w:qFormat="1"/>
    <w:lsdException w:name="heading 7" w:uiPriority="49" w:qFormat="1"/>
    <w:lsdException w:name="heading 8" w:uiPriority="49" w:qFormat="1"/>
    <w:lsdException w:name="heading 9" w:uiPriority="4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1" w:qFormat="1"/>
    <w:lsdException w:name="footnote text" w:uiPriority="0" w:qFormat="1"/>
    <w:lsdException w:name="header" w:uiPriority="24" w:qFormat="1"/>
    <w:lsdException w:name="footer" w:uiPriority="22" w:qFormat="1"/>
    <w:lsdException w:name="caption" w:uiPriority="20" w:qFormat="1"/>
    <w:lsdException w:name="page number" w:uiPriority="0"/>
    <w:lsdException w:name="List Bullet" w:uiPriority="49" w:qFormat="1"/>
    <w:lsdException w:name="List Number" w:uiPriority="49" w:qFormat="1"/>
    <w:lsdException w:name="Title" w:semiHidden="0" w:uiPriority="2" w:unhideWhenUsed="0" w:qFormat="1"/>
    <w:lsdException w:name="Default Paragraph Font" w:uiPriority="1"/>
    <w:lsdException w:name="Body Text" w:uiPriority="10" w:qFormat="1"/>
    <w:lsdException w:name="Body Text Indent" w:uiPriority="11" w:qFormat="1"/>
    <w:lsdException w:name="Subtitle" w:semiHidden="0" w:uiPriority="49" w:unhideWhenUsed="0"/>
    <w:lsdException w:name="Body Text Indent 2" w:uiPriority="12" w:qFormat="1"/>
    <w:lsdException w:name="Strong" w:semiHidden="0" w:uiPriority="49" w:unhideWhenUsed="0"/>
    <w:lsdException w:name="Emphasis" w:semiHidden="0" w:uiPriority="49" w:unhideWhenUsed="0"/>
    <w:lsdException w:name="Table Grid" w:semiHidden="0" w:uiPriority="59" w:unhideWhenUsed="0"/>
    <w:lsdException w:name="Placeholder Text" w:unhideWhenUsed="0"/>
    <w:lsdException w:name="No Spacing" w:semiHidden="0" w:uiPriority="4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49" w:unhideWhenUsed="0"/>
    <w:lsdException w:name="Intense Emphasis" w:semiHidden="0" w:uiPriority="49"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Normal MFAT"/>
    <w:qFormat/>
    <w:rsid w:val="0058552F"/>
    <w:pPr>
      <w:spacing w:after="200" w:line="276" w:lineRule="auto"/>
    </w:pPr>
    <w:rPr>
      <w:rFonts w:asciiTheme="minorHAnsi" w:eastAsiaTheme="minorEastAsia" w:hAnsiTheme="minorHAnsi" w:cstheme="minorBidi"/>
      <w:sz w:val="22"/>
      <w:szCs w:val="22"/>
      <w:lang w:eastAsia="en-NZ"/>
    </w:rPr>
  </w:style>
  <w:style w:type="paragraph" w:styleId="Heading1">
    <w:name w:val="heading 1"/>
    <w:aliases w:val="Heading 1 MFAT"/>
    <w:basedOn w:val="Normal"/>
    <w:next w:val="Normal"/>
    <w:link w:val="Heading1Char"/>
    <w:uiPriority w:val="3"/>
    <w:qFormat/>
    <w:rsid w:val="00B37FF1"/>
    <w:pPr>
      <w:keepNext/>
      <w:pBdr>
        <w:bottom w:val="single" w:sz="4" w:space="1" w:color="808080"/>
      </w:pBdr>
      <w:spacing w:before="240" w:line="240" w:lineRule="auto"/>
      <w:outlineLvl w:val="0"/>
    </w:pPr>
    <w:rPr>
      <w:rFonts w:cs="Arial"/>
      <w:sz w:val="28"/>
      <w:szCs w:val="20"/>
    </w:rPr>
  </w:style>
  <w:style w:type="paragraph" w:styleId="Heading2">
    <w:name w:val="heading 2"/>
    <w:aliases w:val="Heading 2 MFAT"/>
    <w:basedOn w:val="Normal"/>
    <w:next w:val="Normal"/>
    <w:link w:val="Heading2Char"/>
    <w:uiPriority w:val="4"/>
    <w:qFormat/>
    <w:rsid w:val="00B37FF1"/>
    <w:pPr>
      <w:keepNext/>
      <w:spacing w:before="240" w:line="240" w:lineRule="auto"/>
      <w:outlineLvl w:val="1"/>
    </w:pPr>
    <w:rPr>
      <w:rFonts w:cs="Arial"/>
      <w:sz w:val="24"/>
    </w:rPr>
  </w:style>
  <w:style w:type="paragraph" w:styleId="Heading3">
    <w:name w:val="heading 3"/>
    <w:aliases w:val="Heading 3 MFAT"/>
    <w:basedOn w:val="Normal"/>
    <w:next w:val="Normal"/>
    <w:link w:val="Heading3Char"/>
    <w:uiPriority w:val="5"/>
    <w:qFormat/>
    <w:rsid w:val="00B37FF1"/>
    <w:pPr>
      <w:keepNext/>
      <w:spacing w:before="240"/>
      <w:outlineLvl w:val="2"/>
    </w:pPr>
    <w:rPr>
      <w:rFonts w:cs="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overflowPunct w:val="0"/>
      <w:autoSpaceDE w:val="0"/>
      <w:autoSpaceDN w:val="0"/>
      <w:adjustRightInd w:val="0"/>
      <w:spacing w:before="120"/>
      <w:ind w:left="567" w:hanging="567"/>
      <w:textAlignment w:val="baseline"/>
    </w:pPr>
    <w:rPr>
      <w:szCs w:val="20"/>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rPr>
      <w:rFonts w:cs="Arial"/>
      <w:sz w:val="14"/>
    </w:rPr>
  </w:style>
  <w:style w:type="paragraph" w:customStyle="1" w:styleId="BulletPoints2">
    <w:name w:val="Bullet Points 2"/>
    <w:basedOn w:val="Normal"/>
    <w:uiPriority w:val="8"/>
    <w:rsid w:val="00631640"/>
    <w:pPr>
      <w:spacing w:before="60"/>
    </w:pPr>
  </w:style>
  <w:style w:type="paragraph" w:customStyle="1" w:styleId="Tableheading">
    <w:name w:val="Table heading"/>
    <w:basedOn w:val="Normal"/>
    <w:next w:val="Normal"/>
    <w:uiPriority w:val="15"/>
    <w:rsid w:val="008A31F0"/>
    <w:pPr>
      <w:spacing w:line="240" w:lineRule="auto"/>
    </w:pPr>
    <w:rPr>
      <w:caps/>
      <w:sz w:val="16"/>
    </w:rPr>
  </w:style>
  <w:style w:type="paragraph" w:customStyle="1" w:styleId="Tabletext">
    <w:name w:val="Table text"/>
    <w:basedOn w:val="Normal"/>
    <w:uiPriority w:val="16"/>
    <w:rsid w:val="008A31F0"/>
    <w:pPr>
      <w:spacing w:line="240" w:lineRule="auto"/>
    </w:pPr>
    <w:rPr>
      <w:sz w:val="18"/>
    </w:rPr>
  </w:style>
  <w:style w:type="paragraph" w:customStyle="1" w:styleId="PageNumbers">
    <w:name w:val="Page Numbers"/>
    <w:basedOn w:val="Normal"/>
    <w:uiPriority w:val="26"/>
    <w:rsid w:val="008A31F0"/>
    <w:pPr>
      <w:framePr w:wrap="around" w:vAnchor="text" w:hAnchor="page" w:xAlign="center" w:y="1"/>
      <w:spacing w:line="240" w:lineRule="auto"/>
      <w:jc w:val="center"/>
    </w:pPr>
    <w:rPr>
      <w:sz w:val="18"/>
    </w:rPr>
  </w:style>
  <w:style w:type="paragraph" w:customStyle="1" w:styleId="TOC1">
    <w:name w:val="TOC1"/>
    <w:basedOn w:val="Normal"/>
    <w:uiPriority w:val="17"/>
    <w:rsid w:val="008A31F0"/>
    <w:pPr>
      <w:spacing w:before="180" w:line="240" w:lineRule="auto"/>
    </w:pPr>
  </w:style>
  <w:style w:type="paragraph" w:customStyle="1" w:styleId="TOC2">
    <w:name w:val="TOC2"/>
    <w:basedOn w:val="Normal"/>
    <w:uiPriority w:val="18"/>
    <w:rsid w:val="008A31F0"/>
    <w:pPr>
      <w:spacing w:before="120" w:line="240" w:lineRule="auto"/>
      <w:ind w:left="284"/>
    </w:pPr>
    <w:rPr>
      <w:sz w:val="18"/>
    </w:rPr>
  </w:style>
  <w:style w:type="paragraph" w:customStyle="1" w:styleId="TOC3">
    <w:name w:val="TOC3"/>
    <w:basedOn w:val="Normal"/>
    <w:uiPriority w:val="19"/>
    <w:rsid w:val="008A31F0"/>
    <w:pPr>
      <w:spacing w:before="60" w:line="240" w:lineRule="auto"/>
      <w:ind w:left="567"/>
    </w:pPr>
    <w:rPr>
      <w:sz w:val="18"/>
    </w:rPr>
  </w:style>
  <w:style w:type="paragraph" w:customStyle="1" w:styleId="Footnote">
    <w:name w:val="Footnote"/>
    <w:basedOn w:val="Normal"/>
    <w:uiPriority w:val="23"/>
    <w:rsid w:val="008A31F0"/>
    <w:pPr>
      <w:spacing w:before="120"/>
    </w:pPr>
    <w:rPr>
      <w:sz w:val="16"/>
    </w:rPr>
  </w:style>
  <w:style w:type="paragraph" w:customStyle="1" w:styleId="SecurityClassification">
    <w:name w:val="Security Classification"/>
    <w:basedOn w:val="Normal"/>
    <w:next w:val="Normal"/>
    <w:uiPriority w:val="27"/>
    <w:rsid w:val="008A31F0"/>
    <w:pPr>
      <w:jc w:val="center"/>
    </w:pPr>
    <w:rPr>
      <w:rFonts w:cs="Arial"/>
      <w:bCs/>
      <w:caps/>
      <w:szCs w:val="20"/>
    </w:rPr>
  </w:style>
  <w:style w:type="paragraph" w:customStyle="1" w:styleId="Bulletpointsindent">
    <w:name w:val="Bullet points indent"/>
    <w:basedOn w:val="BulletPoints"/>
    <w:uiPriority w:val="7"/>
    <w:rsid w:val="00631640"/>
    <w:pPr>
      <w:numPr>
        <w:numId w:val="0"/>
      </w:numPr>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overflowPunct w:val="0"/>
      <w:autoSpaceDE w:val="0"/>
      <w:autoSpaceDN w:val="0"/>
      <w:adjustRightInd w:val="0"/>
      <w:ind w:left="567"/>
      <w:jc w:val="both"/>
      <w:textAlignment w:val="baseline"/>
    </w:pPr>
    <w:rPr>
      <w:szCs w:val="20"/>
    </w:rPr>
  </w:style>
  <w:style w:type="paragraph" w:styleId="Header">
    <w:name w:val="header"/>
    <w:aliases w:val="Header MFAT"/>
    <w:basedOn w:val="Normal"/>
    <w:link w:val="HeaderChar"/>
    <w:uiPriority w:val="24"/>
    <w:qFormat/>
    <w:rsid w:val="00B37FF1"/>
    <w:rPr>
      <w:sz w:val="18"/>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rPr>
      <w:rFonts w:cs="Arial"/>
      <w:sz w:val="18"/>
      <w:szCs w:val="12"/>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spacing w:before="120"/>
    </w:pPr>
    <w:rPr>
      <w:b/>
      <w:bCs/>
      <w:sz w:val="16"/>
      <w:szCs w:val="18"/>
    </w:rPr>
  </w:style>
  <w:style w:type="paragraph" w:styleId="ListBullet">
    <w:name w:val="List Bullet"/>
    <w:aliases w:val="MFAT List Bullet"/>
    <w:basedOn w:val="Normal"/>
    <w:uiPriority w:val="49"/>
    <w:qFormat/>
    <w:rsid w:val="00B37FF1"/>
    <w:pPr>
      <w:numPr>
        <w:numId w:val="3"/>
      </w:numPr>
      <w:tabs>
        <w:tab w:val="left" w:pos="1134"/>
      </w:tabs>
      <w:overflowPunct w:val="0"/>
      <w:autoSpaceDE w:val="0"/>
      <w:autoSpaceDN w:val="0"/>
      <w:adjustRightInd w:val="0"/>
      <w:spacing w:before="120"/>
      <w:textAlignment w:val="baseline"/>
    </w:pPr>
    <w:rPr>
      <w:szCs w:val="20"/>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contextualSpacing/>
    </w:pPr>
  </w:style>
  <w:style w:type="paragraph" w:styleId="Title">
    <w:name w:val="Title"/>
    <w:aliases w:val="Title MFAT"/>
    <w:basedOn w:val="Normal"/>
    <w:link w:val="TitleChar"/>
    <w:uiPriority w:val="2"/>
    <w:qFormat/>
    <w:rsid w:val="00B37FF1"/>
    <w:pPr>
      <w:spacing w:line="240" w:lineRule="auto"/>
    </w:pPr>
    <w:rPr>
      <w:rFonts w:cs="Arial"/>
      <w:bCs/>
      <w:noProof/>
      <w:sz w:val="32"/>
      <w:szCs w:val="32"/>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spacing w:before="240"/>
      <w:jc w:val="both"/>
    </w:p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spacing w:before="240"/>
      <w:ind w:left="567"/>
    </w:p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spacing w:before="240"/>
      <w:ind w:left="1134"/>
    </w:p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sMFAT">
    <w:name w:val="Bullet Points MFAT"/>
    <w:basedOn w:val="Normal"/>
    <w:link w:val="BulletPointsMFATChar"/>
    <w:uiPriority w:val="6"/>
    <w:qFormat/>
    <w:rsid w:val="00B37FF1"/>
    <w:pPr>
      <w:overflowPunct w:val="0"/>
      <w:autoSpaceDE w:val="0"/>
      <w:autoSpaceDN w:val="0"/>
      <w:adjustRightInd w:val="0"/>
      <w:spacing w:before="120"/>
      <w:textAlignment w:val="baseline"/>
    </w:pPr>
    <w:rPr>
      <w:szCs w:val="20"/>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rPr>
      <w:rFonts w:cs="Arial"/>
      <w:sz w:val="14"/>
    </w:rPr>
  </w:style>
  <w:style w:type="paragraph" w:customStyle="1" w:styleId="BulletPoints2MFAT">
    <w:name w:val="Bullet Points 2 MFAT"/>
    <w:basedOn w:val="Normal"/>
    <w:uiPriority w:val="8"/>
    <w:qFormat/>
    <w:rsid w:val="00B37FF1"/>
    <w:pPr>
      <w:numPr>
        <w:numId w:val="5"/>
      </w:numPr>
      <w:spacing w:before="60"/>
    </w:pPr>
  </w:style>
  <w:style w:type="paragraph" w:customStyle="1" w:styleId="TableheadingMFAT">
    <w:name w:val="Table heading MFAT"/>
    <w:basedOn w:val="Normal"/>
    <w:next w:val="Normal"/>
    <w:uiPriority w:val="15"/>
    <w:qFormat/>
    <w:rsid w:val="00B37FF1"/>
    <w:pPr>
      <w:spacing w:line="240" w:lineRule="auto"/>
    </w:pPr>
    <w:rPr>
      <w:caps/>
      <w:sz w:val="16"/>
    </w:rPr>
  </w:style>
  <w:style w:type="paragraph" w:customStyle="1" w:styleId="TabletextMFAT">
    <w:name w:val="Table text MFAT"/>
    <w:basedOn w:val="Normal"/>
    <w:uiPriority w:val="16"/>
    <w:qFormat/>
    <w:rsid w:val="00B37FF1"/>
    <w:pPr>
      <w:spacing w:line="240" w:lineRule="auto"/>
    </w:pPr>
    <w:rPr>
      <w:sz w:val="18"/>
    </w:rPr>
  </w:style>
  <w:style w:type="paragraph" w:customStyle="1" w:styleId="PageNumbersMFAT">
    <w:name w:val="Page Numbers MFAT"/>
    <w:basedOn w:val="Normal"/>
    <w:uiPriority w:val="26"/>
    <w:qFormat/>
    <w:rsid w:val="00B37FF1"/>
    <w:pPr>
      <w:framePr w:wrap="around" w:vAnchor="text" w:hAnchor="page" w:xAlign="center" w:y="1"/>
      <w:spacing w:line="240" w:lineRule="auto"/>
      <w:jc w:val="center"/>
    </w:pPr>
    <w:rPr>
      <w:sz w:val="18"/>
    </w:rPr>
  </w:style>
  <w:style w:type="paragraph" w:customStyle="1" w:styleId="TOC1MFAT">
    <w:name w:val="TOC1 MFAT"/>
    <w:basedOn w:val="Normal"/>
    <w:uiPriority w:val="17"/>
    <w:qFormat/>
    <w:rsid w:val="00B37FF1"/>
    <w:pPr>
      <w:spacing w:before="180" w:line="240" w:lineRule="auto"/>
    </w:pPr>
  </w:style>
  <w:style w:type="paragraph" w:customStyle="1" w:styleId="TOC2MFAT">
    <w:name w:val="TOC2 MFAT"/>
    <w:basedOn w:val="Normal"/>
    <w:uiPriority w:val="18"/>
    <w:qFormat/>
    <w:rsid w:val="00B37FF1"/>
    <w:pPr>
      <w:spacing w:before="120" w:line="240" w:lineRule="auto"/>
      <w:ind w:left="284"/>
    </w:pPr>
    <w:rPr>
      <w:sz w:val="18"/>
    </w:rPr>
  </w:style>
  <w:style w:type="paragraph" w:customStyle="1" w:styleId="TOC3MFAT">
    <w:name w:val="TOC3 MFAT"/>
    <w:basedOn w:val="Normal"/>
    <w:uiPriority w:val="19"/>
    <w:qFormat/>
    <w:rsid w:val="00B37FF1"/>
    <w:pPr>
      <w:spacing w:before="60" w:line="240" w:lineRule="auto"/>
      <w:ind w:left="567"/>
    </w:pPr>
    <w:rPr>
      <w:sz w:val="18"/>
    </w:rPr>
  </w:style>
  <w:style w:type="paragraph" w:customStyle="1" w:styleId="FootnoteMFAT">
    <w:name w:val="Footnote MFAT"/>
    <w:basedOn w:val="Normal"/>
    <w:uiPriority w:val="23"/>
    <w:qFormat/>
    <w:rsid w:val="00B37FF1"/>
    <w:pPr>
      <w:spacing w:before="120"/>
    </w:pPr>
    <w:rPr>
      <w:sz w:val="16"/>
    </w:rPr>
  </w:style>
  <w:style w:type="paragraph" w:customStyle="1" w:styleId="SecurityClassificationMFAT">
    <w:name w:val="Security Classification MFAT"/>
    <w:basedOn w:val="Normal"/>
    <w:next w:val="Normal"/>
    <w:uiPriority w:val="27"/>
    <w:qFormat/>
    <w:rsid w:val="00B37FF1"/>
    <w:pPr>
      <w:jc w:val="center"/>
    </w:pPr>
    <w:rPr>
      <w:rFonts w:cs="Arial"/>
      <w:bCs/>
      <w:caps/>
      <w:szCs w:val="20"/>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 w:type="paragraph" w:styleId="ListParagraph">
    <w:name w:val="List Paragraph"/>
    <w:aliases w:val="Unordered List Paragraph,List Paragraph numbered,List Bullet indent,List Paragraph1,Rec para,Recommendation,List Paragraph11,Dot pt,F5 List Paragraph,No Spacing1,List Paragraph Char Char Char,Indicator Text,Numbered Para 1,Bullet 1,lp1,L"/>
    <w:basedOn w:val="Normal"/>
    <w:link w:val="ListParagraphChar"/>
    <w:uiPriority w:val="34"/>
    <w:qFormat/>
    <w:rsid w:val="0058552F"/>
    <w:pPr>
      <w:ind w:left="720"/>
    </w:pPr>
  </w:style>
  <w:style w:type="character" w:customStyle="1" w:styleId="ListParagraphChar">
    <w:name w:val="List Paragraph Char"/>
    <w:aliases w:val="Unordered List Paragraph Char,List Paragraph numbered Char,List Bullet indent Char,List Paragraph1 Char,Rec para Char,Recommendation Char,List Paragraph11 Char,Dot pt Char,F5 List Paragraph Char,No Spacing1 Char,Indicator Text Char"/>
    <w:basedOn w:val="DefaultParagraphFont"/>
    <w:link w:val="ListParagraph"/>
    <w:uiPriority w:val="34"/>
    <w:rsid w:val="0058552F"/>
    <w:rPr>
      <w:rFonts w:asciiTheme="minorHAnsi" w:eastAsiaTheme="minorEastAsia" w:hAnsiTheme="minorHAnsi" w:cstheme="minorBidi"/>
      <w:sz w:val="22"/>
      <w:szCs w:val="22"/>
      <w:lang w:eastAsia="en-NZ"/>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
    <w:basedOn w:val="Normal"/>
    <w:link w:val="FootnoteTextChar"/>
    <w:unhideWhenUsed/>
    <w:qFormat/>
    <w:rsid w:val="0058552F"/>
    <w:pPr>
      <w:spacing w:after="0" w:line="240" w:lineRule="auto"/>
    </w:pPr>
    <w:rPr>
      <w:rFonts w:ascii="Calibri" w:hAnsi="Calibri" w:cs="Calibri"/>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rsid w:val="0058552F"/>
    <w:rPr>
      <w:rFonts w:ascii="Calibri" w:eastAsiaTheme="minorEastAsia" w:hAnsi="Calibri" w:cs="Calibri"/>
      <w:lang w:eastAsia="en-NZ"/>
    </w:rPr>
  </w:style>
  <w:style w:type="character" w:styleId="FootnoteReference">
    <w:name w:val="footnote reference"/>
    <w:aliases w:val="4_G"/>
    <w:basedOn w:val="DefaultParagraphFont"/>
    <w:uiPriority w:val="99"/>
    <w:unhideWhenUsed/>
    <w:rsid w:val="0058552F"/>
    <w:rPr>
      <w:vertAlign w:val="superscript"/>
    </w:rPr>
  </w:style>
  <w:style w:type="paragraph" w:customStyle="1" w:styleId="HChG">
    <w:name w:val="_ H _Ch_G"/>
    <w:basedOn w:val="Normal"/>
    <w:next w:val="Normal"/>
    <w:rsid w:val="0058552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SingleTxtG">
    <w:name w:val="_ Single Txt_G"/>
    <w:basedOn w:val="Normal"/>
    <w:link w:val="SingleTxtGChar"/>
    <w:rsid w:val="0058552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8552F"/>
    <w:rPr>
      <w:lang w:val="en-GB" w:eastAsia="en-NZ"/>
    </w:rPr>
  </w:style>
  <w:style w:type="paragraph" w:customStyle="1" w:styleId="H1G">
    <w:name w:val="_ H_1_G"/>
    <w:basedOn w:val="Normal"/>
    <w:next w:val="Normal"/>
    <w:rsid w:val="0058552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4" w:qFormat="1"/>
    <w:lsdException w:name="heading 3" w:uiPriority="5" w:qFormat="1"/>
    <w:lsdException w:name="heading 4" w:uiPriority="49"/>
    <w:lsdException w:name="heading 5" w:uiPriority="49"/>
    <w:lsdException w:name="heading 6" w:uiPriority="49" w:qFormat="1"/>
    <w:lsdException w:name="heading 7" w:uiPriority="49" w:qFormat="1"/>
    <w:lsdException w:name="heading 8" w:uiPriority="49" w:qFormat="1"/>
    <w:lsdException w:name="heading 9" w:uiPriority="4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1" w:qFormat="1"/>
    <w:lsdException w:name="footnote text" w:uiPriority="0" w:qFormat="1"/>
    <w:lsdException w:name="header" w:uiPriority="24" w:qFormat="1"/>
    <w:lsdException w:name="footer" w:uiPriority="22" w:qFormat="1"/>
    <w:lsdException w:name="caption" w:uiPriority="20" w:qFormat="1"/>
    <w:lsdException w:name="page number" w:uiPriority="0"/>
    <w:lsdException w:name="List Bullet" w:uiPriority="49" w:qFormat="1"/>
    <w:lsdException w:name="List Number" w:uiPriority="49" w:qFormat="1"/>
    <w:lsdException w:name="Title" w:semiHidden="0" w:uiPriority="2" w:unhideWhenUsed="0" w:qFormat="1"/>
    <w:lsdException w:name="Default Paragraph Font" w:uiPriority="1"/>
    <w:lsdException w:name="Body Text" w:uiPriority="10" w:qFormat="1"/>
    <w:lsdException w:name="Body Text Indent" w:uiPriority="11" w:qFormat="1"/>
    <w:lsdException w:name="Subtitle" w:semiHidden="0" w:uiPriority="49" w:unhideWhenUsed="0"/>
    <w:lsdException w:name="Body Text Indent 2" w:uiPriority="12" w:qFormat="1"/>
    <w:lsdException w:name="Strong" w:semiHidden="0" w:uiPriority="49" w:unhideWhenUsed="0"/>
    <w:lsdException w:name="Emphasis" w:semiHidden="0" w:uiPriority="49" w:unhideWhenUsed="0"/>
    <w:lsdException w:name="Table Grid" w:semiHidden="0" w:uiPriority="59" w:unhideWhenUsed="0"/>
    <w:lsdException w:name="Placeholder Text" w:unhideWhenUsed="0"/>
    <w:lsdException w:name="No Spacing" w:semiHidden="0" w:uiPriority="4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49" w:unhideWhenUsed="0"/>
    <w:lsdException w:name="Intense Emphasis" w:semiHidden="0" w:uiPriority="49"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Normal MFAT"/>
    <w:qFormat/>
    <w:rsid w:val="0058552F"/>
    <w:pPr>
      <w:spacing w:after="200" w:line="276" w:lineRule="auto"/>
    </w:pPr>
    <w:rPr>
      <w:rFonts w:asciiTheme="minorHAnsi" w:eastAsiaTheme="minorEastAsia" w:hAnsiTheme="minorHAnsi" w:cstheme="minorBidi"/>
      <w:sz w:val="22"/>
      <w:szCs w:val="22"/>
      <w:lang w:eastAsia="en-NZ"/>
    </w:rPr>
  </w:style>
  <w:style w:type="paragraph" w:styleId="Heading1">
    <w:name w:val="heading 1"/>
    <w:aliases w:val="Heading 1 MFAT"/>
    <w:basedOn w:val="Normal"/>
    <w:next w:val="Normal"/>
    <w:link w:val="Heading1Char"/>
    <w:uiPriority w:val="3"/>
    <w:qFormat/>
    <w:rsid w:val="00B37FF1"/>
    <w:pPr>
      <w:keepNext/>
      <w:pBdr>
        <w:bottom w:val="single" w:sz="4" w:space="1" w:color="808080"/>
      </w:pBdr>
      <w:spacing w:before="240" w:line="240" w:lineRule="auto"/>
      <w:outlineLvl w:val="0"/>
    </w:pPr>
    <w:rPr>
      <w:rFonts w:cs="Arial"/>
      <w:sz w:val="28"/>
      <w:szCs w:val="20"/>
    </w:rPr>
  </w:style>
  <w:style w:type="paragraph" w:styleId="Heading2">
    <w:name w:val="heading 2"/>
    <w:aliases w:val="Heading 2 MFAT"/>
    <w:basedOn w:val="Normal"/>
    <w:next w:val="Normal"/>
    <w:link w:val="Heading2Char"/>
    <w:uiPriority w:val="4"/>
    <w:qFormat/>
    <w:rsid w:val="00B37FF1"/>
    <w:pPr>
      <w:keepNext/>
      <w:spacing w:before="240" w:line="240" w:lineRule="auto"/>
      <w:outlineLvl w:val="1"/>
    </w:pPr>
    <w:rPr>
      <w:rFonts w:cs="Arial"/>
      <w:sz w:val="24"/>
    </w:rPr>
  </w:style>
  <w:style w:type="paragraph" w:styleId="Heading3">
    <w:name w:val="heading 3"/>
    <w:aliases w:val="Heading 3 MFAT"/>
    <w:basedOn w:val="Normal"/>
    <w:next w:val="Normal"/>
    <w:link w:val="Heading3Char"/>
    <w:uiPriority w:val="5"/>
    <w:qFormat/>
    <w:rsid w:val="00B37FF1"/>
    <w:pPr>
      <w:keepNext/>
      <w:spacing w:before="240"/>
      <w:outlineLvl w:val="2"/>
    </w:pPr>
    <w:rPr>
      <w:rFonts w:cs="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overflowPunct w:val="0"/>
      <w:autoSpaceDE w:val="0"/>
      <w:autoSpaceDN w:val="0"/>
      <w:adjustRightInd w:val="0"/>
      <w:spacing w:before="120"/>
      <w:ind w:left="567" w:hanging="567"/>
      <w:textAlignment w:val="baseline"/>
    </w:pPr>
    <w:rPr>
      <w:szCs w:val="20"/>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rPr>
      <w:rFonts w:cs="Arial"/>
      <w:sz w:val="14"/>
    </w:rPr>
  </w:style>
  <w:style w:type="paragraph" w:customStyle="1" w:styleId="BulletPoints2">
    <w:name w:val="Bullet Points 2"/>
    <w:basedOn w:val="Normal"/>
    <w:uiPriority w:val="8"/>
    <w:rsid w:val="00631640"/>
    <w:pPr>
      <w:spacing w:before="60"/>
    </w:pPr>
  </w:style>
  <w:style w:type="paragraph" w:customStyle="1" w:styleId="Tableheading">
    <w:name w:val="Table heading"/>
    <w:basedOn w:val="Normal"/>
    <w:next w:val="Normal"/>
    <w:uiPriority w:val="15"/>
    <w:rsid w:val="008A31F0"/>
    <w:pPr>
      <w:spacing w:line="240" w:lineRule="auto"/>
    </w:pPr>
    <w:rPr>
      <w:caps/>
      <w:sz w:val="16"/>
    </w:rPr>
  </w:style>
  <w:style w:type="paragraph" w:customStyle="1" w:styleId="Tabletext">
    <w:name w:val="Table text"/>
    <w:basedOn w:val="Normal"/>
    <w:uiPriority w:val="16"/>
    <w:rsid w:val="008A31F0"/>
    <w:pPr>
      <w:spacing w:line="240" w:lineRule="auto"/>
    </w:pPr>
    <w:rPr>
      <w:sz w:val="18"/>
    </w:rPr>
  </w:style>
  <w:style w:type="paragraph" w:customStyle="1" w:styleId="PageNumbers">
    <w:name w:val="Page Numbers"/>
    <w:basedOn w:val="Normal"/>
    <w:uiPriority w:val="26"/>
    <w:rsid w:val="008A31F0"/>
    <w:pPr>
      <w:framePr w:wrap="around" w:vAnchor="text" w:hAnchor="page" w:xAlign="center" w:y="1"/>
      <w:spacing w:line="240" w:lineRule="auto"/>
      <w:jc w:val="center"/>
    </w:pPr>
    <w:rPr>
      <w:sz w:val="18"/>
    </w:rPr>
  </w:style>
  <w:style w:type="paragraph" w:customStyle="1" w:styleId="TOC1">
    <w:name w:val="TOC1"/>
    <w:basedOn w:val="Normal"/>
    <w:uiPriority w:val="17"/>
    <w:rsid w:val="008A31F0"/>
    <w:pPr>
      <w:spacing w:before="180" w:line="240" w:lineRule="auto"/>
    </w:pPr>
  </w:style>
  <w:style w:type="paragraph" w:customStyle="1" w:styleId="TOC2">
    <w:name w:val="TOC2"/>
    <w:basedOn w:val="Normal"/>
    <w:uiPriority w:val="18"/>
    <w:rsid w:val="008A31F0"/>
    <w:pPr>
      <w:spacing w:before="120" w:line="240" w:lineRule="auto"/>
      <w:ind w:left="284"/>
    </w:pPr>
    <w:rPr>
      <w:sz w:val="18"/>
    </w:rPr>
  </w:style>
  <w:style w:type="paragraph" w:customStyle="1" w:styleId="TOC3">
    <w:name w:val="TOC3"/>
    <w:basedOn w:val="Normal"/>
    <w:uiPriority w:val="19"/>
    <w:rsid w:val="008A31F0"/>
    <w:pPr>
      <w:spacing w:before="60" w:line="240" w:lineRule="auto"/>
      <w:ind w:left="567"/>
    </w:pPr>
    <w:rPr>
      <w:sz w:val="18"/>
    </w:rPr>
  </w:style>
  <w:style w:type="paragraph" w:customStyle="1" w:styleId="Footnote">
    <w:name w:val="Footnote"/>
    <w:basedOn w:val="Normal"/>
    <w:uiPriority w:val="23"/>
    <w:rsid w:val="008A31F0"/>
    <w:pPr>
      <w:spacing w:before="120"/>
    </w:pPr>
    <w:rPr>
      <w:sz w:val="16"/>
    </w:rPr>
  </w:style>
  <w:style w:type="paragraph" w:customStyle="1" w:styleId="SecurityClassification">
    <w:name w:val="Security Classification"/>
    <w:basedOn w:val="Normal"/>
    <w:next w:val="Normal"/>
    <w:uiPriority w:val="27"/>
    <w:rsid w:val="008A31F0"/>
    <w:pPr>
      <w:jc w:val="center"/>
    </w:pPr>
    <w:rPr>
      <w:rFonts w:cs="Arial"/>
      <w:bCs/>
      <w:caps/>
      <w:szCs w:val="20"/>
    </w:rPr>
  </w:style>
  <w:style w:type="paragraph" w:customStyle="1" w:styleId="Bulletpointsindent">
    <w:name w:val="Bullet points indent"/>
    <w:basedOn w:val="BulletPoints"/>
    <w:uiPriority w:val="7"/>
    <w:rsid w:val="00631640"/>
    <w:pPr>
      <w:numPr>
        <w:numId w:val="0"/>
      </w:numPr>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overflowPunct w:val="0"/>
      <w:autoSpaceDE w:val="0"/>
      <w:autoSpaceDN w:val="0"/>
      <w:adjustRightInd w:val="0"/>
      <w:ind w:left="567"/>
      <w:jc w:val="both"/>
      <w:textAlignment w:val="baseline"/>
    </w:pPr>
    <w:rPr>
      <w:szCs w:val="20"/>
    </w:rPr>
  </w:style>
  <w:style w:type="paragraph" w:styleId="Header">
    <w:name w:val="header"/>
    <w:aliases w:val="Header MFAT"/>
    <w:basedOn w:val="Normal"/>
    <w:link w:val="HeaderChar"/>
    <w:uiPriority w:val="24"/>
    <w:qFormat/>
    <w:rsid w:val="00B37FF1"/>
    <w:rPr>
      <w:sz w:val="18"/>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rPr>
      <w:rFonts w:cs="Arial"/>
      <w:sz w:val="18"/>
      <w:szCs w:val="12"/>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spacing w:before="120"/>
    </w:pPr>
    <w:rPr>
      <w:b/>
      <w:bCs/>
      <w:sz w:val="16"/>
      <w:szCs w:val="18"/>
    </w:rPr>
  </w:style>
  <w:style w:type="paragraph" w:styleId="ListBullet">
    <w:name w:val="List Bullet"/>
    <w:aliases w:val="MFAT List Bullet"/>
    <w:basedOn w:val="Normal"/>
    <w:uiPriority w:val="49"/>
    <w:qFormat/>
    <w:rsid w:val="00B37FF1"/>
    <w:pPr>
      <w:numPr>
        <w:numId w:val="3"/>
      </w:numPr>
      <w:tabs>
        <w:tab w:val="left" w:pos="1134"/>
      </w:tabs>
      <w:overflowPunct w:val="0"/>
      <w:autoSpaceDE w:val="0"/>
      <w:autoSpaceDN w:val="0"/>
      <w:adjustRightInd w:val="0"/>
      <w:spacing w:before="120"/>
      <w:textAlignment w:val="baseline"/>
    </w:pPr>
    <w:rPr>
      <w:szCs w:val="20"/>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contextualSpacing/>
    </w:pPr>
  </w:style>
  <w:style w:type="paragraph" w:styleId="Title">
    <w:name w:val="Title"/>
    <w:aliases w:val="Title MFAT"/>
    <w:basedOn w:val="Normal"/>
    <w:link w:val="TitleChar"/>
    <w:uiPriority w:val="2"/>
    <w:qFormat/>
    <w:rsid w:val="00B37FF1"/>
    <w:pPr>
      <w:spacing w:line="240" w:lineRule="auto"/>
    </w:pPr>
    <w:rPr>
      <w:rFonts w:cs="Arial"/>
      <w:bCs/>
      <w:noProof/>
      <w:sz w:val="32"/>
      <w:szCs w:val="32"/>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spacing w:before="240"/>
      <w:jc w:val="both"/>
    </w:p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spacing w:before="240"/>
      <w:ind w:left="567"/>
    </w:p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spacing w:before="240"/>
      <w:ind w:left="1134"/>
    </w:p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sMFAT">
    <w:name w:val="Bullet Points MFAT"/>
    <w:basedOn w:val="Normal"/>
    <w:link w:val="BulletPointsMFATChar"/>
    <w:uiPriority w:val="6"/>
    <w:qFormat/>
    <w:rsid w:val="00B37FF1"/>
    <w:pPr>
      <w:overflowPunct w:val="0"/>
      <w:autoSpaceDE w:val="0"/>
      <w:autoSpaceDN w:val="0"/>
      <w:adjustRightInd w:val="0"/>
      <w:spacing w:before="120"/>
      <w:textAlignment w:val="baseline"/>
    </w:pPr>
    <w:rPr>
      <w:szCs w:val="20"/>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rPr>
      <w:rFonts w:cs="Arial"/>
      <w:sz w:val="14"/>
    </w:rPr>
  </w:style>
  <w:style w:type="paragraph" w:customStyle="1" w:styleId="BulletPoints2MFAT">
    <w:name w:val="Bullet Points 2 MFAT"/>
    <w:basedOn w:val="Normal"/>
    <w:uiPriority w:val="8"/>
    <w:qFormat/>
    <w:rsid w:val="00B37FF1"/>
    <w:pPr>
      <w:numPr>
        <w:numId w:val="5"/>
      </w:numPr>
      <w:spacing w:before="60"/>
    </w:pPr>
  </w:style>
  <w:style w:type="paragraph" w:customStyle="1" w:styleId="TableheadingMFAT">
    <w:name w:val="Table heading MFAT"/>
    <w:basedOn w:val="Normal"/>
    <w:next w:val="Normal"/>
    <w:uiPriority w:val="15"/>
    <w:qFormat/>
    <w:rsid w:val="00B37FF1"/>
    <w:pPr>
      <w:spacing w:line="240" w:lineRule="auto"/>
    </w:pPr>
    <w:rPr>
      <w:caps/>
      <w:sz w:val="16"/>
    </w:rPr>
  </w:style>
  <w:style w:type="paragraph" w:customStyle="1" w:styleId="TabletextMFAT">
    <w:name w:val="Table text MFAT"/>
    <w:basedOn w:val="Normal"/>
    <w:uiPriority w:val="16"/>
    <w:qFormat/>
    <w:rsid w:val="00B37FF1"/>
    <w:pPr>
      <w:spacing w:line="240" w:lineRule="auto"/>
    </w:pPr>
    <w:rPr>
      <w:sz w:val="18"/>
    </w:rPr>
  </w:style>
  <w:style w:type="paragraph" w:customStyle="1" w:styleId="PageNumbersMFAT">
    <w:name w:val="Page Numbers MFAT"/>
    <w:basedOn w:val="Normal"/>
    <w:uiPriority w:val="26"/>
    <w:qFormat/>
    <w:rsid w:val="00B37FF1"/>
    <w:pPr>
      <w:framePr w:wrap="around" w:vAnchor="text" w:hAnchor="page" w:xAlign="center" w:y="1"/>
      <w:spacing w:line="240" w:lineRule="auto"/>
      <w:jc w:val="center"/>
    </w:pPr>
    <w:rPr>
      <w:sz w:val="18"/>
    </w:rPr>
  </w:style>
  <w:style w:type="paragraph" w:customStyle="1" w:styleId="TOC1MFAT">
    <w:name w:val="TOC1 MFAT"/>
    <w:basedOn w:val="Normal"/>
    <w:uiPriority w:val="17"/>
    <w:qFormat/>
    <w:rsid w:val="00B37FF1"/>
    <w:pPr>
      <w:spacing w:before="180" w:line="240" w:lineRule="auto"/>
    </w:pPr>
  </w:style>
  <w:style w:type="paragraph" w:customStyle="1" w:styleId="TOC2MFAT">
    <w:name w:val="TOC2 MFAT"/>
    <w:basedOn w:val="Normal"/>
    <w:uiPriority w:val="18"/>
    <w:qFormat/>
    <w:rsid w:val="00B37FF1"/>
    <w:pPr>
      <w:spacing w:before="120" w:line="240" w:lineRule="auto"/>
      <w:ind w:left="284"/>
    </w:pPr>
    <w:rPr>
      <w:sz w:val="18"/>
    </w:rPr>
  </w:style>
  <w:style w:type="paragraph" w:customStyle="1" w:styleId="TOC3MFAT">
    <w:name w:val="TOC3 MFAT"/>
    <w:basedOn w:val="Normal"/>
    <w:uiPriority w:val="19"/>
    <w:qFormat/>
    <w:rsid w:val="00B37FF1"/>
    <w:pPr>
      <w:spacing w:before="60" w:line="240" w:lineRule="auto"/>
      <w:ind w:left="567"/>
    </w:pPr>
    <w:rPr>
      <w:sz w:val="18"/>
    </w:rPr>
  </w:style>
  <w:style w:type="paragraph" w:customStyle="1" w:styleId="FootnoteMFAT">
    <w:name w:val="Footnote MFAT"/>
    <w:basedOn w:val="Normal"/>
    <w:uiPriority w:val="23"/>
    <w:qFormat/>
    <w:rsid w:val="00B37FF1"/>
    <w:pPr>
      <w:spacing w:before="120"/>
    </w:pPr>
    <w:rPr>
      <w:sz w:val="16"/>
    </w:rPr>
  </w:style>
  <w:style w:type="paragraph" w:customStyle="1" w:styleId="SecurityClassificationMFAT">
    <w:name w:val="Security Classification MFAT"/>
    <w:basedOn w:val="Normal"/>
    <w:next w:val="Normal"/>
    <w:uiPriority w:val="27"/>
    <w:qFormat/>
    <w:rsid w:val="00B37FF1"/>
    <w:pPr>
      <w:jc w:val="center"/>
    </w:pPr>
    <w:rPr>
      <w:rFonts w:cs="Arial"/>
      <w:bCs/>
      <w:caps/>
      <w:szCs w:val="20"/>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 w:type="paragraph" w:styleId="ListParagraph">
    <w:name w:val="List Paragraph"/>
    <w:aliases w:val="Unordered List Paragraph,List Paragraph numbered,List Bullet indent,List Paragraph1,Rec para,Recommendation,List Paragraph11,Dot pt,F5 List Paragraph,No Spacing1,List Paragraph Char Char Char,Indicator Text,Numbered Para 1,Bullet 1,lp1,L"/>
    <w:basedOn w:val="Normal"/>
    <w:link w:val="ListParagraphChar"/>
    <w:uiPriority w:val="34"/>
    <w:qFormat/>
    <w:rsid w:val="0058552F"/>
    <w:pPr>
      <w:ind w:left="720"/>
    </w:pPr>
  </w:style>
  <w:style w:type="character" w:customStyle="1" w:styleId="ListParagraphChar">
    <w:name w:val="List Paragraph Char"/>
    <w:aliases w:val="Unordered List Paragraph Char,List Paragraph numbered Char,List Bullet indent Char,List Paragraph1 Char,Rec para Char,Recommendation Char,List Paragraph11 Char,Dot pt Char,F5 List Paragraph Char,No Spacing1 Char,Indicator Text Char"/>
    <w:basedOn w:val="DefaultParagraphFont"/>
    <w:link w:val="ListParagraph"/>
    <w:uiPriority w:val="34"/>
    <w:rsid w:val="0058552F"/>
    <w:rPr>
      <w:rFonts w:asciiTheme="minorHAnsi" w:eastAsiaTheme="minorEastAsia" w:hAnsiTheme="minorHAnsi" w:cstheme="minorBidi"/>
      <w:sz w:val="22"/>
      <w:szCs w:val="22"/>
      <w:lang w:eastAsia="en-NZ"/>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
    <w:basedOn w:val="Normal"/>
    <w:link w:val="FootnoteTextChar"/>
    <w:unhideWhenUsed/>
    <w:qFormat/>
    <w:rsid w:val="0058552F"/>
    <w:pPr>
      <w:spacing w:after="0" w:line="240" w:lineRule="auto"/>
    </w:pPr>
    <w:rPr>
      <w:rFonts w:ascii="Calibri" w:hAnsi="Calibri" w:cs="Calibri"/>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rsid w:val="0058552F"/>
    <w:rPr>
      <w:rFonts w:ascii="Calibri" w:eastAsiaTheme="minorEastAsia" w:hAnsi="Calibri" w:cs="Calibri"/>
      <w:lang w:eastAsia="en-NZ"/>
    </w:rPr>
  </w:style>
  <w:style w:type="character" w:styleId="FootnoteReference">
    <w:name w:val="footnote reference"/>
    <w:aliases w:val="4_G"/>
    <w:basedOn w:val="DefaultParagraphFont"/>
    <w:uiPriority w:val="99"/>
    <w:unhideWhenUsed/>
    <w:rsid w:val="0058552F"/>
    <w:rPr>
      <w:vertAlign w:val="superscript"/>
    </w:rPr>
  </w:style>
  <w:style w:type="paragraph" w:customStyle="1" w:styleId="HChG">
    <w:name w:val="_ H _Ch_G"/>
    <w:basedOn w:val="Normal"/>
    <w:next w:val="Normal"/>
    <w:rsid w:val="0058552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SingleTxtG">
    <w:name w:val="_ Single Txt_G"/>
    <w:basedOn w:val="Normal"/>
    <w:link w:val="SingleTxtGChar"/>
    <w:rsid w:val="0058552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8552F"/>
    <w:rPr>
      <w:lang w:val="en-GB" w:eastAsia="en-NZ"/>
    </w:rPr>
  </w:style>
  <w:style w:type="paragraph" w:customStyle="1" w:styleId="H1G">
    <w:name w:val="_ H_1_G"/>
    <w:basedOn w:val="Normal"/>
    <w:next w:val="Normal"/>
    <w:rsid w:val="0058552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513405-DC9A-45ED-9BF3-8DC4BB719311}"/>
</file>

<file path=customXml/itemProps2.xml><?xml version="1.0" encoding="utf-8"?>
<ds:datastoreItem xmlns:ds="http://schemas.openxmlformats.org/officeDocument/2006/customXml" ds:itemID="{AA23DD40-097C-4DDD-A79D-9CF0555703B0}"/>
</file>

<file path=customXml/itemProps3.xml><?xml version="1.0" encoding="utf-8"?>
<ds:datastoreItem xmlns:ds="http://schemas.openxmlformats.org/officeDocument/2006/customXml" ds:itemID="{51C98C96-8E0D-4B45-B3C4-C7BB9FC71F2E}"/>
</file>

<file path=customXml/itemProps4.xml><?xml version="1.0" encoding="utf-8"?>
<ds:datastoreItem xmlns:ds="http://schemas.openxmlformats.org/officeDocument/2006/customXml" ds:itemID="{E740400B-1ECC-4F58-B948-7DC2078C12EC}"/>
</file>

<file path=docProps/app.xml><?xml version="1.0" encoding="utf-8"?>
<Properties xmlns="http://schemas.openxmlformats.org/officeDocument/2006/extended-properties" xmlns:vt="http://schemas.openxmlformats.org/officeDocument/2006/docPropsVTypes">
  <Template>Normal.dotm</Template>
  <TotalTime>0</TotalTime>
  <Pages>5</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MFAT</dc:creator>
  <cp:lastModifiedBy>Hélène Orrü</cp:lastModifiedBy>
  <cp:revision>2</cp:revision>
  <dcterms:created xsi:type="dcterms:W3CDTF">2017-08-24T07:27:00Z</dcterms:created>
  <dcterms:modified xsi:type="dcterms:W3CDTF">2017-08-24T07:27:00Z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