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10EBB3" w14:textId="07108730" w:rsidR="003F57E4" w:rsidRPr="003F57E4" w:rsidRDefault="003F57E4" w:rsidP="00124E0C">
      <w:pPr>
        <w:pStyle w:val="BFrontcovermaintitle"/>
        <w:rPr>
          <w:rFonts w:eastAsia="MS Mincho"/>
          <w:shd w:val="clear" w:color="auto" w:fill="FFFF00"/>
        </w:rPr>
      </w:pPr>
      <w:r w:rsidRPr="003F57E4">
        <w:rPr>
          <w:rFonts w:eastAsia="MS Mincho"/>
          <w:shd w:val="clear" w:color="auto" w:fill="FFFF00"/>
        </w:rPr>
        <w:t> </w:t>
      </w:r>
      <w:r w:rsidR="00F943AD">
        <w:rPr>
          <w:rFonts w:eastAsia="MS Mincho"/>
          <w:shd w:val="clear" w:color="auto" w:fill="FFFF00"/>
        </w:rPr>
        <w:t xml:space="preserve">GREECE </w:t>
      </w:r>
    </w:p>
    <w:p w14:paraId="1F747FBB" w14:textId="77777777" w:rsidR="00574C11" w:rsidRPr="00574C11" w:rsidRDefault="00574C11" w:rsidP="00B0223B">
      <w:pPr>
        <w:rPr>
          <w:rFonts w:ascii="Amnesty Trade Gothic Cn" w:eastAsia="MS Mincho" w:hAnsi="Amnesty Trade Gothic Cn"/>
          <w:b/>
          <w:bCs/>
          <w:caps/>
          <w:noProof/>
          <w:sz w:val="44"/>
          <w:szCs w:val="44"/>
        </w:rPr>
      </w:pPr>
      <w:r w:rsidRPr="00574C11">
        <w:rPr>
          <w:rFonts w:ascii="Amnesty Trade Gothic Cn" w:eastAsia="MS Mincho" w:hAnsi="Amnesty Trade Gothic Cn"/>
          <w:b/>
          <w:bCs/>
          <w:caps/>
          <w:noProof/>
          <w:sz w:val="44"/>
          <w:szCs w:val="44"/>
        </w:rPr>
        <w:t>SUBMISSION TO THE UN HUMAN RIGHTS COMMITTEE</w:t>
      </w:r>
    </w:p>
    <w:p w14:paraId="459641EC" w14:textId="1BD4D645" w:rsidR="00065FFC" w:rsidRPr="00574C11" w:rsidRDefault="0049007E" w:rsidP="00B0223B">
      <w:pPr>
        <w:rPr>
          <w:b/>
          <w:bCs/>
        </w:rPr>
      </w:pPr>
      <w:r w:rsidRPr="00574C11">
        <w:rPr>
          <w:rFonts w:ascii="Amnesty Trade Gothic Cn" w:eastAsia="MS Mincho" w:hAnsi="Amnesty Trade Gothic Cn"/>
          <w:b/>
          <w:bCs/>
          <w:caps/>
          <w:noProof/>
          <w:sz w:val="44"/>
          <w:szCs w:val="44"/>
        </w:rPr>
        <w:t>142</w:t>
      </w:r>
      <w:r w:rsidRPr="00574C11">
        <w:rPr>
          <w:rFonts w:ascii="Amnesty Trade Gothic Cn" w:eastAsia="MS Mincho" w:hAnsi="Amnesty Trade Gothic Cn"/>
          <w:b/>
          <w:bCs/>
          <w:caps/>
          <w:noProof/>
          <w:sz w:val="44"/>
          <w:szCs w:val="44"/>
          <w:vertAlign w:val="superscript"/>
        </w:rPr>
        <w:t>nd</w:t>
      </w:r>
      <w:r w:rsidRPr="00574C11">
        <w:rPr>
          <w:rFonts w:ascii="Amnesty Trade Gothic Cn" w:eastAsia="MS Mincho" w:hAnsi="Amnesty Trade Gothic Cn"/>
          <w:b/>
          <w:bCs/>
          <w:caps/>
          <w:noProof/>
          <w:sz w:val="44"/>
          <w:szCs w:val="44"/>
        </w:rPr>
        <w:t xml:space="preserve"> </w:t>
      </w:r>
      <w:r w:rsidR="00986EB5" w:rsidRPr="00574C11">
        <w:rPr>
          <w:rFonts w:ascii="Amnesty Trade Gothic Cn" w:eastAsia="MS Mincho" w:hAnsi="Amnesty Trade Gothic Cn"/>
          <w:b/>
          <w:bCs/>
          <w:caps/>
          <w:noProof/>
          <w:sz w:val="44"/>
          <w:szCs w:val="44"/>
        </w:rPr>
        <w:t xml:space="preserve">SESSION, </w:t>
      </w:r>
      <w:r w:rsidRPr="00574C11">
        <w:rPr>
          <w:rFonts w:ascii="Amnesty Trade Gothic Cn" w:eastAsia="MS Mincho" w:hAnsi="Amnesty Trade Gothic Cn"/>
          <w:b/>
          <w:bCs/>
          <w:caps/>
          <w:noProof/>
          <w:sz w:val="44"/>
          <w:szCs w:val="44"/>
        </w:rPr>
        <w:t>14</w:t>
      </w:r>
      <w:r w:rsidR="00921D43" w:rsidRPr="00574C11">
        <w:rPr>
          <w:rFonts w:ascii="Amnesty Trade Gothic Cn" w:eastAsia="MS Mincho" w:hAnsi="Amnesty Trade Gothic Cn"/>
          <w:b/>
          <w:bCs/>
          <w:caps/>
          <w:noProof/>
          <w:sz w:val="44"/>
          <w:szCs w:val="44"/>
        </w:rPr>
        <w:t xml:space="preserve"> october–</w:t>
      </w:r>
      <w:r w:rsidRPr="00574C11">
        <w:rPr>
          <w:rFonts w:ascii="Amnesty Trade Gothic Cn" w:eastAsia="MS Mincho" w:hAnsi="Amnesty Trade Gothic Cn"/>
          <w:b/>
          <w:bCs/>
          <w:caps/>
          <w:noProof/>
          <w:sz w:val="44"/>
          <w:szCs w:val="44"/>
        </w:rPr>
        <w:t>7</w:t>
      </w:r>
      <w:r w:rsidR="007F73BC" w:rsidRPr="00574C11">
        <w:rPr>
          <w:rFonts w:ascii="Amnesty Trade Gothic Cn" w:eastAsia="MS Mincho" w:hAnsi="Amnesty Trade Gothic Cn"/>
          <w:b/>
          <w:bCs/>
          <w:caps/>
          <w:noProof/>
          <w:sz w:val="44"/>
          <w:szCs w:val="44"/>
        </w:rPr>
        <w:t xml:space="preserve"> november</w:t>
      </w:r>
      <w:r w:rsidR="00C01B3C">
        <w:rPr>
          <w:rFonts w:ascii="Amnesty Trade Gothic Cn" w:eastAsia="MS Mincho" w:hAnsi="Amnesty Trade Gothic Cn"/>
          <w:b/>
          <w:bCs/>
          <w:caps/>
          <w:noProof/>
          <w:sz w:val="44"/>
          <w:szCs w:val="44"/>
        </w:rPr>
        <w:t xml:space="preserve"> 2024</w:t>
      </w:r>
    </w:p>
    <w:p w14:paraId="306BCFC7" w14:textId="37691711" w:rsidR="00065FFC" w:rsidRDefault="005D6062" w:rsidP="00B0223B">
      <w:r w:rsidRPr="0009139D">
        <w:rPr>
          <w:rStyle w:val="TOC2Char"/>
          <w:sz w:val="36"/>
          <w:szCs w:val="36"/>
        </w:rPr>
        <w:drawing>
          <wp:anchor distT="0" distB="144145" distL="114300" distR="114300" simplePos="0" relativeHeight="251658248" behindDoc="1" locked="1" layoutInCell="1" allowOverlap="1" wp14:anchorId="1D8924D2" wp14:editId="68C04001">
            <wp:simplePos x="0" y="0"/>
            <wp:positionH relativeFrom="margin">
              <wp:posOffset>1340485</wp:posOffset>
            </wp:positionH>
            <wp:positionV relativeFrom="margin">
              <wp:posOffset>2378710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Pr="00F11704" w:rsidRDefault="00065FFC" w:rsidP="00065FFC">
      <w:pPr>
        <w:pStyle w:val="BContentsheading"/>
        <w:rPr>
          <w:sz w:val="52"/>
          <w:szCs w:val="52"/>
        </w:rPr>
      </w:pPr>
      <w:r w:rsidRPr="00F11704">
        <w:rPr>
          <w:sz w:val="52"/>
          <w:szCs w:val="52"/>
        </w:rPr>
        <w:lastRenderedPageBreak/>
        <w:t>Contents</w:t>
      </w:r>
    </w:p>
    <w:p w14:paraId="1BEB9ED4" w14:textId="00134CB6" w:rsidR="0077552B" w:rsidRDefault="00346173">
      <w:pPr>
        <w:pStyle w:val="TOC1"/>
        <w:rPr>
          <w:rFonts w:asciiTheme="minorHAnsi" w:eastAsiaTheme="minorEastAsia" w:hAnsiTheme="minorHAnsi" w:cstheme="minorBidi"/>
          <w:b w:val="0"/>
          <w:bCs w:val="0"/>
          <w:caps w:val="0"/>
          <w:color w:val="auto"/>
          <w:kern w:val="2"/>
          <w:sz w:val="24"/>
          <w:szCs w:val="24"/>
          <w:u w:val="none"/>
          <w14:ligatures w14:val="standardContextual"/>
        </w:rPr>
      </w:pPr>
      <w:r w:rsidRPr="00F11704">
        <w:fldChar w:fldCharType="begin"/>
      </w:r>
      <w:r w:rsidRPr="00F11704">
        <w:instrText xml:space="preserve"> TOC \h \z \t "B Heading (no numbers),1,B Numbered Heading,1,B Subheading (no numbers),2,B Numbered Subheading,2" </w:instrText>
      </w:r>
      <w:r w:rsidRPr="00F11704">
        <w:fldChar w:fldCharType="separate"/>
      </w:r>
      <w:hyperlink w:anchor="_Toc177292865" w:history="1">
        <w:r w:rsidR="0077552B" w:rsidRPr="003149C8">
          <w:rPr>
            <w:rStyle w:val="Hyperlink"/>
          </w:rPr>
          <w:t>1.</w:t>
        </w:r>
        <w:r w:rsidR="0077552B">
          <w:rPr>
            <w:rFonts w:asciiTheme="minorHAnsi" w:eastAsiaTheme="minorEastAsia" w:hAnsiTheme="minorHAnsi" w:cstheme="minorBidi"/>
            <w:b w:val="0"/>
            <w:bCs w:val="0"/>
            <w:caps w:val="0"/>
            <w:color w:val="auto"/>
            <w:kern w:val="2"/>
            <w:sz w:val="24"/>
            <w:szCs w:val="24"/>
            <w:u w:val="none"/>
            <w14:ligatures w14:val="standardContextual"/>
          </w:rPr>
          <w:tab/>
        </w:r>
        <w:r w:rsidR="0077552B" w:rsidRPr="003149C8">
          <w:rPr>
            <w:rStyle w:val="Hyperlink"/>
          </w:rPr>
          <w:t>introduction</w:t>
        </w:r>
        <w:r w:rsidR="0077552B">
          <w:rPr>
            <w:webHidden/>
          </w:rPr>
          <w:tab/>
        </w:r>
        <w:r w:rsidR="0077552B">
          <w:rPr>
            <w:webHidden/>
          </w:rPr>
          <w:fldChar w:fldCharType="begin"/>
        </w:r>
        <w:r w:rsidR="0077552B">
          <w:rPr>
            <w:webHidden/>
          </w:rPr>
          <w:instrText xml:space="preserve"> PAGEREF _Toc177292865 \h </w:instrText>
        </w:r>
        <w:r w:rsidR="0077552B">
          <w:rPr>
            <w:webHidden/>
          </w:rPr>
        </w:r>
        <w:r w:rsidR="0077552B">
          <w:rPr>
            <w:webHidden/>
          </w:rPr>
          <w:fldChar w:fldCharType="separate"/>
        </w:r>
        <w:r w:rsidR="0077552B">
          <w:rPr>
            <w:webHidden/>
          </w:rPr>
          <w:t>3</w:t>
        </w:r>
        <w:r w:rsidR="0077552B">
          <w:rPr>
            <w:webHidden/>
          </w:rPr>
          <w:fldChar w:fldCharType="end"/>
        </w:r>
      </w:hyperlink>
    </w:p>
    <w:p w14:paraId="3938F725" w14:textId="6C06FB43" w:rsidR="0077552B" w:rsidRDefault="009E5FE1">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7292866" w:history="1">
        <w:r w:rsidR="0077552B" w:rsidRPr="003149C8">
          <w:rPr>
            <w:rStyle w:val="Hyperlink"/>
          </w:rPr>
          <w:t>2.</w:t>
        </w:r>
        <w:r w:rsidR="0077552B">
          <w:rPr>
            <w:rFonts w:asciiTheme="minorHAnsi" w:eastAsiaTheme="minorEastAsia" w:hAnsiTheme="minorHAnsi" w:cstheme="minorBidi"/>
            <w:b w:val="0"/>
            <w:bCs w:val="0"/>
            <w:caps w:val="0"/>
            <w:color w:val="auto"/>
            <w:kern w:val="2"/>
            <w:sz w:val="24"/>
            <w:szCs w:val="24"/>
            <w:u w:val="none"/>
            <w14:ligatures w14:val="standardContextual"/>
          </w:rPr>
          <w:tab/>
        </w:r>
        <w:r w:rsidR="0077552B" w:rsidRPr="003149C8">
          <w:rPr>
            <w:rStyle w:val="Hyperlink"/>
          </w:rPr>
          <w:t>General INFORMATION ON THE NATIONAL HUMAN RIGHTS SITUATION (ARTICLE 2)</w:t>
        </w:r>
        <w:r w:rsidR="0077552B">
          <w:rPr>
            <w:webHidden/>
          </w:rPr>
          <w:tab/>
        </w:r>
        <w:r w:rsidR="0077552B">
          <w:rPr>
            <w:webHidden/>
          </w:rPr>
          <w:fldChar w:fldCharType="begin"/>
        </w:r>
        <w:r w:rsidR="0077552B">
          <w:rPr>
            <w:webHidden/>
          </w:rPr>
          <w:instrText xml:space="preserve"> PAGEREF _Toc177292866 \h </w:instrText>
        </w:r>
        <w:r w:rsidR="0077552B">
          <w:rPr>
            <w:webHidden/>
          </w:rPr>
        </w:r>
        <w:r w:rsidR="0077552B">
          <w:rPr>
            <w:webHidden/>
          </w:rPr>
          <w:fldChar w:fldCharType="separate"/>
        </w:r>
        <w:r w:rsidR="0077552B">
          <w:rPr>
            <w:webHidden/>
          </w:rPr>
          <w:t>3</w:t>
        </w:r>
        <w:r w:rsidR="0077552B">
          <w:rPr>
            <w:webHidden/>
          </w:rPr>
          <w:fldChar w:fldCharType="end"/>
        </w:r>
      </w:hyperlink>
    </w:p>
    <w:p w14:paraId="596E0EE5" w14:textId="69615CE5" w:rsidR="0077552B" w:rsidRDefault="009E5FE1">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7292867" w:history="1">
        <w:r w:rsidR="0077552B" w:rsidRPr="003149C8">
          <w:rPr>
            <w:rStyle w:val="Hyperlink"/>
          </w:rPr>
          <w:t>3.</w:t>
        </w:r>
        <w:r w:rsidR="0077552B">
          <w:rPr>
            <w:rFonts w:asciiTheme="minorHAnsi" w:eastAsiaTheme="minorEastAsia" w:hAnsiTheme="minorHAnsi" w:cstheme="minorBidi"/>
            <w:b w:val="0"/>
            <w:bCs w:val="0"/>
            <w:caps w:val="0"/>
            <w:color w:val="auto"/>
            <w:kern w:val="2"/>
            <w:sz w:val="24"/>
            <w:szCs w:val="24"/>
            <w:u w:val="none"/>
            <w14:ligatures w14:val="standardContextual"/>
          </w:rPr>
          <w:tab/>
        </w:r>
        <w:r w:rsidR="0077552B" w:rsidRPr="003149C8">
          <w:rPr>
            <w:rStyle w:val="Hyperlink"/>
          </w:rPr>
          <w:t>Covid-19 related restrictions</w:t>
        </w:r>
        <w:r w:rsidR="0077552B">
          <w:rPr>
            <w:webHidden/>
          </w:rPr>
          <w:tab/>
        </w:r>
        <w:r w:rsidR="0077552B">
          <w:rPr>
            <w:webHidden/>
          </w:rPr>
          <w:fldChar w:fldCharType="begin"/>
        </w:r>
        <w:r w:rsidR="0077552B">
          <w:rPr>
            <w:webHidden/>
          </w:rPr>
          <w:instrText xml:space="preserve"> PAGEREF _Toc177292867 \h </w:instrText>
        </w:r>
        <w:r w:rsidR="0077552B">
          <w:rPr>
            <w:webHidden/>
          </w:rPr>
        </w:r>
        <w:r w:rsidR="0077552B">
          <w:rPr>
            <w:webHidden/>
          </w:rPr>
          <w:fldChar w:fldCharType="separate"/>
        </w:r>
        <w:r w:rsidR="0077552B">
          <w:rPr>
            <w:webHidden/>
          </w:rPr>
          <w:t>3</w:t>
        </w:r>
        <w:r w:rsidR="0077552B">
          <w:rPr>
            <w:webHidden/>
          </w:rPr>
          <w:fldChar w:fldCharType="end"/>
        </w:r>
      </w:hyperlink>
    </w:p>
    <w:p w14:paraId="6E3E59D4" w14:textId="5D63C449" w:rsidR="0077552B" w:rsidRDefault="009E5FE1">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7292868" w:history="1">
        <w:r w:rsidR="0077552B" w:rsidRPr="003149C8">
          <w:rPr>
            <w:rStyle w:val="Hyperlink"/>
          </w:rPr>
          <w:t>4.</w:t>
        </w:r>
        <w:r w:rsidR="0077552B">
          <w:rPr>
            <w:rFonts w:asciiTheme="minorHAnsi" w:eastAsiaTheme="minorEastAsia" w:hAnsiTheme="minorHAnsi" w:cstheme="minorBidi"/>
            <w:b w:val="0"/>
            <w:bCs w:val="0"/>
            <w:caps w:val="0"/>
            <w:color w:val="auto"/>
            <w:kern w:val="2"/>
            <w:sz w:val="24"/>
            <w:szCs w:val="24"/>
            <w:u w:val="none"/>
            <w14:ligatures w14:val="standardContextual"/>
          </w:rPr>
          <w:tab/>
        </w:r>
        <w:r w:rsidR="0077552B" w:rsidRPr="003149C8">
          <w:rPr>
            <w:rStyle w:val="Hyperlink"/>
          </w:rPr>
          <w:t>Right to life and prohibition of torture and cruel, inhuman or degrading treatment (ARTICLES 6 AND 7 iccpr)</w:t>
        </w:r>
        <w:r w:rsidR="0077552B">
          <w:rPr>
            <w:webHidden/>
          </w:rPr>
          <w:tab/>
        </w:r>
        <w:r w:rsidR="0077552B">
          <w:rPr>
            <w:webHidden/>
          </w:rPr>
          <w:fldChar w:fldCharType="begin"/>
        </w:r>
        <w:r w:rsidR="0077552B">
          <w:rPr>
            <w:webHidden/>
          </w:rPr>
          <w:instrText xml:space="preserve"> PAGEREF _Toc177292868 \h </w:instrText>
        </w:r>
        <w:r w:rsidR="0077552B">
          <w:rPr>
            <w:webHidden/>
          </w:rPr>
        </w:r>
        <w:r w:rsidR="0077552B">
          <w:rPr>
            <w:webHidden/>
          </w:rPr>
          <w:fldChar w:fldCharType="separate"/>
        </w:r>
        <w:r w:rsidR="0077552B">
          <w:rPr>
            <w:webHidden/>
          </w:rPr>
          <w:t>4</w:t>
        </w:r>
        <w:r w:rsidR="0077552B">
          <w:rPr>
            <w:webHidden/>
          </w:rPr>
          <w:fldChar w:fldCharType="end"/>
        </w:r>
      </w:hyperlink>
    </w:p>
    <w:p w14:paraId="690916C5" w14:textId="3436ECB3"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69" w:history="1">
        <w:r w:rsidR="0077552B" w:rsidRPr="003149C8">
          <w:rPr>
            <w:rStyle w:val="Hyperlink"/>
          </w:rPr>
          <w:t>4.1</w:t>
        </w:r>
        <w:r w:rsidR="0077552B">
          <w:rPr>
            <w:rFonts w:asciiTheme="minorHAnsi" w:eastAsiaTheme="minorEastAsia" w:hAnsiTheme="minorHAnsi" w:cstheme="minorBidi"/>
            <w:bCs w:val="0"/>
            <w:kern w:val="2"/>
            <w:sz w:val="24"/>
            <w:u w:val="none"/>
            <w14:ligatures w14:val="standardContextual"/>
          </w:rPr>
          <w:tab/>
        </w:r>
        <w:r w:rsidR="0077552B" w:rsidRPr="003149C8">
          <w:rPr>
            <w:rStyle w:val="Hyperlink"/>
          </w:rPr>
          <w:t>Right to life</w:t>
        </w:r>
        <w:r w:rsidR="0077552B">
          <w:rPr>
            <w:webHidden/>
          </w:rPr>
          <w:tab/>
        </w:r>
        <w:r w:rsidR="0077552B">
          <w:rPr>
            <w:webHidden/>
          </w:rPr>
          <w:fldChar w:fldCharType="begin"/>
        </w:r>
        <w:r w:rsidR="0077552B">
          <w:rPr>
            <w:webHidden/>
          </w:rPr>
          <w:instrText xml:space="preserve"> PAGEREF _Toc177292869 \h </w:instrText>
        </w:r>
        <w:r w:rsidR="0077552B">
          <w:rPr>
            <w:webHidden/>
          </w:rPr>
        </w:r>
        <w:r w:rsidR="0077552B">
          <w:rPr>
            <w:webHidden/>
          </w:rPr>
          <w:fldChar w:fldCharType="separate"/>
        </w:r>
        <w:r w:rsidR="0077552B">
          <w:rPr>
            <w:webHidden/>
          </w:rPr>
          <w:t>4</w:t>
        </w:r>
        <w:r w:rsidR="0077552B">
          <w:rPr>
            <w:webHidden/>
          </w:rPr>
          <w:fldChar w:fldCharType="end"/>
        </w:r>
      </w:hyperlink>
    </w:p>
    <w:p w14:paraId="1CBB6E0B" w14:textId="00890807"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70" w:history="1">
        <w:r w:rsidR="0077552B" w:rsidRPr="003149C8">
          <w:rPr>
            <w:rStyle w:val="Hyperlink"/>
          </w:rPr>
          <w:t>4.2</w:t>
        </w:r>
        <w:r w:rsidR="0077552B">
          <w:rPr>
            <w:rFonts w:asciiTheme="minorHAnsi" w:eastAsiaTheme="minorEastAsia" w:hAnsiTheme="minorHAnsi" w:cstheme="minorBidi"/>
            <w:bCs w:val="0"/>
            <w:kern w:val="2"/>
            <w:sz w:val="24"/>
            <w:u w:val="none"/>
            <w14:ligatures w14:val="standardContextual"/>
          </w:rPr>
          <w:tab/>
        </w:r>
        <w:r w:rsidR="0077552B" w:rsidRPr="003149C8">
          <w:rPr>
            <w:rStyle w:val="Hyperlink"/>
          </w:rPr>
          <w:t>Accountability mechanisms</w:t>
        </w:r>
        <w:r w:rsidR="0077552B">
          <w:rPr>
            <w:webHidden/>
          </w:rPr>
          <w:tab/>
        </w:r>
        <w:r w:rsidR="0077552B">
          <w:rPr>
            <w:webHidden/>
          </w:rPr>
          <w:fldChar w:fldCharType="begin"/>
        </w:r>
        <w:r w:rsidR="0077552B">
          <w:rPr>
            <w:webHidden/>
          </w:rPr>
          <w:instrText xml:space="preserve"> PAGEREF _Toc177292870 \h </w:instrText>
        </w:r>
        <w:r w:rsidR="0077552B">
          <w:rPr>
            <w:webHidden/>
          </w:rPr>
        </w:r>
        <w:r w:rsidR="0077552B">
          <w:rPr>
            <w:webHidden/>
          </w:rPr>
          <w:fldChar w:fldCharType="separate"/>
        </w:r>
        <w:r w:rsidR="0077552B">
          <w:rPr>
            <w:webHidden/>
          </w:rPr>
          <w:t>4</w:t>
        </w:r>
        <w:r w:rsidR="0077552B">
          <w:rPr>
            <w:webHidden/>
          </w:rPr>
          <w:fldChar w:fldCharType="end"/>
        </w:r>
      </w:hyperlink>
    </w:p>
    <w:p w14:paraId="5D7953BE" w14:textId="69EEBC5A"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71" w:history="1">
        <w:r w:rsidR="0077552B" w:rsidRPr="003149C8">
          <w:rPr>
            <w:rStyle w:val="Hyperlink"/>
            <w:lang w:val="en-US"/>
          </w:rPr>
          <w:t>RECOMMENDATIONS</w:t>
        </w:r>
        <w:r w:rsidR="0077552B">
          <w:rPr>
            <w:webHidden/>
          </w:rPr>
          <w:tab/>
        </w:r>
        <w:r w:rsidR="0077552B">
          <w:rPr>
            <w:webHidden/>
          </w:rPr>
          <w:fldChar w:fldCharType="begin"/>
        </w:r>
        <w:r w:rsidR="0077552B">
          <w:rPr>
            <w:webHidden/>
          </w:rPr>
          <w:instrText xml:space="preserve"> PAGEREF _Toc177292871 \h </w:instrText>
        </w:r>
        <w:r w:rsidR="0077552B">
          <w:rPr>
            <w:webHidden/>
          </w:rPr>
        </w:r>
        <w:r w:rsidR="0077552B">
          <w:rPr>
            <w:webHidden/>
          </w:rPr>
          <w:fldChar w:fldCharType="separate"/>
        </w:r>
        <w:r w:rsidR="0077552B">
          <w:rPr>
            <w:webHidden/>
          </w:rPr>
          <w:t>4</w:t>
        </w:r>
        <w:r w:rsidR="0077552B">
          <w:rPr>
            <w:webHidden/>
          </w:rPr>
          <w:fldChar w:fldCharType="end"/>
        </w:r>
      </w:hyperlink>
    </w:p>
    <w:p w14:paraId="128E7F43" w14:textId="3F309B65" w:rsidR="0077552B" w:rsidRDefault="009E5FE1">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7292872" w:history="1">
        <w:r w:rsidR="0077552B" w:rsidRPr="003149C8">
          <w:rPr>
            <w:rStyle w:val="Hyperlink"/>
          </w:rPr>
          <w:t>5.</w:t>
        </w:r>
        <w:r w:rsidR="0077552B">
          <w:rPr>
            <w:rFonts w:asciiTheme="minorHAnsi" w:eastAsiaTheme="minorEastAsia" w:hAnsiTheme="minorHAnsi" w:cstheme="minorBidi"/>
            <w:b w:val="0"/>
            <w:bCs w:val="0"/>
            <w:caps w:val="0"/>
            <w:color w:val="auto"/>
            <w:kern w:val="2"/>
            <w:sz w:val="24"/>
            <w:szCs w:val="24"/>
            <w:u w:val="none"/>
            <w14:ligatures w14:val="standardContextual"/>
          </w:rPr>
          <w:tab/>
        </w:r>
        <w:r w:rsidR="0077552B" w:rsidRPr="003149C8">
          <w:rPr>
            <w:rStyle w:val="Hyperlink"/>
          </w:rPr>
          <w:t>Treatment of aliens</w:t>
        </w:r>
        <w:r w:rsidR="0077552B">
          <w:rPr>
            <w:webHidden/>
          </w:rPr>
          <w:tab/>
        </w:r>
        <w:r w:rsidR="0077552B">
          <w:rPr>
            <w:webHidden/>
          </w:rPr>
          <w:fldChar w:fldCharType="begin"/>
        </w:r>
        <w:r w:rsidR="0077552B">
          <w:rPr>
            <w:webHidden/>
          </w:rPr>
          <w:instrText xml:space="preserve"> PAGEREF _Toc177292872 \h </w:instrText>
        </w:r>
        <w:r w:rsidR="0077552B">
          <w:rPr>
            <w:webHidden/>
          </w:rPr>
        </w:r>
        <w:r w:rsidR="0077552B">
          <w:rPr>
            <w:webHidden/>
          </w:rPr>
          <w:fldChar w:fldCharType="separate"/>
        </w:r>
        <w:r w:rsidR="0077552B">
          <w:rPr>
            <w:webHidden/>
          </w:rPr>
          <w:t>5</w:t>
        </w:r>
        <w:r w:rsidR="0077552B">
          <w:rPr>
            <w:webHidden/>
          </w:rPr>
          <w:fldChar w:fldCharType="end"/>
        </w:r>
      </w:hyperlink>
    </w:p>
    <w:p w14:paraId="7FB4DBA4" w14:textId="24D46A8D"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73" w:history="1">
        <w:r w:rsidR="0077552B" w:rsidRPr="003149C8">
          <w:rPr>
            <w:rStyle w:val="Hyperlink"/>
          </w:rPr>
          <w:t>5.1</w:t>
        </w:r>
        <w:r w:rsidR="0077552B">
          <w:rPr>
            <w:rFonts w:asciiTheme="minorHAnsi" w:eastAsiaTheme="minorEastAsia" w:hAnsiTheme="minorHAnsi" w:cstheme="minorBidi"/>
            <w:bCs w:val="0"/>
            <w:kern w:val="2"/>
            <w:sz w:val="24"/>
            <w:u w:val="none"/>
            <w14:ligatures w14:val="standardContextual"/>
          </w:rPr>
          <w:tab/>
        </w:r>
        <w:r w:rsidR="0077552B" w:rsidRPr="003149C8">
          <w:rPr>
            <w:rStyle w:val="Hyperlink"/>
          </w:rPr>
          <w:t>Right to life and prohibition of torture and cruel, inhuman or degrading treatment (</w:t>
        </w:r>
        <w:r w:rsidR="000718D3">
          <w:rPr>
            <w:rStyle w:val="Hyperlink"/>
          </w:rPr>
          <w:t xml:space="preserve">Articles </w:t>
        </w:r>
        <w:r w:rsidR="0077552B" w:rsidRPr="003149C8">
          <w:rPr>
            <w:rStyle w:val="Hyperlink"/>
          </w:rPr>
          <w:t>6, 7)</w:t>
        </w:r>
        <w:r w:rsidR="0077552B">
          <w:rPr>
            <w:webHidden/>
          </w:rPr>
          <w:tab/>
        </w:r>
        <w:r w:rsidR="0077552B">
          <w:rPr>
            <w:webHidden/>
          </w:rPr>
          <w:fldChar w:fldCharType="begin"/>
        </w:r>
        <w:r w:rsidR="0077552B">
          <w:rPr>
            <w:webHidden/>
          </w:rPr>
          <w:instrText xml:space="preserve"> PAGEREF _Toc177292873 \h </w:instrText>
        </w:r>
        <w:r w:rsidR="0077552B">
          <w:rPr>
            <w:webHidden/>
          </w:rPr>
        </w:r>
        <w:r w:rsidR="0077552B">
          <w:rPr>
            <w:webHidden/>
          </w:rPr>
          <w:fldChar w:fldCharType="separate"/>
        </w:r>
        <w:r w:rsidR="0077552B">
          <w:rPr>
            <w:webHidden/>
          </w:rPr>
          <w:t>5</w:t>
        </w:r>
        <w:r w:rsidR="0077552B">
          <w:rPr>
            <w:webHidden/>
          </w:rPr>
          <w:fldChar w:fldCharType="end"/>
        </w:r>
      </w:hyperlink>
    </w:p>
    <w:p w14:paraId="585B2C85" w14:textId="6BB4397B"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74" w:history="1">
        <w:r w:rsidR="0077552B" w:rsidRPr="003149C8">
          <w:rPr>
            <w:rStyle w:val="Hyperlink"/>
          </w:rPr>
          <w:t>Recommendations</w:t>
        </w:r>
        <w:r w:rsidR="0077552B">
          <w:rPr>
            <w:webHidden/>
          </w:rPr>
          <w:tab/>
        </w:r>
        <w:r w:rsidR="0077552B">
          <w:rPr>
            <w:webHidden/>
          </w:rPr>
          <w:fldChar w:fldCharType="begin"/>
        </w:r>
        <w:r w:rsidR="0077552B">
          <w:rPr>
            <w:webHidden/>
          </w:rPr>
          <w:instrText xml:space="preserve"> PAGEREF _Toc177292874 \h </w:instrText>
        </w:r>
        <w:r w:rsidR="0077552B">
          <w:rPr>
            <w:webHidden/>
          </w:rPr>
        </w:r>
        <w:r w:rsidR="0077552B">
          <w:rPr>
            <w:webHidden/>
          </w:rPr>
          <w:fldChar w:fldCharType="separate"/>
        </w:r>
        <w:r w:rsidR="0077552B">
          <w:rPr>
            <w:webHidden/>
          </w:rPr>
          <w:t>7</w:t>
        </w:r>
        <w:r w:rsidR="0077552B">
          <w:rPr>
            <w:webHidden/>
          </w:rPr>
          <w:fldChar w:fldCharType="end"/>
        </w:r>
      </w:hyperlink>
    </w:p>
    <w:p w14:paraId="3CC7D397" w14:textId="10A147BB"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75" w:history="1">
        <w:r w:rsidR="0077552B" w:rsidRPr="003149C8">
          <w:rPr>
            <w:rStyle w:val="Hyperlink"/>
          </w:rPr>
          <w:t>5.2</w:t>
        </w:r>
        <w:r w:rsidR="0077552B">
          <w:rPr>
            <w:rFonts w:asciiTheme="minorHAnsi" w:eastAsiaTheme="minorEastAsia" w:hAnsiTheme="minorHAnsi" w:cstheme="minorBidi"/>
            <w:bCs w:val="0"/>
            <w:kern w:val="2"/>
            <w:sz w:val="24"/>
            <w:u w:val="none"/>
            <w14:ligatures w14:val="standardContextual"/>
          </w:rPr>
          <w:tab/>
        </w:r>
        <w:r w:rsidR="0077552B" w:rsidRPr="003149C8">
          <w:rPr>
            <w:rStyle w:val="Hyperlink"/>
          </w:rPr>
          <w:t xml:space="preserve">Right to liberty and security of person </w:t>
        </w:r>
        <w:r w:rsidR="002A6F7C">
          <w:rPr>
            <w:rStyle w:val="Hyperlink"/>
          </w:rPr>
          <w:t xml:space="preserve">and </w:t>
        </w:r>
        <w:r w:rsidR="0077552B" w:rsidRPr="003149C8">
          <w:rPr>
            <w:rStyle w:val="Hyperlink"/>
          </w:rPr>
          <w:t>treatment of persons deprived of their liberty (</w:t>
        </w:r>
        <w:r w:rsidR="000718D3">
          <w:rPr>
            <w:rStyle w:val="Hyperlink"/>
          </w:rPr>
          <w:t>Articles</w:t>
        </w:r>
        <w:r w:rsidR="0077552B" w:rsidRPr="003149C8">
          <w:rPr>
            <w:rStyle w:val="Hyperlink"/>
          </w:rPr>
          <w:t xml:space="preserve"> 9-10 and 24)</w:t>
        </w:r>
        <w:r w:rsidR="0077552B">
          <w:rPr>
            <w:webHidden/>
          </w:rPr>
          <w:tab/>
        </w:r>
        <w:r w:rsidR="0077552B">
          <w:rPr>
            <w:webHidden/>
          </w:rPr>
          <w:fldChar w:fldCharType="begin"/>
        </w:r>
        <w:r w:rsidR="0077552B">
          <w:rPr>
            <w:webHidden/>
          </w:rPr>
          <w:instrText xml:space="preserve"> PAGEREF _Toc177292875 \h </w:instrText>
        </w:r>
        <w:r w:rsidR="0077552B">
          <w:rPr>
            <w:webHidden/>
          </w:rPr>
        </w:r>
        <w:r w:rsidR="0077552B">
          <w:rPr>
            <w:webHidden/>
          </w:rPr>
          <w:fldChar w:fldCharType="separate"/>
        </w:r>
        <w:r w:rsidR="0077552B">
          <w:rPr>
            <w:webHidden/>
          </w:rPr>
          <w:t>7</w:t>
        </w:r>
        <w:r w:rsidR="0077552B">
          <w:rPr>
            <w:webHidden/>
          </w:rPr>
          <w:fldChar w:fldCharType="end"/>
        </w:r>
      </w:hyperlink>
    </w:p>
    <w:p w14:paraId="590D2990" w14:textId="4715815C"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76" w:history="1">
        <w:r w:rsidR="0077552B" w:rsidRPr="003149C8">
          <w:rPr>
            <w:rStyle w:val="Hyperlink"/>
          </w:rPr>
          <w:t>RECOMMENDATIONS</w:t>
        </w:r>
        <w:r w:rsidR="0077552B">
          <w:rPr>
            <w:webHidden/>
          </w:rPr>
          <w:tab/>
        </w:r>
        <w:r w:rsidR="0077552B">
          <w:rPr>
            <w:webHidden/>
          </w:rPr>
          <w:fldChar w:fldCharType="begin"/>
        </w:r>
        <w:r w:rsidR="0077552B">
          <w:rPr>
            <w:webHidden/>
          </w:rPr>
          <w:instrText xml:space="preserve"> PAGEREF _Toc177292876 \h </w:instrText>
        </w:r>
        <w:r w:rsidR="0077552B">
          <w:rPr>
            <w:webHidden/>
          </w:rPr>
        </w:r>
        <w:r w:rsidR="0077552B">
          <w:rPr>
            <w:webHidden/>
          </w:rPr>
          <w:fldChar w:fldCharType="separate"/>
        </w:r>
        <w:r w:rsidR="0077552B">
          <w:rPr>
            <w:webHidden/>
          </w:rPr>
          <w:t>10</w:t>
        </w:r>
        <w:r w:rsidR="0077552B">
          <w:rPr>
            <w:webHidden/>
          </w:rPr>
          <w:fldChar w:fldCharType="end"/>
        </w:r>
      </w:hyperlink>
    </w:p>
    <w:p w14:paraId="69004DC1" w14:textId="2CCCE79B" w:rsidR="0077552B" w:rsidRDefault="009E5FE1">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7292877" w:history="1">
        <w:r w:rsidR="0077552B" w:rsidRPr="003149C8">
          <w:rPr>
            <w:rStyle w:val="Hyperlink"/>
          </w:rPr>
          <w:t>6.</w:t>
        </w:r>
        <w:r w:rsidR="0077552B">
          <w:rPr>
            <w:rFonts w:asciiTheme="minorHAnsi" w:eastAsiaTheme="minorEastAsia" w:hAnsiTheme="minorHAnsi" w:cstheme="minorBidi"/>
            <w:b w:val="0"/>
            <w:bCs w:val="0"/>
            <w:caps w:val="0"/>
            <w:color w:val="auto"/>
            <w:kern w:val="2"/>
            <w:sz w:val="24"/>
            <w:szCs w:val="24"/>
            <w:u w:val="none"/>
            <w14:ligatures w14:val="standardContextual"/>
          </w:rPr>
          <w:tab/>
        </w:r>
        <w:r w:rsidR="0077552B" w:rsidRPr="003149C8">
          <w:rPr>
            <w:rStyle w:val="Hyperlink"/>
          </w:rPr>
          <w:t>Access to justice, independence of the judiciary and right to a fair trial (art</w:t>
        </w:r>
        <w:r w:rsidR="00700134">
          <w:rPr>
            <w:rStyle w:val="Hyperlink"/>
          </w:rPr>
          <w:t>icle</w:t>
        </w:r>
        <w:r w:rsidR="0077552B" w:rsidRPr="003149C8">
          <w:rPr>
            <w:rStyle w:val="Hyperlink"/>
          </w:rPr>
          <w:t xml:space="preserve"> 14)</w:t>
        </w:r>
        <w:r w:rsidR="0077552B">
          <w:rPr>
            <w:webHidden/>
          </w:rPr>
          <w:tab/>
        </w:r>
        <w:r w:rsidR="0077552B">
          <w:rPr>
            <w:webHidden/>
          </w:rPr>
          <w:fldChar w:fldCharType="begin"/>
        </w:r>
        <w:r w:rsidR="0077552B">
          <w:rPr>
            <w:webHidden/>
          </w:rPr>
          <w:instrText xml:space="preserve"> PAGEREF _Toc177292877 \h </w:instrText>
        </w:r>
        <w:r w:rsidR="0077552B">
          <w:rPr>
            <w:webHidden/>
          </w:rPr>
        </w:r>
        <w:r w:rsidR="0077552B">
          <w:rPr>
            <w:webHidden/>
          </w:rPr>
          <w:fldChar w:fldCharType="separate"/>
        </w:r>
        <w:r w:rsidR="0077552B">
          <w:rPr>
            <w:webHidden/>
          </w:rPr>
          <w:t>11</w:t>
        </w:r>
        <w:r w:rsidR="0077552B">
          <w:rPr>
            <w:webHidden/>
          </w:rPr>
          <w:fldChar w:fldCharType="end"/>
        </w:r>
      </w:hyperlink>
    </w:p>
    <w:p w14:paraId="4BB3DA27" w14:textId="19A36776"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78" w:history="1">
        <w:r w:rsidR="0077552B" w:rsidRPr="003149C8">
          <w:rPr>
            <w:rStyle w:val="Hyperlink"/>
          </w:rPr>
          <w:t>6.1</w:t>
        </w:r>
        <w:r w:rsidR="0077552B">
          <w:rPr>
            <w:rFonts w:asciiTheme="minorHAnsi" w:eastAsiaTheme="minorEastAsia" w:hAnsiTheme="minorHAnsi" w:cstheme="minorBidi"/>
            <w:bCs w:val="0"/>
            <w:kern w:val="2"/>
            <w:sz w:val="24"/>
            <w:u w:val="none"/>
            <w14:ligatures w14:val="standardContextual"/>
          </w:rPr>
          <w:tab/>
        </w:r>
        <w:r w:rsidR="0077552B" w:rsidRPr="003149C8">
          <w:rPr>
            <w:rStyle w:val="Hyperlink"/>
          </w:rPr>
          <w:t>Criminal trial of nine survivors of the Pylos shipwreck</w:t>
        </w:r>
        <w:r w:rsidR="0077552B">
          <w:rPr>
            <w:webHidden/>
          </w:rPr>
          <w:tab/>
        </w:r>
        <w:r w:rsidR="0077552B">
          <w:rPr>
            <w:webHidden/>
          </w:rPr>
          <w:fldChar w:fldCharType="begin"/>
        </w:r>
        <w:r w:rsidR="0077552B">
          <w:rPr>
            <w:webHidden/>
          </w:rPr>
          <w:instrText xml:space="preserve"> PAGEREF _Toc177292878 \h </w:instrText>
        </w:r>
        <w:r w:rsidR="0077552B">
          <w:rPr>
            <w:webHidden/>
          </w:rPr>
        </w:r>
        <w:r w:rsidR="0077552B">
          <w:rPr>
            <w:webHidden/>
          </w:rPr>
          <w:fldChar w:fldCharType="separate"/>
        </w:r>
        <w:r w:rsidR="0077552B">
          <w:rPr>
            <w:webHidden/>
          </w:rPr>
          <w:t>11</w:t>
        </w:r>
        <w:r w:rsidR="0077552B">
          <w:rPr>
            <w:webHidden/>
          </w:rPr>
          <w:fldChar w:fldCharType="end"/>
        </w:r>
      </w:hyperlink>
    </w:p>
    <w:p w14:paraId="4DC4D95E" w14:textId="0B54C974" w:rsidR="0077552B" w:rsidRDefault="009E5FE1">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7292879" w:history="1">
        <w:r w:rsidR="0077552B" w:rsidRPr="003149C8">
          <w:rPr>
            <w:rStyle w:val="Hyperlink"/>
          </w:rPr>
          <w:t>7.</w:t>
        </w:r>
        <w:r w:rsidR="0077552B">
          <w:rPr>
            <w:rFonts w:asciiTheme="minorHAnsi" w:eastAsiaTheme="minorEastAsia" w:hAnsiTheme="minorHAnsi" w:cstheme="minorBidi"/>
            <w:b w:val="0"/>
            <w:bCs w:val="0"/>
            <w:caps w:val="0"/>
            <w:color w:val="auto"/>
            <w:kern w:val="2"/>
            <w:sz w:val="24"/>
            <w:szCs w:val="24"/>
            <w:u w:val="none"/>
            <w14:ligatures w14:val="standardContextual"/>
          </w:rPr>
          <w:tab/>
        </w:r>
        <w:r w:rsidR="0077552B" w:rsidRPr="003149C8">
          <w:rPr>
            <w:rStyle w:val="Hyperlink"/>
          </w:rPr>
          <w:t>Freedom of religion and belief (articles 14 and 18)</w:t>
        </w:r>
        <w:r w:rsidR="0077552B">
          <w:rPr>
            <w:webHidden/>
          </w:rPr>
          <w:tab/>
        </w:r>
        <w:r w:rsidR="0077552B">
          <w:rPr>
            <w:webHidden/>
          </w:rPr>
          <w:fldChar w:fldCharType="begin"/>
        </w:r>
        <w:r w:rsidR="0077552B">
          <w:rPr>
            <w:webHidden/>
          </w:rPr>
          <w:instrText xml:space="preserve"> PAGEREF _Toc177292879 \h </w:instrText>
        </w:r>
        <w:r w:rsidR="0077552B">
          <w:rPr>
            <w:webHidden/>
          </w:rPr>
        </w:r>
        <w:r w:rsidR="0077552B">
          <w:rPr>
            <w:webHidden/>
          </w:rPr>
          <w:fldChar w:fldCharType="separate"/>
        </w:r>
        <w:r w:rsidR="0077552B">
          <w:rPr>
            <w:webHidden/>
          </w:rPr>
          <w:t>12</w:t>
        </w:r>
        <w:r w:rsidR="0077552B">
          <w:rPr>
            <w:webHidden/>
          </w:rPr>
          <w:fldChar w:fldCharType="end"/>
        </w:r>
      </w:hyperlink>
    </w:p>
    <w:p w14:paraId="13D3C4C4" w14:textId="27C9F850"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80" w:history="1">
        <w:r w:rsidR="0077552B" w:rsidRPr="003149C8">
          <w:rPr>
            <w:rStyle w:val="Hyperlink"/>
          </w:rPr>
          <w:t>7.1</w:t>
        </w:r>
        <w:r w:rsidR="0077552B">
          <w:rPr>
            <w:rFonts w:asciiTheme="minorHAnsi" w:eastAsiaTheme="minorEastAsia" w:hAnsiTheme="minorHAnsi" w:cstheme="minorBidi"/>
            <w:bCs w:val="0"/>
            <w:kern w:val="2"/>
            <w:sz w:val="24"/>
            <w:u w:val="none"/>
            <w14:ligatures w14:val="standardContextual"/>
          </w:rPr>
          <w:tab/>
        </w:r>
        <w:r w:rsidR="0077552B" w:rsidRPr="003149C8">
          <w:rPr>
            <w:rStyle w:val="Hyperlink"/>
          </w:rPr>
          <w:t>Conscientious objectors</w:t>
        </w:r>
        <w:r w:rsidR="0077552B">
          <w:rPr>
            <w:webHidden/>
          </w:rPr>
          <w:tab/>
        </w:r>
        <w:r w:rsidR="0077552B">
          <w:rPr>
            <w:webHidden/>
          </w:rPr>
          <w:fldChar w:fldCharType="begin"/>
        </w:r>
        <w:r w:rsidR="0077552B">
          <w:rPr>
            <w:webHidden/>
          </w:rPr>
          <w:instrText xml:space="preserve"> PAGEREF _Toc177292880 \h </w:instrText>
        </w:r>
        <w:r w:rsidR="0077552B">
          <w:rPr>
            <w:webHidden/>
          </w:rPr>
        </w:r>
        <w:r w:rsidR="0077552B">
          <w:rPr>
            <w:webHidden/>
          </w:rPr>
          <w:fldChar w:fldCharType="separate"/>
        </w:r>
        <w:r w:rsidR="0077552B">
          <w:rPr>
            <w:webHidden/>
          </w:rPr>
          <w:t>12</w:t>
        </w:r>
        <w:r w:rsidR="0077552B">
          <w:rPr>
            <w:webHidden/>
          </w:rPr>
          <w:fldChar w:fldCharType="end"/>
        </w:r>
      </w:hyperlink>
    </w:p>
    <w:p w14:paraId="3E304FF8" w14:textId="47C95B0F"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81" w:history="1">
        <w:r w:rsidR="0077552B" w:rsidRPr="003149C8">
          <w:rPr>
            <w:rStyle w:val="Hyperlink"/>
          </w:rPr>
          <w:t>7.2</w:t>
        </w:r>
        <w:r w:rsidR="0077552B">
          <w:rPr>
            <w:rFonts w:asciiTheme="minorHAnsi" w:eastAsiaTheme="minorEastAsia" w:hAnsiTheme="minorHAnsi" w:cstheme="minorBidi"/>
            <w:bCs w:val="0"/>
            <w:kern w:val="2"/>
            <w:sz w:val="24"/>
            <w:u w:val="none"/>
            <w14:ligatures w14:val="standardContextual"/>
          </w:rPr>
          <w:tab/>
        </w:r>
        <w:r w:rsidR="0077552B" w:rsidRPr="003149C8">
          <w:rPr>
            <w:rStyle w:val="Hyperlink"/>
          </w:rPr>
          <w:t>Punitive and discriminatory alternative civilian service</w:t>
        </w:r>
        <w:r w:rsidR="0077552B">
          <w:rPr>
            <w:webHidden/>
          </w:rPr>
          <w:tab/>
        </w:r>
        <w:r w:rsidR="0077552B">
          <w:rPr>
            <w:webHidden/>
          </w:rPr>
          <w:fldChar w:fldCharType="begin"/>
        </w:r>
        <w:r w:rsidR="0077552B">
          <w:rPr>
            <w:webHidden/>
          </w:rPr>
          <w:instrText xml:space="preserve"> PAGEREF _Toc177292881 \h </w:instrText>
        </w:r>
        <w:r w:rsidR="0077552B">
          <w:rPr>
            <w:webHidden/>
          </w:rPr>
        </w:r>
        <w:r w:rsidR="0077552B">
          <w:rPr>
            <w:webHidden/>
          </w:rPr>
          <w:fldChar w:fldCharType="separate"/>
        </w:r>
        <w:r w:rsidR="0077552B">
          <w:rPr>
            <w:webHidden/>
          </w:rPr>
          <w:t>12</w:t>
        </w:r>
        <w:r w:rsidR="0077552B">
          <w:rPr>
            <w:webHidden/>
          </w:rPr>
          <w:fldChar w:fldCharType="end"/>
        </w:r>
      </w:hyperlink>
    </w:p>
    <w:p w14:paraId="5E78C2D8" w14:textId="1DAFBD5A"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82" w:history="1">
        <w:r w:rsidR="0077552B" w:rsidRPr="003149C8">
          <w:rPr>
            <w:rStyle w:val="Hyperlink"/>
          </w:rPr>
          <w:t>7.3</w:t>
        </w:r>
        <w:r w:rsidR="0077552B">
          <w:rPr>
            <w:rFonts w:asciiTheme="minorHAnsi" w:eastAsiaTheme="minorEastAsia" w:hAnsiTheme="minorHAnsi" w:cstheme="minorBidi"/>
            <w:bCs w:val="0"/>
            <w:kern w:val="2"/>
            <w:sz w:val="24"/>
            <w:u w:val="none"/>
            <w14:ligatures w14:val="standardContextual"/>
          </w:rPr>
          <w:tab/>
        </w:r>
        <w:r w:rsidR="0077552B" w:rsidRPr="003149C8">
          <w:rPr>
            <w:rStyle w:val="Hyperlink"/>
          </w:rPr>
          <w:t xml:space="preserve">Procedure for conscientious objector </w:t>
        </w:r>
        <w:r w:rsidR="00A720C1">
          <w:rPr>
            <w:rStyle w:val="Hyperlink"/>
          </w:rPr>
          <w:t>status</w:t>
        </w:r>
        <w:r w:rsidR="0077552B">
          <w:rPr>
            <w:webHidden/>
          </w:rPr>
          <w:tab/>
        </w:r>
        <w:r w:rsidR="0077552B">
          <w:rPr>
            <w:webHidden/>
          </w:rPr>
          <w:fldChar w:fldCharType="begin"/>
        </w:r>
        <w:r w:rsidR="0077552B">
          <w:rPr>
            <w:webHidden/>
          </w:rPr>
          <w:instrText xml:space="preserve"> PAGEREF _Toc177292882 \h </w:instrText>
        </w:r>
        <w:r w:rsidR="0077552B">
          <w:rPr>
            <w:webHidden/>
          </w:rPr>
        </w:r>
        <w:r w:rsidR="0077552B">
          <w:rPr>
            <w:webHidden/>
          </w:rPr>
          <w:fldChar w:fldCharType="separate"/>
        </w:r>
        <w:r w:rsidR="0077552B">
          <w:rPr>
            <w:webHidden/>
          </w:rPr>
          <w:t>13</w:t>
        </w:r>
        <w:r w:rsidR="0077552B">
          <w:rPr>
            <w:webHidden/>
          </w:rPr>
          <w:fldChar w:fldCharType="end"/>
        </w:r>
      </w:hyperlink>
    </w:p>
    <w:p w14:paraId="59D7CBEF" w14:textId="4EEA5439"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83" w:history="1">
        <w:r w:rsidR="0077552B" w:rsidRPr="003149C8">
          <w:rPr>
            <w:rStyle w:val="Hyperlink"/>
          </w:rPr>
          <w:t>7.4</w:t>
        </w:r>
        <w:r w:rsidR="0077552B">
          <w:rPr>
            <w:rFonts w:asciiTheme="minorHAnsi" w:eastAsiaTheme="minorEastAsia" w:hAnsiTheme="minorHAnsi" w:cstheme="minorBidi"/>
            <w:bCs w:val="0"/>
            <w:kern w:val="2"/>
            <w:sz w:val="24"/>
            <w:u w:val="none"/>
            <w14:ligatures w14:val="standardContextual"/>
          </w:rPr>
          <w:tab/>
        </w:r>
        <w:r w:rsidR="0077552B" w:rsidRPr="003149C8">
          <w:rPr>
            <w:rStyle w:val="Hyperlink"/>
          </w:rPr>
          <w:t>Failure to provide adequate reparations</w:t>
        </w:r>
        <w:r w:rsidR="0077552B">
          <w:rPr>
            <w:webHidden/>
          </w:rPr>
          <w:tab/>
        </w:r>
        <w:r w:rsidR="0077552B">
          <w:rPr>
            <w:webHidden/>
          </w:rPr>
          <w:fldChar w:fldCharType="begin"/>
        </w:r>
        <w:r w:rsidR="0077552B">
          <w:rPr>
            <w:webHidden/>
          </w:rPr>
          <w:instrText xml:space="preserve"> PAGEREF _Toc177292883 \h </w:instrText>
        </w:r>
        <w:r w:rsidR="0077552B">
          <w:rPr>
            <w:webHidden/>
          </w:rPr>
        </w:r>
        <w:r w:rsidR="0077552B">
          <w:rPr>
            <w:webHidden/>
          </w:rPr>
          <w:fldChar w:fldCharType="separate"/>
        </w:r>
        <w:r w:rsidR="0077552B">
          <w:rPr>
            <w:webHidden/>
          </w:rPr>
          <w:t>13</w:t>
        </w:r>
        <w:r w:rsidR="0077552B">
          <w:rPr>
            <w:webHidden/>
          </w:rPr>
          <w:fldChar w:fldCharType="end"/>
        </w:r>
      </w:hyperlink>
    </w:p>
    <w:p w14:paraId="46B76624" w14:textId="2C600366"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84" w:history="1">
        <w:r w:rsidR="0077552B" w:rsidRPr="003149C8">
          <w:rPr>
            <w:rStyle w:val="Hyperlink"/>
          </w:rPr>
          <w:t>RECOMMENDATIONS</w:t>
        </w:r>
        <w:r w:rsidR="0077552B">
          <w:rPr>
            <w:webHidden/>
          </w:rPr>
          <w:tab/>
        </w:r>
        <w:r w:rsidR="0077552B">
          <w:rPr>
            <w:webHidden/>
          </w:rPr>
          <w:fldChar w:fldCharType="begin"/>
        </w:r>
        <w:r w:rsidR="0077552B">
          <w:rPr>
            <w:webHidden/>
          </w:rPr>
          <w:instrText xml:space="preserve"> PAGEREF _Toc177292884 \h </w:instrText>
        </w:r>
        <w:r w:rsidR="0077552B">
          <w:rPr>
            <w:webHidden/>
          </w:rPr>
        </w:r>
        <w:r w:rsidR="0077552B">
          <w:rPr>
            <w:webHidden/>
          </w:rPr>
          <w:fldChar w:fldCharType="separate"/>
        </w:r>
        <w:r w:rsidR="0077552B">
          <w:rPr>
            <w:webHidden/>
          </w:rPr>
          <w:t>14</w:t>
        </w:r>
        <w:r w:rsidR="0077552B">
          <w:rPr>
            <w:webHidden/>
          </w:rPr>
          <w:fldChar w:fldCharType="end"/>
        </w:r>
      </w:hyperlink>
    </w:p>
    <w:p w14:paraId="04D65683" w14:textId="4BC6FCAB" w:rsidR="0077552B" w:rsidRDefault="009E5FE1">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7292885" w:history="1">
        <w:r w:rsidR="0077552B" w:rsidRPr="003149C8">
          <w:rPr>
            <w:rStyle w:val="Hyperlink"/>
          </w:rPr>
          <w:t>8.</w:t>
        </w:r>
        <w:r w:rsidR="0077552B">
          <w:rPr>
            <w:rFonts w:asciiTheme="minorHAnsi" w:eastAsiaTheme="minorEastAsia" w:hAnsiTheme="minorHAnsi" w:cstheme="minorBidi"/>
            <w:b w:val="0"/>
            <w:bCs w:val="0"/>
            <w:caps w:val="0"/>
            <w:color w:val="auto"/>
            <w:kern w:val="2"/>
            <w:sz w:val="24"/>
            <w:szCs w:val="24"/>
            <w:u w:val="none"/>
            <w14:ligatures w14:val="standardContextual"/>
          </w:rPr>
          <w:tab/>
        </w:r>
        <w:r w:rsidR="0077552B" w:rsidRPr="003149C8">
          <w:rPr>
            <w:rStyle w:val="Hyperlink"/>
          </w:rPr>
          <w:t>NON-DISCRIMINATION (articles 2, 19-20 AND 26)</w:t>
        </w:r>
        <w:r w:rsidR="0077552B">
          <w:rPr>
            <w:webHidden/>
          </w:rPr>
          <w:tab/>
        </w:r>
        <w:r w:rsidR="0077552B">
          <w:rPr>
            <w:webHidden/>
          </w:rPr>
          <w:fldChar w:fldCharType="begin"/>
        </w:r>
        <w:r w:rsidR="0077552B">
          <w:rPr>
            <w:webHidden/>
          </w:rPr>
          <w:instrText xml:space="preserve"> PAGEREF _Toc177292885 \h </w:instrText>
        </w:r>
        <w:r w:rsidR="0077552B">
          <w:rPr>
            <w:webHidden/>
          </w:rPr>
        </w:r>
        <w:r w:rsidR="0077552B">
          <w:rPr>
            <w:webHidden/>
          </w:rPr>
          <w:fldChar w:fldCharType="separate"/>
        </w:r>
        <w:r w:rsidR="0077552B">
          <w:rPr>
            <w:webHidden/>
          </w:rPr>
          <w:t>14</w:t>
        </w:r>
        <w:r w:rsidR="0077552B">
          <w:rPr>
            <w:webHidden/>
          </w:rPr>
          <w:fldChar w:fldCharType="end"/>
        </w:r>
      </w:hyperlink>
    </w:p>
    <w:p w14:paraId="2DC1947E" w14:textId="312915B5"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86" w:history="1">
        <w:r w:rsidR="0077552B" w:rsidRPr="003149C8">
          <w:rPr>
            <w:rStyle w:val="Hyperlink"/>
          </w:rPr>
          <w:t>8.1</w:t>
        </w:r>
        <w:r w:rsidR="0077552B">
          <w:rPr>
            <w:rFonts w:asciiTheme="minorHAnsi" w:eastAsiaTheme="minorEastAsia" w:hAnsiTheme="minorHAnsi" w:cstheme="minorBidi"/>
            <w:bCs w:val="0"/>
            <w:kern w:val="2"/>
            <w:sz w:val="24"/>
            <w:u w:val="none"/>
            <w14:ligatures w14:val="standardContextual"/>
          </w:rPr>
          <w:tab/>
        </w:r>
        <w:r w:rsidR="0077552B" w:rsidRPr="003149C8">
          <w:rPr>
            <w:rStyle w:val="Hyperlink"/>
          </w:rPr>
          <w:t>D</w:t>
        </w:r>
        <w:r w:rsidR="00A720C1">
          <w:rPr>
            <w:rStyle w:val="Hyperlink"/>
          </w:rPr>
          <w:t xml:space="preserve">iscrimination against LGBTI </w:t>
        </w:r>
        <w:r w:rsidR="000718D3">
          <w:rPr>
            <w:rStyle w:val="Hyperlink"/>
          </w:rPr>
          <w:t>persons</w:t>
        </w:r>
        <w:r w:rsidR="0077552B">
          <w:rPr>
            <w:webHidden/>
          </w:rPr>
          <w:tab/>
        </w:r>
        <w:r w:rsidR="0077552B">
          <w:rPr>
            <w:webHidden/>
          </w:rPr>
          <w:fldChar w:fldCharType="begin"/>
        </w:r>
        <w:r w:rsidR="0077552B">
          <w:rPr>
            <w:webHidden/>
          </w:rPr>
          <w:instrText xml:space="preserve"> PAGEREF _Toc177292886 \h </w:instrText>
        </w:r>
        <w:r w:rsidR="0077552B">
          <w:rPr>
            <w:webHidden/>
          </w:rPr>
        </w:r>
        <w:r w:rsidR="0077552B">
          <w:rPr>
            <w:webHidden/>
          </w:rPr>
          <w:fldChar w:fldCharType="separate"/>
        </w:r>
        <w:r w:rsidR="0077552B">
          <w:rPr>
            <w:webHidden/>
          </w:rPr>
          <w:t>14</w:t>
        </w:r>
        <w:r w:rsidR="0077552B">
          <w:rPr>
            <w:webHidden/>
          </w:rPr>
          <w:fldChar w:fldCharType="end"/>
        </w:r>
      </w:hyperlink>
    </w:p>
    <w:p w14:paraId="766A6263" w14:textId="3DFB4DA3"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87" w:history="1">
        <w:r w:rsidR="0077552B" w:rsidRPr="003149C8">
          <w:rPr>
            <w:rStyle w:val="Hyperlink"/>
          </w:rPr>
          <w:t>RECOMMENDATIONS</w:t>
        </w:r>
        <w:r w:rsidR="0077552B">
          <w:rPr>
            <w:webHidden/>
          </w:rPr>
          <w:tab/>
        </w:r>
        <w:r w:rsidR="0077552B">
          <w:rPr>
            <w:webHidden/>
          </w:rPr>
          <w:fldChar w:fldCharType="begin"/>
        </w:r>
        <w:r w:rsidR="0077552B">
          <w:rPr>
            <w:webHidden/>
          </w:rPr>
          <w:instrText xml:space="preserve"> PAGEREF _Toc177292887 \h </w:instrText>
        </w:r>
        <w:r w:rsidR="0077552B">
          <w:rPr>
            <w:webHidden/>
          </w:rPr>
        </w:r>
        <w:r w:rsidR="0077552B">
          <w:rPr>
            <w:webHidden/>
          </w:rPr>
          <w:fldChar w:fldCharType="separate"/>
        </w:r>
        <w:r w:rsidR="0077552B">
          <w:rPr>
            <w:webHidden/>
          </w:rPr>
          <w:t>15</w:t>
        </w:r>
        <w:r w:rsidR="0077552B">
          <w:rPr>
            <w:webHidden/>
          </w:rPr>
          <w:fldChar w:fldCharType="end"/>
        </w:r>
      </w:hyperlink>
    </w:p>
    <w:p w14:paraId="6A4D6E24" w14:textId="17FACD6B"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88" w:history="1">
        <w:r w:rsidR="0077552B" w:rsidRPr="003149C8">
          <w:rPr>
            <w:rStyle w:val="Hyperlink"/>
          </w:rPr>
          <w:t>8.2</w:t>
        </w:r>
        <w:r w:rsidR="0077552B">
          <w:rPr>
            <w:rFonts w:asciiTheme="minorHAnsi" w:eastAsiaTheme="minorEastAsia" w:hAnsiTheme="minorHAnsi" w:cstheme="minorBidi"/>
            <w:bCs w:val="0"/>
            <w:kern w:val="2"/>
            <w:sz w:val="24"/>
            <w:u w:val="none"/>
            <w14:ligatures w14:val="standardContextual"/>
          </w:rPr>
          <w:tab/>
        </w:r>
        <w:r w:rsidR="0077552B" w:rsidRPr="003149C8">
          <w:rPr>
            <w:rStyle w:val="Hyperlink"/>
          </w:rPr>
          <w:t>Racial discrimination</w:t>
        </w:r>
        <w:r w:rsidR="0077552B">
          <w:rPr>
            <w:webHidden/>
          </w:rPr>
          <w:tab/>
        </w:r>
        <w:r w:rsidR="0077552B">
          <w:rPr>
            <w:webHidden/>
          </w:rPr>
          <w:fldChar w:fldCharType="begin"/>
        </w:r>
        <w:r w:rsidR="0077552B">
          <w:rPr>
            <w:webHidden/>
          </w:rPr>
          <w:instrText xml:space="preserve"> PAGEREF _Toc177292888 \h </w:instrText>
        </w:r>
        <w:r w:rsidR="0077552B">
          <w:rPr>
            <w:webHidden/>
          </w:rPr>
        </w:r>
        <w:r w:rsidR="0077552B">
          <w:rPr>
            <w:webHidden/>
          </w:rPr>
          <w:fldChar w:fldCharType="separate"/>
        </w:r>
        <w:r w:rsidR="0077552B">
          <w:rPr>
            <w:webHidden/>
          </w:rPr>
          <w:t>16</w:t>
        </w:r>
        <w:r w:rsidR="0077552B">
          <w:rPr>
            <w:webHidden/>
          </w:rPr>
          <w:fldChar w:fldCharType="end"/>
        </w:r>
      </w:hyperlink>
    </w:p>
    <w:p w14:paraId="378756C9" w14:textId="13E4F4F8"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89" w:history="1">
        <w:r w:rsidR="0077552B" w:rsidRPr="003149C8">
          <w:rPr>
            <w:rStyle w:val="Hyperlink"/>
          </w:rPr>
          <w:t>RECOMMENDATIONS</w:t>
        </w:r>
        <w:r w:rsidR="0077552B">
          <w:rPr>
            <w:webHidden/>
          </w:rPr>
          <w:tab/>
        </w:r>
        <w:r w:rsidR="0077552B">
          <w:rPr>
            <w:webHidden/>
          </w:rPr>
          <w:fldChar w:fldCharType="begin"/>
        </w:r>
        <w:r w:rsidR="0077552B">
          <w:rPr>
            <w:webHidden/>
          </w:rPr>
          <w:instrText xml:space="preserve"> PAGEREF _Toc177292889 \h </w:instrText>
        </w:r>
        <w:r w:rsidR="0077552B">
          <w:rPr>
            <w:webHidden/>
          </w:rPr>
        </w:r>
        <w:r w:rsidR="0077552B">
          <w:rPr>
            <w:webHidden/>
          </w:rPr>
          <w:fldChar w:fldCharType="separate"/>
        </w:r>
        <w:r w:rsidR="0077552B">
          <w:rPr>
            <w:webHidden/>
          </w:rPr>
          <w:t>16</w:t>
        </w:r>
        <w:r w:rsidR="0077552B">
          <w:rPr>
            <w:webHidden/>
          </w:rPr>
          <w:fldChar w:fldCharType="end"/>
        </w:r>
      </w:hyperlink>
    </w:p>
    <w:p w14:paraId="5E193296" w14:textId="3142767E" w:rsidR="0077552B" w:rsidRDefault="009E5FE1">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7292890" w:history="1">
        <w:r w:rsidR="0077552B" w:rsidRPr="003149C8">
          <w:rPr>
            <w:rStyle w:val="Hyperlink"/>
          </w:rPr>
          <w:t>9.</w:t>
        </w:r>
        <w:r w:rsidR="0077552B">
          <w:rPr>
            <w:rFonts w:asciiTheme="minorHAnsi" w:eastAsiaTheme="minorEastAsia" w:hAnsiTheme="minorHAnsi" w:cstheme="minorBidi"/>
            <w:b w:val="0"/>
            <w:bCs w:val="0"/>
            <w:caps w:val="0"/>
            <w:color w:val="auto"/>
            <w:kern w:val="2"/>
            <w:sz w:val="24"/>
            <w:szCs w:val="24"/>
            <w:u w:val="none"/>
            <w14:ligatures w14:val="standardContextual"/>
          </w:rPr>
          <w:tab/>
        </w:r>
        <w:r w:rsidR="0077552B" w:rsidRPr="003149C8">
          <w:rPr>
            <w:rStyle w:val="Hyperlink"/>
          </w:rPr>
          <w:t>Freedom of association (article 22)</w:t>
        </w:r>
        <w:r w:rsidR="0077552B">
          <w:rPr>
            <w:webHidden/>
          </w:rPr>
          <w:tab/>
        </w:r>
        <w:r w:rsidR="0077552B">
          <w:rPr>
            <w:webHidden/>
          </w:rPr>
          <w:fldChar w:fldCharType="begin"/>
        </w:r>
        <w:r w:rsidR="0077552B">
          <w:rPr>
            <w:webHidden/>
          </w:rPr>
          <w:instrText xml:space="preserve"> PAGEREF _Toc177292890 \h </w:instrText>
        </w:r>
        <w:r w:rsidR="0077552B">
          <w:rPr>
            <w:webHidden/>
          </w:rPr>
        </w:r>
        <w:r w:rsidR="0077552B">
          <w:rPr>
            <w:webHidden/>
          </w:rPr>
          <w:fldChar w:fldCharType="separate"/>
        </w:r>
        <w:r w:rsidR="0077552B">
          <w:rPr>
            <w:webHidden/>
          </w:rPr>
          <w:t>16</w:t>
        </w:r>
        <w:r w:rsidR="0077552B">
          <w:rPr>
            <w:webHidden/>
          </w:rPr>
          <w:fldChar w:fldCharType="end"/>
        </w:r>
      </w:hyperlink>
    </w:p>
    <w:p w14:paraId="07B68EF8" w14:textId="225450E9"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91" w:history="1">
        <w:r w:rsidR="0077552B" w:rsidRPr="003149C8">
          <w:rPr>
            <w:rStyle w:val="Hyperlink"/>
          </w:rPr>
          <w:t>9.1</w:t>
        </w:r>
        <w:r w:rsidR="0077552B">
          <w:rPr>
            <w:rFonts w:asciiTheme="minorHAnsi" w:eastAsiaTheme="minorEastAsia" w:hAnsiTheme="minorHAnsi" w:cstheme="minorBidi"/>
            <w:bCs w:val="0"/>
            <w:kern w:val="2"/>
            <w:sz w:val="24"/>
            <w:u w:val="none"/>
            <w14:ligatures w14:val="standardContextual"/>
          </w:rPr>
          <w:tab/>
        </w:r>
        <w:r w:rsidR="0077552B" w:rsidRPr="003149C8">
          <w:rPr>
            <w:rStyle w:val="Hyperlink"/>
          </w:rPr>
          <w:t xml:space="preserve">Differential and burdensome requirements for </w:t>
        </w:r>
        <w:r w:rsidR="000718D3">
          <w:rPr>
            <w:rStyle w:val="Hyperlink"/>
          </w:rPr>
          <w:t>NGOs</w:t>
        </w:r>
        <w:r w:rsidR="0077552B" w:rsidRPr="003149C8">
          <w:rPr>
            <w:rStyle w:val="Hyperlink"/>
          </w:rPr>
          <w:t xml:space="preserve"> working on migration, asylum and social integration</w:t>
        </w:r>
        <w:r w:rsidR="0077552B">
          <w:rPr>
            <w:webHidden/>
          </w:rPr>
          <w:tab/>
        </w:r>
        <w:r w:rsidR="0077552B">
          <w:rPr>
            <w:webHidden/>
          </w:rPr>
          <w:fldChar w:fldCharType="begin"/>
        </w:r>
        <w:r w:rsidR="0077552B">
          <w:rPr>
            <w:webHidden/>
          </w:rPr>
          <w:instrText xml:space="preserve"> PAGEREF _Toc177292891 \h </w:instrText>
        </w:r>
        <w:r w:rsidR="0077552B">
          <w:rPr>
            <w:webHidden/>
          </w:rPr>
        </w:r>
        <w:r w:rsidR="0077552B">
          <w:rPr>
            <w:webHidden/>
          </w:rPr>
          <w:fldChar w:fldCharType="separate"/>
        </w:r>
        <w:r w:rsidR="0077552B">
          <w:rPr>
            <w:webHidden/>
          </w:rPr>
          <w:t>16</w:t>
        </w:r>
        <w:r w:rsidR="0077552B">
          <w:rPr>
            <w:webHidden/>
          </w:rPr>
          <w:fldChar w:fldCharType="end"/>
        </w:r>
      </w:hyperlink>
    </w:p>
    <w:p w14:paraId="019777D8" w14:textId="5CC5B511"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92" w:history="1">
        <w:r w:rsidR="0077552B" w:rsidRPr="003149C8">
          <w:rPr>
            <w:rStyle w:val="Hyperlink"/>
          </w:rPr>
          <w:t>9.2</w:t>
        </w:r>
        <w:r w:rsidR="0077552B">
          <w:rPr>
            <w:rFonts w:asciiTheme="minorHAnsi" w:eastAsiaTheme="minorEastAsia" w:hAnsiTheme="minorHAnsi" w:cstheme="minorBidi"/>
            <w:bCs w:val="0"/>
            <w:kern w:val="2"/>
            <w:sz w:val="24"/>
            <w:u w:val="none"/>
            <w14:ligatures w14:val="standardContextual"/>
          </w:rPr>
          <w:tab/>
        </w:r>
        <w:r w:rsidR="0077552B" w:rsidRPr="003149C8">
          <w:rPr>
            <w:rStyle w:val="Hyperlink"/>
          </w:rPr>
          <w:t xml:space="preserve">Criminalisation of </w:t>
        </w:r>
        <w:r w:rsidR="000718D3">
          <w:rPr>
            <w:rStyle w:val="Hyperlink"/>
          </w:rPr>
          <w:t>NGOs</w:t>
        </w:r>
        <w:r w:rsidR="0077552B">
          <w:rPr>
            <w:webHidden/>
          </w:rPr>
          <w:tab/>
        </w:r>
        <w:r w:rsidR="0077552B">
          <w:rPr>
            <w:webHidden/>
          </w:rPr>
          <w:fldChar w:fldCharType="begin"/>
        </w:r>
        <w:r w:rsidR="0077552B">
          <w:rPr>
            <w:webHidden/>
          </w:rPr>
          <w:instrText xml:space="preserve"> PAGEREF _Toc177292892 \h </w:instrText>
        </w:r>
        <w:r w:rsidR="0077552B">
          <w:rPr>
            <w:webHidden/>
          </w:rPr>
        </w:r>
        <w:r w:rsidR="0077552B">
          <w:rPr>
            <w:webHidden/>
          </w:rPr>
          <w:fldChar w:fldCharType="separate"/>
        </w:r>
        <w:r w:rsidR="0077552B">
          <w:rPr>
            <w:webHidden/>
          </w:rPr>
          <w:t>16</w:t>
        </w:r>
        <w:r w:rsidR="0077552B">
          <w:rPr>
            <w:webHidden/>
          </w:rPr>
          <w:fldChar w:fldCharType="end"/>
        </w:r>
      </w:hyperlink>
    </w:p>
    <w:p w14:paraId="2ADD5257" w14:textId="04506F78"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93" w:history="1">
        <w:r w:rsidR="0077552B" w:rsidRPr="003149C8">
          <w:rPr>
            <w:rStyle w:val="Hyperlink"/>
          </w:rPr>
          <w:t>RECOMMENDATIONS</w:t>
        </w:r>
        <w:r w:rsidR="0077552B">
          <w:rPr>
            <w:webHidden/>
          </w:rPr>
          <w:tab/>
        </w:r>
        <w:r w:rsidR="0077552B">
          <w:rPr>
            <w:webHidden/>
          </w:rPr>
          <w:fldChar w:fldCharType="begin"/>
        </w:r>
        <w:r w:rsidR="0077552B">
          <w:rPr>
            <w:webHidden/>
          </w:rPr>
          <w:instrText xml:space="preserve"> PAGEREF _Toc177292893 \h </w:instrText>
        </w:r>
        <w:r w:rsidR="0077552B">
          <w:rPr>
            <w:webHidden/>
          </w:rPr>
        </w:r>
        <w:r w:rsidR="0077552B">
          <w:rPr>
            <w:webHidden/>
          </w:rPr>
          <w:fldChar w:fldCharType="separate"/>
        </w:r>
        <w:r w:rsidR="0077552B">
          <w:rPr>
            <w:webHidden/>
          </w:rPr>
          <w:t>17</w:t>
        </w:r>
        <w:r w:rsidR="0077552B">
          <w:rPr>
            <w:webHidden/>
          </w:rPr>
          <w:fldChar w:fldCharType="end"/>
        </w:r>
      </w:hyperlink>
    </w:p>
    <w:p w14:paraId="07ACA848" w14:textId="3E01659C" w:rsidR="0077552B" w:rsidRDefault="009E5FE1">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7292894" w:history="1">
        <w:r w:rsidR="0077552B" w:rsidRPr="003149C8">
          <w:rPr>
            <w:rStyle w:val="Hyperlink"/>
          </w:rPr>
          <w:t>10.</w:t>
        </w:r>
        <w:r w:rsidR="0077552B">
          <w:rPr>
            <w:rFonts w:asciiTheme="minorHAnsi" w:eastAsiaTheme="minorEastAsia" w:hAnsiTheme="minorHAnsi" w:cstheme="minorBidi"/>
            <w:b w:val="0"/>
            <w:bCs w:val="0"/>
            <w:caps w:val="0"/>
            <w:color w:val="auto"/>
            <w:kern w:val="2"/>
            <w:sz w:val="24"/>
            <w:szCs w:val="24"/>
            <w:u w:val="none"/>
            <w14:ligatures w14:val="standardContextual"/>
          </w:rPr>
          <w:tab/>
        </w:r>
        <w:r w:rsidR="0077552B" w:rsidRPr="003149C8">
          <w:rPr>
            <w:rStyle w:val="Hyperlink"/>
          </w:rPr>
          <w:t>FREEDOM OF EXPRESSION AND ASSEMBLY (articles 7, 9, 19, 21 and 22)</w:t>
        </w:r>
        <w:r w:rsidR="0077552B">
          <w:rPr>
            <w:webHidden/>
          </w:rPr>
          <w:tab/>
        </w:r>
        <w:r w:rsidR="0077552B">
          <w:rPr>
            <w:webHidden/>
          </w:rPr>
          <w:fldChar w:fldCharType="begin"/>
        </w:r>
        <w:r w:rsidR="0077552B">
          <w:rPr>
            <w:webHidden/>
          </w:rPr>
          <w:instrText xml:space="preserve"> PAGEREF _Toc177292894 \h </w:instrText>
        </w:r>
        <w:r w:rsidR="0077552B">
          <w:rPr>
            <w:webHidden/>
          </w:rPr>
        </w:r>
        <w:r w:rsidR="0077552B">
          <w:rPr>
            <w:webHidden/>
          </w:rPr>
          <w:fldChar w:fldCharType="separate"/>
        </w:r>
        <w:r w:rsidR="0077552B">
          <w:rPr>
            <w:webHidden/>
          </w:rPr>
          <w:t>17</w:t>
        </w:r>
        <w:r w:rsidR="0077552B">
          <w:rPr>
            <w:webHidden/>
          </w:rPr>
          <w:fldChar w:fldCharType="end"/>
        </w:r>
      </w:hyperlink>
    </w:p>
    <w:p w14:paraId="05C07484" w14:textId="60BB49B8"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95" w:history="1">
        <w:r w:rsidR="0077552B" w:rsidRPr="003149C8">
          <w:rPr>
            <w:rStyle w:val="Hyperlink"/>
          </w:rPr>
          <w:t>RECOMMENDATIONS</w:t>
        </w:r>
        <w:r w:rsidR="0077552B">
          <w:rPr>
            <w:webHidden/>
          </w:rPr>
          <w:tab/>
        </w:r>
        <w:r w:rsidR="0077552B">
          <w:rPr>
            <w:webHidden/>
          </w:rPr>
          <w:fldChar w:fldCharType="begin"/>
        </w:r>
        <w:r w:rsidR="0077552B">
          <w:rPr>
            <w:webHidden/>
          </w:rPr>
          <w:instrText xml:space="preserve"> PAGEREF _Toc177292895 \h </w:instrText>
        </w:r>
        <w:r w:rsidR="0077552B">
          <w:rPr>
            <w:webHidden/>
          </w:rPr>
        </w:r>
        <w:r w:rsidR="0077552B">
          <w:rPr>
            <w:webHidden/>
          </w:rPr>
          <w:fldChar w:fldCharType="separate"/>
        </w:r>
        <w:r w:rsidR="0077552B">
          <w:rPr>
            <w:webHidden/>
          </w:rPr>
          <w:t>19</w:t>
        </w:r>
        <w:r w:rsidR="0077552B">
          <w:rPr>
            <w:webHidden/>
          </w:rPr>
          <w:fldChar w:fldCharType="end"/>
        </w:r>
      </w:hyperlink>
    </w:p>
    <w:p w14:paraId="43429713" w14:textId="63D8493B" w:rsidR="0077552B" w:rsidRDefault="009E5FE1">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7292896" w:history="1">
        <w:r w:rsidR="0077552B" w:rsidRPr="003149C8">
          <w:rPr>
            <w:rStyle w:val="Hyperlink"/>
          </w:rPr>
          <w:t>11.</w:t>
        </w:r>
        <w:r w:rsidR="0077552B">
          <w:rPr>
            <w:rFonts w:asciiTheme="minorHAnsi" w:eastAsiaTheme="minorEastAsia" w:hAnsiTheme="minorHAnsi" w:cstheme="minorBidi"/>
            <w:b w:val="0"/>
            <w:bCs w:val="0"/>
            <w:caps w:val="0"/>
            <w:color w:val="auto"/>
            <w:kern w:val="2"/>
            <w:sz w:val="24"/>
            <w:szCs w:val="24"/>
            <w:u w:val="none"/>
            <w14:ligatures w14:val="standardContextual"/>
          </w:rPr>
          <w:tab/>
        </w:r>
        <w:r w:rsidR="0077552B" w:rsidRPr="003149C8">
          <w:rPr>
            <w:rStyle w:val="Hyperlink"/>
          </w:rPr>
          <w:t>Unaccompanied children</w:t>
        </w:r>
        <w:r w:rsidR="0077552B">
          <w:rPr>
            <w:webHidden/>
          </w:rPr>
          <w:tab/>
        </w:r>
        <w:r w:rsidR="0077552B">
          <w:rPr>
            <w:webHidden/>
          </w:rPr>
          <w:fldChar w:fldCharType="begin"/>
        </w:r>
        <w:r w:rsidR="0077552B">
          <w:rPr>
            <w:webHidden/>
          </w:rPr>
          <w:instrText xml:space="preserve"> PAGEREF _Toc177292896 \h </w:instrText>
        </w:r>
        <w:r w:rsidR="0077552B">
          <w:rPr>
            <w:webHidden/>
          </w:rPr>
        </w:r>
        <w:r w:rsidR="0077552B">
          <w:rPr>
            <w:webHidden/>
          </w:rPr>
          <w:fldChar w:fldCharType="separate"/>
        </w:r>
        <w:r w:rsidR="0077552B">
          <w:rPr>
            <w:webHidden/>
          </w:rPr>
          <w:t>19</w:t>
        </w:r>
        <w:r w:rsidR="0077552B">
          <w:rPr>
            <w:webHidden/>
          </w:rPr>
          <w:fldChar w:fldCharType="end"/>
        </w:r>
      </w:hyperlink>
    </w:p>
    <w:p w14:paraId="6CAA8F0D" w14:textId="1A7D9D92"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97" w:history="1">
        <w:r w:rsidR="0077552B" w:rsidRPr="003149C8">
          <w:rPr>
            <w:rStyle w:val="Hyperlink"/>
          </w:rPr>
          <w:t>RECOMMENDATIONS</w:t>
        </w:r>
        <w:r w:rsidR="0077552B">
          <w:rPr>
            <w:webHidden/>
          </w:rPr>
          <w:tab/>
        </w:r>
        <w:r w:rsidR="0077552B">
          <w:rPr>
            <w:webHidden/>
          </w:rPr>
          <w:fldChar w:fldCharType="begin"/>
        </w:r>
        <w:r w:rsidR="0077552B">
          <w:rPr>
            <w:webHidden/>
          </w:rPr>
          <w:instrText xml:space="preserve"> PAGEREF _Toc177292897 \h </w:instrText>
        </w:r>
        <w:r w:rsidR="0077552B">
          <w:rPr>
            <w:webHidden/>
          </w:rPr>
        </w:r>
        <w:r w:rsidR="0077552B">
          <w:rPr>
            <w:webHidden/>
          </w:rPr>
          <w:fldChar w:fldCharType="separate"/>
        </w:r>
        <w:r w:rsidR="0077552B">
          <w:rPr>
            <w:webHidden/>
          </w:rPr>
          <w:t>19</w:t>
        </w:r>
        <w:r w:rsidR="0077552B">
          <w:rPr>
            <w:webHidden/>
          </w:rPr>
          <w:fldChar w:fldCharType="end"/>
        </w:r>
      </w:hyperlink>
    </w:p>
    <w:p w14:paraId="663ED178" w14:textId="06731511" w:rsidR="0077552B" w:rsidRDefault="009E5FE1">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7292898" w:history="1">
        <w:r w:rsidR="0077552B" w:rsidRPr="003149C8">
          <w:rPr>
            <w:rStyle w:val="Hyperlink"/>
          </w:rPr>
          <w:t>12.</w:t>
        </w:r>
        <w:r w:rsidR="0077552B">
          <w:rPr>
            <w:rFonts w:asciiTheme="minorHAnsi" w:eastAsiaTheme="minorEastAsia" w:hAnsiTheme="minorHAnsi" w:cstheme="minorBidi"/>
            <w:b w:val="0"/>
            <w:bCs w:val="0"/>
            <w:caps w:val="0"/>
            <w:color w:val="auto"/>
            <w:kern w:val="2"/>
            <w:sz w:val="24"/>
            <w:szCs w:val="24"/>
            <w:u w:val="none"/>
            <w14:ligatures w14:val="standardContextual"/>
          </w:rPr>
          <w:tab/>
        </w:r>
        <w:r w:rsidR="0077552B" w:rsidRPr="003149C8">
          <w:rPr>
            <w:rStyle w:val="Hyperlink"/>
          </w:rPr>
          <w:t>Violence against women and children (articles 2-3, 6-8 and 26 iccpr)</w:t>
        </w:r>
        <w:r w:rsidR="0077552B">
          <w:rPr>
            <w:webHidden/>
          </w:rPr>
          <w:tab/>
        </w:r>
        <w:r w:rsidR="0077552B">
          <w:rPr>
            <w:webHidden/>
          </w:rPr>
          <w:fldChar w:fldCharType="begin"/>
        </w:r>
        <w:r w:rsidR="0077552B">
          <w:rPr>
            <w:webHidden/>
          </w:rPr>
          <w:instrText xml:space="preserve"> PAGEREF _Toc177292898 \h </w:instrText>
        </w:r>
        <w:r w:rsidR="0077552B">
          <w:rPr>
            <w:webHidden/>
          </w:rPr>
        </w:r>
        <w:r w:rsidR="0077552B">
          <w:rPr>
            <w:webHidden/>
          </w:rPr>
          <w:fldChar w:fldCharType="separate"/>
        </w:r>
        <w:r w:rsidR="0077552B">
          <w:rPr>
            <w:webHidden/>
          </w:rPr>
          <w:t>20</w:t>
        </w:r>
        <w:r w:rsidR="0077552B">
          <w:rPr>
            <w:webHidden/>
          </w:rPr>
          <w:fldChar w:fldCharType="end"/>
        </w:r>
      </w:hyperlink>
    </w:p>
    <w:p w14:paraId="12F6CA3A" w14:textId="3D8E23B0" w:rsidR="0077552B" w:rsidRDefault="009E5FE1">
      <w:pPr>
        <w:pStyle w:val="TOC2"/>
        <w:rPr>
          <w:rFonts w:asciiTheme="minorHAnsi" w:eastAsiaTheme="minorEastAsia" w:hAnsiTheme="minorHAnsi" w:cstheme="minorBidi"/>
          <w:bCs w:val="0"/>
          <w:kern w:val="2"/>
          <w:sz w:val="24"/>
          <w:u w:val="none"/>
          <w14:ligatures w14:val="standardContextual"/>
        </w:rPr>
      </w:pPr>
      <w:hyperlink w:anchor="_Toc177292899" w:history="1">
        <w:r w:rsidR="0077552B" w:rsidRPr="003149C8">
          <w:rPr>
            <w:rStyle w:val="Hyperlink"/>
          </w:rPr>
          <w:t>RECOMMENDATIONS</w:t>
        </w:r>
        <w:r w:rsidR="0077552B">
          <w:rPr>
            <w:webHidden/>
          </w:rPr>
          <w:tab/>
        </w:r>
        <w:r w:rsidR="0077552B">
          <w:rPr>
            <w:webHidden/>
          </w:rPr>
          <w:fldChar w:fldCharType="begin"/>
        </w:r>
        <w:r w:rsidR="0077552B">
          <w:rPr>
            <w:webHidden/>
          </w:rPr>
          <w:instrText xml:space="preserve"> PAGEREF _Toc177292899 \h </w:instrText>
        </w:r>
        <w:r w:rsidR="0077552B">
          <w:rPr>
            <w:webHidden/>
          </w:rPr>
        </w:r>
        <w:r w:rsidR="0077552B">
          <w:rPr>
            <w:webHidden/>
          </w:rPr>
          <w:fldChar w:fldCharType="separate"/>
        </w:r>
        <w:r w:rsidR="0077552B">
          <w:rPr>
            <w:webHidden/>
          </w:rPr>
          <w:t>20</w:t>
        </w:r>
        <w:r w:rsidR="0077552B">
          <w:rPr>
            <w:webHidden/>
          </w:rPr>
          <w:fldChar w:fldCharType="end"/>
        </w:r>
      </w:hyperlink>
    </w:p>
    <w:p w14:paraId="54CA6232" w14:textId="20B8E08C" w:rsidR="001624A9" w:rsidRDefault="00346173" w:rsidP="001153D5">
      <w:pPr>
        <w:pStyle w:val="BBodyText"/>
        <w:rPr>
          <w:rFonts w:asciiTheme="majorHAnsi" w:hAnsiTheme="majorHAnsi"/>
          <w:b/>
          <w:caps/>
          <w:noProof/>
          <w:color w:val="000000" w:themeColor="text1"/>
          <w:sz w:val="22"/>
          <w:szCs w:val="32"/>
          <w:lang w:eastAsia="en-GB"/>
        </w:rPr>
      </w:pPr>
      <w:r w:rsidRPr="00F11704">
        <w:rPr>
          <w:rFonts w:asciiTheme="majorHAnsi" w:hAnsiTheme="majorHAnsi"/>
          <w:b/>
          <w:caps/>
          <w:noProof/>
          <w:color w:val="000000" w:themeColor="text1"/>
          <w:sz w:val="22"/>
          <w:szCs w:val="32"/>
          <w:lang w:eastAsia="en-GB"/>
        </w:rPr>
        <w:fldChar w:fldCharType="end"/>
      </w:r>
    </w:p>
    <w:p w14:paraId="0E57EF93" w14:textId="77777777" w:rsidR="00C6356F" w:rsidRDefault="00C6356F" w:rsidP="001153D5">
      <w:pPr>
        <w:pStyle w:val="BBodyText"/>
        <w:rPr>
          <w:rFonts w:asciiTheme="majorHAnsi" w:hAnsiTheme="majorHAnsi"/>
          <w:b/>
          <w:caps/>
          <w:noProof/>
          <w:color w:val="000000" w:themeColor="text1"/>
          <w:sz w:val="22"/>
          <w:szCs w:val="32"/>
          <w:lang w:eastAsia="en-GB"/>
        </w:rPr>
      </w:pPr>
    </w:p>
    <w:p w14:paraId="2CE4CF87" w14:textId="7896C975" w:rsidR="00C6356F" w:rsidRPr="00F11704" w:rsidRDefault="00C6356F" w:rsidP="001153D5">
      <w:pPr>
        <w:pStyle w:val="BBodyText"/>
        <w:rPr>
          <w:rFonts w:asciiTheme="majorHAnsi" w:hAnsiTheme="majorHAnsi"/>
          <w:b/>
          <w:caps/>
          <w:noProof/>
          <w:color w:val="000000" w:themeColor="text1"/>
          <w:sz w:val="22"/>
          <w:szCs w:val="32"/>
          <w:lang w:eastAsia="en-GB"/>
        </w:rPr>
      </w:pPr>
      <w:r>
        <w:rPr>
          <w:b/>
          <w:bCs w:val="0"/>
          <w:noProof/>
          <w:lang w:eastAsia="en-GB"/>
        </w:rPr>
        <mc:AlternateContent>
          <mc:Choice Requires="wps">
            <w:drawing>
              <wp:anchor distT="0" distB="0" distL="114300" distR="114300" simplePos="0" relativeHeight="251660296" behindDoc="0" locked="1" layoutInCell="1" allowOverlap="0" wp14:anchorId="4BBB84CA" wp14:editId="6D1D464A">
                <wp:simplePos x="0" y="0"/>
                <wp:positionH relativeFrom="margin">
                  <wp:posOffset>2590165</wp:posOffset>
                </wp:positionH>
                <wp:positionV relativeFrom="page">
                  <wp:posOffset>7934325</wp:posOffset>
                </wp:positionV>
                <wp:extent cx="3058795" cy="1409700"/>
                <wp:effectExtent l="0" t="0" r="8255" b="0"/>
                <wp:wrapSquare wrapText="bothSides"/>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58795" cy="1409700"/>
                        </a:xfrm>
                        <a:prstGeom prst="rect">
                          <a:avLst/>
                        </a:prstGeom>
                        <a:solidFill>
                          <a:sysClr val="window" lastClr="FFFFFF"/>
                        </a:solidFill>
                        <a:ln w="6350">
                          <a:noFill/>
                        </a:ln>
                      </wps:spPr>
                      <wps:txbx>
                        <w:txbxContent>
                          <w:p w14:paraId="60FA2CD5" w14:textId="77777777" w:rsidR="00C6356F" w:rsidRPr="008A3B32" w:rsidRDefault="00C6356F" w:rsidP="00C6356F">
                            <w:pPr>
                              <w:pStyle w:val="BBodyText"/>
                              <w:spacing w:afterLines="60" w:after="144"/>
                              <w:rPr>
                                <w:lang w:eastAsia="en-GB"/>
                              </w:rPr>
                            </w:pPr>
                            <w:r w:rsidRPr="008E3C98">
                              <w:rPr>
                                <w:lang w:eastAsia="en-GB"/>
                              </w:rPr>
                              <w:t>This submission has been prepared ahead of the examination of Greece’s Sate party’s report, and of the adoption of the Concluding Observation and List of Issues for Greece by the UN Human Rights Committee in the context of its 142</w:t>
                            </w:r>
                            <w:r w:rsidRPr="008E3C98">
                              <w:rPr>
                                <w:vertAlign w:val="superscript"/>
                                <w:lang w:eastAsia="en-GB"/>
                              </w:rPr>
                              <w:t>nd</w:t>
                            </w:r>
                            <w:r w:rsidRPr="008E3C98">
                              <w:rPr>
                                <w:lang w:eastAsia="en-GB"/>
                              </w:rPr>
                              <w:t xml:space="preserve"> session, on 14 October – 7 November 2024.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BB84CA" id="_x0000_t202" coordsize="21600,21600" o:spt="202" path="m,l,21600r21600,l21600,xe">
                <v:stroke joinstyle="miter"/>
                <v:path gradientshapeok="t" o:connecttype="rect"/>
              </v:shapetype>
              <v:shape id="Text Box 7" o:spid="_x0000_s1026" type="#_x0000_t202" style="position:absolute;margin-left:203.95pt;margin-top:624.75pt;width:240.85pt;height:111pt;z-index:2516602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" o:allowoverlap="f" fillcolor="window" stroked="f" strokeweight=".5pt">
                <o:lock v:ext="edit" aspectratio="t"/>
                <v:textbox>
                  <w:txbxContent>
                    <w:p w14:paraId="60FA2CD5" w14:textId="77777777" w:rsidR="00C6356F" w:rsidRPr="008A3B32" w:rsidRDefault="00C6356F" w:rsidP="00C6356F">
                      <w:pPr>
                        <w:pStyle w:val="BBodyText"/>
                        <w:spacing w:afterLines="60" w:after="144"/>
                        <w:rPr>
                          <w:lang w:eastAsia="en-GB"/>
                        </w:rPr>
                      </w:pPr>
                      <w:r w:rsidRPr="008E3C98">
                        <w:rPr>
                          <w:lang w:eastAsia="en-GB"/>
                        </w:rPr>
                        <w:t>This submission has been prepared ahead of the examination of Greece’s Sate party’s report, and of the adoption of the Concluding Observation and List of Issues for Greece by the UN Human Rights Committee in the context of its 142</w:t>
                      </w:r>
                      <w:r w:rsidRPr="008E3C98">
                        <w:rPr>
                          <w:vertAlign w:val="superscript"/>
                          <w:lang w:eastAsia="en-GB"/>
                        </w:rPr>
                        <w:t>nd</w:t>
                      </w:r>
                      <w:r w:rsidRPr="008E3C98">
                        <w:rPr>
                          <w:lang w:eastAsia="en-GB"/>
                        </w:rPr>
                        <w:t xml:space="preserve"> session, on 14 October – 7 November 2024.  </w:t>
                      </w:r>
                    </w:p>
                  </w:txbxContent>
                </v:textbox>
                <w10:wrap type="square" anchorx="margin" anchory="page"/>
                <w10:anchorlock/>
              </v:shape>
            </w:pict>
          </mc:Fallback>
        </mc:AlternateContent>
      </w:r>
    </w:p>
    <w:p w14:paraId="03CB32C5" w14:textId="77777777" w:rsidR="001624A9" w:rsidRPr="00F11704" w:rsidRDefault="001624A9">
      <w:pPr>
        <w:rPr>
          <w:rFonts w:asciiTheme="majorHAnsi" w:hAnsiTheme="majorHAnsi"/>
          <w:b/>
          <w:bCs/>
          <w:caps/>
          <w:noProof/>
          <w:sz w:val="22"/>
          <w:szCs w:val="32"/>
          <w:lang w:eastAsia="en-GB"/>
        </w:rPr>
      </w:pPr>
      <w:r w:rsidRPr="00F11704">
        <w:rPr>
          <w:rFonts w:asciiTheme="majorHAnsi" w:hAnsiTheme="majorHAnsi"/>
          <w:b/>
          <w:caps/>
          <w:noProof/>
          <w:sz w:val="22"/>
          <w:szCs w:val="32"/>
          <w:lang w:eastAsia="en-GB"/>
        </w:rPr>
        <w:br w:type="page"/>
      </w:r>
    </w:p>
    <w:p w14:paraId="04F1BA89" w14:textId="7C2DF0AF" w:rsidR="005D6062" w:rsidRPr="002F4249" w:rsidRDefault="005D6062" w:rsidP="001153D5">
      <w:pPr>
        <w:pStyle w:val="BBodyText"/>
        <w:rPr>
          <w:rFonts w:asciiTheme="majorHAnsi" w:hAnsiTheme="majorHAnsi"/>
          <w:b/>
          <w:caps/>
          <w:noProof/>
          <w:color w:val="000000" w:themeColor="text1"/>
          <w:sz w:val="18"/>
          <w:u w:val="single"/>
          <w:lang w:eastAsia="en-GB"/>
        </w:rPr>
        <w:sectPr w:rsidR="005D6062" w:rsidRPr="002F4249" w:rsidSect="00DA7998">
          <w:footerReference w:type="default" r:id="rId9"/>
          <w:footerReference w:type="first" r:id="rId10"/>
          <w:pgSz w:w="11906" w:h="16838" w:code="9"/>
          <w:pgMar w:top="1474" w:right="1418" w:bottom="1418" w:left="1418" w:header="709" w:footer="709" w:gutter="0"/>
          <w:cols w:space="708"/>
          <w:titlePg/>
          <w:docGrid w:linePitch="360"/>
        </w:sectPr>
      </w:pPr>
    </w:p>
    <w:p w14:paraId="6BAD53D5" w14:textId="13246D93" w:rsidR="006B44F3" w:rsidRPr="006B44F3" w:rsidRDefault="00E70C64" w:rsidP="00733775">
      <w:pPr>
        <w:pStyle w:val="BNumberedHeading"/>
        <w:spacing w:afterLines="60" w:after="144"/>
      </w:pPr>
      <w:bookmarkStart w:id="0" w:name="_Toc177292865"/>
      <w:r>
        <w:lastRenderedPageBreak/>
        <w:t>introduction</w:t>
      </w:r>
      <w:bookmarkEnd w:id="0"/>
    </w:p>
    <w:p w14:paraId="24D6FC2C" w14:textId="705AD3D4" w:rsidR="008E3C98" w:rsidRPr="008E3C98" w:rsidRDefault="008E3C98" w:rsidP="00733775">
      <w:pPr>
        <w:pStyle w:val="BBodyText"/>
        <w:spacing w:afterLines="60" w:after="144"/>
        <w:rPr>
          <w:lang w:eastAsia="en-GB"/>
        </w:rPr>
      </w:pPr>
      <w:r w:rsidRPr="008E3C98">
        <w:rPr>
          <w:lang w:eastAsia="en-GB"/>
        </w:rPr>
        <w:t>This submission has been prepared ahead of the examination of Greece’s Sate party’s report, and of the adoption of the Concluding Observation and List of Issues for Greece by the UN Human Rights Committee in the context of its 142</w:t>
      </w:r>
      <w:r w:rsidRPr="008E3C98">
        <w:rPr>
          <w:vertAlign w:val="superscript"/>
          <w:lang w:eastAsia="en-GB"/>
        </w:rPr>
        <w:t>nd</w:t>
      </w:r>
      <w:r w:rsidRPr="008E3C98">
        <w:rPr>
          <w:lang w:eastAsia="en-GB"/>
        </w:rPr>
        <w:t xml:space="preserve"> session, on 14 October – 7 November 2024.  </w:t>
      </w:r>
    </w:p>
    <w:p w14:paraId="6694D91B" w14:textId="28F376B0" w:rsidR="008E3C98" w:rsidRDefault="008E3C98" w:rsidP="00733775">
      <w:pPr>
        <w:pStyle w:val="BBodyText"/>
        <w:spacing w:afterLines="60" w:after="144"/>
        <w:rPr>
          <w:lang w:eastAsia="en-GB"/>
        </w:rPr>
      </w:pPr>
      <w:r w:rsidRPr="008E3C98">
        <w:rPr>
          <w:lang w:eastAsia="en-GB"/>
        </w:rPr>
        <w:t xml:space="preserve">The information included in this submission is a non-exhaustive selection of Amnesty International’s concerns regarding Greece’s compliance with the International Covenant on Civil and Political Rights (the Covenant), based on the organization’s research and observations since the last review. It highlights concerns regarding the national human rights situation; Covid-19 related restrictions; the right to life and prohibition of torture and cruel, inhuman or degrading treatment; the treatment of aliens; freedom of religion and belief; access to justice, independence of the judiciary and right to a fair trial; non-discrimination; freedom of association; freedom of </w:t>
      </w:r>
      <w:r w:rsidR="00A239B1">
        <w:rPr>
          <w:lang w:eastAsia="en-GB"/>
        </w:rPr>
        <w:t>expression and assembly</w:t>
      </w:r>
      <w:r w:rsidRPr="008E3C98">
        <w:rPr>
          <w:lang w:eastAsia="en-GB"/>
        </w:rPr>
        <w:t>; unaccompanied minors; and violence against women and children.  </w:t>
      </w:r>
    </w:p>
    <w:p w14:paraId="72BCC007" w14:textId="37EE3169" w:rsidR="00686A14" w:rsidRPr="008E3C98" w:rsidRDefault="00686A14" w:rsidP="00733775">
      <w:pPr>
        <w:pStyle w:val="BBodyText"/>
        <w:spacing w:afterLines="60" w:after="144"/>
        <w:rPr>
          <w:lang w:eastAsia="en-GB"/>
        </w:rPr>
      </w:pPr>
      <w:r>
        <w:rPr>
          <w:lang w:eastAsia="en-GB"/>
        </w:rPr>
        <w:t>Each section</w:t>
      </w:r>
      <w:r w:rsidR="003C38B7">
        <w:rPr>
          <w:lang w:eastAsia="en-GB"/>
        </w:rPr>
        <w:t xml:space="preserve"> includes recommendations that Amnesty International calls the Human Rights Committee to make to the Greek authorities. </w:t>
      </w:r>
    </w:p>
    <w:p w14:paraId="3E52395F" w14:textId="19CC1DCE" w:rsidR="00E70C64" w:rsidRDefault="00C022F6" w:rsidP="00733775">
      <w:pPr>
        <w:pStyle w:val="BNumberedHeading"/>
        <w:spacing w:afterLines="60" w:after="144"/>
      </w:pPr>
      <w:bookmarkStart w:id="1" w:name="_Toc177292866"/>
      <w:r>
        <w:t>G</w:t>
      </w:r>
      <w:r w:rsidR="0016343E">
        <w:t>eneral</w:t>
      </w:r>
      <w:r w:rsidR="00C9692E">
        <w:t xml:space="preserve"> </w:t>
      </w:r>
      <w:r w:rsidR="00C9692E" w:rsidRPr="00C9692E">
        <w:rPr>
          <w:bCs/>
        </w:rPr>
        <w:t>INFORMATION ON THE NATIONAL HUMAN RIGHTS SITUATION (ARTICLE 2)</w:t>
      </w:r>
      <w:bookmarkEnd w:id="1"/>
      <w:r w:rsidR="00C9692E" w:rsidRPr="00C9692E">
        <w:rPr>
          <w:bCs/>
        </w:rPr>
        <w:t> </w:t>
      </w:r>
    </w:p>
    <w:p w14:paraId="67D226A7" w14:textId="4CA2D8EA" w:rsidR="00E70C64" w:rsidRPr="0064631F" w:rsidRDefault="00C9692E" w:rsidP="00733775">
      <w:pPr>
        <w:pStyle w:val="BBodyText"/>
        <w:spacing w:afterLines="60" w:after="144"/>
        <w:rPr>
          <w:lang w:val="en-US"/>
        </w:rPr>
      </w:pPr>
      <w:r w:rsidRPr="00C9692E">
        <w:rPr>
          <w:lang w:val="en-US"/>
        </w:rPr>
        <w:t>Reports persist of unlawful use of force in police operations, including the policing of demonstration while several provisions in legislation aiming at the regulation of public outdoors assemblies constitute an unjustified interference with the right to freedom of peaceful assembly</w:t>
      </w:r>
      <w:r w:rsidR="0072034F">
        <w:rPr>
          <w:rStyle w:val="FootnoteReference"/>
          <w:lang w:val="en-US"/>
        </w:rPr>
        <w:footnoteReference w:id="2"/>
      </w:r>
      <w:r w:rsidRPr="00C9692E">
        <w:rPr>
          <w:lang w:val="en-US"/>
        </w:rPr>
        <w:t>. Human rights violations continued at Greece’s borders, including unlawful, summary returns.  Survivors of a shipwreck in June 2023 in which more than 600 people died blamed the Greek authorities for causing the incident. Human rights defenders continue to face criminalization for their work with refugees and migrants. People seeking asylum in the EU-funded “Closed Controlled Access Centre” (CCAC) on the island of Samos are systematically and unlawfully deprived of their liberty</w:t>
      </w:r>
      <w:r w:rsidR="00F07B2C">
        <w:rPr>
          <w:rStyle w:val="FootnoteReference"/>
          <w:lang w:val="en-US"/>
        </w:rPr>
        <w:footnoteReference w:id="3"/>
      </w:r>
      <w:r w:rsidRPr="00C9692E">
        <w:rPr>
          <w:lang w:val="en-US"/>
        </w:rPr>
        <w:t>.</w:t>
      </w:r>
      <w:r w:rsidRPr="00C9692E">
        <w:rPr>
          <w:vertAlign w:val="superscript"/>
          <w:lang w:val="en-US"/>
        </w:rPr>
        <w:t xml:space="preserve"> </w:t>
      </w:r>
      <w:r w:rsidR="0072034F" w:rsidRPr="00C9692E">
        <w:rPr>
          <w:lang w:val="en-US"/>
        </w:rPr>
        <w:t xml:space="preserve"> Violations</w:t>
      </w:r>
      <w:r w:rsidRPr="00C9692E">
        <w:rPr>
          <w:lang w:val="en-US"/>
        </w:rPr>
        <w:t xml:space="preserve"> of the rights of conscientious objectors to military service also persist</w:t>
      </w:r>
      <w:r w:rsidR="00830F9E">
        <w:rPr>
          <w:rStyle w:val="FootnoteReference"/>
          <w:lang w:val="en-US"/>
        </w:rPr>
        <w:footnoteReference w:id="4"/>
      </w:r>
      <w:r w:rsidRPr="00C9692E">
        <w:rPr>
          <w:lang w:val="en-US"/>
        </w:rPr>
        <w:t>. Concerns exist about cases of strategic lawsuits against public participation (SLAPP) against journalists an</w:t>
      </w:r>
      <w:r w:rsidR="005870B9">
        <w:rPr>
          <w:lang w:val="en-US"/>
        </w:rPr>
        <w:t xml:space="preserve">d the use </w:t>
      </w:r>
      <w:r w:rsidRPr="00C9692E">
        <w:rPr>
          <w:lang w:val="en-US"/>
        </w:rPr>
        <w:t>of Predator spyware</w:t>
      </w:r>
      <w:r w:rsidR="005870B9">
        <w:rPr>
          <w:rStyle w:val="FootnoteReference"/>
          <w:lang w:val="en-US"/>
        </w:rPr>
        <w:footnoteReference w:id="5"/>
      </w:r>
      <w:r w:rsidRPr="00C9692E">
        <w:rPr>
          <w:lang w:val="en-US"/>
        </w:rPr>
        <w:t>.</w:t>
      </w:r>
      <w:r w:rsidRPr="00C9692E">
        <w:rPr>
          <w:vertAlign w:val="superscript"/>
          <w:lang w:val="en-US"/>
        </w:rPr>
        <w:t xml:space="preserve"> </w:t>
      </w:r>
      <w:r w:rsidR="00830F9E" w:rsidRPr="00C9692E">
        <w:rPr>
          <w:lang w:val="en-US"/>
        </w:rPr>
        <w:t xml:space="preserve"> Concerns</w:t>
      </w:r>
      <w:r w:rsidRPr="00C9692E">
        <w:rPr>
          <w:lang w:val="en-US"/>
        </w:rPr>
        <w:t xml:space="preserve"> also exist that a law on child custody would put the safety of victims of domestic violence at risk</w:t>
      </w:r>
      <w:r w:rsidR="003855F3">
        <w:rPr>
          <w:rStyle w:val="FootnoteReference"/>
          <w:lang w:val="en-US"/>
        </w:rPr>
        <w:footnoteReference w:id="6"/>
      </w:r>
      <w:r w:rsidRPr="00C9692E">
        <w:rPr>
          <w:lang w:val="en-US"/>
        </w:rPr>
        <w:t>.</w:t>
      </w:r>
      <w:r w:rsidRPr="00C9692E">
        <w:rPr>
          <w:vertAlign w:val="superscript"/>
          <w:lang w:val="en-US"/>
        </w:rPr>
        <w:t xml:space="preserve"> </w:t>
      </w:r>
      <w:r w:rsidRPr="00C9692E">
        <w:rPr>
          <w:lang w:val="en-US"/>
        </w:rPr>
        <w:t>In a positive step, the Greek Parliament passed a law on same-sex marriage but failure to introduce certain amendments proposed by civil society perpetuates multiple forms of discrimination against LGBTI persons</w:t>
      </w:r>
      <w:r w:rsidR="00650495">
        <w:rPr>
          <w:rStyle w:val="FootnoteReference"/>
          <w:lang w:val="en-US"/>
        </w:rPr>
        <w:footnoteReference w:id="7"/>
      </w:r>
      <w:r w:rsidRPr="00C9692E">
        <w:rPr>
          <w:lang w:val="en-US"/>
        </w:rPr>
        <w:t>.</w:t>
      </w:r>
      <w:r w:rsidRPr="00C9692E">
        <w:t> </w:t>
      </w:r>
    </w:p>
    <w:p w14:paraId="30CB2BE7" w14:textId="06DD2265" w:rsidR="009B1EC4" w:rsidRDefault="00C022F6" w:rsidP="0026120D">
      <w:pPr>
        <w:pStyle w:val="BNumberedHeading"/>
        <w:spacing w:afterLines="60" w:after="144"/>
      </w:pPr>
      <w:bookmarkStart w:id="2" w:name="_Toc177292867"/>
      <w:r>
        <w:t>C</w:t>
      </w:r>
      <w:r w:rsidR="009B1EC4">
        <w:t>ovid-19 related restrictions</w:t>
      </w:r>
      <w:bookmarkEnd w:id="2"/>
    </w:p>
    <w:p w14:paraId="2C6294E5" w14:textId="4920D888" w:rsidR="009B1EC4" w:rsidRDefault="0026120D" w:rsidP="0026120D">
      <w:pPr>
        <w:pStyle w:val="BBodyText"/>
        <w:spacing w:afterLines="60" w:after="144"/>
        <w:rPr>
          <w:lang w:eastAsia="en-GB"/>
        </w:rPr>
      </w:pPr>
      <w:r w:rsidRPr="0026120D">
        <w:rPr>
          <w:lang w:val="en-US" w:eastAsia="en-GB"/>
        </w:rPr>
        <w:t xml:space="preserve">In September 2022, Amnesty International and other CSOs </w:t>
      </w:r>
      <w:r w:rsidR="0078756D">
        <w:rPr>
          <w:lang w:val="en-US" w:eastAsia="en-GB"/>
        </w:rPr>
        <w:t xml:space="preserve">(Civil Society Organizations) </w:t>
      </w:r>
      <w:r w:rsidRPr="0026120D">
        <w:rPr>
          <w:lang w:val="en-US" w:eastAsia="en-GB"/>
        </w:rPr>
        <w:t xml:space="preserve">expressed concerns that </w:t>
      </w:r>
      <w:r w:rsidRPr="0026120D">
        <w:rPr>
          <w:lang w:eastAsia="en-GB"/>
        </w:rPr>
        <w:t xml:space="preserve">asylum seekers were “the only category of people who are still subjected to a mandatory </w:t>
      </w:r>
      <w:r w:rsidRPr="0026120D">
        <w:rPr>
          <w:lang w:eastAsia="en-GB"/>
        </w:rPr>
        <w:lastRenderedPageBreak/>
        <w:t>COVID-19 quarantine” upon arrival in Greece</w:t>
      </w:r>
      <w:r w:rsidR="001607B0">
        <w:rPr>
          <w:rStyle w:val="FootnoteReference"/>
          <w:lang w:eastAsia="en-GB"/>
        </w:rPr>
        <w:footnoteReference w:id="8"/>
      </w:r>
      <w:r w:rsidRPr="0026120D">
        <w:rPr>
          <w:lang w:eastAsia="en-GB"/>
        </w:rPr>
        <w:t>. In August 2023, a report by CSOs documented broader human rights implications of the COVID-19 measures on refugees and migrants on Lesvos, including delayed vaccinations, lack of access to vaccination for some groups, and the policing of people’s movements</w:t>
      </w:r>
      <w:r w:rsidR="00F151AB">
        <w:rPr>
          <w:rStyle w:val="FootnoteReference"/>
          <w:lang w:eastAsia="en-GB"/>
        </w:rPr>
        <w:footnoteReference w:id="9"/>
      </w:r>
      <w:r w:rsidRPr="0026120D">
        <w:rPr>
          <w:lang w:eastAsia="en-GB"/>
        </w:rPr>
        <w:t>. Other reports noted that Greek authorities invoked the COVID-19 pandemic “to promote its closed centre and general detention agenda, and to reinforce its tough border policy”</w:t>
      </w:r>
      <w:r w:rsidR="00423746">
        <w:rPr>
          <w:rStyle w:val="FootnoteReference"/>
          <w:lang w:eastAsia="en-GB"/>
        </w:rPr>
        <w:footnoteReference w:id="10"/>
      </w:r>
      <w:r w:rsidRPr="0026120D">
        <w:rPr>
          <w:lang w:eastAsia="en-GB"/>
        </w:rPr>
        <w:t>, and that the COVID-19 rules created obstacles to refugee children’s access to education</w:t>
      </w:r>
      <w:r w:rsidR="00423746">
        <w:rPr>
          <w:rStyle w:val="FootnoteReference"/>
          <w:lang w:eastAsia="en-GB"/>
        </w:rPr>
        <w:footnoteReference w:id="11"/>
      </w:r>
      <w:r w:rsidRPr="0026120D">
        <w:rPr>
          <w:lang w:eastAsia="en-GB"/>
        </w:rPr>
        <w:t>.</w:t>
      </w:r>
    </w:p>
    <w:p w14:paraId="5091613F" w14:textId="18D8FCDE" w:rsidR="00196E1F" w:rsidRDefault="00C022F6" w:rsidP="00196E1F">
      <w:pPr>
        <w:pStyle w:val="BNumberedHeading"/>
        <w:rPr>
          <w:bCs/>
        </w:rPr>
      </w:pPr>
      <w:bookmarkStart w:id="3" w:name="_Toc177292868"/>
      <w:r>
        <w:rPr>
          <w:bCs/>
        </w:rPr>
        <w:t>R</w:t>
      </w:r>
      <w:r w:rsidR="002F27B2" w:rsidRPr="002F27B2">
        <w:rPr>
          <w:bCs/>
        </w:rPr>
        <w:t>ight to life and prohibition of torture and cruel, inhuman or degrading treatment (ARTICLES 6 AND 7 iccpr)</w:t>
      </w:r>
      <w:bookmarkEnd w:id="3"/>
      <w:r w:rsidR="002F27B2" w:rsidRPr="002F27B2">
        <w:rPr>
          <w:bCs/>
        </w:rPr>
        <w:t> </w:t>
      </w:r>
    </w:p>
    <w:p w14:paraId="55B7C6B3" w14:textId="05A29570" w:rsidR="002F27B2" w:rsidRDefault="00C022F6" w:rsidP="00733775">
      <w:pPr>
        <w:pStyle w:val="BNumberedSubheading"/>
        <w:spacing w:afterLines="60" w:after="144"/>
      </w:pPr>
      <w:bookmarkStart w:id="4" w:name="_Toc177292869"/>
      <w:r>
        <w:t>R</w:t>
      </w:r>
      <w:r w:rsidR="00D23F23">
        <w:t>ight to life</w:t>
      </w:r>
      <w:bookmarkEnd w:id="4"/>
    </w:p>
    <w:p w14:paraId="6B9FAAA8" w14:textId="033649E3" w:rsidR="001D5D53" w:rsidRDefault="001D5D53" w:rsidP="00733775">
      <w:pPr>
        <w:pStyle w:val="BBodyText"/>
        <w:spacing w:afterLines="60" w:after="144"/>
        <w:rPr>
          <w:lang w:eastAsia="en-GB"/>
        </w:rPr>
      </w:pPr>
      <w:r>
        <w:rPr>
          <w:lang w:eastAsia="en-GB"/>
        </w:rPr>
        <w:t>The misuse of firearms by law enforcement officers remains a serious concern in Greece. In three incidents, misuse of firearms during police car chase operation led to the loss of life of three young persons, two of them children. Two of the victims were members of the Roma community</w:t>
      </w:r>
      <w:r>
        <w:rPr>
          <w:rStyle w:val="FootnoteReference"/>
          <w:lang w:eastAsia="en-GB"/>
        </w:rPr>
        <w:footnoteReference w:id="12"/>
      </w:r>
      <w:r>
        <w:rPr>
          <w:lang w:eastAsia="en-GB"/>
        </w:rPr>
        <w:t xml:space="preserve">.  </w:t>
      </w:r>
    </w:p>
    <w:p w14:paraId="2AD75602" w14:textId="77777777" w:rsidR="009B1EC4" w:rsidRDefault="001D5D53" w:rsidP="001D5D53">
      <w:pPr>
        <w:pStyle w:val="BBodyText"/>
        <w:rPr>
          <w:lang w:eastAsia="en-GB"/>
        </w:rPr>
      </w:pPr>
      <w:r>
        <w:rPr>
          <w:lang w:eastAsia="en-GB"/>
        </w:rPr>
        <w:t xml:space="preserve">Further, in September 2023 Kostas Manioudakis died following alleged ill-treatment by police during a stop-and-search operation in the village of </w:t>
      </w:r>
      <w:proofErr w:type="spellStart"/>
      <w:r>
        <w:rPr>
          <w:lang w:eastAsia="en-GB"/>
        </w:rPr>
        <w:t>Vryses</w:t>
      </w:r>
      <w:proofErr w:type="spellEnd"/>
      <w:r>
        <w:rPr>
          <w:lang w:eastAsia="en-GB"/>
        </w:rPr>
        <w:t xml:space="preserve"> in Crete</w:t>
      </w:r>
      <w:r w:rsidR="00242016">
        <w:rPr>
          <w:rStyle w:val="FootnoteReference"/>
          <w:lang w:eastAsia="en-GB"/>
        </w:rPr>
        <w:footnoteReference w:id="13"/>
      </w:r>
      <w:r>
        <w:rPr>
          <w:lang w:eastAsia="en-GB"/>
        </w:rPr>
        <w:t>. On 30 August 2024, the family’s lawyer announced that a Prosecutor in Chania charged four police officers for intentional homicide with possible malice. Concerns have been expressed by the legal team representing Kostas Manioudakis’ family as the four police officers have not been suspended from duty</w:t>
      </w:r>
      <w:r w:rsidR="004A50CF">
        <w:rPr>
          <w:rStyle w:val="FootnoteReference"/>
          <w:lang w:eastAsia="en-GB"/>
        </w:rPr>
        <w:footnoteReference w:id="14"/>
      </w:r>
      <w:r>
        <w:rPr>
          <w:lang w:eastAsia="en-GB"/>
        </w:rPr>
        <w:t>.</w:t>
      </w:r>
    </w:p>
    <w:p w14:paraId="28B97063" w14:textId="77777777" w:rsidR="00340F3E" w:rsidRDefault="00340F3E" w:rsidP="001D5D53">
      <w:pPr>
        <w:pStyle w:val="BBodyText"/>
        <w:rPr>
          <w:lang w:eastAsia="en-GB"/>
        </w:rPr>
      </w:pPr>
    </w:p>
    <w:p w14:paraId="297C4F89" w14:textId="774BC9BC" w:rsidR="00340F3E" w:rsidRDefault="00C022F6" w:rsidP="00340F3E">
      <w:pPr>
        <w:pStyle w:val="BNumberedSubheading"/>
        <w:spacing w:after="60"/>
      </w:pPr>
      <w:bookmarkStart w:id="5" w:name="_Toc177292870"/>
      <w:r>
        <w:t>A</w:t>
      </w:r>
      <w:r w:rsidR="00340F3E">
        <w:t>ccountability mechanisms</w:t>
      </w:r>
      <w:bookmarkEnd w:id="5"/>
    </w:p>
    <w:p w14:paraId="3FD8FFD0" w14:textId="3C992ED4" w:rsidR="009F041A" w:rsidRDefault="00340F3E" w:rsidP="00340F3E">
      <w:pPr>
        <w:pStyle w:val="BBodyText"/>
        <w:spacing w:after="60"/>
        <w:rPr>
          <w:lang w:val="en-US" w:eastAsia="en-GB"/>
        </w:rPr>
      </w:pPr>
      <w:r w:rsidRPr="00340F3E">
        <w:rPr>
          <w:lang w:val="en-US" w:eastAsia="en-GB"/>
        </w:rPr>
        <w:t xml:space="preserve">The National Mechanism for the Investigation of Arbitrary Incidents in Greece (the Mechanism) has insufficient staff and resources to conduct its own investigations. The Mechanism also </w:t>
      </w:r>
      <w:r w:rsidR="00132298">
        <w:rPr>
          <w:lang w:val="en-US" w:eastAsia="en-GB"/>
        </w:rPr>
        <w:t>“</w:t>
      </w:r>
      <w:r w:rsidRPr="00340F3E">
        <w:rPr>
          <w:lang w:val="en-US" w:eastAsia="en-GB"/>
        </w:rPr>
        <w:t>has no power to compel action and can only make recommendations to the police</w:t>
      </w:r>
      <w:r w:rsidR="00132298">
        <w:rPr>
          <w:lang w:val="en-US" w:eastAsia="en-GB"/>
        </w:rPr>
        <w:t>”</w:t>
      </w:r>
      <w:r w:rsidR="00EA642C">
        <w:rPr>
          <w:rStyle w:val="FootnoteReference"/>
          <w:lang w:val="en-US" w:eastAsia="en-GB"/>
        </w:rPr>
        <w:footnoteReference w:id="15"/>
      </w:r>
      <w:r w:rsidRPr="00340F3E">
        <w:rPr>
          <w:lang w:val="en-US" w:eastAsia="en-GB"/>
        </w:rPr>
        <w:t>.</w:t>
      </w:r>
      <w:r w:rsidRPr="00340F3E">
        <w:rPr>
          <w:vertAlign w:val="superscript"/>
          <w:lang w:val="en-US" w:eastAsia="en-GB"/>
        </w:rPr>
        <w:t xml:space="preserve"> </w:t>
      </w:r>
      <w:r w:rsidRPr="00340F3E">
        <w:rPr>
          <w:lang w:val="en-US" w:eastAsia="en-GB"/>
        </w:rPr>
        <w:t>In April 2024, the Council of Europe Committee of Ministers called Greece to support the Mechanism by providing the necessary staff and implementing its recommendations</w:t>
      </w:r>
      <w:r w:rsidR="00BF7102">
        <w:rPr>
          <w:rStyle w:val="FootnoteReference"/>
          <w:lang w:val="en-US" w:eastAsia="en-GB"/>
        </w:rPr>
        <w:footnoteReference w:id="16"/>
      </w:r>
      <w:r w:rsidRPr="00340F3E">
        <w:rPr>
          <w:lang w:val="en-US" w:eastAsia="en-GB"/>
        </w:rPr>
        <w:t>.</w:t>
      </w:r>
    </w:p>
    <w:p w14:paraId="225A10C5" w14:textId="77777777" w:rsidR="009F041A" w:rsidRDefault="009F041A" w:rsidP="00340F3E">
      <w:pPr>
        <w:pStyle w:val="BBodyText"/>
        <w:spacing w:after="60"/>
        <w:rPr>
          <w:lang w:val="en-US" w:eastAsia="en-GB"/>
        </w:rPr>
      </w:pPr>
    </w:p>
    <w:p w14:paraId="173E3D34" w14:textId="280A69B3" w:rsidR="009F041A" w:rsidRDefault="00C022F6" w:rsidP="003C38B7">
      <w:pPr>
        <w:pStyle w:val="BSubheadingnonumbers"/>
        <w:spacing w:afterLines="60" w:after="144"/>
        <w:rPr>
          <w:lang w:val="en-US"/>
        </w:rPr>
      </w:pPr>
      <w:bookmarkStart w:id="6" w:name="_Toc177292871"/>
      <w:r>
        <w:rPr>
          <w:lang w:val="en-US"/>
        </w:rPr>
        <w:t>R</w:t>
      </w:r>
      <w:r w:rsidR="009F041A">
        <w:rPr>
          <w:lang w:val="en-US"/>
        </w:rPr>
        <w:t>ECOMMENDATIONS</w:t>
      </w:r>
      <w:bookmarkEnd w:id="6"/>
    </w:p>
    <w:p w14:paraId="71AC17E1" w14:textId="21DD1642" w:rsidR="00243A56" w:rsidRPr="00243A56" w:rsidRDefault="00243A56" w:rsidP="00243A56">
      <w:pPr>
        <w:pStyle w:val="BBodyText"/>
        <w:rPr>
          <w:lang w:val="en-US" w:eastAsia="en-GB"/>
        </w:rPr>
      </w:pPr>
      <w:r>
        <w:rPr>
          <w:lang w:val="en-US" w:eastAsia="en-GB"/>
        </w:rPr>
        <w:t>The Mechanism should be grante</w:t>
      </w:r>
      <w:r w:rsidR="007B6FEC">
        <w:rPr>
          <w:lang w:val="en-US" w:eastAsia="en-GB"/>
        </w:rPr>
        <w:t>d</w:t>
      </w:r>
      <w:r>
        <w:rPr>
          <w:lang w:val="en-US" w:eastAsia="en-GB"/>
        </w:rPr>
        <w:t>:</w:t>
      </w:r>
    </w:p>
    <w:p w14:paraId="2227344D" w14:textId="77777777" w:rsidR="003451A8" w:rsidRDefault="009F041A" w:rsidP="00D83EAE">
      <w:pPr>
        <w:pStyle w:val="BBodyText"/>
        <w:numPr>
          <w:ilvl w:val="0"/>
          <w:numId w:val="2"/>
        </w:numPr>
      </w:pPr>
      <w:r w:rsidRPr="009F041A">
        <w:lastRenderedPageBreak/>
        <w:t>Powers to make binding recommendations for prosecution, disciplinary sanctions, reparations and police reviews. The authorities should be required to provide reasoned responses where findings require it. </w:t>
      </w:r>
    </w:p>
    <w:p w14:paraId="76606C97" w14:textId="014A8043" w:rsidR="00A27ED2" w:rsidRDefault="009F041A" w:rsidP="00D83EAE">
      <w:pPr>
        <w:pStyle w:val="BBodyText"/>
        <w:numPr>
          <w:ilvl w:val="0"/>
          <w:numId w:val="2"/>
        </w:numPr>
      </w:pPr>
      <w:r w:rsidRPr="009F041A">
        <w:t>Sufficient funding, allocated by the legislature and made public. </w:t>
      </w:r>
    </w:p>
    <w:p w14:paraId="73AE18EB" w14:textId="51AEB062" w:rsidR="00A27ED2" w:rsidRDefault="00C022F6" w:rsidP="00A27ED2">
      <w:pPr>
        <w:pStyle w:val="BNumberedHeading"/>
      </w:pPr>
      <w:bookmarkStart w:id="7" w:name="_Toc177292872"/>
      <w:r>
        <w:t>T</w:t>
      </w:r>
      <w:r w:rsidR="00A27ED2">
        <w:t>reatment of aliens</w:t>
      </w:r>
      <w:bookmarkEnd w:id="7"/>
    </w:p>
    <w:p w14:paraId="37EEE424" w14:textId="739E2074" w:rsidR="00A27ED2" w:rsidRDefault="00C022F6" w:rsidP="00A27ED2">
      <w:pPr>
        <w:pStyle w:val="BNumberedSubheading"/>
        <w:rPr>
          <w:bCs/>
        </w:rPr>
      </w:pPr>
      <w:bookmarkStart w:id="8" w:name="_Toc177292873"/>
      <w:r>
        <w:rPr>
          <w:bCs/>
        </w:rPr>
        <w:t>R</w:t>
      </w:r>
      <w:r w:rsidR="00AF2C2D" w:rsidRPr="00AF2C2D">
        <w:rPr>
          <w:bCs/>
        </w:rPr>
        <w:t>ight to life and prohibition of torture and cruel, inhuman or degrading treatment (artICLES 6, 7)</w:t>
      </w:r>
      <w:bookmarkEnd w:id="8"/>
      <w:r w:rsidR="00AF2C2D" w:rsidRPr="00AF2C2D">
        <w:rPr>
          <w:bCs/>
        </w:rPr>
        <w:t> </w:t>
      </w:r>
    </w:p>
    <w:p w14:paraId="29A5D09D" w14:textId="77777777" w:rsidR="00AF2C2D" w:rsidRDefault="00AF2C2D" w:rsidP="00AF2C2D">
      <w:pPr>
        <w:pStyle w:val="paragraph"/>
        <w:spacing w:before="0" w:beforeAutospacing="0" w:after="0" w:afterAutospacing="0"/>
        <w:textAlignment w:val="baseline"/>
        <w:rPr>
          <w:rStyle w:val="normaltextrun"/>
          <w:rFonts w:ascii="Amnesty Trade Gothic Cn" w:hAnsi="Amnesty Trade Gothic Cn" w:cs="Segoe UI"/>
          <w:b/>
          <w:bCs/>
          <w:caps/>
          <w:color w:val="000000"/>
          <w:sz w:val="22"/>
          <w:szCs w:val="22"/>
        </w:rPr>
      </w:pPr>
    </w:p>
    <w:p w14:paraId="57F3B75E" w14:textId="5BE9E220" w:rsidR="00AF2C2D" w:rsidRDefault="00C022F6" w:rsidP="00AF2C2D">
      <w:pPr>
        <w:pStyle w:val="paragraph"/>
        <w:spacing w:before="0" w:beforeAutospacing="0" w:after="0" w:afterAutospacing="0"/>
        <w:textAlignment w:val="baseline"/>
        <w:rPr>
          <w:rFonts w:ascii="Segoe UI" w:hAnsi="Segoe UI" w:cs="Segoe UI"/>
          <w:color w:val="000000"/>
          <w:sz w:val="18"/>
          <w:szCs w:val="18"/>
        </w:rPr>
      </w:pPr>
      <w:r>
        <w:rPr>
          <w:rStyle w:val="normaltextrun"/>
          <w:rFonts w:ascii="Amnesty Trade Gothic Cn" w:hAnsi="Amnesty Trade Gothic Cn" w:cs="Segoe UI"/>
          <w:b/>
          <w:bCs/>
          <w:caps/>
          <w:color w:val="000000"/>
          <w:sz w:val="22"/>
          <w:szCs w:val="22"/>
        </w:rPr>
        <w:t>V</w:t>
      </w:r>
      <w:r w:rsidR="00AF2C2D">
        <w:rPr>
          <w:rStyle w:val="normaltextrun"/>
          <w:rFonts w:ascii="Amnesty Trade Gothic Cn" w:hAnsi="Amnesty Trade Gothic Cn" w:cs="Segoe UI"/>
          <w:b/>
          <w:bCs/>
          <w:caps/>
          <w:color w:val="000000"/>
          <w:sz w:val="22"/>
          <w:szCs w:val="22"/>
        </w:rPr>
        <w:t>IOLENT PUSHBACKS AND OTHER human rghts VIOLATIONS AT GREECE’S BORDERS</w:t>
      </w:r>
      <w:r w:rsidR="00AF2C2D">
        <w:rPr>
          <w:rStyle w:val="eop"/>
          <w:rFonts w:ascii="Amnesty Trade Gothic Cn" w:hAnsi="Amnesty Trade Gothic Cn" w:cs="Segoe UI"/>
          <w:color w:val="000000"/>
          <w:sz w:val="22"/>
          <w:szCs w:val="22"/>
        </w:rPr>
        <w:t> </w:t>
      </w:r>
    </w:p>
    <w:p w14:paraId="3A7C43C9" w14:textId="77777777" w:rsidR="00AF2C2D" w:rsidRDefault="00AF2C2D" w:rsidP="00AF2C2D">
      <w:pPr>
        <w:pStyle w:val="paragraph"/>
        <w:spacing w:before="0" w:beforeAutospacing="0" w:after="0" w:afterAutospacing="0"/>
        <w:textAlignment w:val="baseline"/>
        <w:rPr>
          <w:rStyle w:val="normaltextrun"/>
          <w:rFonts w:ascii="Amnesty Trade Gothic Cn" w:hAnsi="Amnesty Trade Gothic Cn" w:cs="Segoe UI"/>
          <w:caps/>
          <w:color w:val="000000"/>
          <w:sz w:val="22"/>
          <w:szCs w:val="22"/>
        </w:rPr>
      </w:pPr>
    </w:p>
    <w:p w14:paraId="3BCE78A0" w14:textId="070B812B" w:rsidR="00AF2C2D" w:rsidRPr="003C38B7" w:rsidRDefault="00C022F6" w:rsidP="00AF2C2D">
      <w:pPr>
        <w:pStyle w:val="paragraph"/>
        <w:spacing w:before="0" w:beforeAutospacing="0" w:after="60" w:afterAutospacing="0"/>
        <w:textAlignment w:val="baseline"/>
        <w:rPr>
          <w:rFonts w:ascii="Segoe UI" w:hAnsi="Segoe UI" w:cs="Segoe UI"/>
          <w:b/>
          <w:bCs/>
          <w:color w:val="000000"/>
          <w:sz w:val="21"/>
          <w:szCs w:val="21"/>
        </w:rPr>
      </w:pPr>
      <w:r>
        <w:rPr>
          <w:rStyle w:val="normaltextrun"/>
          <w:rFonts w:ascii="Amnesty Trade Gothic Cn" w:hAnsi="Amnesty Trade Gothic Cn" w:cs="Segoe UI"/>
          <w:b/>
          <w:bCs/>
          <w:caps/>
          <w:color w:val="000000"/>
          <w:sz w:val="21"/>
          <w:szCs w:val="21"/>
        </w:rPr>
        <w:t>T</w:t>
      </w:r>
      <w:r w:rsidR="00AF2C2D" w:rsidRPr="003C38B7">
        <w:rPr>
          <w:rStyle w:val="normaltextrun"/>
          <w:rFonts w:ascii="Amnesty Trade Gothic Cn" w:hAnsi="Amnesty Trade Gothic Cn" w:cs="Segoe UI"/>
          <w:b/>
          <w:bCs/>
          <w:caps/>
          <w:color w:val="000000"/>
          <w:sz w:val="21"/>
          <w:szCs w:val="21"/>
        </w:rPr>
        <w:t>he Pylos shipwreck</w:t>
      </w:r>
      <w:r w:rsidR="00AF2C2D" w:rsidRPr="003C38B7">
        <w:rPr>
          <w:rStyle w:val="eop"/>
          <w:rFonts w:ascii="Amnesty Trade Gothic Cn" w:hAnsi="Amnesty Trade Gothic Cn" w:cs="Segoe UI"/>
          <w:b/>
          <w:bCs/>
          <w:color w:val="000000"/>
          <w:sz w:val="21"/>
          <w:szCs w:val="21"/>
        </w:rPr>
        <w:t> </w:t>
      </w:r>
    </w:p>
    <w:p w14:paraId="3CEEC6D4" w14:textId="4E14B52F" w:rsidR="00D31973" w:rsidRPr="00D31973" w:rsidRDefault="00AF2C2D" w:rsidP="00D31973">
      <w:pPr>
        <w:pStyle w:val="BBodyText"/>
      </w:pPr>
      <w:r>
        <w:rPr>
          <w:rStyle w:val="normaltextrun"/>
          <w:rFonts w:cs="Segoe UI"/>
          <w:color w:val="000000"/>
          <w:sz w:val="20"/>
          <w:szCs w:val="20"/>
        </w:rPr>
        <w:t>On</w:t>
      </w:r>
      <w:r w:rsidR="00D31973" w:rsidRPr="00D31973">
        <w:t xml:space="preserve"> 14 June 2023</w:t>
      </w:r>
      <w:r w:rsidR="00583289">
        <w:t xml:space="preserve">, </w:t>
      </w:r>
      <w:r w:rsidR="00D31973" w:rsidRPr="00D31973">
        <w:t>a boat carrying an estimated 750 people from Syria, Pakistan and Egypt, including many children, sank off the coast of Pylos. Only 104 people survived and only 82 bodies were recovered. Survivors’ testimonies collected as part of a research report by Amnesty international and Human Rights Watch (HRW), consistently stated that a boat of the Greek coastguard (HCG) had towed the vessel with a rope, causing it to veer and then capsize. NGOs and media sources described a similar version of events, but this narrative was strongly denied by the Greek authorities</w:t>
      </w:r>
      <w:r w:rsidR="00583289">
        <w:rPr>
          <w:rStyle w:val="FootnoteReference"/>
        </w:rPr>
        <w:footnoteReference w:id="17"/>
      </w:r>
      <w:r w:rsidR="00D31973" w:rsidRPr="00D31973">
        <w:t>.</w:t>
      </w:r>
      <w:r w:rsidR="00D31973" w:rsidRPr="00D31973">
        <w:rPr>
          <w:b/>
          <w:vertAlign w:val="superscript"/>
        </w:rPr>
        <w:t xml:space="preserve"> </w:t>
      </w:r>
      <w:r w:rsidR="00D31973" w:rsidRPr="00D31973">
        <w:t>Some survivors stated that, prior to the towing, the Greek authorities had instructed the boat via satellite phone to follow the HCG’s boat toward Italy. Amnesty International and HRW documented serious failures by the Greek authorities in handling the rescue efforts.  </w:t>
      </w:r>
    </w:p>
    <w:p w14:paraId="2F4E8883" w14:textId="6362B60C" w:rsidR="00D31973" w:rsidRPr="00D31973" w:rsidRDefault="00D31973" w:rsidP="00D31973">
      <w:pPr>
        <w:pStyle w:val="BBodyText"/>
      </w:pPr>
      <w:r w:rsidRPr="00D31973">
        <w:t xml:space="preserve">The Pylos shipwreck follows other cases where HCG vessels appeared to have dangerously towed or attempted to tow migrants and refugees’ boats, such as the </w:t>
      </w:r>
      <w:proofErr w:type="spellStart"/>
      <w:r w:rsidRPr="00D31973">
        <w:t>Farmakonisi</w:t>
      </w:r>
      <w:proofErr w:type="spellEnd"/>
      <w:r w:rsidRPr="00D31973">
        <w:t xml:space="preserve"> shipwreck</w:t>
      </w:r>
      <w:r w:rsidR="00C82D09">
        <w:rPr>
          <w:rStyle w:val="FootnoteReference"/>
        </w:rPr>
        <w:footnoteReference w:id="18"/>
      </w:r>
      <w:r w:rsidRPr="00D31973">
        <w:t>. </w:t>
      </w:r>
    </w:p>
    <w:p w14:paraId="72D7C6BB" w14:textId="1204F2E2" w:rsidR="00D31973" w:rsidRPr="00D31973" w:rsidRDefault="00D31973" w:rsidP="00D31973">
      <w:pPr>
        <w:pStyle w:val="BBodyText"/>
      </w:pPr>
      <w:r w:rsidRPr="00D31973">
        <w:t>The Greek Naval Court’s investigation into the potential liability of the HCG, opened in June 2023, remains at the preliminary stages.</w:t>
      </w:r>
      <w:r w:rsidR="00EE0D55">
        <w:t xml:space="preserve"> </w:t>
      </w:r>
      <w:r w:rsidRPr="00D31973">
        <w:t>Legal nongovernmental organizations joined the case filing a complaint on behalf of 53 survivors alleging that Greek authorities were responsible for the shipwreck, and many of them have been summoned to testify. The Greek authorities may also have undermined the integrity of key evidence, including on account of the confiscation of survivors’ phones in unclear circumstances (See below: “Access to justice […]”)</w:t>
      </w:r>
      <w:r w:rsidR="00EE0D55">
        <w:rPr>
          <w:rStyle w:val="FootnoteReference"/>
        </w:rPr>
        <w:footnoteReference w:id="19"/>
      </w:r>
      <w:r w:rsidRPr="00D31973">
        <w:t>. </w:t>
      </w:r>
    </w:p>
    <w:p w14:paraId="5AEFD62A" w14:textId="3E58F952" w:rsidR="00D31973" w:rsidRPr="00D31973" w:rsidRDefault="00D31973" w:rsidP="00D31973">
      <w:pPr>
        <w:pStyle w:val="BBodyText"/>
      </w:pPr>
      <w:r w:rsidRPr="00D31973">
        <w:t>In November 2023, the Greek Ombudsman opened an inquiry into the HCG’s actions, citing their refusal to conduct an internal disciplinary investigation</w:t>
      </w:r>
      <w:r w:rsidR="00F503BC">
        <w:rPr>
          <w:rStyle w:val="FootnoteReference"/>
        </w:rPr>
        <w:footnoteReference w:id="20"/>
      </w:r>
      <w:r w:rsidRPr="00D31973">
        <w:t>. </w:t>
      </w:r>
    </w:p>
    <w:p w14:paraId="2DF6C817" w14:textId="76E4D3D2" w:rsidR="00AF2C2D" w:rsidRPr="00D31973" w:rsidRDefault="00D31973" w:rsidP="00D31973">
      <w:pPr>
        <w:pStyle w:val="BBodyText"/>
        <w:rPr>
          <w:rStyle w:val="eop"/>
        </w:rPr>
      </w:pPr>
      <w:r w:rsidRPr="00D31973">
        <w:t>For the first time in responding to a shipwreck, the Greek authorities activated the Disaster Victims Identification (DVI) protocol. As of mid-November 2023, the DVI confirmed that 58 of the 82 bodies recovered had been identified and the majority repatriated. </w:t>
      </w:r>
    </w:p>
    <w:p w14:paraId="5A3B62A7" w14:textId="77777777" w:rsidR="00831B46" w:rsidRDefault="00831B46" w:rsidP="00AF2C2D">
      <w:pPr>
        <w:pStyle w:val="paragraph"/>
        <w:spacing w:before="0" w:beforeAutospacing="0" w:after="0" w:afterAutospacing="0"/>
        <w:textAlignment w:val="baseline"/>
        <w:rPr>
          <w:rStyle w:val="eop"/>
          <w:rFonts w:ascii="Amnesty Trade Gothic Light" w:hAnsi="Amnesty Trade Gothic Light" w:cs="Segoe UI"/>
          <w:color w:val="000000"/>
          <w:sz w:val="20"/>
          <w:szCs w:val="20"/>
        </w:rPr>
      </w:pPr>
    </w:p>
    <w:p w14:paraId="1731D9E1" w14:textId="7955B251" w:rsidR="00BF4091" w:rsidRPr="00BF4091" w:rsidRDefault="00BF4091" w:rsidP="00BF4091">
      <w:pPr>
        <w:pStyle w:val="BBodyText"/>
        <w:rPr>
          <w:b/>
          <w:bCs w:val="0"/>
        </w:rPr>
      </w:pPr>
      <w:r w:rsidRPr="003C38B7">
        <w:rPr>
          <w:b/>
          <w:bCs w:val="0"/>
          <w:lang w:eastAsia="en-GB"/>
        </w:rPr>
        <w:t>2021 – SERIOUS VIOLATIONS OF HUMAN RIGHTS INCLUDING ‘PUSHBACKS’ AT LAND AND SEA </w:t>
      </w:r>
    </w:p>
    <w:p w14:paraId="6E803DBD" w14:textId="2F5F1A99" w:rsidR="00BF4091" w:rsidRPr="00BF4091" w:rsidRDefault="00BF4091" w:rsidP="00BF4091">
      <w:pPr>
        <w:pStyle w:val="BBodyText"/>
        <w:rPr>
          <w:lang w:eastAsia="en-GB"/>
        </w:rPr>
      </w:pPr>
      <w:r w:rsidRPr="00BF4091">
        <w:rPr>
          <w:lang w:eastAsia="en-GB"/>
        </w:rPr>
        <w:lastRenderedPageBreak/>
        <w:t>In June 2021, Amnesty International published evidence of 21 summary, unlawful forced returns often involving violence (‘pushbacks’) and other abuses occurred between June and December 2020 against refugees and migrants, mainly at Greek land borders</w:t>
      </w:r>
      <w:r w:rsidR="00F64D37">
        <w:rPr>
          <w:rStyle w:val="FootnoteReference"/>
          <w:lang w:eastAsia="en-GB"/>
        </w:rPr>
        <w:footnoteReference w:id="21"/>
      </w:r>
      <w:r w:rsidRPr="00BF4091">
        <w:rPr>
          <w:lang w:eastAsia="en-GB"/>
        </w:rPr>
        <w:t>. The research concluded that pushbacks operations were conducted by individuals appearing to belong to law enforcement, with the frequent participation of individuals dressed in civilian or unmarked clothing who appeared to be working in cooperation with and/or at the behest of the latter. In most cases, victims said that third country nationals in civilian clothing operated the boats used to transfer them across the river.  </w:t>
      </w:r>
    </w:p>
    <w:p w14:paraId="48CD73EB" w14:textId="7B1742A3" w:rsidR="00BF4091" w:rsidRPr="00BF4091" w:rsidRDefault="00BF4091" w:rsidP="00BF4091">
      <w:pPr>
        <w:pStyle w:val="BBodyText"/>
        <w:rPr>
          <w:lang w:eastAsia="en-GB"/>
        </w:rPr>
      </w:pPr>
      <w:r w:rsidRPr="00BF4091">
        <w:rPr>
          <w:lang w:eastAsia="en-GB"/>
        </w:rPr>
        <w:t xml:space="preserve">The </w:t>
      </w:r>
      <w:r w:rsidR="00E0573A" w:rsidRPr="00E0573A">
        <w:rPr>
          <w:lang w:eastAsia="en-GB"/>
        </w:rPr>
        <w:t>research documented how people conducting the pushbacks frequently exposed refugees and migrants to violence and other prohibited treatments which, in most cases,</w:t>
      </w:r>
      <w:r w:rsidR="00E0573A">
        <w:rPr>
          <w:lang w:eastAsia="en-GB"/>
        </w:rPr>
        <w:t xml:space="preserve"> </w:t>
      </w:r>
      <w:r w:rsidR="00E0573A" w:rsidRPr="00E0573A">
        <w:rPr>
          <w:lang w:eastAsia="en-GB"/>
        </w:rPr>
        <w:t>violated the prohibition of cruel, inhuman or degrading treatment and could have, in some cases, constituted torture, in violation of Article 7 ICCPR. Some acts may have also violated Greece’s obligations to protect the right to life, under Article 6 ICCPR.</w:t>
      </w:r>
    </w:p>
    <w:p w14:paraId="0CE4ECBE" w14:textId="2A0383F3" w:rsidR="00BF4091" w:rsidRPr="00BF4091" w:rsidRDefault="00B40A3E" w:rsidP="00BF4091">
      <w:pPr>
        <w:pStyle w:val="BBodyText"/>
        <w:rPr>
          <w:lang w:eastAsia="en-GB"/>
        </w:rPr>
      </w:pPr>
      <w:r>
        <w:rPr>
          <w:lang w:eastAsia="en-GB"/>
        </w:rPr>
        <w:t>The report</w:t>
      </w:r>
      <w:r w:rsidR="00BF4091" w:rsidRPr="00BF4091">
        <w:rPr>
          <w:lang w:eastAsia="en-GB"/>
        </w:rPr>
        <w:t xml:space="preserve"> follow</w:t>
      </w:r>
      <w:r>
        <w:rPr>
          <w:lang w:eastAsia="en-GB"/>
        </w:rPr>
        <w:t>ed</w:t>
      </w:r>
      <w:r w:rsidR="00BF4091" w:rsidRPr="00BF4091">
        <w:rPr>
          <w:lang w:eastAsia="en-GB"/>
        </w:rPr>
        <w:t xml:space="preserve"> previous research of April 2020, which documented similar practices by Greece’s border forces during escalating political tensions with Turkey in February-March 2020</w:t>
      </w:r>
      <w:r w:rsidR="00B94B75">
        <w:rPr>
          <w:rStyle w:val="FootnoteReference"/>
          <w:lang w:eastAsia="en-GB"/>
        </w:rPr>
        <w:footnoteReference w:id="22"/>
      </w:r>
      <w:r w:rsidR="00BF4091" w:rsidRPr="00BF4091">
        <w:rPr>
          <w:lang w:eastAsia="en-GB"/>
        </w:rPr>
        <w:t>. </w:t>
      </w:r>
    </w:p>
    <w:p w14:paraId="455AFDDB" w14:textId="74DBC974" w:rsidR="00BF4091" w:rsidRPr="00BF4091" w:rsidRDefault="00BF4091" w:rsidP="005C647F">
      <w:pPr>
        <w:pStyle w:val="BBodyText"/>
        <w:spacing w:after="100" w:afterAutospacing="1"/>
        <w:rPr>
          <w:lang w:eastAsia="en-GB"/>
        </w:rPr>
      </w:pPr>
      <w:r w:rsidRPr="00BF4091">
        <w:rPr>
          <w:lang w:eastAsia="en-GB"/>
        </w:rPr>
        <w:t>In August 2021, the EU Commission declared that the release of additional funding for border control activities in Greece would be conditional on the establishment by the country of an independent border monitoring mechanism</w:t>
      </w:r>
      <w:r w:rsidR="002B36DC">
        <w:rPr>
          <w:rStyle w:val="FootnoteReference"/>
          <w:lang w:eastAsia="en-GB"/>
        </w:rPr>
        <w:footnoteReference w:id="23"/>
      </w:r>
      <w:r w:rsidR="002B36DC">
        <w:rPr>
          <w:lang w:eastAsia="en-GB"/>
        </w:rPr>
        <w:t xml:space="preserve">. </w:t>
      </w:r>
      <w:r w:rsidRPr="00BF4091">
        <w:rPr>
          <w:lang w:eastAsia="en-GB"/>
        </w:rPr>
        <w:t>The Government subsequently identified the National Transparency Authority (NTA) as competent to investigate pushbacks incidents. NGOs however contested the independence of this body</w:t>
      </w:r>
      <w:r w:rsidR="005C647F">
        <w:rPr>
          <w:rStyle w:val="FootnoteReference"/>
          <w:lang w:eastAsia="en-GB"/>
        </w:rPr>
        <w:footnoteReference w:id="24"/>
      </w:r>
      <w:r w:rsidRPr="00BF4091">
        <w:rPr>
          <w:lang w:eastAsia="en-GB"/>
        </w:rPr>
        <w:t>.</w:t>
      </w:r>
    </w:p>
    <w:p w14:paraId="7635F872" w14:textId="194E5A92" w:rsidR="005C647F" w:rsidRPr="005C647F" w:rsidRDefault="005C647F" w:rsidP="005C647F">
      <w:pPr>
        <w:pStyle w:val="BBodyText"/>
        <w:spacing w:afterLines="60" w:after="144"/>
        <w:rPr>
          <w:b/>
          <w:bCs w:val="0"/>
          <w:lang w:eastAsia="en-GB"/>
        </w:rPr>
      </w:pPr>
      <w:r w:rsidRPr="003C38B7">
        <w:rPr>
          <w:b/>
          <w:bCs w:val="0"/>
          <w:lang w:eastAsia="en-GB"/>
        </w:rPr>
        <w:t xml:space="preserve">2022-2024 </w:t>
      </w:r>
      <w:r w:rsidR="00152596" w:rsidRPr="003C38B7">
        <w:rPr>
          <w:b/>
          <w:bCs w:val="0"/>
          <w:lang w:eastAsia="en-GB"/>
        </w:rPr>
        <w:t>–</w:t>
      </w:r>
      <w:r w:rsidRPr="003C38B7">
        <w:rPr>
          <w:b/>
          <w:bCs w:val="0"/>
          <w:lang w:eastAsia="en-GB"/>
        </w:rPr>
        <w:t xml:space="preserve"> </w:t>
      </w:r>
      <w:r w:rsidR="0084044A" w:rsidRPr="0084044A">
        <w:rPr>
          <w:b/>
          <w:bCs w:val="0"/>
          <w:lang w:eastAsia="en-GB"/>
        </w:rPr>
        <w:t>CONTINUED REPORTS OF “PUSHBACKS” AND LONGSTANDING FAILURE TO CONDUCT AN EFFECTIVE INVESTIGATION</w:t>
      </w:r>
    </w:p>
    <w:p w14:paraId="1E47E65C" w14:textId="75AB9253" w:rsidR="003451A8" w:rsidRDefault="005C647F" w:rsidP="005C647F">
      <w:pPr>
        <w:pStyle w:val="BBodyText"/>
        <w:spacing w:afterLines="60" w:after="144"/>
        <w:rPr>
          <w:lang w:eastAsia="en-GB"/>
        </w:rPr>
      </w:pPr>
      <w:r w:rsidRPr="005C647F">
        <w:rPr>
          <w:lang w:eastAsia="en-GB"/>
        </w:rPr>
        <w:t>In 2022-2024, reports continued of violations committed by Greek officials against people at Greek land and sea borders. The breaches often involved summary, unlawful forced returns and frequently involved violence (‘pushbacks’)</w:t>
      </w:r>
      <w:r w:rsidR="00C71343">
        <w:rPr>
          <w:rStyle w:val="FootnoteReference"/>
          <w:lang w:eastAsia="en-GB"/>
        </w:rPr>
        <w:footnoteReference w:id="25"/>
      </w:r>
      <w:r w:rsidRPr="005C647F">
        <w:rPr>
          <w:lang w:eastAsia="en-GB"/>
        </w:rPr>
        <w:t>. In a joint statement of June 2023</w:t>
      </w:r>
      <w:r w:rsidR="00C71343">
        <w:rPr>
          <w:rStyle w:val="FootnoteReference"/>
          <w:lang w:eastAsia="en-GB"/>
        </w:rPr>
        <w:footnoteReference w:id="26"/>
      </w:r>
      <w:r w:rsidRPr="005C647F">
        <w:rPr>
          <w:lang w:eastAsia="en-GB"/>
        </w:rPr>
        <w:t>, Amnesty International and other C</w:t>
      </w:r>
      <w:r w:rsidR="0033048C">
        <w:rPr>
          <w:lang w:eastAsia="en-GB"/>
        </w:rPr>
        <w:t>SO</w:t>
      </w:r>
      <w:r w:rsidRPr="005C647F">
        <w:rPr>
          <w:lang w:eastAsia="en-GB"/>
        </w:rPr>
        <w:t>s criticised the continued lack of effective investigations into ‘pushbacks’ as well as raised concerns about the operation and effectiveness of the NTA</w:t>
      </w:r>
      <w:r w:rsidR="00DF1FCD">
        <w:rPr>
          <w:rStyle w:val="FootnoteReference"/>
          <w:lang w:eastAsia="en-GB"/>
        </w:rPr>
        <w:footnoteReference w:id="27"/>
      </w:r>
      <w:r w:rsidRPr="005C647F">
        <w:rPr>
          <w:lang w:eastAsia="en-GB"/>
        </w:rPr>
        <w:t>, and about the mandate and appointment procedures of the recently established Fundamental Rights Officer (FRO) of the Ministry of Migration and Asylum (MoMA)</w:t>
      </w:r>
      <w:r w:rsidR="00DF1FCD">
        <w:rPr>
          <w:rStyle w:val="FootnoteReference"/>
          <w:lang w:eastAsia="en-GB"/>
        </w:rPr>
        <w:footnoteReference w:id="28"/>
      </w:r>
      <w:r w:rsidRPr="005C647F">
        <w:rPr>
          <w:lang w:eastAsia="en-GB"/>
        </w:rPr>
        <w:t xml:space="preserve">. It was reported that both the Ombudsman and the GNCHR </w:t>
      </w:r>
      <w:r w:rsidR="005A7D53">
        <w:rPr>
          <w:lang w:eastAsia="en-GB"/>
        </w:rPr>
        <w:lastRenderedPageBreak/>
        <w:t xml:space="preserve">(Greek National Commission for Human Rights) </w:t>
      </w:r>
      <w:r w:rsidRPr="005C647F">
        <w:rPr>
          <w:lang w:eastAsia="en-GB"/>
        </w:rPr>
        <w:t xml:space="preserve">have expressed concerns about their participation in the recently established “Special Committee for Compliance with Fundamental Rights at the </w:t>
      </w:r>
      <w:r w:rsidR="00AD3288">
        <w:rPr>
          <w:lang w:eastAsia="en-GB"/>
        </w:rPr>
        <w:t>(</w:t>
      </w:r>
      <w:r w:rsidR="00AA1320">
        <w:rPr>
          <w:lang w:eastAsia="en-GB"/>
        </w:rPr>
        <w:t>MoMA</w:t>
      </w:r>
      <w:r w:rsidR="00AD3288">
        <w:rPr>
          <w:lang w:eastAsia="en-GB"/>
        </w:rPr>
        <w:t>)</w:t>
      </w:r>
      <w:r w:rsidRPr="005C647F">
        <w:rPr>
          <w:lang w:eastAsia="en-GB"/>
        </w:rPr>
        <w:t>”, and the Committee’s composition</w:t>
      </w:r>
      <w:r w:rsidR="003451A8">
        <w:rPr>
          <w:rStyle w:val="FootnoteReference"/>
          <w:lang w:eastAsia="en-GB"/>
        </w:rPr>
        <w:footnoteReference w:id="29"/>
      </w:r>
      <w:r w:rsidRPr="005C647F">
        <w:rPr>
          <w:lang w:eastAsia="en-GB"/>
        </w:rPr>
        <w:t xml:space="preserve">. </w:t>
      </w:r>
    </w:p>
    <w:p w14:paraId="0F891C63" w14:textId="550E3D06" w:rsidR="005C647F" w:rsidRPr="005C647F" w:rsidRDefault="005C647F" w:rsidP="005C647F">
      <w:pPr>
        <w:pStyle w:val="BBodyText"/>
        <w:spacing w:afterLines="60" w:after="144"/>
        <w:rPr>
          <w:lang w:eastAsia="en-GB"/>
        </w:rPr>
      </w:pPr>
      <w:r w:rsidRPr="005C647F">
        <w:rPr>
          <w:lang w:eastAsia="en-GB"/>
        </w:rPr>
        <w:t> </w:t>
      </w:r>
    </w:p>
    <w:p w14:paraId="7851F770" w14:textId="50B09EDA" w:rsidR="003451A8" w:rsidRPr="003451A8" w:rsidRDefault="00EC1232" w:rsidP="0010159D">
      <w:pPr>
        <w:pStyle w:val="BSubheadingnonumbers"/>
        <w:spacing w:after="100" w:afterAutospacing="1"/>
      </w:pPr>
      <w:bookmarkStart w:id="9" w:name="_Toc177292874"/>
      <w:r>
        <w:t>R</w:t>
      </w:r>
      <w:r w:rsidR="003451A8" w:rsidRPr="003451A8">
        <w:t>ecommendations</w:t>
      </w:r>
      <w:bookmarkEnd w:id="9"/>
      <w:r w:rsidR="003451A8" w:rsidRPr="003451A8">
        <w:t>  </w:t>
      </w:r>
    </w:p>
    <w:p w14:paraId="7B8E774C" w14:textId="77777777" w:rsidR="003451A8" w:rsidRPr="003451A8" w:rsidRDefault="003451A8" w:rsidP="00D83EAE">
      <w:pPr>
        <w:pStyle w:val="BBodyText"/>
        <w:numPr>
          <w:ilvl w:val="0"/>
          <w:numId w:val="3"/>
        </w:numPr>
        <w:spacing w:after="100" w:afterAutospacing="1"/>
        <w:rPr>
          <w:lang w:eastAsia="en-GB"/>
        </w:rPr>
      </w:pPr>
      <w:r w:rsidRPr="003451A8">
        <w:rPr>
          <w:lang w:eastAsia="en-GB"/>
        </w:rPr>
        <w:t>Immediately halt all violations of human rights, including ‘</w:t>
      </w:r>
      <w:proofErr w:type="gramStart"/>
      <w:r w:rsidRPr="003451A8">
        <w:rPr>
          <w:lang w:eastAsia="en-GB"/>
        </w:rPr>
        <w:t>pushbacks’</w:t>
      </w:r>
      <w:proofErr w:type="gramEnd"/>
      <w:r w:rsidRPr="003451A8">
        <w:rPr>
          <w:lang w:eastAsia="en-GB"/>
        </w:rPr>
        <w:t xml:space="preserve"> and other illegal practices during migration operations at borders and refrain from them in the future. </w:t>
      </w:r>
    </w:p>
    <w:p w14:paraId="2383A94E" w14:textId="77777777" w:rsidR="003451A8" w:rsidRPr="003451A8" w:rsidRDefault="003451A8" w:rsidP="00D83EAE">
      <w:pPr>
        <w:pStyle w:val="BBodyText"/>
        <w:numPr>
          <w:ilvl w:val="0"/>
          <w:numId w:val="4"/>
        </w:numPr>
        <w:rPr>
          <w:lang w:eastAsia="en-GB"/>
        </w:rPr>
      </w:pPr>
      <w:r w:rsidRPr="003451A8">
        <w:rPr>
          <w:lang w:eastAsia="en-GB"/>
        </w:rPr>
        <w:t>Conduct prompt, independent, impartial, and effective investigations (including civil, criminal and disciplinary investigations, as appropriate) into all allegations of pushbacks ad other abuses at borders. Ensure that victims and other actors reporting the violations can do so safely and effectively. </w:t>
      </w:r>
    </w:p>
    <w:p w14:paraId="0D02D135" w14:textId="77777777" w:rsidR="003451A8" w:rsidRPr="003451A8" w:rsidRDefault="003451A8" w:rsidP="00D83EAE">
      <w:pPr>
        <w:pStyle w:val="BBodyText"/>
        <w:numPr>
          <w:ilvl w:val="0"/>
          <w:numId w:val="5"/>
        </w:numPr>
        <w:rPr>
          <w:lang w:eastAsia="en-GB"/>
        </w:rPr>
      </w:pPr>
      <w:r w:rsidRPr="003451A8">
        <w:rPr>
          <w:lang w:eastAsia="en-GB"/>
        </w:rPr>
        <w:t>Ensure that border control operations prioritize the protection of life and are conducted in compliance with human rights and the prohibition of refoulement. </w:t>
      </w:r>
    </w:p>
    <w:p w14:paraId="402096C0" w14:textId="77777777" w:rsidR="003451A8" w:rsidRPr="003451A8" w:rsidRDefault="003451A8" w:rsidP="00D83EAE">
      <w:pPr>
        <w:pStyle w:val="BBodyText"/>
        <w:numPr>
          <w:ilvl w:val="0"/>
          <w:numId w:val="6"/>
        </w:numPr>
        <w:rPr>
          <w:lang w:eastAsia="en-GB"/>
        </w:rPr>
      </w:pPr>
      <w:r w:rsidRPr="003451A8">
        <w:rPr>
          <w:lang w:eastAsia="en-GB"/>
        </w:rPr>
        <w:t>Ensure the safe and effective participation of survivors of border violations and relatives of victims in judicial and nonjudicial proceedings and their adequate and timely access to relevant information and evidence. </w:t>
      </w:r>
    </w:p>
    <w:p w14:paraId="3D441BF1" w14:textId="77777777" w:rsidR="003451A8" w:rsidRPr="003451A8" w:rsidRDefault="003451A8" w:rsidP="00D83EAE">
      <w:pPr>
        <w:pStyle w:val="BBodyText"/>
        <w:numPr>
          <w:ilvl w:val="0"/>
          <w:numId w:val="7"/>
        </w:numPr>
        <w:rPr>
          <w:lang w:eastAsia="en-GB"/>
        </w:rPr>
      </w:pPr>
      <w:r w:rsidRPr="003451A8">
        <w:rPr>
          <w:lang w:eastAsia="en-GB"/>
        </w:rPr>
        <w:t>Ensure the effective access to identification procedures in Greece of relatives and representatives of people who have died in the context of migration operations, including by creating dedicated humanitarian visas. </w:t>
      </w:r>
    </w:p>
    <w:p w14:paraId="78F0BE5F" w14:textId="77777777" w:rsidR="003451A8" w:rsidRPr="003451A8" w:rsidRDefault="003451A8" w:rsidP="00D83EAE">
      <w:pPr>
        <w:pStyle w:val="BBodyText"/>
        <w:numPr>
          <w:ilvl w:val="0"/>
          <w:numId w:val="8"/>
        </w:numPr>
        <w:rPr>
          <w:lang w:eastAsia="en-GB"/>
        </w:rPr>
      </w:pPr>
      <w:r w:rsidRPr="003451A8">
        <w:rPr>
          <w:lang w:eastAsia="en-GB"/>
        </w:rPr>
        <w:t>Ensure that the DVI unit is triggered in all incidents involving large numbers of asylum seekers and migrants and is adequately resourced. </w:t>
      </w:r>
    </w:p>
    <w:p w14:paraId="46C429D6" w14:textId="77777777" w:rsidR="003451A8" w:rsidRPr="003451A8" w:rsidRDefault="003451A8" w:rsidP="00D83EAE">
      <w:pPr>
        <w:pStyle w:val="BBodyText"/>
        <w:numPr>
          <w:ilvl w:val="0"/>
          <w:numId w:val="9"/>
        </w:numPr>
        <w:rPr>
          <w:lang w:eastAsia="en-GB"/>
        </w:rPr>
      </w:pPr>
      <w:r w:rsidRPr="003451A8">
        <w:rPr>
          <w:lang w:eastAsia="en-GB"/>
        </w:rPr>
        <w:t>Establish, as a matter of priority, an effective and independent border monitoring mechanism with sufficient resources, means and independence and providing for the meaningful involvement of independent actors, including civil society and specialized organizations. </w:t>
      </w:r>
    </w:p>
    <w:p w14:paraId="1B036550" w14:textId="77777777" w:rsidR="005C647F" w:rsidRDefault="005C647F" w:rsidP="00340F3E">
      <w:pPr>
        <w:pStyle w:val="BBodyText"/>
        <w:rPr>
          <w:lang w:eastAsia="en-GB"/>
        </w:rPr>
      </w:pPr>
    </w:p>
    <w:p w14:paraId="12ACAB5A" w14:textId="2E5F5DA7" w:rsidR="003451A8" w:rsidRDefault="00EC1232" w:rsidP="00BC5682">
      <w:pPr>
        <w:pStyle w:val="BNumberedSubheading"/>
        <w:rPr>
          <w:bCs/>
        </w:rPr>
      </w:pPr>
      <w:bookmarkStart w:id="10" w:name="_Toc177292875"/>
      <w:r>
        <w:rPr>
          <w:bCs/>
        </w:rPr>
        <w:t>R</w:t>
      </w:r>
      <w:r w:rsidR="00BC5682" w:rsidRPr="00BC5682">
        <w:rPr>
          <w:bCs/>
        </w:rPr>
        <w:t>ight to liberty and security of person ANDtreatment of persons deprived of their liberty (ARTICLES 9-10 and 24)</w:t>
      </w:r>
      <w:bookmarkEnd w:id="10"/>
      <w:r w:rsidR="00BC5682" w:rsidRPr="00BC5682">
        <w:rPr>
          <w:bCs/>
        </w:rPr>
        <w:t> </w:t>
      </w:r>
    </w:p>
    <w:p w14:paraId="4E50C172" w14:textId="77777777" w:rsidR="00BC5682" w:rsidRPr="00BC5682" w:rsidRDefault="00BC5682" w:rsidP="00BC5682">
      <w:pPr>
        <w:pStyle w:val="BBodyText"/>
        <w:rPr>
          <w:lang w:eastAsia="en-GB"/>
        </w:rPr>
      </w:pPr>
    </w:p>
    <w:p w14:paraId="3F24F19B" w14:textId="45CC2A07" w:rsidR="002E5619" w:rsidRPr="002E5619" w:rsidRDefault="00EC1232" w:rsidP="002E5619">
      <w:pPr>
        <w:pStyle w:val="BBodyText"/>
        <w:rPr>
          <w:lang w:eastAsia="en-GB"/>
        </w:rPr>
      </w:pPr>
      <w:r>
        <w:rPr>
          <w:b/>
          <w:lang w:eastAsia="en-GB"/>
        </w:rPr>
        <w:t>R</w:t>
      </w:r>
      <w:r w:rsidR="002E5619" w:rsidRPr="002E5619">
        <w:rPr>
          <w:b/>
          <w:lang w:eastAsia="en-GB"/>
        </w:rPr>
        <w:t>ESTRICTIONS OF FREEDOM IN THE CLOSED-CONTROLLED ACCESS CENTRE OF SAMOS AMOUNTING TO ARBITRARY DETENTION</w:t>
      </w:r>
      <w:r w:rsidR="000C1D19">
        <w:rPr>
          <w:rStyle w:val="FootnoteReference"/>
          <w:b/>
          <w:lang w:eastAsia="en-GB"/>
        </w:rPr>
        <w:footnoteReference w:id="30"/>
      </w:r>
      <w:r w:rsidR="002E5619" w:rsidRPr="002E5619">
        <w:rPr>
          <w:lang w:eastAsia="en-GB"/>
        </w:rPr>
        <w:t> </w:t>
      </w:r>
    </w:p>
    <w:p w14:paraId="3EA55F4D" w14:textId="78730BAF" w:rsidR="00BC5682" w:rsidRDefault="002E5619" w:rsidP="00BC5682">
      <w:pPr>
        <w:pStyle w:val="BBodyText"/>
        <w:rPr>
          <w:lang w:eastAsia="en-GB"/>
        </w:rPr>
      </w:pPr>
      <w:r w:rsidRPr="002E5619">
        <w:rPr>
          <w:lang w:eastAsia="en-GB"/>
        </w:rPr>
        <w:lastRenderedPageBreak/>
        <w:t>Pursuant to Law no. 4686/2020</w:t>
      </w:r>
      <w:r w:rsidR="007C5E71">
        <w:rPr>
          <w:rStyle w:val="FootnoteReference"/>
          <w:lang w:eastAsia="en-GB"/>
        </w:rPr>
        <w:footnoteReference w:id="31"/>
      </w:r>
      <w:r w:rsidRPr="002E5619">
        <w:rPr>
          <w:lang w:eastAsia="en-GB"/>
        </w:rPr>
        <w:t>, starting from 2021, Greece replaced hotspots on the Aegean islands with “Closed Controlled Access Centres” (CCAC), fully EU-funded</w:t>
      </w:r>
      <w:r w:rsidR="007C5E71">
        <w:rPr>
          <w:rStyle w:val="FootnoteReference"/>
          <w:lang w:eastAsia="en-GB"/>
        </w:rPr>
        <w:footnoteReference w:id="32"/>
      </w:r>
      <w:r w:rsidRPr="002E5619">
        <w:rPr>
          <w:lang w:eastAsia="en-GB"/>
        </w:rPr>
        <w:t xml:space="preserve">. In Samos, Kos and </w:t>
      </w:r>
      <w:proofErr w:type="spellStart"/>
      <w:r w:rsidRPr="002E5619">
        <w:rPr>
          <w:lang w:eastAsia="en-GB"/>
        </w:rPr>
        <w:t>Leros</w:t>
      </w:r>
      <w:proofErr w:type="spellEnd"/>
      <w:r w:rsidRPr="002E5619">
        <w:rPr>
          <w:lang w:eastAsia="en-GB"/>
        </w:rPr>
        <w:t>, CCACs are highly securitized facilities, equipped with digital and physical security infrastructure</w:t>
      </w:r>
      <w:r w:rsidR="00EB196A">
        <w:rPr>
          <w:rStyle w:val="FootnoteReference"/>
          <w:lang w:eastAsia="en-GB"/>
        </w:rPr>
        <w:footnoteReference w:id="33"/>
      </w:r>
      <w:r w:rsidRPr="002E5619">
        <w:rPr>
          <w:lang w:eastAsia="en-GB"/>
        </w:rPr>
        <w:t xml:space="preserve">. In April 2024, the Greek Data Protection Authority fined the Greek </w:t>
      </w:r>
      <w:r w:rsidR="00AD3288">
        <w:rPr>
          <w:lang w:eastAsia="en-GB"/>
        </w:rPr>
        <w:t>MoMA</w:t>
      </w:r>
      <w:r w:rsidRPr="002E5619">
        <w:rPr>
          <w:lang w:eastAsia="en-GB"/>
        </w:rPr>
        <w:t xml:space="preserve"> for the use of security systems operated in CCACs, due to breaches of data protection legislation</w:t>
      </w:r>
      <w:r w:rsidR="00EB196A">
        <w:rPr>
          <w:rStyle w:val="FootnoteReference"/>
          <w:lang w:eastAsia="en-GB"/>
        </w:rPr>
        <w:footnoteReference w:id="34"/>
      </w:r>
      <w:r w:rsidRPr="002E5619">
        <w:rPr>
          <w:lang w:eastAsia="en-GB"/>
        </w:rPr>
        <w:t>.</w:t>
      </w:r>
    </w:p>
    <w:p w14:paraId="310DF599" w14:textId="73415CEA" w:rsidR="0060644F" w:rsidRPr="0060644F" w:rsidRDefault="0060644F" w:rsidP="0060644F">
      <w:pPr>
        <w:pStyle w:val="BBodyText"/>
        <w:rPr>
          <w:lang w:eastAsia="en-GB"/>
        </w:rPr>
      </w:pPr>
      <w:r w:rsidRPr="0060644F">
        <w:rPr>
          <w:lang w:eastAsia="en-GB"/>
        </w:rPr>
        <w:t>With Article 40 of the Greek Law no. 4939 of 2022</w:t>
      </w:r>
      <w:r w:rsidR="00784F43">
        <w:rPr>
          <w:rStyle w:val="FootnoteReference"/>
          <w:lang w:eastAsia="en-GB"/>
        </w:rPr>
        <w:footnoteReference w:id="35"/>
      </w:r>
      <w:r w:rsidRPr="0060644F">
        <w:rPr>
          <w:lang w:eastAsia="en-GB"/>
        </w:rPr>
        <w:t>, the authorities introduced the use of a “restriction of freedom” (ROF), on all new arrivals in CCACs, preventing them from leaving the facility for up to 25 days from their entry, to conduct reception and identification procedures (</w:t>
      </w:r>
      <w:proofErr w:type="gramStart"/>
      <w:r w:rsidRPr="0060644F">
        <w:rPr>
          <w:lang w:eastAsia="en-GB"/>
        </w:rPr>
        <w:t>as a result of</w:t>
      </w:r>
      <w:proofErr w:type="gramEnd"/>
      <w:r w:rsidRPr="0060644F">
        <w:rPr>
          <w:lang w:eastAsia="en-GB"/>
        </w:rPr>
        <w:t xml:space="preserve"> an initial </w:t>
      </w:r>
      <w:r w:rsidR="00B6593F">
        <w:rPr>
          <w:lang w:eastAsia="en-GB"/>
        </w:rPr>
        <w:t>five</w:t>
      </w:r>
      <w:r w:rsidR="00B6593F" w:rsidRPr="0060644F">
        <w:rPr>
          <w:lang w:eastAsia="en-GB"/>
        </w:rPr>
        <w:t>-day</w:t>
      </w:r>
      <w:r w:rsidRPr="0060644F">
        <w:rPr>
          <w:lang w:eastAsia="en-GB"/>
        </w:rPr>
        <w:t xml:space="preserve"> ROF, which can then be extended)</w:t>
      </w:r>
      <w:r w:rsidR="00784F43">
        <w:rPr>
          <w:rStyle w:val="FootnoteReference"/>
          <w:lang w:eastAsia="en-GB"/>
        </w:rPr>
        <w:footnoteReference w:id="36"/>
      </w:r>
      <w:r w:rsidRPr="0060644F">
        <w:rPr>
          <w:lang w:eastAsia="en-GB"/>
        </w:rPr>
        <w:t>. People in vulnerable situations are not automatically exempt from ROFs but should be granted “special care”</w:t>
      </w:r>
      <w:r w:rsidR="000F39EA">
        <w:rPr>
          <w:rStyle w:val="FootnoteReference"/>
          <w:lang w:eastAsia="en-GB"/>
        </w:rPr>
        <w:footnoteReference w:id="37"/>
      </w:r>
      <w:r w:rsidRPr="0060644F">
        <w:rPr>
          <w:lang w:eastAsia="en-GB"/>
        </w:rPr>
        <w:t>. The law does not expand on how such care is to be provided, and the Greek authorities did not respond to Amnesty International’s request in this sense. Residents can be granted a permit to exit the CCAC exceptionally and for serious health reasons”</w:t>
      </w:r>
      <w:r w:rsidR="000F39EA">
        <w:rPr>
          <w:rStyle w:val="FootnoteReference"/>
          <w:lang w:eastAsia="en-GB"/>
        </w:rPr>
        <w:footnoteReference w:id="38"/>
      </w:r>
      <w:r w:rsidRPr="0060644F">
        <w:rPr>
          <w:lang w:eastAsia="en-GB"/>
        </w:rPr>
        <w:t>.  </w:t>
      </w:r>
    </w:p>
    <w:p w14:paraId="7F93CE69" w14:textId="000AA3E4" w:rsidR="0060644F" w:rsidRDefault="0060644F" w:rsidP="0060644F">
      <w:pPr>
        <w:pStyle w:val="BBodyText"/>
        <w:rPr>
          <w:lang w:eastAsia="en-GB"/>
        </w:rPr>
      </w:pPr>
      <w:r w:rsidRPr="0060644F">
        <w:rPr>
          <w:lang w:eastAsia="en-GB"/>
        </w:rPr>
        <w:t>Amnesty International’s research of July 2024 documented how the systematic and flawed implementation of ROFs in the CCAC of Samos exposed racialized asylum-seekers to conditions of unlawful and arbitrary de facto detention</w:t>
      </w:r>
      <w:r w:rsidR="00683715">
        <w:rPr>
          <w:rStyle w:val="FootnoteReference"/>
          <w:lang w:eastAsia="en-GB"/>
        </w:rPr>
        <w:footnoteReference w:id="39"/>
      </w:r>
      <w:r w:rsidRPr="0060644F">
        <w:rPr>
          <w:lang w:eastAsia="en-GB"/>
        </w:rPr>
        <w:t>. </w:t>
      </w:r>
    </w:p>
    <w:p w14:paraId="03BBD6B6" w14:textId="7B3C4E36" w:rsidR="00444009" w:rsidRPr="00444009" w:rsidRDefault="00444009" w:rsidP="00444009">
      <w:pPr>
        <w:pStyle w:val="BBodyText"/>
        <w:rPr>
          <w:lang w:eastAsia="en-GB"/>
        </w:rPr>
      </w:pPr>
      <w:r w:rsidRPr="00444009">
        <w:rPr>
          <w:lang w:eastAsia="en-GB"/>
        </w:rPr>
        <w:t>Considering the nature and content of ROF, as well as the circumstances of the Samos CCAC – notably in terms of its isolated location, prison-like structure, living conditions, constant supervision, access to services-, Amnesty International concluded that ROFs amount to unlawful deprivations of liberty, noting that they fail to comply with the principles of exceptionality, legality, necessity and proportionality and non-discrimination of migration detention. By law, an initial five-day restriction is imposed to all new residents without consideration of less-invasive alternatives, which are only explored in cases of a successful objection to a decision to extend the ROF by a further 20 days. Extension decisions appear to be overwhelmingly applied to new arrivals to the CCAC. </w:t>
      </w:r>
    </w:p>
    <w:p w14:paraId="5828ADED" w14:textId="77777777" w:rsidR="00444009" w:rsidRPr="00444009" w:rsidRDefault="00444009" w:rsidP="00444009">
      <w:pPr>
        <w:pStyle w:val="BBodyText"/>
        <w:rPr>
          <w:lang w:eastAsia="en-GB"/>
        </w:rPr>
      </w:pPr>
      <w:r w:rsidRPr="00444009">
        <w:rPr>
          <w:lang w:eastAsia="en-GB"/>
        </w:rPr>
        <w:t>EU law and jurisprudence is clear that the continuation of asylum-seekers’ detention is unjustified if caused by delays in administrative procedures that are not due to the applicant’s conduct. Information shared by the Greek authorities, and reports of the EU Commission Task Force between July and November 2023 indicate that delays in registration procedures in Samos and possibly elsewhere were the result of staff shortages and failures in the systems used by the authorities, suggesting that the use and systematic extension of ROFs is not justified. As of May 2024, the authorities maintained that the staff supporting registration procedures in facilities across Greece was enhanced. However, issues persist regarding the provision of language interpretation services in the country.  </w:t>
      </w:r>
    </w:p>
    <w:p w14:paraId="2775E0F8" w14:textId="3DEC3F37" w:rsidR="00D407EF" w:rsidRDefault="00444009" w:rsidP="00444009">
      <w:pPr>
        <w:pStyle w:val="BBodyText"/>
        <w:rPr>
          <w:lang w:eastAsia="en-GB"/>
        </w:rPr>
      </w:pPr>
      <w:r w:rsidRPr="00444009">
        <w:rPr>
          <w:lang w:eastAsia="en-GB"/>
        </w:rPr>
        <w:t>Information collected by Amnesty International, the GNCHR</w:t>
      </w:r>
      <w:r w:rsidR="005A7D53">
        <w:rPr>
          <w:lang w:eastAsia="en-GB"/>
        </w:rPr>
        <w:t xml:space="preserve">, </w:t>
      </w:r>
      <w:r w:rsidRPr="00444009">
        <w:rPr>
          <w:lang w:eastAsia="en-GB"/>
        </w:rPr>
        <w:t xml:space="preserve">the </w:t>
      </w:r>
      <w:r w:rsidR="00726DB3">
        <w:rPr>
          <w:lang w:eastAsia="en-GB"/>
        </w:rPr>
        <w:t xml:space="preserve">European Committee for the Prevention of Torture </w:t>
      </w:r>
      <w:r w:rsidR="00E1457E">
        <w:rPr>
          <w:lang w:eastAsia="en-GB"/>
        </w:rPr>
        <w:t>and Inhuman or Degrading Treatment or Punishment (</w:t>
      </w:r>
      <w:r w:rsidRPr="00444009">
        <w:rPr>
          <w:lang w:eastAsia="en-GB"/>
        </w:rPr>
        <w:t>CPT</w:t>
      </w:r>
      <w:r w:rsidR="00E1457E">
        <w:rPr>
          <w:lang w:eastAsia="en-GB"/>
        </w:rPr>
        <w:t xml:space="preserve">) </w:t>
      </w:r>
      <w:r w:rsidRPr="00444009">
        <w:rPr>
          <w:lang w:eastAsia="en-GB"/>
        </w:rPr>
        <w:t xml:space="preserve">and Samos-based CSOs indicate that large numbers of Samos residents subjected to ROFs were prevented from exiting </w:t>
      </w:r>
      <w:r w:rsidRPr="00444009">
        <w:rPr>
          <w:lang w:eastAsia="en-GB"/>
        </w:rPr>
        <w:lastRenderedPageBreak/>
        <w:t xml:space="preserve">beyond the permitted 25 days. While the law requires restrictions to be lifted beyond the 25 days, in May 2024, the Greek authorities </w:t>
      </w:r>
      <w:r w:rsidR="00D002EE">
        <w:rPr>
          <w:lang w:eastAsia="en-GB"/>
        </w:rPr>
        <w:t>stated</w:t>
      </w:r>
      <w:r w:rsidRPr="00444009">
        <w:rPr>
          <w:lang w:eastAsia="en-GB"/>
        </w:rPr>
        <w:t xml:space="preserve"> that there was no case where restrictions were lifted for this reason. CSOs observed that in several cases residents are restricted for over 25 days without a ROF being </w:t>
      </w:r>
      <w:r w:rsidR="00B671CB" w:rsidRPr="00444009">
        <w:rPr>
          <w:lang w:eastAsia="en-GB"/>
        </w:rPr>
        <w:t>issued or</w:t>
      </w:r>
      <w:r w:rsidRPr="00444009">
        <w:rPr>
          <w:lang w:eastAsia="en-GB"/>
        </w:rPr>
        <w:t xml:space="preserve"> based on a ROF that is issued late or backdated. Processing times and length of detention have improved in 2024. </w:t>
      </w:r>
    </w:p>
    <w:p w14:paraId="2AFF50F7" w14:textId="117F8517" w:rsidR="00D407EF" w:rsidRPr="00D407EF" w:rsidRDefault="00444009" w:rsidP="00D407EF">
      <w:pPr>
        <w:pStyle w:val="BBodyText"/>
        <w:rPr>
          <w:lang w:eastAsia="en-GB"/>
        </w:rPr>
      </w:pPr>
      <w:r w:rsidRPr="00444009">
        <w:rPr>
          <w:lang w:eastAsia="en-GB"/>
        </w:rPr>
        <w:t> </w:t>
      </w:r>
      <w:r w:rsidR="00D407EF" w:rsidRPr="00D407EF">
        <w:rPr>
          <w:lang w:eastAsia="en-GB"/>
        </w:rPr>
        <w:t>The living conditions of residents under ROF in the CCAC, especially during times of overcrowding, may also have been in breach of the prohibition of torture or other ill-treatment. During times of overcrowding, some residents were housed in non-residential, administrative buildings. Amnesty International delegates witnessed and heard reports of such treatments and the GNCHR, the CPT and CSOs reported similar cases. Since February 2024, the number of residents of the CCAC decreased, and the population has since been within capacity limits.  </w:t>
      </w:r>
    </w:p>
    <w:p w14:paraId="1FD1E64E" w14:textId="77777777" w:rsidR="00D407EF" w:rsidRPr="00D407EF" w:rsidRDefault="00D407EF" w:rsidP="00D407EF">
      <w:pPr>
        <w:pStyle w:val="BBodyText"/>
        <w:rPr>
          <w:lang w:eastAsia="en-GB"/>
        </w:rPr>
      </w:pPr>
      <w:r w:rsidRPr="00D407EF">
        <w:rPr>
          <w:lang w:eastAsia="en-GB"/>
        </w:rPr>
        <w:t>The CCAC has experienced long-standing shortages in running water which negatively impact residents’ ability to attend to personal hygiene and sanitation. Temporary solutions to increase water supply remain inadequate to meet the site’s needs. </w:t>
      </w:r>
    </w:p>
    <w:p w14:paraId="527CF841" w14:textId="2B47AB14" w:rsidR="00D407EF" w:rsidRPr="00D407EF" w:rsidRDefault="00D407EF" w:rsidP="00D407EF">
      <w:pPr>
        <w:pStyle w:val="BBodyText"/>
        <w:rPr>
          <w:lang w:eastAsia="en-GB"/>
        </w:rPr>
      </w:pPr>
      <w:r w:rsidRPr="00D407EF">
        <w:rPr>
          <w:lang w:eastAsia="en-GB"/>
        </w:rPr>
        <w:t>The CCAC has lacked a permanent medical doctor since its opening, and the medical staff supporting the CCAC as of May 2024 – under the EU-funded project PHILOS II, run by the Greek Public Health Organization “EODY” – lacked specialized staff providing sexual and reproductive care. NGOs reported cases of scabies and skin conditions, connecting them with the running water shortages, inoperative laundry services, and overcrowding.  </w:t>
      </w:r>
    </w:p>
    <w:p w14:paraId="1F4CBF1D" w14:textId="77777777" w:rsidR="00D407EF" w:rsidRPr="00D407EF" w:rsidRDefault="00D407EF" w:rsidP="00D407EF">
      <w:pPr>
        <w:pStyle w:val="BBodyText"/>
        <w:rPr>
          <w:lang w:eastAsia="en-GB"/>
        </w:rPr>
      </w:pPr>
      <w:r w:rsidRPr="00D407EF">
        <w:rPr>
          <w:lang w:eastAsia="en-GB"/>
        </w:rPr>
        <w:t>The ECtHR has granted interim measures in two cases involving residents detained in the CCAC. </w:t>
      </w:r>
    </w:p>
    <w:p w14:paraId="5E4C8BC8" w14:textId="777AF986" w:rsidR="00D407EF" w:rsidRPr="00D407EF" w:rsidRDefault="00D407EF" w:rsidP="00D407EF">
      <w:pPr>
        <w:pStyle w:val="BBodyText"/>
        <w:rPr>
          <w:lang w:eastAsia="en-GB"/>
        </w:rPr>
      </w:pPr>
      <w:r w:rsidRPr="00D407EF">
        <w:rPr>
          <w:lang w:eastAsia="en-GB"/>
        </w:rPr>
        <w:t>The limited healthcare resources in the CCAC can also hamper access to special reception conditions and procedural guarantees for asylum-seekers falling under certain categories or experiencing conditions of vulnerability. The Greek authorities failed to answer Amnesty International’s request for data about the transfer to the regular asylum-procedure of those asylum-seeker</w:t>
      </w:r>
      <w:r w:rsidR="00081181">
        <w:rPr>
          <w:lang w:eastAsia="en-GB"/>
        </w:rPr>
        <w:t>s</w:t>
      </w:r>
      <w:r w:rsidRPr="00D407EF">
        <w:rPr>
          <w:lang w:eastAsia="en-GB"/>
        </w:rPr>
        <w:t xml:space="preserve"> who cannot be adequately supported through the fast-track one. </w:t>
      </w:r>
    </w:p>
    <w:p w14:paraId="3A8E21AA" w14:textId="4DF3F9AF" w:rsidR="00F61181" w:rsidRPr="00D407EF" w:rsidRDefault="00D407EF" w:rsidP="00A93398">
      <w:pPr>
        <w:pStyle w:val="BBodyText"/>
        <w:rPr>
          <w:lang w:eastAsia="en-GB"/>
        </w:rPr>
      </w:pPr>
      <w:r w:rsidRPr="00D407EF">
        <w:rPr>
          <w:lang w:eastAsia="en-GB"/>
        </w:rPr>
        <w:t xml:space="preserve">The PHILOS II project, was set to be superseded in the first semester of 2024 by the “Hippocrates” Project, also EU-funded, to be managed by IOM and implemented in collaboration with medical personnel and service providers. Reports indicated that EODY staff’s contracts would expire on 30 June 2024. </w:t>
      </w:r>
      <w:r w:rsidR="00A93398">
        <w:rPr>
          <w:lang w:eastAsia="en-GB"/>
        </w:rPr>
        <w:t>IOM confirmed to Amnesty International that the</w:t>
      </w:r>
      <w:r w:rsidR="00C73683">
        <w:rPr>
          <w:lang w:eastAsia="en-GB"/>
        </w:rPr>
        <w:t xml:space="preserve"> service provider designated for the </w:t>
      </w:r>
      <w:r w:rsidR="00A93398">
        <w:rPr>
          <w:lang w:eastAsia="en-GB"/>
        </w:rPr>
        <w:t xml:space="preserve">Hippocrates project started </w:t>
      </w:r>
      <w:r w:rsidR="00C73683">
        <w:rPr>
          <w:lang w:eastAsia="en-GB"/>
        </w:rPr>
        <w:t xml:space="preserve">operating on the first of September 2024, but between </w:t>
      </w:r>
      <w:r w:rsidR="00A93398">
        <w:rPr>
          <w:lang w:eastAsia="en-GB"/>
        </w:rPr>
        <w:t xml:space="preserve">the first of July </w:t>
      </w:r>
      <w:r w:rsidR="00C73683">
        <w:rPr>
          <w:lang w:eastAsia="en-GB"/>
        </w:rPr>
        <w:t>and 31 August 2024</w:t>
      </w:r>
      <w:r w:rsidR="00A93398">
        <w:rPr>
          <w:lang w:eastAsia="en-GB"/>
        </w:rPr>
        <w:t xml:space="preserve">, </w:t>
      </w:r>
      <w:r w:rsidR="001579D3">
        <w:rPr>
          <w:lang w:eastAsia="en-GB"/>
        </w:rPr>
        <w:t>IOM hired 140 between medical and psychosocial personnel. IOM confirmed that as of</w:t>
      </w:r>
      <w:r w:rsidR="00A93398">
        <w:rPr>
          <w:lang w:eastAsia="en-GB"/>
        </w:rPr>
        <w:t xml:space="preserve"> 13 September 2024, the</w:t>
      </w:r>
      <w:r w:rsidR="00FD2499">
        <w:rPr>
          <w:lang w:eastAsia="en-GB"/>
        </w:rPr>
        <w:t xml:space="preserve"> de</w:t>
      </w:r>
      <w:r w:rsidR="00FB2A51">
        <w:rPr>
          <w:lang w:eastAsia="en-GB"/>
        </w:rPr>
        <w:t>signated</w:t>
      </w:r>
      <w:r w:rsidR="00A93398">
        <w:rPr>
          <w:lang w:eastAsia="en-GB"/>
        </w:rPr>
        <w:t xml:space="preserve"> service provider </w:t>
      </w:r>
      <w:r w:rsidR="00FB2A51">
        <w:rPr>
          <w:lang w:eastAsia="en-GB"/>
        </w:rPr>
        <w:t>had</w:t>
      </w:r>
      <w:r w:rsidR="00A93398">
        <w:rPr>
          <w:lang w:eastAsia="en-GB"/>
        </w:rPr>
        <w:t xml:space="preserve"> hired </w:t>
      </w:r>
      <w:r w:rsidR="003B6983">
        <w:rPr>
          <w:lang w:eastAsia="en-GB"/>
        </w:rPr>
        <w:t>“</w:t>
      </w:r>
      <w:r w:rsidR="00401860" w:rsidRPr="00F61181">
        <w:rPr>
          <w:lang w:eastAsia="en-GB"/>
        </w:rPr>
        <w:t>189 psychosocial personnel</w:t>
      </w:r>
      <w:r w:rsidR="003B6983">
        <w:rPr>
          <w:lang w:eastAsia="en-GB"/>
        </w:rPr>
        <w:t>”</w:t>
      </w:r>
      <w:r w:rsidR="00401860" w:rsidRPr="00F61181">
        <w:rPr>
          <w:lang w:eastAsia="en-GB"/>
        </w:rPr>
        <w:t xml:space="preserve">, </w:t>
      </w:r>
      <w:r w:rsidR="00B46C64">
        <w:rPr>
          <w:lang w:eastAsia="en-GB"/>
        </w:rPr>
        <w:t xml:space="preserve">but </w:t>
      </w:r>
      <w:r w:rsidR="00401860" w:rsidRPr="00F61181">
        <w:rPr>
          <w:lang w:eastAsia="en-GB"/>
        </w:rPr>
        <w:t xml:space="preserve">recruitment </w:t>
      </w:r>
      <w:r w:rsidR="00B46C64">
        <w:rPr>
          <w:lang w:eastAsia="en-GB"/>
        </w:rPr>
        <w:t>was</w:t>
      </w:r>
      <w:r w:rsidR="00401860" w:rsidRPr="00F61181">
        <w:rPr>
          <w:lang w:eastAsia="en-GB"/>
        </w:rPr>
        <w:t xml:space="preserve"> ongoing </w:t>
      </w:r>
      <w:r w:rsidR="002E46EA" w:rsidRPr="00F61181">
        <w:rPr>
          <w:lang w:eastAsia="en-GB"/>
        </w:rPr>
        <w:t>to</w:t>
      </w:r>
      <w:r w:rsidR="00401860" w:rsidRPr="00F61181">
        <w:rPr>
          <w:lang w:eastAsia="en-GB"/>
        </w:rPr>
        <w:t xml:space="preserve"> cover all</w:t>
      </w:r>
      <w:r w:rsidR="00B46C64">
        <w:rPr>
          <w:lang w:eastAsia="en-GB"/>
        </w:rPr>
        <w:t xml:space="preserve"> remaining positions. </w:t>
      </w:r>
      <w:r w:rsidR="00A93398">
        <w:rPr>
          <w:lang w:eastAsia="en-GB"/>
        </w:rPr>
        <w:t>31 IOM field coordinators</w:t>
      </w:r>
      <w:r w:rsidR="00FB2A51">
        <w:rPr>
          <w:lang w:eastAsia="en-GB"/>
        </w:rPr>
        <w:t xml:space="preserve"> (one per facility</w:t>
      </w:r>
      <w:r w:rsidR="002E46EA">
        <w:rPr>
          <w:lang w:eastAsia="en-GB"/>
        </w:rPr>
        <w:t xml:space="preserve"> where the project is implemen</w:t>
      </w:r>
      <w:r w:rsidR="00EE1B4F">
        <w:rPr>
          <w:lang w:eastAsia="en-GB"/>
        </w:rPr>
        <w:t>ted</w:t>
      </w:r>
      <w:r w:rsidR="00FB2A51">
        <w:rPr>
          <w:lang w:eastAsia="en-GB"/>
        </w:rPr>
        <w:t>)</w:t>
      </w:r>
      <w:r w:rsidR="00A93398">
        <w:rPr>
          <w:lang w:eastAsia="en-GB"/>
        </w:rPr>
        <w:t xml:space="preserve"> </w:t>
      </w:r>
      <w:r w:rsidR="00FB2A51">
        <w:rPr>
          <w:lang w:eastAsia="en-GB"/>
        </w:rPr>
        <w:t xml:space="preserve">had </w:t>
      </w:r>
      <w:r w:rsidR="00B46C64">
        <w:rPr>
          <w:lang w:eastAsia="en-GB"/>
        </w:rPr>
        <w:t xml:space="preserve">also </w:t>
      </w:r>
      <w:r w:rsidR="00FB2A51">
        <w:rPr>
          <w:lang w:eastAsia="en-GB"/>
        </w:rPr>
        <w:t>been deployed.</w:t>
      </w:r>
      <w:r w:rsidR="001C5719">
        <w:rPr>
          <w:rStyle w:val="FootnoteReference"/>
          <w:lang w:eastAsia="en-GB"/>
        </w:rPr>
        <w:footnoteReference w:id="40"/>
      </w:r>
      <w:r w:rsidR="00FB2A51">
        <w:rPr>
          <w:lang w:eastAsia="en-GB"/>
        </w:rPr>
        <w:t xml:space="preserve"> </w:t>
      </w:r>
      <w:r w:rsidRPr="00D407EF">
        <w:rPr>
          <w:lang w:eastAsia="en-GB"/>
        </w:rPr>
        <w:t>. </w:t>
      </w:r>
    </w:p>
    <w:p w14:paraId="78338D95" w14:textId="77777777" w:rsidR="00B443ED" w:rsidRDefault="00D407EF" w:rsidP="00B443ED">
      <w:pPr>
        <w:pStyle w:val="BBodyText"/>
        <w:spacing w:after="100" w:afterAutospacing="1"/>
        <w:rPr>
          <w:lang w:eastAsia="en-GB"/>
        </w:rPr>
      </w:pPr>
      <w:r w:rsidRPr="00D407EF">
        <w:rPr>
          <w:lang w:eastAsia="en-GB"/>
        </w:rPr>
        <w:t>CSOs have also reported a practice whereby the authorities offered residents to waive their rights to reception and other assistance in Greece in exchange for being allowed to leave the CCAC and the island, which may be incompatible with international standards on torture or other ill-treatment.</w:t>
      </w:r>
    </w:p>
    <w:p w14:paraId="2831FB2C" w14:textId="78BCE1AF" w:rsidR="00B443ED" w:rsidRDefault="00EC1232" w:rsidP="00B443ED">
      <w:pPr>
        <w:pStyle w:val="BBodyText"/>
        <w:spacing w:after="60"/>
        <w:rPr>
          <w:lang w:eastAsia="en-GB"/>
        </w:rPr>
      </w:pPr>
      <w:r>
        <w:rPr>
          <w:lang w:eastAsia="en-GB"/>
        </w:rPr>
        <w:t>A</w:t>
      </w:r>
      <w:r w:rsidR="00B443ED" w:rsidRPr="00B443ED">
        <w:rPr>
          <w:b/>
          <w:lang w:eastAsia="en-GB"/>
        </w:rPr>
        <w:t>RBITRARY DETENTION, CONDITIONS OF DETENTION AND DETENTION OF CHILDREN IN THE CONTEXT OF PUSHBACKS</w:t>
      </w:r>
      <w:r w:rsidR="00CC15CA">
        <w:rPr>
          <w:rStyle w:val="FootnoteReference"/>
          <w:b/>
          <w:lang w:eastAsia="en-GB"/>
        </w:rPr>
        <w:footnoteReference w:id="41"/>
      </w:r>
    </w:p>
    <w:p w14:paraId="7E44A651" w14:textId="7CBF1952" w:rsidR="00B443ED" w:rsidRPr="00B443ED" w:rsidRDefault="00B443ED" w:rsidP="00266F69">
      <w:pPr>
        <w:pStyle w:val="BBodyText"/>
        <w:spacing w:afterLines="60" w:after="144"/>
        <w:rPr>
          <w:lang w:eastAsia="en-GB"/>
        </w:rPr>
      </w:pPr>
      <w:r w:rsidRPr="00B443ED">
        <w:rPr>
          <w:lang w:eastAsia="en-GB"/>
        </w:rPr>
        <w:t xml:space="preserve">Amnesty International’s 2021 research on pushbacks found that in 12 out of the 21 cases documented, returnees were placed in detention ahead of being pushed back, in conditions meeting the definition of arbitrary arrest and detention, under Article 9 ICPPR. Testimonies indicated that </w:t>
      </w:r>
      <w:r w:rsidRPr="00B443ED">
        <w:rPr>
          <w:lang w:eastAsia="en-GB"/>
        </w:rPr>
        <w:lastRenderedPageBreak/>
        <w:t xml:space="preserve">Greece uses both “official” and “unofficial” detention sites to hold people. Some interviewees identified their places of detention as the </w:t>
      </w:r>
      <w:proofErr w:type="spellStart"/>
      <w:r w:rsidRPr="00B443ED">
        <w:rPr>
          <w:lang w:eastAsia="en-GB"/>
        </w:rPr>
        <w:t>Tychero</w:t>
      </w:r>
      <w:proofErr w:type="spellEnd"/>
      <w:r w:rsidRPr="00B443ED">
        <w:rPr>
          <w:lang w:eastAsia="en-GB"/>
        </w:rPr>
        <w:t xml:space="preserve"> border guard station and a detention site in Poros</w:t>
      </w:r>
      <w:r w:rsidR="00266F69">
        <w:rPr>
          <w:rStyle w:val="FootnoteReference"/>
          <w:lang w:eastAsia="en-GB"/>
        </w:rPr>
        <w:footnoteReference w:id="42"/>
      </w:r>
    </w:p>
    <w:p w14:paraId="2AAD6531" w14:textId="77777777" w:rsidR="00B443ED" w:rsidRPr="00B443ED" w:rsidRDefault="00B443ED" w:rsidP="00266F69">
      <w:pPr>
        <w:pStyle w:val="BBodyText"/>
        <w:spacing w:afterLines="60" w:after="144"/>
        <w:rPr>
          <w:lang w:eastAsia="en-GB"/>
        </w:rPr>
      </w:pPr>
      <w:r w:rsidRPr="00B443ED">
        <w:rPr>
          <w:lang w:eastAsia="en-GB"/>
        </w:rPr>
        <w:t>In 10 cases, children, infants, and/or pregnant women were detained. Those interviewed overwhelmingly reported unhygienic and sometimes overcrowded conditions in the facilities, of particular concern as detention took place during the COVID-19 pandemic. </w:t>
      </w:r>
    </w:p>
    <w:p w14:paraId="0FA94471" w14:textId="0CDA6F66" w:rsidR="00F11704" w:rsidRDefault="00B443ED" w:rsidP="009138C0">
      <w:pPr>
        <w:pStyle w:val="BBodyText"/>
        <w:spacing w:after="100" w:afterAutospacing="1"/>
        <w:rPr>
          <w:lang w:eastAsia="en-GB"/>
        </w:rPr>
      </w:pPr>
      <w:r w:rsidRPr="00B443ED">
        <w:rPr>
          <w:lang w:eastAsia="en-GB"/>
        </w:rPr>
        <w:t>In 202</w:t>
      </w:r>
      <w:r w:rsidR="00C94475">
        <w:rPr>
          <w:lang w:eastAsia="en-GB"/>
        </w:rPr>
        <w:t>4</w:t>
      </w:r>
      <w:r w:rsidRPr="00B443ED">
        <w:rPr>
          <w:lang w:eastAsia="en-GB"/>
        </w:rPr>
        <w:t xml:space="preserve">, following its </w:t>
      </w:r>
      <w:r w:rsidR="002C6708">
        <w:rPr>
          <w:lang w:eastAsia="en-GB"/>
        </w:rPr>
        <w:t>2023</w:t>
      </w:r>
      <w:r w:rsidR="00C94475" w:rsidRPr="00B443ED">
        <w:rPr>
          <w:lang w:eastAsia="en-GB"/>
        </w:rPr>
        <w:t xml:space="preserve"> </w:t>
      </w:r>
      <w:r w:rsidRPr="00B443ED">
        <w:rPr>
          <w:lang w:eastAsia="en-GB"/>
        </w:rPr>
        <w:t>visit to several sites of migration detention, the CPT stated that the “serious structural deficiencies” affecting Greece’s detention system had not been sufficiently addressed. The CPT raised concerns about the access detainees had to procedural safeguards as well as the inadequate living conditions and reported allegations of ill-treatment of people held in some of the facilities</w:t>
      </w:r>
      <w:r w:rsidR="009138C0">
        <w:rPr>
          <w:rStyle w:val="FootnoteReference"/>
          <w:lang w:eastAsia="en-GB"/>
        </w:rPr>
        <w:footnoteReference w:id="43"/>
      </w:r>
      <w:r w:rsidRPr="00B443ED">
        <w:rPr>
          <w:lang w:eastAsia="en-GB"/>
        </w:rPr>
        <w:t>. </w:t>
      </w:r>
    </w:p>
    <w:p w14:paraId="784FF88F" w14:textId="66D172E8" w:rsidR="009138C0" w:rsidRPr="00694DA4" w:rsidRDefault="00EC1232" w:rsidP="00694DA4">
      <w:pPr>
        <w:pStyle w:val="BBodyText"/>
        <w:rPr>
          <w:b/>
          <w:bCs w:val="0"/>
        </w:rPr>
      </w:pPr>
      <w:r>
        <w:rPr>
          <w:b/>
          <w:bCs w:val="0"/>
        </w:rPr>
        <w:t>L</w:t>
      </w:r>
      <w:r w:rsidR="009138C0" w:rsidRPr="00694DA4">
        <w:rPr>
          <w:b/>
          <w:bCs w:val="0"/>
        </w:rPr>
        <w:t>EGISLATIVE CHANGES AFFECTING MIGRATION DETENTION </w:t>
      </w:r>
    </w:p>
    <w:p w14:paraId="2EFF7957" w14:textId="232D6054" w:rsidR="009138C0" w:rsidRPr="009138C0" w:rsidRDefault="009138C0" w:rsidP="009138C0">
      <w:pPr>
        <w:pStyle w:val="BBodyText"/>
        <w:rPr>
          <w:lang w:eastAsia="en-GB"/>
        </w:rPr>
      </w:pPr>
      <w:r w:rsidRPr="009138C0">
        <w:rPr>
          <w:lang w:eastAsia="en-GB"/>
        </w:rPr>
        <w:t>Amnesty International has expressed concern on the rules introduced by Law no. 4686/2020 around migration detention, noting that they would, among other things, make the use of detention systematic in return procedures</w:t>
      </w:r>
      <w:r w:rsidR="008F6C21">
        <w:rPr>
          <w:rStyle w:val="FootnoteReference"/>
          <w:lang w:eastAsia="en-GB"/>
        </w:rPr>
        <w:footnoteReference w:id="44"/>
      </w:r>
      <w:r w:rsidRPr="009138C0">
        <w:rPr>
          <w:lang w:eastAsia="en-GB"/>
        </w:rPr>
        <w:t>.</w:t>
      </w:r>
    </w:p>
    <w:p w14:paraId="19DECDF5" w14:textId="49890AB2" w:rsidR="009138C0" w:rsidRDefault="009138C0" w:rsidP="00C773C1">
      <w:pPr>
        <w:pStyle w:val="BBodyText"/>
        <w:spacing w:after="100" w:afterAutospacing="1"/>
        <w:rPr>
          <w:lang w:eastAsia="en-GB"/>
        </w:rPr>
      </w:pPr>
      <w:r w:rsidRPr="009138C0">
        <w:rPr>
          <w:lang w:eastAsia="en-GB"/>
        </w:rPr>
        <w:t>In September 2021, a new law amended various provisions on deportation and return procedures</w:t>
      </w:r>
      <w:r w:rsidR="008F6C21">
        <w:rPr>
          <w:rStyle w:val="FootnoteReference"/>
          <w:lang w:eastAsia="en-GB"/>
        </w:rPr>
        <w:footnoteReference w:id="45"/>
      </w:r>
      <w:r w:rsidRPr="009138C0">
        <w:rPr>
          <w:lang w:eastAsia="en-GB"/>
        </w:rPr>
        <w:t xml:space="preserve">. The </w:t>
      </w:r>
      <w:proofErr w:type="spellStart"/>
      <w:r w:rsidRPr="009138C0">
        <w:rPr>
          <w:lang w:eastAsia="en-GB"/>
        </w:rPr>
        <w:t>CoE</w:t>
      </w:r>
      <w:proofErr w:type="spellEnd"/>
      <w:r w:rsidRPr="009138C0">
        <w:rPr>
          <w:lang w:eastAsia="en-GB"/>
        </w:rPr>
        <w:t xml:space="preserve"> Commissioner for Human Rights</w:t>
      </w:r>
      <w:r w:rsidR="00405DA5">
        <w:rPr>
          <w:rStyle w:val="FootnoteReference"/>
          <w:lang w:eastAsia="en-GB"/>
        </w:rPr>
        <w:footnoteReference w:id="46"/>
      </w:r>
      <w:r w:rsidRPr="009138C0">
        <w:rPr>
          <w:lang w:eastAsia="en-GB"/>
        </w:rPr>
        <w:t>, UNHCR</w:t>
      </w:r>
      <w:r w:rsidR="00405DA5">
        <w:rPr>
          <w:rStyle w:val="FootnoteReference"/>
          <w:lang w:eastAsia="en-GB"/>
        </w:rPr>
        <w:footnoteReference w:id="47"/>
      </w:r>
      <w:r w:rsidRPr="009138C0">
        <w:rPr>
          <w:lang w:eastAsia="en-GB"/>
        </w:rPr>
        <w:t>, and NGOs</w:t>
      </w:r>
      <w:r w:rsidR="00105551">
        <w:rPr>
          <w:rStyle w:val="FootnoteReference"/>
          <w:lang w:eastAsia="en-GB"/>
        </w:rPr>
        <w:footnoteReference w:id="48"/>
      </w:r>
      <w:r w:rsidRPr="009138C0">
        <w:rPr>
          <w:lang w:eastAsia="en-GB"/>
        </w:rPr>
        <w:t xml:space="preserve"> raised concerns about the impact of the law. In 2022 the “Asylum Code”, Law no. 4939/2022, unified the previous legislation on reception, identification, and introduced the systemic use of ROFs [discussed above]. NGOs observed that the Asylum Code lowered safeguards against migration detention further</w:t>
      </w:r>
      <w:r w:rsidR="00105551">
        <w:rPr>
          <w:rStyle w:val="FootnoteReference"/>
          <w:lang w:eastAsia="en-GB"/>
        </w:rPr>
        <w:footnoteReference w:id="49"/>
      </w:r>
      <w:r w:rsidRPr="009138C0">
        <w:rPr>
          <w:lang w:eastAsia="en-GB"/>
        </w:rPr>
        <w:t>.     </w:t>
      </w:r>
    </w:p>
    <w:p w14:paraId="3B0E470E" w14:textId="76C78663" w:rsidR="00C773C1" w:rsidRDefault="00EC1232" w:rsidP="00C773C1">
      <w:pPr>
        <w:pStyle w:val="BSubheadingnonumbers"/>
        <w:spacing w:after="100" w:afterAutospacing="1"/>
      </w:pPr>
      <w:bookmarkStart w:id="11" w:name="_Toc177292876"/>
      <w:r>
        <w:t>R</w:t>
      </w:r>
      <w:r w:rsidR="00C773C1">
        <w:t>ECOMMENDATIONS</w:t>
      </w:r>
      <w:bookmarkEnd w:id="11"/>
    </w:p>
    <w:p w14:paraId="21139BFE" w14:textId="77777777" w:rsidR="00C773C1" w:rsidRPr="00C773C1" w:rsidRDefault="00C773C1" w:rsidP="00D83EAE">
      <w:pPr>
        <w:pStyle w:val="BBodyText"/>
        <w:numPr>
          <w:ilvl w:val="0"/>
          <w:numId w:val="10"/>
        </w:numPr>
        <w:rPr>
          <w:lang w:eastAsia="en-GB"/>
        </w:rPr>
      </w:pPr>
      <w:r w:rsidRPr="00C773C1">
        <w:rPr>
          <w:lang w:eastAsia="en-GB"/>
        </w:rPr>
        <w:t>Release refugees and migrants in arbitrary detention in Greece.  </w:t>
      </w:r>
    </w:p>
    <w:p w14:paraId="08541E24" w14:textId="28427444" w:rsidR="00C773C1" w:rsidRPr="00C773C1" w:rsidRDefault="00C773C1" w:rsidP="00D83EAE">
      <w:pPr>
        <w:pStyle w:val="BBodyText"/>
        <w:numPr>
          <w:ilvl w:val="0"/>
          <w:numId w:val="11"/>
        </w:numPr>
        <w:rPr>
          <w:lang w:eastAsia="en-GB"/>
        </w:rPr>
      </w:pPr>
      <w:r w:rsidRPr="00C773C1">
        <w:rPr>
          <w:lang w:eastAsia="en-GB"/>
        </w:rPr>
        <w:t xml:space="preserve">Ensure </w:t>
      </w:r>
      <w:r w:rsidR="008A2CEC" w:rsidRPr="008A2CEC">
        <w:rPr>
          <w:lang w:eastAsia="en-GB"/>
        </w:rPr>
        <w:t>that migration detention is only used exceptionally and in compliance with international standards. Urgently halt any form of deprivation of liberty for migration purposes of recognized refugees, children, families, pregnant people, people with disabilities and survivors of trafficking. Implement the recommendations of international and European human rights bodies regarding migration detention. </w:t>
      </w:r>
    </w:p>
    <w:p w14:paraId="1E150DC4" w14:textId="77777777" w:rsidR="00C773C1" w:rsidRPr="00C773C1" w:rsidRDefault="00C773C1" w:rsidP="00D83EAE">
      <w:pPr>
        <w:pStyle w:val="BBodyText"/>
        <w:numPr>
          <w:ilvl w:val="0"/>
          <w:numId w:val="12"/>
        </w:numPr>
        <w:rPr>
          <w:lang w:eastAsia="en-GB"/>
        </w:rPr>
      </w:pPr>
      <w:r w:rsidRPr="00C773C1">
        <w:rPr>
          <w:lang w:eastAsia="en-GB"/>
        </w:rPr>
        <w:t>Urgently repeal Article 40 of the Asylum Act. Halt any practice resulting in people being de facto detained in CCACs in the absence of legal basis and refrain from them in the future. </w:t>
      </w:r>
    </w:p>
    <w:p w14:paraId="28BDE502" w14:textId="77777777" w:rsidR="00C773C1" w:rsidRPr="00C773C1" w:rsidRDefault="00C773C1" w:rsidP="00D83EAE">
      <w:pPr>
        <w:pStyle w:val="BBodyText"/>
        <w:numPr>
          <w:ilvl w:val="0"/>
          <w:numId w:val="13"/>
        </w:numPr>
        <w:rPr>
          <w:lang w:eastAsia="en-GB"/>
        </w:rPr>
      </w:pPr>
      <w:r w:rsidRPr="00C773C1">
        <w:rPr>
          <w:lang w:eastAsia="en-GB"/>
        </w:rPr>
        <w:lastRenderedPageBreak/>
        <w:t>Clarify the reasons invoked for the extension of ROFs on Samos CCAC residents and provide detailed data, disaggregated by race or ethnic origin, on the issuance of the first ROF orders and “police notes” and of back-dated ROF orders that are issued retroactively.  </w:t>
      </w:r>
    </w:p>
    <w:p w14:paraId="1807382C" w14:textId="77777777" w:rsidR="00C773C1" w:rsidRPr="00C773C1" w:rsidRDefault="00C773C1" w:rsidP="00D83EAE">
      <w:pPr>
        <w:pStyle w:val="BBodyText"/>
        <w:numPr>
          <w:ilvl w:val="0"/>
          <w:numId w:val="14"/>
        </w:numPr>
        <w:rPr>
          <w:lang w:eastAsia="en-GB"/>
        </w:rPr>
      </w:pPr>
      <w:r w:rsidRPr="00C773C1">
        <w:rPr>
          <w:lang w:eastAsia="en-GB"/>
        </w:rPr>
        <w:t>Create long-term solutions to ensure adequate living conditions and the provision of running water and medical services in the Samos CCAC, as well as emergency or temporary arrangements guaranteeing residents’ basic rights during times of increased arrivals or other emergencies.  </w:t>
      </w:r>
    </w:p>
    <w:p w14:paraId="6802BD88" w14:textId="77777777" w:rsidR="00C773C1" w:rsidRPr="00C773C1" w:rsidRDefault="00C773C1" w:rsidP="00D83EAE">
      <w:pPr>
        <w:pStyle w:val="BBodyText"/>
        <w:numPr>
          <w:ilvl w:val="0"/>
          <w:numId w:val="15"/>
        </w:numPr>
        <w:rPr>
          <w:lang w:eastAsia="en-GB"/>
        </w:rPr>
      </w:pPr>
      <w:r w:rsidRPr="00C773C1">
        <w:rPr>
          <w:lang w:eastAsia="en-GB"/>
        </w:rPr>
        <w:t>Create safe areas and provide targeted reception conditions to residents of the Samos CCAC experiencing conditions of vulnerability. Implement effective vulnerability assessments and ensure that residents with medical needs that cannot be treated on Samos are promptly transferred to adequately resourced facilities. </w:t>
      </w:r>
    </w:p>
    <w:p w14:paraId="4C2E0A89" w14:textId="77777777" w:rsidR="00C773C1" w:rsidRDefault="00C773C1" w:rsidP="00D83EAE">
      <w:pPr>
        <w:pStyle w:val="BBodyText"/>
        <w:numPr>
          <w:ilvl w:val="0"/>
          <w:numId w:val="16"/>
        </w:numPr>
        <w:rPr>
          <w:lang w:eastAsia="en-GB"/>
        </w:rPr>
      </w:pPr>
      <w:r w:rsidRPr="00C773C1">
        <w:rPr>
          <w:lang w:eastAsia="en-GB"/>
        </w:rPr>
        <w:t>Grant effective and unhindered access to the CCAC to civil society organizations, lawyers and other actors as well as to UN agencies and independent monitoring bodies.  </w:t>
      </w:r>
    </w:p>
    <w:p w14:paraId="54ED5197" w14:textId="6C7421CA" w:rsidR="004C5E54" w:rsidRDefault="00EC1232" w:rsidP="004C5E54">
      <w:pPr>
        <w:pStyle w:val="BNumberedHeading"/>
        <w:rPr>
          <w:bCs/>
        </w:rPr>
      </w:pPr>
      <w:bookmarkStart w:id="12" w:name="_Toc177292877"/>
      <w:r>
        <w:rPr>
          <w:bCs/>
        </w:rPr>
        <w:t>A</w:t>
      </w:r>
      <w:r w:rsidR="00720D06" w:rsidRPr="00720D06">
        <w:rPr>
          <w:bCs/>
        </w:rPr>
        <w:t>ccess to justice, independence of the judiciary and right to a fair trial (art</w:t>
      </w:r>
      <w:r w:rsidR="00700134">
        <w:rPr>
          <w:bCs/>
        </w:rPr>
        <w:t>ICLE</w:t>
      </w:r>
      <w:r w:rsidR="00720D06" w:rsidRPr="00720D06">
        <w:rPr>
          <w:bCs/>
        </w:rPr>
        <w:t xml:space="preserve"> 14</w:t>
      </w:r>
      <w:r w:rsidR="00720D06">
        <w:rPr>
          <w:bCs/>
        </w:rPr>
        <w:t>)</w:t>
      </w:r>
      <w:bookmarkEnd w:id="12"/>
    </w:p>
    <w:p w14:paraId="6FD61889" w14:textId="727F7926" w:rsidR="00720D06" w:rsidRDefault="00EC1232" w:rsidP="00C20609">
      <w:pPr>
        <w:pStyle w:val="BNumberedSubheading"/>
        <w:spacing w:after="60"/>
        <w:rPr>
          <w:bCs/>
        </w:rPr>
      </w:pPr>
      <w:bookmarkStart w:id="13" w:name="_Toc177292878"/>
      <w:r>
        <w:rPr>
          <w:bCs/>
        </w:rPr>
        <w:t>C</w:t>
      </w:r>
      <w:r w:rsidR="00C15518" w:rsidRPr="00C15518">
        <w:rPr>
          <w:bCs/>
        </w:rPr>
        <w:t>riminal trial of nine survivors of the Pylos shipwreck</w:t>
      </w:r>
      <w:bookmarkEnd w:id="13"/>
      <w:r w:rsidR="00C15518" w:rsidRPr="00C15518">
        <w:rPr>
          <w:bCs/>
        </w:rPr>
        <w:t> </w:t>
      </w:r>
    </w:p>
    <w:p w14:paraId="03A53F4D" w14:textId="19849AA7" w:rsidR="00C20609" w:rsidRPr="00E06CB4" w:rsidRDefault="00C15518" w:rsidP="00E06CB4">
      <w:pPr>
        <w:pStyle w:val="BBodyText"/>
        <w:rPr>
          <w:rFonts w:cs="Segoe UI"/>
          <w:color w:val="000000"/>
          <w:szCs w:val="21"/>
        </w:rPr>
      </w:pPr>
      <w:r w:rsidRPr="00E06CB4">
        <w:rPr>
          <w:rStyle w:val="normaltextrun"/>
          <w:rFonts w:cs="Segoe UI"/>
          <w:color w:val="000000"/>
          <w:szCs w:val="21"/>
        </w:rPr>
        <w:t>In May 2024, nine survivors of the Pylos shipwreck who were arrested after the events, faced criminal trial on charges of smuggling, aggravated by the deaths of passengers, causing a shipwreck, irregular entry, and forming and membership of a criminal organization</w:t>
      </w:r>
      <w:r w:rsidR="00E06CB4" w:rsidRPr="00E06CB4">
        <w:rPr>
          <w:rStyle w:val="FootnoteReference"/>
          <w:rFonts w:cs="Segoe UI"/>
          <w:color w:val="000000"/>
          <w:szCs w:val="21"/>
        </w:rPr>
        <w:footnoteReference w:id="50"/>
      </w:r>
      <w:r w:rsidRPr="00E06CB4">
        <w:rPr>
          <w:rStyle w:val="normaltextrun"/>
          <w:rFonts w:cs="Segoe UI"/>
          <w:color w:val="000000"/>
          <w:szCs w:val="21"/>
        </w:rPr>
        <w:t xml:space="preserve">. </w:t>
      </w:r>
      <w:r w:rsidR="007A6A7A">
        <w:rPr>
          <w:rStyle w:val="normaltextrun"/>
          <w:rFonts w:cs="Segoe UI"/>
          <w:color w:val="000000"/>
          <w:szCs w:val="21"/>
        </w:rPr>
        <w:t>An Appeals</w:t>
      </w:r>
      <w:r w:rsidR="0022160B">
        <w:rPr>
          <w:rStyle w:val="normaltextrun"/>
          <w:rFonts w:cs="Segoe UI"/>
          <w:color w:val="000000"/>
          <w:szCs w:val="21"/>
        </w:rPr>
        <w:t xml:space="preserve"> Court </w:t>
      </w:r>
      <w:r w:rsidR="007A6A7A">
        <w:rPr>
          <w:rStyle w:val="normaltextrun"/>
          <w:rFonts w:cs="Segoe UI"/>
          <w:color w:val="000000"/>
          <w:szCs w:val="21"/>
        </w:rPr>
        <w:t xml:space="preserve">in Kalamata </w:t>
      </w:r>
      <w:r w:rsidR="0022160B">
        <w:rPr>
          <w:rStyle w:val="normaltextrun"/>
          <w:rFonts w:cs="Segoe UI"/>
          <w:color w:val="000000"/>
          <w:szCs w:val="21"/>
        </w:rPr>
        <w:t>dismissed the</w:t>
      </w:r>
      <w:r w:rsidRPr="00E06CB4">
        <w:rPr>
          <w:rStyle w:val="normaltextrun"/>
          <w:rFonts w:cs="Segoe UI"/>
          <w:color w:val="000000"/>
          <w:szCs w:val="21"/>
        </w:rPr>
        <w:t xml:space="preserve"> case, concluding that it had no jurisdiction on the charge of causing the shipwreck and acquitting survivors of smuggling and illegal entry. </w:t>
      </w:r>
      <w:r w:rsidR="00BB2462">
        <w:rPr>
          <w:rStyle w:val="normaltextrun"/>
          <w:rFonts w:cs="Segoe UI"/>
          <w:color w:val="000000"/>
          <w:szCs w:val="21"/>
        </w:rPr>
        <w:t>T</w:t>
      </w:r>
      <w:r w:rsidRPr="00E06CB4">
        <w:rPr>
          <w:rStyle w:val="normaltextrun"/>
          <w:rFonts w:cs="Segoe UI"/>
          <w:color w:val="000000"/>
          <w:szCs w:val="21"/>
        </w:rPr>
        <w:t xml:space="preserve">heir prosecution raised fair trial concerns, </w:t>
      </w:r>
      <w:r w:rsidR="002C2CCF">
        <w:rPr>
          <w:rStyle w:val="normaltextrun"/>
          <w:rFonts w:cs="Segoe UI"/>
          <w:color w:val="000000"/>
          <w:szCs w:val="21"/>
        </w:rPr>
        <w:t xml:space="preserve">as </w:t>
      </w:r>
      <w:r w:rsidRPr="00E06CB4">
        <w:rPr>
          <w:rStyle w:val="normaltextrun"/>
          <w:rFonts w:cs="Segoe UI"/>
          <w:color w:val="000000"/>
          <w:szCs w:val="21"/>
        </w:rPr>
        <w:t>the Naval Court investigation remained at the preliminary stage at the time of the trial, meaning the criminal Court would have incomplete information in assessing the culpability of the defendants. The speed at which the investigation against survivors was concluded, and the fact that the defendants’ lawyers were unable to gain access to the investigation file before the Naval Court</w:t>
      </w:r>
      <w:r w:rsidR="00D559F3">
        <w:rPr>
          <w:rStyle w:val="normaltextrun"/>
          <w:rFonts w:cs="Segoe UI"/>
          <w:color w:val="000000"/>
          <w:szCs w:val="21"/>
        </w:rPr>
        <w:t xml:space="preserve"> were of concern</w:t>
      </w:r>
      <w:r w:rsidRPr="00E06CB4">
        <w:rPr>
          <w:rStyle w:val="normaltextrun"/>
          <w:rFonts w:cs="Segoe UI"/>
          <w:color w:val="000000"/>
          <w:szCs w:val="21"/>
        </w:rPr>
        <w:t>. The fact that HCG officials conducted survivors’ interviews admitted as evidence raised questions about the integrity of the evidence used in the investigation</w:t>
      </w:r>
      <w:r w:rsidR="00AF2294">
        <w:rPr>
          <w:rStyle w:val="FootnoteReference"/>
          <w:rFonts w:cs="Segoe UI"/>
          <w:color w:val="000000"/>
          <w:szCs w:val="21"/>
        </w:rPr>
        <w:footnoteReference w:id="51"/>
      </w:r>
      <w:r w:rsidRPr="00E06CB4">
        <w:rPr>
          <w:rStyle w:val="normaltextrun"/>
          <w:rFonts w:cs="Segoe UI"/>
          <w:color w:val="000000"/>
          <w:szCs w:val="21"/>
        </w:rPr>
        <w:t>. Reports by Lighthouse Reports</w:t>
      </w:r>
      <w:r w:rsidR="00AF2294">
        <w:rPr>
          <w:rStyle w:val="FootnoteReference"/>
          <w:rFonts w:cs="Segoe UI"/>
          <w:color w:val="000000"/>
          <w:szCs w:val="21"/>
        </w:rPr>
        <w:footnoteReference w:id="52"/>
      </w:r>
      <w:r w:rsidRPr="00E06CB4">
        <w:rPr>
          <w:rStyle w:val="normaltextrun"/>
          <w:rFonts w:cs="Segoe UI"/>
          <w:color w:val="000000"/>
          <w:szCs w:val="21"/>
        </w:rPr>
        <w:t>,</w:t>
      </w:r>
      <w:r w:rsidRPr="00E06CB4">
        <w:rPr>
          <w:rStyle w:val="normaltextrun"/>
          <w:rFonts w:ascii="Arial" w:hAnsi="Arial"/>
          <w:color w:val="000000"/>
          <w:szCs w:val="21"/>
        </w:rPr>
        <w:t> </w:t>
      </w:r>
      <w:r w:rsidRPr="00E06CB4">
        <w:rPr>
          <w:rStyle w:val="normaltextrun"/>
          <w:rFonts w:cs="Segoe UI"/>
          <w:color w:val="000000"/>
          <w:szCs w:val="21"/>
        </w:rPr>
        <w:t>Solomon</w:t>
      </w:r>
      <w:r w:rsidR="00FA63CE">
        <w:rPr>
          <w:rStyle w:val="FootnoteReference"/>
          <w:rFonts w:cs="Segoe UI"/>
          <w:color w:val="000000"/>
          <w:szCs w:val="21"/>
        </w:rPr>
        <w:footnoteReference w:id="53"/>
      </w:r>
      <w:r w:rsidRPr="00E06CB4">
        <w:rPr>
          <w:rStyle w:val="normaltextrun"/>
          <w:rFonts w:ascii="Arial" w:hAnsi="Arial"/>
          <w:color w:val="000000"/>
          <w:szCs w:val="21"/>
        </w:rPr>
        <w:t> </w:t>
      </w:r>
      <w:r w:rsidRPr="00E06CB4">
        <w:rPr>
          <w:rStyle w:val="normaltextrun"/>
          <w:rFonts w:cs="Segoe UI"/>
          <w:color w:val="000000"/>
          <w:szCs w:val="21"/>
        </w:rPr>
        <w:t>and others had found that various survivors’ statements to the HCG described the shipwreck in identical terms and did not include allegations about the towing attempt</w:t>
      </w:r>
      <w:r w:rsidR="004A722A">
        <w:rPr>
          <w:rStyle w:val="FootnoteReference"/>
          <w:rFonts w:cs="Segoe UI"/>
          <w:color w:val="000000"/>
          <w:szCs w:val="21"/>
        </w:rPr>
        <w:footnoteReference w:id="54"/>
      </w:r>
      <w:r w:rsidRPr="00E06CB4">
        <w:rPr>
          <w:rStyle w:val="normaltextrun"/>
          <w:rFonts w:cs="Segoe UI"/>
          <w:color w:val="000000"/>
          <w:szCs w:val="21"/>
        </w:rPr>
        <w:t>. However, in</w:t>
      </w:r>
      <w:r w:rsidRPr="00E06CB4">
        <w:rPr>
          <w:rStyle w:val="normaltextrun"/>
          <w:rFonts w:ascii="Arial" w:hAnsi="Arial"/>
          <w:color w:val="000000"/>
          <w:szCs w:val="21"/>
        </w:rPr>
        <w:t> </w:t>
      </w:r>
      <w:r w:rsidRPr="00E06CB4">
        <w:rPr>
          <w:rStyle w:val="normaltextrun"/>
          <w:rFonts w:cs="Segoe UI"/>
          <w:color w:val="000000"/>
          <w:szCs w:val="21"/>
        </w:rPr>
        <w:t>later testimony to the Kalamata prosecutor, several of those same survivors made the allegation of the towing attempt</w:t>
      </w:r>
      <w:r w:rsidR="004A722A">
        <w:rPr>
          <w:rStyle w:val="FootnoteReference"/>
          <w:rFonts w:cs="Segoe UI"/>
          <w:color w:val="000000"/>
          <w:szCs w:val="21"/>
        </w:rPr>
        <w:footnoteReference w:id="55"/>
      </w:r>
      <w:r w:rsidRPr="00E06CB4">
        <w:rPr>
          <w:rStyle w:val="normaltextrun"/>
          <w:rFonts w:cs="Segoe UI"/>
          <w:color w:val="000000"/>
          <w:szCs w:val="21"/>
        </w:rPr>
        <w:t>. One survivor also told</w:t>
      </w:r>
      <w:r w:rsidRPr="00E06CB4">
        <w:rPr>
          <w:rStyle w:val="normaltextrun"/>
          <w:rFonts w:ascii="Arial" w:hAnsi="Arial"/>
          <w:color w:val="000000"/>
          <w:szCs w:val="21"/>
        </w:rPr>
        <w:t> </w:t>
      </w:r>
      <w:r w:rsidRPr="00E06CB4">
        <w:rPr>
          <w:rStyle w:val="normaltextrun"/>
          <w:rFonts w:cs="Segoe UI"/>
          <w:color w:val="000000"/>
          <w:szCs w:val="21"/>
        </w:rPr>
        <w:t xml:space="preserve">Amnesty International and HRW that his statement to the </w:t>
      </w:r>
      <w:r w:rsidRPr="00E06CB4">
        <w:rPr>
          <w:rStyle w:val="normaltextrun"/>
          <w:rFonts w:cs="Segoe UI"/>
          <w:color w:val="000000"/>
          <w:szCs w:val="21"/>
        </w:rPr>
        <w:lastRenderedPageBreak/>
        <w:t>prosecutor that the HCG that had caused the fishing boat to capsize was changed to say that the boat sank due to other reasons</w:t>
      </w:r>
      <w:r w:rsidR="00E77129">
        <w:rPr>
          <w:rStyle w:val="FootnoteReference"/>
          <w:rFonts w:cs="Segoe UI"/>
          <w:color w:val="000000"/>
          <w:szCs w:val="21"/>
        </w:rPr>
        <w:footnoteReference w:id="56"/>
      </w:r>
      <w:r w:rsidRPr="00E06CB4">
        <w:rPr>
          <w:rStyle w:val="normaltextrun"/>
          <w:rFonts w:cs="Segoe UI"/>
          <w:color w:val="000000"/>
          <w:szCs w:val="21"/>
        </w:rPr>
        <w:t>.</w:t>
      </w:r>
      <w:r w:rsidRPr="00E06CB4">
        <w:rPr>
          <w:rStyle w:val="eop"/>
          <w:rFonts w:cs="Segoe UI"/>
          <w:color w:val="000000"/>
          <w:szCs w:val="21"/>
        </w:rPr>
        <w:t> </w:t>
      </w:r>
    </w:p>
    <w:p w14:paraId="3E98F896" w14:textId="25C37DAB" w:rsidR="00C15518" w:rsidRDefault="00C15518" w:rsidP="00E06CB4">
      <w:pPr>
        <w:pStyle w:val="BBodyText"/>
        <w:rPr>
          <w:rStyle w:val="eop"/>
          <w:rFonts w:cs="Segoe UI"/>
          <w:color w:val="000000"/>
          <w:szCs w:val="21"/>
        </w:rPr>
      </w:pPr>
      <w:r w:rsidRPr="00E06CB4">
        <w:rPr>
          <w:rStyle w:val="normaltextrun"/>
          <w:rFonts w:cs="Segoe UI"/>
          <w:color w:val="000000"/>
          <w:szCs w:val="21"/>
        </w:rPr>
        <w:t>Members of the defendants’ legal team stated that the investigating judge in the criminal court</w:t>
      </w:r>
      <w:r w:rsidRPr="00E06CB4">
        <w:rPr>
          <w:rStyle w:val="normaltextrun"/>
          <w:rFonts w:ascii="Arial" w:hAnsi="Arial"/>
          <w:color w:val="000000"/>
          <w:szCs w:val="21"/>
        </w:rPr>
        <w:t> </w:t>
      </w:r>
      <w:r w:rsidRPr="00E06CB4">
        <w:rPr>
          <w:rStyle w:val="normaltextrun"/>
          <w:rFonts w:cs="Segoe UI"/>
          <w:color w:val="000000"/>
          <w:szCs w:val="21"/>
        </w:rPr>
        <w:t>rejected defendants</w:t>
      </w:r>
      <w:r w:rsidRPr="00E06CB4">
        <w:rPr>
          <w:rStyle w:val="normaltextrun"/>
          <w:rFonts w:cs="Amnesty Trade Gothic Light"/>
          <w:color w:val="000000"/>
          <w:szCs w:val="21"/>
        </w:rPr>
        <w:t>’</w:t>
      </w:r>
      <w:r w:rsidRPr="00E06CB4">
        <w:rPr>
          <w:rStyle w:val="normaltextrun"/>
          <w:rFonts w:cs="Segoe UI"/>
          <w:color w:val="000000"/>
          <w:szCs w:val="21"/>
        </w:rPr>
        <w:t xml:space="preserve"> requests to secure further evidence</w:t>
      </w:r>
      <w:r w:rsidR="00E77129">
        <w:rPr>
          <w:rStyle w:val="FootnoteReference"/>
          <w:rFonts w:cs="Segoe UI"/>
          <w:color w:val="000000"/>
          <w:szCs w:val="21"/>
        </w:rPr>
        <w:footnoteReference w:id="57"/>
      </w:r>
      <w:r w:rsidRPr="00E06CB4">
        <w:rPr>
          <w:rStyle w:val="normaltextrun"/>
          <w:rFonts w:cs="Segoe UI"/>
          <w:color w:val="000000"/>
          <w:szCs w:val="21"/>
        </w:rPr>
        <w:t>. The judge rejected the request for analysis of any data from survivors’ mobile phones</w:t>
      </w:r>
      <w:r w:rsidR="00F10DA4">
        <w:rPr>
          <w:rStyle w:val="FootnoteReference"/>
          <w:rFonts w:cs="Segoe UI"/>
          <w:color w:val="000000"/>
          <w:szCs w:val="21"/>
        </w:rPr>
        <w:footnoteReference w:id="58"/>
      </w:r>
      <w:r w:rsidRPr="00E06CB4">
        <w:rPr>
          <w:rStyle w:val="normaltextrun"/>
          <w:rFonts w:cs="Segoe UI"/>
          <w:color w:val="000000"/>
          <w:szCs w:val="21"/>
        </w:rPr>
        <w:t>. </w:t>
      </w:r>
      <w:r w:rsidRPr="00E06CB4">
        <w:rPr>
          <w:rStyle w:val="eop"/>
          <w:rFonts w:cs="Segoe UI"/>
          <w:color w:val="000000"/>
          <w:szCs w:val="21"/>
        </w:rPr>
        <w:t> </w:t>
      </w:r>
    </w:p>
    <w:p w14:paraId="15EF2E1B" w14:textId="7DFCE882" w:rsidR="00C15518" w:rsidRPr="00C15518" w:rsidRDefault="00EC1232" w:rsidP="00C15518">
      <w:pPr>
        <w:pStyle w:val="BNumberedHeading"/>
      </w:pPr>
      <w:bookmarkStart w:id="14" w:name="_Toc177292879"/>
      <w:r>
        <w:rPr>
          <w:bCs/>
        </w:rPr>
        <w:t>F</w:t>
      </w:r>
      <w:r w:rsidR="00F10DA4" w:rsidRPr="00F10DA4">
        <w:rPr>
          <w:bCs/>
        </w:rPr>
        <w:t>reedom of religion and belief (articles 14 and 18)</w:t>
      </w:r>
      <w:bookmarkEnd w:id="14"/>
      <w:r w:rsidR="00F10DA4" w:rsidRPr="00F10DA4">
        <w:rPr>
          <w:bCs/>
        </w:rPr>
        <w:t xml:space="preserve">  </w:t>
      </w:r>
    </w:p>
    <w:p w14:paraId="3FB78923" w14:textId="02BE4805" w:rsidR="00A12CC2" w:rsidRDefault="00EC1232" w:rsidP="00714790">
      <w:pPr>
        <w:pStyle w:val="BNumberedSubheading"/>
        <w:spacing w:after="60"/>
      </w:pPr>
      <w:bookmarkStart w:id="15" w:name="_Toc177292880"/>
      <w:r>
        <w:t>C</w:t>
      </w:r>
      <w:r w:rsidR="00A12CC2">
        <w:t>onscientious objectors</w:t>
      </w:r>
      <w:bookmarkEnd w:id="15"/>
    </w:p>
    <w:p w14:paraId="70935C67" w14:textId="2AC2C9D0" w:rsidR="00A12CC2" w:rsidRDefault="00714790" w:rsidP="00714790">
      <w:pPr>
        <w:pStyle w:val="BBodyText"/>
        <w:spacing w:after="60"/>
        <w:rPr>
          <w:lang w:val="en-US" w:eastAsia="en-GB"/>
        </w:rPr>
      </w:pPr>
      <w:r w:rsidRPr="00714790">
        <w:rPr>
          <w:lang w:eastAsia="en-GB"/>
        </w:rPr>
        <w:t>Despite extensive monitoring by UN and European bodies</w:t>
      </w:r>
      <w:r w:rsidR="00647ECA">
        <w:rPr>
          <w:rStyle w:val="FootnoteReference"/>
          <w:lang w:eastAsia="en-GB"/>
        </w:rPr>
        <w:footnoteReference w:id="59"/>
      </w:r>
      <w:r w:rsidRPr="00714790">
        <w:rPr>
          <w:lang w:eastAsia="en-GB"/>
        </w:rPr>
        <w:t>,</w:t>
      </w:r>
      <w:r w:rsidRPr="00714790">
        <w:rPr>
          <w:lang w:val="en-US" w:eastAsia="en-GB"/>
        </w:rPr>
        <w:t xml:space="preserve"> and </w:t>
      </w:r>
      <w:r w:rsidRPr="00714790">
        <w:rPr>
          <w:lang w:eastAsia="en-GB"/>
        </w:rPr>
        <w:t>certain positive steps in 2019</w:t>
      </w:r>
      <w:r w:rsidR="00647ECA">
        <w:rPr>
          <w:rStyle w:val="FootnoteReference"/>
          <w:lang w:eastAsia="en-GB"/>
        </w:rPr>
        <w:footnoteReference w:id="60"/>
      </w:r>
      <w:r w:rsidRPr="00714790">
        <w:rPr>
          <w:lang w:eastAsia="en-GB"/>
        </w:rPr>
        <w:t>, serious violations of Greece’s obligations towards conscientious objectors to military service remain unaddressed</w:t>
      </w:r>
      <w:r w:rsidR="00CF0320">
        <w:rPr>
          <w:rStyle w:val="FootnoteReference"/>
          <w:lang w:eastAsia="en-GB"/>
        </w:rPr>
        <w:footnoteReference w:id="61"/>
      </w:r>
      <w:r w:rsidRPr="00714790">
        <w:rPr>
          <w:lang w:eastAsia="en-GB"/>
        </w:rPr>
        <w:t>. The failure of Greek legislation to recognize the right to conscientious objection to military service in accordance with international human rights standards has been highlighted by the Special Rapporteur on freedom of religion or belief</w:t>
      </w:r>
      <w:r w:rsidR="009435AA">
        <w:rPr>
          <w:rStyle w:val="FootnoteReference"/>
          <w:lang w:eastAsia="en-GB"/>
        </w:rPr>
        <w:footnoteReference w:id="62"/>
      </w:r>
      <w:r w:rsidRPr="00714790">
        <w:rPr>
          <w:lang w:val="en-US" w:eastAsia="en-GB"/>
        </w:rPr>
        <w:t xml:space="preserve"> and </w:t>
      </w:r>
      <w:r w:rsidR="009435AA" w:rsidRPr="00714790">
        <w:rPr>
          <w:lang w:val="en-US" w:eastAsia="en-GB"/>
        </w:rPr>
        <w:t>the Office</w:t>
      </w:r>
      <w:r w:rsidRPr="00714790">
        <w:rPr>
          <w:lang w:val="en-US" w:eastAsia="en-GB"/>
        </w:rPr>
        <w:t xml:space="preserve"> of the High Commissioner for Human Rights (OHCHR)</w:t>
      </w:r>
      <w:r w:rsidR="004C5E54">
        <w:rPr>
          <w:rStyle w:val="FootnoteReference"/>
          <w:lang w:val="en-US" w:eastAsia="en-GB"/>
        </w:rPr>
        <w:footnoteReference w:id="63"/>
      </w:r>
      <w:r w:rsidRPr="00714790">
        <w:rPr>
          <w:lang w:val="en-US" w:eastAsia="en-GB"/>
        </w:rPr>
        <w:t>.</w:t>
      </w:r>
    </w:p>
    <w:p w14:paraId="22548B1C" w14:textId="278E0542" w:rsidR="0018794A" w:rsidRDefault="0018794A" w:rsidP="00714790">
      <w:pPr>
        <w:pStyle w:val="BBodyText"/>
        <w:spacing w:after="60"/>
        <w:rPr>
          <w:lang w:eastAsia="en-GB"/>
        </w:rPr>
      </w:pPr>
      <w:r w:rsidRPr="0018794A">
        <w:rPr>
          <w:lang w:val="en-US" w:eastAsia="en-GB"/>
        </w:rPr>
        <w:t xml:space="preserve">In a submission </w:t>
      </w:r>
      <w:r w:rsidRPr="0018794A">
        <w:rPr>
          <w:lang w:eastAsia="en-GB"/>
        </w:rPr>
        <w:t>prepared ahead of the adoption of the List of Issues Prior to Reporting for Greece by the UN Human Rights Committee in October and November 2021, Amnesty International presented in detail its concerns on the punitive and discriminatory alternative civilian service; the procedure for conscientious objector status; the punishment of certain categories of conscientious objectors; repeated punishment in violation of ne bis in idem; and failure to provide adequate reparations</w:t>
      </w:r>
      <w:r>
        <w:rPr>
          <w:rStyle w:val="FootnoteReference"/>
          <w:lang w:eastAsia="en-GB"/>
        </w:rPr>
        <w:footnoteReference w:id="64"/>
      </w:r>
      <w:r w:rsidRPr="0018794A">
        <w:rPr>
          <w:lang w:eastAsia="en-GB"/>
        </w:rPr>
        <w:t>.</w:t>
      </w:r>
      <w:r>
        <w:rPr>
          <w:lang w:eastAsia="en-GB"/>
        </w:rPr>
        <w:t xml:space="preserve"> </w:t>
      </w:r>
      <w:r w:rsidRPr="0018794A">
        <w:rPr>
          <w:lang w:eastAsia="en-GB"/>
        </w:rPr>
        <w:t>The organization would like to provide further updates in the following sections:  </w:t>
      </w:r>
    </w:p>
    <w:p w14:paraId="48D1FB76" w14:textId="77777777" w:rsidR="00EC1232" w:rsidRDefault="00EC1232" w:rsidP="00714790">
      <w:pPr>
        <w:pStyle w:val="BBodyText"/>
        <w:spacing w:after="60"/>
        <w:rPr>
          <w:lang w:eastAsia="en-GB"/>
        </w:rPr>
      </w:pPr>
    </w:p>
    <w:p w14:paraId="79175F1B" w14:textId="78C14836" w:rsidR="00E37BB2" w:rsidRDefault="00EC1232" w:rsidP="00D038D1">
      <w:pPr>
        <w:pStyle w:val="BNumberedSubheading"/>
        <w:spacing w:after="100" w:afterAutospacing="1"/>
        <w:rPr>
          <w:bCs/>
        </w:rPr>
      </w:pPr>
      <w:bookmarkStart w:id="16" w:name="_Toc177292881"/>
      <w:r>
        <w:rPr>
          <w:bCs/>
        </w:rPr>
        <w:t>P</w:t>
      </w:r>
      <w:r w:rsidR="00E37BB2" w:rsidRPr="00E37BB2">
        <w:rPr>
          <w:bCs/>
        </w:rPr>
        <w:t>unitive and discriminatory alternative civilian service</w:t>
      </w:r>
      <w:bookmarkEnd w:id="16"/>
    </w:p>
    <w:p w14:paraId="694588D8" w14:textId="4CA4F2FC" w:rsidR="00577F8F" w:rsidRPr="00D038D1" w:rsidRDefault="00EC1232" w:rsidP="00D038D1">
      <w:pPr>
        <w:pStyle w:val="paragraph"/>
        <w:spacing w:before="0" w:beforeAutospacing="0" w:afterLines="60" w:after="144" w:afterAutospacing="0"/>
        <w:jc w:val="both"/>
        <w:textAlignment w:val="baseline"/>
        <w:rPr>
          <w:rFonts w:asciiTheme="minorHAnsi" w:hAnsiTheme="minorHAnsi" w:cs="Segoe UI"/>
          <w:b/>
          <w:bCs/>
          <w:caps/>
          <w:color w:val="000000"/>
          <w:sz w:val="21"/>
          <w:szCs w:val="21"/>
        </w:rPr>
      </w:pPr>
      <w:r>
        <w:rPr>
          <w:rStyle w:val="normaltextrun"/>
          <w:rFonts w:asciiTheme="minorHAnsi" w:hAnsiTheme="minorHAnsi" w:cs="Segoe UI"/>
          <w:b/>
          <w:bCs/>
          <w:caps/>
          <w:color w:val="000000"/>
          <w:sz w:val="21"/>
          <w:szCs w:val="21"/>
        </w:rPr>
        <w:t>C</w:t>
      </w:r>
      <w:r w:rsidR="00577F8F" w:rsidRPr="00D038D1">
        <w:rPr>
          <w:rStyle w:val="normaltextrun"/>
          <w:rFonts w:asciiTheme="minorHAnsi" w:hAnsiTheme="minorHAnsi" w:cs="Segoe UI"/>
          <w:b/>
          <w:bCs/>
          <w:caps/>
          <w:color w:val="000000"/>
          <w:sz w:val="21"/>
          <w:szCs w:val="21"/>
        </w:rPr>
        <w:t>ost</w:t>
      </w:r>
      <w:r w:rsidR="00577F8F" w:rsidRPr="00D038D1">
        <w:rPr>
          <w:rStyle w:val="eop"/>
          <w:rFonts w:asciiTheme="minorHAnsi" w:hAnsiTheme="minorHAnsi" w:cs="Segoe UI"/>
          <w:b/>
          <w:bCs/>
          <w:caps/>
          <w:color w:val="000000"/>
          <w:sz w:val="21"/>
          <w:szCs w:val="21"/>
        </w:rPr>
        <w:t> </w:t>
      </w:r>
    </w:p>
    <w:p w14:paraId="2696320F" w14:textId="72994488" w:rsidR="00D038D1" w:rsidRPr="00D038D1" w:rsidRDefault="00577F8F" w:rsidP="00D038D1">
      <w:pPr>
        <w:pStyle w:val="paragraph"/>
        <w:spacing w:before="0" w:beforeAutospacing="0" w:afterLines="60" w:after="144" w:afterAutospacing="0"/>
        <w:jc w:val="both"/>
        <w:textAlignment w:val="baseline"/>
        <w:rPr>
          <w:rFonts w:asciiTheme="minorHAnsi" w:hAnsiTheme="minorHAnsi" w:cs="Segoe UI"/>
          <w:color w:val="000000"/>
          <w:sz w:val="21"/>
          <w:szCs w:val="21"/>
        </w:rPr>
      </w:pPr>
      <w:r w:rsidRPr="00D038D1">
        <w:rPr>
          <w:rStyle w:val="normaltextrun"/>
          <w:rFonts w:asciiTheme="minorHAnsi" w:hAnsiTheme="minorHAnsi" w:cs="Segoe UI"/>
          <w:color w:val="000000"/>
          <w:sz w:val="21"/>
          <w:szCs w:val="21"/>
        </w:rPr>
        <w:t>Objectors performing civilian service are either provided with food and housing without any salary, or with €223.53, which is far below the statutory minimum and wage salary (€586.08</w:t>
      </w:r>
      <w:r w:rsidR="007E5478">
        <w:rPr>
          <w:rStyle w:val="FootnoteReference"/>
          <w:rFonts w:asciiTheme="minorHAnsi" w:hAnsiTheme="minorHAnsi" w:cs="Segoe UI"/>
          <w:color w:val="000000"/>
          <w:sz w:val="21"/>
          <w:szCs w:val="21"/>
        </w:rPr>
        <w:footnoteReference w:id="65"/>
      </w:r>
      <w:r w:rsidRPr="00D038D1">
        <w:rPr>
          <w:rStyle w:val="normaltextrun"/>
          <w:rFonts w:asciiTheme="minorHAnsi" w:hAnsiTheme="minorHAnsi" w:cs="Segoe UI"/>
          <w:color w:val="000000"/>
          <w:sz w:val="21"/>
          <w:szCs w:val="21"/>
        </w:rPr>
        <w:t>) of 2015</w:t>
      </w:r>
      <w:r w:rsidRPr="00D038D1">
        <w:rPr>
          <w:rStyle w:val="normaltextrun"/>
          <w:rFonts w:asciiTheme="minorHAnsi" w:hAnsiTheme="minorHAnsi" w:cs="Segoe UI"/>
          <w:i/>
          <w:iCs/>
          <w:color w:val="000000"/>
          <w:sz w:val="21"/>
          <w:szCs w:val="21"/>
        </w:rPr>
        <w:t xml:space="preserve"> </w:t>
      </w:r>
      <w:r w:rsidRPr="00D038D1">
        <w:rPr>
          <w:rStyle w:val="normaltextrun"/>
          <w:rFonts w:asciiTheme="minorHAnsi" w:hAnsiTheme="minorHAnsi" w:cs="Segoe UI"/>
          <w:color w:val="000000"/>
          <w:sz w:val="21"/>
          <w:szCs w:val="21"/>
        </w:rPr>
        <w:t>which has been</w:t>
      </w:r>
      <w:r w:rsidRPr="00D038D1">
        <w:rPr>
          <w:rStyle w:val="normaltextrun"/>
          <w:rFonts w:asciiTheme="minorHAnsi" w:hAnsiTheme="minorHAnsi" w:cs="Segoe UI"/>
          <w:i/>
          <w:iCs/>
          <w:color w:val="000000"/>
          <w:sz w:val="21"/>
          <w:szCs w:val="21"/>
        </w:rPr>
        <w:t xml:space="preserve"> </w:t>
      </w:r>
      <w:r w:rsidRPr="00D038D1">
        <w:rPr>
          <w:rStyle w:val="normaltextrun"/>
          <w:rFonts w:asciiTheme="minorHAnsi" w:hAnsiTheme="minorHAnsi" w:cs="Segoe UI"/>
          <w:color w:val="000000"/>
          <w:sz w:val="21"/>
          <w:szCs w:val="21"/>
        </w:rPr>
        <w:t>considered insufficient to provide a decent living in accordance with Article 7 of the ICESCR</w:t>
      </w:r>
      <w:r w:rsidR="00CE5218">
        <w:rPr>
          <w:rStyle w:val="FootnoteReference"/>
          <w:rFonts w:asciiTheme="minorHAnsi" w:hAnsiTheme="minorHAnsi" w:cs="Segoe UI"/>
          <w:color w:val="000000"/>
          <w:sz w:val="21"/>
          <w:szCs w:val="21"/>
        </w:rPr>
        <w:footnoteReference w:id="66"/>
      </w:r>
      <w:r w:rsidRPr="00D038D1">
        <w:rPr>
          <w:rStyle w:val="normaltextrun"/>
          <w:rFonts w:asciiTheme="minorHAnsi" w:hAnsiTheme="minorHAnsi" w:cs="Segoe UI"/>
          <w:color w:val="000000"/>
          <w:sz w:val="21"/>
          <w:szCs w:val="21"/>
        </w:rPr>
        <w:t xml:space="preserve">. Furthermore, the law provides the opportunity for those above 33 years of age to perform only a part of their service and buy out the rest. However, the amount required for alternative service is significantly </w:t>
      </w:r>
      <w:r w:rsidRPr="00D038D1">
        <w:rPr>
          <w:rStyle w:val="normaltextrun"/>
          <w:rFonts w:asciiTheme="minorHAnsi" w:hAnsiTheme="minorHAnsi" w:cs="Segoe UI"/>
          <w:color w:val="000000"/>
          <w:sz w:val="21"/>
          <w:szCs w:val="21"/>
        </w:rPr>
        <w:lastRenderedPageBreak/>
        <w:t>greater compared to that for military service</w:t>
      </w:r>
      <w:r w:rsidR="00CE5218">
        <w:rPr>
          <w:rStyle w:val="FootnoteReference"/>
          <w:rFonts w:asciiTheme="minorHAnsi" w:hAnsiTheme="minorHAnsi" w:cs="Segoe UI"/>
          <w:color w:val="000000"/>
          <w:sz w:val="21"/>
          <w:szCs w:val="21"/>
        </w:rPr>
        <w:footnoteReference w:id="67"/>
      </w:r>
      <w:r w:rsidR="00CE5218">
        <w:rPr>
          <w:rStyle w:val="normaltextrun"/>
          <w:rFonts w:asciiTheme="minorHAnsi" w:hAnsiTheme="minorHAnsi" w:cs="Segoe UI"/>
          <w:color w:val="000000"/>
          <w:sz w:val="21"/>
          <w:szCs w:val="21"/>
        </w:rPr>
        <w:t>,</w:t>
      </w:r>
      <w:r w:rsidRPr="00D038D1">
        <w:rPr>
          <w:rStyle w:val="normaltextrun"/>
          <w:rFonts w:asciiTheme="minorHAnsi" w:hAnsiTheme="minorHAnsi" w:cs="Segoe UI"/>
          <w:color w:val="000000"/>
          <w:sz w:val="21"/>
          <w:szCs w:val="21"/>
        </w:rPr>
        <w:t xml:space="preserve"> a discrimination pointed out by the Ombudsman</w:t>
      </w:r>
      <w:r w:rsidR="00214A6C">
        <w:rPr>
          <w:rStyle w:val="FootnoteReference"/>
          <w:rFonts w:asciiTheme="minorHAnsi" w:hAnsiTheme="minorHAnsi" w:cs="Segoe UI"/>
          <w:color w:val="000000"/>
          <w:sz w:val="21"/>
          <w:szCs w:val="21"/>
        </w:rPr>
        <w:footnoteReference w:id="68"/>
      </w:r>
      <w:r w:rsidRPr="00D038D1">
        <w:rPr>
          <w:rStyle w:val="normaltextrun"/>
          <w:rFonts w:asciiTheme="minorHAnsi" w:hAnsiTheme="minorHAnsi" w:cs="Segoe UI"/>
          <w:color w:val="000000"/>
          <w:sz w:val="21"/>
          <w:szCs w:val="21"/>
        </w:rPr>
        <w:t>, the GNCHR</w:t>
      </w:r>
      <w:r w:rsidR="00214A6C">
        <w:rPr>
          <w:rStyle w:val="FootnoteReference"/>
          <w:rFonts w:asciiTheme="minorHAnsi" w:hAnsiTheme="minorHAnsi" w:cs="Segoe UI"/>
          <w:color w:val="000000"/>
          <w:sz w:val="21"/>
          <w:szCs w:val="21"/>
        </w:rPr>
        <w:footnoteReference w:id="69"/>
      </w:r>
      <w:r w:rsidRPr="00D038D1">
        <w:rPr>
          <w:rStyle w:val="normaltextrun"/>
          <w:rFonts w:asciiTheme="minorHAnsi" w:hAnsiTheme="minorHAnsi" w:cs="Segoe UI"/>
          <w:color w:val="000000"/>
          <w:sz w:val="21"/>
          <w:szCs w:val="21"/>
        </w:rPr>
        <w:t>, and the Special Rapporteur on freedom of religion or belief</w:t>
      </w:r>
      <w:r w:rsidR="00D80F6E">
        <w:rPr>
          <w:rStyle w:val="FootnoteReference"/>
          <w:rFonts w:asciiTheme="minorHAnsi" w:hAnsiTheme="minorHAnsi" w:cs="Segoe UI"/>
          <w:color w:val="000000"/>
          <w:sz w:val="21"/>
          <w:szCs w:val="21"/>
        </w:rPr>
        <w:footnoteReference w:id="70"/>
      </w:r>
      <w:r w:rsidRPr="00D038D1">
        <w:rPr>
          <w:rStyle w:val="normaltextrun"/>
          <w:rFonts w:asciiTheme="minorHAnsi" w:hAnsiTheme="minorHAnsi" w:cs="Segoe UI"/>
          <w:color w:val="000000"/>
          <w:sz w:val="21"/>
          <w:szCs w:val="21"/>
        </w:rPr>
        <w:t>. </w:t>
      </w:r>
      <w:r w:rsidRPr="00D038D1">
        <w:rPr>
          <w:rStyle w:val="eop"/>
          <w:rFonts w:asciiTheme="minorHAnsi" w:hAnsiTheme="minorHAnsi" w:cs="Segoe UI"/>
          <w:color w:val="000000"/>
          <w:sz w:val="21"/>
          <w:szCs w:val="21"/>
        </w:rPr>
        <w:t> </w:t>
      </w:r>
    </w:p>
    <w:p w14:paraId="19346703" w14:textId="6C9CE9C2" w:rsidR="00E37BB2" w:rsidRDefault="007E5478" w:rsidP="00E37BB2">
      <w:pPr>
        <w:pStyle w:val="BBodyText"/>
        <w:rPr>
          <w:lang w:eastAsia="en-GB"/>
        </w:rPr>
      </w:pPr>
      <w:r w:rsidRPr="007E5478">
        <w:rPr>
          <w:lang w:eastAsia="en-GB"/>
        </w:rPr>
        <w:t>Conscientious objectors also face the financial burden of travelling to the place where they are registered to vote during elections unlike conscripts to military service who are allowed by law to vote in the place where they serve</w:t>
      </w:r>
      <w:r w:rsidR="00D80F6E">
        <w:rPr>
          <w:rStyle w:val="FootnoteReference"/>
          <w:lang w:eastAsia="en-GB"/>
        </w:rPr>
        <w:footnoteReference w:id="71"/>
      </w:r>
      <w:r w:rsidRPr="007E5478">
        <w:rPr>
          <w:lang w:eastAsia="en-GB"/>
        </w:rPr>
        <w:t>.</w:t>
      </w:r>
    </w:p>
    <w:p w14:paraId="458AB215" w14:textId="77777777" w:rsidR="00694DA4" w:rsidRDefault="00694DA4" w:rsidP="00E37BB2">
      <w:pPr>
        <w:pStyle w:val="BBodyText"/>
        <w:rPr>
          <w:lang w:eastAsia="en-GB"/>
        </w:rPr>
      </w:pPr>
    </w:p>
    <w:p w14:paraId="58894E3B" w14:textId="029C8B45" w:rsidR="0038780A" w:rsidRPr="00395E69" w:rsidRDefault="00EC1232" w:rsidP="00395E69">
      <w:pPr>
        <w:pStyle w:val="BNumberedSubheading"/>
        <w:spacing w:after="60"/>
        <w:rPr>
          <w:bCs/>
        </w:rPr>
      </w:pPr>
      <w:bookmarkStart w:id="17" w:name="_Toc177292882"/>
      <w:r>
        <w:rPr>
          <w:bCs/>
        </w:rPr>
        <w:t>P</w:t>
      </w:r>
      <w:r w:rsidR="0038780A" w:rsidRPr="0038780A">
        <w:rPr>
          <w:bCs/>
        </w:rPr>
        <w:t>rocedure for conscientious objector STATUS</w:t>
      </w:r>
      <w:bookmarkEnd w:id="17"/>
    </w:p>
    <w:p w14:paraId="383FF392" w14:textId="77777777" w:rsidR="00395E69" w:rsidRPr="00395E69" w:rsidRDefault="00395E69" w:rsidP="00395E69">
      <w:pPr>
        <w:pStyle w:val="BBodyText"/>
        <w:spacing w:afterLines="60" w:after="144"/>
        <w:rPr>
          <w:lang w:eastAsia="en-GB"/>
        </w:rPr>
      </w:pPr>
      <w:r w:rsidRPr="00395E69">
        <w:rPr>
          <w:lang w:eastAsia="en-GB"/>
        </w:rPr>
        <w:t>The decision on applications for conscientious objector (CO) status is taken by the Minister of National Defence after a recommendation by a five-membered special committee with military participation.  </w:t>
      </w:r>
    </w:p>
    <w:p w14:paraId="499AE237" w14:textId="6160A80D" w:rsidR="00395E69" w:rsidRPr="00395E69" w:rsidRDefault="00395E69" w:rsidP="00395E69">
      <w:pPr>
        <w:pStyle w:val="BBodyText"/>
        <w:spacing w:afterLines="60" w:after="144"/>
        <w:rPr>
          <w:lang w:eastAsia="en-GB"/>
        </w:rPr>
      </w:pPr>
      <w:r w:rsidRPr="00395E69">
        <w:rPr>
          <w:lang w:eastAsia="en-GB"/>
        </w:rPr>
        <w:t>The law 4609/2019 reduced the number of military officers in the committee from two to one</w:t>
      </w:r>
      <w:r w:rsidR="00E822CC">
        <w:rPr>
          <w:rStyle w:val="FootnoteReference"/>
          <w:lang w:eastAsia="en-GB"/>
        </w:rPr>
        <w:footnoteReference w:id="72"/>
      </w:r>
      <w:r w:rsidR="00E822CC">
        <w:rPr>
          <w:lang w:eastAsia="en-GB"/>
        </w:rPr>
        <w:t>.</w:t>
      </w:r>
      <w:r w:rsidRPr="00395E69">
        <w:rPr>
          <w:lang w:eastAsia="en-GB"/>
        </w:rPr>
        <w:t xml:space="preserve"> While a positive step, the amended provision continues to lack independence and impartiality and contravene the concluding observations of the Human Rights Committee</w:t>
      </w:r>
      <w:r w:rsidR="00103BA2">
        <w:rPr>
          <w:rStyle w:val="FootnoteReference"/>
          <w:lang w:eastAsia="en-GB"/>
        </w:rPr>
        <w:footnoteReference w:id="73"/>
      </w:r>
      <w:r w:rsidRPr="00395E69">
        <w:rPr>
          <w:lang w:eastAsia="en-GB"/>
        </w:rPr>
        <w:t xml:space="preserve"> by not requiring the new special committee to be wholly civilian and ensuring that the decision of granting CO status is not made by the Minister of National Defence, hence failing to place the assessment of applications for CO status under the full control of civilian authorities</w:t>
      </w:r>
      <w:r w:rsidR="00103BA2">
        <w:rPr>
          <w:rStyle w:val="FootnoteReference"/>
          <w:lang w:eastAsia="en-GB"/>
        </w:rPr>
        <w:footnoteReference w:id="74"/>
      </w:r>
      <w:r w:rsidRPr="00395E69">
        <w:rPr>
          <w:lang w:eastAsia="en-GB"/>
        </w:rPr>
        <w:t>.  </w:t>
      </w:r>
    </w:p>
    <w:p w14:paraId="55E5350A" w14:textId="418D8834" w:rsidR="00395E69" w:rsidRDefault="00395E69" w:rsidP="00395E69">
      <w:pPr>
        <w:pStyle w:val="BBodyText"/>
        <w:rPr>
          <w:lang w:eastAsia="en-GB"/>
        </w:rPr>
      </w:pPr>
      <w:r w:rsidRPr="00395E69">
        <w:rPr>
          <w:lang w:eastAsia="en-GB"/>
        </w:rPr>
        <w:t>Furthermore, the discrimination between different categories of conscientious objectors continues. According to official figures from 2021 to 2023, while the percentage of recognition of conscientious objectors on religious grounds is 96.2 %, the percentage of recognition of conscientious objectors on ideological grounds is only 16%</w:t>
      </w:r>
      <w:r w:rsidR="00EB05DC">
        <w:rPr>
          <w:rStyle w:val="FootnoteReference"/>
          <w:lang w:eastAsia="en-GB"/>
        </w:rPr>
        <w:footnoteReference w:id="75"/>
      </w:r>
      <w:r w:rsidRPr="00395E69">
        <w:rPr>
          <w:lang w:eastAsia="en-GB"/>
        </w:rPr>
        <w:t xml:space="preserve">. The considerable difference between the grounds to grant contentious objector status raise concerns over the state’s duty not to discriminate between conscientious objectors </w:t>
      </w:r>
      <w:proofErr w:type="gramStart"/>
      <w:r w:rsidRPr="00395E69">
        <w:rPr>
          <w:lang w:eastAsia="en-GB"/>
        </w:rPr>
        <w:t>on the basis of</w:t>
      </w:r>
      <w:proofErr w:type="gramEnd"/>
      <w:r w:rsidRPr="00395E69">
        <w:rPr>
          <w:lang w:eastAsia="en-GB"/>
        </w:rPr>
        <w:t xml:space="preserve"> the nature of their particular beliefs. In late 2023, some discriminatory rejections were annulled by the Supreme Administrative Court (cases of Charis Vasileiou and Nikolas Stefanidis)</w:t>
      </w:r>
      <w:r w:rsidR="007D4FCC">
        <w:rPr>
          <w:rStyle w:val="FootnoteReference"/>
          <w:lang w:eastAsia="en-GB"/>
        </w:rPr>
        <w:footnoteReference w:id="76"/>
      </w:r>
      <w:r w:rsidRPr="00395E69">
        <w:rPr>
          <w:lang w:eastAsia="en-GB"/>
        </w:rPr>
        <w:t>, while some others are still pending</w:t>
      </w:r>
      <w:r w:rsidR="007B2971">
        <w:rPr>
          <w:rStyle w:val="FootnoteReference"/>
          <w:lang w:eastAsia="en-GB"/>
        </w:rPr>
        <w:footnoteReference w:id="77"/>
      </w:r>
      <w:r w:rsidRPr="00395E69">
        <w:rPr>
          <w:lang w:eastAsia="en-GB"/>
        </w:rPr>
        <w:t>.</w:t>
      </w:r>
      <w:r w:rsidR="00F445D5">
        <w:rPr>
          <w:lang w:eastAsia="en-GB"/>
        </w:rPr>
        <w:t xml:space="preserve"> </w:t>
      </w:r>
    </w:p>
    <w:p w14:paraId="1DE361FD" w14:textId="77777777" w:rsidR="00F445D5" w:rsidRDefault="00F445D5" w:rsidP="00395E69">
      <w:pPr>
        <w:pStyle w:val="BBodyText"/>
        <w:rPr>
          <w:lang w:eastAsia="en-GB"/>
        </w:rPr>
      </w:pPr>
    </w:p>
    <w:p w14:paraId="30C225B3" w14:textId="13D01C4A" w:rsidR="009C6363" w:rsidRDefault="00EC1232" w:rsidP="00DD4C1B">
      <w:pPr>
        <w:pStyle w:val="BNumberedSubheading"/>
        <w:spacing w:afterLines="60" w:after="144"/>
        <w:rPr>
          <w:bCs/>
        </w:rPr>
      </w:pPr>
      <w:bookmarkStart w:id="18" w:name="_Toc177292883"/>
      <w:r>
        <w:rPr>
          <w:bCs/>
        </w:rPr>
        <w:t>F</w:t>
      </w:r>
      <w:r w:rsidR="009C6363" w:rsidRPr="009C6363">
        <w:rPr>
          <w:bCs/>
        </w:rPr>
        <w:t>ailure to provide adequate reparations</w:t>
      </w:r>
      <w:bookmarkEnd w:id="18"/>
    </w:p>
    <w:p w14:paraId="66F2AD78" w14:textId="76987D0A" w:rsidR="00DD4C1B" w:rsidRDefault="00DD4C1B" w:rsidP="00904130">
      <w:pPr>
        <w:pStyle w:val="BBodyText"/>
        <w:spacing w:after="100" w:afterAutospacing="1"/>
        <w:rPr>
          <w:lang w:eastAsia="en-GB"/>
        </w:rPr>
      </w:pPr>
      <w:r w:rsidRPr="00DD4C1B">
        <w:rPr>
          <w:lang w:eastAsia="en-GB"/>
        </w:rPr>
        <w:t>In a landmark ruling published in December 2021, the UN Human Rights Committee found multiple violations of the ICCPR (Articles 9 (1), 12 (2), 14 (7) and 18 (1) ICCPR) in the case of Lazaros Petromelidis.</w:t>
      </w:r>
      <w:r w:rsidR="00B71487" w:rsidRPr="00DD4C1B">
        <w:rPr>
          <w:lang w:eastAsia="en-GB"/>
        </w:rPr>
        <w:t xml:space="preserve"> </w:t>
      </w:r>
      <w:r w:rsidRPr="00DD4C1B">
        <w:rPr>
          <w:lang w:eastAsia="en-GB"/>
        </w:rPr>
        <w:t>Lazaros Petromelidis,</w:t>
      </w:r>
      <w:r w:rsidR="00B71487" w:rsidRPr="00DD4C1B">
        <w:rPr>
          <w:lang w:eastAsia="en-GB"/>
        </w:rPr>
        <w:t xml:space="preserve"> </w:t>
      </w:r>
      <w:r w:rsidRPr="00DD4C1B">
        <w:rPr>
          <w:lang w:eastAsia="en-GB"/>
        </w:rPr>
        <w:t>was punished for five different periods of insubordination and repeatedly imprisoned.</w:t>
      </w:r>
      <w:r w:rsidRPr="00DD4C1B">
        <w:rPr>
          <w:rFonts w:ascii="Arial" w:hAnsi="Arial"/>
          <w:lang w:eastAsia="en-GB"/>
        </w:rPr>
        <w:t>  </w:t>
      </w:r>
      <w:r w:rsidRPr="00DD4C1B">
        <w:rPr>
          <w:lang w:eastAsia="en-GB"/>
        </w:rPr>
        <w:t xml:space="preserve"> As of the time of this submission, the Greek authorities have yet to make full reparations to Lazaros Petromelidis in accordance with the ruling, including the reimbursement of all sums paid as fines and provision of adequate compensation, and the need to ensure his criminal </w:t>
      </w:r>
      <w:r w:rsidRPr="00DD4C1B">
        <w:rPr>
          <w:lang w:eastAsia="en-GB"/>
        </w:rPr>
        <w:lastRenderedPageBreak/>
        <w:t>record is expunged. In addition, the Greek authorities have yet to proceed with reforms to ensure the effective guarantee of the right to conscientious objection.  </w:t>
      </w:r>
    </w:p>
    <w:p w14:paraId="16B8B3FB" w14:textId="5CF8B5B7" w:rsidR="00904130" w:rsidRDefault="000D7F8C" w:rsidP="00904130">
      <w:pPr>
        <w:pStyle w:val="BSubheadingnonumbers"/>
        <w:spacing w:after="100" w:afterAutospacing="1"/>
      </w:pPr>
      <w:bookmarkStart w:id="19" w:name="_Toc177292884"/>
      <w:r>
        <w:rPr>
          <w:caps w:val="0"/>
        </w:rPr>
        <w:t>RECOMMENDATIONS</w:t>
      </w:r>
      <w:bookmarkEnd w:id="19"/>
    </w:p>
    <w:p w14:paraId="77838184" w14:textId="3FF0BA41" w:rsidR="00904130" w:rsidRPr="00904130" w:rsidRDefault="00904130" w:rsidP="00D83EAE">
      <w:pPr>
        <w:pStyle w:val="BBodyText"/>
        <w:numPr>
          <w:ilvl w:val="0"/>
          <w:numId w:val="17"/>
        </w:numPr>
        <w:spacing w:afterLines="60" w:after="144"/>
        <w:rPr>
          <w:lang w:eastAsia="en-GB"/>
        </w:rPr>
      </w:pPr>
      <w:r w:rsidRPr="00904130">
        <w:rPr>
          <w:lang w:eastAsia="en-GB"/>
        </w:rPr>
        <w:t>Immediately end the punitive character of the alternative service and of the discrimination conscientious objectors are subjected to regarding the duration of the alternative civilian service, the place of service, and the benefits conscientious objectors are granted.  </w:t>
      </w:r>
    </w:p>
    <w:p w14:paraId="002895B3" w14:textId="76296DF7" w:rsidR="00904130" w:rsidRPr="00904130" w:rsidRDefault="00904130" w:rsidP="00D83EAE">
      <w:pPr>
        <w:pStyle w:val="BBodyText"/>
        <w:numPr>
          <w:ilvl w:val="0"/>
          <w:numId w:val="18"/>
        </w:numPr>
        <w:rPr>
          <w:lang w:eastAsia="en-GB"/>
        </w:rPr>
      </w:pPr>
      <w:r w:rsidRPr="00904130">
        <w:rPr>
          <w:lang w:eastAsia="en-GB"/>
        </w:rPr>
        <w:t>Transfer the procedure of examination of applications for conscientious objector status under the full control of civilian authorities (i.e. to be transferred from the Ministry of National Defence) by a panel with a wholly civilian composition. The procedure should be conducted without delay and in a way that guarantees maximum independence and impartiality.  </w:t>
      </w:r>
    </w:p>
    <w:p w14:paraId="3003918D" w14:textId="01222C88" w:rsidR="00904130" w:rsidRPr="00904130" w:rsidRDefault="00904130" w:rsidP="00D83EAE">
      <w:pPr>
        <w:pStyle w:val="BBodyText"/>
        <w:numPr>
          <w:ilvl w:val="0"/>
          <w:numId w:val="19"/>
        </w:numPr>
        <w:rPr>
          <w:lang w:eastAsia="en-GB"/>
        </w:rPr>
      </w:pPr>
      <w:r w:rsidRPr="00904130">
        <w:rPr>
          <w:lang w:eastAsia="en-GB"/>
        </w:rPr>
        <w:t>Put an ending to the prosecution of conscientious objectors by military courts and cease the repeated punishment of conscientious objectors for their refusal to perform military or alternative service for reasons of conscience. </w:t>
      </w:r>
    </w:p>
    <w:p w14:paraId="03052A96" w14:textId="7A3E14D4" w:rsidR="00904130" w:rsidRPr="00904130" w:rsidRDefault="00904130" w:rsidP="00D83EAE">
      <w:pPr>
        <w:pStyle w:val="BBodyText"/>
        <w:numPr>
          <w:ilvl w:val="0"/>
          <w:numId w:val="20"/>
        </w:numPr>
        <w:rPr>
          <w:lang w:eastAsia="en-GB"/>
        </w:rPr>
      </w:pPr>
      <w:r w:rsidRPr="00904130">
        <w:rPr>
          <w:lang w:eastAsia="en-GB"/>
        </w:rPr>
        <w:t>Accept claims of conscientious objection as valid without inquiry, as a best practice highlighted by UN and regional bodies.  </w:t>
      </w:r>
    </w:p>
    <w:p w14:paraId="783F64E0" w14:textId="77777777" w:rsidR="00904130" w:rsidRDefault="00904130" w:rsidP="00D83EAE">
      <w:pPr>
        <w:pStyle w:val="BBodyText"/>
        <w:numPr>
          <w:ilvl w:val="0"/>
          <w:numId w:val="21"/>
        </w:numPr>
        <w:rPr>
          <w:lang w:eastAsia="en-GB"/>
        </w:rPr>
      </w:pPr>
      <w:r w:rsidRPr="00904130">
        <w:rPr>
          <w:lang w:eastAsia="en-GB"/>
        </w:rPr>
        <w:t>Implement without delay the Committee’s decision on the Petromelidis case. </w:t>
      </w:r>
    </w:p>
    <w:p w14:paraId="503C6E21" w14:textId="77777777" w:rsidR="00904130" w:rsidRDefault="00904130" w:rsidP="00904130">
      <w:pPr>
        <w:pStyle w:val="BBodyText"/>
        <w:rPr>
          <w:lang w:eastAsia="en-GB"/>
        </w:rPr>
      </w:pPr>
    </w:p>
    <w:p w14:paraId="44A5959E" w14:textId="3B727EE6" w:rsidR="00904130" w:rsidRDefault="00EC1232" w:rsidP="00512C61">
      <w:pPr>
        <w:pStyle w:val="BNumberedHeading"/>
        <w:rPr>
          <w:bCs/>
        </w:rPr>
      </w:pPr>
      <w:bookmarkStart w:id="20" w:name="_Toc177292885"/>
      <w:r>
        <w:rPr>
          <w:bCs/>
        </w:rPr>
        <w:t>N</w:t>
      </w:r>
      <w:r w:rsidR="00512C61" w:rsidRPr="00512C61">
        <w:rPr>
          <w:bCs/>
        </w:rPr>
        <w:t>ON-DISCRIMINATION (articles 2, 19-20 AND 26)</w:t>
      </w:r>
      <w:bookmarkEnd w:id="20"/>
      <w:r w:rsidR="00512C61" w:rsidRPr="00512C61">
        <w:rPr>
          <w:bCs/>
        </w:rPr>
        <w:t>  </w:t>
      </w:r>
    </w:p>
    <w:p w14:paraId="34CDDAD2" w14:textId="390EFA6A" w:rsidR="00512C61" w:rsidRPr="00D650F0" w:rsidRDefault="00EC1232" w:rsidP="00D650F0">
      <w:pPr>
        <w:pStyle w:val="BNumberedSubheading"/>
        <w:spacing w:afterLines="60" w:after="144"/>
        <w:rPr>
          <w:bCs/>
        </w:rPr>
      </w:pPr>
      <w:bookmarkStart w:id="21" w:name="_Toc177292886"/>
      <w:r>
        <w:rPr>
          <w:bCs/>
        </w:rPr>
        <w:t>D</w:t>
      </w:r>
      <w:r w:rsidR="00512C61" w:rsidRPr="00512C61">
        <w:rPr>
          <w:bCs/>
        </w:rPr>
        <w:t>ISCRIMINATION AGAINST lgbti PERSONS</w:t>
      </w:r>
      <w:bookmarkEnd w:id="21"/>
      <w:r w:rsidR="00512C61" w:rsidRPr="00512C61">
        <w:rPr>
          <w:bCs/>
        </w:rPr>
        <w:t>  </w:t>
      </w:r>
    </w:p>
    <w:p w14:paraId="49429283" w14:textId="45334957" w:rsidR="00D650F0" w:rsidRPr="00D650F0" w:rsidRDefault="00D650F0" w:rsidP="00D650F0">
      <w:pPr>
        <w:pStyle w:val="BBodyText"/>
        <w:spacing w:afterLines="60" w:after="144"/>
        <w:rPr>
          <w:lang w:eastAsia="en-GB"/>
        </w:rPr>
      </w:pPr>
      <w:r w:rsidRPr="00D650F0">
        <w:rPr>
          <w:lang w:eastAsia="en-GB"/>
        </w:rPr>
        <w:t>On 16 February 2024, Greece became the first Orthodox Christian country to introduce same-sex marriage in its legislation</w:t>
      </w:r>
      <w:r>
        <w:rPr>
          <w:rStyle w:val="FootnoteReference"/>
          <w:lang w:eastAsia="en-GB"/>
        </w:rPr>
        <w:footnoteReference w:id="78"/>
      </w:r>
      <w:r w:rsidRPr="00D650F0">
        <w:rPr>
          <w:lang w:eastAsia="en-GB"/>
        </w:rPr>
        <w:t>, which Amnesty International welcomed as a milestone towards equality for LGBTI persons. The law, among others, recognised the relationship between a parent and a child including when it has been established in another country as well as the adoption of the biological child of their spouse by non-biological parents. However, despite the positive developments, the authorities failed to introduce certain amendments on the “presumption of paternity”, civil partnerships, medically assisted reproduction and legislation on legal gender recognition, thus perpetuating multiple forms of discrimination against LGBTI persons</w:t>
      </w:r>
      <w:r w:rsidR="00496742">
        <w:rPr>
          <w:rStyle w:val="FootnoteReference"/>
          <w:lang w:eastAsia="en-GB"/>
        </w:rPr>
        <w:footnoteReference w:id="79"/>
      </w:r>
      <w:r w:rsidRPr="00D650F0">
        <w:rPr>
          <w:lang w:eastAsia="en-GB"/>
        </w:rPr>
        <w:t>.  </w:t>
      </w:r>
    </w:p>
    <w:p w14:paraId="19FB8F52" w14:textId="71A85DF9" w:rsidR="00D650F0" w:rsidRDefault="00D650F0" w:rsidP="00FE7E48">
      <w:pPr>
        <w:pStyle w:val="BBodyText"/>
        <w:spacing w:after="100" w:afterAutospacing="1"/>
        <w:rPr>
          <w:lang w:eastAsia="en-GB"/>
        </w:rPr>
      </w:pPr>
      <w:r w:rsidRPr="00D650F0">
        <w:rPr>
          <w:lang w:eastAsia="en-GB"/>
        </w:rPr>
        <w:t>Concerns also exist about the failure to repeal a provision that dictates that the name and gender of a transgender person who has children and has obtained legal recognition of their gender identity cannot be altered in their children’s birth certificate</w:t>
      </w:r>
      <w:r w:rsidR="00496742">
        <w:rPr>
          <w:rStyle w:val="FootnoteReference"/>
          <w:lang w:eastAsia="en-GB"/>
        </w:rPr>
        <w:footnoteReference w:id="80"/>
      </w:r>
      <w:r w:rsidRPr="00D650F0">
        <w:rPr>
          <w:lang w:eastAsia="en-GB"/>
        </w:rPr>
        <w:t>. The provision violates transgender persons’ right to privacy and perpetuates discrimination against their children that relates to harmful and invalid representations of their parents’ gender identity.  </w:t>
      </w:r>
    </w:p>
    <w:p w14:paraId="219B165E" w14:textId="1765596C" w:rsidR="00FE7E48" w:rsidRPr="00FE7E48" w:rsidRDefault="00EC1232" w:rsidP="00FE7E48">
      <w:pPr>
        <w:pStyle w:val="BBodyText"/>
        <w:spacing w:afterLines="60" w:after="144"/>
        <w:rPr>
          <w:b/>
          <w:lang w:eastAsia="en-GB"/>
        </w:rPr>
      </w:pPr>
      <w:r>
        <w:rPr>
          <w:b/>
          <w:lang w:eastAsia="en-GB"/>
        </w:rPr>
        <w:t>H</w:t>
      </w:r>
      <w:r w:rsidR="00FE7E48" w:rsidRPr="00FE7E48">
        <w:rPr>
          <w:b/>
          <w:lang w:eastAsia="en-GB"/>
        </w:rPr>
        <w:t>ARASSMENT AND VIOLENCE AGAINST LGBTI PEOPLE </w:t>
      </w:r>
    </w:p>
    <w:p w14:paraId="3B9B0112" w14:textId="280ED777" w:rsidR="00FE7E48" w:rsidRPr="00FE7E48" w:rsidRDefault="00FE7E48" w:rsidP="00FE7E48">
      <w:pPr>
        <w:pStyle w:val="BBodyText"/>
        <w:spacing w:afterLines="60" w:after="144"/>
        <w:rPr>
          <w:lang w:eastAsia="en-GB"/>
        </w:rPr>
      </w:pPr>
      <w:r w:rsidRPr="00FE7E48">
        <w:rPr>
          <w:lang w:eastAsia="en-GB"/>
        </w:rPr>
        <w:t xml:space="preserve">According to the Network for Recording Incidents of Racist Violence (RVRN), 38 and 61 attacks “against LGBTQI+ individuals as well as human rights defenders, due to their connection with the </w:t>
      </w:r>
      <w:r w:rsidRPr="00FE7E48">
        <w:rPr>
          <w:lang w:eastAsia="en-GB"/>
        </w:rPr>
        <w:lastRenderedPageBreak/>
        <w:t>LGBTQI+ community” were reported in 2022 and 2023, respectively</w:t>
      </w:r>
      <w:r w:rsidR="00E06983">
        <w:rPr>
          <w:rStyle w:val="FootnoteReference"/>
          <w:lang w:eastAsia="en-GB"/>
        </w:rPr>
        <w:footnoteReference w:id="81"/>
      </w:r>
      <w:r w:rsidRPr="00FE7E48">
        <w:rPr>
          <w:lang w:eastAsia="en-GB"/>
        </w:rPr>
        <w:t>. In 2022, the majority of documented incidents targeted transgender, queer and non-binary people.</w:t>
      </w:r>
      <w:r w:rsidR="000D4E22" w:rsidRPr="000D4E22">
        <w:rPr>
          <w:rStyle w:val="FootnoteReference"/>
          <w:lang w:eastAsia="en-GB"/>
        </w:rPr>
        <w:t xml:space="preserve"> </w:t>
      </w:r>
      <w:r w:rsidR="000D4E22">
        <w:rPr>
          <w:rStyle w:val="FootnoteReference"/>
          <w:lang w:eastAsia="en-GB"/>
        </w:rPr>
        <w:footnoteReference w:id="82"/>
      </w:r>
      <w:r w:rsidR="000D4E22" w:rsidRPr="00FE7E48">
        <w:rPr>
          <w:lang w:eastAsia="en-GB"/>
        </w:rPr>
        <w:t> </w:t>
      </w:r>
      <w:r w:rsidRPr="00FE7E48">
        <w:rPr>
          <w:lang w:eastAsia="en-GB"/>
        </w:rPr>
        <w:t xml:space="preserve"> The incidents included verbal and/or physical violence, harassment and/or sexual abuse, and property damage, while some incidents targeted children.</w:t>
      </w:r>
    </w:p>
    <w:p w14:paraId="4484E721" w14:textId="0ED3116A" w:rsidR="00FE7E48" w:rsidRDefault="00FE7E48" w:rsidP="003B5F89">
      <w:pPr>
        <w:pStyle w:val="BBodyText"/>
        <w:spacing w:after="100" w:afterAutospacing="1"/>
        <w:rPr>
          <w:lang w:eastAsia="en-GB"/>
        </w:rPr>
      </w:pPr>
      <w:r w:rsidRPr="00FE7E48">
        <w:rPr>
          <w:lang w:eastAsia="en-GB"/>
        </w:rPr>
        <w:t>It is worth mentioning that, although law 4958/2022 banned non-consensual surgeries on intersex children</w:t>
      </w:r>
      <w:r w:rsidR="00E06983">
        <w:rPr>
          <w:rStyle w:val="FootnoteReference"/>
          <w:lang w:eastAsia="en-GB"/>
        </w:rPr>
        <w:footnoteReference w:id="83"/>
      </w:r>
      <w:r w:rsidRPr="00FE7E48">
        <w:rPr>
          <w:lang w:eastAsia="en-GB"/>
        </w:rPr>
        <w:t>, civil society on the ground reported that intersex persons continued to face discrimination by the medical community and derogatory speech online</w:t>
      </w:r>
      <w:r w:rsidR="00BC02FE">
        <w:rPr>
          <w:rStyle w:val="FootnoteReference"/>
          <w:lang w:eastAsia="en-GB"/>
        </w:rPr>
        <w:footnoteReference w:id="84"/>
      </w:r>
      <w:r w:rsidRPr="00FE7E48">
        <w:rPr>
          <w:lang w:eastAsia="en-GB"/>
        </w:rPr>
        <w:t>. It should be noted that the Greek health system is still using ICD-10 by the WHO which refers to ’transsexualism’ as a ’gender identity disorder’</w:t>
      </w:r>
      <w:r w:rsidR="00A75250">
        <w:rPr>
          <w:rStyle w:val="FootnoteReference"/>
          <w:lang w:eastAsia="en-GB"/>
        </w:rPr>
        <w:footnoteReference w:id="85"/>
      </w:r>
      <w:r w:rsidRPr="00FE7E48">
        <w:rPr>
          <w:lang w:eastAsia="en-GB"/>
        </w:rPr>
        <w:t>, although the updated ICD-11 has added transgender identities under ’gender incongruence’</w:t>
      </w:r>
      <w:r w:rsidR="00295531">
        <w:rPr>
          <w:rStyle w:val="FootnoteReference"/>
          <w:lang w:eastAsia="en-GB"/>
        </w:rPr>
        <w:footnoteReference w:id="86"/>
      </w:r>
      <w:r w:rsidRPr="00FE7E48">
        <w:rPr>
          <w:lang w:eastAsia="en-GB"/>
        </w:rPr>
        <w:t>, thus de</w:t>
      </w:r>
      <w:r w:rsidR="00295531">
        <w:rPr>
          <w:lang w:eastAsia="en-GB"/>
        </w:rPr>
        <w:t>-</w:t>
      </w:r>
      <w:r w:rsidR="00295531" w:rsidRPr="00FE7E48">
        <w:rPr>
          <w:lang w:eastAsia="en-GB"/>
        </w:rPr>
        <w:t>pathologizing</w:t>
      </w:r>
      <w:r w:rsidRPr="00FE7E48">
        <w:rPr>
          <w:lang w:eastAsia="en-GB"/>
        </w:rPr>
        <w:t xml:space="preserve"> them. The GTSA has expressed its concerns about the multiple barriers that the used definition entails in all areas of transgender people’s lives, including access to healthcare and equal opportunities in the workplace</w:t>
      </w:r>
      <w:r w:rsidR="00AC6484">
        <w:rPr>
          <w:rStyle w:val="FootnoteReference"/>
          <w:lang w:eastAsia="en-GB"/>
        </w:rPr>
        <w:footnoteReference w:id="87"/>
      </w:r>
      <w:r w:rsidRPr="00FE7E48">
        <w:rPr>
          <w:lang w:eastAsia="en-GB"/>
        </w:rPr>
        <w:t>. </w:t>
      </w:r>
    </w:p>
    <w:p w14:paraId="0249FE6E" w14:textId="00184FD7" w:rsidR="003B5F89" w:rsidRPr="003B5F89" w:rsidRDefault="00545C75" w:rsidP="003B5F89">
      <w:pPr>
        <w:pStyle w:val="BBodyText"/>
        <w:spacing w:afterLines="60" w:after="144"/>
        <w:rPr>
          <w:b/>
          <w:lang w:eastAsia="en-GB"/>
        </w:rPr>
      </w:pPr>
      <w:r>
        <w:rPr>
          <w:b/>
          <w:lang w:eastAsia="en-GB"/>
        </w:rPr>
        <w:t>A</w:t>
      </w:r>
      <w:r w:rsidR="003B5F89" w:rsidRPr="003B5F89">
        <w:rPr>
          <w:b/>
          <w:lang w:eastAsia="en-GB"/>
        </w:rPr>
        <w:t>BUSIVE AND HARMFUL RHETORIC AGAINST LGBTI PEOPLE  </w:t>
      </w:r>
    </w:p>
    <w:p w14:paraId="6BB279EE" w14:textId="00442BEA" w:rsidR="003B5F89" w:rsidRDefault="003B5F89" w:rsidP="004A5429">
      <w:pPr>
        <w:pStyle w:val="BBodyText"/>
        <w:spacing w:after="100" w:afterAutospacing="1"/>
        <w:rPr>
          <w:lang w:eastAsia="en-GB"/>
        </w:rPr>
      </w:pPr>
      <w:r w:rsidRPr="003B5F89">
        <w:rPr>
          <w:lang w:eastAsia="en-GB"/>
        </w:rPr>
        <w:t xml:space="preserve">Harmful and abusive anti-LGBTI rhetoric in public discourse, from both political and religious figures, remains disconcertingly common. </w:t>
      </w:r>
      <w:r w:rsidRPr="003B5F89">
        <w:rPr>
          <w:rFonts w:ascii="Arial" w:hAnsi="Arial"/>
          <w:lang w:eastAsia="en-GB"/>
        </w:rPr>
        <w:t> </w:t>
      </w:r>
      <w:r w:rsidRPr="003B5F89">
        <w:rPr>
          <w:lang w:eastAsia="en-GB"/>
        </w:rPr>
        <w:t xml:space="preserve">In March 2024, RVRN condemned </w:t>
      </w:r>
      <w:r w:rsidRPr="003B5F89">
        <w:rPr>
          <w:rFonts w:cs="Amnesty Trade Gothic Light"/>
          <w:lang w:eastAsia="en-GB"/>
        </w:rPr>
        <w:t>“</w:t>
      </w:r>
      <w:r w:rsidRPr="003B5F89">
        <w:rPr>
          <w:lang w:eastAsia="en-GB"/>
        </w:rPr>
        <w:t>the violent incident against two LGBTQI+ individuals in Thessaloniki by a large group on Saturday 9 March 2024</w:t>
      </w:r>
      <w:r w:rsidRPr="003B5F89">
        <w:rPr>
          <w:rFonts w:cs="Amnesty Trade Gothic Light"/>
          <w:lang w:eastAsia="en-GB"/>
        </w:rPr>
        <w:t>”</w:t>
      </w:r>
      <w:r w:rsidR="009A4267">
        <w:rPr>
          <w:rStyle w:val="FootnoteReference"/>
          <w:rFonts w:cs="Amnesty Trade Gothic Light"/>
          <w:lang w:eastAsia="en-GB"/>
        </w:rPr>
        <w:footnoteReference w:id="88"/>
      </w:r>
      <w:r w:rsidR="008D3B14" w:rsidRPr="003B5F89">
        <w:rPr>
          <w:lang w:eastAsia="en-GB"/>
        </w:rPr>
        <w:t>.</w:t>
      </w:r>
      <w:r w:rsidRPr="003B5F89">
        <w:rPr>
          <w:lang w:eastAsia="en-GB"/>
        </w:rPr>
        <w:t xml:space="preserve"> RVRN observed that the incident took place “at a time of intense hate speech against LGBTQI+ people in the context of the debate and recent adoption of the law legalizing same-sex marriage”.</w:t>
      </w:r>
      <w:r w:rsidR="00ED09BC">
        <w:rPr>
          <w:rStyle w:val="FootnoteReference"/>
          <w:lang w:eastAsia="en-GB"/>
        </w:rPr>
        <w:footnoteReference w:id="89"/>
      </w:r>
    </w:p>
    <w:p w14:paraId="48815098" w14:textId="19890315" w:rsidR="004A5429" w:rsidRDefault="0093194C" w:rsidP="004A5429">
      <w:pPr>
        <w:pStyle w:val="BSubheadingnonumbers"/>
        <w:spacing w:after="100" w:afterAutospacing="1"/>
      </w:pPr>
      <w:bookmarkStart w:id="22" w:name="_Toc177292887"/>
      <w:r>
        <w:rPr>
          <w:caps w:val="0"/>
        </w:rPr>
        <w:t>RECOMMENDATIONS</w:t>
      </w:r>
      <w:bookmarkEnd w:id="22"/>
    </w:p>
    <w:p w14:paraId="71FB34E2" w14:textId="77777777" w:rsidR="004A5429" w:rsidRPr="004A5429" w:rsidRDefault="004A5429" w:rsidP="00D83EAE">
      <w:pPr>
        <w:pStyle w:val="BBodyText"/>
        <w:numPr>
          <w:ilvl w:val="0"/>
          <w:numId w:val="22"/>
        </w:numPr>
        <w:rPr>
          <w:lang w:eastAsia="en-GB"/>
        </w:rPr>
      </w:pPr>
      <w:r w:rsidRPr="004A5429">
        <w:rPr>
          <w:lang w:eastAsia="en-GB"/>
        </w:rPr>
        <w:t>Amend Article 5, para.2 of law 4491/2017 which states that the name and gender of a transgender person who has children and has obtained legal recognition of their gender identity cannot change their gender in the children’s birth certificate, to ensure transgender people’s and their children’s right to privacy and their wellbeing.  </w:t>
      </w:r>
    </w:p>
    <w:p w14:paraId="4D28C59A" w14:textId="77777777" w:rsidR="004A5429" w:rsidRPr="004A5429" w:rsidRDefault="004A5429" w:rsidP="00D83EAE">
      <w:pPr>
        <w:pStyle w:val="BBodyText"/>
        <w:numPr>
          <w:ilvl w:val="0"/>
          <w:numId w:val="23"/>
        </w:numPr>
        <w:rPr>
          <w:lang w:eastAsia="en-GB"/>
        </w:rPr>
      </w:pPr>
      <w:r w:rsidRPr="004A5429">
        <w:rPr>
          <w:lang w:eastAsia="en-GB"/>
        </w:rPr>
        <w:t>Simplify the process of legal gender recognition by replacing the required local court’s validation with a quick and accessible administrative process. </w:t>
      </w:r>
    </w:p>
    <w:p w14:paraId="30317665" w14:textId="77777777" w:rsidR="004A5429" w:rsidRPr="004A5429" w:rsidRDefault="004A5429" w:rsidP="00D83EAE">
      <w:pPr>
        <w:pStyle w:val="BBodyText"/>
        <w:numPr>
          <w:ilvl w:val="0"/>
          <w:numId w:val="24"/>
        </w:numPr>
        <w:rPr>
          <w:lang w:eastAsia="en-GB"/>
        </w:rPr>
      </w:pPr>
      <w:r w:rsidRPr="004A5429">
        <w:rPr>
          <w:lang w:eastAsia="en-GB"/>
        </w:rPr>
        <w:t xml:space="preserve">Introduce provisions that allow individuals who identify beyond the gender binary of man and woman to obtain official papers that reflect their gender identity by including </w:t>
      </w:r>
      <w:proofErr w:type="gramStart"/>
      <w:r w:rsidRPr="004A5429">
        <w:rPr>
          <w:lang w:eastAsia="en-GB"/>
        </w:rPr>
        <w:t>an ‘other’</w:t>
      </w:r>
      <w:proofErr w:type="gramEnd"/>
      <w:r w:rsidRPr="004A5429">
        <w:rPr>
          <w:lang w:eastAsia="en-GB"/>
        </w:rPr>
        <w:t xml:space="preserve"> option for those whose gender identity is not reflected in the gender binary. </w:t>
      </w:r>
    </w:p>
    <w:p w14:paraId="7497C52C" w14:textId="77777777" w:rsidR="004A5429" w:rsidRPr="004A5429" w:rsidRDefault="004A5429" w:rsidP="00D83EAE">
      <w:pPr>
        <w:pStyle w:val="BBodyText"/>
        <w:numPr>
          <w:ilvl w:val="0"/>
          <w:numId w:val="25"/>
        </w:numPr>
        <w:rPr>
          <w:lang w:eastAsia="en-GB"/>
        </w:rPr>
      </w:pPr>
      <w:r w:rsidRPr="004A5429">
        <w:rPr>
          <w:lang w:eastAsia="en-GB"/>
        </w:rPr>
        <w:t>Replace the term ‘presumption of paternity’ with the non-gendered term ‘presumption of parenthood’ in the same-sex marriage legislation.  </w:t>
      </w:r>
    </w:p>
    <w:p w14:paraId="7D7429EF" w14:textId="77777777" w:rsidR="004A5429" w:rsidRDefault="004A5429" w:rsidP="00D83EAE">
      <w:pPr>
        <w:pStyle w:val="BBodyText"/>
        <w:numPr>
          <w:ilvl w:val="0"/>
          <w:numId w:val="26"/>
        </w:numPr>
        <w:rPr>
          <w:lang w:eastAsia="en-GB"/>
        </w:rPr>
      </w:pPr>
      <w:r w:rsidRPr="004A5429">
        <w:rPr>
          <w:lang w:eastAsia="en-GB"/>
        </w:rPr>
        <w:t>Adopt ICD-11 by the WHO to ensure that transgender identities are not pathologized and the elimination of every form of discrimination they are facing in healthcare, workplace and other areas.  </w:t>
      </w:r>
    </w:p>
    <w:p w14:paraId="77AC74B0" w14:textId="6DF41DB5" w:rsidR="00461288" w:rsidRDefault="00545C75" w:rsidP="003A6C34">
      <w:pPr>
        <w:pStyle w:val="BNumberedSubheading"/>
        <w:spacing w:afterLines="60" w:after="144"/>
      </w:pPr>
      <w:bookmarkStart w:id="23" w:name="_Toc177292888"/>
      <w:r>
        <w:lastRenderedPageBreak/>
        <w:t>R</w:t>
      </w:r>
      <w:r w:rsidR="003A6C34">
        <w:t>acial discrimination</w:t>
      </w:r>
      <w:bookmarkEnd w:id="23"/>
    </w:p>
    <w:p w14:paraId="1BF41AB7" w14:textId="4DFE47B6" w:rsidR="003A6C34" w:rsidRDefault="00395664" w:rsidP="0097015E">
      <w:pPr>
        <w:pStyle w:val="BBodyText"/>
        <w:spacing w:after="100" w:afterAutospacing="1"/>
        <w:rPr>
          <w:lang w:eastAsia="en-GB"/>
        </w:rPr>
      </w:pPr>
      <w:r w:rsidRPr="00395664">
        <w:rPr>
          <w:lang w:eastAsia="en-GB"/>
        </w:rPr>
        <w:t>Insofar as they disproportionately impact racialized people, the inadequate living conditions documented by Amnesty International in the Samos CCAC</w:t>
      </w:r>
      <w:r w:rsidR="002A033C">
        <w:rPr>
          <w:rStyle w:val="FootnoteReference"/>
          <w:lang w:eastAsia="en-GB"/>
        </w:rPr>
        <w:footnoteReference w:id="90"/>
      </w:r>
      <w:r w:rsidRPr="00395664">
        <w:rPr>
          <w:lang w:eastAsia="en-GB"/>
        </w:rPr>
        <w:t xml:space="preserve"> (discussed above) are manifestations of racial discrimination, prohibited under international law. Similarly, while seemingly “race-neutral”, ROF</w:t>
      </w:r>
      <w:r w:rsidRPr="00D222D7">
        <w:rPr>
          <w:lang w:eastAsia="en-GB"/>
        </w:rPr>
        <w:t>s</w:t>
      </w:r>
      <w:r w:rsidRPr="00395664">
        <w:rPr>
          <w:lang w:eastAsia="en-GB"/>
        </w:rPr>
        <w:t xml:space="preserve">, discussed above, almost exclusively affect racialized asylum seekers, raising issues under Greece’s obligations that the implementation of legislation does not have a discriminatory effect on non-citizens. The containment regime produced by the systematic imposition of ROFs furthers </w:t>
      </w:r>
      <w:r w:rsidR="000E5106">
        <w:rPr>
          <w:lang w:eastAsia="en-GB"/>
        </w:rPr>
        <w:t xml:space="preserve">a </w:t>
      </w:r>
      <w:r w:rsidRPr="00395664">
        <w:rPr>
          <w:lang w:eastAsia="en-GB"/>
        </w:rPr>
        <w:t>practice of racialized exclusion of migrants and refugees at Europe’s borders. </w:t>
      </w:r>
    </w:p>
    <w:p w14:paraId="0A8C6410" w14:textId="2DB051EB" w:rsidR="0097015E" w:rsidRDefault="0093194C" w:rsidP="0097015E">
      <w:pPr>
        <w:pStyle w:val="BSubheadingnonumbers"/>
        <w:spacing w:after="100" w:afterAutospacing="1"/>
      </w:pPr>
      <w:bookmarkStart w:id="24" w:name="_Toc177292889"/>
      <w:r>
        <w:rPr>
          <w:caps w:val="0"/>
        </w:rPr>
        <w:t>RECOMMENDATIONS</w:t>
      </w:r>
      <w:bookmarkEnd w:id="24"/>
    </w:p>
    <w:p w14:paraId="5A5AEC4B" w14:textId="7A97C9C8" w:rsidR="0097015E" w:rsidRDefault="0097015E" w:rsidP="00D83EAE">
      <w:pPr>
        <w:pStyle w:val="BBodyText"/>
        <w:numPr>
          <w:ilvl w:val="0"/>
          <w:numId w:val="27"/>
        </w:numPr>
        <w:spacing w:after="100" w:afterAutospacing="1"/>
        <w:rPr>
          <w:lang w:eastAsia="en-GB"/>
        </w:rPr>
      </w:pPr>
      <w:r w:rsidRPr="0097015E">
        <w:rPr>
          <w:lang w:eastAsia="en-GB"/>
        </w:rPr>
        <w:t xml:space="preserve">Take </w:t>
      </w:r>
      <w:r w:rsidR="00E16593" w:rsidRPr="00E16593">
        <w:rPr>
          <w:lang w:eastAsia="en-GB"/>
        </w:rPr>
        <w:t>measures so that, in their design or implementation, migration policies, including the use of detention or other measures affecting people’s liberty or movement, do not result in racial discrimination.  </w:t>
      </w:r>
    </w:p>
    <w:p w14:paraId="145921BA" w14:textId="4E368E1C" w:rsidR="00B662F9" w:rsidRDefault="00545C75" w:rsidP="00B662F9">
      <w:pPr>
        <w:pStyle w:val="BNumberedHeading"/>
      </w:pPr>
      <w:bookmarkStart w:id="25" w:name="_Toc177292890"/>
      <w:r>
        <w:t>F</w:t>
      </w:r>
      <w:r w:rsidR="007E1ABC">
        <w:t>reedom of association (</w:t>
      </w:r>
      <w:r w:rsidR="004C0FC6">
        <w:t>article 22)</w:t>
      </w:r>
      <w:bookmarkEnd w:id="25"/>
    </w:p>
    <w:p w14:paraId="23BE2091" w14:textId="1A8F74CE" w:rsidR="00E16593" w:rsidRDefault="00545C75" w:rsidP="003E0792">
      <w:pPr>
        <w:pStyle w:val="BNumberedSubheading"/>
        <w:spacing w:after="100" w:afterAutospacing="1"/>
      </w:pPr>
      <w:bookmarkStart w:id="26" w:name="_Toc177292891"/>
      <w:r>
        <w:t>D</w:t>
      </w:r>
      <w:r w:rsidR="003E0792">
        <w:t>ifferential and burdensome requirements for ngos working on migration, asylum and social integration</w:t>
      </w:r>
      <w:bookmarkEnd w:id="26"/>
    </w:p>
    <w:p w14:paraId="35B30D5C" w14:textId="070AB193" w:rsidR="00CC51E1" w:rsidRPr="00CC51E1" w:rsidRDefault="00CC51E1" w:rsidP="00CC51E1">
      <w:pPr>
        <w:pStyle w:val="BBodyText"/>
        <w:rPr>
          <w:lang w:eastAsia="en-GB"/>
        </w:rPr>
      </w:pPr>
      <w:r w:rsidRPr="00CC51E1">
        <w:rPr>
          <w:lang w:eastAsia="en-GB"/>
        </w:rPr>
        <w:t>In 2020, the authorities introduced new rules for the registration of NGOs and other entities operating in the areas of migration, asylum and social integration and for their operation in the country</w:t>
      </w:r>
      <w:r>
        <w:rPr>
          <w:rStyle w:val="FootnoteReference"/>
          <w:lang w:eastAsia="en-GB"/>
        </w:rPr>
        <w:footnoteReference w:id="91"/>
      </w:r>
      <w:r w:rsidRPr="00CC51E1">
        <w:rPr>
          <w:lang w:eastAsia="en-GB"/>
        </w:rPr>
        <w:t>.  </w:t>
      </w:r>
    </w:p>
    <w:p w14:paraId="31145CC9" w14:textId="0FBD7BCE" w:rsidR="00CC51E1" w:rsidRDefault="00CC51E1" w:rsidP="00AE0D59">
      <w:pPr>
        <w:pStyle w:val="BBodyText"/>
        <w:spacing w:after="100" w:afterAutospacing="1"/>
        <w:rPr>
          <w:lang w:eastAsia="en-GB"/>
        </w:rPr>
      </w:pPr>
      <w:r w:rsidRPr="00CC51E1">
        <w:rPr>
          <w:lang w:eastAsia="en-GB"/>
        </w:rPr>
        <w:t>The rules imposed – in an apparently discriminatory manner – differentiated, burdensome and intrusive requirements for the registration of these entities and violate the right to freedom of association under Article 22 of the ICCPR. This unjustified differential treatment could also have an indirect discriminatory effect on refugees, asylum-seekers and migrants</w:t>
      </w:r>
      <w:r w:rsidR="002B24C3">
        <w:rPr>
          <w:rStyle w:val="FootnoteReference"/>
          <w:lang w:eastAsia="en-GB"/>
        </w:rPr>
        <w:footnoteReference w:id="92"/>
      </w:r>
      <w:r w:rsidRPr="00CC51E1">
        <w:rPr>
          <w:lang w:eastAsia="en-GB"/>
        </w:rPr>
        <w:t xml:space="preserve">. In 2020 and 2021, the </w:t>
      </w:r>
      <w:proofErr w:type="spellStart"/>
      <w:r w:rsidRPr="00CC51E1">
        <w:rPr>
          <w:lang w:eastAsia="en-GB"/>
        </w:rPr>
        <w:t>CoE</w:t>
      </w:r>
      <w:proofErr w:type="spellEnd"/>
      <w:r w:rsidRPr="00CC51E1">
        <w:rPr>
          <w:lang w:eastAsia="en-GB"/>
        </w:rPr>
        <w:t xml:space="preserve"> Expert Council on NGO law and three UN Special Rapporteurs expressed concerns on these rules</w:t>
      </w:r>
      <w:r w:rsidR="002B24C3">
        <w:rPr>
          <w:rStyle w:val="FootnoteReference"/>
          <w:lang w:eastAsia="en-GB"/>
        </w:rPr>
        <w:footnoteReference w:id="93"/>
      </w:r>
      <w:r w:rsidRPr="00CC51E1">
        <w:rPr>
          <w:lang w:eastAsia="en-GB"/>
        </w:rPr>
        <w:t>.   </w:t>
      </w:r>
    </w:p>
    <w:p w14:paraId="10B9DEEB" w14:textId="44FDDD46" w:rsidR="00AE0D59" w:rsidRDefault="00545C75" w:rsidP="00AE0D59">
      <w:pPr>
        <w:pStyle w:val="BNumberedSubheading"/>
        <w:spacing w:afterLines="60" w:after="144"/>
      </w:pPr>
      <w:bookmarkStart w:id="27" w:name="_Toc177292892"/>
      <w:r>
        <w:t>C</w:t>
      </w:r>
      <w:r w:rsidR="00AE0D59">
        <w:t>riminalisation of ngos</w:t>
      </w:r>
      <w:r w:rsidR="00484064">
        <w:rPr>
          <w:rStyle w:val="FootnoteReference"/>
        </w:rPr>
        <w:footnoteReference w:id="94"/>
      </w:r>
      <w:bookmarkEnd w:id="27"/>
    </w:p>
    <w:p w14:paraId="20DF39BB" w14:textId="77777777" w:rsidR="00AE0D59" w:rsidRPr="00AE0D59" w:rsidRDefault="00AE0D59" w:rsidP="00AE0D59">
      <w:pPr>
        <w:pStyle w:val="BBodyText"/>
        <w:spacing w:afterLines="60" w:after="144"/>
        <w:rPr>
          <w:lang w:eastAsia="en-GB"/>
        </w:rPr>
      </w:pPr>
      <w:r w:rsidRPr="00AE0D59">
        <w:rPr>
          <w:lang w:eastAsia="en-GB"/>
        </w:rPr>
        <w:t>Greek authorities continue to criminalize human rights defenders for their work with refugees and migrants. Although misdemeanour charges against rescue volunteers Sarah Mardini and Séan Binder were dropped for procedural reasons</w:t>
      </w:r>
      <w:r w:rsidRPr="00AE0D59">
        <w:rPr>
          <w:rFonts w:ascii="Arial" w:hAnsi="Arial"/>
          <w:lang w:eastAsia="en-GB"/>
        </w:rPr>
        <w:t> </w:t>
      </w:r>
      <w:r w:rsidRPr="00AE0D59">
        <w:rPr>
          <w:lang w:eastAsia="en-GB"/>
        </w:rPr>
        <w:t>in August 2023 by the Supreme Court, the following month they and 22 other defendants were indicted for four felonies including forming and membership of a criminal organization and facilitating irregular entry. </w:t>
      </w:r>
    </w:p>
    <w:p w14:paraId="2EB66C17" w14:textId="300F0C95" w:rsidR="00AE0D59" w:rsidRDefault="00AE0D59" w:rsidP="00D97245">
      <w:pPr>
        <w:pStyle w:val="BBodyText"/>
        <w:spacing w:after="100" w:afterAutospacing="1"/>
        <w:rPr>
          <w:lang w:eastAsia="en-GB"/>
        </w:rPr>
      </w:pPr>
      <w:r w:rsidRPr="00AE0D59">
        <w:rPr>
          <w:lang w:eastAsia="en-GB"/>
        </w:rPr>
        <w:lastRenderedPageBreak/>
        <w:t>Panayiotis Dimitras, spokesperson of the NGO Greek Helsinki Monitor (GHM), and Tommy Olsen, head of the NGO Aegean Boat Report, also face criminal charges in relation to their work assisting refugees and migrants at Greece’s borders and reporting cases of border violence and unlawful returns. In January 2023, authorities imposed restrictive measures on Dimitras, although a ban on him working with the GHM was reversed in May 2023. NGOs were also concerned about a smear campaign and judicial harassment of Dimitras. In May 2024, the Greek authorities issued a national arrest warrant against Olsen. </w:t>
      </w:r>
    </w:p>
    <w:p w14:paraId="1EE40D3D" w14:textId="7B992363" w:rsidR="00D97245" w:rsidRDefault="0093194C" w:rsidP="00D97245">
      <w:pPr>
        <w:pStyle w:val="BSubheadingnonumbers"/>
        <w:spacing w:after="100" w:afterAutospacing="1"/>
      </w:pPr>
      <w:bookmarkStart w:id="28" w:name="_Toc177292893"/>
      <w:r>
        <w:rPr>
          <w:caps w:val="0"/>
        </w:rPr>
        <w:t>RECOMMENDATIONS</w:t>
      </w:r>
      <w:bookmarkEnd w:id="28"/>
    </w:p>
    <w:p w14:paraId="4318B9DE" w14:textId="77777777" w:rsidR="00D97245" w:rsidRPr="00D97245" w:rsidRDefault="00D97245" w:rsidP="00D83EAE">
      <w:pPr>
        <w:pStyle w:val="BBodyText"/>
        <w:numPr>
          <w:ilvl w:val="0"/>
          <w:numId w:val="28"/>
        </w:numPr>
        <w:rPr>
          <w:lang w:eastAsia="en-GB"/>
        </w:rPr>
      </w:pPr>
      <w:r w:rsidRPr="00D97245">
        <w:rPr>
          <w:lang w:eastAsia="en-GB"/>
        </w:rPr>
        <w:t>Repeal the rules allowing for the differential treatment of NGOs and other entities operating in the areas of migration, asylum and social integration or substantially amend them to bring them in line with international human rights law. </w:t>
      </w:r>
    </w:p>
    <w:p w14:paraId="269F5B95" w14:textId="77777777" w:rsidR="00D97245" w:rsidRDefault="00D97245" w:rsidP="00D83EAE">
      <w:pPr>
        <w:pStyle w:val="BBodyText"/>
        <w:numPr>
          <w:ilvl w:val="0"/>
          <w:numId w:val="29"/>
        </w:numPr>
        <w:rPr>
          <w:lang w:eastAsia="en-GB"/>
        </w:rPr>
      </w:pPr>
      <w:r w:rsidRPr="00D97245">
        <w:rPr>
          <w:lang w:eastAsia="en-GB"/>
        </w:rPr>
        <w:t>Halt the criminalization of individuals and groups working with refugees and migrants. Create an enabling environment for civil society, journalists, and activists, ensuring that they can carry out their work free and unhindered and report violations encountered. </w:t>
      </w:r>
    </w:p>
    <w:p w14:paraId="5B99C1BF" w14:textId="7B6167BA" w:rsidR="0048693B" w:rsidRPr="0048693B" w:rsidRDefault="00545C75" w:rsidP="0048693B">
      <w:pPr>
        <w:pStyle w:val="BNumberedHeading"/>
        <w:spacing w:afterLines="60" w:after="144"/>
        <w:rPr>
          <w:bCs/>
        </w:rPr>
      </w:pPr>
      <w:bookmarkStart w:id="29" w:name="_Toc177292894"/>
      <w:r>
        <w:rPr>
          <w:bCs/>
        </w:rPr>
        <w:t>F</w:t>
      </w:r>
      <w:r w:rsidR="001D56EB" w:rsidRPr="001D56EB">
        <w:rPr>
          <w:bCs/>
        </w:rPr>
        <w:t>REEDOM OF EXPRESSION AND ASSEMBLY</w:t>
      </w:r>
      <w:r w:rsidR="001D56EB">
        <w:rPr>
          <w:bCs/>
        </w:rPr>
        <w:t xml:space="preserve"> (articles</w:t>
      </w:r>
      <w:r w:rsidR="0048693B">
        <w:rPr>
          <w:bCs/>
        </w:rPr>
        <w:t xml:space="preserve"> 7, 9, 19, 21 and 22)</w:t>
      </w:r>
      <w:bookmarkEnd w:id="29"/>
    </w:p>
    <w:p w14:paraId="1C4CC1BD" w14:textId="10AC3766" w:rsidR="0048693B" w:rsidRPr="0048693B" w:rsidRDefault="0048693B" w:rsidP="0048693B">
      <w:pPr>
        <w:pStyle w:val="BBodyText"/>
        <w:spacing w:afterLines="60" w:after="144"/>
      </w:pPr>
      <w:r w:rsidRPr="0048693B">
        <w:t>During the period under review, long-standing and on-going concerns over police misconduct, including ill-treatment and torture, under Article 7 ICCPR were compounded by reports of state overreach and abuse of power in the name of protecting public health during the COVID-19 pandemic. The introduction of flawed legislation and problematic practices have had a chilling effect on the rights to freedom of expression and of peaceful assembly, under Article 19 and 21 ICCPR</w:t>
      </w:r>
      <w:r w:rsidR="00992A90">
        <w:rPr>
          <w:rStyle w:val="FootnoteReference"/>
        </w:rPr>
        <w:footnoteReference w:id="95"/>
      </w:r>
      <w:r w:rsidRPr="0048693B">
        <w:t>.   </w:t>
      </w:r>
    </w:p>
    <w:p w14:paraId="74CB42C9" w14:textId="235EAA46" w:rsidR="0048693B" w:rsidRPr="0048693B" w:rsidRDefault="0048693B" w:rsidP="0048693B">
      <w:pPr>
        <w:pStyle w:val="BBodyText"/>
      </w:pPr>
      <w:r w:rsidRPr="0048693B">
        <w:t>Several provisions of Law 4703/2020</w:t>
      </w:r>
      <w:r w:rsidR="00DE1196">
        <w:rPr>
          <w:rStyle w:val="FootnoteReference"/>
        </w:rPr>
        <w:footnoteReference w:id="96"/>
      </w:r>
      <w:r w:rsidRPr="0048693B">
        <w:t xml:space="preserve"> aiming at the regulation of public outdoors assemblies as well as its implementing legislation constitute an unjustified interference with the right to freedom of peaceful assembly as it is guaranteed in international and regional treaties that Greece is party to. </w:t>
      </w:r>
      <w:r w:rsidR="00DE1196" w:rsidRPr="0048693B">
        <w:t>These include</w:t>
      </w:r>
      <w:r w:rsidRPr="0048693B">
        <w:t xml:space="preserve"> the ICCPR and the European Convention for the Protection of Human Rights and Fundamental Freedoms (European Convention on Human Rights)</w:t>
      </w:r>
      <w:r w:rsidR="00DE1196">
        <w:rPr>
          <w:rStyle w:val="FootnoteReference"/>
        </w:rPr>
        <w:footnoteReference w:id="97"/>
      </w:r>
      <w:r w:rsidRPr="0048693B">
        <w:t xml:space="preserve">. Amnesty International remains concerned among others that the grounds for dispersal </w:t>
      </w:r>
      <w:r w:rsidR="00DE1196" w:rsidRPr="0048693B">
        <w:t>can lead</w:t>
      </w:r>
      <w:r w:rsidRPr="0048693B">
        <w:rPr>
          <w:lang w:val="en-US"/>
        </w:rPr>
        <w:t xml:space="preserve"> to unnecessary and disproportionate interferences with the right to freedom of peaceful</w:t>
      </w:r>
      <w:r w:rsidRPr="0048693B">
        <w:t xml:space="preserve"> assembly; of the wide margin of appreciation given to the authorities to pronounce and enforce a prohibition of assemblies; and provisions on the regulation of spontaneous assemblies; notification requirements; and the liability of organizers</w:t>
      </w:r>
      <w:r w:rsidR="005E138F">
        <w:rPr>
          <w:rStyle w:val="FootnoteReference"/>
        </w:rPr>
        <w:footnoteReference w:id="98"/>
      </w:r>
      <w:r w:rsidRPr="0048693B">
        <w:t>.   </w:t>
      </w:r>
    </w:p>
    <w:p w14:paraId="5F4BECAA" w14:textId="3BB1774F" w:rsidR="0048693B" w:rsidRPr="0048693B" w:rsidRDefault="0048693B" w:rsidP="0048693B">
      <w:pPr>
        <w:pStyle w:val="BBodyText"/>
      </w:pPr>
      <w:r w:rsidRPr="0048693B">
        <w:t>For example, under the current legislation a peaceful assembly can be dissolved if it has been banned or where organizers did not fulfil notification requirements</w:t>
      </w:r>
      <w:r w:rsidR="005E138F">
        <w:rPr>
          <w:rStyle w:val="FootnoteReference"/>
        </w:rPr>
        <w:footnoteReference w:id="99"/>
      </w:r>
      <w:r w:rsidRPr="0048693B">
        <w:t>. The protection of spontaneous assemblies is restricted by provisions that the spontaneous assembly must not present a “looming danger of public safety disruption or serious disturbance of socio-economic life”</w:t>
      </w:r>
      <w:r w:rsidR="00265DE9">
        <w:rPr>
          <w:rStyle w:val="FootnoteReference"/>
        </w:rPr>
        <w:footnoteReference w:id="100"/>
      </w:r>
      <w:r w:rsidRPr="0048693B">
        <w:t>. The law also provides that the assembly organizer is responsible for compensating those who have suffered harm to their life, physical integrity or property from participants</w:t>
      </w:r>
      <w:r w:rsidR="00265DE9">
        <w:rPr>
          <w:rStyle w:val="FootnoteReference"/>
        </w:rPr>
        <w:footnoteReference w:id="101"/>
      </w:r>
      <w:r w:rsidRPr="0048693B">
        <w:t>. </w:t>
      </w:r>
    </w:p>
    <w:p w14:paraId="1FFD26EF" w14:textId="0B46E184" w:rsidR="0048693B" w:rsidRPr="0048693B" w:rsidRDefault="0048693B" w:rsidP="0048693B">
      <w:pPr>
        <w:pStyle w:val="BBodyText"/>
      </w:pPr>
      <w:r w:rsidRPr="0048693B">
        <w:lastRenderedPageBreak/>
        <w:t>Amnesty International has also expressed concerns on the possible chilling effect that the use of cameras during the policing of demonstrations can have on the right to freedom of assembly</w:t>
      </w:r>
      <w:r w:rsidR="00BB6DF2">
        <w:rPr>
          <w:rStyle w:val="FootnoteReference"/>
        </w:rPr>
        <w:footnoteReference w:id="102"/>
      </w:r>
      <w:r w:rsidRPr="0048693B">
        <w:t>, the incompatibility of the national rules on data retention with international human rights law and EU law, particularly in relation to the length of storage of data</w:t>
      </w:r>
      <w:r w:rsidR="00BB6DF2">
        <w:rPr>
          <w:rStyle w:val="FootnoteReference"/>
        </w:rPr>
        <w:footnoteReference w:id="103"/>
      </w:r>
      <w:r w:rsidRPr="0048693B">
        <w:t>, as well as around refusal of the Greek police to provide civil society with access to information related to the use of surveillance systems</w:t>
      </w:r>
      <w:r w:rsidR="000249C3">
        <w:rPr>
          <w:rStyle w:val="FootnoteReference"/>
        </w:rPr>
        <w:footnoteReference w:id="104"/>
      </w:r>
      <w:r w:rsidRPr="0048693B">
        <w:t>.  </w:t>
      </w:r>
    </w:p>
    <w:p w14:paraId="0C26E564" w14:textId="6F2187FE" w:rsidR="0048693B" w:rsidRPr="0048693B" w:rsidRDefault="0048693B" w:rsidP="0048693B">
      <w:pPr>
        <w:pStyle w:val="BBodyText"/>
      </w:pPr>
      <w:r w:rsidRPr="0048693B">
        <w:t>While national legislation requires that police officers should display their identification numbers on their helmets</w:t>
      </w:r>
      <w:r w:rsidR="000249C3">
        <w:rPr>
          <w:rStyle w:val="FootnoteReference"/>
        </w:rPr>
        <w:footnoteReference w:id="105"/>
      </w:r>
      <w:r w:rsidRPr="0048693B">
        <w:t>, Amnesty International has collected testimonies from protesters and journalists, and has also viewed relevant images, stating that riot police either did not display such identification or that it was not visible due to being positioned on the back of the helmet. </w:t>
      </w:r>
    </w:p>
    <w:p w14:paraId="2B819F83" w14:textId="31E05748" w:rsidR="0048693B" w:rsidRPr="0048693B" w:rsidRDefault="0048693B" w:rsidP="0048693B">
      <w:pPr>
        <w:pStyle w:val="BBodyText"/>
      </w:pPr>
      <w:r w:rsidRPr="0048693B">
        <w:t>Further, during the country’s second lockdown in 2020, the Greek authorities, on three occasions, introduced blanket bans on public outdoor assemblies that constituted disproportionate restrictions to the rights to freedom of expression and peaceful assembly and violated Greece’s obligations under international human rights law</w:t>
      </w:r>
      <w:r w:rsidR="00592D28">
        <w:rPr>
          <w:rStyle w:val="FootnoteReference"/>
        </w:rPr>
        <w:footnoteReference w:id="106"/>
      </w:r>
      <w:r w:rsidRPr="0048693B">
        <w:t>. </w:t>
      </w:r>
    </w:p>
    <w:p w14:paraId="412A381A" w14:textId="0E9D7C2F" w:rsidR="0048693B" w:rsidRPr="0048693B" w:rsidRDefault="0048693B" w:rsidP="0048693B">
      <w:pPr>
        <w:pStyle w:val="BBodyText"/>
      </w:pPr>
      <w:r w:rsidRPr="0048693B">
        <w:t>Moreover, in November and December 2020, the Greek authorities penalized peaceful protesters or individuals calling for participation in peaceful protests. Human rights lawyers, women’s rights defenders, trade unionists and members of political parties were arbitrarily arrested and criminalized for allegedly breaching public health rules and were handed unjustified administrative fines</w:t>
      </w:r>
      <w:r w:rsidR="00592D28">
        <w:rPr>
          <w:rStyle w:val="FootnoteReference"/>
        </w:rPr>
        <w:footnoteReference w:id="107"/>
      </w:r>
      <w:r w:rsidRPr="0048693B">
        <w:t>. The organization has been informed that several of these cases have been discontinued or individuals were acquitted.  </w:t>
      </w:r>
    </w:p>
    <w:p w14:paraId="0BB72214" w14:textId="25CA4776" w:rsidR="0048693B" w:rsidRPr="0048693B" w:rsidRDefault="0048693B" w:rsidP="0048693B">
      <w:pPr>
        <w:pStyle w:val="BBodyText"/>
      </w:pPr>
      <w:r w:rsidRPr="0048693B">
        <w:rPr>
          <w:lang w:val="en-US"/>
        </w:rPr>
        <w:t>Between November 2020 and March 2021, Amnesty International also documented how the Greek authorities unlawfully interfered with and failed to facilitate the right to freedom of peaceful assembly not only by introducing blanket bans. Additionally, the Greek police also dispersed peaceful assemblies by resorting to unnecessary and excessive use of force, including by unnecessary and excessive use of water cannon and chemical irritants against peaceful protesters and hitting protestors with batons on their heads and using stun grenades in a way that could cause considerable injury including hearing problems</w:t>
      </w:r>
      <w:r w:rsidR="00E61DBF">
        <w:rPr>
          <w:rStyle w:val="FootnoteReference"/>
          <w:lang w:val="en-US"/>
        </w:rPr>
        <w:footnoteReference w:id="108"/>
      </w:r>
      <w:r w:rsidRPr="0048693B">
        <w:rPr>
          <w:lang w:val="en-US"/>
        </w:rPr>
        <w:t>.</w:t>
      </w:r>
      <w:r w:rsidRPr="0048693B">
        <w:rPr>
          <w:rFonts w:ascii="Arial" w:hAnsi="Arial"/>
          <w:lang w:val="en-US"/>
        </w:rPr>
        <w:t>  </w:t>
      </w:r>
      <w:r w:rsidRPr="0048693B">
        <w:t> </w:t>
      </w:r>
    </w:p>
    <w:p w14:paraId="1309D53A" w14:textId="73E073ED" w:rsidR="0048693B" w:rsidRPr="0048693B" w:rsidRDefault="0048693B" w:rsidP="0048693B">
      <w:pPr>
        <w:pStyle w:val="BBodyText"/>
      </w:pPr>
      <w:r w:rsidRPr="0048693B">
        <w:rPr>
          <w:lang w:val="en-US"/>
        </w:rPr>
        <w:t>B</w:t>
      </w:r>
      <w:r>
        <w:rPr>
          <w:lang w:val="en-US"/>
        </w:rPr>
        <w:t>e</w:t>
      </w:r>
      <w:r w:rsidRPr="0048693B">
        <w:rPr>
          <w:lang w:val="en-US"/>
        </w:rPr>
        <w:t>tween the end of 2021 and mid-2024, there have been several reported examples of peaceful protesters and journalists suffering serious injuries caused by water cannon and stun grenades</w:t>
      </w:r>
      <w:r w:rsidR="00E61DBF">
        <w:rPr>
          <w:rStyle w:val="FootnoteReference"/>
          <w:lang w:val="en-US"/>
        </w:rPr>
        <w:footnoteReference w:id="109"/>
      </w:r>
      <w:r w:rsidRPr="0048693B">
        <w:rPr>
          <w:lang w:val="en-US"/>
        </w:rPr>
        <w:t>. For example, in November 2021, Orestis Panagiotou, a photojournalist, sustained a fractured foot after being directly and at close range hit by a water cannon jet and fell while covering a firefighters’ demonstration</w:t>
      </w:r>
      <w:r w:rsidR="0004164A">
        <w:rPr>
          <w:rStyle w:val="FootnoteReference"/>
          <w:lang w:val="en-US"/>
        </w:rPr>
        <w:footnoteReference w:id="110"/>
      </w:r>
      <w:r w:rsidRPr="0048693B">
        <w:rPr>
          <w:lang w:val="en-US"/>
        </w:rPr>
        <w:t xml:space="preserve">. </w:t>
      </w:r>
    </w:p>
    <w:p w14:paraId="4119C21D" w14:textId="0ABD4AE9" w:rsidR="0048693B" w:rsidRPr="0048693B" w:rsidRDefault="0048693B" w:rsidP="0048693B">
      <w:pPr>
        <w:pStyle w:val="BBodyText"/>
      </w:pPr>
      <w:r w:rsidRPr="0048693B">
        <w:rPr>
          <w:lang w:val="en-US"/>
        </w:rPr>
        <w:t>Amnesty International has also received a series of reports that police frequently stop protesters before, during and after protests and other mobilizations and transfer them to police stations for identity checks</w:t>
      </w:r>
      <w:r w:rsidR="0004164A">
        <w:rPr>
          <w:rStyle w:val="FootnoteReference"/>
          <w:lang w:val="en-US"/>
        </w:rPr>
        <w:footnoteReference w:id="111"/>
      </w:r>
      <w:r w:rsidRPr="0048693B">
        <w:rPr>
          <w:lang w:val="en-US"/>
        </w:rPr>
        <w:t xml:space="preserve">. In his 2020 Special Report, the Greek Ombudsperson in his capacity as a ‘National Mechanism for the Investigation of Arbitrary Incidents’ noted that “the practice of bringing individuals </w:t>
      </w:r>
      <w:r w:rsidRPr="0048693B">
        <w:rPr>
          <w:lang w:val="en-US"/>
        </w:rPr>
        <w:lastRenderedPageBreak/>
        <w:t>to the police station without any apparent legal reason and in violation of the terms of Article 74 paragraph 15 case ix PD 141/1991, is observed by the Mechanism in many cases”</w:t>
      </w:r>
      <w:r w:rsidR="007033E6">
        <w:rPr>
          <w:rStyle w:val="FootnoteReference"/>
          <w:lang w:val="en-US"/>
        </w:rPr>
        <w:footnoteReference w:id="112"/>
      </w:r>
      <w:r w:rsidRPr="0048693B">
        <w:rPr>
          <w:lang w:val="en-US"/>
        </w:rPr>
        <w:t>. </w:t>
      </w:r>
      <w:r w:rsidRPr="0048693B">
        <w:t> </w:t>
      </w:r>
    </w:p>
    <w:p w14:paraId="1438B4C5" w14:textId="7B1E85E7" w:rsidR="0048693B" w:rsidRDefault="0048693B" w:rsidP="00914826">
      <w:pPr>
        <w:pStyle w:val="BBodyText"/>
        <w:spacing w:after="100" w:afterAutospacing="1"/>
      </w:pPr>
      <w:r w:rsidRPr="0048693B">
        <w:rPr>
          <w:lang w:val="en-US"/>
        </w:rPr>
        <w:t>Concerns also persist about the long-standing culture of impunity that Amnesty International and other organizations have been documenting for many years</w:t>
      </w:r>
      <w:r w:rsidR="001A6DB1">
        <w:rPr>
          <w:rStyle w:val="FootnoteReference"/>
          <w:lang w:val="en-US"/>
        </w:rPr>
        <w:footnoteReference w:id="113"/>
      </w:r>
      <w:r w:rsidRPr="0048693B">
        <w:rPr>
          <w:lang w:val="en-US"/>
        </w:rPr>
        <w:t>. In recent years, the organization has documented cases where victims were able to get reparations in administrative trials but did not obtain justice in criminal and disciplinary proceedings</w:t>
      </w:r>
      <w:r w:rsidR="001A6DB1">
        <w:rPr>
          <w:rStyle w:val="FootnoteReference"/>
          <w:lang w:val="en-US"/>
        </w:rPr>
        <w:footnoteReference w:id="114"/>
      </w:r>
      <w:r w:rsidRPr="0048693B">
        <w:rPr>
          <w:lang w:val="en-US"/>
        </w:rPr>
        <w:t>.</w:t>
      </w:r>
      <w:r w:rsidRPr="0048693B">
        <w:t> </w:t>
      </w:r>
    </w:p>
    <w:p w14:paraId="3F337D54" w14:textId="4797DBB8" w:rsidR="00914826" w:rsidRDefault="0093194C" w:rsidP="00914826">
      <w:pPr>
        <w:pStyle w:val="BSubheadingnonumbers"/>
        <w:spacing w:after="100" w:afterAutospacing="1"/>
      </w:pPr>
      <w:bookmarkStart w:id="30" w:name="_Toc177292895"/>
      <w:r>
        <w:rPr>
          <w:caps w:val="0"/>
        </w:rPr>
        <w:t>RECOMMENDATIONS</w:t>
      </w:r>
      <w:bookmarkEnd w:id="30"/>
    </w:p>
    <w:p w14:paraId="3C118BAF" w14:textId="1D527948" w:rsidR="00914826" w:rsidRPr="00914826" w:rsidRDefault="00914826" w:rsidP="00D83EAE">
      <w:pPr>
        <w:pStyle w:val="BBodyText"/>
        <w:numPr>
          <w:ilvl w:val="0"/>
          <w:numId w:val="30"/>
        </w:numPr>
        <w:rPr>
          <w:lang w:eastAsia="en-GB"/>
        </w:rPr>
      </w:pPr>
      <w:r w:rsidRPr="00914826">
        <w:rPr>
          <w:lang w:eastAsia="en-GB"/>
        </w:rPr>
        <w:t>Amend Law 4703/2020 on public outdoor assemblies and its implementing legislation and bring them into line with Greece’s obligations under international human rights law. </w:t>
      </w:r>
    </w:p>
    <w:p w14:paraId="1449E36E" w14:textId="60F07445" w:rsidR="00914826" w:rsidRPr="006612EE" w:rsidRDefault="00914826" w:rsidP="00FF7135">
      <w:pPr>
        <w:pStyle w:val="BBodyText"/>
        <w:ind w:left="720"/>
        <w:rPr>
          <w:lang w:eastAsia="en-GB"/>
        </w:rPr>
      </w:pPr>
      <w:r w:rsidRPr="00914826">
        <w:rPr>
          <w:lang w:eastAsia="en-GB"/>
        </w:rPr>
        <w:t xml:space="preserve">Ensure in law and in practice that all uniformed law enforcement officials </w:t>
      </w:r>
      <w:proofErr w:type="gramStart"/>
      <w:r w:rsidRPr="00914826">
        <w:rPr>
          <w:lang w:eastAsia="en-GB"/>
        </w:rPr>
        <w:t>display an easily recognizable and clearly visible form of personalized identification at all times</w:t>
      </w:r>
      <w:proofErr w:type="gramEnd"/>
      <w:r w:rsidRPr="00914826">
        <w:rPr>
          <w:lang w:eastAsia="en-GB"/>
        </w:rPr>
        <w:t xml:space="preserve"> and take all other necessary steps to ensure the full accountability of members of law enforcement agencies and their commanding officers for their actions. </w:t>
      </w:r>
    </w:p>
    <w:p w14:paraId="20DEAD47" w14:textId="12790351" w:rsidR="00914826" w:rsidRPr="00914826" w:rsidRDefault="00914826" w:rsidP="00D83EAE">
      <w:pPr>
        <w:pStyle w:val="BBodyText"/>
        <w:numPr>
          <w:ilvl w:val="0"/>
          <w:numId w:val="32"/>
        </w:numPr>
        <w:rPr>
          <w:lang w:eastAsia="en-GB"/>
        </w:rPr>
      </w:pPr>
      <w:r w:rsidRPr="00914826">
        <w:rPr>
          <w:lang w:eastAsia="en-GB"/>
        </w:rPr>
        <w:t>Prohibit the direct firing of tear gas or stun grenades against a person. Prohibit the use of stun grenades for the policing of public assemblies. </w:t>
      </w:r>
    </w:p>
    <w:p w14:paraId="19AA32F8" w14:textId="77777777" w:rsidR="00914826" w:rsidRDefault="00914826" w:rsidP="00D83EAE">
      <w:pPr>
        <w:pStyle w:val="BBodyText"/>
        <w:numPr>
          <w:ilvl w:val="0"/>
          <w:numId w:val="33"/>
        </w:numPr>
        <w:rPr>
          <w:lang w:eastAsia="en-GB"/>
        </w:rPr>
      </w:pPr>
      <w:r w:rsidRPr="00914826">
        <w:rPr>
          <w:lang w:eastAsia="en-GB"/>
        </w:rPr>
        <w:t>Clarify that identity checks may not be carried out during peaceful assemblies, unless there is a reasonable suspicion of a sufficiently serious criminal offence based on individualized and objectively verifiable criteria. </w:t>
      </w:r>
    </w:p>
    <w:p w14:paraId="368FDB79" w14:textId="7EC0FC36" w:rsidR="00914826" w:rsidRDefault="00545C75" w:rsidP="00C207F5">
      <w:pPr>
        <w:pStyle w:val="BNumberedHeading"/>
        <w:spacing w:afterLines="60" w:after="144"/>
      </w:pPr>
      <w:bookmarkStart w:id="31" w:name="_Toc177292896"/>
      <w:r>
        <w:t>U</w:t>
      </w:r>
      <w:r w:rsidR="00C207F5">
        <w:t>naccompanied children</w:t>
      </w:r>
      <w:bookmarkEnd w:id="31"/>
    </w:p>
    <w:p w14:paraId="101544CD" w14:textId="69980412" w:rsidR="00C207F5" w:rsidRDefault="00C207F5" w:rsidP="007B0021">
      <w:pPr>
        <w:pStyle w:val="BBodyText"/>
        <w:spacing w:after="100" w:afterAutospacing="1"/>
        <w:rPr>
          <w:lang w:eastAsia="en-GB"/>
        </w:rPr>
      </w:pPr>
      <w:r w:rsidRPr="00C207F5">
        <w:rPr>
          <w:lang w:eastAsia="en-GB"/>
        </w:rPr>
        <w:t>Unaccompanied minors (UAMs) in the Samos CCAC are accommodated separately from the general population, in a “safe area”. As of Amnesty International’s visit of December 2023, UAMs were subjected to heavy restrictions of movements including a ban on leaving the CCAC or the safe area to visit the general population area – except to attend school. As of February 2024, the CSO Zeuxis accompanies children on leisure and educational activities outside of the CCAC. Restrictions on UAMs’ movement might constitute an undue interference with their right to liberty and security and their freedom of movement and are at odds with international standards on the detention of children for migration purposes, whereby detention of children is strictly prohibited. </w:t>
      </w:r>
    </w:p>
    <w:p w14:paraId="131B0AD0" w14:textId="04BF54C2" w:rsidR="007B0021" w:rsidRDefault="0093194C" w:rsidP="007B0021">
      <w:pPr>
        <w:pStyle w:val="BSubheadingnonumbers"/>
        <w:spacing w:after="100" w:afterAutospacing="1"/>
      </w:pPr>
      <w:bookmarkStart w:id="32" w:name="_Toc177292897"/>
      <w:r>
        <w:rPr>
          <w:caps w:val="0"/>
        </w:rPr>
        <w:t>RECOMMENDATIONS</w:t>
      </w:r>
      <w:bookmarkEnd w:id="32"/>
    </w:p>
    <w:p w14:paraId="55F11D29" w14:textId="026A1A56" w:rsidR="007B0021" w:rsidRDefault="007B0021" w:rsidP="00D83EAE">
      <w:pPr>
        <w:pStyle w:val="BBodyText"/>
        <w:numPr>
          <w:ilvl w:val="0"/>
          <w:numId w:val="27"/>
        </w:numPr>
        <w:rPr>
          <w:lang w:eastAsia="en-GB"/>
        </w:rPr>
      </w:pPr>
      <w:r w:rsidRPr="007B0021">
        <w:rPr>
          <w:lang w:eastAsia="en-GB"/>
        </w:rPr>
        <w:t>Refrain from accommodating minors, accompanied and unaccompanied, in CCACs, as they are not adequate facilities for their reception and ensure that UAMs are promptly transferred to adequate accommodation outside CCACs. Pending their transfer, increase opportunities for UAMs to safely exit the safe area and spend time in the general population area of the CCAC. Expand leisure and educational activities within the CCAC, and opportunities for UAMs to regularly access activities outside the CCAC, under the supervision of child protection actors. </w:t>
      </w:r>
    </w:p>
    <w:p w14:paraId="5A89BF1E" w14:textId="6AC13692" w:rsidR="00665EC9" w:rsidRPr="009737C9" w:rsidRDefault="00545C75" w:rsidP="009737C9">
      <w:pPr>
        <w:pStyle w:val="BNumberedHeading"/>
        <w:spacing w:afterLines="60" w:after="144"/>
        <w:rPr>
          <w:bCs/>
        </w:rPr>
      </w:pPr>
      <w:bookmarkStart w:id="33" w:name="_Toc177292898"/>
      <w:r>
        <w:rPr>
          <w:bCs/>
        </w:rPr>
        <w:lastRenderedPageBreak/>
        <w:t>V</w:t>
      </w:r>
      <w:r w:rsidR="00665EC9" w:rsidRPr="00665EC9">
        <w:rPr>
          <w:bCs/>
        </w:rPr>
        <w:t>iolence against women and children (articles 2-3, 6-8 and 26 iccpr)</w:t>
      </w:r>
      <w:bookmarkEnd w:id="33"/>
      <w:r w:rsidR="00665EC9" w:rsidRPr="00665EC9">
        <w:rPr>
          <w:bCs/>
        </w:rPr>
        <w:t> </w:t>
      </w:r>
    </w:p>
    <w:p w14:paraId="1D1A104B" w14:textId="31ECC19F" w:rsidR="009737C9" w:rsidRPr="009737C9" w:rsidRDefault="009737C9" w:rsidP="009737C9">
      <w:pPr>
        <w:pStyle w:val="BBodyText"/>
        <w:spacing w:afterLines="60" w:after="144"/>
        <w:rPr>
          <w:lang w:eastAsia="en-GB"/>
        </w:rPr>
      </w:pPr>
      <w:r w:rsidRPr="009737C9">
        <w:rPr>
          <w:lang w:eastAsia="en-GB"/>
        </w:rPr>
        <w:t xml:space="preserve">According to the Greek Section of the European Observatory on Femicide, between 2021 and May 2024, there were </w:t>
      </w:r>
      <w:r w:rsidR="00F445D5">
        <w:rPr>
          <w:lang w:eastAsia="en-GB"/>
        </w:rPr>
        <w:t xml:space="preserve">81 </w:t>
      </w:r>
      <w:r w:rsidRPr="009737C9">
        <w:rPr>
          <w:lang w:eastAsia="en-GB"/>
        </w:rPr>
        <w:t>femicides</w:t>
      </w:r>
      <w:r>
        <w:rPr>
          <w:rStyle w:val="FootnoteReference"/>
          <w:lang w:eastAsia="en-GB"/>
        </w:rPr>
        <w:footnoteReference w:id="115"/>
      </w:r>
      <w:r w:rsidRPr="009737C9">
        <w:rPr>
          <w:lang w:eastAsia="en-GB"/>
        </w:rPr>
        <w:t>.  </w:t>
      </w:r>
    </w:p>
    <w:p w14:paraId="0BAF5D9E" w14:textId="6D06482A" w:rsidR="009737C9" w:rsidRPr="009737C9" w:rsidRDefault="009737C9" w:rsidP="009737C9">
      <w:pPr>
        <w:pStyle w:val="BBodyText"/>
        <w:rPr>
          <w:lang w:eastAsia="en-GB"/>
        </w:rPr>
      </w:pPr>
      <w:r w:rsidRPr="009737C9">
        <w:rPr>
          <w:lang w:eastAsia="en-GB"/>
        </w:rPr>
        <w:t>In May 2021, the Greek Parliament voted a bill related to child custody despite strong opposition by women’s groups and civil society organizations. Amnesty International expressed strong concerns that the bill (now law 4800/2021) would put the safety of women and children at risk as it allows perpetrators of domestic violence or sexual offences to retain child custody until they are convicted by a first instance court</w:t>
      </w:r>
      <w:r w:rsidR="001D784B">
        <w:rPr>
          <w:rStyle w:val="FootnoteReference"/>
          <w:lang w:eastAsia="en-GB"/>
        </w:rPr>
        <w:footnoteReference w:id="116"/>
      </w:r>
      <w:r w:rsidRPr="009737C9">
        <w:rPr>
          <w:lang w:eastAsia="en-GB"/>
        </w:rPr>
        <w:t>. Since judicial proceedings can reportedly last between 2 and 7 years depending on jurisdiction</w:t>
      </w:r>
      <w:r w:rsidR="001D784B">
        <w:rPr>
          <w:rStyle w:val="FootnoteReference"/>
          <w:lang w:eastAsia="en-GB"/>
        </w:rPr>
        <w:footnoteReference w:id="117"/>
      </w:r>
      <w:r w:rsidRPr="009737C9">
        <w:rPr>
          <w:lang w:eastAsia="en-GB"/>
        </w:rPr>
        <w:t xml:space="preserve">, the law risks giving perpetrators of violence and abuse access to their victims for an extended </w:t>
      </w:r>
      <w:proofErr w:type="gramStart"/>
      <w:r w:rsidRPr="009737C9">
        <w:rPr>
          <w:lang w:eastAsia="en-GB"/>
        </w:rPr>
        <w:t>period of time</w:t>
      </w:r>
      <w:proofErr w:type="gramEnd"/>
      <w:r w:rsidRPr="009737C9">
        <w:rPr>
          <w:lang w:eastAsia="en-GB"/>
        </w:rPr>
        <w:t>. </w:t>
      </w:r>
    </w:p>
    <w:p w14:paraId="61A738DC" w14:textId="7A2A09BB" w:rsidR="009737C9" w:rsidRDefault="009737C9" w:rsidP="00FB1ADF">
      <w:pPr>
        <w:pStyle w:val="BBodyText"/>
        <w:spacing w:after="100" w:afterAutospacing="1"/>
        <w:rPr>
          <w:lang w:eastAsia="en-GB"/>
        </w:rPr>
      </w:pPr>
      <w:r w:rsidRPr="009737C9">
        <w:rPr>
          <w:lang w:eastAsia="en-GB"/>
        </w:rPr>
        <w:t>In their 2023 Evaluation Report on Greece, the Group of Experts on Action against Violence against Women and Domestic Violence (GREVIO)</w:t>
      </w:r>
      <w:r w:rsidR="00F70670">
        <w:rPr>
          <w:rStyle w:val="FootnoteReference"/>
          <w:lang w:eastAsia="en-GB"/>
        </w:rPr>
        <w:footnoteReference w:id="118"/>
      </w:r>
      <w:r w:rsidRPr="009737C9">
        <w:rPr>
          <w:lang w:eastAsia="en-GB"/>
        </w:rPr>
        <w:t xml:space="preserve"> among others expressed “serious concerns about the lack of sufficient safeguards to ensure that incidents of domestic violence are taken into account in the determination of custody and visitation rights” following the adoption of Law 4800/2021; and  urged courts to  “end the practice of limiting the parental rights of non-abusive parents on grounds of the “parental alienation syndrome”</w:t>
      </w:r>
      <w:r w:rsidR="00F70670">
        <w:rPr>
          <w:rStyle w:val="FootnoteReference"/>
          <w:lang w:eastAsia="en-GB"/>
        </w:rPr>
        <w:footnoteReference w:id="119"/>
      </w:r>
      <w:r w:rsidRPr="009737C9">
        <w:rPr>
          <w:lang w:eastAsia="en-GB"/>
        </w:rPr>
        <w:t>.</w:t>
      </w:r>
      <w:r w:rsidRPr="009737C9">
        <w:rPr>
          <w:vertAlign w:val="superscript"/>
          <w:lang w:eastAsia="en-GB"/>
        </w:rPr>
        <w:t xml:space="preserve"> </w:t>
      </w:r>
      <w:r w:rsidRPr="009737C9">
        <w:rPr>
          <w:lang w:eastAsia="en-GB"/>
        </w:rPr>
        <w:t> </w:t>
      </w:r>
    </w:p>
    <w:p w14:paraId="2FE167D4" w14:textId="70E8FC68" w:rsidR="00FB1ADF" w:rsidRDefault="0093194C" w:rsidP="00FB1ADF">
      <w:pPr>
        <w:pStyle w:val="BSubheadingnonumbers"/>
        <w:spacing w:after="100" w:afterAutospacing="1"/>
      </w:pPr>
      <w:bookmarkStart w:id="34" w:name="_Toc177292899"/>
      <w:r>
        <w:rPr>
          <w:caps w:val="0"/>
        </w:rPr>
        <w:t>RECOMMENDATIONS</w:t>
      </w:r>
      <w:r w:rsidR="00806A20">
        <w:rPr>
          <w:rStyle w:val="FootnoteReference"/>
        </w:rPr>
        <w:footnoteReference w:id="120"/>
      </w:r>
      <w:bookmarkEnd w:id="34"/>
    </w:p>
    <w:p w14:paraId="2B6B7E30" w14:textId="3B433F9E" w:rsidR="00FB1ADF" w:rsidRPr="00FB1ADF" w:rsidRDefault="00FB1ADF" w:rsidP="00D83EAE">
      <w:pPr>
        <w:pStyle w:val="BBodyText"/>
        <w:numPr>
          <w:ilvl w:val="0"/>
          <w:numId w:val="34"/>
        </w:numPr>
        <w:rPr>
          <w:lang w:eastAsia="en-GB"/>
        </w:rPr>
      </w:pPr>
      <w:r>
        <w:rPr>
          <w:lang w:eastAsia="en-GB"/>
        </w:rPr>
        <w:t>E</w:t>
      </w:r>
      <w:r w:rsidRPr="00FB1ADF">
        <w:rPr>
          <w:lang w:eastAsia="en-GB"/>
        </w:rPr>
        <w:t>nsure that courts are under the obligation to consider all issues relating to violence against women and domestic violence when taking any decision related to custody and visitation rights.  </w:t>
      </w:r>
    </w:p>
    <w:p w14:paraId="55D4BE18" w14:textId="5EA86591" w:rsidR="00FB1ADF" w:rsidRPr="00FB1ADF" w:rsidRDefault="00FB1ADF" w:rsidP="00D83EAE">
      <w:pPr>
        <w:pStyle w:val="BBodyText"/>
        <w:numPr>
          <w:ilvl w:val="0"/>
          <w:numId w:val="35"/>
        </w:numPr>
        <w:rPr>
          <w:lang w:eastAsia="en-GB"/>
        </w:rPr>
      </w:pPr>
      <w:r>
        <w:rPr>
          <w:lang w:eastAsia="en-GB"/>
        </w:rPr>
        <w:t>I</w:t>
      </w:r>
      <w:r w:rsidRPr="00FB1ADF">
        <w:rPr>
          <w:lang w:eastAsia="en-GB"/>
        </w:rPr>
        <w:t>ncorporate risk-assessment and risk-management procedures in the determination of custody and visitation rights and restrict these rights when this is necessary to guarantee the safety of the mother and the child.  </w:t>
      </w:r>
    </w:p>
    <w:p w14:paraId="5D8D8392" w14:textId="0659FE1D" w:rsidR="00FB1ADF" w:rsidRPr="00FB1ADF" w:rsidRDefault="00FB1ADF" w:rsidP="00D83EAE">
      <w:pPr>
        <w:pStyle w:val="BBodyText"/>
        <w:numPr>
          <w:ilvl w:val="0"/>
          <w:numId w:val="36"/>
        </w:numPr>
        <w:rPr>
          <w:lang w:eastAsia="en-GB"/>
        </w:rPr>
      </w:pPr>
      <w:r>
        <w:rPr>
          <w:lang w:eastAsia="en-GB"/>
        </w:rPr>
        <w:t>E</w:t>
      </w:r>
      <w:r w:rsidRPr="00FB1ADF">
        <w:rPr>
          <w:lang w:eastAsia="en-GB"/>
        </w:rPr>
        <w:t>nd the practice of removing children from or limiting parental rights of non-abusive parents on grounds of “parental alienation syndrome”.  </w:t>
      </w:r>
    </w:p>
    <w:p w14:paraId="12707182" w14:textId="77777777" w:rsidR="00FB1ADF" w:rsidRPr="00FB1ADF" w:rsidRDefault="00FB1ADF" w:rsidP="00FB1ADF">
      <w:pPr>
        <w:pStyle w:val="BBodyText"/>
        <w:rPr>
          <w:lang w:eastAsia="en-GB"/>
        </w:rPr>
      </w:pPr>
    </w:p>
    <w:p w14:paraId="3A3AFD0D" w14:textId="77777777" w:rsidR="009737C9" w:rsidRPr="00665EC9" w:rsidRDefault="009737C9" w:rsidP="00665EC9">
      <w:pPr>
        <w:pStyle w:val="BBodyText"/>
        <w:rPr>
          <w:lang w:eastAsia="en-GB"/>
        </w:rPr>
      </w:pPr>
    </w:p>
    <w:p w14:paraId="0DB3D88B" w14:textId="77777777" w:rsidR="00914826" w:rsidRPr="00914826" w:rsidRDefault="00914826" w:rsidP="00914826">
      <w:pPr>
        <w:pStyle w:val="BBodyText"/>
        <w:rPr>
          <w:lang w:eastAsia="en-GB"/>
        </w:rPr>
      </w:pPr>
    </w:p>
    <w:p w14:paraId="15E8E49D" w14:textId="77777777" w:rsidR="0048693B" w:rsidRPr="0048693B" w:rsidRDefault="0048693B" w:rsidP="0048693B">
      <w:pPr>
        <w:pStyle w:val="BBodyText"/>
      </w:pPr>
    </w:p>
    <w:p w14:paraId="19FAD492" w14:textId="77777777" w:rsidR="00D97245" w:rsidRPr="00D97245" w:rsidRDefault="00D97245" w:rsidP="00D97245">
      <w:pPr>
        <w:pStyle w:val="BBodyText"/>
        <w:rPr>
          <w:lang w:eastAsia="en-GB"/>
        </w:rPr>
      </w:pPr>
    </w:p>
    <w:p w14:paraId="18A1BE6A" w14:textId="77777777" w:rsidR="00AE0D59" w:rsidRPr="00AE0D59" w:rsidRDefault="00AE0D59" w:rsidP="00AE0D59">
      <w:pPr>
        <w:pStyle w:val="BBodyText"/>
        <w:rPr>
          <w:lang w:eastAsia="en-GB"/>
        </w:rPr>
      </w:pPr>
    </w:p>
    <w:p w14:paraId="41695D56" w14:textId="77777777" w:rsidR="00CC51E1" w:rsidRPr="003E0792" w:rsidRDefault="00CC51E1" w:rsidP="003E0792">
      <w:pPr>
        <w:pStyle w:val="BBodyText"/>
        <w:rPr>
          <w:lang w:eastAsia="en-GB"/>
        </w:rPr>
      </w:pPr>
    </w:p>
    <w:p w14:paraId="2C0B01A6" w14:textId="77777777" w:rsidR="003E0792" w:rsidRPr="003E0792" w:rsidRDefault="003E0792" w:rsidP="003E0792">
      <w:pPr>
        <w:pStyle w:val="BBodyText"/>
        <w:rPr>
          <w:lang w:eastAsia="en-GB"/>
        </w:rPr>
      </w:pPr>
    </w:p>
    <w:p w14:paraId="38B57356" w14:textId="77777777" w:rsidR="0097015E" w:rsidRPr="0097015E" w:rsidRDefault="0097015E" w:rsidP="0097015E">
      <w:pPr>
        <w:pStyle w:val="BBodyText"/>
        <w:rPr>
          <w:lang w:eastAsia="en-GB"/>
        </w:rPr>
      </w:pPr>
    </w:p>
    <w:p w14:paraId="28EDB8CB" w14:textId="77777777" w:rsidR="004A5429" w:rsidRPr="004A5429" w:rsidRDefault="004A5429" w:rsidP="004A5429">
      <w:pPr>
        <w:pStyle w:val="BBodyText"/>
        <w:rPr>
          <w:lang w:eastAsia="en-GB"/>
        </w:rPr>
      </w:pPr>
    </w:p>
    <w:p w14:paraId="6D7503EA" w14:textId="77777777" w:rsidR="003B5F89" w:rsidRPr="00FE7E48" w:rsidRDefault="003B5F89" w:rsidP="00FE7E48">
      <w:pPr>
        <w:pStyle w:val="BBodyText"/>
        <w:rPr>
          <w:lang w:eastAsia="en-GB"/>
        </w:rPr>
      </w:pPr>
    </w:p>
    <w:p w14:paraId="43E65AEF" w14:textId="77777777" w:rsidR="00FE7E48" w:rsidRPr="00D650F0" w:rsidRDefault="00FE7E48" w:rsidP="00D650F0">
      <w:pPr>
        <w:pStyle w:val="BBodyText"/>
        <w:rPr>
          <w:lang w:eastAsia="en-GB"/>
        </w:rPr>
      </w:pPr>
    </w:p>
    <w:p w14:paraId="77A4764E" w14:textId="77777777" w:rsidR="00D650F0" w:rsidRPr="00512C61" w:rsidRDefault="00D650F0" w:rsidP="00512C61">
      <w:pPr>
        <w:pStyle w:val="BBodyText"/>
        <w:rPr>
          <w:lang w:eastAsia="en-GB"/>
        </w:rPr>
      </w:pPr>
    </w:p>
    <w:p w14:paraId="330DE1E9" w14:textId="77777777" w:rsidR="00904130" w:rsidRPr="00904130" w:rsidRDefault="00904130" w:rsidP="00904130">
      <w:pPr>
        <w:pStyle w:val="BBodyText"/>
        <w:rPr>
          <w:lang w:eastAsia="en-GB"/>
        </w:rPr>
      </w:pPr>
      <w:r w:rsidRPr="00904130">
        <w:rPr>
          <w:lang w:eastAsia="en-GB"/>
        </w:rPr>
        <w:t> </w:t>
      </w:r>
    </w:p>
    <w:p w14:paraId="547F8257" w14:textId="77777777" w:rsidR="00904130" w:rsidRPr="00904130" w:rsidRDefault="00904130" w:rsidP="00904130">
      <w:pPr>
        <w:pStyle w:val="BBodyText"/>
        <w:rPr>
          <w:lang w:eastAsia="en-GB"/>
        </w:rPr>
      </w:pPr>
    </w:p>
    <w:p w14:paraId="79A6E53B" w14:textId="77777777" w:rsidR="00395E69" w:rsidRPr="0038780A" w:rsidRDefault="00395E69" w:rsidP="0038780A">
      <w:pPr>
        <w:pStyle w:val="BBodyText"/>
        <w:rPr>
          <w:lang w:eastAsia="en-GB"/>
        </w:rPr>
      </w:pPr>
    </w:p>
    <w:p w14:paraId="18A8780E" w14:textId="003189AF" w:rsidR="0060644F" w:rsidRPr="00BC5682" w:rsidRDefault="0060644F" w:rsidP="00BC5682">
      <w:pPr>
        <w:pStyle w:val="BBodyText"/>
        <w:rPr>
          <w:lang w:eastAsia="en-GB"/>
        </w:rPr>
        <w:sectPr w:rsidR="0060644F" w:rsidRPr="00BC5682" w:rsidSect="00DA7998">
          <w:footerReference w:type="first" r:id="rId11"/>
          <w:pgSz w:w="11906" w:h="16838" w:code="9"/>
          <w:pgMar w:top="1474" w:right="1418" w:bottom="1418" w:left="1418" w:header="709" w:footer="709" w:gutter="0"/>
          <w:cols w:space="708"/>
          <w:titlePg/>
          <w:docGrid w:linePitch="360"/>
        </w:sectPr>
      </w:pPr>
    </w:p>
    <w:p w14:paraId="1822B544" w14:textId="77777777" w:rsidR="00085AA0" w:rsidRPr="009C6598" w:rsidRDefault="008D2844" w:rsidP="00661C0B">
      <w:pPr>
        <w:pStyle w:val="BBodyText"/>
        <w:rPr>
          <w:lang w:eastAsia="en-GB"/>
        </w:rPr>
      </w:pPr>
      <w:r>
        <w:rPr>
          <w:noProof/>
        </w:rPr>
        <w:lastRenderedPageBreak/>
        <mc:AlternateContent>
          <mc:Choice Requires="wps">
            <w:drawing>
              <wp:anchor distT="0" distB="0" distL="114300" distR="114300" simplePos="0" relativeHeight="251658241"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pPr>
                        <w:pStyle w:val="BBodyText"/>
                        <w:tabs>
                          <w:tab w:val="left" w:pos="1200"/>
                        </w:tabs>
                        <w:rPr>
                          <w:rFonts w:ascii="Amnesty Trade Gothic" w:hAnsi="Amnesty Trade Gothic"/>
                          <w:noProof/>
                          <w:color w:val="000000"/>
                        </w:rPr>
                      </w:pPr>
                    </w:p>
                  </w:txbxContent>
                </v:textbox>
                <w10:wrap type="square"/>
              </v:shape>
            </w:pict>
          </mc:Fallback>
        </mc:AlternateContent>
      </w:r>
    </w:p>
    <w:p w14:paraId="0690BAE9"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3"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9E5FE1" w:rsidP="004E5E19">
                            <w:pPr>
                              <w:pStyle w:val="BBodyText"/>
                              <w:jc w:val="center"/>
                              <w:rPr>
                                <w:rStyle w:val="Hyperlink"/>
                                <w:rFonts w:ascii="Amnesty Trade Gothic Cn" w:hAnsi="Amnesty Trade Gothic Cn"/>
                                <w:color w:val="auto"/>
                              </w:rPr>
                            </w:pPr>
                            <w:hyperlink r:id="rId14"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r w:rsidR="004E5E19" w:rsidRPr="00D4065A">
                                <w:rPr>
                                  <w:rStyle w:val="Hyperlink"/>
                                  <w:rFonts w:ascii="Amnesty Trade Gothic Cn" w:hAnsi="Amnesty Trade Gothic Cn"/>
                                  <w:b/>
                                  <w:bCs w:val="0"/>
                                  <w:color w:val="auto"/>
                                </w:rPr>
                                <w:t>AmnestyGlobal</w:t>
                              </w:r>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9iRGg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7"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9E5FE1" w:rsidP="004E5E19">
                      <w:pPr>
                        <w:pStyle w:val="BBodyText"/>
                        <w:jc w:val="center"/>
                        <w:rPr>
                          <w:rStyle w:val="Hyperlink"/>
                          <w:rFonts w:ascii="Amnesty Trade Gothic Cn" w:hAnsi="Amnesty Trade Gothic Cn"/>
                          <w:color w:val="auto"/>
                        </w:rPr>
                      </w:pPr>
                      <w:hyperlink r:id="rId18"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r w:rsidR="004E5E19" w:rsidRPr="00D4065A">
                          <w:rPr>
                            <w:rStyle w:val="Hyperlink"/>
                            <w:rFonts w:ascii="Amnesty Trade Gothic Cn" w:hAnsi="Amnesty Trade Gothic Cn"/>
                            <w:b/>
                            <w:bCs w:val="0"/>
                            <w:color w:val="auto"/>
                          </w:rPr>
                          <w:t>AmnestyGlobal</w:t>
                        </w:r>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19"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WHh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0"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1"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TI4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Tj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gVkyOBwCAAAzBAAADgAAAAAAAAAAAAAAAAAuAgAAZHJzL2Uyb0RvYy54bWxQ&#10;SwECLQAUAAYACAAAACEAj6iWzuIAAAAKAQAADwAAAAAAAAAAAAAAAAB2BAAAZHJzL2Rvd25yZXYu&#10;eG1sUEsFBgAAAAAEAAQA8wAAAIUFA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0CA86093" w:rsidR="0081658E" w:rsidRPr="000F74F9" w:rsidRDefault="0081658E" w:rsidP="0081658E">
                            <w:pPr>
                              <w:pStyle w:val="BCopyrightsmallprint"/>
                              <w:rPr>
                                <w:rStyle w:val="Boldbodycharacter"/>
                                <w:sz w:val="21"/>
                                <w:szCs w:val="21"/>
                              </w:rPr>
                            </w:pPr>
                            <w:r w:rsidRPr="000F74F9">
                              <w:rPr>
                                <w:sz w:val="21"/>
                                <w:szCs w:val="21"/>
                              </w:rPr>
                              <w:t xml:space="preserve">Index: </w:t>
                            </w:r>
                            <w:r w:rsidR="00121717" w:rsidRPr="00121717">
                              <w:rPr>
                                <w:rFonts w:ascii="Amnesty Trade Gothic" w:hAnsi="Amnesty Trade Gothic"/>
                                <w:b/>
                                <w:bCs w:val="0"/>
                                <w:sz w:val="21"/>
                                <w:szCs w:val="21"/>
                              </w:rPr>
                              <w:t>EUR 25/8525/2024</w:t>
                            </w:r>
                          </w:p>
                          <w:p w14:paraId="13BA83E2" w14:textId="759D4700" w:rsidR="0081658E" w:rsidRPr="00187ED6" w:rsidRDefault="0081658E" w:rsidP="0081658E">
                            <w:pPr>
                              <w:pStyle w:val="BCopyrightsmallprint"/>
                              <w:rPr>
                                <w:sz w:val="21"/>
                                <w:szCs w:val="21"/>
                                <w:highlight w:val="yellow"/>
                              </w:rPr>
                            </w:pPr>
                            <w:r w:rsidRPr="000F74F9">
                              <w:rPr>
                                <w:sz w:val="21"/>
                                <w:szCs w:val="21"/>
                              </w:rPr>
                              <w:t xml:space="preserve">Publication: </w:t>
                            </w:r>
                            <w:r w:rsidR="00D443FD" w:rsidRPr="00D443FD">
                              <w:rPr>
                                <w:rStyle w:val="Boldbodycharacter"/>
                                <w:sz w:val="21"/>
                                <w:szCs w:val="21"/>
                              </w:rPr>
                              <w:t>September</w:t>
                            </w:r>
                            <w:r w:rsidR="00187ED6" w:rsidRPr="00D443FD">
                              <w:rPr>
                                <w:rStyle w:val="Boldbodycharacter"/>
                                <w:sz w:val="21"/>
                                <w:szCs w:val="21"/>
                              </w:rPr>
                              <w:t xml:space="preserve"> </w:t>
                            </w:r>
                            <w:r w:rsidR="000F74F9" w:rsidRPr="00D443FD">
                              <w:rPr>
                                <w:rStyle w:val="Boldbodycharacter"/>
                                <w:sz w:val="21"/>
                                <w:szCs w:val="21"/>
                              </w:rPr>
                              <w:t>202</w:t>
                            </w:r>
                            <w:r w:rsidR="00187ED6" w:rsidRPr="00D443FD">
                              <w:rPr>
                                <w:rStyle w:val="Boldbodycharacter"/>
                                <w:sz w:val="21"/>
                                <w:szCs w:val="21"/>
                              </w:rPr>
                              <w:t>4</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51BB8770" w14:textId="28F0E976"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187ED6" w:rsidRPr="00187ED6">
                              <w:rPr>
                                <w:sz w:val="16"/>
                                <w:szCs w:val="16"/>
                              </w:rPr>
                              <w:t>4</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" fillcolor="white [3201]" stroked="f" strokeweight=".5pt">
                <v:textbox>
                  <w:txbxContent>
                    <w:p w14:paraId="13A3F353" w14:textId="0CA86093" w:rsidR="0081658E" w:rsidRPr="000F74F9" w:rsidRDefault="0081658E" w:rsidP="0081658E">
                      <w:pPr>
                        <w:pStyle w:val="BCopyrightsmallprint"/>
                        <w:rPr>
                          <w:rStyle w:val="Boldbodycharacter"/>
                          <w:sz w:val="21"/>
                          <w:szCs w:val="21"/>
                        </w:rPr>
                      </w:pPr>
                      <w:r w:rsidRPr="000F74F9">
                        <w:rPr>
                          <w:sz w:val="21"/>
                          <w:szCs w:val="21"/>
                        </w:rPr>
                        <w:t xml:space="preserve">Index: </w:t>
                      </w:r>
                      <w:r w:rsidR="00121717" w:rsidRPr="00121717">
                        <w:rPr>
                          <w:rFonts w:ascii="Amnesty Trade Gothic" w:hAnsi="Amnesty Trade Gothic"/>
                          <w:b/>
                          <w:bCs w:val="0"/>
                          <w:sz w:val="21"/>
                          <w:szCs w:val="21"/>
                        </w:rPr>
                        <w:t>EUR 25/8525/2024</w:t>
                      </w:r>
                    </w:p>
                    <w:p w14:paraId="13BA83E2" w14:textId="759D4700" w:rsidR="0081658E" w:rsidRPr="00187ED6" w:rsidRDefault="0081658E" w:rsidP="0081658E">
                      <w:pPr>
                        <w:pStyle w:val="BCopyrightsmallprint"/>
                        <w:rPr>
                          <w:sz w:val="21"/>
                          <w:szCs w:val="21"/>
                          <w:highlight w:val="yellow"/>
                        </w:rPr>
                      </w:pPr>
                      <w:r w:rsidRPr="000F74F9">
                        <w:rPr>
                          <w:sz w:val="21"/>
                          <w:szCs w:val="21"/>
                        </w:rPr>
                        <w:t xml:space="preserve">Publication: </w:t>
                      </w:r>
                      <w:r w:rsidR="00D443FD" w:rsidRPr="00D443FD">
                        <w:rPr>
                          <w:rStyle w:val="Boldbodycharacter"/>
                          <w:sz w:val="21"/>
                          <w:szCs w:val="21"/>
                        </w:rPr>
                        <w:t>September</w:t>
                      </w:r>
                      <w:r w:rsidR="00187ED6" w:rsidRPr="00D443FD">
                        <w:rPr>
                          <w:rStyle w:val="Boldbodycharacter"/>
                          <w:sz w:val="21"/>
                          <w:szCs w:val="21"/>
                        </w:rPr>
                        <w:t xml:space="preserve"> </w:t>
                      </w:r>
                      <w:r w:rsidR="000F74F9" w:rsidRPr="00D443FD">
                        <w:rPr>
                          <w:rStyle w:val="Boldbodycharacter"/>
                          <w:sz w:val="21"/>
                          <w:szCs w:val="21"/>
                        </w:rPr>
                        <w:t>202</w:t>
                      </w:r>
                      <w:r w:rsidR="00187ED6" w:rsidRPr="00D443FD">
                        <w:rPr>
                          <w:rStyle w:val="Boldbodycharacter"/>
                          <w:sz w:val="21"/>
                          <w:szCs w:val="21"/>
                        </w:rPr>
                        <w:t>4</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51BB8770" w14:textId="28F0E976"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187ED6" w:rsidRPr="00187ED6">
                        <w:rPr>
                          <w:sz w:val="16"/>
                          <w:szCs w:val="16"/>
                        </w:rPr>
                        <w:t>4</w:t>
                      </w:r>
                    </w:p>
                    <w:p w14:paraId="2247AD3B"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5542E5" w14:textId="77777777" w:rsidR="00D94BFF" w:rsidRDefault="00D94BFF" w:rsidP="003A7195">
      <w:r>
        <w:separator/>
      </w:r>
    </w:p>
  </w:endnote>
  <w:endnote w:type="continuationSeparator" w:id="0">
    <w:p w14:paraId="65456726" w14:textId="77777777" w:rsidR="00D94BFF" w:rsidRDefault="00D94BFF" w:rsidP="003A7195">
      <w:r>
        <w:continuationSeparator/>
      </w:r>
    </w:p>
  </w:endnote>
  <w:endnote w:type="continuationNotice" w:id="1">
    <w:p w14:paraId="4D7F8D6B" w14:textId="77777777" w:rsidR="00D94BFF" w:rsidRDefault="00D94B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30109705"/>
      <w:docPartObj>
        <w:docPartGallery w:val="Page Numbers (Bottom of Page)"/>
        <w:docPartUnique/>
      </w:docPartObj>
    </w:sdtPr>
    <w:sdtEndPr>
      <w:rPr>
        <w:noProof/>
      </w:rPr>
    </w:sdtEndPr>
    <w:sdtContent>
      <w:p w14:paraId="5B2C8477" w14:textId="245FCA0A" w:rsidR="00D83EAE" w:rsidRDefault="00D83E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B5E361" w14:textId="76BD2192" w:rsidR="007E63D0" w:rsidRPr="00914551" w:rsidRDefault="007E63D0" w:rsidP="007E63D0">
    <w:pPr>
      <w:pStyle w:val="BFootertitle"/>
      <w:spacing w:before="160"/>
    </w:pPr>
    <w:r>
      <w:t>GREECE</w:t>
    </w:r>
    <w:r w:rsidRPr="00914551">
      <w:tab/>
    </w:r>
  </w:p>
  <w:p w14:paraId="09E0BC56" w14:textId="77777777" w:rsidR="007E63D0" w:rsidRPr="0017552B" w:rsidRDefault="007E63D0" w:rsidP="007E63D0">
    <w:pPr>
      <w:pStyle w:val="BFooterbriefingsubtitle"/>
      <w:rPr>
        <w:b/>
        <w:bCs/>
      </w:rPr>
    </w:pPr>
    <w:r w:rsidRPr="0017552B">
      <w:rPr>
        <w:b/>
        <w:bCs/>
      </w:rPr>
      <w:t>SUBMISSION TO THE UN HUMAN RIGHTS COMMITTEE</w:t>
    </w:r>
  </w:p>
  <w:p w14:paraId="0DA5D649" w14:textId="77777777" w:rsidR="007E63D0" w:rsidRPr="00914551" w:rsidRDefault="007E63D0" w:rsidP="007E63D0">
    <w:pPr>
      <w:pStyle w:val="BFooterbriefingsubtitle"/>
    </w:pPr>
    <w:r w:rsidRPr="00914551">
      <w:tab/>
    </w:r>
  </w:p>
  <w:p w14:paraId="4C5744CE" w14:textId="1D9F34C6" w:rsidR="005B4CE5" w:rsidRPr="003E2AA1" w:rsidRDefault="007E63D0"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6337C" w14:textId="121559BA" w:rsidR="003A7195" w:rsidRDefault="009055DA">
    <w:pPr>
      <w:pStyle w:val="Footer"/>
    </w:pPr>
    <w:r w:rsidRPr="00CB0FBD">
      <w:rPr>
        <w:noProof/>
        <w:lang w:eastAsia="en-GB"/>
      </w:rPr>
      <w:drawing>
        <wp:anchor distT="0" distB="0" distL="114300" distR="114300" simplePos="0" relativeHeight="251658240" behindDoc="0" locked="1" layoutInCell="1" allowOverlap="1" wp14:anchorId="3473D63F" wp14:editId="581FE007">
          <wp:simplePos x="0" y="0"/>
          <wp:positionH relativeFrom="page">
            <wp:posOffset>5604510</wp:posOffset>
          </wp:positionH>
          <wp:positionV relativeFrom="page">
            <wp:posOffset>9468485</wp:posOffset>
          </wp:positionV>
          <wp:extent cx="1468755" cy="626110"/>
          <wp:effectExtent l="0" t="0" r="0" b="2540"/>
          <wp:wrapNone/>
          <wp:docPr id="1447522245" name="Picture 144752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934365" w14:textId="4FECA471" w:rsidR="007E63D0" w:rsidRPr="00914551" w:rsidRDefault="007E63D0" w:rsidP="007E63D0">
    <w:pPr>
      <w:pStyle w:val="BFootertitle"/>
      <w:spacing w:before="160"/>
    </w:pPr>
    <w:r>
      <w:t>GREECE</w:t>
    </w:r>
    <w:r w:rsidRPr="00914551">
      <w:tab/>
    </w:r>
  </w:p>
  <w:p w14:paraId="618D527B" w14:textId="77777777" w:rsidR="007E63D0" w:rsidRPr="0017552B" w:rsidRDefault="007E63D0" w:rsidP="007E63D0">
    <w:pPr>
      <w:pStyle w:val="BFooterbriefingsubtitle"/>
      <w:rPr>
        <w:b/>
        <w:bCs/>
      </w:rPr>
    </w:pPr>
    <w:r w:rsidRPr="0017552B">
      <w:rPr>
        <w:b/>
        <w:bCs/>
      </w:rPr>
      <w:t>SUBMISSION TO THE UN HUMAN RIGHTS COMMITTEE</w:t>
    </w:r>
  </w:p>
  <w:p w14:paraId="05A21BE4" w14:textId="77777777" w:rsidR="007E63D0" w:rsidRPr="00914551" w:rsidRDefault="007E63D0" w:rsidP="007E63D0">
    <w:pPr>
      <w:pStyle w:val="BFooterbriefingsubtitle"/>
    </w:pPr>
    <w:r w:rsidRPr="00914551">
      <w:tab/>
    </w:r>
  </w:p>
  <w:p w14:paraId="4BF80BD8" w14:textId="22E2B765" w:rsidR="0081658E" w:rsidRPr="007E63D0" w:rsidRDefault="007E63D0" w:rsidP="007E63D0">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2</w:t>
    </w:r>
    <w:r w:rsidRPr="003E2AA1">
      <w:rPr>
        <w:rFonts w:ascii="Amnesty Trade Gothic Cn" w:hAnsi="Amnesty Trade Gothic C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A3B654" w14:textId="77777777" w:rsidR="00D94BFF" w:rsidRDefault="00D94BFF" w:rsidP="003A7195">
      <w:r>
        <w:separator/>
      </w:r>
    </w:p>
  </w:footnote>
  <w:footnote w:type="continuationSeparator" w:id="0">
    <w:p w14:paraId="7EA0768D" w14:textId="77777777" w:rsidR="00D94BFF" w:rsidRDefault="00D94BFF" w:rsidP="003A7195">
      <w:r>
        <w:continuationSeparator/>
      </w:r>
    </w:p>
  </w:footnote>
  <w:footnote w:type="continuationNotice" w:id="1">
    <w:p w14:paraId="75DCBAD3" w14:textId="77777777" w:rsidR="00D94BFF" w:rsidRDefault="00D94BFF"/>
  </w:footnote>
  <w:footnote w:id="2">
    <w:p w14:paraId="780133F7" w14:textId="08B4881C" w:rsidR="0072034F" w:rsidRDefault="0072034F">
      <w:pPr>
        <w:pStyle w:val="FootnoteText"/>
      </w:pPr>
      <w:r>
        <w:rPr>
          <w:rStyle w:val="FootnoteReference"/>
        </w:rPr>
        <w:footnoteRef/>
      </w:r>
      <w:r>
        <w:t xml:space="preserve"> </w:t>
      </w:r>
      <w:r w:rsidR="00F07B2C" w:rsidRPr="00F07B2C">
        <w:t>See section o</w:t>
      </w:r>
      <w:r w:rsidR="008765BB">
        <w:t>n</w:t>
      </w:r>
      <w:r w:rsidR="00F07B2C" w:rsidRPr="00F07B2C">
        <w:t xml:space="preserve"> freedom assembly below.</w:t>
      </w:r>
    </w:p>
  </w:footnote>
  <w:footnote w:id="3">
    <w:p w14:paraId="2DF42E54" w14:textId="74DBACD4" w:rsidR="00F07B2C" w:rsidRDefault="00F07B2C">
      <w:pPr>
        <w:pStyle w:val="FootnoteText"/>
      </w:pPr>
      <w:r>
        <w:rPr>
          <w:rStyle w:val="FootnoteReference"/>
        </w:rPr>
        <w:footnoteRef/>
      </w:r>
      <w:r>
        <w:t xml:space="preserve"> </w:t>
      </w:r>
      <w:r w:rsidR="00830F9E" w:rsidRPr="00830F9E">
        <w:t>See section on treatment of aliens below.</w:t>
      </w:r>
    </w:p>
  </w:footnote>
  <w:footnote w:id="4">
    <w:p w14:paraId="091548DB" w14:textId="779671BA" w:rsidR="00830F9E" w:rsidRDefault="00830F9E">
      <w:pPr>
        <w:pStyle w:val="FootnoteText"/>
      </w:pPr>
      <w:r>
        <w:rPr>
          <w:rStyle w:val="FootnoteReference"/>
        </w:rPr>
        <w:footnoteRef/>
      </w:r>
      <w:r>
        <w:t xml:space="preserve"> </w:t>
      </w:r>
      <w:r w:rsidR="00783957" w:rsidRPr="00783957">
        <w:t>See section on freedom of religion below.</w:t>
      </w:r>
    </w:p>
  </w:footnote>
  <w:footnote w:id="5">
    <w:p w14:paraId="2DA7E0F1" w14:textId="123A02DA" w:rsidR="005870B9" w:rsidRDefault="005870B9">
      <w:pPr>
        <w:pStyle w:val="FootnoteText"/>
      </w:pPr>
      <w:r>
        <w:rPr>
          <w:rStyle w:val="FootnoteReference"/>
        </w:rPr>
        <w:footnoteRef/>
      </w:r>
      <w:r>
        <w:t xml:space="preserve"> </w:t>
      </w:r>
      <w:r w:rsidR="003855F3" w:rsidRPr="003855F3">
        <w:t> Amnesty International Report 2023/24, The State of the World’s Human Rights: April 2024 (Index POL 10/7200/2024), 23 April 2024, </w:t>
      </w:r>
      <w:hyperlink r:id="rId1" w:tgtFrame="_blank" w:history="1">
        <w:r w:rsidR="003855F3" w:rsidRPr="003855F3">
          <w:rPr>
            <w:rStyle w:val="Hyperlink"/>
          </w:rPr>
          <w:t>https://www.amnesty.org/en/documents/pol10/7200/2024/en/</w:t>
        </w:r>
      </w:hyperlink>
      <w:r w:rsidR="003855F3" w:rsidRPr="003855F3">
        <w:t>; Amnesty International, Amnesty International Report 2022/23: The State of the World’s Human Rights, 27 March 2023, </w:t>
      </w:r>
      <w:hyperlink r:id="rId2" w:tgtFrame="_blank" w:history="1">
        <w:r w:rsidR="003855F3" w:rsidRPr="003855F3">
          <w:rPr>
            <w:rStyle w:val="Hyperlink"/>
          </w:rPr>
          <w:t>https://www.amnesty.org/en/documents/pol10/5670/2023/en/</w:t>
        </w:r>
      </w:hyperlink>
      <w:r w:rsidR="003855F3" w:rsidRPr="003855F3">
        <w:t>. </w:t>
      </w:r>
    </w:p>
  </w:footnote>
  <w:footnote w:id="6">
    <w:p w14:paraId="2182F124" w14:textId="32DF3015" w:rsidR="003855F3" w:rsidRDefault="003855F3">
      <w:pPr>
        <w:pStyle w:val="FootnoteText"/>
      </w:pPr>
      <w:r>
        <w:rPr>
          <w:rStyle w:val="FootnoteReference"/>
        </w:rPr>
        <w:footnoteRef/>
      </w:r>
      <w:r>
        <w:t xml:space="preserve"> </w:t>
      </w:r>
      <w:r w:rsidR="00650495" w:rsidRPr="00650495">
        <w:t>See section on violence against women and children below.</w:t>
      </w:r>
    </w:p>
  </w:footnote>
  <w:footnote w:id="7">
    <w:p w14:paraId="42047835" w14:textId="6EB01336" w:rsidR="00650495" w:rsidRDefault="00650495">
      <w:pPr>
        <w:pStyle w:val="FootnoteText"/>
      </w:pPr>
      <w:r>
        <w:rPr>
          <w:rStyle w:val="FootnoteReference"/>
        </w:rPr>
        <w:footnoteRef/>
      </w:r>
      <w:r>
        <w:t xml:space="preserve"> </w:t>
      </w:r>
      <w:r w:rsidR="009B1EC4" w:rsidRPr="009B1EC4">
        <w:t>See the non-discrimination section below.</w:t>
      </w:r>
    </w:p>
    <w:p w14:paraId="61415BB2" w14:textId="77777777" w:rsidR="00931B3F" w:rsidRDefault="00931B3F">
      <w:pPr>
        <w:pStyle w:val="FootnoteText"/>
      </w:pPr>
    </w:p>
  </w:footnote>
  <w:footnote w:id="8">
    <w:p w14:paraId="751548ED" w14:textId="5C4D11F7" w:rsidR="001607B0" w:rsidRDefault="001607B0">
      <w:pPr>
        <w:pStyle w:val="FootnoteText"/>
      </w:pPr>
      <w:r>
        <w:rPr>
          <w:rStyle w:val="FootnoteReference"/>
        </w:rPr>
        <w:footnoteRef/>
      </w:r>
      <w:r>
        <w:t xml:space="preserve"> </w:t>
      </w:r>
      <w:r w:rsidRPr="001607B0">
        <w:t>Amnesty International, “One year since Greece opened new “prison-like” refugee camps, NGOs call for a more humane approach”, 19 September 2022, </w:t>
      </w:r>
      <w:hyperlink r:id="rId3" w:tgtFrame="_blank" w:history="1">
        <w:r w:rsidRPr="001607B0">
          <w:rPr>
            <w:rStyle w:val="Hyperlink"/>
          </w:rPr>
          <w:t>www.amnesty.eu/news/one-year-since-greece-opened-new-prison-like-refugee-camps-ngos-call-for-a-more-humane-approach/</w:t>
        </w:r>
      </w:hyperlink>
      <w:r>
        <w:t>.</w:t>
      </w:r>
      <w:r w:rsidRPr="001607B0">
        <w:t> </w:t>
      </w:r>
    </w:p>
  </w:footnote>
  <w:footnote w:id="9">
    <w:p w14:paraId="4B5635D9" w14:textId="66B1960B" w:rsidR="00F151AB" w:rsidRDefault="00F151AB">
      <w:pPr>
        <w:pStyle w:val="FootnoteText"/>
      </w:pPr>
      <w:r>
        <w:rPr>
          <w:rStyle w:val="FootnoteReference"/>
        </w:rPr>
        <w:footnoteRef/>
      </w:r>
      <w:r>
        <w:t xml:space="preserve"> </w:t>
      </w:r>
      <w:r w:rsidRPr="00F151AB">
        <w:t>Legal Centre Lesvos, </w:t>
      </w:r>
      <w:r w:rsidRPr="00F151AB">
        <w:rPr>
          <w:i/>
          <w:iCs/>
        </w:rPr>
        <w:t>A pandemic of abuses: how Greece dismantled the right to asylum and normalised the violation of migrants’ rights throughout the COVID-19 pandemic in Lesvos</w:t>
      </w:r>
      <w:r w:rsidRPr="00F151AB">
        <w:t>, 4 Sep 2023, </w:t>
      </w:r>
      <w:hyperlink r:id="rId4" w:tgtFrame="_blank" w:history="1">
        <w:r w:rsidRPr="00F151AB">
          <w:rPr>
            <w:rStyle w:val="Hyperlink"/>
          </w:rPr>
          <w:t>https://reliefweb.int/report/greece/pandemic-abuses-how-greece-dismantled-right-asylum-and-normalised-violation-migrants-rights-throughout-covid-19-pandemic-lesvos</w:t>
        </w:r>
      </w:hyperlink>
      <w:r>
        <w:t>.</w:t>
      </w:r>
      <w:r w:rsidRPr="00F151AB">
        <w:t> </w:t>
      </w:r>
    </w:p>
  </w:footnote>
  <w:footnote w:id="10">
    <w:p w14:paraId="16B850FB" w14:textId="1F7AE4C6" w:rsidR="00423746" w:rsidRDefault="00423746">
      <w:pPr>
        <w:pStyle w:val="FootnoteText"/>
      </w:pPr>
      <w:r>
        <w:rPr>
          <w:rStyle w:val="FootnoteReference"/>
        </w:rPr>
        <w:footnoteRef/>
      </w:r>
      <w:r>
        <w:t xml:space="preserve"> </w:t>
      </w:r>
      <w:r w:rsidRPr="00423746">
        <w:t>Dimitris Angelidis, The era of the dual crisis: coronavirus, borders and anti-refugee policy in Greece, in: Friedrich-Ebert-Stiftung Democracy and human rights - Borders and coronavirus: refugee policy and public discourse in a time of a dual crisis in Greece, January 2021, </w:t>
      </w:r>
      <w:hyperlink r:id="rId5" w:tgtFrame="_blank" w:history="1">
        <w:r w:rsidRPr="00423746">
          <w:rPr>
            <w:rStyle w:val="Hyperlink"/>
          </w:rPr>
          <w:t>https://library.fes.de/pdf-files/bueros/athen/17365.pdf</w:t>
        </w:r>
      </w:hyperlink>
      <w:r>
        <w:t>.</w:t>
      </w:r>
    </w:p>
  </w:footnote>
  <w:footnote w:id="11">
    <w:p w14:paraId="00415919" w14:textId="64A28EF5" w:rsidR="00423746" w:rsidRDefault="00423746">
      <w:pPr>
        <w:pStyle w:val="FootnoteText"/>
      </w:pPr>
      <w:r>
        <w:rPr>
          <w:rStyle w:val="FootnoteReference"/>
        </w:rPr>
        <w:footnoteRef/>
      </w:r>
      <w:r>
        <w:t xml:space="preserve"> </w:t>
      </w:r>
      <w:r w:rsidRPr="00423746">
        <w:t>Pavlos </w:t>
      </w:r>
      <w:proofErr w:type="spellStart"/>
      <w:r w:rsidRPr="00423746">
        <w:t>Charamis</w:t>
      </w:r>
      <w:proofErr w:type="spellEnd"/>
      <w:r w:rsidRPr="00423746">
        <w:t>, “Waiting for Godot”: The right of refugees to education in crisis situations, in: Friedrich-Ebert-Stiftung, Democracy and human rights, above.  </w:t>
      </w:r>
    </w:p>
  </w:footnote>
  <w:footnote w:id="12">
    <w:p w14:paraId="54BD4242" w14:textId="30FC49F0" w:rsidR="001D5D53" w:rsidRDefault="001D5D53">
      <w:pPr>
        <w:pStyle w:val="FootnoteText"/>
      </w:pPr>
      <w:r>
        <w:rPr>
          <w:rStyle w:val="FootnoteReference"/>
        </w:rPr>
        <w:footnoteRef/>
      </w:r>
      <w:r>
        <w:t xml:space="preserve"> </w:t>
      </w:r>
      <w:r w:rsidR="00242016" w:rsidRPr="00242016">
        <w:t>Amnesty International Report 2023/2024, section on Greece.</w:t>
      </w:r>
    </w:p>
  </w:footnote>
  <w:footnote w:id="13">
    <w:p w14:paraId="5E0814C7" w14:textId="4A705CC2" w:rsidR="00242016" w:rsidRDefault="00242016">
      <w:pPr>
        <w:pStyle w:val="FootnoteText"/>
      </w:pPr>
      <w:r>
        <w:rPr>
          <w:rStyle w:val="FootnoteReference"/>
        </w:rPr>
        <w:footnoteRef/>
      </w:r>
      <w:r>
        <w:t xml:space="preserve"> </w:t>
      </w:r>
      <w:r w:rsidR="004A50CF" w:rsidRPr="004A50CF">
        <w:t>Amnesty International Report 2023/2024, section on Greece.</w:t>
      </w:r>
    </w:p>
  </w:footnote>
  <w:footnote w:id="14">
    <w:p w14:paraId="077BA577" w14:textId="3C81B69A" w:rsidR="004A50CF" w:rsidRDefault="004A50CF">
      <w:pPr>
        <w:pStyle w:val="FootnoteText"/>
      </w:pPr>
      <w:r>
        <w:rPr>
          <w:rStyle w:val="FootnoteReference"/>
        </w:rPr>
        <w:footnoteRef/>
      </w:r>
      <w:r>
        <w:t xml:space="preserve"> </w:t>
      </w:r>
      <w:r w:rsidR="00AE206B">
        <w:t>See</w:t>
      </w:r>
      <w:r w:rsidRPr="004A50CF">
        <w:t> </w:t>
      </w:r>
      <w:hyperlink r:id="rId6" w:tgtFrame="_blank" w:history="1">
        <w:r w:rsidRPr="004A50CF">
          <w:rPr>
            <w:rStyle w:val="Hyperlink"/>
          </w:rPr>
          <w:t>https://thepressproject.gr/ypothesi-manioudaki-poiniki-dioxi-gia-anthropoktonia-kata-ton-4-eblekomenon-astynomikon/</w:t>
        </w:r>
      </w:hyperlink>
      <w:r w:rsidRPr="004A50CF">
        <w:t>. </w:t>
      </w:r>
    </w:p>
  </w:footnote>
  <w:footnote w:id="15">
    <w:p w14:paraId="3B826AAE" w14:textId="4C963442" w:rsidR="00EA642C" w:rsidRPr="00FF7135" w:rsidRDefault="00EA642C">
      <w:pPr>
        <w:pStyle w:val="FootnoteText"/>
      </w:pPr>
      <w:r>
        <w:rPr>
          <w:rStyle w:val="FootnoteReference"/>
        </w:rPr>
        <w:footnoteRef/>
      </w:r>
      <w:r w:rsidRPr="00FF7135">
        <w:t xml:space="preserve"> </w:t>
      </w:r>
      <w:r w:rsidR="00FF7135" w:rsidRPr="00FF7135">
        <w:rPr>
          <w:rStyle w:val="Hyperlink"/>
        </w:rPr>
        <w:t xml:space="preserve"> </w:t>
      </w:r>
      <w:r w:rsidR="00FF7135" w:rsidRPr="00FF7135">
        <w:t>See</w:t>
      </w:r>
      <w:r w:rsidR="00FF7135">
        <w:t xml:space="preserve">: </w:t>
      </w:r>
      <w:r w:rsidR="00FF7135" w:rsidRPr="00FF7135">
        <w:t xml:space="preserve"> https://rm.coe.int/report-on-athens-roundtable-on-professional-policing/168096610d</w:t>
      </w:r>
    </w:p>
  </w:footnote>
  <w:footnote w:id="16">
    <w:p w14:paraId="6E57FB5A" w14:textId="4DD701A4" w:rsidR="00BF7102" w:rsidRPr="00FF7135" w:rsidRDefault="00BF7102">
      <w:pPr>
        <w:pStyle w:val="FootnoteText"/>
      </w:pPr>
      <w:r>
        <w:rPr>
          <w:rStyle w:val="FootnoteReference"/>
        </w:rPr>
        <w:footnoteRef/>
      </w:r>
      <w:r w:rsidRPr="00FF7135">
        <w:t xml:space="preserve"> </w:t>
      </w:r>
      <w:r w:rsidR="00AE206B" w:rsidRPr="00FF7135">
        <w:t>See</w:t>
      </w:r>
      <w:r w:rsidRPr="00FF7135">
        <w:t> </w:t>
      </w:r>
      <w:hyperlink r:id="rId7" w:tgtFrame="_blank" w:history="1">
        <w:r w:rsidRPr="00FF7135">
          <w:rPr>
            <w:rStyle w:val="Hyperlink"/>
          </w:rPr>
          <w:t>https://www.synigoros.gr/en/category/e8nikos-mhxanismos-diereynhshs-peristatikwn-ay8airesias/post/deltio-typoy-or-to-symboylio-ths-eyrwphs-zhta-enisxysh-toy-e8nikoy-mhxanismoy-diereynhshs-peristatikwn-ay8airesias</w:t>
        </w:r>
      </w:hyperlink>
      <w:r w:rsidRPr="00FF7135">
        <w:t>. </w:t>
      </w:r>
    </w:p>
  </w:footnote>
  <w:footnote w:id="17">
    <w:p w14:paraId="0B77A83D" w14:textId="6FA8204F" w:rsidR="00583289" w:rsidRDefault="00583289">
      <w:pPr>
        <w:pStyle w:val="FootnoteText"/>
      </w:pPr>
      <w:r>
        <w:rPr>
          <w:rStyle w:val="FootnoteReference"/>
        </w:rPr>
        <w:footnoteRef/>
      </w:r>
      <w:r>
        <w:t xml:space="preserve"> </w:t>
      </w:r>
      <w:r w:rsidRPr="00583289">
        <w:t>For more detailed and sources for the information in this section see: Amnesty International, </w:t>
      </w:r>
      <w:r w:rsidRPr="00583289">
        <w:rPr>
          <w:i/>
          <w:iCs/>
        </w:rPr>
        <w:t>Greece: 6 Months On, No Justice for Pylos Shipwreck</w:t>
      </w:r>
      <w:r w:rsidRPr="00583289">
        <w:t>, 14 December 2023, Index Number: EUR 25/7518/2023, </w:t>
      </w:r>
      <w:hyperlink r:id="rId8" w:tgtFrame="_blank" w:history="1">
        <w:r w:rsidRPr="00583289">
          <w:rPr>
            <w:rStyle w:val="Hyperlink"/>
          </w:rPr>
          <w:t>www.amnesty.eu/wp-content/uploads/2023/12/12dec-Embargoed-AI-HRW-Pylos-Briefing-EUR2575182023eng.pdf</w:t>
        </w:r>
      </w:hyperlink>
      <w:r>
        <w:t>.</w:t>
      </w:r>
    </w:p>
  </w:footnote>
  <w:footnote w:id="18">
    <w:p w14:paraId="127C92A2" w14:textId="77777777" w:rsidR="00C82D09" w:rsidRPr="00C82D09" w:rsidRDefault="00C82D09" w:rsidP="00C82D09">
      <w:pPr>
        <w:pStyle w:val="FootnoteText"/>
      </w:pPr>
      <w:r>
        <w:rPr>
          <w:rStyle w:val="FootnoteReference"/>
        </w:rPr>
        <w:footnoteRef/>
      </w:r>
      <w:r>
        <w:t xml:space="preserve"> </w:t>
      </w:r>
      <w:r w:rsidRPr="00C82D09">
        <w:t>Ibid., p. 4 </w:t>
      </w:r>
    </w:p>
    <w:p w14:paraId="5CEEE1CB" w14:textId="6182E417" w:rsidR="00C82D09" w:rsidRDefault="00C82D09">
      <w:pPr>
        <w:pStyle w:val="FootnoteText"/>
      </w:pPr>
      <w:r w:rsidRPr="00C82D09">
        <w:t> European Court of Human Rights, Safi and Others v. Greece (no. 5418/15), 7 July 2022; European Anti-Fraud Office (OLAF), Final Report on Frontex, available at: </w:t>
      </w:r>
      <w:hyperlink r:id="rId9" w:tgtFrame="_blank" w:history="1">
        <w:r w:rsidRPr="00C82D09">
          <w:rPr>
            <w:rStyle w:val="Hyperlink"/>
          </w:rPr>
          <w:t>https://fragdenstaat.de/dokumente/233972-olaffinal-report-on-Frontex/</w:t>
        </w:r>
      </w:hyperlink>
      <w:r w:rsidRPr="00C82D09">
        <w:t>  </w:t>
      </w:r>
    </w:p>
  </w:footnote>
  <w:footnote w:id="19">
    <w:p w14:paraId="62E68278" w14:textId="3D19F1E7" w:rsidR="00EE0D55" w:rsidRDefault="00EE0D55">
      <w:pPr>
        <w:pStyle w:val="FootnoteText"/>
      </w:pPr>
      <w:r>
        <w:rPr>
          <w:rStyle w:val="FootnoteReference"/>
        </w:rPr>
        <w:footnoteRef/>
      </w:r>
      <w:r>
        <w:t xml:space="preserve"> </w:t>
      </w:r>
      <w:r w:rsidRPr="00EE0D55">
        <w:t>Amnesty International, </w:t>
      </w:r>
      <w:r w:rsidRPr="00EE0D55">
        <w:rPr>
          <w:i/>
          <w:iCs/>
        </w:rPr>
        <w:t>Greece: 6 Months On, No Justice for Pylos Shipwreck</w:t>
      </w:r>
      <w:r w:rsidRPr="00EE0D55">
        <w:t>, above.</w:t>
      </w:r>
    </w:p>
  </w:footnote>
  <w:footnote w:id="20">
    <w:p w14:paraId="7661958E" w14:textId="2A0AC9A0" w:rsidR="00F503BC" w:rsidRDefault="00F503BC">
      <w:pPr>
        <w:pStyle w:val="FootnoteText"/>
      </w:pPr>
      <w:r>
        <w:rPr>
          <w:rStyle w:val="FootnoteReference"/>
        </w:rPr>
        <w:footnoteRef/>
      </w:r>
      <w:r>
        <w:t xml:space="preserve"> </w:t>
      </w:r>
      <w:r w:rsidRPr="00F503BC">
        <w:t>The Greek Ombudsman, The Greek Ombudsman investigates the Pylos shipwreck case, 9 November 2023, </w:t>
      </w:r>
      <w:hyperlink r:id="rId10" w:tgtFrame="_blank" w:history="1">
        <w:r w:rsidRPr="00F503BC">
          <w:rPr>
            <w:rStyle w:val="Hyperlink"/>
          </w:rPr>
          <w:t>www.synigoros.gr/en/category/nea/post/press-release-or-the-greek-ombudsman-investigates-the-pylos-shipwreck-case</w:t>
        </w:r>
      </w:hyperlink>
      <w:r w:rsidRPr="00F503BC">
        <w:t>; For recent developments see: Politico, Greece’s watchdog summons head of coast guard to explain deadly shipwreck, 25 June 2024, </w:t>
      </w:r>
      <w:hyperlink r:id="rId11" w:tgtFrame="_blank" w:history="1">
        <w:r w:rsidRPr="00F503BC">
          <w:rPr>
            <w:rStyle w:val="Hyperlink"/>
          </w:rPr>
          <w:t>www.politico.eu/article/greece-ombudsman-summons-head-greek-coast-guard-pylos-shipwreck/</w:t>
        </w:r>
      </w:hyperlink>
      <w:r>
        <w:t>.</w:t>
      </w:r>
      <w:r w:rsidRPr="00F503BC">
        <w:t> </w:t>
      </w:r>
    </w:p>
  </w:footnote>
  <w:footnote w:id="21">
    <w:p w14:paraId="6E8C1D3F" w14:textId="7CF1FDAB" w:rsidR="00F64D37" w:rsidRDefault="00F64D37">
      <w:pPr>
        <w:pStyle w:val="FootnoteText"/>
      </w:pPr>
      <w:r>
        <w:rPr>
          <w:rStyle w:val="FootnoteReference"/>
        </w:rPr>
        <w:footnoteRef/>
      </w:r>
      <w:r>
        <w:t xml:space="preserve"> </w:t>
      </w:r>
      <w:r w:rsidRPr="00F64D37">
        <w:t>For details see: Amnesty International, </w:t>
      </w:r>
      <w:r w:rsidRPr="00F64D37">
        <w:rPr>
          <w:i/>
          <w:iCs/>
        </w:rPr>
        <w:t>Greece: Violence, lies, and pushbacks – Refugees and migrants still denied safety and asylum at Europe’s borders</w:t>
      </w:r>
      <w:r w:rsidRPr="00F64D37">
        <w:t>, 23 June 2021, Index Number: EUR 25/4307/2021, at: </w:t>
      </w:r>
      <w:hyperlink r:id="rId12" w:tgtFrame="_blank" w:history="1">
        <w:r w:rsidRPr="00F64D37">
          <w:rPr>
            <w:rStyle w:val="Hyperlink"/>
          </w:rPr>
          <w:t>www.amnesty.org/en/documents/eur25/4307/2021/en/</w:t>
        </w:r>
      </w:hyperlink>
      <w:r w:rsidRPr="00F64D37">
        <w:t> </w:t>
      </w:r>
    </w:p>
  </w:footnote>
  <w:footnote w:id="22">
    <w:p w14:paraId="58999B14" w14:textId="624F2AFF" w:rsidR="00B94B75" w:rsidRDefault="00B94B75">
      <w:pPr>
        <w:pStyle w:val="FootnoteText"/>
      </w:pPr>
      <w:r>
        <w:rPr>
          <w:rStyle w:val="FootnoteReference"/>
        </w:rPr>
        <w:footnoteRef/>
      </w:r>
      <w:r>
        <w:t xml:space="preserve"> </w:t>
      </w:r>
      <w:r w:rsidRPr="00B94B75">
        <w:t>For details see: Amnesty International, Europe: Caught in a political game: Asylum-seekers and migrants on the Greece/Turkey border pay the price for Europe’s failures, 2 April 2020, Index Number: EUR 01/2077/2020, at: </w:t>
      </w:r>
      <w:hyperlink r:id="rId13" w:tgtFrame="_blank" w:history="1">
        <w:r w:rsidRPr="00B94B75">
          <w:rPr>
            <w:rStyle w:val="Hyperlink"/>
          </w:rPr>
          <w:t>www.amnesty.org/en/documents/eur01/2077/2020/en/</w:t>
        </w:r>
      </w:hyperlink>
      <w:r w:rsidRPr="00B94B75">
        <w:t> </w:t>
      </w:r>
    </w:p>
  </w:footnote>
  <w:footnote w:id="23">
    <w:p w14:paraId="1941E04B" w14:textId="5022D5D3" w:rsidR="002B36DC" w:rsidRDefault="002B36DC">
      <w:pPr>
        <w:pStyle w:val="FootnoteText"/>
      </w:pPr>
      <w:r>
        <w:rPr>
          <w:rStyle w:val="FootnoteReference"/>
        </w:rPr>
        <w:footnoteRef/>
      </w:r>
      <w:r>
        <w:t xml:space="preserve"> </w:t>
      </w:r>
      <w:r w:rsidRPr="002B36DC">
        <w:t>For further Information see: </w:t>
      </w:r>
      <w:proofErr w:type="spellStart"/>
      <w:r w:rsidRPr="002B36DC">
        <w:t>Euractiv</w:t>
      </w:r>
      <w:proofErr w:type="spellEnd"/>
      <w:r w:rsidRPr="002B36DC">
        <w:t>, “Commission asks Greece for transparency on pushbacks to release migration funds”, 13 September 2021, </w:t>
      </w:r>
      <w:hyperlink r:id="rId14" w:tgtFrame="_blank" w:history="1">
        <w:r w:rsidRPr="002B36DC">
          <w:rPr>
            <w:rStyle w:val="Hyperlink"/>
          </w:rPr>
          <w:t>www.euractiv.com/section/justice-home-affairs/news/commission-asks-greece-fortransparency-on-pushbacks-to-release-migration-funds/</w:t>
        </w:r>
      </w:hyperlink>
      <w:r w:rsidRPr="002B36DC">
        <w:t>; Greek Council for Refugees, Joint NGO Briefing on the situation in Greece, 27 October 2021, at: </w:t>
      </w:r>
      <w:hyperlink r:id="rId15" w:tgtFrame="_blank" w:history="1">
        <w:r w:rsidRPr="002B36DC">
          <w:rPr>
            <w:rStyle w:val="Hyperlink"/>
          </w:rPr>
          <w:t>https://www.gcr.gr/media/k2/attachments/Joint_NGO_Briefing_on_the_situation_in_Greece_27_10_2021.pdf</w:t>
        </w:r>
      </w:hyperlink>
      <w:r w:rsidRPr="002B36DC">
        <w:t>; Spiegel, EU Commission blocks payments to Greek coast guard, 29 August 2021, </w:t>
      </w:r>
      <w:hyperlink r:id="rId16" w:tgtFrame="_blank" w:history="1">
        <w:r w:rsidRPr="002B36DC">
          <w:rPr>
            <w:rStyle w:val="Hyperlink"/>
          </w:rPr>
          <w:t>www.spiegel.de/ausland/pushbacks-von-fluechtlingen-eu-kommission-kuerzt-griechischer-kuestenwache-das-geld-a-028e8f42-cb75-41b9-97dd-bc28add93967</w:t>
        </w:r>
      </w:hyperlink>
      <w:r w:rsidRPr="002B36DC">
        <w:t>  </w:t>
      </w:r>
    </w:p>
  </w:footnote>
  <w:footnote w:id="24">
    <w:p w14:paraId="1A34DBF1" w14:textId="63A8813B" w:rsidR="005C647F" w:rsidRDefault="005C647F">
      <w:pPr>
        <w:pStyle w:val="FootnoteText"/>
      </w:pPr>
      <w:r>
        <w:rPr>
          <w:rStyle w:val="FootnoteReference"/>
        </w:rPr>
        <w:footnoteRef/>
      </w:r>
      <w:r>
        <w:t xml:space="preserve"> </w:t>
      </w:r>
      <w:r w:rsidRPr="005C647F">
        <w:t>For further Information see: </w:t>
      </w:r>
      <w:proofErr w:type="spellStart"/>
      <w:r w:rsidRPr="005C647F">
        <w:t>Efsyn</w:t>
      </w:r>
      <w:proofErr w:type="spellEnd"/>
      <w:r w:rsidRPr="005C647F">
        <w:t>, Independent mechanism for refugees... in secret, 15 September 2021,  </w:t>
      </w:r>
      <w:hyperlink r:id="rId17" w:tgtFrame="_blank" w:history="1">
        <w:r w:rsidRPr="005C647F">
          <w:rPr>
            <w:rStyle w:val="Hyperlink"/>
          </w:rPr>
          <w:t>https://www.efsyn.gr/ellada/dikaiomata/310350_anexartitos-mihanismos-gia-toys-prosfyges-enkrypto</w:t>
        </w:r>
      </w:hyperlink>
      <w:r w:rsidRPr="005C647F">
        <w:t>; Fenixad, Joint NGO Briefing on the situation in Greece,1 November 2021, </w:t>
      </w:r>
      <w:hyperlink r:id="rId18" w:tgtFrame="_blank" w:history="1">
        <w:r w:rsidRPr="005C647F">
          <w:rPr>
            <w:rStyle w:val="Hyperlink"/>
          </w:rPr>
          <w:t>www.fenixaid.org/post/joint-ngo-briefing-on-the-situation-in-greece</w:t>
        </w:r>
      </w:hyperlink>
      <w:r w:rsidRPr="005C647F">
        <w:t>.  </w:t>
      </w:r>
    </w:p>
  </w:footnote>
  <w:footnote w:id="25">
    <w:p w14:paraId="3D2D570A" w14:textId="407B34A7" w:rsidR="00C71343" w:rsidRDefault="00C71343">
      <w:pPr>
        <w:pStyle w:val="FootnoteText"/>
      </w:pPr>
      <w:r>
        <w:rPr>
          <w:rStyle w:val="FootnoteReference"/>
        </w:rPr>
        <w:footnoteRef/>
      </w:r>
      <w:r>
        <w:t xml:space="preserve"> </w:t>
      </w:r>
      <w:r w:rsidRPr="00C71343">
        <w:t> See: ECRE, Greece – Greek Council for Refugees, Access to the territory and push backs, </w:t>
      </w:r>
      <w:hyperlink r:id="rId19" w:tgtFrame="_blank" w:history="1">
        <w:r w:rsidRPr="00C71343">
          <w:rPr>
            <w:rStyle w:val="Hyperlink"/>
          </w:rPr>
          <w:t>https://asylumineurope.org/reports/country/greece/asylum-procedure/access-procedure-and-registration/access-territory-and-push-backs/</w:t>
        </w:r>
      </w:hyperlink>
      <w:r w:rsidRPr="00C71343">
        <w:t>; GNCHR, Recording Mechanism of incidents of informal forced returns, Annual Report 2022, December 2023, </w:t>
      </w:r>
      <w:hyperlink r:id="rId20" w:tgtFrame="_blank" w:history="1">
        <w:r w:rsidRPr="00C71343">
          <w:rPr>
            <w:rStyle w:val="Hyperlink"/>
          </w:rPr>
          <w:t>www.nchr.gr/images/pdf/RecMechanism/Annual_Report_2022_compressed_1.pdf</w:t>
        </w:r>
      </w:hyperlink>
      <w:r w:rsidRPr="00C71343">
        <w:t>, and GNCHR, Recording Mechanism of incidents of informal forced returns, Interim Report, January 2023, </w:t>
      </w:r>
      <w:hyperlink r:id="rId21" w:tgtFrame="_blank" w:history="1">
        <w:r w:rsidRPr="00C71343">
          <w:rPr>
            <w:rStyle w:val="Hyperlink"/>
          </w:rPr>
          <w:t>www.nchr.gr/images/pdf/nea_epikairothta/deltia_tupou/2023/Interim_Report_Mechanism_en.pdf</w:t>
        </w:r>
      </w:hyperlink>
      <w:r w:rsidRPr="00C71343">
        <w:t>. The CPT also reported allegations of pushbacks received by people interviewed in the context of their latest visit in 2023. CPT, Report to the Greek Government on the visit to Greece carried out by the [CPT] from 20 November to 1 December 2023, 12 July 2024, </w:t>
      </w:r>
      <w:hyperlink r:id="rId22" w:tgtFrame="_blank" w:history="1">
        <w:r w:rsidRPr="00C71343">
          <w:rPr>
            <w:rStyle w:val="Hyperlink"/>
          </w:rPr>
          <w:t>https://rm.coe.int/1680b0e4e1</w:t>
        </w:r>
      </w:hyperlink>
      <w:r w:rsidRPr="00C71343">
        <w:t>  </w:t>
      </w:r>
    </w:p>
  </w:footnote>
  <w:footnote w:id="26">
    <w:p w14:paraId="085D57DA" w14:textId="2872E786" w:rsidR="00C71343" w:rsidRDefault="00C71343">
      <w:pPr>
        <w:pStyle w:val="FootnoteText"/>
      </w:pPr>
      <w:r>
        <w:rPr>
          <w:rStyle w:val="FootnoteReference"/>
        </w:rPr>
        <w:footnoteRef/>
      </w:r>
      <w:r>
        <w:t xml:space="preserve"> </w:t>
      </w:r>
      <w:r w:rsidRPr="00C71343">
        <w:t>Amnesty International and others, Joint NGO Statement: No monitoring of fundamental rights violations in Greece without independent and effective mechanisms, </w:t>
      </w:r>
      <w:hyperlink r:id="rId23" w:tgtFrame="_blank" w:history="1">
        <w:r w:rsidRPr="00C71343">
          <w:rPr>
            <w:rStyle w:val="Hyperlink"/>
          </w:rPr>
          <w:t>21 June 2023, www.amnesty.eu/news/joint-ngo-statement-no-monitoring-of-fundamental-rights-violations-in-greece-without-independent-and-effective-mechanisms/</w:t>
        </w:r>
      </w:hyperlink>
      <w:r w:rsidRPr="00C71343">
        <w:t>. Also Amnesty International and other NGOs, “Greece: Joint open letter to members of the Hellenic Parliament calling for an investigation into border abuses”, Index: EUR 25/3196/2020, 6 October 2020, </w:t>
      </w:r>
      <w:hyperlink r:id="rId24" w:tgtFrame="_blank" w:history="1">
        <w:r w:rsidRPr="00C71343">
          <w:rPr>
            <w:rStyle w:val="Hyperlink"/>
          </w:rPr>
          <w:t>www.amnesty.org/en/documents/eur25/3196/2020/en/</w:t>
        </w:r>
      </w:hyperlink>
      <w:r w:rsidRPr="00C71343">
        <w:t> </w:t>
      </w:r>
    </w:p>
  </w:footnote>
  <w:footnote w:id="27">
    <w:p w14:paraId="30461263" w14:textId="203F4F54" w:rsidR="00DF1FCD" w:rsidRDefault="00DF1FCD">
      <w:pPr>
        <w:pStyle w:val="FootnoteText"/>
      </w:pPr>
      <w:r>
        <w:rPr>
          <w:rStyle w:val="FootnoteReference"/>
        </w:rPr>
        <w:footnoteRef/>
      </w:r>
      <w:r>
        <w:t xml:space="preserve"> </w:t>
      </w:r>
      <w:r w:rsidRPr="00DF1FCD">
        <w:t>The ECRE 2023 report on Greece outlines further concerns about the operation of the NTA. ECRE, Greece – Greek Council for Refugees, Access to the territory and push backs, above.</w:t>
      </w:r>
    </w:p>
  </w:footnote>
  <w:footnote w:id="28">
    <w:p w14:paraId="24EA84F1" w14:textId="2FA0F540" w:rsidR="00DF1FCD" w:rsidRDefault="00DF1FCD">
      <w:pPr>
        <w:pStyle w:val="FootnoteText"/>
      </w:pPr>
      <w:r>
        <w:rPr>
          <w:rStyle w:val="FootnoteReference"/>
        </w:rPr>
        <w:footnoteRef/>
      </w:r>
      <w:r>
        <w:t xml:space="preserve"> </w:t>
      </w:r>
      <w:r w:rsidRPr="00DF1FCD">
        <w:t>Joint NGO Statement: No monitoring of fundamental rights violations in Greece without independent and effective mechanisms, above; Hellenic Republic, Ministry of Migration and Asylum (MoMA), The Fundamental Rights Officer at the Ministry of Migration and Asylum was appointed, 2 December 2022, </w:t>
      </w:r>
      <w:hyperlink r:id="rId25" w:tgtFrame="_blank" w:history="1">
        <w:r w:rsidRPr="00DF1FCD">
          <w:rPr>
            <w:rStyle w:val="Hyperlink"/>
          </w:rPr>
          <w:t>https://migration.gov.gr/the-fundamental-rights-officer-at-the-ministry-of-migration-and-asylum-was-appointed/m</w:t>
        </w:r>
      </w:hyperlink>
      <w:r w:rsidRPr="00DF1FCD">
        <w:t>; Refugee Support Aegean (RSA), Rule of law backsliding continues in Greece, 27 January 2023, </w:t>
      </w:r>
      <w:hyperlink r:id="rId26" w:tgtFrame="_blank" w:history="1">
        <w:r w:rsidRPr="00DF1FCD">
          <w:rPr>
            <w:rStyle w:val="Hyperlink"/>
          </w:rPr>
          <w:t>https://rsaegean.org/en/rule-of-law-greece-report/</w:t>
        </w:r>
      </w:hyperlink>
      <w:r w:rsidRPr="00DF1FCD">
        <w:t>; </w:t>
      </w:r>
      <w:hyperlink r:id="rId27" w:anchor="!/?article=54019" w:tgtFrame="_blank" w:history="1">
        <w:r w:rsidRPr="00DF1FCD">
          <w:rPr>
            <w:rStyle w:val="Hyperlink"/>
          </w:rPr>
          <w:t>https://www.forin.gr/laws/law/4168/n-4960-2022#!/?article=54019</w:t>
        </w:r>
      </w:hyperlink>
      <w:r w:rsidRPr="00DF1FCD">
        <w:t>; Law 4960/2022, Art. 49; </w:t>
      </w:r>
      <w:proofErr w:type="spellStart"/>
      <w:r w:rsidRPr="00DF1FCD">
        <w:t>Aftodioikisi</w:t>
      </w:r>
      <w:proofErr w:type="spellEnd"/>
      <w:r w:rsidRPr="00DF1FCD">
        <w:t>, [the Greek Ombudsman’s] reservations about his participation in committees of the Ministry. Immigration (unofficial translation from Greek), 7 September 2022, </w:t>
      </w:r>
      <w:hyperlink r:id="rId28" w:tgtFrame="_blank" w:history="1">
        <w:r w:rsidRPr="00DF1FCD">
          <w:rPr>
            <w:rStyle w:val="Hyperlink"/>
          </w:rPr>
          <w:t>www.aftodioikisi.gr/ipourgeia/epifylaxeis-stp-gia-ti-symmetochi-toy-se-epitropes-toy-yp-metanasteysis/</w:t>
        </w:r>
      </w:hyperlink>
      <w:r w:rsidRPr="00DF1FCD">
        <w:t>. MoMA, Fundamental Rights Complaints Mechanism, </w:t>
      </w:r>
      <w:hyperlink r:id="rId29" w:tgtFrame="_blank" w:history="1">
        <w:r w:rsidRPr="00DF1FCD">
          <w:rPr>
            <w:rStyle w:val="Hyperlink"/>
          </w:rPr>
          <w:t>https://migration.gov.gr/fro-complaints/</w:t>
        </w:r>
      </w:hyperlink>
      <w:r w:rsidRPr="00DF1FCD">
        <w:t>  </w:t>
      </w:r>
    </w:p>
  </w:footnote>
  <w:footnote w:id="29">
    <w:p w14:paraId="6629987F" w14:textId="7423461F" w:rsidR="003451A8" w:rsidRDefault="003451A8">
      <w:pPr>
        <w:pStyle w:val="FootnoteText"/>
      </w:pPr>
      <w:r>
        <w:rPr>
          <w:rStyle w:val="FootnoteReference"/>
        </w:rPr>
        <w:footnoteRef/>
      </w:r>
      <w:r>
        <w:t xml:space="preserve"> </w:t>
      </w:r>
      <w:r w:rsidRPr="003451A8">
        <w:t>ECRE, Greece - Access to the territory and push backs, above, citing:</w:t>
      </w:r>
      <w:r w:rsidRPr="003451A8">
        <w:rPr>
          <w:rFonts w:ascii="Arial" w:hAnsi="Arial"/>
        </w:rPr>
        <w:t> </w:t>
      </w:r>
      <w:r w:rsidRPr="003451A8">
        <w:t>The</w:t>
      </w:r>
      <w:r w:rsidRPr="003451A8">
        <w:rPr>
          <w:rFonts w:cs="Amnesty Trade Gothic Light"/>
        </w:rPr>
        <w:t> </w:t>
      </w:r>
      <w:r w:rsidRPr="003451A8">
        <w:t>Greek Ombudsman,</w:t>
      </w:r>
      <w:r w:rsidRPr="003451A8">
        <w:rPr>
          <w:rFonts w:ascii="Arial" w:hAnsi="Arial"/>
        </w:rPr>
        <w:t> </w:t>
      </w:r>
      <w:r w:rsidRPr="003451A8">
        <w:rPr>
          <w:i/>
          <w:iCs/>
        </w:rPr>
        <w:t>The Ombudsman’s reservations regarding his participation in committees of the Ministry of Migration and Asylum</w:t>
      </w:r>
      <w:r w:rsidRPr="003451A8">
        <w:t>, 29 July 2022, </w:t>
      </w:r>
      <w:hyperlink r:id="rId30" w:tgtFrame="_blank" w:history="1">
        <w:r w:rsidRPr="003451A8">
          <w:rPr>
            <w:rStyle w:val="Hyperlink"/>
          </w:rPr>
          <w:t>https://www.synigoros.gr/en/category/nea/post/the-ombudsman's-reservations-regarding-his-participation-in-committees-of-the-ministry-of-migration-and-asylum</w:t>
        </w:r>
      </w:hyperlink>
      <w:r w:rsidRPr="003451A8">
        <w:t>; GNCHR, Letter to the Secretary General of the Ministry of Immigration and Asylum, 21 October 2022, </w:t>
      </w:r>
      <w:hyperlink r:id="rId31" w:tgtFrame="_blank" w:history="1">
        <w:r w:rsidRPr="003451A8">
          <w:rPr>
            <w:rStyle w:val="Hyperlink"/>
          </w:rPr>
          <w:t>https://www.nchr.gr/images/pdf/nea_epikairothta/epistoles/epistoli_YMA_211022.pdf</w:t>
        </w:r>
      </w:hyperlink>
      <w:r w:rsidRPr="003451A8">
        <w:t>. The Committee is regulated under Article 50, L. 4960/2022, at: </w:t>
      </w:r>
      <w:hyperlink r:id="rId32" w:tgtFrame="_blank" w:history="1">
        <w:r w:rsidRPr="003451A8">
          <w:rPr>
            <w:rStyle w:val="Hyperlink"/>
          </w:rPr>
          <w:t>https://www.kodiko.gr/nomothesia/document/809570/nomos-4960-2022</w:t>
        </w:r>
      </w:hyperlink>
      <w:r w:rsidRPr="003451A8">
        <w:t>, and Joint Ministerial Decision no. 329937/2023.  </w:t>
      </w:r>
    </w:p>
  </w:footnote>
  <w:footnote w:id="30">
    <w:p w14:paraId="1479AB9C" w14:textId="7C0ED70F" w:rsidR="000C1D19" w:rsidRDefault="000C1D19">
      <w:pPr>
        <w:pStyle w:val="FootnoteText"/>
      </w:pPr>
      <w:r>
        <w:rPr>
          <w:rStyle w:val="FootnoteReference"/>
        </w:rPr>
        <w:footnoteRef/>
      </w:r>
      <w:r>
        <w:t xml:space="preserve"> </w:t>
      </w:r>
      <w:r w:rsidRPr="000C1D19">
        <w:t>For the complete information and sources for the information in this section see: Amnesty International, </w:t>
      </w:r>
      <w:r w:rsidRPr="000C1D19">
        <w:rPr>
          <w:i/>
          <w:iCs/>
        </w:rPr>
        <w:t>Greece: Samos: “We feel in prison on the island”: Unlawful detention and sub-standard conditions in an EU-funded refugee centre</w:t>
      </w:r>
      <w:r w:rsidRPr="000C1D19">
        <w:t>, 30 July 2024, </w:t>
      </w:r>
      <w:hyperlink r:id="rId33" w:tgtFrame="_blank" w:history="1">
        <w:r w:rsidRPr="000C1D19">
          <w:rPr>
            <w:rStyle w:val="Hyperlink"/>
          </w:rPr>
          <w:t>www.amnesty.org/en/documents/eur25/8356/2024/en/</w:t>
        </w:r>
      </w:hyperlink>
      <w:r w:rsidRPr="000C1D19">
        <w:t>.</w:t>
      </w:r>
    </w:p>
  </w:footnote>
  <w:footnote w:id="31">
    <w:p w14:paraId="623BA058" w14:textId="4D8D352A" w:rsidR="007C5E71" w:rsidRDefault="007C5E71">
      <w:pPr>
        <w:pStyle w:val="FootnoteText"/>
      </w:pPr>
      <w:r>
        <w:rPr>
          <w:rStyle w:val="FootnoteReference"/>
        </w:rPr>
        <w:footnoteRef/>
      </w:r>
      <w:r>
        <w:t xml:space="preserve"> </w:t>
      </w:r>
      <w:r w:rsidRPr="007C5E71">
        <w:t>Law no. 4686/2020, Article 30. More details and sources for the information in this paragraph can be found at:  Amnesty International, </w:t>
      </w:r>
      <w:r w:rsidRPr="007C5E71">
        <w:rPr>
          <w:i/>
          <w:iCs/>
        </w:rPr>
        <w:t>Submission to the Committee of ministers in the M.S.S. and Rahimi groups of cases v. Greece, (applications no. 30696/09 and no. 8687/08)</w:t>
      </w:r>
      <w:r w:rsidRPr="007C5E71">
        <w:t>, 6 august 2020, AI index: EUR 25/3063/2020, at: </w:t>
      </w:r>
      <w:hyperlink r:id="rId34" w:tgtFrame="_blank" w:history="1">
        <w:r w:rsidRPr="007C5E71">
          <w:rPr>
            <w:rStyle w:val="Hyperlink"/>
          </w:rPr>
          <w:t>https://www.amnesty.org/en/documents/eur25/3063/2020/en/</w:t>
        </w:r>
      </w:hyperlink>
      <w:r w:rsidRPr="007C5E71">
        <w:t>. Also: Joint NGO statement (45 entities including Amnesty International), “One year after the Moria fire: Few lessons learned as Greece expands barriers to refugees’ protection”, 8 September 2021, at: </w:t>
      </w:r>
      <w:hyperlink r:id="rId35" w:tgtFrame="_blank" w:history="1">
        <w:r w:rsidRPr="007C5E71">
          <w:rPr>
            <w:rStyle w:val="Hyperlink"/>
          </w:rPr>
          <w:t>www.amnesty.eu/news/one-year-after-the-moria-fire-few-lessons-learned-as-greece-expands-barriers-to-refugees-protection/</w:t>
        </w:r>
      </w:hyperlink>
      <w:r w:rsidR="000F39EA">
        <w:t>.</w:t>
      </w:r>
    </w:p>
  </w:footnote>
  <w:footnote w:id="32">
    <w:p w14:paraId="1F631A9E" w14:textId="1F16ECF5" w:rsidR="007C5E71" w:rsidRDefault="007C5E71">
      <w:pPr>
        <w:pStyle w:val="FootnoteText"/>
      </w:pPr>
      <w:r>
        <w:rPr>
          <w:rStyle w:val="FootnoteReference"/>
        </w:rPr>
        <w:footnoteRef/>
      </w:r>
      <w:r>
        <w:t xml:space="preserve"> </w:t>
      </w:r>
      <w:r w:rsidRPr="007C5E71">
        <w:rPr>
          <w:lang w:val="en-US"/>
        </w:rPr>
        <w:t>For an overview of the state of CCACs on the Aegean islands see: RSA, “What is happening today in the refugee structures on the Aegean islands”, </w:t>
      </w:r>
      <w:hyperlink r:id="rId36" w:tgtFrame="_blank" w:history="1">
        <w:r w:rsidRPr="007C5E71">
          <w:rPr>
            <w:rStyle w:val="Hyperlink"/>
            <w:lang w:val="en-US"/>
          </w:rPr>
          <w:t>https://rsaegean.org/en/ccac-aegean-islands-greece/</w:t>
        </w:r>
      </w:hyperlink>
      <w:r w:rsidR="000F39EA">
        <w:t>.</w:t>
      </w:r>
      <w:r w:rsidRPr="007C5E71">
        <w:rPr>
          <w:lang w:val="en-US"/>
        </w:rPr>
        <w:t> </w:t>
      </w:r>
    </w:p>
  </w:footnote>
  <w:footnote w:id="33">
    <w:p w14:paraId="58BCDC3A" w14:textId="52222429" w:rsidR="00EB196A" w:rsidRDefault="00EB196A">
      <w:pPr>
        <w:pStyle w:val="FootnoteText"/>
      </w:pPr>
      <w:r>
        <w:rPr>
          <w:rStyle w:val="FootnoteReference"/>
        </w:rPr>
        <w:footnoteRef/>
      </w:r>
      <w:r>
        <w:t xml:space="preserve"> Ibid.</w:t>
      </w:r>
    </w:p>
  </w:footnote>
  <w:footnote w:id="34">
    <w:p w14:paraId="5420FB08" w14:textId="3D3D7502" w:rsidR="00EB196A" w:rsidRDefault="00EB196A">
      <w:pPr>
        <w:pStyle w:val="FootnoteText"/>
      </w:pPr>
      <w:r>
        <w:rPr>
          <w:rStyle w:val="FootnoteReference"/>
        </w:rPr>
        <w:footnoteRef/>
      </w:r>
      <w:r>
        <w:t xml:space="preserve"> </w:t>
      </w:r>
      <w:r w:rsidRPr="00EB196A">
        <w:t>EDRI/Homo Digitalis, Greek Ministry of Asylum and Migration face a record-breaking €175,000 fine for the border management systems KENTAUROS &amp; HYPERION, 17 April 2024, </w:t>
      </w:r>
      <w:hyperlink r:id="rId37" w:tgtFrame="_blank" w:history="1">
        <w:r w:rsidRPr="00EB196A">
          <w:rPr>
            <w:rStyle w:val="Hyperlink"/>
          </w:rPr>
          <w:t>https://edri.org/our-work/greek-ministry-of-asylum-and-migration-face-a-record-breaking-e175000-fine-for-the-border-management-systems-kentauros-hyperion/</w:t>
        </w:r>
      </w:hyperlink>
      <w:r w:rsidR="000F39EA">
        <w:t>.</w:t>
      </w:r>
      <w:r w:rsidRPr="00EB196A">
        <w:t> </w:t>
      </w:r>
    </w:p>
  </w:footnote>
  <w:footnote w:id="35">
    <w:p w14:paraId="0BA20485" w14:textId="679BCE92" w:rsidR="00784F43" w:rsidRDefault="00784F43">
      <w:pPr>
        <w:pStyle w:val="FootnoteText"/>
      </w:pPr>
      <w:r>
        <w:rPr>
          <w:rStyle w:val="FootnoteReference"/>
        </w:rPr>
        <w:footnoteRef/>
      </w:r>
      <w:r>
        <w:t xml:space="preserve"> </w:t>
      </w:r>
      <w:r w:rsidRPr="00784F43">
        <w:t> </w:t>
      </w:r>
      <w:r w:rsidRPr="00784F43">
        <w:rPr>
          <w:lang w:val="en-US"/>
        </w:rPr>
        <w:t>Law no. 4939 Official Gazette A 111/10.6.2022, on the Ratification of a Code of Legislation on the reception, international protection of third country citizens and stateless persons and temporary protection in the event of a mass influx of displaced foreigners.</w:t>
      </w:r>
    </w:p>
  </w:footnote>
  <w:footnote w:id="36">
    <w:p w14:paraId="4C4F029F" w14:textId="79BEA504" w:rsidR="00784F43" w:rsidRDefault="00784F43">
      <w:pPr>
        <w:pStyle w:val="FootnoteText"/>
      </w:pPr>
      <w:r>
        <w:rPr>
          <w:rStyle w:val="FootnoteReference"/>
        </w:rPr>
        <w:footnoteRef/>
      </w:r>
      <w:r>
        <w:t xml:space="preserve"> </w:t>
      </w:r>
      <w:r w:rsidRPr="00784F43">
        <w:t>Law 4939 of 2022, Art 40 </w:t>
      </w:r>
      <w:proofErr w:type="spellStart"/>
      <w:r w:rsidRPr="00784F43">
        <w:t>lett</w:t>
      </w:r>
      <w:proofErr w:type="spellEnd"/>
      <w:r w:rsidRPr="00784F43">
        <w:t> c</w:t>
      </w:r>
      <w:r w:rsidR="000F39EA">
        <w:t>.</w:t>
      </w:r>
    </w:p>
  </w:footnote>
  <w:footnote w:id="37">
    <w:p w14:paraId="7505E5C3" w14:textId="21CD7BBF" w:rsidR="000F39EA" w:rsidRDefault="000F39EA">
      <w:pPr>
        <w:pStyle w:val="FootnoteText"/>
      </w:pPr>
      <w:r>
        <w:rPr>
          <w:rStyle w:val="FootnoteReference"/>
        </w:rPr>
        <w:footnoteRef/>
      </w:r>
      <w:r>
        <w:t xml:space="preserve"> </w:t>
      </w:r>
      <w:r w:rsidRPr="000F39EA">
        <w:t> Ibid., Art 40</w:t>
      </w:r>
      <w:r>
        <w:t>.</w:t>
      </w:r>
      <w:r w:rsidRPr="000F39EA">
        <w:t> </w:t>
      </w:r>
    </w:p>
  </w:footnote>
  <w:footnote w:id="38">
    <w:p w14:paraId="37534BCC" w14:textId="63111A70" w:rsidR="000F39EA" w:rsidRDefault="000F39EA">
      <w:pPr>
        <w:pStyle w:val="FootnoteText"/>
      </w:pPr>
      <w:r>
        <w:rPr>
          <w:rStyle w:val="FootnoteReference"/>
        </w:rPr>
        <w:footnoteRef/>
      </w:r>
      <w:r>
        <w:t xml:space="preserve"> </w:t>
      </w:r>
      <w:r w:rsidRPr="000F39EA">
        <w:t> Ibid., Art 40 </w:t>
      </w:r>
      <w:proofErr w:type="spellStart"/>
      <w:r w:rsidRPr="000F39EA">
        <w:t>lett</w:t>
      </w:r>
      <w:proofErr w:type="spellEnd"/>
      <w:r w:rsidRPr="000F39EA">
        <w:t> a</w:t>
      </w:r>
      <w:r>
        <w:t>.</w:t>
      </w:r>
    </w:p>
  </w:footnote>
  <w:footnote w:id="39">
    <w:p w14:paraId="333E1A1A" w14:textId="221BDA59" w:rsidR="00683715" w:rsidRDefault="00683715">
      <w:pPr>
        <w:pStyle w:val="FootnoteText"/>
      </w:pPr>
      <w:r>
        <w:rPr>
          <w:rStyle w:val="FootnoteReference"/>
        </w:rPr>
        <w:footnoteRef/>
      </w:r>
      <w:r>
        <w:t xml:space="preserve"> </w:t>
      </w:r>
      <w:r w:rsidRPr="00683715">
        <w:t>Amnesty International, </w:t>
      </w:r>
      <w:r w:rsidRPr="00683715">
        <w:rPr>
          <w:i/>
          <w:iCs/>
        </w:rPr>
        <w:t>Greece: Samos: “We feel in prison on the island”</w:t>
      </w:r>
      <w:r w:rsidRPr="00683715">
        <w:t>, above. For an assessment of the situation in the CCAC prior to 2022 see: Amnesty International, Greece: Asylum seekers being illegally detained in new EU-funded camp, 2 December 2021, </w:t>
      </w:r>
      <w:hyperlink r:id="rId38" w:tgtFrame="_blank" w:history="1">
        <w:r w:rsidRPr="00683715">
          <w:rPr>
            <w:rStyle w:val="Hyperlink"/>
          </w:rPr>
          <w:t>www.amnesty.org/en/latest/news/2021/12/greece-asylum-seekers-being-illegally-detained-in-new-eu-funded-camp/</w:t>
        </w:r>
      </w:hyperlink>
      <w:r w:rsidRPr="00683715">
        <w:t>   </w:t>
      </w:r>
    </w:p>
  </w:footnote>
  <w:footnote w:id="40">
    <w:p w14:paraId="41FACABD" w14:textId="4330C301" w:rsidR="001C5719" w:rsidRPr="001C5719" w:rsidRDefault="001C5719">
      <w:pPr>
        <w:pStyle w:val="FootnoteText"/>
      </w:pPr>
      <w:r>
        <w:rPr>
          <w:rStyle w:val="FootnoteReference"/>
        </w:rPr>
        <w:footnoteRef/>
      </w:r>
      <w:r>
        <w:t xml:space="preserve"> Email exchange of 13 September 2024 with IOM representatives.</w:t>
      </w:r>
    </w:p>
  </w:footnote>
  <w:footnote w:id="41">
    <w:p w14:paraId="578229BE" w14:textId="02D6569F" w:rsidR="00CC15CA" w:rsidRDefault="00CC15CA">
      <w:pPr>
        <w:pStyle w:val="FootnoteText"/>
      </w:pPr>
      <w:r>
        <w:rPr>
          <w:rStyle w:val="FootnoteReference"/>
        </w:rPr>
        <w:footnoteRef/>
      </w:r>
      <w:r>
        <w:t xml:space="preserve"> </w:t>
      </w:r>
      <w:r w:rsidRPr="00CC15CA">
        <w:rPr>
          <w:lang w:val="en-US"/>
        </w:rPr>
        <w:t>For details and sources on this section see: </w:t>
      </w:r>
      <w:r w:rsidRPr="00CC15CA">
        <w:t>Amnesty International, Greece: Violence, lies, and pushbacks, above.</w:t>
      </w:r>
    </w:p>
  </w:footnote>
  <w:footnote w:id="42">
    <w:p w14:paraId="72495981" w14:textId="43E0825E" w:rsidR="00266F69" w:rsidRDefault="00266F69">
      <w:pPr>
        <w:pStyle w:val="FootnoteText"/>
      </w:pPr>
      <w:r>
        <w:rPr>
          <w:rStyle w:val="FootnoteReference"/>
        </w:rPr>
        <w:footnoteRef/>
      </w:r>
      <w:r>
        <w:t xml:space="preserve"> </w:t>
      </w:r>
      <w:r w:rsidRPr="00266F69">
        <w:t>The CPT has also expressed concerns on these sites. For details and sources see: Amnesty International, Greece: Violence, lies, and pushbacks […], p.22-23.</w:t>
      </w:r>
    </w:p>
  </w:footnote>
  <w:footnote w:id="43">
    <w:p w14:paraId="1E868188" w14:textId="5E7F85B9" w:rsidR="009138C0" w:rsidRDefault="009138C0">
      <w:pPr>
        <w:pStyle w:val="FootnoteText"/>
      </w:pPr>
      <w:r>
        <w:rPr>
          <w:rStyle w:val="FootnoteReference"/>
        </w:rPr>
        <w:footnoteRef/>
      </w:r>
      <w:r>
        <w:t xml:space="preserve"> </w:t>
      </w:r>
      <w:r w:rsidRPr="009138C0">
        <w:t>CPT Report, 12 July 2024, above in full.</w:t>
      </w:r>
    </w:p>
  </w:footnote>
  <w:footnote w:id="44">
    <w:p w14:paraId="1ED5317D" w14:textId="7EA6C893" w:rsidR="008F6C21" w:rsidRDefault="008F6C21">
      <w:pPr>
        <w:pStyle w:val="FootnoteText"/>
      </w:pPr>
      <w:r>
        <w:rPr>
          <w:rStyle w:val="FootnoteReference"/>
        </w:rPr>
        <w:footnoteRef/>
      </w:r>
      <w:r>
        <w:t xml:space="preserve"> </w:t>
      </w:r>
      <w:r w:rsidRPr="008F6C21">
        <w:t>This information only reflects the amendments introduced by Law no. 4686/2020. For the full analysis see: Amnesty International, Greece: Worrying legal developments for asylum-seekers and NGOs, 3 May 2020, Index Number: EUR 25/2259/2020, at: </w:t>
      </w:r>
      <w:hyperlink r:id="rId39" w:tgtFrame="_blank" w:history="1">
        <w:r w:rsidRPr="008F6C21">
          <w:rPr>
            <w:rStyle w:val="Hyperlink"/>
          </w:rPr>
          <w:t>https://www.amnesty.org/en/documents/eur25/2259/2020/en/</w:t>
        </w:r>
      </w:hyperlink>
      <w:r w:rsidRPr="008F6C21">
        <w:t>. See also: Law no. 4686/2020 “Improvement of the migration legislation, amendment of L. 4636/2019 (A</w:t>
      </w:r>
      <w:r w:rsidRPr="008F6C21">
        <w:rPr>
          <w:rFonts w:ascii="Calibri" w:hAnsi="Calibri" w:cs="Calibri"/>
        </w:rPr>
        <w:t>΄</w:t>
      </w:r>
      <w:r w:rsidRPr="008F6C21">
        <w:t> 169), 4375/2016 (A</w:t>
      </w:r>
      <w:r w:rsidRPr="008F6C21">
        <w:rPr>
          <w:rFonts w:ascii="Calibri" w:hAnsi="Calibri" w:cs="Calibri"/>
        </w:rPr>
        <w:t>΄</w:t>
      </w:r>
      <w:r w:rsidRPr="008F6C21">
        <w:t> 51), 4251/2014 (</w:t>
      </w:r>
      <w:r w:rsidRPr="008F6C21">
        <w:rPr>
          <w:rFonts w:ascii="Calibri" w:hAnsi="Calibri" w:cs="Calibri"/>
        </w:rPr>
        <w:t>Α΄</w:t>
      </w:r>
      <w:r w:rsidRPr="008F6C21">
        <w:t> 80) and other provisions”, in Greek, at: </w:t>
      </w:r>
      <w:hyperlink r:id="rId40" w:tgtFrame="_blank" w:history="1">
        <w:r w:rsidRPr="008F6C21">
          <w:rPr>
            <w:rStyle w:val="Hyperlink"/>
          </w:rPr>
          <w:t>https://asylumineurope.org/reports/country/greece/overview-legal-framework/</w:t>
        </w:r>
      </w:hyperlink>
      <w:r w:rsidRPr="008F6C21">
        <w:t>. Also: Amnesty International, Submission to the UN Committee against Torture, 73</w:t>
      </w:r>
      <w:r w:rsidRPr="008F6C21">
        <w:rPr>
          <w:vertAlign w:val="superscript"/>
        </w:rPr>
        <w:t>rd</w:t>
      </w:r>
      <w:r w:rsidRPr="008F6C21">
        <w:t> Session, 19 APRIL - 13 MAY 2022, List of issues prior to reporting, </w:t>
      </w:r>
      <w:hyperlink r:id="rId41" w:tgtFrame="_blank" w:history="1">
        <w:r w:rsidRPr="008F6C21">
          <w:rPr>
            <w:rStyle w:val="Hyperlink"/>
          </w:rPr>
          <w:t>www.amnesty.gr/sites/default/files/eur2551782022english_1.pdf</w:t>
        </w:r>
      </w:hyperlink>
      <w:r w:rsidRPr="008F6C21">
        <w:t> and Submission on the proposed changes to the Greek Law on International Protection, Index no: EUR 25/1280/2019, </w:t>
      </w:r>
      <w:hyperlink r:id="rId42" w:tgtFrame="_blank" w:history="1">
        <w:r w:rsidRPr="008F6C21">
          <w:rPr>
            <w:rStyle w:val="Hyperlink"/>
          </w:rPr>
          <w:t>https://www.ecoi.net/en/document/2018926.html</w:t>
        </w:r>
      </w:hyperlink>
      <w:r w:rsidRPr="008F6C21">
        <w:t>. Also: RSA, RSA Comments on the Reform of the International Protection Act, 23 April 2020, </w:t>
      </w:r>
      <w:hyperlink r:id="rId43" w:tgtFrame="_blank" w:history="1">
        <w:r w:rsidRPr="008F6C21">
          <w:rPr>
            <w:rStyle w:val="Hyperlink"/>
          </w:rPr>
          <w:t>https://rsaegean.org/en/comments-on-the-reform-of-the-international-protection-act-2/</w:t>
        </w:r>
      </w:hyperlink>
      <w:r w:rsidRPr="008F6C21">
        <w:t> </w:t>
      </w:r>
    </w:p>
  </w:footnote>
  <w:footnote w:id="45">
    <w:p w14:paraId="11584F18" w14:textId="0939B73A" w:rsidR="008F6C21" w:rsidRDefault="008F6C21">
      <w:pPr>
        <w:pStyle w:val="FootnoteText"/>
      </w:pPr>
      <w:r>
        <w:rPr>
          <w:rStyle w:val="FootnoteReference"/>
        </w:rPr>
        <w:footnoteRef/>
      </w:r>
      <w:r>
        <w:t xml:space="preserve"> </w:t>
      </w:r>
      <w:r w:rsidRPr="008F6C21">
        <w:t>Law no. 4825/2021, in Greek, at: </w:t>
      </w:r>
      <w:hyperlink r:id="rId44" w:tgtFrame="_blank" w:history="1">
        <w:r w:rsidRPr="008F6C21">
          <w:rPr>
            <w:rStyle w:val="Hyperlink"/>
          </w:rPr>
          <w:t>https://collab.lawspot.gr/sites/default/files/mashup/feka/2021/fek-157-2021.pdf</w:t>
        </w:r>
      </w:hyperlink>
      <w:r w:rsidRPr="008F6C21">
        <w:t> </w:t>
      </w:r>
    </w:p>
  </w:footnote>
  <w:footnote w:id="46">
    <w:p w14:paraId="577BAB68" w14:textId="3970321A" w:rsidR="00405DA5" w:rsidRDefault="00405DA5">
      <w:pPr>
        <w:pStyle w:val="FootnoteText"/>
      </w:pPr>
      <w:r>
        <w:rPr>
          <w:rStyle w:val="FootnoteReference"/>
        </w:rPr>
        <w:footnoteRef/>
      </w:r>
      <w:r>
        <w:t xml:space="preserve"> </w:t>
      </w:r>
      <w:proofErr w:type="spellStart"/>
      <w:r w:rsidRPr="00405DA5">
        <w:t>CoE</w:t>
      </w:r>
      <w:proofErr w:type="spellEnd"/>
      <w:r w:rsidRPr="00405DA5">
        <w:t>, Commissioner for Human Rights, Greece's Parliament should align the deportations and return bill with human rights standards, 3 September 2021, at: </w:t>
      </w:r>
      <w:hyperlink r:id="rId45" w:tgtFrame="_blank" w:history="1">
        <w:r w:rsidRPr="00405DA5">
          <w:rPr>
            <w:rStyle w:val="Hyperlink"/>
          </w:rPr>
          <w:t>https://www.coe.int/en/web/commissioner/-/greece-s-parliament-should-align-the-deportations-and-return-bill-with-human-rights-standards</w:t>
        </w:r>
      </w:hyperlink>
      <w:r w:rsidRPr="00405DA5">
        <w:t> </w:t>
      </w:r>
    </w:p>
  </w:footnote>
  <w:footnote w:id="47">
    <w:p w14:paraId="6CE2477E" w14:textId="3EC4BDB6" w:rsidR="00405DA5" w:rsidRDefault="00405DA5">
      <w:pPr>
        <w:pStyle w:val="FootnoteText"/>
      </w:pPr>
      <w:r>
        <w:rPr>
          <w:rStyle w:val="FootnoteReference"/>
        </w:rPr>
        <w:footnoteRef/>
      </w:r>
      <w:r>
        <w:t xml:space="preserve"> </w:t>
      </w:r>
      <w:r w:rsidRPr="00405DA5">
        <w:t>UNHCR, Delegation in Greece, 31 August 2021, in Greek at: </w:t>
      </w:r>
      <w:hyperlink r:id="rId46" w:tgtFrame="_blank" w:history="1">
        <w:r w:rsidRPr="00405DA5">
          <w:rPr>
            <w:rStyle w:val="Hyperlink"/>
          </w:rPr>
          <w:t>https://www.unhcr.org/gr/23069-%cf%80%ce%b1%cf%81%ce%ad%ce%bc%ce%b2%ce%b1%cf%83%ce%b7-%ce%bd%ce%bf%ce%bc%ce%bf%cf%83%cf%87%ce%ad%ce%b4%ce%b9%ce%bf-%ce%b1%cf%80%ce%b5%ce%bb%ce%ac%cf%83%ce%b5%ce%b9%cf%82.html</w:t>
        </w:r>
      </w:hyperlink>
      <w:r w:rsidRPr="00405DA5">
        <w:t> </w:t>
      </w:r>
    </w:p>
  </w:footnote>
  <w:footnote w:id="48">
    <w:p w14:paraId="757B01CE" w14:textId="3A3A35E7" w:rsidR="00105551" w:rsidRDefault="00105551">
      <w:pPr>
        <w:pStyle w:val="FootnoteText"/>
      </w:pPr>
      <w:r>
        <w:rPr>
          <w:rStyle w:val="FootnoteReference"/>
        </w:rPr>
        <w:footnoteRef/>
      </w:r>
      <w:r>
        <w:t xml:space="preserve"> </w:t>
      </w:r>
      <w:r w:rsidRPr="00105551">
        <w:t>RSA, HIAS and others, Comments on the Bill amending deportation and return procedures, residence permits and asylum procedures, June 2021 </w:t>
      </w:r>
      <w:hyperlink r:id="rId47" w:history="1">
        <w:r w:rsidRPr="005B35F2">
          <w:rPr>
            <w:rStyle w:val="Hyperlink"/>
          </w:rPr>
          <w:t>https://hias.org/wp-content/uploads/greece-comments_deportationbill.pdf</w:t>
        </w:r>
      </w:hyperlink>
      <w:r>
        <w:t xml:space="preserve">. </w:t>
      </w:r>
    </w:p>
  </w:footnote>
  <w:footnote w:id="49">
    <w:p w14:paraId="296C329F" w14:textId="015E4718" w:rsidR="00105551" w:rsidRDefault="00105551">
      <w:pPr>
        <w:pStyle w:val="FootnoteText"/>
      </w:pPr>
      <w:r>
        <w:rPr>
          <w:rStyle w:val="FootnoteReference"/>
        </w:rPr>
        <w:footnoteRef/>
      </w:r>
      <w:r>
        <w:t xml:space="preserve"> </w:t>
      </w:r>
      <w:r w:rsidRPr="00105551">
        <w:t>For a detailed analysis of the new legislation and its impacts see: </w:t>
      </w:r>
      <w:hyperlink r:id="rId48" w:tgtFrame="_blank" w:history="1">
        <w:r w:rsidRPr="00105551">
          <w:rPr>
            <w:rStyle w:val="Hyperlink"/>
          </w:rPr>
          <w:t>https://asylumineurope.org/wp-content/uploads/2024/06/AIDA-GR_2023-Update.pdf</w:t>
        </w:r>
      </w:hyperlink>
      <w:r w:rsidRPr="00105551">
        <w:t xml:space="preserve">, </w:t>
      </w:r>
      <w:r>
        <w:t>p</w:t>
      </w:r>
      <w:r w:rsidRPr="00105551">
        <w:t>p.224-225</w:t>
      </w:r>
      <w:r>
        <w:t>.</w:t>
      </w:r>
    </w:p>
  </w:footnote>
  <w:footnote w:id="50">
    <w:p w14:paraId="7B7861EE" w14:textId="3215B066" w:rsidR="00E06CB4" w:rsidRDefault="00E06CB4">
      <w:pPr>
        <w:pStyle w:val="FootnoteText"/>
      </w:pPr>
      <w:r>
        <w:rPr>
          <w:rStyle w:val="FootnoteReference"/>
        </w:rPr>
        <w:footnoteRef/>
      </w:r>
      <w:r>
        <w:t xml:space="preserve"> </w:t>
      </w:r>
      <w:r w:rsidRPr="00E06CB4">
        <w:t> Legal Centre Lesvos, Pylos 9: Prosecution Following The Deadly 2023 Pylos Shipwreck, </w:t>
      </w:r>
      <w:hyperlink r:id="rId49" w:tgtFrame="_blank" w:history="1">
        <w:r w:rsidRPr="00E06CB4">
          <w:rPr>
            <w:rStyle w:val="Hyperlink"/>
          </w:rPr>
          <w:t>https://legalcentrelesvos.org/litigation-of-the-legal-centre-lesvos/criminalisation/pylos-9/</w:t>
        </w:r>
      </w:hyperlink>
      <w:r>
        <w:t>.</w:t>
      </w:r>
      <w:r w:rsidRPr="00E06CB4">
        <w:t>  </w:t>
      </w:r>
    </w:p>
  </w:footnote>
  <w:footnote w:id="51">
    <w:p w14:paraId="0FE1B44C" w14:textId="01A82855" w:rsidR="00AF2294" w:rsidRDefault="00AF2294">
      <w:pPr>
        <w:pStyle w:val="FootnoteText"/>
      </w:pPr>
      <w:r>
        <w:rPr>
          <w:rStyle w:val="FootnoteReference"/>
        </w:rPr>
        <w:footnoteRef/>
      </w:r>
      <w:r>
        <w:t xml:space="preserve"> </w:t>
      </w:r>
      <w:r w:rsidRPr="00AF2294">
        <w:t>Spiegel, New accusations against the Greek Coast Guard: “We thought they knew what they were doing”, 30 Jun3 2023, </w:t>
      </w:r>
      <w:hyperlink r:id="rId50" w:tgtFrame="_blank" w:history="1">
        <w:r w:rsidRPr="00AF2294">
          <w:rPr>
            <w:rStyle w:val="Hyperlink"/>
          </w:rPr>
          <w:t>www.spiegel.de/international/europe/new-accusations-against-the-greek-coast-guard-we-thought-they-knew-what-they-were-doing-a-5b7b93b8-9ca0-4889-b52a-e134bbd84f43</w:t>
        </w:r>
      </w:hyperlink>
      <w:r w:rsidRPr="00AF2294">
        <w:t>; RSA &amp; Pro </w:t>
      </w:r>
      <w:proofErr w:type="spellStart"/>
      <w:r w:rsidRPr="00AF2294">
        <w:t>Asyl</w:t>
      </w:r>
      <w:proofErr w:type="spellEnd"/>
      <w:r w:rsidRPr="00AF2294">
        <w:t>, Beyond </w:t>
      </w:r>
      <w:proofErr w:type="spellStart"/>
      <w:r w:rsidRPr="00AF2294">
        <w:t>Farmakonisi</w:t>
      </w:r>
      <w:proofErr w:type="spellEnd"/>
      <w:r w:rsidRPr="00AF2294">
        <w:t> The responsibility of the Greek Coast Guard for human rights violations at sea, August 2023, </w:t>
      </w:r>
      <w:hyperlink r:id="rId51" w:tgtFrame="_blank" w:history="1">
        <w:r w:rsidRPr="00AF2294">
          <w:rPr>
            <w:rStyle w:val="Hyperlink"/>
          </w:rPr>
          <w:t>https://rsaegean.org/wp-content/uploads/2023/09/RSA_CoastGuard_PostSafi_EN.pdf</w:t>
        </w:r>
      </w:hyperlink>
      <w:r w:rsidRPr="00AF2294">
        <w:t>, BBC, Greece boat disaster: Capsized boat had 100 children in hold, BBC told, 15 June 2023, </w:t>
      </w:r>
      <w:hyperlink r:id="rId52" w:tgtFrame="_blank" w:history="1">
        <w:r w:rsidRPr="00AF2294">
          <w:rPr>
            <w:rStyle w:val="Hyperlink"/>
          </w:rPr>
          <w:t>www.bbc.co.uk/news/world-europe-65914476</w:t>
        </w:r>
      </w:hyperlink>
      <w:r>
        <w:t>.</w:t>
      </w:r>
      <w:r w:rsidRPr="00AF2294">
        <w:t> </w:t>
      </w:r>
    </w:p>
  </w:footnote>
  <w:footnote w:id="52">
    <w:p w14:paraId="03F43F22" w14:textId="12A5E753" w:rsidR="00AF2294" w:rsidRDefault="00AF2294">
      <w:pPr>
        <w:pStyle w:val="FootnoteText"/>
      </w:pPr>
      <w:r>
        <w:rPr>
          <w:rStyle w:val="FootnoteReference"/>
        </w:rPr>
        <w:footnoteRef/>
      </w:r>
      <w:r>
        <w:t xml:space="preserve"> </w:t>
      </w:r>
      <w:r w:rsidRPr="00AF2294">
        <w:t>Lighthouse Reports and others,</w:t>
      </w:r>
      <w:r w:rsidRPr="00AF2294">
        <w:rPr>
          <w:i/>
          <w:iCs/>
        </w:rPr>
        <w:t> Drowning in Lies</w:t>
      </w:r>
      <w:r w:rsidRPr="00AF2294">
        <w:rPr>
          <w:b/>
          <w:bCs/>
        </w:rPr>
        <w:t>, </w:t>
      </w:r>
      <w:r w:rsidRPr="00AF2294">
        <w:t>29 June 2023, </w:t>
      </w:r>
      <w:hyperlink r:id="rId53" w:tgtFrame="_blank" w:history="1">
        <w:r w:rsidRPr="00AF2294">
          <w:rPr>
            <w:rStyle w:val="Hyperlink"/>
          </w:rPr>
          <w:t>https://www.lighthousereports.com/investigation/drowning-in-lies/</w:t>
        </w:r>
      </w:hyperlink>
      <w:r>
        <w:t>.</w:t>
      </w:r>
      <w:r w:rsidRPr="00AF2294">
        <w:t> </w:t>
      </w:r>
    </w:p>
  </w:footnote>
  <w:footnote w:id="53">
    <w:p w14:paraId="6BE48D06" w14:textId="6E9B3E16" w:rsidR="00FA63CE" w:rsidRDefault="00FA63CE">
      <w:pPr>
        <w:pStyle w:val="FootnoteText"/>
      </w:pPr>
      <w:r>
        <w:rPr>
          <w:rStyle w:val="FootnoteReference"/>
        </w:rPr>
        <w:footnoteRef/>
      </w:r>
      <w:r>
        <w:t xml:space="preserve"> </w:t>
      </w:r>
      <w:r w:rsidRPr="00FA63CE">
        <w:t>Solomon and others, Under the unwatchful eye of the authorities’ deactivated cameras: dying in the darkest depths of the Mediterranean, 6 July 2023, </w:t>
      </w:r>
      <w:hyperlink r:id="rId54" w:anchor=":~:text=A%20collaborative%20investigation%20by%20Solomon,of%20Greek%20and%20European%20authorities" w:tgtFrame="_blank" w:history="1">
        <w:r w:rsidRPr="00FA63CE">
          <w:rPr>
            <w:rStyle w:val="Hyperlink"/>
          </w:rPr>
          <w:t>https://wearesolomon.com/mag/format/investigation/under-the-unwatchful-eye-of-the-authorities-deactivated-cameras-dying-in-the-darkest-depths-of-the-mediterranean/#:~:text=A%20collaborative%20investigation%20by%20Solomon,of%20Greek%20and%20European%20authorities</w:t>
        </w:r>
      </w:hyperlink>
      <w:r w:rsidRPr="00FA63CE">
        <w:t>. </w:t>
      </w:r>
    </w:p>
  </w:footnote>
  <w:footnote w:id="54">
    <w:p w14:paraId="100C53A5" w14:textId="21526D7F" w:rsidR="004A722A" w:rsidRDefault="004A722A">
      <w:pPr>
        <w:pStyle w:val="FootnoteText"/>
      </w:pPr>
      <w:r>
        <w:rPr>
          <w:rStyle w:val="FootnoteReference"/>
        </w:rPr>
        <w:footnoteRef/>
      </w:r>
      <w:r>
        <w:t xml:space="preserve"> </w:t>
      </w:r>
      <w:r w:rsidRPr="004A722A">
        <w:t>Amnesty International, </w:t>
      </w:r>
      <w:r w:rsidRPr="004A722A">
        <w:rPr>
          <w:i/>
          <w:iCs/>
        </w:rPr>
        <w:t>Greece: 6 Months On, No Justice for Pylos Shipwreck</w:t>
      </w:r>
      <w:r w:rsidRPr="004A722A">
        <w:t>, above. </w:t>
      </w:r>
    </w:p>
  </w:footnote>
  <w:footnote w:id="55">
    <w:p w14:paraId="52323071" w14:textId="140DCA12" w:rsidR="004A722A" w:rsidRDefault="004A722A">
      <w:pPr>
        <w:pStyle w:val="FootnoteText"/>
      </w:pPr>
      <w:r>
        <w:rPr>
          <w:rStyle w:val="FootnoteReference"/>
        </w:rPr>
        <w:footnoteRef/>
      </w:r>
      <w:r>
        <w:t xml:space="preserve"> </w:t>
      </w:r>
      <w:proofErr w:type="spellStart"/>
      <w:r w:rsidRPr="004A722A">
        <w:t>Ieidiseis</w:t>
      </w:r>
      <w:proofErr w:type="spellEnd"/>
      <w:r w:rsidRPr="004A722A">
        <w:t>, Bomb for the Coast Guard: "They pulled us with a rope and we sank" - 5 testimonies to the Kalamata investigator, 20 June 2023, </w:t>
      </w:r>
      <w:hyperlink r:id="rId55" w:tgtFrame="_blank" w:history="1">
        <w:r w:rsidRPr="004A722A">
          <w:rPr>
            <w:rStyle w:val="Hyperlink"/>
          </w:rPr>
          <w:t>www.ieidiseis.gr/ellada/203173/navagio-stin-pylo-vomva-gia-to-limeniko-mas-traviksan-me-sxoini-kai-vythistikame-5-martyries-stin-anakritria-kalamatas</w:t>
        </w:r>
      </w:hyperlink>
      <w:r>
        <w:t>.</w:t>
      </w:r>
      <w:r w:rsidRPr="004A722A">
        <w:t> </w:t>
      </w:r>
    </w:p>
  </w:footnote>
  <w:footnote w:id="56">
    <w:p w14:paraId="28F6A78E" w14:textId="77C05FBD" w:rsidR="00E77129" w:rsidRDefault="00E77129">
      <w:pPr>
        <w:pStyle w:val="FootnoteText"/>
      </w:pPr>
      <w:r>
        <w:rPr>
          <w:rStyle w:val="FootnoteReference"/>
        </w:rPr>
        <w:footnoteRef/>
      </w:r>
      <w:r>
        <w:t xml:space="preserve"> </w:t>
      </w:r>
      <w:r w:rsidRPr="00E77129">
        <w:t>Amnesty International, </w:t>
      </w:r>
      <w:r w:rsidRPr="00E77129">
        <w:rPr>
          <w:i/>
          <w:iCs/>
        </w:rPr>
        <w:t>Greece: 6 Months On, No Justice for Pylos Shipwreck</w:t>
      </w:r>
      <w:r w:rsidRPr="00E77129">
        <w:t>, above. In 2022, the European Court of Human Rights found that Greece had violated the right to life for the way it conducted rescue operations in the </w:t>
      </w:r>
      <w:proofErr w:type="spellStart"/>
      <w:r w:rsidRPr="00E77129">
        <w:t>Farmakonisi</w:t>
      </w:r>
      <w:proofErr w:type="spellEnd"/>
      <w:r w:rsidRPr="00E77129">
        <w:t> shipwreck and for failures in the relevant investigations. </w:t>
      </w:r>
      <w:proofErr w:type="spellStart"/>
      <w:r w:rsidRPr="00E77129">
        <w:t>Farmakonisi</w:t>
      </w:r>
      <w:proofErr w:type="spellEnd"/>
      <w:r w:rsidRPr="00E77129">
        <w:t> survivors said at the time that the content of their statements was not recorded accurately. See: </w:t>
      </w:r>
      <w:r w:rsidRPr="00E77129">
        <w:rPr>
          <w:i/>
          <w:iCs/>
        </w:rPr>
        <w:t>Safi and Others v. Greece</w:t>
      </w:r>
      <w:r w:rsidRPr="00E77129">
        <w:t> (no. 5418/15).</w:t>
      </w:r>
    </w:p>
  </w:footnote>
  <w:footnote w:id="57">
    <w:p w14:paraId="3C5E933C" w14:textId="57D86CE4" w:rsidR="00E77129" w:rsidRDefault="00E77129">
      <w:pPr>
        <w:pStyle w:val="FootnoteText"/>
      </w:pPr>
      <w:r>
        <w:rPr>
          <w:rStyle w:val="FootnoteReference"/>
        </w:rPr>
        <w:footnoteRef/>
      </w:r>
      <w:r>
        <w:t xml:space="preserve"> </w:t>
      </w:r>
      <w:r w:rsidRPr="00E77129">
        <w:t>Also: Legal Centre Lesvos, </w:t>
      </w:r>
      <w:r w:rsidRPr="00E77129">
        <w:rPr>
          <w:i/>
          <w:iCs/>
        </w:rPr>
        <w:t>Closure of the Pylos 9 investigation and rejection of requests for additional crucial evidence, </w:t>
      </w:r>
      <w:r w:rsidRPr="00E77129">
        <w:t>1 February 2024, </w:t>
      </w:r>
      <w:hyperlink r:id="rId56" w:tgtFrame="_blank" w:history="1">
        <w:r w:rsidRPr="00E77129">
          <w:rPr>
            <w:rStyle w:val="Hyperlink"/>
          </w:rPr>
          <w:t>https://legalcentrelesvos.org/2024/02/01/closure-of-the-pylos-9-investigation-and-rejection-of-requests-for-additional-crucial-evidence/</w:t>
        </w:r>
      </w:hyperlink>
      <w:r>
        <w:t>.</w:t>
      </w:r>
    </w:p>
  </w:footnote>
  <w:footnote w:id="58">
    <w:p w14:paraId="57B8D133" w14:textId="7C564DC9" w:rsidR="00F10DA4" w:rsidRDefault="00F10DA4">
      <w:pPr>
        <w:pStyle w:val="FootnoteText"/>
      </w:pPr>
      <w:r>
        <w:rPr>
          <w:rStyle w:val="FootnoteReference"/>
        </w:rPr>
        <w:footnoteRef/>
      </w:r>
      <w:r>
        <w:t xml:space="preserve"> </w:t>
      </w:r>
      <w:r w:rsidRPr="00F10DA4">
        <w:t>Amnesty International, </w:t>
      </w:r>
      <w:r w:rsidRPr="00F10DA4">
        <w:rPr>
          <w:i/>
          <w:iCs/>
        </w:rPr>
        <w:t>Greece: 6 Months On, No Justice for Pylos Shipwreck</w:t>
      </w:r>
      <w:r w:rsidRPr="00F10DA4">
        <w:t>, above</w:t>
      </w:r>
      <w:r>
        <w:t>.</w:t>
      </w:r>
      <w:r w:rsidRPr="00F10DA4">
        <w:t> </w:t>
      </w:r>
    </w:p>
  </w:footnote>
  <w:footnote w:id="59">
    <w:p w14:paraId="186E7507" w14:textId="275CDEEA" w:rsidR="00647ECA" w:rsidRDefault="00647ECA">
      <w:pPr>
        <w:pStyle w:val="FootnoteText"/>
      </w:pPr>
      <w:r>
        <w:rPr>
          <w:rStyle w:val="FootnoteReference"/>
        </w:rPr>
        <w:footnoteRef/>
      </w:r>
      <w:r>
        <w:t xml:space="preserve"> </w:t>
      </w:r>
      <w:hyperlink r:id="rId57" w:tgtFrame="_blank" w:history="1">
        <w:r w:rsidRPr="00647ECA">
          <w:rPr>
            <w:rStyle w:val="Hyperlink"/>
          </w:rPr>
          <w:t>A/HRC/33/7</w:t>
        </w:r>
      </w:hyperlink>
      <w:r w:rsidRPr="00647ECA">
        <w:t>, recommendations 136.15, 136.16; ECtHR, </w:t>
      </w:r>
      <w:hyperlink r:id="rId58" w:tgtFrame="_blank" w:history="1">
        <w:r w:rsidRPr="00647ECA">
          <w:rPr>
            <w:rStyle w:val="Hyperlink"/>
          </w:rPr>
          <w:t>CASE OF PAPAVASILAKIS v. GREECE</w:t>
        </w:r>
      </w:hyperlink>
      <w:r w:rsidRPr="00647ECA">
        <w:t>; </w:t>
      </w:r>
      <w:hyperlink r:id="rId59" w:tgtFrame="_blank" w:history="1">
        <w:r w:rsidRPr="00647ECA">
          <w:rPr>
            <w:rStyle w:val="Hyperlink"/>
          </w:rPr>
          <w:t>GRC 3/2016</w:t>
        </w:r>
      </w:hyperlink>
      <w:r w:rsidRPr="00647ECA">
        <w:t>; ECSR, </w:t>
      </w:r>
      <w:hyperlink r:id="rId60" w:tgtFrame="_blank" w:history="1">
        <w:r w:rsidRPr="00647ECA">
          <w:rPr>
            <w:rStyle w:val="Hyperlink"/>
          </w:rPr>
          <w:t>Conclusions XXI-1 - Greece - Article 1-2</w:t>
        </w:r>
      </w:hyperlink>
      <w:r w:rsidRPr="00647ECA">
        <w:t>, para. 3; </w:t>
      </w:r>
      <w:hyperlink r:id="rId61" w:tgtFrame="_blank" w:history="1">
        <w:r w:rsidRPr="00647ECA">
          <w:rPr>
            <w:rStyle w:val="Hyperlink"/>
          </w:rPr>
          <w:t>A/HRC/35/4</w:t>
        </w:r>
      </w:hyperlink>
      <w:r w:rsidRPr="00647ECA">
        <w:t>, paras. 18 (note 29), 51, 53, 54 (note 77); </w:t>
      </w:r>
      <w:hyperlink r:id="rId62" w:tgtFrame="_blank" w:history="1">
        <w:r w:rsidRPr="00647ECA">
          <w:rPr>
            <w:rStyle w:val="Hyperlink"/>
          </w:rPr>
          <w:t>A/HRC/41/23</w:t>
        </w:r>
      </w:hyperlink>
      <w:r w:rsidRPr="00647ECA">
        <w:t>, paras. 7, 24, 29, 34, 36 (note 47), 38 (note 49), 41, 46-47; </w:t>
      </w:r>
      <w:hyperlink r:id="rId63" w:tgtFrame="_blank" w:history="1">
        <w:r w:rsidRPr="00647ECA">
          <w:rPr>
            <w:rStyle w:val="Hyperlink"/>
          </w:rPr>
          <w:t>GRC 3/2019</w:t>
        </w:r>
      </w:hyperlink>
      <w:r w:rsidRPr="00647ECA">
        <w:t>.</w:t>
      </w:r>
    </w:p>
  </w:footnote>
  <w:footnote w:id="60">
    <w:p w14:paraId="64CBD3A9" w14:textId="63413584" w:rsidR="00647ECA" w:rsidRDefault="00647ECA">
      <w:pPr>
        <w:pStyle w:val="FootnoteText"/>
      </w:pPr>
      <w:r>
        <w:rPr>
          <w:rStyle w:val="FootnoteReference"/>
        </w:rPr>
        <w:footnoteRef/>
      </w:r>
      <w:r>
        <w:t xml:space="preserve"> </w:t>
      </w:r>
      <w:r w:rsidRPr="00647ECA">
        <w:t>Law 4609/2019, Art. 22-23</w:t>
      </w:r>
      <w:r>
        <w:t>.</w:t>
      </w:r>
    </w:p>
  </w:footnote>
  <w:footnote w:id="61">
    <w:p w14:paraId="7B797C91" w14:textId="4B89D6B1" w:rsidR="00CF0320" w:rsidRDefault="00CF0320">
      <w:pPr>
        <w:pStyle w:val="FootnoteText"/>
      </w:pPr>
      <w:r>
        <w:rPr>
          <w:rStyle w:val="FootnoteReference"/>
        </w:rPr>
        <w:footnoteRef/>
      </w:r>
      <w:r>
        <w:t xml:space="preserve"> </w:t>
      </w:r>
      <w:r w:rsidRPr="00CF0320">
        <w:t>Greece: Observations on the right to conscientious objection – “Serious violations of Greece’s obligations towards conscientious objectors remain unaddressed  in proposed bill despite some positive steps”, 20 March 2019, AI index: EUR 25/0088/2019,  </w:t>
      </w:r>
      <w:hyperlink r:id="rId64" w:tgtFrame="_blank" w:history="1">
        <w:r w:rsidRPr="00CF0320">
          <w:rPr>
            <w:rStyle w:val="Hyperlink"/>
          </w:rPr>
          <w:t>https://www.amnesty.org/en/documents/eur25/0088/2019/en/</w:t>
        </w:r>
      </w:hyperlink>
      <w:r>
        <w:t>.</w:t>
      </w:r>
      <w:r w:rsidRPr="00CF0320">
        <w:t> </w:t>
      </w:r>
    </w:p>
  </w:footnote>
  <w:footnote w:id="62">
    <w:p w14:paraId="015B197A" w14:textId="3100D3B5" w:rsidR="009435AA" w:rsidRDefault="009435AA">
      <w:pPr>
        <w:pStyle w:val="FootnoteText"/>
      </w:pPr>
      <w:r>
        <w:rPr>
          <w:rStyle w:val="FootnoteReference"/>
        </w:rPr>
        <w:footnoteRef/>
      </w:r>
      <w:r>
        <w:t xml:space="preserve"> </w:t>
      </w:r>
      <w:hyperlink r:id="rId65" w:tgtFrame="_blank" w:history="1">
        <w:r w:rsidRPr="009435AA">
          <w:rPr>
            <w:rStyle w:val="Hyperlink"/>
          </w:rPr>
          <w:t>GRC 3/2019</w:t>
        </w:r>
      </w:hyperlink>
    </w:p>
  </w:footnote>
  <w:footnote w:id="63">
    <w:p w14:paraId="0DC4F43A" w14:textId="1E0A2440" w:rsidR="004C5E54" w:rsidRDefault="004C5E54">
      <w:pPr>
        <w:pStyle w:val="FootnoteText"/>
      </w:pPr>
      <w:r>
        <w:rPr>
          <w:rStyle w:val="FootnoteReference"/>
        </w:rPr>
        <w:footnoteRef/>
      </w:r>
      <w:r>
        <w:t xml:space="preserve"> </w:t>
      </w:r>
      <w:r w:rsidRPr="004C5E54">
        <w:t> </w:t>
      </w:r>
      <w:hyperlink r:id="rId66" w:tgtFrame="_blank" w:history="1">
        <w:r w:rsidRPr="004C5E54">
          <w:rPr>
            <w:rStyle w:val="Hyperlink"/>
          </w:rPr>
          <w:t>A/HRC/41/23</w:t>
        </w:r>
      </w:hyperlink>
      <w:r w:rsidRPr="004C5E54">
        <w:t>, paras. 7, 41.</w:t>
      </w:r>
    </w:p>
  </w:footnote>
  <w:footnote w:id="64">
    <w:p w14:paraId="0E6C866D" w14:textId="419273A3" w:rsidR="0018794A" w:rsidRDefault="0018794A">
      <w:pPr>
        <w:pStyle w:val="FootnoteText"/>
      </w:pPr>
      <w:r>
        <w:rPr>
          <w:rStyle w:val="FootnoteReference"/>
        </w:rPr>
        <w:footnoteRef/>
      </w:r>
      <w:r>
        <w:t xml:space="preserve"> </w:t>
      </w:r>
      <w:r w:rsidRPr="0018794A">
        <w:t>Amnesty International,</w:t>
      </w:r>
      <w:r w:rsidRPr="0018794A">
        <w:rPr>
          <w:i/>
          <w:iCs/>
        </w:rPr>
        <w:t> Greece: Submission to the UN Human Rights Committee, 133</w:t>
      </w:r>
      <w:r w:rsidRPr="0018794A">
        <w:rPr>
          <w:i/>
          <w:iCs/>
          <w:vertAlign w:val="superscript"/>
        </w:rPr>
        <w:t>rd</w:t>
      </w:r>
      <w:r w:rsidRPr="0018794A">
        <w:rPr>
          <w:i/>
          <w:iCs/>
        </w:rPr>
        <w:t> session, 11 October—5 November, List of issues prior to reporting</w:t>
      </w:r>
      <w:r w:rsidRPr="0018794A">
        <w:t> (Index EUR 25/4777/2021), 27 September 2021, </w:t>
      </w:r>
      <w:hyperlink r:id="rId67" w:tgtFrame="_blank" w:history="1">
        <w:r w:rsidRPr="0018794A">
          <w:rPr>
            <w:rStyle w:val="Hyperlink"/>
          </w:rPr>
          <w:t>https://www.amnesty.org/en/documents/eur25/4777/2021/en/</w:t>
        </w:r>
      </w:hyperlink>
      <w:r w:rsidRPr="0018794A">
        <w:t>. </w:t>
      </w:r>
    </w:p>
  </w:footnote>
  <w:footnote w:id="65">
    <w:p w14:paraId="247B4DCB" w14:textId="22ECC661" w:rsidR="007E5478" w:rsidRPr="00A56F44" w:rsidRDefault="007E5478">
      <w:pPr>
        <w:pStyle w:val="FootnoteText"/>
        <w:rPr>
          <w:lang w:val="es-ES"/>
        </w:rPr>
      </w:pPr>
      <w:r>
        <w:rPr>
          <w:rStyle w:val="FootnoteReference"/>
        </w:rPr>
        <w:footnoteRef/>
      </w:r>
      <w:r w:rsidRPr="00A56F44">
        <w:rPr>
          <w:lang w:val="es-ES"/>
        </w:rPr>
        <w:t xml:space="preserve"> </w:t>
      </w:r>
      <w:proofErr w:type="spellStart"/>
      <w:r w:rsidR="005928D7" w:rsidRPr="00A56F44">
        <w:rPr>
          <w:lang w:val="es-ES"/>
        </w:rPr>
        <w:t>See</w:t>
      </w:r>
      <w:proofErr w:type="spellEnd"/>
      <w:r w:rsidR="003A492A">
        <w:rPr>
          <w:lang w:val="es-ES"/>
        </w:rPr>
        <w:t>:</w:t>
      </w:r>
      <w:r w:rsidR="005928D7" w:rsidRPr="00A56F44">
        <w:rPr>
          <w:lang w:val="es-ES"/>
        </w:rPr>
        <w:t xml:space="preserve"> </w:t>
      </w:r>
      <w:hyperlink r:id="rId68" w:tgtFrame="_blank" w:history="1">
        <w:r w:rsidRPr="00A56F44">
          <w:rPr>
            <w:rStyle w:val="Hyperlink"/>
            <w:lang w:val="es-ES"/>
          </w:rPr>
          <w:t>E/C.12/GRC/Q/2/Add.1</w:t>
        </w:r>
      </w:hyperlink>
      <w:r w:rsidRPr="00A56F44">
        <w:rPr>
          <w:lang w:val="es-ES"/>
        </w:rPr>
        <w:t>, para. 54.</w:t>
      </w:r>
    </w:p>
  </w:footnote>
  <w:footnote w:id="66">
    <w:p w14:paraId="521DFD6E" w14:textId="15A4703B" w:rsidR="00CE5218" w:rsidRPr="00A56F44" w:rsidRDefault="00CE5218">
      <w:pPr>
        <w:pStyle w:val="FootnoteText"/>
        <w:rPr>
          <w:lang w:val="es-ES"/>
        </w:rPr>
      </w:pPr>
      <w:r>
        <w:rPr>
          <w:rStyle w:val="FootnoteReference"/>
        </w:rPr>
        <w:footnoteRef/>
      </w:r>
      <w:r w:rsidRPr="00A56F44">
        <w:rPr>
          <w:lang w:val="es-ES"/>
        </w:rPr>
        <w:t xml:space="preserve"> </w:t>
      </w:r>
      <w:hyperlink r:id="rId69" w:tgtFrame="_blank" w:history="1">
        <w:r w:rsidRPr="00A56F44">
          <w:rPr>
            <w:rStyle w:val="Hyperlink"/>
            <w:lang w:val="es-ES"/>
          </w:rPr>
          <w:t>E/C.12/GRC/CO/2</w:t>
        </w:r>
      </w:hyperlink>
      <w:r w:rsidRPr="00A56F44">
        <w:rPr>
          <w:lang w:val="es-ES"/>
        </w:rPr>
        <w:t>, paras. 19-20.</w:t>
      </w:r>
    </w:p>
  </w:footnote>
  <w:footnote w:id="67">
    <w:p w14:paraId="384E8743" w14:textId="424E6B9A" w:rsidR="00CE5218" w:rsidRPr="00A56F44" w:rsidRDefault="00CE5218">
      <w:pPr>
        <w:pStyle w:val="FootnoteText"/>
        <w:rPr>
          <w:lang w:val="es-ES"/>
        </w:rPr>
      </w:pPr>
      <w:r>
        <w:rPr>
          <w:rStyle w:val="FootnoteReference"/>
        </w:rPr>
        <w:footnoteRef/>
      </w:r>
      <w:r w:rsidRPr="00A56F44">
        <w:rPr>
          <w:lang w:val="es-ES"/>
        </w:rPr>
        <w:t xml:space="preserve"> </w:t>
      </w:r>
      <w:proofErr w:type="spellStart"/>
      <w:r w:rsidRPr="00A56F44">
        <w:rPr>
          <w:lang w:val="es-ES"/>
        </w:rPr>
        <w:t>See</w:t>
      </w:r>
      <w:proofErr w:type="spellEnd"/>
      <w:r w:rsidRPr="00A56F44">
        <w:rPr>
          <w:lang w:val="es-ES"/>
        </w:rPr>
        <w:t>: </w:t>
      </w:r>
      <w:hyperlink r:id="rId70" w:tgtFrame="_blank" w:history="1">
        <w:r w:rsidRPr="00A56F44">
          <w:rPr>
            <w:rStyle w:val="Hyperlink"/>
            <w:lang w:val="es-ES"/>
          </w:rPr>
          <w:t>https://www.amnesty.org/en/documents/eur25/0088/2019/en/</w:t>
        </w:r>
      </w:hyperlink>
      <w:r w:rsidRPr="00A56F44">
        <w:rPr>
          <w:lang w:val="es-ES"/>
        </w:rPr>
        <w:t>, p. 3.</w:t>
      </w:r>
    </w:p>
  </w:footnote>
  <w:footnote w:id="68">
    <w:p w14:paraId="62813FA3" w14:textId="21250F23" w:rsidR="00214A6C" w:rsidRPr="00A56F44" w:rsidRDefault="00214A6C">
      <w:pPr>
        <w:pStyle w:val="FootnoteText"/>
        <w:rPr>
          <w:lang w:val="es-ES"/>
        </w:rPr>
      </w:pPr>
      <w:r>
        <w:rPr>
          <w:rStyle w:val="FootnoteReference"/>
        </w:rPr>
        <w:footnoteRef/>
      </w:r>
      <w:r w:rsidRPr="00A56F44">
        <w:rPr>
          <w:lang w:val="es-ES"/>
        </w:rPr>
        <w:t xml:space="preserve"> </w:t>
      </w:r>
      <w:hyperlink r:id="rId71" w:history="1">
        <w:r w:rsidRPr="00A56F44">
          <w:rPr>
            <w:rStyle w:val="Hyperlink"/>
            <w:lang w:val="es-ES"/>
          </w:rPr>
          <w:t>https://www.synigoros.gr/?i=human-rights.el.danews.345630</w:t>
        </w:r>
      </w:hyperlink>
      <w:r w:rsidRPr="00A56F44">
        <w:rPr>
          <w:lang w:val="es-ES"/>
        </w:rPr>
        <w:t xml:space="preserve"> </w:t>
      </w:r>
    </w:p>
  </w:footnote>
  <w:footnote w:id="69">
    <w:p w14:paraId="706EB789" w14:textId="1CF99C9D" w:rsidR="00214A6C" w:rsidRPr="00A56F44" w:rsidRDefault="00214A6C">
      <w:pPr>
        <w:pStyle w:val="FootnoteText"/>
        <w:rPr>
          <w:lang w:val="es-ES"/>
        </w:rPr>
      </w:pPr>
      <w:r>
        <w:rPr>
          <w:rStyle w:val="FootnoteReference"/>
        </w:rPr>
        <w:footnoteRef/>
      </w:r>
      <w:hyperlink r:id="rId72" w:history="1">
        <w:r w:rsidRPr="00A56F44">
          <w:rPr>
            <w:rStyle w:val="Hyperlink"/>
            <w:lang w:val="es-ES"/>
          </w:rPr>
          <w:t>http://www.nchr.gr/images/pdf/apofaseis/antirisies_suneidisis/Submission%20of%20the%20GNCHR%20to%20the%20quadrennial%20analytical%20report%202017.pdf</w:t>
        </w:r>
      </w:hyperlink>
      <w:r w:rsidRPr="00A56F44">
        <w:rPr>
          <w:lang w:val="es-ES"/>
        </w:rPr>
        <w:t xml:space="preserve">. </w:t>
      </w:r>
    </w:p>
  </w:footnote>
  <w:footnote w:id="70">
    <w:p w14:paraId="64FE8768" w14:textId="4B1D3D5C" w:rsidR="00D80F6E" w:rsidRDefault="00D80F6E">
      <w:pPr>
        <w:pStyle w:val="FootnoteText"/>
      </w:pPr>
      <w:r>
        <w:rPr>
          <w:rStyle w:val="FootnoteReference"/>
        </w:rPr>
        <w:footnoteRef/>
      </w:r>
      <w:r>
        <w:t xml:space="preserve"> </w:t>
      </w:r>
      <w:r w:rsidRPr="00D80F6E">
        <w:t>Mandate of the Special Rapporteur on freedom of religion or belief 11 July 2019 ref: </w:t>
      </w:r>
      <w:hyperlink r:id="rId73" w:tgtFrame="_blank" w:history="1">
        <w:r w:rsidRPr="00D80F6E">
          <w:rPr>
            <w:rStyle w:val="Hyperlink"/>
          </w:rPr>
          <w:t>GRC 3/2019</w:t>
        </w:r>
      </w:hyperlink>
      <w:r w:rsidRPr="00D80F6E">
        <w:t>, p. 3. </w:t>
      </w:r>
    </w:p>
  </w:footnote>
  <w:footnote w:id="71">
    <w:p w14:paraId="5AC099DB" w14:textId="27603750" w:rsidR="00D80F6E" w:rsidRDefault="00D80F6E">
      <w:pPr>
        <w:pStyle w:val="FootnoteText"/>
      </w:pPr>
      <w:r>
        <w:rPr>
          <w:rStyle w:val="FootnoteReference"/>
        </w:rPr>
        <w:footnoteRef/>
      </w:r>
      <w:r>
        <w:t xml:space="preserve"> </w:t>
      </w:r>
      <w:r w:rsidRPr="00D80F6E">
        <w:t>European Bureau on Conscientious Objection, Annual Report, Conscientious Objection to Military Service in Europe, 2023/2024, p. 92, available at: </w:t>
      </w:r>
      <w:hyperlink r:id="rId74" w:tgtFrame="_blank" w:history="1">
        <w:r w:rsidRPr="00D80F6E">
          <w:rPr>
            <w:rStyle w:val="Hyperlink"/>
          </w:rPr>
          <w:t>https://bit.ly/3XgvQev</w:t>
        </w:r>
      </w:hyperlink>
      <w:r w:rsidRPr="00D80F6E">
        <w:t>. </w:t>
      </w:r>
    </w:p>
  </w:footnote>
  <w:footnote w:id="72">
    <w:p w14:paraId="3C55C1A8" w14:textId="7A88E20C" w:rsidR="00E822CC" w:rsidRPr="00A56F44" w:rsidRDefault="00E822CC">
      <w:pPr>
        <w:pStyle w:val="FootnoteText"/>
        <w:rPr>
          <w:lang w:val="es-ES"/>
        </w:rPr>
      </w:pPr>
      <w:r>
        <w:rPr>
          <w:rStyle w:val="FootnoteReference"/>
        </w:rPr>
        <w:footnoteRef/>
      </w:r>
      <w:r w:rsidRPr="00A56F44">
        <w:rPr>
          <w:lang w:val="es-ES"/>
        </w:rPr>
        <w:t xml:space="preserve"> </w:t>
      </w:r>
      <w:proofErr w:type="spellStart"/>
      <w:r w:rsidRPr="00A56F44">
        <w:rPr>
          <w:lang w:val="es-ES"/>
        </w:rPr>
        <w:t>Article</w:t>
      </w:r>
      <w:proofErr w:type="spellEnd"/>
      <w:r w:rsidRPr="00A56F44">
        <w:rPr>
          <w:lang w:val="es-ES"/>
        </w:rPr>
        <w:t xml:space="preserve"> 23 para. 2. </w:t>
      </w:r>
    </w:p>
  </w:footnote>
  <w:footnote w:id="73">
    <w:p w14:paraId="684BCADC" w14:textId="2443CD05" w:rsidR="00103BA2" w:rsidRPr="00C01B3C" w:rsidRDefault="00103BA2">
      <w:pPr>
        <w:pStyle w:val="FootnoteText"/>
      </w:pPr>
      <w:r>
        <w:rPr>
          <w:rStyle w:val="FootnoteReference"/>
        </w:rPr>
        <w:footnoteRef/>
      </w:r>
      <w:r w:rsidRPr="00A56F44">
        <w:rPr>
          <w:lang w:val="es-ES"/>
        </w:rPr>
        <w:t xml:space="preserve"> </w:t>
      </w:r>
      <w:r w:rsidRPr="00103BA2">
        <w:rPr>
          <w:lang w:val="es-ES"/>
        </w:rPr>
        <w:t> </w:t>
      </w:r>
      <w:hyperlink r:id="rId75" w:tgtFrame="_blank" w:history="1">
        <w:r w:rsidRPr="00103BA2">
          <w:rPr>
            <w:rStyle w:val="Hyperlink"/>
            <w:lang w:val="es-ES"/>
          </w:rPr>
          <w:t>CCPR/C/GRC/CO/2</w:t>
        </w:r>
      </w:hyperlink>
      <w:r w:rsidRPr="00103BA2">
        <w:rPr>
          <w:lang w:val="es-ES"/>
        </w:rPr>
        <w:t xml:space="preserve">, paras. </w:t>
      </w:r>
      <w:r w:rsidRPr="00C01B3C">
        <w:t>37–38.</w:t>
      </w:r>
    </w:p>
  </w:footnote>
  <w:footnote w:id="74">
    <w:p w14:paraId="541BDA41" w14:textId="1BC499B1" w:rsidR="00103BA2" w:rsidRPr="008D09C8" w:rsidRDefault="00103BA2">
      <w:pPr>
        <w:pStyle w:val="FootnoteText"/>
      </w:pPr>
      <w:r>
        <w:rPr>
          <w:rStyle w:val="FootnoteReference"/>
        </w:rPr>
        <w:footnoteRef/>
      </w:r>
      <w:r w:rsidRPr="00C01B3C">
        <w:t xml:space="preserve"> </w:t>
      </w:r>
      <w:hyperlink r:id="rId76" w:tgtFrame="_blank" w:history="1">
        <w:r w:rsidRPr="00C01B3C">
          <w:rPr>
            <w:rStyle w:val="Hyperlink"/>
          </w:rPr>
          <w:t>A/HRC/41/23</w:t>
        </w:r>
      </w:hyperlink>
      <w:r w:rsidRPr="00C01B3C">
        <w:t>, paras. </w:t>
      </w:r>
      <w:r w:rsidRPr="008D09C8">
        <w:t>7 and 41.</w:t>
      </w:r>
    </w:p>
  </w:footnote>
  <w:footnote w:id="75">
    <w:p w14:paraId="322AF511" w14:textId="5A59DB3A" w:rsidR="00EB05DC" w:rsidRPr="008D09C8" w:rsidRDefault="00EB05DC">
      <w:pPr>
        <w:pStyle w:val="FootnoteText"/>
      </w:pPr>
      <w:r>
        <w:rPr>
          <w:rStyle w:val="FootnoteReference"/>
        </w:rPr>
        <w:footnoteRef/>
      </w:r>
      <w:r w:rsidRPr="008D09C8">
        <w:t xml:space="preserve">  </w:t>
      </w:r>
      <w:r w:rsidRPr="00EB05DC">
        <w:rPr>
          <w:rFonts w:ascii="Calibri" w:hAnsi="Calibri" w:cs="Calibri"/>
          <w:lang w:val="el-GR"/>
        </w:rPr>
        <w:t>Ε</w:t>
      </w:r>
      <w:r w:rsidRPr="00EB05DC">
        <w:rPr>
          <w:lang w:val="el-GR"/>
        </w:rPr>
        <w:t>π</w:t>
      </w:r>
      <w:r w:rsidRPr="00EB05DC">
        <w:rPr>
          <w:rFonts w:ascii="Calibri" w:hAnsi="Calibri" w:cs="Calibri"/>
          <w:lang w:val="el-GR"/>
        </w:rPr>
        <w:t>ίση</w:t>
      </w:r>
      <w:r w:rsidRPr="00EB05DC">
        <w:rPr>
          <w:lang w:val="el-GR"/>
        </w:rPr>
        <w:t>μ</w:t>
      </w:r>
      <w:r w:rsidRPr="00EB05DC">
        <w:rPr>
          <w:rFonts w:ascii="Calibri" w:hAnsi="Calibri" w:cs="Calibri"/>
          <w:lang w:val="el-GR"/>
        </w:rPr>
        <w:t>α</w:t>
      </w:r>
      <w:r w:rsidRPr="008D09C8">
        <w:t> </w:t>
      </w:r>
      <w:r w:rsidRPr="00EB05DC">
        <w:rPr>
          <w:rFonts w:ascii="Calibri" w:hAnsi="Calibri" w:cs="Calibri"/>
          <w:lang w:val="el-GR"/>
        </w:rPr>
        <w:t>στατιστικά</w:t>
      </w:r>
      <w:r w:rsidRPr="008D09C8">
        <w:t> </w:t>
      </w:r>
      <w:r w:rsidRPr="00EB05DC">
        <w:rPr>
          <w:rFonts w:ascii="Calibri" w:hAnsi="Calibri" w:cs="Calibri"/>
          <w:lang w:val="el-GR"/>
        </w:rPr>
        <w:t>εγκρίσεων</w:t>
      </w:r>
      <w:r w:rsidRPr="008D09C8">
        <w:t>–</w:t>
      </w:r>
      <w:r w:rsidRPr="00EB05DC">
        <w:rPr>
          <w:rFonts w:ascii="Calibri" w:hAnsi="Calibri" w:cs="Calibri"/>
          <w:lang w:val="el-GR"/>
        </w:rPr>
        <w:t>α</w:t>
      </w:r>
      <w:r w:rsidRPr="00EB05DC">
        <w:rPr>
          <w:lang w:val="el-GR"/>
        </w:rPr>
        <w:t>π</w:t>
      </w:r>
      <w:r w:rsidRPr="00EB05DC">
        <w:rPr>
          <w:rFonts w:ascii="Calibri" w:hAnsi="Calibri" w:cs="Calibri"/>
          <w:lang w:val="el-GR"/>
        </w:rPr>
        <w:t>ορρίψεων</w:t>
      </w:r>
      <w:r w:rsidRPr="008D09C8">
        <w:t> </w:t>
      </w:r>
      <w:r w:rsidRPr="00EB05DC">
        <w:rPr>
          <w:rFonts w:ascii="Calibri" w:hAnsi="Calibri" w:cs="Calibri"/>
          <w:lang w:val="el-GR"/>
        </w:rPr>
        <w:t>και</w:t>
      </w:r>
      <w:r w:rsidRPr="008D09C8">
        <w:t> </w:t>
      </w:r>
      <w:r w:rsidRPr="00EB05DC">
        <w:rPr>
          <w:rFonts w:ascii="Calibri" w:hAnsi="Calibri" w:cs="Calibri"/>
          <w:lang w:val="el-GR"/>
        </w:rPr>
        <w:t>αιτήσεων</w:t>
      </w:r>
      <w:r w:rsidRPr="008D09C8">
        <w:t> </w:t>
      </w:r>
      <w:r w:rsidRPr="00EB05DC">
        <w:rPr>
          <w:rFonts w:ascii="Calibri" w:hAnsi="Calibri" w:cs="Calibri"/>
          <w:lang w:val="el-GR"/>
        </w:rPr>
        <w:t>θερα</w:t>
      </w:r>
      <w:r w:rsidRPr="00EB05DC">
        <w:rPr>
          <w:lang w:val="el-GR"/>
        </w:rPr>
        <w:t>π</w:t>
      </w:r>
      <w:r w:rsidRPr="00EB05DC">
        <w:rPr>
          <w:rFonts w:ascii="Calibri" w:hAnsi="Calibri" w:cs="Calibri"/>
          <w:lang w:val="el-GR"/>
        </w:rPr>
        <w:t>είας</w:t>
      </w:r>
      <w:r w:rsidRPr="008D09C8">
        <w:t> 2022 </w:t>
      </w:r>
      <w:r w:rsidRPr="00EB05DC">
        <w:rPr>
          <w:rFonts w:ascii="Calibri" w:hAnsi="Calibri" w:cs="Calibri"/>
          <w:lang w:val="el-GR"/>
        </w:rPr>
        <w:t>για</w:t>
      </w:r>
      <w:r w:rsidRPr="008D09C8">
        <w:t> </w:t>
      </w:r>
      <w:r w:rsidRPr="00EB05DC">
        <w:rPr>
          <w:rFonts w:ascii="Calibri" w:hAnsi="Calibri" w:cs="Calibri"/>
          <w:lang w:val="el-GR"/>
        </w:rPr>
        <w:t>υ</w:t>
      </w:r>
      <w:r w:rsidRPr="00EB05DC">
        <w:rPr>
          <w:lang w:val="el-GR"/>
        </w:rPr>
        <w:t>π</w:t>
      </w:r>
      <w:r w:rsidRPr="00EB05DC">
        <w:rPr>
          <w:rFonts w:ascii="Calibri" w:hAnsi="Calibri" w:cs="Calibri"/>
          <w:lang w:val="el-GR"/>
        </w:rPr>
        <w:t>αγωγή</w:t>
      </w:r>
      <w:r w:rsidRPr="008D09C8">
        <w:t> </w:t>
      </w:r>
      <w:r w:rsidRPr="00EB05DC">
        <w:rPr>
          <w:rFonts w:ascii="Calibri" w:hAnsi="Calibri" w:cs="Calibri"/>
          <w:lang w:val="el-GR"/>
        </w:rPr>
        <w:t>στην</w:t>
      </w:r>
      <w:r w:rsidRPr="008D09C8">
        <w:t> </w:t>
      </w:r>
      <w:r w:rsidRPr="00EB05DC">
        <w:rPr>
          <w:rFonts w:ascii="Calibri" w:hAnsi="Calibri" w:cs="Calibri"/>
          <w:lang w:val="el-GR"/>
        </w:rPr>
        <w:t>εναλλακτική</w:t>
      </w:r>
      <w:r w:rsidRPr="008D09C8">
        <w:t> </w:t>
      </w:r>
      <w:r w:rsidRPr="00EB05DC">
        <w:rPr>
          <w:rFonts w:ascii="Calibri" w:hAnsi="Calibri" w:cs="Calibri"/>
          <w:lang w:val="el-GR"/>
        </w:rPr>
        <w:t>υ</w:t>
      </w:r>
      <w:r w:rsidRPr="00EB05DC">
        <w:rPr>
          <w:lang w:val="el-GR"/>
        </w:rPr>
        <w:t>π</w:t>
      </w:r>
      <w:r w:rsidRPr="00EB05DC">
        <w:rPr>
          <w:rFonts w:ascii="Calibri" w:hAnsi="Calibri" w:cs="Calibri"/>
          <w:lang w:val="el-GR"/>
        </w:rPr>
        <w:t>ηρεσία</w:t>
      </w:r>
      <w:r w:rsidRPr="008D09C8">
        <w:t>, available at: </w:t>
      </w:r>
      <w:hyperlink r:id="rId77" w:tgtFrame="_blank" w:history="1">
        <w:r w:rsidRPr="008D09C8">
          <w:rPr>
            <w:rStyle w:val="Hyperlink"/>
          </w:rPr>
          <w:t>https://bit.ly/47g3WDV</w:t>
        </w:r>
      </w:hyperlink>
      <w:r w:rsidRPr="008D09C8">
        <w:t>; also: </w:t>
      </w:r>
      <w:hyperlink r:id="rId78" w:tgtFrame="_blank" w:history="1">
        <w:r w:rsidRPr="008D09C8">
          <w:rPr>
            <w:rStyle w:val="Hyperlink"/>
          </w:rPr>
          <w:t>https://bit.ly/47g40DF</w:t>
        </w:r>
      </w:hyperlink>
      <w:r w:rsidRPr="008D09C8">
        <w:t>. </w:t>
      </w:r>
    </w:p>
  </w:footnote>
  <w:footnote w:id="76">
    <w:p w14:paraId="4EB1A58D" w14:textId="26D8971D" w:rsidR="007D4FCC" w:rsidRDefault="007D4FCC">
      <w:pPr>
        <w:pStyle w:val="FootnoteText"/>
      </w:pPr>
      <w:r>
        <w:rPr>
          <w:rStyle w:val="FootnoteReference"/>
        </w:rPr>
        <w:footnoteRef/>
      </w:r>
      <w:r>
        <w:t xml:space="preserve"> </w:t>
      </w:r>
      <w:r w:rsidRPr="007D4FCC">
        <w:t> Concerns have been expressed by experts on the right to conscientious objection about the finding by the majority in these rulings that accept that the participation of a military officer in the special committee and the decision-making mandate of the Minister of National Defence  </w:t>
      </w:r>
      <w:r w:rsidRPr="007D4FCC">
        <w:rPr>
          <w:rFonts w:ascii="Calibri" w:hAnsi="Calibri" w:cs="Calibri"/>
          <w:lang w:val="el-GR"/>
        </w:rPr>
        <w:t>Α</w:t>
      </w:r>
      <w:r w:rsidRPr="007D4FCC">
        <w:rPr>
          <w:lang w:val="el-GR"/>
        </w:rPr>
        <w:t>π</w:t>
      </w:r>
      <w:r w:rsidRPr="007D4FCC">
        <w:rPr>
          <w:rFonts w:ascii="Calibri" w:hAnsi="Calibri" w:cs="Calibri"/>
          <w:lang w:val="el-GR"/>
        </w:rPr>
        <w:t>οφάσεις</w:t>
      </w:r>
      <w:r w:rsidRPr="007D4FCC">
        <w:t> </w:t>
      </w:r>
      <w:r w:rsidRPr="007D4FCC">
        <w:rPr>
          <w:rFonts w:ascii="Calibri" w:hAnsi="Calibri" w:cs="Calibri"/>
          <w:lang w:val="el-GR"/>
        </w:rPr>
        <w:t>ΣτΕ</w:t>
      </w:r>
      <w:r w:rsidRPr="007D4FCC">
        <w:t> 2262-4/2023: </w:t>
      </w:r>
      <w:r w:rsidRPr="007D4FCC">
        <w:rPr>
          <w:rFonts w:ascii="Calibri" w:hAnsi="Calibri" w:cs="Calibri"/>
          <w:lang w:val="el-GR"/>
        </w:rPr>
        <w:t>δίκο</w:t>
      </w:r>
      <w:r w:rsidRPr="007D4FCC">
        <w:rPr>
          <w:lang w:val="el-GR"/>
        </w:rPr>
        <w:t>π</w:t>
      </w:r>
      <w:r w:rsidRPr="007D4FCC">
        <w:rPr>
          <w:rFonts w:ascii="Calibri" w:hAnsi="Calibri" w:cs="Calibri"/>
          <w:lang w:val="el-GR"/>
        </w:rPr>
        <w:t>ο</w:t>
      </w:r>
      <w:r w:rsidRPr="007D4FCC">
        <w:t> </w:t>
      </w:r>
      <w:r w:rsidRPr="007D4FCC">
        <w:rPr>
          <w:lang w:val="el-GR"/>
        </w:rPr>
        <w:t>μ</w:t>
      </w:r>
      <w:r w:rsidRPr="007D4FCC">
        <w:rPr>
          <w:rFonts w:ascii="Calibri" w:hAnsi="Calibri" w:cs="Calibri"/>
          <w:lang w:val="el-GR"/>
        </w:rPr>
        <w:t>αχαίρι</w:t>
      </w:r>
      <w:r w:rsidRPr="007D4FCC">
        <w:t> </w:t>
      </w:r>
      <w:r w:rsidRPr="007D4FCC">
        <w:rPr>
          <w:rFonts w:ascii="Calibri" w:hAnsi="Calibri" w:cs="Calibri"/>
          <w:lang w:val="el-GR"/>
        </w:rPr>
        <w:t>για</w:t>
      </w:r>
      <w:r w:rsidRPr="007D4FCC">
        <w:t> </w:t>
      </w:r>
      <w:r w:rsidRPr="007D4FCC">
        <w:rPr>
          <w:rFonts w:ascii="Calibri" w:hAnsi="Calibri" w:cs="Calibri"/>
          <w:lang w:val="el-GR"/>
        </w:rPr>
        <w:t>τους</w:t>
      </w:r>
      <w:r w:rsidRPr="007D4FCC">
        <w:t> </w:t>
      </w:r>
      <w:r w:rsidRPr="007D4FCC">
        <w:rPr>
          <w:rFonts w:ascii="Calibri" w:hAnsi="Calibri" w:cs="Calibri"/>
          <w:lang w:val="el-GR"/>
        </w:rPr>
        <w:t>αντιρρησίες</w:t>
      </w:r>
      <w:r w:rsidRPr="007D4FCC">
        <w:rPr>
          <w:rFonts w:ascii="Arial" w:hAnsi="Arial"/>
        </w:rPr>
        <w:t> </w:t>
      </w:r>
      <w:r w:rsidRPr="007D4FCC">
        <w:rPr>
          <w:rFonts w:ascii="Calibri" w:hAnsi="Calibri" w:cs="Calibri"/>
          <w:lang w:val="el-GR"/>
        </w:rPr>
        <w:t>συνείδησης</w:t>
      </w:r>
      <w:r w:rsidRPr="007D4FCC">
        <w:t>, July 2024, </w:t>
      </w:r>
      <w:hyperlink r:id="rId79" w:tgtFrame="_blank" w:history="1">
        <w:r w:rsidRPr="007D4FCC">
          <w:rPr>
            <w:rStyle w:val="Hyperlink"/>
          </w:rPr>
          <w:t>https://bit.ly/4e8mzwx</w:t>
        </w:r>
      </w:hyperlink>
      <w:r w:rsidRPr="007D4FCC">
        <w:t>; See also: Greece: Give Charis Vasileiou and Nikolas Stefanidis a Fair Examination of Their Grounds for Conscientious Objection under an Amended Legislative Framework in Line with International Law and Standards, March 2022, Index No: EUR 25/5374/2022, https://bit.ly/3ASLmpn; </w:t>
      </w:r>
      <w:r w:rsidRPr="007D4FCC">
        <w:rPr>
          <w:lang w:val="en-US"/>
        </w:rPr>
        <w:t>Amnesty International Report 2023/2024, Greece, </w:t>
      </w:r>
      <w:hyperlink r:id="rId80" w:tgtFrame="_blank" w:history="1">
        <w:r w:rsidRPr="007D4FCC">
          <w:rPr>
            <w:rStyle w:val="Hyperlink"/>
            <w:lang w:val="en-US"/>
          </w:rPr>
          <w:t>https://bit.ly/3AN2m0p</w:t>
        </w:r>
      </w:hyperlink>
      <w:r w:rsidRPr="007D4FCC">
        <w:rPr>
          <w:lang w:val="en-US"/>
        </w:rPr>
        <w:t>; see Council of State rulings </w:t>
      </w:r>
      <w:r w:rsidRPr="007D4FCC">
        <w:t>2263/2024 and 2264//2024.</w:t>
      </w:r>
    </w:p>
  </w:footnote>
  <w:footnote w:id="77">
    <w:p w14:paraId="49C08131" w14:textId="346FDB1C" w:rsidR="007B2971" w:rsidRDefault="007B2971">
      <w:pPr>
        <w:pStyle w:val="FootnoteText"/>
      </w:pPr>
      <w:r>
        <w:rPr>
          <w:rStyle w:val="FootnoteReference"/>
        </w:rPr>
        <w:footnoteRef/>
      </w:r>
      <w:r>
        <w:t xml:space="preserve"> </w:t>
      </w:r>
      <w:r w:rsidRPr="007B2971">
        <w:rPr>
          <w:lang w:val="en-US"/>
        </w:rPr>
        <w:t>Amnesty International Report 2023/2024, Greece, </w:t>
      </w:r>
      <w:hyperlink r:id="rId81" w:tgtFrame="_blank" w:history="1">
        <w:r w:rsidRPr="007B2971">
          <w:rPr>
            <w:rStyle w:val="Hyperlink"/>
            <w:lang w:val="en-US"/>
          </w:rPr>
          <w:t>https://bit.ly/3AN2m0p</w:t>
        </w:r>
      </w:hyperlink>
      <w:r w:rsidRPr="007B2971">
        <w:rPr>
          <w:lang w:val="en-US"/>
        </w:rPr>
        <w:t>. </w:t>
      </w:r>
    </w:p>
  </w:footnote>
  <w:footnote w:id="78">
    <w:p w14:paraId="207F2977" w14:textId="2E797456" w:rsidR="00D650F0" w:rsidRDefault="00D650F0">
      <w:pPr>
        <w:pStyle w:val="FootnoteText"/>
      </w:pPr>
      <w:r>
        <w:rPr>
          <w:rStyle w:val="FootnoteReference"/>
        </w:rPr>
        <w:footnoteRef/>
      </w:r>
      <w:r>
        <w:t xml:space="preserve"> </w:t>
      </w:r>
      <w:r w:rsidRPr="00D650F0">
        <w:t> </w:t>
      </w:r>
      <w:r w:rsidR="00B011D7">
        <w:t>See</w:t>
      </w:r>
      <w:r w:rsidRPr="00D650F0">
        <w:t> </w:t>
      </w:r>
      <w:hyperlink r:id="rId82" w:tgtFrame="_blank" w:history="1">
        <w:r w:rsidRPr="00D650F0">
          <w:rPr>
            <w:rStyle w:val="Hyperlink"/>
          </w:rPr>
          <w:t>https://www.bbc.co.uk/news/world-europe-68310126</w:t>
        </w:r>
      </w:hyperlink>
      <w:r w:rsidRPr="00D650F0">
        <w:t>. </w:t>
      </w:r>
    </w:p>
  </w:footnote>
  <w:footnote w:id="79">
    <w:p w14:paraId="5B915629" w14:textId="36DE1D03" w:rsidR="00496742" w:rsidRDefault="00496742">
      <w:pPr>
        <w:pStyle w:val="FootnoteText"/>
      </w:pPr>
      <w:r>
        <w:rPr>
          <w:rStyle w:val="FootnoteReference"/>
        </w:rPr>
        <w:footnoteRef/>
      </w:r>
      <w:r>
        <w:t xml:space="preserve"> </w:t>
      </w:r>
      <w:r w:rsidRPr="00496742">
        <w:t>Amnesty International, “Greece: Same-sex marriage recognition, key milestone in fight against homophobia and transphobia”, 16 February 2024, </w:t>
      </w:r>
      <w:hyperlink r:id="rId83" w:tgtFrame="_blank" w:history="1">
        <w:r w:rsidRPr="00496742">
          <w:rPr>
            <w:rStyle w:val="Hyperlink"/>
          </w:rPr>
          <w:t>https://www.amnesty.org/en/latest/news/2024/02/greece-same-sex-marriage-recognition-key-milestone-in-fight-against-homophobia-and-transphobia/</w:t>
        </w:r>
      </w:hyperlink>
      <w:r w:rsidRPr="00496742">
        <w:t>; </w:t>
      </w:r>
    </w:p>
  </w:footnote>
  <w:footnote w:id="80">
    <w:p w14:paraId="632A1B62" w14:textId="5E8874B9" w:rsidR="00496742" w:rsidRDefault="00496742">
      <w:pPr>
        <w:pStyle w:val="FootnoteText"/>
      </w:pPr>
      <w:r>
        <w:rPr>
          <w:rStyle w:val="FootnoteReference"/>
        </w:rPr>
        <w:footnoteRef/>
      </w:r>
      <w:r>
        <w:t xml:space="preserve"> </w:t>
      </w:r>
      <w:r w:rsidRPr="00496742">
        <w:t>Amnesty International, </w:t>
      </w:r>
      <w:r w:rsidRPr="00496742">
        <w:rPr>
          <w:i/>
          <w:iCs/>
        </w:rPr>
        <w:t>Greece: Marriage equality bill is an emblematic step but further changes are required to ensure true equality for LGBTQI+ persons</w:t>
      </w:r>
      <w:r w:rsidRPr="00496742">
        <w:t> (Index EUR</w:t>
      </w:r>
      <w:r w:rsidRPr="00496742">
        <w:rPr>
          <w:rFonts w:ascii="Arial" w:hAnsi="Arial"/>
        </w:rPr>
        <w:t> </w:t>
      </w:r>
      <w:r w:rsidRPr="00496742">
        <w:t>25/7656/2024), 1 February 2024,</w:t>
      </w:r>
      <w:r w:rsidRPr="00496742">
        <w:rPr>
          <w:rFonts w:cs="Amnesty Trade Gothic Light"/>
        </w:rPr>
        <w:t> </w:t>
      </w:r>
      <w:hyperlink r:id="rId84" w:tgtFrame="_blank" w:history="1">
        <w:r w:rsidRPr="00496742">
          <w:rPr>
            <w:rStyle w:val="Hyperlink"/>
          </w:rPr>
          <w:t>https://www.amnesty.org/en/documents/eur25/7656/2024/en/;</w:t>
        </w:r>
      </w:hyperlink>
      <w:r w:rsidRPr="00496742">
        <w:t> Law 4491/2017, Article 5, paragraph 2.</w:t>
      </w:r>
    </w:p>
  </w:footnote>
  <w:footnote w:id="81">
    <w:p w14:paraId="5269168D" w14:textId="05F1B65E" w:rsidR="00E06983" w:rsidRDefault="00E06983">
      <w:pPr>
        <w:pStyle w:val="FootnoteText"/>
      </w:pPr>
      <w:r>
        <w:rPr>
          <w:rStyle w:val="FootnoteReference"/>
        </w:rPr>
        <w:footnoteRef/>
      </w:r>
      <w:r>
        <w:t xml:space="preserve"> </w:t>
      </w:r>
      <w:r w:rsidR="00B011D7">
        <w:t>See RVRN 2022,</w:t>
      </w:r>
      <w:r w:rsidRPr="00E06983">
        <w:t> </w:t>
      </w:r>
      <w:hyperlink r:id="rId85" w:tgtFrame="_blank" w:history="1">
        <w:r w:rsidRPr="00E06983">
          <w:rPr>
            <w:rStyle w:val="Hyperlink"/>
          </w:rPr>
          <w:t>https://rvrn.org/en/annual-report-2022/</w:t>
        </w:r>
      </w:hyperlink>
      <w:r w:rsidRPr="00E06983">
        <w:t>; </w:t>
      </w:r>
      <w:r w:rsidR="00B011D7">
        <w:t>RVRN 2023</w:t>
      </w:r>
      <w:r w:rsidRPr="00E06983">
        <w:t>, </w:t>
      </w:r>
      <w:hyperlink r:id="rId86" w:tgtFrame="_blank" w:history="1">
        <w:r w:rsidRPr="00E06983">
          <w:rPr>
            <w:rStyle w:val="Hyperlink"/>
          </w:rPr>
          <w:t>https://rvrn.org/el/etisia-ekthesi-2023/</w:t>
        </w:r>
      </w:hyperlink>
      <w:r w:rsidRPr="00E06983">
        <w:t>. </w:t>
      </w:r>
    </w:p>
  </w:footnote>
  <w:footnote w:id="82">
    <w:p w14:paraId="70489B68" w14:textId="77777777" w:rsidR="000D4E22" w:rsidRPr="000D4E22" w:rsidRDefault="000D4E22" w:rsidP="000D4E22">
      <w:pPr>
        <w:pStyle w:val="FootnoteText"/>
      </w:pPr>
      <w:r>
        <w:rPr>
          <w:rStyle w:val="FootnoteReference"/>
        </w:rPr>
        <w:footnoteRef/>
      </w:r>
      <w:r>
        <w:t xml:space="preserve"> See RVRN 2022,</w:t>
      </w:r>
      <w:r w:rsidRPr="00E06983">
        <w:t> </w:t>
      </w:r>
      <w:hyperlink r:id="rId87" w:tgtFrame="_blank" w:history="1">
        <w:r w:rsidRPr="00E06983">
          <w:rPr>
            <w:rStyle w:val="Hyperlink"/>
          </w:rPr>
          <w:t>https://rvrn.org/en/annual-report-2022/</w:t>
        </w:r>
      </w:hyperlink>
    </w:p>
  </w:footnote>
  <w:footnote w:id="83">
    <w:p w14:paraId="19601597" w14:textId="17C7C550" w:rsidR="00E06983" w:rsidRDefault="00E06983">
      <w:pPr>
        <w:pStyle w:val="FootnoteText"/>
      </w:pPr>
      <w:r>
        <w:rPr>
          <w:rStyle w:val="FootnoteReference"/>
        </w:rPr>
        <w:footnoteRef/>
      </w:r>
      <w:r>
        <w:t xml:space="preserve"> </w:t>
      </w:r>
      <w:r w:rsidR="00B011D7">
        <w:t>See</w:t>
      </w:r>
      <w:r w:rsidRPr="00E06983">
        <w:t> </w:t>
      </w:r>
      <w:hyperlink r:id="rId88" w:tgtFrame="_blank" w:history="1">
        <w:r w:rsidRPr="00E06983">
          <w:rPr>
            <w:rStyle w:val="Hyperlink"/>
          </w:rPr>
          <w:t>https://www.thepinknews.com/2022/07/22/greece-intersex-surgey-ban-children/</w:t>
        </w:r>
      </w:hyperlink>
      <w:r w:rsidRPr="00E06983">
        <w:t>. </w:t>
      </w:r>
    </w:p>
  </w:footnote>
  <w:footnote w:id="84">
    <w:p w14:paraId="3435FD51" w14:textId="270DFDAA" w:rsidR="00BC02FE" w:rsidRDefault="00BC02FE">
      <w:pPr>
        <w:pStyle w:val="FootnoteText"/>
      </w:pPr>
      <w:r>
        <w:rPr>
          <w:rStyle w:val="FootnoteReference"/>
        </w:rPr>
        <w:footnoteRef/>
      </w:r>
      <w:r>
        <w:t xml:space="preserve"> </w:t>
      </w:r>
      <w:r w:rsidRPr="00BC02FE">
        <w:t> </w:t>
      </w:r>
      <w:r w:rsidR="00B011D7">
        <w:t>See</w:t>
      </w:r>
      <w:r w:rsidRPr="00BC02FE">
        <w:t> </w:t>
      </w:r>
      <w:hyperlink r:id="rId89" w:tgtFrame="_blank" w:history="1">
        <w:r w:rsidRPr="00BC02FE">
          <w:rPr>
            <w:rStyle w:val="Hyperlink"/>
          </w:rPr>
          <w:t>https://www.ilga-europe.org/report/annual-review-2024/</w:t>
        </w:r>
      </w:hyperlink>
      <w:r w:rsidRPr="00BC02FE">
        <w:t>. </w:t>
      </w:r>
    </w:p>
  </w:footnote>
  <w:footnote w:id="85">
    <w:p w14:paraId="408D61B7" w14:textId="77925434" w:rsidR="00A75250" w:rsidRDefault="00A75250">
      <w:pPr>
        <w:pStyle w:val="FootnoteText"/>
      </w:pPr>
      <w:r>
        <w:rPr>
          <w:rStyle w:val="FootnoteReference"/>
        </w:rPr>
        <w:footnoteRef/>
      </w:r>
      <w:r>
        <w:t xml:space="preserve"> </w:t>
      </w:r>
      <w:r w:rsidRPr="00A75250">
        <w:t>See </w:t>
      </w:r>
      <w:hyperlink r:id="rId90" w:anchor="/F64.0" w:tgtFrame="_blank" w:history="1">
        <w:r w:rsidRPr="00A75250">
          <w:rPr>
            <w:rStyle w:val="Hyperlink"/>
          </w:rPr>
          <w:t>https://icd.who.int/browse10/2019/en#/F64.0</w:t>
        </w:r>
      </w:hyperlink>
      <w:r w:rsidRPr="00A75250">
        <w:t>, F64.0.</w:t>
      </w:r>
    </w:p>
  </w:footnote>
  <w:footnote w:id="86">
    <w:p w14:paraId="2C71F76D" w14:textId="2FCC92B3" w:rsidR="00295531" w:rsidRPr="00C01B3C" w:rsidRDefault="00295531">
      <w:pPr>
        <w:pStyle w:val="FootnoteText"/>
      </w:pPr>
      <w:r>
        <w:rPr>
          <w:rStyle w:val="FootnoteReference"/>
        </w:rPr>
        <w:footnoteRef/>
      </w:r>
      <w:r w:rsidRPr="00C01B3C">
        <w:t xml:space="preserve"> See </w:t>
      </w:r>
      <w:hyperlink r:id="rId91" w:anchor="411470068" w:tgtFrame="_blank" w:history="1">
        <w:r w:rsidRPr="00C01B3C">
          <w:rPr>
            <w:rStyle w:val="Hyperlink"/>
          </w:rPr>
          <w:t>https://icd.who.int/browse/2024-01/mms/en#411470068</w:t>
        </w:r>
      </w:hyperlink>
      <w:r w:rsidRPr="00C01B3C">
        <w:t>, 17-HA60.</w:t>
      </w:r>
    </w:p>
  </w:footnote>
  <w:footnote w:id="87">
    <w:p w14:paraId="524FDB09" w14:textId="1D291015" w:rsidR="00AC6484" w:rsidRPr="00C01B3C" w:rsidRDefault="00AC6484">
      <w:pPr>
        <w:pStyle w:val="FootnoteText"/>
      </w:pPr>
      <w:r>
        <w:rPr>
          <w:rStyle w:val="FootnoteReference"/>
        </w:rPr>
        <w:footnoteRef/>
      </w:r>
      <w:r w:rsidRPr="00C01B3C">
        <w:t xml:space="preserve"> </w:t>
      </w:r>
      <w:r w:rsidR="00B011D7" w:rsidRPr="00C01B3C">
        <w:rPr>
          <w:rFonts w:ascii="Calibri" w:hAnsi="Calibri" w:cs="Calibri"/>
        </w:rPr>
        <w:t>See</w:t>
      </w:r>
      <w:r w:rsidRPr="00C01B3C">
        <w:rPr>
          <w:rFonts w:cs="Amnesty Trade Gothic Light"/>
        </w:rPr>
        <w:t> </w:t>
      </w:r>
      <w:hyperlink r:id="rId92" w:tgtFrame="_blank" w:history="1">
        <w:r w:rsidRPr="00C01B3C">
          <w:rPr>
            <w:rStyle w:val="Hyperlink"/>
          </w:rPr>
          <w:t>https://tgender.gr/deltio-typoy-to-syd-kalei-tin-politei-2/</w:t>
        </w:r>
      </w:hyperlink>
      <w:r w:rsidRPr="00C01B3C">
        <w:t>.  </w:t>
      </w:r>
    </w:p>
  </w:footnote>
  <w:footnote w:id="88">
    <w:p w14:paraId="04274F01" w14:textId="4AC82282" w:rsidR="009A4267" w:rsidRPr="00C01B3C" w:rsidRDefault="009A4267">
      <w:pPr>
        <w:pStyle w:val="FootnoteText"/>
      </w:pPr>
      <w:r>
        <w:rPr>
          <w:rStyle w:val="FootnoteReference"/>
        </w:rPr>
        <w:footnoteRef/>
      </w:r>
      <w:r w:rsidRPr="00C01B3C">
        <w:t xml:space="preserve"> </w:t>
      </w:r>
      <w:r w:rsidR="000157A3" w:rsidRPr="00C01B3C">
        <w:t>See</w:t>
      </w:r>
      <w:r w:rsidRPr="00C01B3C">
        <w:t> </w:t>
      </w:r>
      <w:hyperlink r:id="rId93" w:tgtFrame="_blank" w:history="1">
        <w:r w:rsidRPr="00C01B3C">
          <w:rPr>
            <w:rStyle w:val="Hyperlink"/>
          </w:rPr>
          <w:t>https://www.unhcr.org/gr/en/57973-rvrn-attack-in-thessaloniki-lgbtqi.html</w:t>
        </w:r>
      </w:hyperlink>
      <w:r w:rsidRPr="00C01B3C">
        <w:t>.</w:t>
      </w:r>
    </w:p>
  </w:footnote>
  <w:footnote w:id="89">
    <w:p w14:paraId="525556D2" w14:textId="74644DF2" w:rsidR="00ED09BC" w:rsidRPr="00C01B3C" w:rsidRDefault="00ED09BC">
      <w:pPr>
        <w:pStyle w:val="FootnoteText"/>
      </w:pPr>
      <w:r>
        <w:rPr>
          <w:rStyle w:val="FootnoteReference"/>
        </w:rPr>
        <w:footnoteRef/>
      </w:r>
      <w:r w:rsidRPr="00C01B3C">
        <w:t xml:space="preserve"> See </w:t>
      </w:r>
      <w:hyperlink r:id="rId94" w:tgtFrame="_blank" w:history="1">
        <w:r w:rsidRPr="00C01B3C">
          <w:rPr>
            <w:rStyle w:val="Hyperlink"/>
          </w:rPr>
          <w:t>https://www.unhcr.org/gr/en/57973-rvrn-attack-in-thessaloniki-lgbtqi.html</w:t>
        </w:r>
      </w:hyperlink>
      <w:r w:rsidRPr="00C01B3C">
        <w:t>.</w:t>
      </w:r>
    </w:p>
  </w:footnote>
  <w:footnote w:id="90">
    <w:p w14:paraId="42D30896" w14:textId="0BA1861B" w:rsidR="002A033C" w:rsidRDefault="002A033C">
      <w:pPr>
        <w:pStyle w:val="FootnoteText"/>
      </w:pPr>
      <w:r>
        <w:rPr>
          <w:rStyle w:val="FootnoteReference"/>
        </w:rPr>
        <w:footnoteRef/>
      </w:r>
      <w:r>
        <w:t xml:space="preserve"> </w:t>
      </w:r>
      <w:r w:rsidRPr="002A033C">
        <w:t xml:space="preserve"> Greece: Samos: “We feel in prison on the island”: Unlawful detention and </w:t>
      </w:r>
      <w:proofErr w:type="spellStart"/>
      <w:r w:rsidRPr="002A033C">
        <w:t>sub-standard</w:t>
      </w:r>
      <w:proofErr w:type="spellEnd"/>
      <w:r w:rsidRPr="002A033C">
        <w:t xml:space="preserve"> conditions in an EU-funded refugee centre, July 2024,</w:t>
      </w:r>
      <w:r w:rsidRPr="002A033C">
        <w:rPr>
          <w:rFonts w:ascii="Arial" w:hAnsi="Arial"/>
        </w:rPr>
        <w:t> </w:t>
      </w:r>
      <w:r w:rsidRPr="002A033C">
        <w:t>Index No:</w:t>
      </w:r>
      <w:r w:rsidRPr="002A033C">
        <w:rPr>
          <w:rFonts w:ascii="Arial" w:hAnsi="Arial"/>
        </w:rPr>
        <w:t> </w:t>
      </w:r>
      <w:r w:rsidRPr="002A033C">
        <w:t>EUR</w:t>
      </w:r>
      <w:r w:rsidRPr="002A033C">
        <w:rPr>
          <w:rFonts w:ascii="Arial" w:hAnsi="Arial"/>
        </w:rPr>
        <w:t> </w:t>
      </w:r>
      <w:r w:rsidRPr="002A033C">
        <w:t>25/8356/2024</w:t>
      </w:r>
      <w:r>
        <w:t>.</w:t>
      </w:r>
      <w:r w:rsidRPr="002A033C">
        <w:t> </w:t>
      </w:r>
    </w:p>
  </w:footnote>
  <w:footnote w:id="91">
    <w:p w14:paraId="404AFD50" w14:textId="3BF2C9B5" w:rsidR="00CC51E1" w:rsidRDefault="00CC51E1">
      <w:pPr>
        <w:pStyle w:val="FootnoteText"/>
      </w:pPr>
      <w:r>
        <w:rPr>
          <w:rStyle w:val="FootnoteReference"/>
        </w:rPr>
        <w:footnoteRef/>
      </w:r>
      <w:r>
        <w:t xml:space="preserve"> </w:t>
      </w:r>
      <w:r w:rsidRPr="00CC51E1">
        <w:t>Joint Ministerial Decisions no. 3063/2020, at: </w:t>
      </w:r>
      <w:hyperlink r:id="rId95" w:tgtFrame="_blank" w:history="1">
        <w:r w:rsidRPr="00CC51E1">
          <w:rPr>
            <w:rStyle w:val="Hyperlink"/>
          </w:rPr>
          <w:t>https://www.kodiko.gr/nomothesia/document/678034/yp.-apofasi-3063-2020</w:t>
        </w:r>
      </w:hyperlink>
      <w:r w:rsidRPr="00CC51E1">
        <w:t> and 10616/2020, at: </w:t>
      </w:r>
      <w:hyperlink r:id="rId96" w:tgtFrame="_blank" w:history="1">
        <w:r w:rsidRPr="00CC51E1">
          <w:rPr>
            <w:rStyle w:val="Hyperlink"/>
          </w:rPr>
          <w:t>https://www.kodiko.gr/nomothesia/document/680342/yp.-apofasi-10616-2020</w:t>
        </w:r>
      </w:hyperlink>
      <w:r>
        <w:t>.</w:t>
      </w:r>
      <w:r w:rsidRPr="00CC51E1">
        <w:t> </w:t>
      </w:r>
    </w:p>
  </w:footnote>
  <w:footnote w:id="92">
    <w:p w14:paraId="5849123C" w14:textId="6451BA83" w:rsidR="002B24C3" w:rsidRDefault="002B24C3">
      <w:pPr>
        <w:pStyle w:val="FootnoteText"/>
      </w:pPr>
      <w:r>
        <w:rPr>
          <w:rStyle w:val="FootnoteReference"/>
        </w:rPr>
        <w:footnoteRef/>
      </w:r>
      <w:r>
        <w:t xml:space="preserve"> </w:t>
      </w:r>
      <w:r w:rsidRPr="002B24C3">
        <w:t> Amnesty International, Greece: Regulation of NGOs working on migration and asylum threatens civic space, July 30, 2020, Index Number: EUR 25/2821/2020, at: https://www.amnesty.org/en/documents/eur25/2821/2020/en/. While Amnesty International’s statement refer to an older version of the legislation, which was changed in September 2020, our calls remain applicable to the new rules. For updates on the rules see: ECRE AIDA, Greece – Country Report, 2023, </w:t>
      </w:r>
      <w:hyperlink r:id="rId97" w:tgtFrame="_blank" w:history="1">
        <w:r w:rsidRPr="002B24C3">
          <w:rPr>
            <w:rStyle w:val="Hyperlink"/>
          </w:rPr>
          <w:t>https://asylumineurope.org/wp-content/uploads/2024/06/AIDA-GR_2023-Update.pdf</w:t>
        </w:r>
      </w:hyperlink>
      <w:r>
        <w:t>.</w:t>
      </w:r>
      <w:r w:rsidRPr="002B24C3">
        <w:t> </w:t>
      </w:r>
    </w:p>
  </w:footnote>
  <w:footnote w:id="93">
    <w:p w14:paraId="734337B8" w14:textId="3B3DA4BF" w:rsidR="002B24C3" w:rsidRDefault="002B24C3">
      <w:pPr>
        <w:pStyle w:val="FootnoteText"/>
      </w:pPr>
      <w:r>
        <w:rPr>
          <w:rStyle w:val="FootnoteReference"/>
        </w:rPr>
        <w:footnoteRef/>
      </w:r>
      <w:r>
        <w:t xml:space="preserve"> </w:t>
      </w:r>
      <w:r w:rsidRPr="002B24C3">
        <w:t>See: </w:t>
      </w:r>
      <w:proofErr w:type="spellStart"/>
      <w:r w:rsidRPr="002B24C3">
        <w:t>CoE</w:t>
      </w:r>
      <w:proofErr w:type="spellEnd"/>
      <w:r w:rsidRPr="002B24C3">
        <w:t>, Expert Council on NGO Law, Opinion on the compatibility with European standards of recent and planned amendments to the Greek legislation on NGO registration, 2 July 2020, available at: </w:t>
      </w:r>
      <w:hyperlink r:id="rId98" w:tgtFrame="_blank" w:history="1">
        <w:r w:rsidRPr="002B24C3">
          <w:rPr>
            <w:rStyle w:val="Hyperlink"/>
          </w:rPr>
          <w:t>https://rm.coe.int/expert-council-conf-exp-2020-4-opinion-ngo-registrationgreece/16809ee91d</w:t>
        </w:r>
      </w:hyperlink>
      <w:r w:rsidRPr="002B24C3">
        <w:t>; Addendum to the Opinion on the compatibility with European standards of recent and planned amendments to the Greek Legislation, 23 November 2020, at: </w:t>
      </w:r>
      <w:hyperlink r:id="rId99" w:tgtFrame="_blank" w:history="1">
        <w:r w:rsidRPr="002B24C3">
          <w:rPr>
            <w:rStyle w:val="Hyperlink"/>
          </w:rPr>
          <w:t>https://rm.coe.int/expert-council-conf-exp2020-5-addendum-to-the-opinion-on-the-compatib/1680a076f2</w:t>
        </w:r>
      </w:hyperlink>
      <w:r w:rsidRPr="002B24C3">
        <w:t>. </w:t>
      </w:r>
      <w:r w:rsidRPr="00A56F44">
        <w:t>UN Special Rapporteurs’ letter at: </w:t>
      </w:r>
      <w:hyperlink r:id="rId100" w:history="1">
        <w:r w:rsidRPr="00A56F44">
          <w:rPr>
            <w:rStyle w:val="Hyperlink"/>
          </w:rPr>
          <w:t>https://spcommreports.ohchr.org/TMResultsBase/DownLoadPublicCommunicationFile?gId=26314.</w:t>
        </w:r>
      </w:hyperlink>
      <w:r w:rsidRPr="00A56F44">
        <w:t xml:space="preserve">   </w:t>
      </w:r>
    </w:p>
  </w:footnote>
  <w:footnote w:id="94">
    <w:p w14:paraId="2C87A2B7" w14:textId="1F0CAD13" w:rsidR="00484064" w:rsidRDefault="00484064">
      <w:pPr>
        <w:pStyle w:val="FootnoteText"/>
      </w:pPr>
      <w:r>
        <w:rPr>
          <w:rStyle w:val="FootnoteReference"/>
        </w:rPr>
        <w:footnoteRef/>
      </w:r>
      <w:r>
        <w:t xml:space="preserve"> </w:t>
      </w:r>
      <w:r w:rsidRPr="00484064">
        <w:t>Amnesty International, Annual Report 2023, Human Rights in Greece, </w:t>
      </w:r>
      <w:hyperlink r:id="rId101" w:tgtFrame="_blank" w:history="1">
        <w:r w:rsidRPr="00484064">
          <w:rPr>
            <w:rStyle w:val="Hyperlink"/>
          </w:rPr>
          <w:t>www.amnesty.org/en/location/europe-and-central-asia/western-central-and-south-eastern-europe/greece/</w:t>
        </w:r>
      </w:hyperlink>
      <w:r>
        <w:t>.</w:t>
      </w:r>
      <w:r w:rsidRPr="00484064">
        <w:t> </w:t>
      </w:r>
    </w:p>
  </w:footnote>
  <w:footnote w:id="95">
    <w:p w14:paraId="39D5EC11" w14:textId="3B7F43C7" w:rsidR="00992A90" w:rsidRDefault="00992A90">
      <w:pPr>
        <w:pStyle w:val="FootnoteText"/>
      </w:pPr>
      <w:r>
        <w:rPr>
          <w:rStyle w:val="FootnoteReference"/>
        </w:rPr>
        <w:footnoteRef/>
      </w:r>
      <w:r>
        <w:t xml:space="preserve"> </w:t>
      </w:r>
      <w:r w:rsidRPr="00992A90">
        <w:t> See: Freedom of assembly at risk and unlawful use of force in the era of COVID-19, July 2021, Index Number:</w:t>
      </w:r>
      <w:r w:rsidRPr="00992A90">
        <w:rPr>
          <w:rFonts w:ascii="Arial" w:hAnsi="Arial"/>
        </w:rPr>
        <w:t> </w:t>
      </w:r>
      <w:r w:rsidRPr="00992A90">
        <w:t>EUR</w:t>
      </w:r>
      <w:r w:rsidRPr="00992A90">
        <w:rPr>
          <w:rFonts w:ascii="Arial" w:hAnsi="Arial"/>
        </w:rPr>
        <w:t> </w:t>
      </w:r>
      <w:r w:rsidRPr="00992A90">
        <w:t>25/4399/2021, available at:</w:t>
      </w:r>
      <w:r w:rsidRPr="00992A90">
        <w:rPr>
          <w:rFonts w:cs="Amnesty Trade Gothic Light"/>
        </w:rPr>
        <w:t> </w:t>
      </w:r>
      <w:hyperlink r:id="rId102" w:tgtFrame="_blank" w:history="1">
        <w:r w:rsidRPr="00992A90">
          <w:rPr>
            <w:rStyle w:val="Hyperlink"/>
          </w:rPr>
          <w:t>https://bit.ly/4dJwmbV</w:t>
        </w:r>
      </w:hyperlink>
      <w:r w:rsidRPr="00992A90">
        <w:t>. </w:t>
      </w:r>
    </w:p>
  </w:footnote>
  <w:footnote w:id="96">
    <w:p w14:paraId="4FB4287D" w14:textId="0B1EC591" w:rsidR="00DE1196" w:rsidRDefault="00DE1196">
      <w:pPr>
        <w:pStyle w:val="FootnoteText"/>
      </w:pPr>
      <w:r>
        <w:rPr>
          <w:rStyle w:val="FootnoteReference"/>
        </w:rPr>
        <w:footnoteRef/>
      </w:r>
      <w:r>
        <w:t xml:space="preserve"> </w:t>
      </w:r>
      <w:r w:rsidRPr="00DE1196">
        <w:t>Law 4703/2020, Public outdoor assemblies and other provisions, available at: </w:t>
      </w:r>
      <w:hyperlink r:id="rId103" w:history="1">
        <w:r w:rsidRPr="005B35F2">
          <w:rPr>
            <w:rStyle w:val="Hyperlink"/>
          </w:rPr>
          <w:t>https://bit.ly/31HQbgk</w:t>
        </w:r>
      </w:hyperlink>
      <w:r>
        <w:t xml:space="preserve">. </w:t>
      </w:r>
    </w:p>
  </w:footnote>
  <w:footnote w:id="97">
    <w:p w14:paraId="15B45315" w14:textId="627F9991" w:rsidR="00DE1196" w:rsidRDefault="00DE1196">
      <w:pPr>
        <w:pStyle w:val="FootnoteText"/>
      </w:pPr>
      <w:r>
        <w:rPr>
          <w:rStyle w:val="FootnoteReference"/>
        </w:rPr>
        <w:footnoteRef/>
      </w:r>
      <w:r>
        <w:t xml:space="preserve"> </w:t>
      </w:r>
      <w:r w:rsidRPr="00DE1196">
        <w:t>Article 21 of the ICCPR and Articles 10 and 11 of the European Convention on Human Rights.</w:t>
      </w:r>
    </w:p>
  </w:footnote>
  <w:footnote w:id="98">
    <w:p w14:paraId="01B706EA" w14:textId="73AEE61A" w:rsidR="005E138F" w:rsidRDefault="005E138F">
      <w:pPr>
        <w:pStyle w:val="FootnoteText"/>
      </w:pPr>
      <w:r>
        <w:rPr>
          <w:rStyle w:val="FootnoteReference"/>
        </w:rPr>
        <w:footnoteRef/>
      </w:r>
      <w:r>
        <w:t xml:space="preserve"> </w:t>
      </w:r>
      <w:r w:rsidRPr="005E138F">
        <w:t>Freedom of assembly at risk and unlawful use of force in the era of COVID-19, July 2021, Index Number:</w:t>
      </w:r>
      <w:r w:rsidRPr="005E138F">
        <w:rPr>
          <w:rFonts w:ascii="Arial" w:hAnsi="Arial"/>
        </w:rPr>
        <w:t> </w:t>
      </w:r>
      <w:r w:rsidRPr="005E138F">
        <w:t>EUR</w:t>
      </w:r>
      <w:r w:rsidRPr="005E138F">
        <w:rPr>
          <w:rFonts w:ascii="Arial" w:hAnsi="Arial"/>
        </w:rPr>
        <w:t> </w:t>
      </w:r>
      <w:r w:rsidRPr="005E138F">
        <w:t>25/4399/2021;</w:t>
      </w:r>
      <w:r w:rsidRPr="005E138F">
        <w:rPr>
          <w:rFonts w:cs="Amnesty Trade Gothic Light"/>
        </w:rPr>
        <w:t> </w:t>
      </w:r>
      <w:r w:rsidRPr="005E138F">
        <w:t>also</w:t>
      </w:r>
      <w:r w:rsidRPr="005E138F">
        <w:rPr>
          <w:rFonts w:cs="Amnesty Trade Gothic Light"/>
        </w:rPr>
        <w:t> </w:t>
      </w:r>
      <w:r w:rsidRPr="005E138F">
        <w:t xml:space="preserve">Under Protected and Over restricted- The State of the Right to Protest in 21 European Countries, July 2024, available at: </w:t>
      </w:r>
      <w:hyperlink r:id="rId104" w:history="1">
        <w:r w:rsidRPr="005B35F2">
          <w:rPr>
            <w:rStyle w:val="Hyperlink"/>
          </w:rPr>
          <w:t>https://bit.ly/3Tcqhwy</w:t>
        </w:r>
      </w:hyperlink>
      <w:r>
        <w:t xml:space="preserve">. </w:t>
      </w:r>
    </w:p>
  </w:footnote>
  <w:footnote w:id="99">
    <w:p w14:paraId="1788BF98" w14:textId="006546B7" w:rsidR="005E138F" w:rsidRDefault="005E138F">
      <w:pPr>
        <w:pStyle w:val="FootnoteText"/>
      </w:pPr>
      <w:r>
        <w:rPr>
          <w:rStyle w:val="FootnoteReference"/>
        </w:rPr>
        <w:footnoteRef/>
      </w:r>
      <w:r>
        <w:t xml:space="preserve"> </w:t>
      </w:r>
      <w:r w:rsidRPr="005E138F">
        <w:t>Article 9 of Law 4703/2020.</w:t>
      </w:r>
    </w:p>
  </w:footnote>
  <w:footnote w:id="100">
    <w:p w14:paraId="04D78DB5" w14:textId="35FA655C" w:rsidR="00265DE9" w:rsidRDefault="00265DE9">
      <w:pPr>
        <w:pStyle w:val="FootnoteText"/>
      </w:pPr>
      <w:r>
        <w:rPr>
          <w:rStyle w:val="FootnoteReference"/>
        </w:rPr>
        <w:footnoteRef/>
      </w:r>
      <w:r>
        <w:t xml:space="preserve"> </w:t>
      </w:r>
      <w:r w:rsidRPr="00265DE9">
        <w:t>Article 3 para. 3 of Law 4703/2020 and Article 3 para. 5 of Presidential Decree 73/2020</w:t>
      </w:r>
      <w:r>
        <w:t>.</w:t>
      </w:r>
    </w:p>
  </w:footnote>
  <w:footnote w:id="101">
    <w:p w14:paraId="223AE09A" w14:textId="7909218A" w:rsidR="00265DE9" w:rsidRDefault="00265DE9">
      <w:pPr>
        <w:pStyle w:val="FootnoteText"/>
      </w:pPr>
      <w:r>
        <w:rPr>
          <w:rStyle w:val="FootnoteReference"/>
        </w:rPr>
        <w:footnoteRef/>
      </w:r>
      <w:r>
        <w:t xml:space="preserve"> </w:t>
      </w:r>
      <w:r w:rsidRPr="00265DE9">
        <w:t>Article 13 para. 2 of Law 4703/2020. </w:t>
      </w:r>
    </w:p>
  </w:footnote>
  <w:footnote w:id="102">
    <w:p w14:paraId="3697F6FD" w14:textId="2C800551" w:rsidR="00BB6DF2" w:rsidRDefault="00BB6DF2">
      <w:pPr>
        <w:pStyle w:val="FootnoteText"/>
      </w:pPr>
      <w:r>
        <w:rPr>
          <w:rStyle w:val="FootnoteReference"/>
        </w:rPr>
        <w:footnoteRef/>
      </w:r>
      <w:r>
        <w:t xml:space="preserve"> </w:t>
      </w:r>
      <w:r w:rsidRPr="00BB6DF2">
        <w:t>Amnesty International, Greece: Freedom of Assembly at Risk and Unlawful Use of Force in the Era of COVID-19 (Index: EUR 25/4399/2021), 14 July 2021. </w:t>
      </w:r>
    </w:p>
  </w:footnote>
  <w:footnote w:id="103">
    <w:p w14:paraId="4D3BFC41" w14:textId="52BEA594" w:rsidR="00BB6DF2" w:rsidRDefault="00BB6DF2">
      <w:pPr>
        <w:pStyle w:val="FootnoteText"/>
      </w:pPr>
      <w:r>
        <w:rPr>
          <w:rStyle w:val="FootnoteReference"/>
        </w:rPr>
        <w:footnoteRef/>
      </w:r>
      <w:r>
        <w:t xml:space="preserve"> </w:t>
      </w:r>
      <w:r w:rsidRPr="00BB6DF2">
        <w:t>WP, Article 29; Opinion on some key issues of the Law Enforcement Directive (EU 2016/680), adopted on 29 November 2017; OHCHR, Impact of New Technologies on the Promotion and Protection of Human Rights in the Context of Assemblies, Including Peaceful Protests, 25 June 2020, UN Doc. A/HRC/44/24, para. 35.</w:t>
      </w:r>
    </w:p>
  </w:footnote>
  <w:footnote w:id="104">
    <w:p w14:paraId="3946373B" w14:textId="4C87223C" w:rsidR="000249C3" w:rsidRDefault="000249C3">
      <w:pPr>
        <w:pStyle w:val="FootnoteText"/>
      </w:pPr>
      <w:r>
        <w:rPr>
          <w:rStyle w:val="FootnoteReference"/>
        </w:rPr>
        <w:footnoteRef/>
      </w:r>
      <w:r>
        <w:t xml:space="preserve"> </w:t>
      </w:r>
      <w:r w:rsidRPr="000249C3">
        <w:t>Interviews with Homo Digitalis, 20 and 23 April 2021.</w:t>
      </w:r>
    </w:p>
  </w:footnote>
  <w:footnote w:id="105">
    <w:p w14:paraId="746B1421" w14:textId="08A6FD8D" w:rsidR="000249C3" w:rsidRDefault="000249C3">
      <w:pPr>
        <w:pStyle w:val="FootnoteText"/>
      </w:pPr>
      <w:r>
        <w:rPr>
          <w:rStyle w:val="FootnoteReference"/>
        </w:rPr>
        <w:footnoteRef/>
      </w:r>
      <w:r>
        <w:t xml:space="preserve"> </w:t>
      </w:r>
      <w:r w:rsidRPr="000249C3">
        <w:t>See decision of the Chief of the Greek Police 7012/6/103 – </w:t>
      </w:r>
      <w:proofErr w:type="spellStart"/>
      <w:r w:rsidRPr="000249C3">
        <w:rPr>
          <w:rFonts w:ascii="Calibri" w:hAnsi="Calibri" w:cs="Calibri"/>
        </w:rPr>
        <w:t>οζ</w:t>
      </w:r>
      <w:proofErr w:type="spellEnd"/>
      <w:r w:rsidRPr="000249C3">
        <w:t> of 29 March 2021 amending Decision 7012/6/103 of 2009 (GOG 1426/</w:t>
      </w:r>
      <w:r w:rsidRPr="000249C3">
        <w:rPr>
          <w:rFonts w:ascii="Calibri" w:hAnsi="Calibri" w:cs="Calibri"/>
        </w:rPr>
        <w:t>Β</w:t>
      </w:r>
      <w:r w:rsidRPr="000249C3">
        <w:t>/16-7-2009). </w:t>
      </w:r>
    </w:p>
  </w:footnote>
  <w:footnote w:id="106">
    <w:p w14:paraId="06812AFE" w14:textId="6D983C40" w:rsidR="00592D28" w:rsidRDefault="00592D28">
      <w:pPr>
        <w:pStyle w:val="FootnoteText"/>
      </w:pPr>
      <w:r>
        <w:rPr>
          <w:rStyle w:val="FootnoteReference"/>
        </w:rPr>
        <w:footnoteRef/>
      </w:r>
      <w:r>
        <w:t xml:space="preserve"> </w:t>
      </w:r>
      <w:r w:rsidRPr="00592D28">
        <w:t>Freedom of assembly at risk and unlawful use of force in the era of COVID-19, July 2021, Index Number:</w:t>
      </w:r>
      <w:r w:rsidRPr="00592D28">
        <w:rPr>
          <w:rFonts w:ascii="Arial" w:hAnsi="Arial"/>
        </w:rPr>
        <w:t> </w:t>
      </w:r>
      <w:r w:rsidRPr="00592D28">
        <w:t>EUR</w:t>
      </w:r>
      <w:r w:rsidRPr="00592D28">
        <w:rPr>
          <w:rFonts w:ascii="Arial" w:hAnsi="Arial"/>
        </w:rPr>
        <w:t> </w:t>
      </w:r>
      <w:r w:rsidRPr="00592D28">
        <w:t>25/4399/2021.</w:t>
      </w:r>
      <w:r w:rsidRPr="00592D28">
        <w:rPr>
          <w:rFonts w:cs="Amnesty Trade Gothic Light"/>
        </w:rPr>
        <w:t> </w:t>
      </w:r>
    </w:p>
  </w:footnote>
  <w:footnote w:id="107">
    <w:p w14:paraId="4AB1D976" w14:textId="4A7565E4" w:rsidR="00592D28" w:rsidRDefault="00592D28">
      <w:pPr>
        <w:pStyle w:val="FootnoteText"/>
      </w:pPr>
      <w:r>
        <w:rPr>
          <w:rStyle w:val="FootnoteReference"/>
        </w:rPr>
        <w:footnoteRef/>
      </w:r>
      <w:r>
        <w:t xml:space="preserve"> </w:t>
      </w:r>
      <w:r w:rsidRPr="00592D28">
        <w:t>Freedom of assembly at risk and unlawful use of force in the era of COVID-19, July 2021, Index Number:</w:t>
      </w:r>
      <w:r w:rsidRPr="00592D28">
        <w:rPr>
          <w:rFonts w:ascii="Arial" w:hAnsi="Arial"/>
        </w:rPr>
        <w:t> </w:t>
      </w:r>
      <w:r w:rsidRPr="00592D28">
        <w:t>EUR</w:t>
      </w:r>
      <w:r w:rsidRPr="00592D28">
        <w:rPr>
          <w:rFonts w:ascii="Arial" w:hAnsi="Arial"/>
        </w:rPr>
        <w:t> </w:t>
      </w:r>
      <w:r w:rsidRPr="00592D28">
        <w:t>25/4399/2021.</w:t>
      </w:r>
    </w:p>
  </w:footnote>
  <w:footnote w:id="108">
    <w:p w14:paraId="5C24397B" w14:textId="45EA2BF1" w:rsidR="00E61DBF" w:rsidRDefault="00E61DBF">
      <w:pPr>
        <w:pStyle w:val="FootnoteText"/>
      </w:pPr>
      <w:r>
        <w:rPr>
          <w:rStyle w:val="FootnoteReference"/>
        </w:rPr>
        <w:footnoteRef/>
      </w:r>
      <w:r>
        <w:t xml:space="preserve"> </w:t>
      </w:r>
      <w:r w:rsidRPr="00E61DBF">
        <w:t> Freedom of assembly at risk and unlawful use of force in the era of COVID-19, July 2021, Index Number:</w:t>
      </w:r>
      <w:r w:rsidRPr="00E61DBF">
        <w:rPr>
          <w:rFonts w:ascii="Arial" w:hAnsi="Arial"/>
        </w:rPr>
        <w:t> </w:t>
      </w:r>
      <w:r w:rsidRPr="00E61DBF">
        <w:t>EUR</w:t>
      </w:r>
      <w:r w:rsidRPr="00E61DBF">
        <w:rPr>
          <w:rFonts w:ascii="Arial" w:hAnsi="Arial"/>
        </w:rPr>
        <w:t> </w:t>
      </w:r>
      <w:r w:rsidRPr="00E61DBF">
        <w:t>25/4399/2021.</w:t>
      </w:r>
    </w:p>
  </w:footnote>
  <w:footnote w:id="109">
    <w:p w14:paraId="73AABD74" w14:textId="606209E8" w:rsidR="00E61DBF" w:rsidRDefault="00E61DBF">
      <w:pPr>
        <w:pStyle w:val="FootnoteText"/>
      </w:pPr>
      <w:r>
        <w:rPr>
          <w:rStyle w:val="FootnoteReference"/>
        </w:rPr>
        <w:footnoteRef/>
      </w:r>
      <w:r>
        <w:t xml:space="preserve"> </w:t>
      </w:r>
      <w:r w:rsidRPr="00E61DBF">
        <w:t xml:space="preserve">Under Protected and Over restricted - The State of the Right to Protest in 21 European Countries, July 2024, available at: </w:t>
      </w:r>
      <w:hyperlink r:id="rId105" w:history="1">
        <w:r w:rsidRPr="005B35F2">
          <w:rPr>
            <w:rStyle w:val="Hyperlink"/>
          </w:rPr>
          <w:t>https://bit.ly/3Tcqhwy</w:t>
        </w:r>
      </w:hyperlink>
      <w:r>
        <w:t xml:space="preserve">. </w:t>
      </w:r>
    </w:p>
  </w:footnote>
  <w:footnote w:id="110">
    <w:p w14:paraId="3C2255E9" w14:textId="68D942C1" w:rsidR="0004164A" w:rsidRDefault="0004164A">
      <w:pPr>
        <w:pStyle w:val="FootnoteText"/>
      </w:pPr>
      <w:r>
        <w:rPr>
          <w:rStyle w:val="FootnoteReference"/>
        </w:rPr>
        <w:footnoteRef/>
      </w:r>
      <w:r>
        <w:t xml:space="preserve"> </w:t>
      </w:r>
      <w:r w:rsidRPr="0004164A">
        <w:t>See </w:t>
      </w:r>
      <w:hyperlink r:id="rId106" w:tgtFrame="_blank" w:history="1">
        <w:r w:rsidRPr="0004164A">
          <w:rPr>
            <w:rStyle w:val="Hyperlink"/>
          </w:rPr>
          <w:t>https://www.mfrr.eu/controlling-the-message-challenges-for-independent-reporting-in-greece/</w:t>
        </w:r>
      </w:hyperlink>
      <w:r w:rsidRPr="0004164A">
        <w:rPr>
          <w:u w:val="single"/>
        </w:rPr>
        <w:t>; </w:t>
      </w:r>
      <w:r w:rsidRPr="0004164A">
        <w:t>Amnesty International has been informed that a police officer was indicted for bodily harm for the injuries sustained by Orestis Panagiotou. Interview with Orestis Panagiotou, May 2024.</w:t>
      </w:r>
    </w:p>
  </w:footnote>
  <w:footnote w:id="111">
    <w:p w14:paraId="51EAFE46" w14:textId="0106500A" w:rsidR="0004164A" w:rsidRDefault="0004164A">
      <w:pPr>
        <w:pStyle w:val="FootnoteText"/>
      </w:pPr>
      <w:r>
        <w:rPr>
          <w:rStyle w:val="FootnoteReference"/>
        </w:rPr>
        <w:footnoteRef/>
      </w:r>
      <w:r>
        <w:t xml:space="preserve"> </w:t>
      </w:r>
      <w:r w:rsidRPr="0004164A">
        <w:t>Under Protected and Over restricted - The State of the Right to Protest in 21 European Countries, July 2024.</w:t>
      </w:r>
    </w:p>
  </w:footnote>
  <w:footnote w:id="112">
    <w:p w14:paraId="1AEF93C1" w14:textId="1D800D25" w:rsidR="007033E6" w:rsidRDefault="007033E6">
      <w:pPr>
        <w:pStyle w:val="FootnoteText"/>
      </w:pPr>
      <w:r>
        <w:rPr>
          <w:rStyle w:val="FootnoteReference"/>
        </w:rPr>
        <w:footnoteRef/>
      </w:r>
      <w:r>
        <w:t xml:space="preserve"> </w:t>
      </w:r>
      <w:r w:rsidRPr="007033E6">
        <w:t>See 2020 Special Report of the National Mechanism for the Investigation of Arbitrary Incidents</w:t>
      </w:r>
      <w:r>
        <w:t xml:space="preserve">. </w:t>
      </w:r>
    </w:p>
  </w:footnote>
  <w:footnote w:id="113">
    <w:p w14:paraId="19523E4C" w14:textId="72FF9925" w:rsidR="001A6DB1" w:rsidRDefault="001A6DB1">
      <w:pPr>
        <w:pStyle w:val="FootnoteText"/>
      </w:pPr>
      <w:r>
        <w:rPr>
          <w:rStyle w:val="FootnoteReference"/>
        </w:rPr>
        <w:footnoteRef/>
      </w:r>
      <w:r>
        <w:t xml:space="preserve"> </w:t>
      </w:r>
      <w:r w:rsidRPr="001A6DB1">
        <w:t>See Amnesty International/International Helsinki Federation, Greece: In the Shadow of Impunity: Ill-treatment and the misuse of firearms (Index: EUR 25/022/2002); Amnesty International, Greece: Alleged Abuses in the Policing of Demonstrations (Index: EUR 25/001/2009); Police Violence in Greece: Not just ‘Isolated Incidents’, (Index: EUR 25/005/2012); and A Law unto Themselves: A Culture of Abuse and Impunity in the Greek Police (Index: EUR 25/005/2014).</w:t>
      </w:r>
    </w:p>
  </w:footnote>
  <w:footnote w:id="114">
    <w:p w14:paraId="5D03EDFF" w14:textId="1C28994E" w:rsidR="001A6DB1" w:rsidRDefault="001A6DB1">
      <w:pPr>
        <w:pStyle w:val="FootnoteText"/>
      </w:pPr>
      <w:r>
        <w:rPr>
          <w:rStyle w:val="FootnoteReference"/>
        </w:rPr>
        <w:footnoteRef/>
      </w:r>
      <w:r>
        <w:t xml:space="preserve"> </w:t>
      </w:r>
      <w:r w:rsidRPr="001A6DB1">
        <w:t xml:space="preserve">Under Protected and Over restricted - The State of the Right to Protest in 21 European Countries, July 2024, available at: </w:t>
      </w:r>
      <w:hyperlink r:id="rId107" w:history="1">
        <w:r w:rsidRPr="005B35F2">
          <w:rPr>
            <w:rStyle w:val="Hyperlink"/>
          </w:rPr>
          <w:t>https://bit.ly/3Tcqhwy</w:t>
        </w:r>
      </w:hyperlink>
      <w:r>
        <w:t xml:space="preserve">. </w:t>
      </w:r>
    </w:p>
  </w:footnote>
  <w:footnote w:id="115">
    <w:p w14:paraId="6145A742" w14:textId="42CFB7F3" w:rsidR="009737C9" w:rsidRDefault="009737C9">
      <w:pPr>
        <w:pStyle w:val="FootnoteText"/>
      </w:pPr>
      <w:r>
        <w:rPr>
          <w:rStyle w:val="FootnoteReference"/>
        </w:rPr>
        <w:footnoteRef/>
      </w:r>
      <w:r>
        <w:t xml:space="preserve"> </w:t>
      </w:r>
      <w:r w:rsidRPr="009737C9">
        <w:t>See: </w:t>
      </w:r>
      <w:hyperlink r:id="rId108" w:tgtFrame="_blank" w:history="1">
        <w:r w:rsidRPr="009737C9">
          <w:rPr>
            <w:rStyle w:val="Hyperlink"/>
          </w:rPr>
          <w:t>https://bit.ly/3z3ljeM</w:t>
        </w:r>
      </w:hyperlink>
      <w:r w:rsidRPr="009737C9">
        <w:t>.  </w:t>
      </w:r>
    </w:p>
  </w:footnote>
  <w:footnote w:id="116">
    <w:p w14:paraId="789EAFF7" w14:textId="72327D46" w:rsidR="001D784B" w:rsidRDefault="001D784B">
      <w:pPr>
        <w:pStyle w:val="FootnoteText"/>
      </w:pPr>
      <w:r>
        <w:rPr>
          <w:rStyle w:val="FootnoteReference"/>
        </w:rPr>
        <w:footnoteRef/>
      </w:r>
      <w:r>
        <w:t xml:space="preserve"> </w:t>
      </w:r>
      <w:r w:rsidRPr="001D784B">
        <w:t>Law 4800/2021, Reforms regarding relations between parents and children, other issues of family law and other urgent provisions; see Article 14 amending Article 1432 of the Greek Civil Code.</w:t>
      </w:r>
    </w:p>
  </w:footnote>
  <w:footnote w:id="117">
    <w:p w14:paraId="250B77F5" w14:textId="10F89A5B" w:rsidR="001D784B" w:rsidRDefault="001D784B">
      <w:pPr>
        <w:pStyle w:val="FootnoteText"/>
      </w:pPr>
      <w:r>
        <w:rPr>
          <w:rStyle w:val="FootnoteReference"/>
        </w:rPr>
        <w:footnoteRef/>
      </w:r>
      <w:r>
        <w:t xml:space="preserve"> </w:t>
      </w:r>
      <w:r w:rsidRPr="001D784B">
        <w:t>See: </w:t>
      </w:r>
      <w:hyperlink r:id="rId109" w:tgtFrame="_blank" w:history="1">
        <w:r w:rsidRPr="001D784B">
          <w:rPr>
            <w:rStyle w:val="Hyperlink"/>
          </w:rPr>
          <w:t>1680aa2e44 (coe.int)</w:t>
        </w:r>
      </w:hyperlink>
      <w:r w:rsidRPr="001D784B">
        <w:t>. </w:t>
      </w:r>
    </w:p>
  </w:footnote>
  <w:footnote w:id="118">
    <w:p w14:paraId="56E081EE" w14:textId="6E5F2A2C" w:rsidR="00F70670" w:rsidRDefault="00F70670">
      <w:pPr>
        <w:pStyle w:val="FootnoteText"/>
      </w:pPr>
      <w:r>
        <w:rPr>
          <w:rStyle w:val="FootnoteReference"/>
        </w:rPr>
        <w:footnoteRef/>
      </w:r>
      <w:r>
        <w:t xml:space="preserve"> </w:t>
      </w:r>
      <w:r w:rsidRPr="00F70670">
        <w:t>See: GREVIO/</w:t>
      </w:r>
      <w:proofErr w:type="gramStart"/>
      <w:r w:rsidRPr="00F70670">
        <w:t>Inf(</w:t>
      </w:r>
      <w:proofErr w:type="gramEnd"/>
      <w:r w:rsidRPr="00F70670">
        <w:t>2023)23, </w:t>
      </w:r>
      <w:hyperlink r:id="rId110" w:tgtFrame="_blank" w:history="1">
        <w:r w:rsidRPr="00F70670">
          <w:rPr>
            <w:rStyle w:val="Hyperlink"/>
          </w:rPr>
          <w:t>https://bit.ly/4g1za5X</w:t>
        </w:r>
      </w:hyperlink>
      <w:r w:rsidRPr="00F70670">
        <w:t>. </w:t>
      </w:r>
    </w:p>
  </w:footnote>
  <w:footnote w:id="119">
    <w:p w14:paraId="39C44BD0" w14:textId="36963E8D" w:rsidR="00F70670" w:rsidRDefault="00F70670">
      <w:pPr>
        <w:pStyle w:val="FootnoteText"/>
      </w:pPr>
      <w:r>
        <w:rPr>
          <w:rStyle w:val="FootnoteReference"/>
        </w:rPr>
        <w:footnoteRef/>
      </w:r>
      <w:r>
        <w:t xml:space="preserve"> </w:t>
      </w:r>
      <w:r w:rsidRPr="00F70670">
        <w:t>GREVIO/</w:t>
      </w:r>
      <w:proofErr w:type="gramStart"/>
      <w:r w:rsidRPr="00F70670">
        <w:t>Inf(</w:t>
      </w:r>
      <w:proofErr w:type="gramEnd"/>
      <w:r w:rsidRPr="00F70670">
        <w:t>2023)23.</w:t>
      </w:r>
      <w:r>
        <w:t xml:space="preserve"> </w:t>
      </w:r>
    </w:p>
  </w:footnote>
  <w:footnote w:id="120">
    <w:p w14:paraId="423A4F26" w14:textId="67DFB752" w:rsidR="00806A20" w:rsidRDefault="00806A20">
      <w:pPr>
        <w:pStyle w:val="FootnoteText"/>
      </w:pPr>
      <w:r>
        <w:rPr>
          <w:rStyle w:val="FootnoteReference"/>
        </w:rPr>
        <w:footnoteRef/>
      </w:r>
      <w:r>
        <w:t xml:space="preserve"> </w:t>
      </w:r>
      <w:r w:rsidRPr="00806A20">
        <w:t>Committee of the Parties Council of Europe Convention on preventing and combating violence against women and domestic violence (Istanbul Convention), Recommendation on the implementation of the Council of Europe Convention on Preventing and Combating Violence against Women and Domestic Violence by Greece IC-CP/Inf(2023)14, Adopted on 5 December 2023, available at: </w:t>
      </w:r>
      <w:hyperlink r:id="rId111" w:tgtFrame="_blank" w:history="1">
        <w:r w:rsidRPr="00806A20">
          <w:rPr>
            <w:rStyle w:val="Hyperlink"/>
          </w:rPr>
          <w:t>https://bit.ly/3X6iP7j</w:t>
        </w:r>
      </w:hyperlink>
      <w:r>
        <w:t>.</w:t>
      </w:r>
      <w:r w:rsidRPr="00806A20">
        <w: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4208B"/>
    <w:multiLevelType w:val="multilevel"/>
    <w:tmpl w:val="65D4D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C10785"/>
    <w:multiLevelType w:val="hybridMultilevel"/>
    <w:tmpl w:val="3C8C3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54289"/>
    <w:multiLevelType w:val="multilevel"/>
    <w:tmpl w:val="8406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A82913"/>
    <w:multiLevelType w:val="multilevel"/>
    <w:tmpl w:val="F4806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DF74C8"/>
    <w:multiLevelType w:val="multilevel"/>
    <w:tmpl w:val="F62A3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903CCF"/>
    <w:multiLevelType w:val="multilevel"/>
    <w:tmpl w:val="1B1C6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1336D0"/>
    <w:multiLevelType w:val="multilevel"/>
    <w:tmpl w:val="31B2D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DB02A6"/>
    <w:multiLevelType w:val="multilevel"/>
    <w:tmpl w:val="B0FA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346F62"/>
    <w:multiLevelType w:val="multilevel"/>
    <w:tmpl w:val="C3BA6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B356C8"/>
    <w:multiLevelType w:val="multilevel"/>
    <w:tmpl w:val="EA00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30376D"/>
    <w:multiLevelType w:val="multilevel"/>
    <w:tmpl w:val="41387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A37052"/>
    <w:multiLevelType w:val="multilevel"/>
    <w:tmpl w:val="76D08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5C1E87"/>
    <w:multiLevelType w:val="multilevel"/>
    <w:tmpl w:val="AB92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4D5B4A"/>
    <w:multiLevelType w:val="multilevel"/>
    <w:tmpl w:val="D78C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1B3009"/>
    <w:multiLevelType w:val="multilevel"/>
    <w:tmpl w:val="EC82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F0403D4"/>
    <w:multiLevelType w:val="multilevel"/>
    <w:tmpl w:val="0306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938166C"/>
    <w:multiLevelType w:val="multilevel"/>
    <w:tmpl w:val="E384E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786B32"/>
    <w:multiLevelType w:val="multilevel"/>
    <w:tmpl w:val="3620C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7443F8"/>
    <w:multiLevelType w:val="multilevel"/>
    <w:tmpl w:val="7B9EC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DD42E49"/>
    <w:multiLevelType w:val="multilevel"/>
    <w:tmpl w:val="BEF2E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544B29"/>
    <w:multiLevelType w:val="multilevel"/>
    <w:tmpl w:val="493AB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3391295"/>
    <w:multiLevelType w:val="multilevel"/>
    <w:tmpl w:val="36A26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4B630D1"/>
    <w:multiLevelType w:val="multilevel"/>
    <w:tmpl w:val="DBC6C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F6D4526"/>
    <w:multiLevelType w:val="multilevel"/>
    <w:tmpl w:val="3B8E4B1E"/>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52BE0C01"/>
    <w:multiLevelType w:val="multilevel"/>
    <w:tmpl w:val="778A6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54340BF"/>
    <w:multiLevelType w:val="multilevel"/>
    <w:tmpl w:val="36FCC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9D33BCA"/>
    <w:multiLevelType w:val="multilevel"/>
    <w:tmpl w:val="C83C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A355EC5"/>
    <w:multiLevelType w:val="multilevel"/>
    <w:tmpl w:val="FC027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631EE6"/>
    <w:multiLevelType w:val="multilevel"/>
    <w:tmpl w:val="2BA6C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BB454F0"/>
    <w:multiLevelType w:val="multilevel"/>
    <w:tmpl w:val="708E5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E302A8C"/>
    <w:multiLevelType w:val="multilevel"/>
    <w:tmpl w:val="FA70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06F3C46"/>
    <w:multiLevelType w:val="multilevel"/>
    <w:tmpl w:val="31EA6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A57591A"/>
    <w:multiLevelType w:val="multilevel"/>
    <w:tmpl w:val="2B769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C70643A"/>
    <w:multiLevelType w:val="multilevel"/>
    <w:tmpl w:val="89CCE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CB77DA6"/>
    <w:multiLevelType w:val="multilevel"/>
    <w:tmpl w:val="22581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F4D3019"/>
    <w:multiLevelType w:val="multilevel"/>
    <w:tmpl w:val="FCC26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08207542">
    <w:abstractNumId w:val="23"/>
  </w:num>
  <w:num w:numId="2" w16cid:durableId="261770115">
    <w:abstractNumId w:val="8"/>
  </w:num>
  <w:num w:numId="3" w16cid:durableId="681664852">
    <w:abstractNumId w:val="20"/>
  </w:num>
  <w:num w:numId="4" w16cid:durableId="1306616678">
    <w:abstractNumId w:val="9"/>
  </w:num>
  <w:num w:numId="5" w16cid:durableId="40322794">
    <w:abstractNumId w:val="7"/>
  </w:num>
  <w:num w:numId="6" w16cid:durableId="1329747322">
    <w:abstractNumId w:val="22"/>
  </w:num>
  <w:num w:numId="7" w16cid:durableId="1991209528">
    <w:abstractNumId w:val="34"/>
  </w:num>
  <w:num w:numId="8" w16cid:durableId="2047756502">
    <w:abstractNumId w:val="12"/>
  </w:num>
  <w:num w:numId="9" w16cid:durableId="338585176">
    <w:abstractNumId w:val="2"/>
  </w:num>
  <w:num w:numId="10" w16cid:durableId="1053428901">
    <w:abstractNumId w:val="27"/>
  </w:num>
  <w:num w:numId="11" w16cid:durableId="1251892583">
    <w:abstractNumId w:val="18"/>
  </w:num>
  <w:num w:numId="12" w16cid:durableId="825440129">
    <w:abstractNumId w:val="0"/>
  </w:num>
  <w:num w:numId="13" w16cid:durableId="415713328">
    <w:abstractNumId w:val="10"/>
  </w:num>
  <w:num w:numId="14" w16cid:durableId="1405446133">
    <w:abstractNumId w:val="15"/>
  </w:num>
  <w:num w:numId="15" w16cid:durableId="857356117">
    <w:abstractNumId w:val="35"/>
  </w:num>
  <w:num w:numId="16" w16cid:durableId="205988568">
    <w:abstractNumId w:val="3"/>
  </w:num>
  <w:num w:numId="17" w16cid:durableId="1279605494">
    <w:abstractNumId w:val="32"/>
  </w:num>
  <w:num w:numId="18" w16cid:durableId="1240824367">
    <w:abstractNumId w:val="6"/>
  </w:num>
  <w:num w:numId="19" w16cid:durableId="456486244">
    <w:abstractNumId w:val="21"/>
  </w:num>
  <w:num w:numId="20" w16cid:durableId="479660441">
    <w:abstractNumId w:val="31"/>
  </w:num>
  <w:num w:numId="21" w16cid:durableId="1560289388">
    <w:abstractNumId w:val="11"/>
  </w:num>
  <w:num w:numId="22" w16cid:durableId="232400378">
    <w:abstractNumId w:val="29"/>
  </w:num>
  <w:num w:numId="23" w16cid:durableId="601651756">
    <w:abstractNumId w:val="13"/>
  </w:num>
  <w:num w:numId="24" w16cid:durableId="2092893971">
    <w:abstractNumId w:val="17"/>
  </w:num>
  <w:num w:numId="25" w16cid:durableId="1550607715">
    <w:abstractNumId w:val="14"/>
  </w:num>
  <w:num w:numId="26" w16cid:durableId="1169560736">
    <w:abstractNumId w:val="26"/>
  </w:num>
  <w:num w:numId="27" w16cid:durableId="801266263">
    <w:abstractNumId w:val="1"/>
  </w:num>
  <w:num w:numId="28" w16cid:durableId="781924049">
    <w:abstractNumId w:val="19"/>
  </w:num>
  <w:num w:numId="29" w16cid:durableId="1106463579">
    <w:abstractNumId w:val="16"/>
  </w:num>
  <w:num w:numId="30" w16cid:durableId="1211649731">
    <w:abstractNumId w:val="5"/>
  </w:num>
  <w:num w:numId="31" w16cid:durableId="1750077829">
    <w:abstractNumId w:val="28"/>
  </w:num>
  <w:num w:numId="32" w16cid:durableId="1090003868">
    <w:abstractNumId w:val="24"/>
  </w:num>
  <w:num w:numId="33" w16cid:durableId="725297187">
    <w:abstractNumId w:val="25"/>
  </w:num>
  <w:num w:numId="34" w16cid:durableId="1091700277">
    <w:abstractNumId w:val="33"/>
  </w:num>
  <w:num w:numId="35" w16cid:durableId="1507280657">
    <w:abstractNumId w:val="30"/>
  </w:num>
  <w:num w:numId="36" w16cid:durableId="1510867662">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8"/>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7527"/>
    <w:rsid w:val="0001250D"/>
    <w:rsid w:val="0001481A"/>
    <w:rsid w:val="000157A3"/>
    <w:rsid w:val="00021154"/>
    <w:rsid w:val="00021885"/>
    <w:rsid w:val="00022B80"/>
    <w:rsid w:val="000249C3"/>
    <w:rsid w:val="000259F7"/>
    <w:rsid w:val="00025AFD"/>
    <w:rsid w:val="00026CEC"/>
    <w:rsid w:val="00031C00"/>
    <w:rsid w:val="000357E2"/>
    <w:rsid w:val="0004164A"/>
    <w:rsid w:val="0005087E"/>
    <w:rsid w:val="0005600D"/>
    <w:rsid w:val="000604C6"/>
    <w:rsid w:val="00065FFC"/>
    <w:rsid w:val="000660E7"/>
    <w:rsid w:val="0006664D"/>
    <w:rsid w:val="0006667A"/>
    <w:rsid w:val="00070657"/>
    <w:rsid w:val="000718D3"/>
    <w:rsid w:val="0007677B"/>
    <w:rsid w:val="000808AF"/>
    <w:rsid w:val="00081181"/>
    <w:rsid w:val="00081537"/>
    <w:rsid w:val="0008415F"/>
    <w:rsid w:val="00085AA0"/>
    <w:rsid w:val="00090DB1"/>
    <w:rsid w:val="000922C7"/>
    <w:rsid w:val="000A1082"/>
    <w:rsid w:val="000A14DE"/>
    <w:rsid w:val="000A75B9"/>
    <w:rsid w:val="000B3317"/>
    <w:rsid w:val="000B3BD6"/>
    <w:rsid w:val="000B7019"/>
    <w:rsid w:val="000B7EEA"/>
    <w:rsid w:val="000C1D19"/>
    <w:rsid w:val="000C2825"/>
    <w:rsid w:val="000C5B09"/>
    <w:rsid w:val="000D2BD5"/>
    <w:rsid w:val="000D4E22"/>
    <w:rsid w:val="000D667F"/>
    <w:rsid w:val="000D7F8C"/>
    <w:rsid w:val="000E5106"/>
    <w:rsid w:val="000F39EA"/>
    <w:rsid w:val="000F5DC9"/>
    <w:rsid w:val="000F74F9"/>
    <w:rsid w:val="0010159D"/>
    <w:rsid w:val="00103BA2"/>
    <w:rsid w:val="00105551"/>
    <w:rsid w:val="00106694"/>
    <w:rsid w:val="001078C8"/>
    <w:rsid w:val="00112CAF"/>
    <w:rsid w:val="00113E91"/>
    <w:rsid w:val="001140D3"/>
    <w:rsid w:val="001153D5"/>
    <w:rsid w:val="00116223"/>
    <w:rsid w:val="00117E48"/>
    <w:rsid w:val="00121717"/>
    <w:rsid w:val="001231E9"/>
    <w:rsid w:val="00124895"/>
    <w:rsid w:val="00124E0C"/>
    <w:rsid w:val="00125850"/>
    <w:rsid w:val="001263C5"/>
    <w:rsid w:val="00126A84"/>
    <w:rsid w:val="00130C4E"/>
    <w:rsid w:val="00131015"/>
    <w:rsid w:val="00132298"/>
    <w:rsid w:val="00132E35"/>
    <w:rsid w:val="00133535"/>
    <w:rsid w:val="00136468"/>
    <w:rsid w:val="00137621"/>
    <w:rsid w:val="00140418"/>
    <w:rsid w:val="00142080"/>
    <w:rsid w:val="0014349E"/>
    <w:rsid w:val="00145989"/>
    <w:rsid w:val="0015226A"/>
    <w:rsid w:val="00152596"/>
    <w:rsid w:val="00153876"/>
    <w:rsid w:val="00154926"/>
    <w:rsid w:val="001579D3"/>
    <w:rsid w:val="001607B0"/>
    <w:rsid w:val="0016172B"/>
    <w:rsid w:val="001624A9"/>
    <w:rsid w:val="00162896"/>
    <w:rsid w:val="0016343E"/>
    <w:rsid w:val="00163908"/>
    <w:rsid w:val="001656CE"/>
    <w:rsid w:val="0016768A"/>
    <w:rsid w:val="001822A9"/>
    <w:rsid w:val="00183E7F"/>
    <w:rsid w:val="00186073"/>
    <w:rsid w:val="0018794A"/>
    <w:rsid w:val="0018795D"/>
    <w:rsid w:val="00187ED6"/>
    <w:rsid w:val="0019203A"/>
    <w:rsid w:val="00195520"/>
    <w:rsid w:val="00196E1F"/>
    <w:rsid w:val="001979F6"/>
    <w:rsid w:val="001A03AE"/>
    <w:rsid w:val="001A0E99"/>
    <w:rsid w:val="001A1A6A"/>
    <w:rsid w:val="001A5E71"/>
    <w:rsid w:val="001A6DB1"/>
    <w:rsid w:val="001B1159"/>
    <w:rsid w:val="001B21FA"/>
    <w:rsid w:val="001B2B26"/>
    <w:rsid w:val="001B709B"/>
    <w:rsid w:val="001C36E1"/>
    <w:rsid w:val="001C5719"/>
    <w:rsid w:val="001C5866"/>
    <w:rsid w:val="001D411B"/>
    <w:rsid w:val="001D51A7"/>
    <w:rsid w:val="001D5317"/>
    <w:rsid w:val="001D56EB"/>
    <w:rsid w:val="001D5D53"/>
    <w:rsid w:val="001D784B"/>
    <w:rsid w:val="001D7D31"/>
    <w:rsid w:val="001E449A"/>
    <w:rsid w:val="001E76B1"/>
    <w:rsid w:val="001E7BBB"/>
    <w:rsid w:val="001F0F4A"/>
    <w:rsid w:val="001F392A"/>
    <w:rsid w:val="001F6ADE"/>
    <w:rsid w:val="001F7F24"/>
    <w:rsid w:val="00210F45"/>
    <w:rsid w:val="002146C5"/>
    <w:rsid w:val="00214A6C"/>
    <w:rsid w:val="00217DDF"/>
    <w:rsid w:val="00220669"/>
    <w:rsid w:val="0022160B"/>
    <w:rsid w:val="0022451F"/>
    <w:rsid w:val="00226E40"/>
    <w:rsid w:val="00231581"/>
    <w:rsid w:val="00232DD3"/>
    <w:rsid w:val="00234C23"/>
    <w:rsid w:val="00235533"/>
    <w:rsid w:val="00242016"/>
    <w:rsid w:val="00243174"/>
    <w:rsid w:val="00243A56"/>
    <w:rsid w:val="002541A8"/>
    <w:rsid w:val="00254FC0"/>
    <w:rsid w:val="002603C2"/>
    <w:rsid w:val="0026103D"/>
    <w:rsid w:val="0026120D"/>
    <w:rsid w:val="00262EB8"/>
    <w:rsid w:val="00263834"/>
    <w:rsid w:val="00265DE9"/>
    <w:rsid w:val="00266153"/>
    <w:rsid w:val="00266F69"/>
    <w:rsid w:val="00270993"/>
    <w:rsid w:val="002710FE"/>
    <w:rsid w:val="00272FBA"/>
    <w:rsid w:val="002731B3"/>
    <w:rsid w:val="00276B46"/>
    <w:rsid w:val="00284B69"/>
    <w:rsid w:val="00294F14"/>
    <w:rsid w:val="00295531"/>
    <w:rsid w:val="002959EB"/>
    <w:rsid w:val="00295C31"/>
    <w:rsid w:val="0029650E"/>
    <w:rsid w:val="00297B06"/>
    <w:rsid w:val="002A033C"/>
    <w:rsid w:val="002A3E6F"/>
    <w:rsid w:val="002A4507"/>
    <w:rsid w:val="002A6F7C"/>
    <w:rsid w:val="002A76CF"/>
    <w:rsid w:val="002B12A6"/>
    <w:rsid w:val="002B24C3"/>
    <w:rsid w:val="002B36DC"/>
    <w:rsid w:val="002B5487"/>
    <w:rsid w:val="002B5E67"/>
    <w:rsid w:val="002C1757"/>
    <w:rsid w:val="002C26F6"/>
    <w:rsid w:val="002C2CCF"/>
    <w:rsid w:val="002C4B9C"/>
    <w:rsid w:val="002C4EAA"/>
    <w:rsid w:val="002C6498"/>
    <w:rsid w:val="002C6708"/>
    <w:rsid w:val="002D708E"/>
    <w:rsid w:val="002E05E9"/>
    <w:rsid w:val="002E1890"/>
    <w:rsid w:val="002E46EA"/>
    <w:rsid w:val="002E4CC8"/>
    <w:rsid w:val="002E5619"/>
    <w:rsid w:val="002E7F19"/>
    <w:rsid w:val="002F23A4"/>
    <w:rsid w:val="002F27B2"/>
    <w:rsid w:val="002F283E"/>
    <w:rsid w:val="002F4249"/>
    <w:rsid w:val="002F5913"/>
    <w:rsid w:val="002F6FCC"/>
    <w:rsid w:val="003002FD"/>
    <w:rsid w:val="00301EE2"/>
    <w:rsid w:val="003047FD"/>
    <w:rsid w:val="00306C0E"/>
    <w:rsid w:val="0031020E"/>
    <w:rsid w:val="00311291"/>
    <w:rsid w:val="00313DC6"/>
    <w:rsid w:val="00315190"/>
    <w:rsid w:val="003159EB"/>
    <w:rsid w:val="00315AAE"/>
    <w:rsid w:val="00317C85"/>
    <w:rsid w:val="00321055"/>
    <w:rsid w:val="0032480A"/>
    <w:rsid w:val="0033048C"/>
    <w:rsid w:val="003345F7"/>
    <w:rsid w:val="00335368"/>
    <w:rsid w:val="0033645F"/>
    <w:rsid w:val="003408CB"/>
    <w:rsid w:val="00340F3E"/>
    <w:rsid w:val="00342011"/>
    <w:rsid w:val="003451A8"/>
    <w:rsid w:val="003454C8"/>
    <w:rsid w:val="00346173"/>
    <w:rsid w:val="0035046C"/>
    <w:rsid w:val="00350C78"/>
    <w:rsid w:val="00352EB8"/>
    <w:rsid w:val="00355567"/>
    <w:rsid w:val="003618E5"/>
    <w:rsid w:val="00363BFE"/>
    <w:rsid w:val="00364BCD"/>
    <w:rsid w:val="00365804"/>
    <w:rsid w:val="00373C35"/>
    <w:rsid w:val="00376059"/>
    <w:rsid w:val="003855F3"/>
    <w:rsid w:val="003867AC"/>
    <w:rsid w:val="0038780A"/>
    <w:rsid w:val="00391D04"/>
    <w:rsid w:val="00392F19"/>
    <w:rsid w:val="00395664"/>
    <w:rsid w:val="00395E13"/>
    <w:rsid w:val="00395E69"/>
    <w:rsid w:val="003A1382"/>
    <w:rsid w:val="003A2DA3"/>
    <w:rsid w:val="003A412F"/>
    <w:rsid w:val="003A492A"/>
    <w:rsid w:val="003A6C34"/>
    <w:rsid w:val="003A7195"/>
    <w:rsid w:val="003B1E1B"/>
    <w:rsid w:val="003B366A"/>
    <w:rsid w:val="003B5F89"/>
    <w:rsid w:val="003B6983"/>
    <w:rsid w:val="003C38B7"/>
    <w:rsid w:val="003C499F"/>
    <w:rsid w:val="003C5F3A"/>
    <w:rsid w:val="003D3442"/>
    <w:rsid w:val="003D4123"/>
    <w:rsid w:val="003D61B4"/>
    <w:rsid w:val="003E0792"/>
    <w:rsid w:val="003E2AA1"/>
    <w:rsid w:val="003E38BB"/>
    <w:rsid w:val="003E7C09"/>
    <w:rsid w:val="003F06C0"/>
    <w:rsid w:val="003F16B9"/>
    <w:rsid w:val="003F20BF"/>
    <w:rsid w:val="003F57E4"/>
    <w:rsid w:val="003F5ED3"/>
    <w:rsid w:val="003F6CBC"/>
    <w:rsid w:val="00401691"/>
    <w:rsid w:val="00401860"/>
    <w:rsid w:val="00405DA5"/>
    <w:rsid w:val="00410A85"/>
    <w:rsid w:val="00413312"/>
    <w:rsid w:val="00413D52"/>
    <w:rsid w:val="004172C3"/>
    <w:rsid w:val="0042150F"/>
    <w:rsid w:val="00423306"/>
    <w:rsid w:val="00423746"/>
    <w:rsid w:val="00424BBC"/>
    <w:rsid w:val="00425F1E"/>
    <w:rsid w:val="00425FE9"/>
    <w:rsid w:val="004325EC"/>
    <w:rsid w:val="00436A67"/>
    <w:rsid w:val="0044168B"/>
    <w:rsid w:val="00442E70"/>
    <w:rsid w:val="00444009"/>
    <w:rsid w:val="00446120"/>
    <w:rsid w:val="00452DF9"/>
    <w:rsid w:val="00457E73"/>
    <w:rsid w:val="00461288"/>
    <w:rsid w:val="00461301"/>
    <w:rsid w:val="0046532B"/>
    <w:rsid w:val="00465463"/>
    <w:rsid w:val="00471BAD"/>
    <w:rsid w:val="004736CE"/>
    <w:rsid w:val="0048111D"/>
    <w:rsid w:val="00482B32"/>
    <w:rsid w:val="00482BF3"/>
    <w:rsid w:val="00484064"/>
    <w:rsid w:val="00484563"/>
    <w:rsid w:val="004864DC"/>
    <w:rsid w:val="0048693B"/>
    <w:rsid w:val="00486C42"/>
    <w:rsid w:val="0049007E"/>
    <w:rsid w:val="004953E8"/>
    <w:rsid w:val="00496742"/>
    <w:rsid w:val="004A50CF"/>
    <w:rsid w:val="004A5429"/>
    <w:rsid w:val="004A5972"/>
    <w:rsid w:val="004A5CF5"/>
    <w:rsid w:val="004A6A03"/>
    <w:rsid w:val="004A722A"/>
    <w:rsid w:val="004B00C1"/>
    <w:rsid w:val="004B041C"/>
    <w:rsid w:val="004B24A7"/>
    <w:rsid w:val="004B6236"/>
    <w:rsid w:val="004C01CF"/>
    <w:rsid w:val="004C01F4"/>
    <w:rsid w:val="004C0FC6"/>
    <w:rsid w:val="004C33B2"/>
    <w:rsid w:val="004C5E54"/>
    <w:rsid w:val="004C6D9E"/>
    <w:rsid w:val="004D279E"/>
    <w:rsid w:val="004D55A1"/>
    <w:rsid w:val="004D6CBF"/>
    <w:rsid w:val="004E0D0A"/>
    <w:rsid w:val="004E3F54"/>
    <w:rsid w:val="004E5E19"/>
    <w:rsid w:val="004F2B82"/>
    <w:rsid w:val="004F41F5"/>
    <w:rsid w:val="00505990"/>
    <w:rsid w:val="00506088"/>
    <w:rsid w:val="00506147"/>
    <w:rsid w:val="00506C83"/>
    <w:rsid w:val="00507292"/>
    <w:rsid w:val="00507A8D"/>
    <w:rsid w:val="00510ACB"/>
    <w:rsid w:val="0051177D"/>
    <w:rsid w:val="00511F2A"/>
    <w:rsid w:val="00512576"/>
    <w:rsid w:val="00512C61"/>
    <w:rsid w:val="005148F8"/>
    <w:rsid w:val="00514A8A"/>
    <w:rsid w:val="0051756F"/>
    <w:rsid w:val="00517F95"/>
    <w:rsid w:val="00524A26"/>
    <w:rsid w:val="00526609"/>
    <w:rsid w:val="005309BB"/>
    <w:rsid w:val="00531BAC"/>
    <w:rsid w:val="005369DD"/>
    <w:rsid w:val="00542848"/>
    <w:rsid w:val="00545C75"/>
    <w:rsid w:val="00547487"/>
    <w:rsid w:val="00550480"/>
    <w:rsid w:val="00552DA7"/>
    <w:rsid w:val="005542B1"/>
    <w:rsid w:val="00556F7B"/>
    <w:rsid w:val="00560A69"/>
    <w:rsid w:val="00560D5E"/>
    <w:rsid w:val="00563061"/>
    <w:rsid w:val="005651C9"/>
    <w:rsid w:val="0056576E"/>
    <w:rsid w:val="005673F7"/>
    <w:rsid w:val="00574C11"/>
    <w:rsid w:val="00574D9F"/>
    <w:rsid w:val="0057529B"/>
    <w:rsid w:val="00575CFA"/>
    <w:rsid w:val="005761EA"/>
    <w:rsid w:val="00577572"/>
    <w:rsid w:val="00577F8F"/>
    <w:rsid w:val="005805A9"/>
    <w:rsid w:val="00580C70"/>
    <w:rsid w:val="005817A0"/>
    <w:rsid w:val="00581876"/>
    <w:rsid w:val="00583289"/>
    <w:rsid w:val="0058449A"/>
    <w:rsid w:val="005870B9"/>
    <w:rsid w:val="005928D7"/>
    <w:rsid w:val="00592D28"/>
    <w:rsid w:val="00596471"/>
    <w:rsid w:val="00597411"/>
    <w:rsid w:val="005A2CDF"/>
    <w:rsid w:val="005A4670"/>
    <w:rsid w:val="005A6C3C"/>
    <w:rsid w:val="005A7D53"/>
    <w:rsid w:val="005B0527"/>
    <w:rsid w:val="005B10DB"/>
    <w:rsid w:val="005B3B02"/>
    <w:rsid w:val="005B4CE5"/>
    <w:rsid w:val="005B6A4A"/>
    <w:rsid w:val="005C14E2"/>
    <w:rsid w:val="005C57D4"/>
    <w:rsid w:val="005C58FF"/>
    <w:rsid w:val="005C647F"/>
    <w:rsid w:val="005C759A"/>
    <w:rsid w:val="005D106B"/>
    <w:rsid w:val="005D3676"/>
    <w:rsid w:val="005D3A1B"/>
    <w:rsid w:val="005D5C6F"/>
    <w:rsid w:val="005D6062"/>
    <w:rsid w:val="005E138F"/>
    <w:rsid w:val="005E5767"/>
    <w:rsid w:val="005E6F94"/>
    <w:rsid w:val="005F5691"/>
    <w:rsid w:val="00600776"/>
    <w:rsid w:val="00603635"/>
    <w:rsid w:val="00604965"/>
    <w:rsid w:val="0060644F"/>
    <w:rsid w:val="00607A4C"/>
    <w:rsid w:val="00607F8F"/>
    <w:rsid w:val="006154D8"/>
    <w:rsid w:val="00615A29"/>
    <w:rsid w:val="006164DC"/>
    <w:rsid w:val="00620197"/>
    <w:rsid w:val="00624209"/>
    <w:rsid w:val="006247AA"/>
    <w:rsid w:val="006256C1"/>
    <w:rsid w:val="00625E6A"/>
    <w:rsid w:val="00633AB9"/>
    <w:rsid w:val="006350C1"/>
    <w:rsid w:val="00636E70"/>
    <w:rsid w:val="0064277D"/>
    <w:rsid w:val="006428DA"/>
    <w:rsid w:val="0064631F"/>
    <w:rsid w:val="00647ECA"/>
    <w:rsid w:val="00650495"/>
    <w:rsid w:val="00651242"/>
    <w:rsid w:val="00651A22"/>
    <w:rsid w:val="006548C7"/>
    <w:rsid w:val="00656B9B"/>
    <w:rsid w:val="006570CD"/>
    <w:rsid w:val="0065763F"/>
    <w:rsid w:val="006612EE"/>
    <w:rsid w:val="00661C0B"/>
    <w:rsid w:val="00662C5D"/>
    <w:rsid w:val="00663EEA"/>
    <w:rsid w:val="006655C0"/>
    <w:rsid w:val="00665EC9"/>
    <w:rsid w:val="00666420"/>
    <w:rsid w:val="006735A1"/>
    <w:rsid w:val="00676CAC"/>
    <w:rsid w:val="00681143"/>
    <w:rsid w:val="006820C6"/>
    <w:rsid w:val="00683715"/>
    <w:rsid w:val="0068394F"/>
    <w:rsid w:val="00686A14"/>
    <w:rsid w:val="006878AC"/>
    <w:rsid w:val="00690A68"/>
    <w:rsid w:val="00691739"/>
    <w:rsid w:val="00691C52"/>
    <w:rsid w:val="006934DD"/>
    <w:rsid w:val="00694DA4"/>
    <w:rsid w:val="0069644B"/>
    <w:rsid w:val="00696B4C"/>
    <w:rsid w:val="006A05B0"/>
    <w:rsid w:val="006A12A3"/>
    <w:rsid w:val="006A33A9"/>
    <w:rsid w:val="006A3D0F"/>
    <w:rsid w:val="006A5CEC"/>
    <w:rsid w:val="006A7A9A"/>
    <w:rsid w:val="006B1D9C"/>
    <w:rsid w:val="006B273B"/>
    <w:rsid w:val="006B44F3"/>
    <w:rsid w:val="006C1735"/>
    <w:rsid w:val="006C47E3"/>
    <w:rsid w:val="006C6814"/>
    <w:rsid w:val="006D26B1"/>
    <w:rsid w:val="006D7894"/>
    <w:rsid w:val="006E1D7E"/>
    <w:rsid w:val="006E4064"/>
    <w:rsid w:val="006E5F23"/>
    <w:rsid w:val="006F2A33"/>
    <w:rsid w:val="006F41F0"/>
    <w:rsid w:val="006F4625"/>
    <w:rsid w:val="006F5182"/>
    <w:rsid w:val="006F729A"/>
    <w:rsid w:val="007000E2"/>
    <w:rsid w:val="00700134"/>
    <w:rsid w:val="007033E6"/>
    <w:rsid w:val="00705969"/>
    <w:rsid w:val="00712C7F"/>
    <w:rsid w:val="00714790"/>
    <w:rsid w:val="0072034F"/>
    <w:rsid w:val="00720D06"/>
    <w:rsid w:val="0072109E"/>
    <w:rsid w:val="00725146"/>
    <w:rsid w:val="00726DB3"/>
    <w:rsid w:val="007279B6"/>
    <w:rsid w:val="007304C2"/>
    <w:rsid w:val="00732299"/>
    <w:rsid w:val="00733775"/>
    <w:rsid w:val="00735443"/>
    <w:rsid w:val="0073651F"/>
    <w:rsid w:val="00742EE9"/>
    <w:rsid w:val="00743842"/>
    <w:rsid w:val="00751603"/>
    <w:rsid w:val="0075296D"/>
    <w:rsid w:val="0075717A"/>
    <w:rsid w:val="0075741F"/>
    <w:rsid w:val="0076197C"/>
    <w:rsid w:val="00762378"/>
    <w:rsid w:val="007706BA"/>
    <w:rsid w:val="00772F7D"/>
    <w:rsid w:val="00773904"/>
    <w:rsid w:val="0077552B"/>
    <w:rsid w:val="007765EF"/>
    <w:rsid w:val="00777E96"/>
    <w:rsid w:val="00780136"/>
    <w:rsid w:val="0078125C"/>
    <w:rsid w:val="00782841"/>
    <w:rsid w:val="00782D0F"/>
    <w:rsid w:val="00783957"/>
    <w:rsid w:val="00784336"/>
    <w:rsid w:val="00784F43"/>
    <w:rsid w:val="00785C64"/>
    <w:rsid w:val="007874A1"/>
    <w:rsid w:val="0078756D"/>
    <w:rsid w:val="00791E7E"/>
    <w:rsid w:val="007930D0"/>
    <w:rsid w:val="0079376A"/>
    <w:rsid w:val="00795C79"/>
    <w:rsid w:val="007975C7"/>
    <w:rsid w:val="00797AC1"/>
    <w:rsid w:val="007A1863"/>
    <w:rsid w:val="007A2D89"/>
    <w:rsid w:val="007A577D"/>
    <w:rsid w:val="007A6A7A"/>
    <w:rsid w:val="007A6FC7"/>
    <w:rsid w:val="007A7750"/>
    <w:rsid w:val="007B0021"/>
    <w:rsid w:val="007B0778"/>
    <w:rsid w:val="007B2971"/>
    <w:rsid w:val="007B6FEC"/>
    <w:rsid w:val="007B7274"/>
    <w:rsid w:val="007C116E"/>
    <w:rsid w:val="007C2D0D"/>
    <w:rsid w:val="007C3D92"/>
    <w:rsid w:val="007C431D"/>
    <w:rsid w:val="007C528E"/>
    <w:rsid w:val="007C5E71"/>
    <w:rsid w:val="007C632C"/>
    <w:rsid w:val="007C6C3F"/>
    <w:rsid w:val="007D096D"/>
    <w:rsid w:val="007D1698"/>
    <w:rsid w:val="007D1AE8"/>
    <w:rsid w:val="007D2954"/>
    <w:rsid w:val="007D2CC8"/>
    <w:rsid w:val="007D4FCC"/>
    <w:rsid w:val="007E1ABC"/>
    <w:rsid w:val="007E442C"/>
    <w:rsid w:val="007E4B97"/>
    <w:rsid w:val="007E4C3F"/>
    <w:rsid w:val="007E5478"/>
    <w:rsid w:val="007E5AEF"/>
    <w:rsid w:val="007E63D0"/>
    <w:rsid w:val="007E7CD4"/>
    <w:rsid w:val="007F3308"/>
    <w:rsid w:val="007F3C4C"/>
    <w:rsid w:val="007F40E7"/>
    <w:rsid w:val="007F73BC"/>
    <w:rsid w:val="00800BD5"/>
    <w:rsid w:val="008027CC"/>
    <w:rsid w:val="0080466E"/>
    <w:rsid w:val="00806A20"/>
    <w:rsid w:val="00810C01"/>
    <w:rsid w:val="008129AE"/>
    <w:rsid w:val="0081473E"/>
    <w:rsid w:val="008150CC"/>
    <w:rsid w:val="0081658E"/>
    <w:rsid w:val="00817CB7"/>
    <w:rsid w:val="00820E39"/>
    <w:rsid w:val="00821E10"/>
    <w:rsid w:val="00830B02"/>
    <w:rsid w:val="00830F9E"/>
    <w:rsid w:val="0083175A"/>
    <w:rsid w:val="00831B46"/>
    <w:rsid w:val="0084044A"/>
    <w:rsid w:val="008424EC"/>
    <w:rsid w:val="00842FBC"/>
    <w:rsid w:val="00844605"/>
    <w:rsid w:val="008453D1"/>
    <w:rsid w:val="008532A2"/>
    <w:rsid w:val="0085723D"/>
    <w:rsid w:val="0086029C"/>
    <w:rsid w:val="0086048F"/>
    <w:rsid w:val="0086381A"/>
    <w:rsid w:val="00864E37"/>
    <w:rsid w:val="00865E1A"/>
    <w:rsid w:val="008732DF"/>
    <w:rsid w:val="008757C5"/>
    <w:rsid w:val="008765BB"/>
    <w:rsid w:val="008767CB"/>
    <w:rsid w:val="00880E16"/>
    <w:rsid w:val="00881CC4"/>
    <w:rsid w:val="00882303"/>
    <w:rsid w:val="00883307"/>
    <w:rsid w:val="00885D28"/>
    <w:rsid w:val="008946FB"/>
    <w:rsid w:val="00895609"/>
    <w:rsid w:val="008A2963"/>
    <w:rsid w:val="008A2CEC"/>
    <w:rsid w:val="008B1FF0"/>
    <w:rsid w:val="008B241C"/>
    <w:rsid w:val="008B34FA"/>
    <w:rsid w:val="008B3697"/>
    <w:rsid w:val="008C5E2A"/>
    <w:rsid w:val="008C5F69"/>
    <w:rsid w:val="008D0969"/>
    <w:rsid w:val="008D09C8"/>
    <w:rsid w:val="008D157E"/>
    <w:rsid w:val="008D2844"/>
    <w:rsid w:val="008D3B14"/>
    <w:rsid w:val="008D738F"/>
    <w:rsid w:val="008E169D"/>
    <w:rsid w:val="008E3C98"/>
    <w:rsid w:val="008E6226"/>
    <w:rsid w:val="008E7903"/>
    <w:rsid w:val="008E7CF2"/>
    <w:rsid w:val="008F00FC"/>
    <w:rsid w:val="008F138A"/>
    <w:rsid w:val="008F20A9"/>
    <w:rsid w:val="008F6C21"/>
    <w:rsid w:val="008F73F6"/>
    <w:rsid w:val="00900248"/>
    <w:rsid w:val="00902A92"/>
    <w:rsid w:val="00902F16"/>
    <w:rsid w:val="00904130"/>
    <w:rsid w:val="009055DA"/>
    <w:rsid w:val="009071EE"/>
    <w:rsid w:val="009138C0"/>
    <w:rsid w:val="00914826"/>
    <w:rsid w:val="00917A5A"/>
    <w:rsid w:val="00921D43"/>
    <w:rsid w:val="009254DD"/>
    <w:rsid w:val="0093194C"/>
    <w:rsid w:val="00931B3F"/>
    <w:rsid w:val="0094028E"/>
    <w:rsid w:val="00941599"/>
    <w:rsid w:val="009435AA"/>
    <w:rsid w:val="0094789C"/>
    <w:rsid w:val="00947912"/>
    <w:rsid w:val="00951603"/>
    <w:rsid w:val="0095511C"/>
    <w:rsid w:val="0095521F"/>
    <w:rsid w:val="00961312"/>
    <w:rsid w:val="00962784"/>
    <w:rsid w:val="009645AB"/>
    <w:rsid w:val="0097015E"/>
    <w:rsid w:val="00970D4C"/>
    <w:rsid w:val="009730BD"/>
    <w:rsid w:val="009737C9"/>
    <w:rsid w:val="00973F85"/>
    <w:rsid w:val="00974992"/>
    <w:rsid w:val="00981DD2"/>
    <w:rsid w:val="00986EB5"/>
    <w:rsid w:val="00992A90"/>
    <w:rsid w:val="009A0CBC"/>
    <w:rsid w:val="009A3965"/>
    <w:rsid w:val="009A4267"/>
    <w:rsid w:val="009A6D60"/>
    <w:rsid w:val="009A6F95"/>
    <w:rsid w:val="009B0288"/>
    <w:rsid w:val="009B06E8"/>
    <w:rsid w:val="009B141F"/>
    <w:rsid w:val="009B1EC4"/>
    <w:rsid w:val="009C1CC3"/>
    <w:rsid w:val="009C24A1"/>
    <w:rsid w:val="009C5580"/>
    <w:rsid w:val="009C6363"/>
    <w:rsid w:val="009C6598"/>
    <w:rsid w:val="009C7548"/>
    <w:rsid w:val="009D38F3"/>
    <w:rsid w:val="009E0814"/>
    <w:rsid w:val="009E3F41"/>
    <w:rsid w:val="009E5B43"/>
    <w:rsid w:val="009E5CD2"/>
    <w:rsid w:val="009E5FE1"/>
    <w:rsid w:val="009E6786"/>
    <w:rsid w:val="009F041A"/>
    <w:rsid w:val="009F20B2"/>
    <w:rsid w:val="009F603B"/>
    <w:rsid w:val="009F6BAA"/>
    <w:rsid w:val="009F7136"/>
    <w:rsid w:val="009F756E"/>
    <w:rsid w:val="009F7FE7"/>
    <w:rsid w:val="00A008E9"/>
    <w:rsid w:val="00A12CC2"/>
    <w:rsid w:val="00A131DD"/>
    <w:rsid w:val="00A138BD"/>
    <w:rsid w:val="00A15D3D"/>
    <w:rsid w:val="00A17087"/>
    <w:rsid w:val="00A2033A"/>
    <w:rsid w:val="00A22524"/>
    <w:rsid w:val="00A239B1"/>
    <w:rsid w:val="00A27ED2"/>
    <w:rsid w:val="00A31034"/>
    <w:rsid w:val="00A354A1"/>
    <w:rsid w:val="00A361D0"/>
    <w:rsid w:val="00A373E9"/>
    <w:rsid w:val="00A4155D"/>
    <w:rsid w:val="00A41BBA"/>
    <w:rsid w:val="00A44D23"/>
    <w:rsid w:val="00A5109B"/>
    <w:rsid w:val="00A52768"/>
    <w:rsid w:val="00A52E32"/>
    <w:rsid w:val="00A54023"/>
    <w:rsid w:val="00A56B32"/>
    <w:rsid w:val="00A56F44"/>
    <w:rsid w:val="00A6153A"/>
    <w:rsid w:val="00A64BD0"/>
    <w:rsid w:val="00A720C1"/>
    <w:rsid w:val="00A72775"/>
    <w:rsid w:val="00A75250"/>
    <w:rsid w:val="00A902F8"/>
    <w:rsid w:val="00A916B2"/>
    <w:rsid w:val="00A92C02"/>
    <w:rsid w:val="00A93398"/>
    <w:rsid w:val="00A93A4E"/>
    <w:rsid w:val="00A96594"/>
    <w:rsid w:val="00AA1320"/>
    <w:rsid w:val="00AA354E"/>
    <w:rsid w:val="00AA45E1"/>
    <w:rsid w:val="00AA5E2A"/>
    <w:rsid w:val="00AA6BA7"/>
    <w:rsid w:val="00AA6C22"/>
    <w:rsid w:val="00AB0170"/>
    <w:rsid w:val="00AB0D01"/>
    <w:rsid w:val="00AB0F34"/>
    <w:rsid w:val="00AB224A"/>
    <w:rsid w:val="00AB4821"/>
    <w:rsid w:val="00AC5A52"/>
    <w:rsid w:val="00AC6484"/>
    <w:rsid w:val="00AC7F90"/>
    <w:rsid w:val="00AD1D3F"/>
    <w:rsid w:val="00AD2583"/>
    <w:rsid w:val="00AD3288"/>
    <w:rsid w:val="00AD344B"/>
    <w:rsid w:val="00AD7989"/>
    <w:rsid w:val="00AE0D59"/>
    <w:rsid w:val="00AE206B"/>
    <w:rsid w:val="00AE5421"/>
    <w:rsid w:val="00AE6573"/>
    <w:rsid w:val="00AE7D00"/>
    <w:rsid w:val="00AF0168"/>
    <w:rsid w:val="00AF2294"/>
    <w:rsid w:val="00AF2C2D"/>
    <w:rsid w:val="00AF3B21"/>
    <w:rsid w:val="00AF4B66"/>
    <w:rsid w:val="00B00D7A"/>
    <w:rsid w:val="00B011D7"/>
    <w:rsid w:val="00B0223B"/>
    <w:rsid w:val="00B05860"/>
    <w:rsid w:val="00B07E94"/>
    <w:rsid w:val="00B1026A"/>
    <w:rsid w:val="00B124C1"/>
    <w:rsid w:val="00B12535"/>
    <w:rsid w:val="00B13504"/>
    <w:rsid w:val="00B15D70"/>
    <w:rsid w:val="00B244D4"/>
    <w:rsid w:val="00B2691C"/>
    <w:rsid w:val="00B3222A"/>
    <w:rsid w:val="00B33BCE"/>
    <w:rsid w:val="00B40A3E"/>
    <w:rsid w:val="00B43971"/>
    <w:rsid w:val="00B443ED"/>
    <w:rsid w:val="00B46C64"/>
    <w:rsid w:val="00B53A51"/>
    <w:rsid w:val="00B61AFE"/>
    <w:rsid w:val="00B632E8"/>
    <w:rsid w:val="00B64F84"/>
    <w:rsid w:val="00B6593F"/>
    <w:rsid w:val="00B662F9"/>
    <w:rsid w:val="00B671CB"/>
    <w:rsid w:val="00B702DD"/>
    <w:rsid w:val="00B7100E"/>
    <w:rsid w:val="00B71487"/>
    <w:rsid w:val="00B772D5"/>
    <w:rsid w:val="00B80C70"/>
    <w:rsid w:val="00B830F7"/>
    <w:rsid w:val="00B93717"/>
    <w:rsid w:val="00B946FF"/>
    <w:rsid w:val="00B94B75"/>
    <w:rsid w:val="00B97309"/>
    <w:rsid w:val="00BA23EB"/>
    <w:rsid w:val="00BB031B"/>
    <w:rsid w:val="00BB1C71"/>
    <w:rsid w:val="00BB2462"/>
    <w:rsid w:val="00BB6DF2"/>
    <w:rsid w:val="00BC02FE"/>
    <w:rsid w:val="00BC3FCB"/>
    <w:rsid w:val="00BC5682"/>
    <w:rsid w:val="00BC7BD9"/>
    <w:rsid w:val="00BD07B1"/>
    <w:rsid w:val="00BD139E"/>
    <w:rsid w:val="00BD175B"/>
    <w:rsid w:val="00BD7D05"/>
    <w:rsid w:val="00BE030D"/>
    <w:rsid w:val="00BE10DC"/>
    <w:rsid w:val="00BE1493"/>
    <w:rsid w:val="00BE3701"/>
    <w:rsid w:val="00BE57D1"/>
    <w:rsid w:val="00BF1CC6"/>
    <w:rsid w:val="00BF2E8D"/>
    <w:rsid w:val="00BF4091"/>
    <w:rsid w:val="00BF4869"/>
    <w:rsid w:val="00BF7102"/>
    <w:rsid w:val="00BF799E"/>
    <w:rsid w:val="00C0056B"/>
    <w:rsid w:val="00C01B3C"/>
    <w:rsid w:val="00C022F6"/>
    <w:rsid w:val="00C02A18"/>
    <w:rsid w:val="00C03761"/>
    <w:rsid w:val="00C074C2"/>
    <w:rsid w:val="00C15518"/>
    <w:rsid w:val="00C16CC3"/>
    <w:rsid w:val="00C172ED"/>
    <w:rsid w:val="00C20609"/>
    <w:rsid w:val="00C207F5"/>
    <w:rsid w:val="00C219BE"/>
    <w:rsid w:val="00C246D9"/>
    <w:rsid w:val="00C3287C"/>
    <w:rsid w:val="00C3289F"/>
    <w:rsid w:val="00C36179"/>
    <w:rsid w:val="00C37B37"/>
    <w:rsid w:val="00C41D97"/>
    <w:rsid w:val="00C43020"/>
    <w:rsid w:val="00C46866"/>
    <w:rsid w:val="00C53C76"/>
    <w:rsid w:val="00C6112B"/>
    <w:rsid w:val="00C61BB7"/>
    <w:rsid w:val="00C6356F"/>
    <w:rsid w:val="00C6391A"/>
    <w:rsid w:val="00C63CDC"/>
    <w:rsid w:val="00C65095"/>
    <w:rsid w:val="00C65F6D"/>
    <w:rsid w:val="00C6674F"/>
    <w:rsid w:val="00C708D9"/>
    <w:rsid w:val="00C71343"/>
    <w:rsid w:val="00C73683"/>
    <w:rsid w:val="00C738E5"/>
    <w:rsid w:val="00C773C1"/>
    <w:rsid w:val="00C82313"/>
    <w:rsid w:val="00C824B5"/>
    <w:rsid w:val="00C82D09"/>
    <w:rsid w:val="00C8441B"/>
    <w:rsid w:val="00C86A89"/>
    <w:rsid w:val="00C94475"/>
    <w:rsid w:val="00C9692E"/>
    <w:rsid w:val="00C9790D"/>
    <w:rsid w:val="00CA0DA3"/>
    <w:rsid w:val="00CA2524"/>
    <w:rsid w:val="00CB0EAD"/>
    <w:rsid w:val="00CB16E9"/>
    <w:rsid w:val="00CB4453"/>
    <w:rsid w:val="00CB4F4E"/>
    <w:rsid w:val="00CC014D"/>
    <w:rsid w:val="00CC15CA"/>
    <w:rsid w:val="00CC51E1"/>
    <w:rsid w:val="00CE3907"/>
    <w:rsid w:val="00CE5218"/>
    <w:rsid w:val="00CE56F4"/>
    <w:rsid w:val="00CE795F"/>
    <w:rsid w:val="00CF0320"/>
    <w:rsid w:val="00CF1451"/>
    <w:rsid w:val="00CF1A91"/>
    <w:rsid w:val="00CF2F2F"/>
    <w:rsid w:val="00CF4A36"/>
    <w:rsid w:val="00CF7C68"/>
    <w:rsid w:val="00D002EE"/>
    <w:rsid w:val="00D008BD"/>
    <w:rsid w:val="00D038D1"/>
    <w:rsid w:val="00D121AC"/>
    <w:rsid w:val="00D157EC"/>
    <w:rsid w:val="00D15AF7"/>
    <w:rsid w:val="00D172EF"/>
    <w:rsid w:val="00D215CB"/>
    <w:rsid w:val="00D21A61"/>
    <w:rsid w:val="00D222D7"/>
    <w:rsid w:val="00D22B76"/>
    <w:rsid w:val="00D23F23"/>
    <w:rsid w:val="00D31973"/>
    <w:rsid w:val="00D3200C"/>
    <w:rsid w:val="00D32933"/>
    <w:rsid w:val="00D35769"/>
    <w:rsid w:val="00D4065A"/>
    <w:rsid w:val="00D407EF"/>
    <w:rsid w:val="00D42B47"/>
    <w:rsid w:val="00D443FD"/>
    <w:rsid w:val="00D51E44"/>
    <w:rsid w:val="00D52AA7"/>
    <w:rsid w:val="00D53899"/>
    <w:rsid w:val="00D559F3"/>
    <w:rsid w:val="00D60846"/>
    <w:rsid w:val="00D6093F"/>
    <w:rsid w:val="00D6346E"/>
    <w:rsid w:val="00D650F0"/>
    <w:rsid w:val="00D70E36"/>
    <w:rsid w:val="00D7128C"/>
    <w:rsid w:val="00D73A4B"/>
    <w:rsid w:val="00D80EE1"/>
    <w:rsid w:val="00D80F6E"/>
    <w:rsid w:val="00D81E9E"/>
    <w:rsid w:val="00D83EAE"/>
    <w:rsid w:val="00D90830"/>
    <w:rsid w:val="00D929FA"/>
    <w:rsid w:val="00D94BFF"/>
    <w:rsid w:val="00D97245"/>
    <w:rsid w:val="00DA7998"/>
    <w:rsid w:val="00DB43E8"/>
    <w:rsid w:val="00DB64F9"/>
    <w:rsid w:val="00DB6939"/>
    <w:rsid w:val="00DB6ED7"/>
    <w:rsid w:val="00DB70CD"/>
    <w:rsid w:val="00DC5C46"/>
    <w:rsid w:val="00DC6BE7"/>
    <w:rsid w:val="00DC7082"/>
    <w:rsid w:val="00DD3CCC"/>
    <w:rsid w:val="00DD4C1B"/>
    <w:rsid w:val="00DE06BC"/>
    <w:rsid w:val="00DE1196"/>
    <w:rsid w:val="00DE19B7"/>
    <w:rsid w:val="00DF131C"/>
    <w:rsid w:val="00DF132C"/>
    <w:rsid w:val="00DF1FCD"/>
    <w:rsid w:val="00DF2D2B"/>
    <w:rsid w:val="00DF3C9E"/>
    <w:rsid w:val="00DF585A"/>
    <w:rsid w:val="00DF6910"/>
    <w:rsid w:val="00DF7982"/>
    <w:rsid w:val="00E02FEE"/>
    <w:rsid w:val="00E049FE"/>
    <w:rsid w:val="00E056B3"/>
    <w:rsid w:val="00E0573A"/>
    <w:rsid w:val="00E06983"/>
    <w:rsid w:val="00E06CB4"/>
    <w:rsid w:val="00E105E7"/>
    <w:rsid w:val="00E1457E"/>
    <w:rsid w:val="00E16593"/>
    <w:rsid w:val="00E226FA"/>
    <w:rsid w:val="00E230C4"/>
    <w:rsid w:val="00E24A2D"/>
    <w:rsid w:val="00E31933"/>
    <w:rsid w:val="00E3223D"/>
    <w:rsid w:val="00E33427"/>
    <w:rsid w:val="00E350B8"/>
    <w:rsid w:val="00E356AC"/>
    <w:rsid w:val="00E3733D"/>
    <w:rsid w:val="00E37BB2"/>
    <w:rsid w:val="00E45B6B"/>
    <w:rsid w:val="00E46ACE"/>
    <w:rsid w:val="00E50346"/>
    <w:rsid w:val="00E50DC9"/>
    <w:rsid w:val="00E53600"/>
    <w:rsid w:val="00E60E45"/>
    <w:rsid w:val="00E61A52"/>
    <w:rsid w:val="00E61DBF"/>
    <w:rsid w:val="00E630D5"/>
    <w:rsid w:val="00E64EB5"/>
    <w:rsid w:val="00E65296"/>
    <w:rsid w:val="00E660B6"/>
    <w:rsid w:val="00E66FEC"/>
    <w:rsid w:val="00E672DC"/>
    <w:rsid w:val="00E70C64"/>
    <w:rsid w:val="00E71B43"/>
    <w:rsid w:val="00E764BD"/>
    <w:rsid w:val="00E77129"/>
    <w:rsid w:val="00E816B7"/>
    <w:rsid w:val="00E81C12"/>
    <w:rsid w:val="00E822CC"/>
    <w:rsid w:val="00E84B27"/>
    <w:rsid w:val="00E8506B"/>
    <w:rsid w:val="00E91854"/>
    <w:rsid w:val="00E92348"/>
    <w:rsid w:val="00E93F77"/>
    <w:rsid w:val="00E9433D"/>
    <w:rsid w:val="00E96BCC"/>
    <w:rsid w:val="00EA1109"/>
    <w:rsid w:val="00EA243E"/>
    <w:rsid w:val="00EA3C51"/>
    <w:rsid w:val="00EA642C"/>
    <w:rsid w:val="00EA643D"/>
    <w:rsid w:val="00EA6B7F"/>
    <w:rsid w:val="00EB05DC"/>
    <w:rsid w:val="00EB1613"/>
    <w:rsid w:val="00EB196A"/>
    <w:rsid w:val="00EB4A4A"/>
    <w:rsid w:val="00EB5121"/>
    <w:rsid w:val="00EB527B"/>
    <w:rsid w:val="00EC1232"/>
    <w:rsid w:val="00EC41A9"/>
    <w:rsid w:val="00EC462E"/>
    <w:rsid w:val="00EC4F29"/>
    <w:rsid w:val="00ED09BC"/>
    <w:rsid w:val="00ED183A"/>
    <w:rsid w:val="00ED4369"/>
    <w:rsid w:val="00ED4D01"/>
    <w:rsid w:val="00ED6497"/>
    <w:rsid w:val="00ED770F"/>
    <w:rsid w:val="00ED7EDA"/>
    <w:rsid w:val="00EE02A8"/>
    <w:rsid w:val="00EE0D55"/>
    <w:rsid w:val="00EE1B4F"/>
    <w:rsid w:val="00EE1E72"/>
    <w:rsid w:val="00EE3C56"/>
    <w:rsid w:val="00EE7F7B"/>
    <w:rsid w:val="00EF1389"/>
    <w:rsid w:val="00EF1CA2"/>
    <w:rsid w:val="00EF54FD"/>
    <w:rsid w:val="00F06EBF"/>
    <w:rsid w:val="00F07B2C"/>
    <w:rsid w:val="00F07C86"/>
    <w:rsid w:val="00F10DA4"/>
    <w:rsid w:val="00F11704"/>
    <w:rsid w:val="00F11903"/>
    <w:rsid w:val="00F1413C"/>
    <w:rsid w:val="00F146AD"/>
    <w:rsid w:val="00F15084"/>
    <w:rsid w:val="00F151AB"/>
    <w:rsid w:val="00F16B15"/>
    <w:rsid w:val="00F234FC"/>
    <w:rsid w:val="00F23ABE"/>
    <w:rsid w:val="00F26799"/>
    <w:rsid w:val="00F30C72"/>
    <w:rsid w:val="00F3427D"/>
    <w:rsid w:val="00F374C5"/>
    <w:rsid w:val="00F379E9"/>
    <w:rsid w:val="00F407E1"/>
    <w:rsid w:val="00F41217"/>
    <w:rsid w:val="00F41619"/>
    <w:rsid w:val="00F445D5"/>
    <w:rsid w:val="00F47693"/>
    <w:rsid w:val="00F47ABC"/>
    <w:rsid w:val="00F503BC"/>
    <w:rsid w:val="00F507D3"/>
    <w:rsid w:val="00F52821"/>
    <w:rsid w:val="00F54B00"/>
    <w:rsid w:val="00F568EC"/>
    <w:rsid w:val="00F60155"/>
    <w:rsid w:val="00F60EFF"/>
    <w:rsid w:val="00F61181"/>
    <w:rsid w:val="00F64D37"/>
    <w:rsid w:val="00F70670"/>
    <w:rsid w:val="00F708A6"/>
    <w:rsid w:val="00F73053"/>
    <w:rsid w:val="00F8479C"/>
    <w:rsid w:val="00F84C25"/>
    <w:rsid w:val="00F85299"/>
    <w:rsid w:val="00F87828"/>
    <w:rsid w:val="00F9037B"/>
    <w:rsid w:val="00F91C6C"/>
    <w:rsid w:val="00F943AD"/>
    <w:rsid w:val="00F95BFA"/>
    <w:rsid w:val="00FA29BD"/>
    <w:rsid w:val="00FA57B9"/>
    <w:rsid w:val="00FA63CE"/>
    <w:rsid w:val="00FB1ADF"/>
    <w:rsid w:val="00FB221B"/>
    <w:rsid w:val="00FB2A51"/>
    <w:rsid w:val="00FB5FC2"/>
    <w:rsid w:val="00FB7091"/>
    <w:rsid w:val="00FB74B0"/>
    <w:rsid w:val="00FC7121"/>
    <w:rsid w:val="00FC714D"/>
    <w:rsid w:val="00FD0454"/>
    <w:rsid w:val="00FD2499"/>
    <w:rsid w:val="00FE2105"/>
    <w:rsid w:val="00FE27DA"/>
    <w:rsid w:val="00FE289D"/>
    <w:rsid w:val="00FE3EC1"/>
    <w:rsid w:val="00FE7394"/>
    <w:rsid w:val="00FE7E48"/>
    <w:rsid w:val="00FF09EE"/>
    <w:rsid w:val="00FF571D"/>
    <w:rsid w:val="00FF7135"/>
    <w:rsid w:val="00FF7D8B"/>
    <w:rsid w:val="14C05273"/>
    <w:rsid w:val="42B4CBD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E70C64"/>
    <w:pPr>
      <w:keepNext/>
      <w:numPr>
        <w:numId w:val="1"/>
      </w:numPr>
      <w:tabs>
        <w:tab w:val="left" w:pos="567"/>
      </w:tabs>
      <w:suppressAutoHyphens/>
      <w:spacing w:before="48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BC5682"/>
    <w:pPr>
      <w:numPr>
        <w:ilvl w:val="1"/>
        <w:numId w:val="1"/>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DF6910"/>
    <w:pPr>
      <w:shd w:val="clear" w:color="auto" w:fill="FFFFFF" w:themeFill="background1"/>
      <w:tabs>
        <w:tab w:val="left" w:leader="underscore" w:pos="426"/>
        <w:tab w:val="right" w:leader="underscore" w:pos="9072"/>
      </w:tabs>
      <w:spacing w:before="0" w:after="60" w:line="240" w:lineRule="auto"/>
      <w:ind w:left="426" w:hanging="426"/>
      <w:contextualSpacing w:val="0"/>
    </w:pPr>
    <w:rPr>
      <w:rFonts w:asciiTheme="majorHAnsi" w:hAnsiTheme="majorHAnsi" w:cs="Arial"/>
      <w:bCs/>
      <w:color w:val="000000" w:themeColor="text1"/>
      <w:sz w:val="22"/>
      <w:szCs w:val="32"/>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DF6910"/>
    <w:rPr>
      <w:rFonts w:asciiTheme="majorHAnsi" w:hAnsiTheme="majorHAnsi" w:cs="Calibri"/>
      <w:b/>
      <w:bCs/>
      <w:caps/>
      <w:noProof/>
      <w:color w:val="auto"/>
      <w:sz w:val="22"/>
      <w:szCs w:val="3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E70C64"/>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semiHidden/>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RTBackcoverblurb">
    <w:name w:val="RT Back cover blurb"/>
    <w:basedOn w:val="Normal"/>
    <w:uiPriority w:val="99"/>
    <w:qFormat/>
    <w:rsid w:val="00DF131C"/>
    <w:pPr>
      <w:suppressAutoHyphens/>
      <w:spacing w:after="120" w:line="310" w:lineRule="exact"/>
    </w:pPr>
    <w:rPr>
      <w:rFonts w:asciiTheme="minorHAnsi" w:eastAsiaTheme="minorEastAsia" w:hAnsiTheme="minorHAnsi"/>
      <w:sz w:val="24"/>
      <w:szCs w:val="24"/>
    </w:rPr>
  </w:style>
  <w:style w:type="character" w:customStyle="1" w:styleId="normaltextrun">
    <w:name w:val="normaltextrun"/>
    <w:basedOn w:val="DefaultParagraphFont"/>
    <w:rsid w:val="0016343E"/>
  </w:style>
  <w:style w:type="character" w:customStyle="1" w:styleId="superscript">
    <w:name w:val="superscript"/>
    <w:basedOn w:val="DefaultParagraphFont"/>
    <w:rsid w:val="0016343E"/>
  </w:style>
  <w:style w:type="character" w:customStyle="1" w:styleId="eop">
    <w:name w:val="eop"/>
    <w:basedOn w:val="DefaultParagraphFont"/>
    <w:rsid w:val="0016343E"/>
  </w:style>
  <w:style w:type="paragraph" w:customStyle="1" w:styleId="paragraph">
    <w:name w:val="paragraph"/>
    <w:basedOn w:val="Normal"/>
    <w:rsid w:val="00AF2C2D"/>
    <w:pPr>
      <w:spacing w:before="100" w:beforeAutospacing="1" w:after="100" w:afterAutospacing="1"/>
    </w:pPr>
    <w:rPr>
      <w:rFonts w:ascii="Times New Roman" w:eastAsia="Times New Roman" w:hAnsi="Times New Roman" w:cs="Times New Roman"/>
      <w:color w:val="auto"/>
      <w:sz w:val="24"/>
      <w:szCs w:val="24"/>
      <w:lang w:eastAsia="en-GB"/>
    </w:rPr>
  </w:style>
  <w:style w:type="paragraph" w:styleId="CommentText">
    <w:name w:val="annotation text"/>
    <w:basedOn w:val="Normal"/>
    <w:link w:val="CommentTextChar"/>
    <w:uiPriority w:val="99"/>
    <w:unhideWhenUsed/>
    <w:rsid w:val="00A56B32"/>
  </w:style>
  <w:style w:type="character" w:customStyle="1" w:styleId="CommentTextChar">
    <w:name w:val="Comment Text Char"/>
    <w:basedOn w:val="DefaultParagraphFont"/>
    <w:link w:val="CommentText"/>
    <w:uiPriority w:val="99"/>
    <w:rsid w:val="00A56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392">
      <w:bodyDiv w:val="1"/>
      <w:marLeft w:val="0"/>
      <w:marRight w:val="0"/>
      <w:marTop w:val="0"/>
      <w:marBottom w:val="0"/>
      <w:divBdr>
        <w:top w:val="none" w:sz="0" w:space="0" w:color="auto"/>
        <w:left w:val="none" w:sz="0" w:space="0" w:color="auto"/>
        <w:bottom w:val="none" w:sz="0" w:space="0" w:color="auto"/>
        <w:right w:val="none" w:sz="0" w:space="0" w:color="auto"/>
      </w:divBdr>
    </w:div>
    <w:div w:id="27604738">
      <w:bodyDiv w:val="1"/>
      <w:marLeft w:val="0"/>
      <w:marRight w:val="0"/>
      <w:marTop w:val="0"/>
      <w:marBottom w:val="0"/>
      <w:divBdr>
        <w:top w:val="none" w:sz="0" w:space="0" w:color="auto"/>
        <w:left w:val="none" w:sz="0" w:space="0" w:color="auto"/>
        <w:bottom w:val="none" w:sz="0" w:space="0" w:color="auto"/>
        <w:right w:val="none" w:sz="0" w:space="0" w:color="auto"/>
      </w:divBdr>
      <w:divsChild>
        <w:div w:id="603877827">
          <w:marLeft w:val="0"/>
          <w:marRight w:val="0"/>
          <w:marTop w:val="0"/>
          <w:marBottom w:val="0"/>
          <w:divBdr>
            <w:top w:val="none" w:sz="0" w:space="0" w:color="auto"/>
            <w:left w:val="none" w:sz="0" w:space="0" w:color="auto"/>
            <w:bottom w:val="none" w:sz="0" w:space="0" w:color="auto"/>
            <w:right w:val="none" w:sz="0" w:space="0" w:color="auto"/>
          </w:divBdr>
        </w:div>
        <w:div w:id="1842624276">
          <w:marLeft w:val="0"/>
          <w:marRight w:val="0"/>
          <w:marTop w:val="0"/>
          <w:marBottom w:val="0"/>
          <w:divBdr>
            <w:top w:val="none" w:sz="0" w:space="0" w:color="auto"/>
            <w:left w:val="none" w:sz="0" w:space="0" w:color="auto"/>
            <w:bottom w:val="none" w:sz="0" w:space="0" w:color="auto"/>
            <w:right w:val="none" w:sz="0" w:space="0" w:color="auto"/>
          </w:divBdr>
        </w:div>
      </w:divsChild>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65420394">
      <w:bodyDiv w:val="1"/>
      <w:marLeft w:val="0"/>
      <w:marRight w:val="0"/>
      <w:marTop w:val="0"/>
      <w:marBottom w:val="0"/>
      <w:divBdr>
        <w:top w:val="none" w:sz="0" w:space="0" w:color="auto"/>
        <w:left w:val="none" w:sz="0" w:space="0" w:color="auto"/>
        <w:bottom w:val="none" w:sz="0" w:space="0" w:color="auto"/>
        <w:right w:val="none" w:sz="0" w:space="0" w:color="auto"/>
      </w:divBdr>
      <w:divsChild>
        <w:div w:id="53360763">
          <w:marLeft w:val="0"/>
          <w:marRight w:val="0"/>
          <w:marTop w:val="0"/>
          <w:marBottom w:val="0"/>
          <w:divBdr>
            <w:top w:val="none" w:sz="0" w:space="0" w:color="auto"/>
            <w:left w:val="none" w:sz="0" w:space="0" w:color="auto"/>
            <w:bottom w:val="none" w:sz="0" w:space="0" w:color="auto"/>
            <w:right w:val="none" w:sz="0" w:space="0" w:color="auto"/>
          </w:divBdr>
        </w:div>
        <w:div w:id="313409626">
          <w:marLeft w:val="0"/>
          <w:marRight w:val="0"/>
          <w:marTop w:val="0"/>
          <w:marBottom w:val="0"/>
          <w:divBdr>
            <w:top w:val="none" w:sz="0" w:space="0" w:color="auto"/>
            <w:left w:val="none" w:sz="0" w:space="0" w:color="auto"/>
            <w:bottom w:val="none" w:sz="0" w:space="0" w:color="auto"/>
            <w:right w:val="none" w:sz="0" w:space="0" w:color="auto"/>
          </w:divBdr>
        </w:div>
        <w:div w:id="937567312">
          <w:marLeft w:val="0"/>
          <w:marRight w:val="0"/>
          <w:marTop w:val="0"/>
          <w:marBottom w:val="0"/>
          <w:divBdr>
            <w:top w:val="none" w:sz="0" w:space="0" w:color="auto"/>
            <w:left w:val="none" w:sz="0" w:space="0" w:color="auto"/>
            <w:bottom w:val="none" w:sz="0" w:space="0" w:color="auto"/>
            <w:right w:val="none" w:sz="0" w:space="0" w:color="auto"/>
          </w:divBdr>
        </w:div>
        <w:div w:id="1523201658">
          <w:marLeft w:val="0"/>
          <w:marRight w:val="0"/>
          <w:marTop w:val="0"/>
          <w:marBottom w:val="0"/>
          <w:divBdr>
            <w:top w:val="none" w:sz="0" w:space="0" w:color="auto"/>
            <w:left w:val="none" w:sz="0" w:space="0" w:color="auto"/>
            <w:bottom w:val="none" w:sz="0" w:space="0" w:color="auto"/>
            <w:right w:val="none" w:sz="0" w:space="0" w:color="auto"/>
          </w:divBdr>
        </w:div>
        <w:div w:id="1720133242">
          <w:marLeft w:val="0"/>
          <w:marRight w:val="0"/>
          <w:marTop w:val="0"/>
          <w:marBottom w:val="0"/>
          <w:divBdr>
            <w:top w:val="none" w:sz="0" w:space="0" w:color="auto"/>
            <w:left w:val="none" w:sz="0" w:space="0" w:color="auto"/>
            <w:bottom w:val="none" w:sz="0" w:space="0" w:color="auto"/>
            <w:right w:val="none" w:sz="0" w:space="0" w:color="auto"/>
          </w:divBdr>
        </w:div>
      </w:divsChild>
    </w:div>
    <w:div w:id="141389508">
      <w:bodyDiv w:val="1"/>
      <w:marLeft w:val="0"/>
      <w:marRight w:val="0"/>
      <w:marTop w:val="0"/>
      <w:marBottom w:val="0"/>
      <w:divBdr>
        <w:top w:val="none" w:sz="0" w:space="0" w:color="auto"/>
        <w:left w:val="none" w:sz="0" w:space="0" w:color="auto"/>
        <w:bottom w:val="none" w:sz="0" w:space="0" w:color="auto"/>
        <w:right w:val="none" w:sz="0" w:space="0" w:color="auto"/>
      </w:divBdr>
    </w:div>
    <w:div w:id="195966281">
      <w:bodyDiv w:val="1"/>
      <w:marLeft w:val="0"/>
      <w:marRight w:val="0"/>
      <w:marTop w:val="0"/>
      <w:marBottom w:val="0"/>
      <w:divBdr>
        <w:top w:val="none" w:sz="0" w:space="0" w:color="auto"/>
        <w:left w:val="none" w:sz="0" w:space="0" w:color="auto"/>
        <w:bottom w:val="none" w:sz="0" w:space="0" w:color="auto"/>
        <w:right w:val="none" w:sz="0" w:space="0" w:color="auto"/>
      </w:divBdr>
    </w:div>
    <w:div w:id="382144081">
      <w:bodyDiv w:val="1"/>
      <w:marLeft w:val="0"/>
      <w:marRight w:val="0"/>
      <w:marTop w:val="0"/>
      <w:marBottom w:val="0"/>
      <w:divBdr>
        <w:top w:val="none" w:sz="0" w:space="0" w:color="auto"/>
        <w:left w:val="none" w:sz="0" w:space="0" w:color="auto"/>
        <w:bottom w:val="none" w:sz="0" w:space="0" w:color="auto"/>
        <w:right w:val="none" w:sz="0" w:space="0" w:color="auto"/>
      </w:divBdr>
      <w:divsChild>
        <w:div w:id="1036079057">
          <w:marLeft w:val="0"/>
          <w:marRight w:val="0"/>
          <w:marTop w:val="0"/>
          <w:marBottom w:val="0"/>
          <w:divBdr>
            <w:top w:val="none" w:sz="0" w:space="0" w:color="auto"/>
            <w:left w:val="none" w:sz="0" w:space="0" w:color="auto"/>
            <w:bottom w:val="none" w:sz="0" w:space="0" w:color="auto"/>
            <w:right w:val="none" w:sz="0" w:space="0" w:color="auto"/>
          </w:divBdr>
        </w:div>
        <w:div w:id="1106197009">
          <w:marLeft w:val="0"/>
          <w:marRight w:val="0"/>
          <w:marTop w:val="0"/>
          <w:marBottom w:val="0"/>
          <w:divBdr>
            <w:top w:val="none" w:sz="0" w:space="0" w:color="auto"/>
            <w:left w:val="none" w:sz="0" w:space="0" w:color="auto"/>
            <w:bottom w:val="none" w:sz="0" w:space="0" w:color="auto"/>
            <w:right w:val="none" w:sz="0" w:space="0" w:color="auto"/>
          </w:divBdr>
        </w:div>
      </w:divsChild>
    </w:div>
    <w:div w:id="385491039">
      <w:bodyDiv w:val="1"/>
      <w:marLeft w:val="0"/>
      <w:marRight w:val="0"/>
      <w:marTop w:val="0"/>
      <w:marBottom w:val="0"/>
      <w:divBdr>
        <w:top w:val="none" w:sz="0" w:space="0" w:color="auto"/>
        <w:left w:val="none" w:sz="0" w:space="0" w:color="auto"/>
        <w:bottom w:val="none" w:sz="0" w:space="0" w:color="auto"/>
        <w:right w:val="none" w:sz="0" w:space="0" w:color="auto"/>
      </w:divBdr>
      <w:divsChild>
        <w:div w:id="1121608034">
          <w:marLeft w:val="0"/>
          <w:marRight w:val="0"/>
          <w:marTop w:val="0"/>
          <w:marBottom w:val="0"/>
          <w:divBdr>
            <w:top w:val="none" w:sz="0" w:space="0" w:color="auto"/>
            <w:left w:val="none" w:sz="0" w:space="0" w:color="auto"/>
            <w:bottom w:val="none" w:sz="0" w:space="0" w:color="auto"/>
            <w:right w:val="none" w:sz="0" w:space="0" w:color="auto"/>
          </w:divBdr>
        </w:div>
        <w:div w:id="1519196924">
          <w:marLeft w:val="0"/>
          <w:marRight w:val="0"/>
          <w:marTop w:val="0"/>
          <w:marBottom w:val="0"/>
          <w:divBdr>
            <w:top w:val="none" w:sz="0" w:space="0" w:color="auto"/>
            <w:left w:val="none" w:sz="0" w:space="0" w:color="auto"/>
            <w:bottom w:val="none" w:sz="0" w:space="0" w:color="auto"/>
            <w:right w:val="none" w:sz="0" w:space="0" w:color="auto"/>
          </w:divBdr>
        </w:div>
      </w:divsChild>
    </w:div>
    <w:div w:id="445320211">
      <w:bodyDiv w:val="1"/>
      <w:marLeft w:val="0"/>
      <w:marRight w:val="0"/>
      <w:marTop w:val="0"/>
      <w:marBottom w:val="0"/>
      <w:divBdr>
        <w:top w:val="none" w:sz="0" w:space="0" w:color="auto"/>
        <w:left w:val="none" w:sz="0" w:space="0" w:color="auto"/>
        <w:bottom w:val="none" w:sz="0" w:space="0" w:color="auto"/>
        <w:right w:val="none" w:sz="0" w:space="0" w:color="auto"/>
      </w:divBdr>
      <w:divsChild>
        <w:div w:id="38751512">
          <w:marLeft w:val="0"/>
          <w:marRight w:val="0"/>
          <w:marTop w:val="0"/>
          <w:marBottom w:val="0"/>
          <w:divBdr>
            <w:top w:val="none" w:sz="0" w:space="0" w:color="auto"/>
            <w:left w:val="none" w:sz="0" w:space="0" w:color="auto"/>
            <w:bottom w:val="none" w:sz="0" w:space="0" w:color="auto"/>
            <w:right w:val="none" w:sz="0" w:space="0" w:color="auto"/>
          </w:divBdr>
        </w:div>
        <w:div w:id="68968337">
          <w:marLeft w:val="0"/>
          <w:marRight w:val="0"/>
          <w:marTop w:val="0"/>
          <w:marBottom w:val="0"/>
          <w:divBdr>
            <w:top w:val="none" w:sz="0" w:space="0" w:color="auto"/>
            <w:left w:val="none" w:sz="0" w:space="0" w:color="auto"/>
            <w:bottom w:val="none" w:sz="0" w:space="0" w:color="auto"/>
            <w:right w:val="none" w:sz="0" w:space="0" w:color="auto"/>
          </w:divBdr>
        </w:div>
        <w:div w:id="88474050">
          <w:marLeft w:val="0"/>
          <w:marRight w:val="0"/>
          <w:marTop w:val="0"/>
          <w:marBottom w:val="0"/>
          <w:divBdr>
            <w:top w:val="none" w:sz="0" w:space="0" w:color="auto"/>
            <w:left w:val="none" w:sz="0" w:space="0" w:color="auto"/>
            <w:bottom w:val="none" w:sz="0" w:space="0" w:color="auto"/>
            <w:right w:val="none" w:sz="0" w:space="0" w:color="auto"/>
          </w:divBdr>
        </w:div>
        <w:div w:id="94642858">
          <w:marLeft w:val="0"/>
          <w:marRight w:val="0"/>
          <w:marTop w:val="0"/>
          <w:marBottom w:val="0"/>
          <w:divBdr>
            <w:top w:val="none" w:sz="0" w:space="0" w:color="auto"/>
            <w:left w:val="none" w:sz="0" w:space="0" w:color="auto"/>
            <w:bottom w:val="none" w:sz="0" w:space="0" w:color="auto"/>
            <w:right w:val="none" w:sz="0" w:space="0" w:color="auto"/>
          </w:divBdr>
        </w:div>
        <w:div w:id="239218926">
          <w:marLeft w:val="0"/>
          <w:marRight w:val="0"/>
          <w:marTop w:val="0"/>
          <w:marBottom w:val="0"/>
          <w:divBdr>
            <w:top w:val="none" w:sz="0" w:space="0" w:color="auto"/>
            <w:left w:val="none" w:sz="0" w:space="0" w:color="auto"/>
            <w:bottom w:val="none" w:sz="0" w:space="0" w:color="auto"/>
            <w:right w:val="none" w:sz="0" w:space="0" w:color="auto"/>
          </w:divBdr>
        </w:div>
        <w:div w:id="500433310">
          <w:marLeft w:val="0"/>
          <w:marRight w:val="0"/>
          <w:marTop w:val="0"/>
          <w:marBottom w:val="0"/>
          <w:divBdr>
            <w:top w:val="none" w:sz="0" w:space="0" w:color="auto"/>
            <w:left w:val="none" w:sz="0" w:space="0" w:color="auto"/>
            <w:bottom w:val="none" w:sz="0" w:space="0" w:color="auto"/>
            <w:right w:val="none" w:sz="0" w:space="0" w:color="auto"/>
          </w:divBdr>
        </w:div>
        <w:div w:id="528571366">
          <w:marLeft w:val="0"/>
          <w:marRight w:val="0"/>
          <w:marTop w:val="0"/>
          <w:marBottom w:val="0"/>
          <w:divBdr>
            <w:top w:val="none" w:sz="0" w:space="0" w:color="auto"/>
            <w:left w:val="none" w:sz="0" w:space="0" w:color="auto"/>
            <w:bottom w:val="none" w:sz="0" w:space="0" w:color="auto"/>
            <w:right w:val="none" w:sz="0" w:space="0" w:color="auto"/>
          </w:divBdr>
        </w:div>
        <w:div w:id="548223135">
          <w:marLeft w:val="0"/>
          <w:marRight w:val="0"/>
          <w:marTop w:val="0"/>
          <w:marBottom w:val="0"/>
          <w:divBdr>
            <w:top w:val="none" w:sz="0" w:space="0" w:color="auto"/>
            <w:left w:val="none" w:sz="0" w:space="0" w:color="auto"/>
            <w:bottom w:val="none" w:sz="0" w:space="0" w:color="auto"/>
            <w:right w:val="none" w:sz="0" w:space="0" w:color="auto"/>
          </w:divBdr>
        </w:div>
        <w:div w:id="757754194">
          <w:marLeft w:val="0"/>
          <w:marRight w:val="0"/>
          <w:marTop w:val="0"/>
          <w:marBottom w:val="0"/>
          <w:divBdr>
            <w:top w:val="none" w:sz="0" w:space="0" w:color="auto"/>
            <w:left w:val="none" w:sz="0" w:space="0" w:color="auto"/>
            <w:bottom w:val="none" w:sz="0" w:space="0" w:color="auto"/>
            <w:right w:val="none" w:sz="0" w:space="0" w:color="auto"/>
          </w:divBdr>
        </w:div>
        <w:div w:id="837116098">
          <w:marLeft w:val="0"/>
          <w:marRight w:val="0"/>
          <w:marTop w:val="0"/>
          <w:marBottom w:val="0"/>
          <w:divBdr>
            <w:top w:val="none" w:sz="0" w:space="0" w:color="auto"/>
            <w:left w:val="none" w:sz="0" w:space="0" w:color="auto"/>
            <w:bottom w:val="none" w:sz="0" w:space="0" w:color="auto"/>
            <w:right w:val="none" w:sz="0" w:space="0" w:color="auto"/>
          </w:divBdr>
        </w:div>
        <w:div w:id="949706978">
          <w:marLeft w:val="0"/>
          <w:marRight w:val="0"/>
          <w:marTop w:val="0"/>
          <w:marBottom w:val="0"/>
          <w:divBdr>
            <w:top w:val="none" w:sz="0" w:space="0" w:color="auto"/>
            <w:left w:val="none" w:sz="0" w:space="0" w:color="auto"/>
            <w:bottom w:val="none" w:sz="0" w:space="0" w:color="auto"/>
            <w:right w:val="none" w:sz="0" w:space="0" w:color="auto"/>
          </w:divBdr>
        </w:div>
        <w:div w:id="1097941202">
          <w:marLeft w:val="0"/>
          <w:marRight w:val="0"/>
          <w:marTop w:val="0"/>
          <w:marBottom w:val="0"/>
          <w:divBdr>
            <w:top w:val="none" w:sz="0" w:space="0" w:color="auto"/>
            <w:left w:val="none" w:sz="0" w:space="0" w:color="auto"/>
            <w:bottom w:val="none" w:sz="0" w:space="0" w:color="auto"/>
            <w:right w:val="none" w:sz="0" w:space="0" w:color="auto"/>
          </w:divBdr>
        </w:div>
        <w:div w:id="1272859338">
          <w:marLeft w:val="0"/>
          <w:marRight w:val="0"/>
          <w:marTop w:val="0"/>
          <w:marBottom w:val="0"/>
          <w:divBdr>
            <w:top w:val="none" w:sz="0" w:space="0" w:color="auto"/>
            <w:left w:val="none" w:sz="0" w:space="0" w:color="auto"/>
            <w:bottom w:val="none" w:sz="0" w:space="0" w:color="auto"/>
            <w:right w:val="none" w:sz="0" w:space="0" w:color="auto"/>
          </w:divBdr>
        </w:div>
        <w:div w:id="1379089827">
          <w:marLeft w:val="0"/>
          <w:marRight w:val="0"/>
          <w:marTop w:val="0"/>
          <w:marBottom w:val="0"/>
          <w:divBdr>
            <w:top w:val="none" w:sz="0" w:space="0" w:color="auto"/>
            <w:left w:val="none" w:sz="0" w:space="0" w:color="auto"/>
            <w:bottom w:val="none" w:sz="0" w:space="0" w:color="auto"/>
            <w:right w:val="none" w:sz="0" w:space="0" w:color="auto"/>
          </w:divBdr>
        </w:div>
        <w:div w:id="1429230459">
          <w:marLeft w:val="0"/>
          <w:marRight w:val="0"/>
          <w:marTop w:val="0"/>
          <w:marBottom w:val="0"/>
          <w:divBdr>
            <w:top w:val="none" w:sz="0" w:space="0" w:color="auto"/>
            <w:left w:val="none" w:sz="0" w:space="0" w:color="auto"/>
            <w:bottom w:val="none" w:sz="0" w:space="0" w:color="auto"/>
            <w:right w:val="none" w:sz="0" w:space="0" w:color="auto"/>
          </w:divBdr>
        </w:div>
        <w:div w:id="1445224321">
          <w:marLeft w:val="0"/>
          <w:marRight w:val="0"/>
          <w:marTop w:val="0"/>
          <w:marBottom w:val="0"/>
          <w:divBdr>
            <w:top w:val="none" w:sz="0" w:space="0" w:color="auto"/>
            <w:left w:val="none" w:sz="0" w:space="0" w:color="auto"/>
            <w:bottom w:val="none" w:sz="0" w:space="0" w:color="auto"/>
            <w:right w:val="none" w:sz="0" w:space="0" w:color="auto"/>
          </w:divBdr>
        </w:div>
        <w:div w:id="1478953709">
          <w:marLeft w:val="0"/>
          <w:marRight w:val="0"/>
          <w:marTop w:val="0"/>
          <w:marBottom w:val="0"/>
          <w:divBdr>
            <w:top w:val="none" w:sz="0" w:space="0" w:color="auto"/>
            <w:left w:val="none" w:sz="0" w:space="0" w:color="auto"/>
            <w:bottom w:val="none" w:sz="0" w:space="0" w:color="auto"/>
            <w:right w:val="none" w:sz="0" w:space="0" w:color="auto"/>
          </w:divBdr>
        </w:div>
        <w:div w:id="1492061227">
          <w:marLeft w:val="0"/>
          <w:marRight w:val="0"/>
          <w:marTop w:val="0"/>
          <w:marBottom w:val="0"/>
          <w:divBdr>
            <w:top w:val="none" w:sz="0" w:space="0" w:color="auto"/>
            <w:left w:val="none" w:sz="0" w:space="0" w:color="auto"/>
            <w:bottom w:val="none" w:sz="0" w:space="0" w:color="auto"/>
            <w:right w:val="none" w:sz="0" w:space="0" w:color="auto"/>
          </w:divBdr>
        </w:div>
        <w:div w:id="1629311919">
          <w:marLeft w:val="0"/>
          <w:marRight w:val="0"/>
          <w:marTop w:val="0"/>
          <w:marBottom w:val="0"/>
          <w:divBdr>
            <w:top w:val="none" w:sz="0" w:space="0" w:color="auto"/>
            <w:left w:val="none" w:sz="0" w:space="0" w:color="auto"/>
            <w:bottom w:val="none" w:sz="0" w:space="0" w:color="auto"/>
            <w:right w:val="none" w:sz="0" w:space="0" w:color="auto"/>
          </w:divBdr>
        </w:div>
        <w:div w:id="1982226334">
          <w:marLeft w:val="0"/>
          <w:marRight w:val="0"/>
          <w:marTop w:val="0"/>
          <w:marBottom w:val="0"/>
          <w:divBdr>
            <w:top w:val="none" w:sz="0" w:space="0" w:color="auto"/>
            <w:left w:val="none" w:sz="0" w:space="0" w:color="auto"/>
            <w:bottom w:val="none" w:sz="0" w:space="0" w:color="auto"/>
            <w:right w:val="none" w:sz="0" w:space="0" w:color="auto"/>
          </w:divBdr>
        </w:div>
        <w:div w:id="2142338918">
          <w:marLeft w:val="0"/>
          <w:marRight w:val="0"/>
          <w:marTop w:val="0"/>
          <w:marBottom w:val="0"/>
          <w:divBdr>
            <w:top w:val="none" w:sz="0" w:space="0" w:color="auto"/>
            <w:left w:val="none" w:sz="0" w:space="0" w:color="auto"/>
            <w:bottom w:val="none" w:sz="0" w:space="0" w:color="auto"/>
            <w:right w:val="none" w:sz="0" w:space="0" w:color="auto"/>
          </w:divBdr>
        </w:div>
      </w:divsChild>
    </w:div>
    <w:div w:id="496653581">
      <w:bodyDiv w:val="1"/>
      <w:marLeft w:val="0"/>
      <w:marRight w:val="0"/>
      <w:marTop w:val="0"/>
      <w:marBottom w:val="0"/>
      <w:divBdr>
        <w:top w:val="none" w:sz="0" w:space="0" w:color="auto"/>
        <w:left w:val="none" w:sz="0" w:space="0" w:color="auto"/>
        <w:bottom w:val="none" w:sz="0" w:space="0" w:color="auto"/>
        <w:right w:val="none" w:sz="0" w:space="0" w:color="auto"/>
      </w:divBdr>
    </w:div>
    <w:div w:id="571160119">
      <w:bodyDiv w:val="1"/>
      <w:marLeft w:val="0"/>
      <w:marRight w:val="0"/>
      <w:marTop w:val="0"/>
      <w:marBottom w:val="0"/>
      <w:divBdr>
        <w:top w:val="none" w:sz="0" w:space="0" w:color="auto"/>
        <w:left w:val="none" w:sz="0" w:space="0" w:color="auto"/>
        <w:bottom w:val="none" w:sz="0" w:space="0" w:color="auto"/>
        <w:right w:val="none" w:sz="0" w:space="0" w:color="auto"/>
      </w:divBdr>
      <w:divsChild>
        <w:div w:id="114452221">
          <w:marLeft w:val="0"/>
          <w:marRight w:val="0"/>
          <w:marTop w:val="0"/>
          <w:marBottom w:val="0"/>
          <w:divBdr>
            <w:top w:val="none" w:sz="0" w:space="0" w:color="auto"/>
            <w:left w:val="none" w:sz="0" w:space="0" w:color="auto"/>
            <w:bottom w:val="none" w:sz="0" w:space="0" w:color="auto"/>
            <w:right w:val="none" w:sz="0" w:space="0" w:color="auto"/>
          </w:divBdr>
        </w:div>
        <w:div w:id="751467373">
          <w:marLeft w:val="0"/>
          <w:marRight w:val="0"/>
          <w:marTop w:val="0"/>
          <w:marBottom w:val="0"/>
          <w:divBdr>
            <w:top w:val="none" w:sz="0" w:space="0" w:color="auto"/>
            <w:left w:val="none" w:sz="0" w:space="0" w:color="auto"/>
            <w:bottom w:val="none" w:sz="0" w:space="0" w:color="auto"/>
            <w:right w:val="none" w:sz="0" w:space="0" w:color="auto"/>
          </w:divBdr>
        </w:div>
      </w:divsChild>
    </w:div>
    <w:div w:id="646058159">
      <w:bodyDiv w:val="1"/>
      <w:marLeft w:val="0"/>
      <w:marRight w:val="0"/>
      <w:marTop w:val="0"/>
      <w:marBottom w:val="0"/>
      <w:divBdr>
        <w:top w:val="none" w:sz="0" w:space="0" w:color="auto"/>
        <w:left w:val="none" w:sz="0" w:space="0" w:color="auto"/>
        <w:bottom w:val="none" w:sz="0" w:space="0" w:color="auto"/>
        <w:right w:val="none" w:sz="0" w:space="0" w:color="auto"/>
      </w:divBdr>
      <w:divsChild>
        <w:div w:id="800459538">
          <w:marLeft w:val="0"/>
          <w:marRight w:val="0"/>
          <w:marTop w:val="0"/>
          <w:marBottom w:val="0"/>
          <w:divBdr>
            <w:top w:val="none" w:sz="0" w:space="0" w:color="auto"/>
            <w:left w:val="none" w:sz="0" w:space="0" w:color="auto"/>
            <w:bottom w:val="none" w:sz="0" w:space="0" w:color="auto"/>
            <w:right w:val="none" w:sz="0" w:space="0" w:color="auto"/>
          </w:divBdr>
        </w:div>
        <w:div w:id="871574629">
          <w:marLeft w:val="0"/>
          <w:marRight w:val="0"/>
          <w:marTop w:val="0"/>
          <w:marBottom w:val="0"/>
          <w:divBdr>
            <w:top w:val="none" w:sz="0" w:space="0" w:color="auto"/>
            <w:left w:val="none" w:sz="0" w:space="0" w:color="auto"/>
            <w:bottom w:val="none" w:sz="0" w:space="0" w:color="auto"/>
            <w:right w:val="none" w:sz="0" w:space="0" w:color="auto"/>
          </w:divBdr>
        </w:div>
        <w:div w:id="1036200401">
          <w:marLeft w:val="0"/>
          <w:marRight w:val="0"/>
          <w:marTop w:val="0"/>
          <w:marBottom w:val="0"/>
          <w:divBdr>
            <w:top w:val="none" w:sz="0" w:space="0" w:color="auto"/>
            <w:left w:val="none" w:sz="0" w:space="0" w:color="auto"/>
            <w:bottom w:val="none" w:sz="0" w:space="0" w:color="auto"/>
            <w:right w:val="none" w:sz="0" w:space="0" w:color="auto"/>
          </w:divBdr>
        </w:div>
        <w:div w:id="1312176140">
          <w:marLeft w:val="0"/>
          <w:marRight w:val="0"/>
          <w:marTop w:val="0"/>
          <w:marBottom w:val="0"/>
          <w:divBdr>
            <w:top w:val="none" w:sz="0" w:space="0" w:color="auto"/>
            <w:left w:val="none" w:sz="0" w:space="0" w:color="auto"/>
            <w:bottom w:val="none" w:sz="0" w:space="0" w:color="auto"/>
            <w:right w:val="none" w:sz="0" w:space="0" w:color="auto"/>
          </w:divBdr>
        </w:div>
      </w:divsChild>
    </w:div>
    <w:div w:id="773594615">
      <w:bodyDiv w:val="1"/>
      <w:marLeft w:val="0"/>
      <w:marRight w:val="0"/>
      <w:marTop w:val="0"/>
      <w:marBottom w:val="0"/>
      <w:divBdr>
        <w:top w:val="none" w:sz="0" w:space="0" w:color="auto"/>
        <w:left w:val="none" w:sz="0" w:space="0" w:color="auto"/>
        <w:bottom w:val="none" w:sz="0" w:space="0" w:color="auto"/>
        <w:right w:val="none" w:sz="0" w:space="0" w:color="auto"/>
      </w:divBdr>
      <w:divsChild>
        <w:div w:id="80763745">
          <w:marLeft w:val="0"/>
          <w:marRight w:val="0"/>
          <w:marTop w:val="0"/>
          <w:marBottom w:val="0"/>
          <w:divBdr>
            <w:top w:val="none" w:sz="0" w:space="0" w:color="auto"/>
            <w:left w:val="none" w:sz="0" w:space="0" w:color="auto"/>
            <w:bottom w:val="none" w:sz="0" w:space="0" w:color="auto"/>
            <w:right w:val="none" w:sz="0" w:space="0" w:color="auto"/>
          </w:divBdr>
        </w:div>
        <w:div w:id="292643174">
          <w:marLeft w:val="0"/>
          <w:marRight w:val="0"/>
          <w:marTop w:val="0"/>
          <w:marBottom w:val="0"/>
          <w:divBdr>
            <w:top w:val="none" w:sz="0" w:space="0" w:color="auto"/>
            <w:left w:val="none" w:sz="0" w:space="0" w:color="auto"/>
            <w:bottom w:val="none" w:sz="0" w:space="0" w:color="auto"/>
            <w:right w:val="none" w:sz="0" w:space="0" w:color="auto"/>
          </w:divBdr>
        </w:div>
        <w:div w:id="891112693">
          <w:marLeft w:val="0"/>
          <w:marRight w:val="0"/>
          <w:marTop w:val="0"/>
          <w:marBottom w:val="0"/>
          <w:divBdr>
            <w:top w:val="none" w:sz="0" w:space="0" w:color="auto"/>
            <w:left w:val="none" w:sz="0" w:space="0" w:color="auto"/>
            <w:bottom w:val="none" w:sz="0" w:space="0" w:color="auto"/>
            <w:right w:val="none" w:sz="0" w:space="0" w:color="auto"/>
          </w:divBdr>
        </w:div>
      </w:divsChild>
    </w:div>
    <w:div w:id="790364265">
      <w:bodyDiv w:val="1"/>
      <w:marLeft w:val="0"/>
      <w:marRight w:val="0"/>
      <w:marTop w:val="0"/>
      <w:marBottom w:val="0"/>
      <w:divBdr>
        <w:top w:val="none" w:sz="0" w:space="0" w:color="auto"/>
        <w:left w:val="none" w:sz="0" w:space="0" w:color="auto"/>
        <w:bottom w:val="none" w:sz="0" w:space="0" w:color="auto"/>
        <w:right w:val="none" w:sz="0" w:space="0" w:color="auto"/>
      </w:divBdr>
    </w:div>
    <w:div w:id="829911592">
      <w:bodyDiv w:val="1"/>
      <w:marLeft w:val="0"/>
      <w:marRight w:val="0"/>
      <w:marTop w:val="0"/>
      <w:marBottom w:val="0"/>
      <w:divBdr>
        <w:top w:val="none" w:sz="0" w:space="0" w:color="auto"/>
        <w:left w:val="none" w:sz="0" w:space="0" w:color="auto"/>
        <w:bottom w:val="none" w:sz="0" w:space="0" w:color="auto"/>
        <w:right w:val="none" w:sz="0" w:space="0" w:color="auto"/>
      </w:divBdr>
    </w:div>
    <w:div w:id="876283029">
      <w:bodyDiv w:val="1"/>
      <w:marLeft w:val="0"/>
      <w:marRight w:val="0"/>
      <w:marTop w:val="0"/>
      <w:marBottom w:val="0"/>
      <w:divBdr>
        <w:top w:val="none" w:sz="0" w:space="0" w:color="auto"/>
        <w:left w:val="none" w:sz="0" w:space="0" w:color="auto"/>
        <w:bottom w:val="none" w:sz="0" w:space="0" w:color="auto"/>
        <w:right w:val="none" w:sz="0" w:space="0" w:color="auto"/>
      </w:divBdr>
      <w:divsChild>
        <w:div w:id="231308975">
          <w:marLeft w:val="0"/>
          <w:marRight w:val="0"/>
          <w:marTop w:val="0"/>
          <w:marBottom w:val="0"/>
          <w:divBdr>
            <w:top w:val="none" w:sz="0" w:space="0" w:color="auto"/>
            <w:left w:val="none" w:sz="0" w:space="0" w:color="auto"/>
            <w:bottom w:val="none" w:sz="0" w:space="0" w:color="auto"/>
            <w:right w:val="none" w:sz="0" w:space="0" w:color="auto"/>
          </w:divBdr>
        </w:div>
        <w:div w:id="1312909305">
          <w:marLeft w:val="0"/>
          <w:marRight w:val="0"/>
          <w:marTop w:val="0"/>
          <w:marBottom w:val="0"/>
          <w:divBdr>
            <w:top w:val="none" w:sz="0" w:space="0" w:color="auto"/>
            <w:left w:val="none" w:sz="0" w:space="0" w:color="auto"/>
            <w:bottom w:val="none" w:sz="0" w:space="0" w:color="auto"/>
            <w:right w:val="none" w:sz="0" w:space="0" w:color="auto"/>
          </w:divBdr>
        </w:div>
        <w:div w:id="1624195417">
          <w:marLeft w:val="0"/>
          <w:marRight w:val="0"/>
          <w:marTop w:val="0"/>
          <w:marBottom w:val="0"/>
          <w:divBdr>
            <w:top w:val="none" w:sz="0" w:space="0" w:color="auto"/>
            <w:left w:val="none" w:sz="0" w:space="0" w:color="auto"/>
            <w:bottom w:val="none" w:sz="0" w:space="0" w:color="auto"/>
            <w:right w:val="none" w:sz="0" w:space="0" w:color="auto"/>
          </w:divBdr>
        </w:div>
      </w:divsChild>
    </w:div>
    <w:div w:id="888147979">
      <w:bodyDiv w:val="1"/>
      <w:marLeft w:val="0"/>
      <w:marRight w:val="0"/>
      <w:marTop w:val="0"/>
      <w:marBottom w:val="0"/>
      <w:divBdr>
        <w:top w:val="none" w:sz="0" w:space="0" w:color="auto"/>
        <w:left w:val="none" w:sz="0" w:space="0" w:color="auto"/>
        <w:bottom w:val="none" w:sz="0" w:space="0" w:color="auto"/>
        <w:right w:val="none" w:sz="0" w:space="0" w:color="auto"/>
      </w:divBdr>
      <w:divsChild>
        <w:div w:id="134296686">
          <w:marLeft w:val="0"/>
          <w:marRight w:val="0"/>
          <w:marTop w:val="0"/>
          <w:marBottom w:val="0"/>
          <w:divBdr>
            <w:top w:val="none" w:sz="0" w:space="0" w:color="auto"/>
            <w:left w:val="none" w:sz="0" w:space="0" w:color="auto"/>
            <w:bottom w:val="none" w:sz="0" w:space="0" w:color="auto"/>
            <w:right w:val="none" w:sz="0" w:space="0" w:color="auto"/>
          </w:divBdr>
        </w:div>
        <w:div w:id="457339607">
          <w:marLeft w:val="0"/>
          <w:marRight w:val="0"/>
          <w:marTop w:val="0"/>
          <w:marBottom w:val="0"/>
          <w:divBdr>
            <w:top w:val="none" w:sz="0" w:space="0" w:color="auto"/>
            <w:left w:val="none" w:sz="0" w:space="0" w:color="auto"/>
            <w:bottom w:val="none" w:sz="0" w:space="0" w:color="auto"/>
            <w:right w:val="none" w:sz="0" w:space="0" w:color="auto"/>
          </w:divBdr>
        </w:div>
        <w:div w:id="1405293583">
          <w:marLeft w:val="0"/>
          <w:marRight w:val="0"/>
          <w:marTop w:val="0"/>
          <w:marBottom w:val="0"/>
          <w:divBdr>
            <w:top w:val="none" w:sz="0" w:space="0" w:color="auto"/>
            <w:left w:val="none" w:sz="0" w:space="0" w:color="auto"/>
            <w:bottom w:val="none" w:sz="0" w:space="0" w:color="auto"/>
            <w:right w:val="none" w:sz="0" w:space="0" w:color="auto"/>
          </w:divBdr>
        </w:div>
        <w:div w:id="1488982286">
          <w:marLeft w:val="0"/>
          <w:marRight w:val="0"/>
          <w:marTop w:val="0"/>
          <w:marBottom w:val="0"/>
          <w:divBdr>
            <w:top w:val="none" w:sz="0" w:space="0" w:color="auto"/>
            <w:left w:val="none" w:sz="0" w:space="0" w:color="auto"/>
            <w:bottom w:val="none" w:sz="0" w:space="0" w:color="auto"/>
            <w:right w:val="none" w:sz="0" w:space="0" w:color="auto"/>
          </w:divBdr>
        </w:div>
        <w:div w:id="2063285347">
          <w:marLeft w:val="0"/>
          <w:marRight w:val="0"/>
          <w:marTop w:val="0"/>
          <w:marBottom w:val="0"/>
          <w:divBdr>
            <w:top w:val="none" w:sz="0" w:space="0" w:color="auto"/>
            <w:left w:val="none" w:sz="0" w:space="0" w:color="auto"/>
            <w:bottom w:val="none" w:sz="0" w:space="0" w:color="auto"/>
            <w:right w:val="none" w:sz="0" w:space="0" w:color="auto"/>
          </w:divBdr>
        </w:div>
      </w:divsChild>
    </w:div>
    <w:div w:id="915358771">
      <w:bodyDiv w:val="1"/>
      <w:marLeft w:val="0"/>
      <w:marRight w:val="0"/>
      <w:marTop w:val="0"/>
      <w:marBottom w:val="0"/>
      <w:divBdr>
        <w:top w:val="none" w:sz="0" w:space="0" w:color="auto"/>
        <w:left w:val="none" w:sz="0" w:space="0" w:color="auto"/>
        <w:bottom w:val="none" w:sz="0" w:space="0" w:color="auto"/>
        <w:right w:val="none" w:sz="0" w:space="0" w:color="auto"/>
      </w:divBdr>
      <w:divsChild>
        <w:div w:id="365644601">
          <w:marLeft w:val="0"/>
          <w:marRight w:val="0"/>
          <w:marTop w:val="0"/>
          <w:marBottom w:val="0"/>
          <w:divBdr>
            <w:top w:val="none" w:sz="0" w:space="0" w:color="auto"/>
            <w:left w:val="none" w:sz="0" w:space="0" w:color="auto"/>
            <w:bottom w:val="none" w:sz="0" w:space="0" w:color="auto"/>
            <w:right w:val="none" w:sz="0" w:space="0" w:color="auto"/>
          </w:divBdr>
        </w:div>
        <w:div w:id="1245335562">
          <w:marLeft w:val="0"/>
          <w:marRight w:val="0"/>
          <w:marTop w:val="0"/>
          <w:marBottom w:val="0"/>
          <w:divBdr>
            <w:top w:val="none" w:sz="0" w:space="0" w:color="auto"/>
            <w:left w:val="none" w:sz="0" w:space="0" w:color="auto"/>
            <w:bottom w:val="none" w:sz="0" w:space="0" w:color="auto"/>
            <w:right w:val="none" w:sz="0" w:space="0" w:color="auto"/>
          </w:divBdr>
        </w:div>
        <w:div w:id="1462457512">
          <w:marLeft w:val="0"/>
          <w:marRight w:val="0"/>
          <w:marTop w:val="0"/>
          <w:marBottom w:val="0"/>
          <w:divBdr>
            <w:top w:val="none" w:sz="0" w:space="0" w:color="auto"/>
            <w:left w:val="none" w:sz="0" w:space="0" w:color="auto"/>
            <w:bottom w:val="none" w:sz="0" w:space="0" w:color="auto"/>
            <w:right w:val="none" w:sz="0" w:space="0" w:color="auto"/>
          </w:divBdr>
        </w:div>
      </w:divsChild>
    </w:div>
    <w:div w:id="942154689">
      <w:bodyDiv w:val="1"/>
      <w:marLeft w:val="0"/>
      <w:marRight w:val="0"/>
      <w:marTop w:val="0"/>
      <w:marBottom w:val="0"/>
      <w:divBdr>
        <w:top w:val="none" w:sz="0" w:space="0" w:color="auto"/>
        <w:left w:val="none" w:sz="0" w:space="0" w:color="auto"/>
        <w:bottom w:val="none" w:sz="0" w:space="0" w:color="auto"/>
        <w:right w:val="none" w:sz="0" w:space="0" w:color="auto"/>
      </w:divBdr>
      <w:divsChild>
        <w:div w:id="125394328">
          <w:marLeft w:val="0"/>
          <w:marRight w:val="0"/>
          <w:marTop w:val="0"/>
          <w:marBottom w:val="0"/>
          <w:divBdr>
            <w:top w:val="none" w:sz="0" w:space="0" w:color="auto"/>
            <w:left w:val="none" w:sz="0" w:space="0" w:color="auto"/>
            <w:bottom w:val="none" w:sz="0" w:space="0" w:color="auto"/>
            <w:right w:val="none" w:sz="0" w:space="0" w:color="auto"/>
          </w:divBdr>
        </w:div>
        <w:div w:id="1941182546">
          <w:marLeft w:val="0"/>
          <w:marRight w:val="0"/>
          <w:marTop w:val="0"/>
          <w:marBottom w:val="0"/>
          <w:divBdr>
            <w:top w:val="none" w:sz="0" w:space="0" w:color="auto"/>
            <w:left w:val="none" w:sz="0" w:space="0" w:color="auto"/>
            <w:bottom w:val="none" w:sz="0" w:space="0" w:color="auto"/>
            <w:right w:val="none" w:sz="0" w:space="0" w:color="auto"/>
          </w:divBdr>
        </w:div>
      </w:divsChild>
    </w:div>
    <w:div w:id="1058239872">
      <w:bodyDiv w:val="1"/>
      <w:marLeft w:val="0"/>
      <w:marRight w:val="0"/>
      <w:marTop w:val="0"/>
      <w:marBottom w:val="0"/>
      <w:divBdr>
        <w:top w:val="none" w:sz="0" w:space="0" w:color="auto"/>
        <w:left w:val="none" w:sz="0" w:space="0" w:color="auto"/>
        <w:bottom w:val="none" w:sz="0" w:space="0" w:color="auto"/>
        <w:right w:val="none" w:sz="0" w:space="0" w:color="auto"/>
      </w:divBdr>
      <w:divsChild>
        <w:div w:id="231888064">
          <w:marLeft w:val="0"/>
          <w:marRight w:val="0"/>
          <w:marTop w:val="0"/>
          <w:marBottom w:val="0"/>
          <w:divBdr>
            <w:top w:val="none" w:sz="0" w:space="0" w:color="auto"/>
            <w:left w:val="none" w:sz="0" w:space="0" w:color="auto"/>
            <w:bottom w:val="none" w:sz="0" w:space="0" w:color="auto"/>
            <w:right w:val="none" w:sz="0" w:space="0" w:color="auto"/>
          </w:divBdr>
        </w:div>
        <w:div w:id="498891175">
          <w:marLeft w:val="0"/>
          <w:marRight w:val="0"/>
          <w:marTop w:val="0"/>
          <w:marBottom w:val="0"/>
          <w:divBdr>
            <w:top w:val="none" w:sz="0" w:space="0" w:color="auto"/>
            <w:left w:val="none" w:sz="0" w:space="0" w:color="auto"/>
            <w:bottom w:val="none" w:sz="0" w:space="0" w:color="auto"/>
            <w:right w:val="none" w:sz="0" w:space="0" w:color="auto"/>
          </w:divBdr>
        </w:div>
        <w:div w:id="654987855">
          <w:marLeft w:val="0"/>
          <w:marRight w:val="0"/>
          <w:marTop w:val="0"/>
          <w:marBottom w:val="0"/>
          <w:divBdr>
            <w:top w:val="none" w:sz="0" w:space="0" w:color="auto"/>
            <w:left w:val="none" w:sz="0" w:space="0" w:color="auto"/>
            <w:bottom w:val="none" w:sz="0" w:space="0" w:color="auto"/>
            <w:right w:val="none" w:sz="0" w:space="0" w:color="auto"/>
          </w:divBdr>
        </w:div>
        <w:div w:id="1350327336">
          <w:marLeft w:val="0"/>
          <w:marRight w:val="0"/>
          <w:marTop w:val="0"/>
          <w:marBottom w:val="0"/>
          <w:divBdr>
            <w:top w:val="none" w:sz="0" w:space="0" w:color="auto"/>
            <w:left w:val="none" w:sz="0" w:space="0" w:color="auto"/>
            <w:bottom w:val="none" w:sz="0" w:space="0" w:color="auto"/>
            <w:right w:val="none" w:sz="0" w:space="0" w:color="auto"/>
          </w:divBdr>
        </w:div>
        <w:div w:id="1748187182">
          <w:marLeft w:val="0"/>
          <w:marRight w:val="0"/>
          <w:marTop w:val="0"/>
          <w:marBottom w:val="0"/>
          <w:divBdr>
            <w:top w:val="none" w:sz="0" w:space="0" w:color="auto"/>
            <w:left w:val="none" w:sz="0" w:space="0" w:color="auto"/>
            <w:bottom w:val="none" w:sz="0" w:space="0" w:color="auto"/>
            <w:right w:val="none" w:sz="0" w:space="0" w:color="auto"/>
          </w:divBdr>
        </w:div>
      </w:divsChild>
    </w:div>
    <w:div w:id="1097825586">
      <w:bodyDiv w:val="1"/>
      <w:marLeft w:val="0"/>
      <w:marRight w:val="0"/>
      <w:marTop w:val="0"/>
      <w:marBottom w:val="0"/>
      <w:divBdr>
        <w:top w:val="none" w:sz="0" w:space="0" w:color="auto"/>
        <w:left w:val="none" w:sz="0" w:space="0" w:color="auto"/>
        <w:bottom w:val="none" w:sz="0" w:space="0" w:color="auto"/>
        <w:right w:val="none" w:sz="0" w:space="0" w:color="auto"/>
      </w:divBdr>
      <w:divsChild>
        <w:div w:id="979773212">
          <w:marLeft w:val="0"/>
          <w:marRight w:val="0"/>
          <w:marTop w:val="0"/>
          <w:marBottom w:val="0"/>
          <w:divBdr>
            <w:top w:val="none" w:sz="0" w:space="0" w:color="auto"/>
            <w:left w:val="none" w:sz="0" w:space="0" w:color="auto"/>
            <w:bottom w:val="none" w:sz="0" w:space="0" w:color="auto"/>
            <w:right w:val="none" w:sz="0" w:space="0" w:color="auto"/>
          </w:divBdr>
        </w:div>
        <w:div w:id="1635938547">
          <w:marLeft w:val="0"/>
          <w:marRight w:val="0"/>
          <w:marTop w:val="0"/>
          <w:marBottom w:val="0"/>
          <w:divBdr>
            <w:top w:val="none" w:sz="0" w:space="0" w:color="auto"/>
            <w:left w:val="none" w:sz="0" w:space="0" w:color="auto"/>
            <w:bottom w:val="none" w:sz="0" w:space="0" w:color="auto"/>
            <w:right w:val="none" w:sz="0" w:space="0" w:color="auto"/>
          </w:divBdr>
        </w:div>
      </w:divsChild>
    </w:div>
    <w:div w:id="1173492736">
      <w:bodyDiv w:val="1"/>
      <w:marLeft w:val="0"/>
      <w:marRight w:val="0"/>
      <w:marTop w:val="0"/>
      <w:marBottom w:val="0"/>
      <w:divBdr>
        <w:top w:val="none" w:sz="0" w:space="0" w:color="auto"/>
        <w:left w:val="none" w:sz="0" w:space="0" w:color="auto"/>
        <w:bottom w:val="none" w:sz="0" w:space="0" w:color="auto"/>
        <w:right w:val="none" w:sz="0" w:space="0" w:color="auto"/>
      </w:divBdr>
      <w:divsChild>
        <w:div w:id="27684551">
          <w:marLeft w:val="0"/>
          <w:marRight w:val="0"/>
          <w:marTop w:val="0"/>
          <w:marBottom w:val="0"/>
          <w:divBdr>
            <w:top w:val="none" w:sz="0" w:space="0" w:color="auto"/>
            <w:left w:val="none" w:sz="0" w:space="0" w:color="auto"/>
            <w:bottom w:val="none" w:sz="0" w:space="0" w:color="auto"/>
            <w:right w:val="none" w:sz="0" w:space="0" w:color="auto"/>
          </w:divBdr>
        </w:div>
        <w:div w:id="443496683">
          <w:marLeft w:val="0"/>
          <w:marRight w:val="0"/>
          <w:marTop w:val="0"/>
          <w:marBottom w:val="0"/>
          <w:divBdr>
            <w:top w:val="none" w:sz="0" w:space="0" w:color="auto"/>
            <w:left w:val="none" w:sz="0" w:space="0" w:color="auto"/>
            <w:bottom w:val="none" w:sz="0" w:space="0" w:color="auto"/>
            <w:right w:val="none" w:sz="0" w:space="0" w:color="auto"/>
          </w:divBdr>
        </w:div>
        <w:div w:id="910042153">
          <w:marLeft w:val="0"/>
          <w:marRight w:val="0"/>
          <w:marTop w:val="0"/>
          <w:marBottom w:val="0"/>
          <w:divBdr>
            <w:top w:val="none" w:sz="0" w:space="0" w:color="auto"/>
            <w:left w:val="none" w:sz="0" w:space="0" w:color="auto"/>
            <w:bottom w:val="none" w:sz="0" w:space="0" w:color="auto"/>
            <w:right w:val="none" w:sz="0" w:space="0" w:color="auto"/>
          </w:divBdr>
        </w:div>
        <w:div w:id="1269966734">
          <w:marLeft w:val="0"/>
          <w:marRight w:val="0"/>
          <w:marTop w:val="0"/>
          <w:marBottom w:val="0"/>
          <w:divBdr>
            <w:top w:val="none" w:sz="0" w:space="0" w:color="auto"/>
            <w:left w:val="none" w:sz="0" w:space="0" w:color="auto"/>
            <w:bottom w:val="none" w:sz="0" w:space="0" w:color="auto"/>
            <w:right w:val="none" w:sz="0" w:space="0" w:color="auto"/>
          </w:divBdr>
        </w:div>
        <w:div w:id="1672023439">
          <w:marLeft w:val="0"/>
          <w:marRight w:val="0"/>
          <w:marTop w:val="0"/>
          <w:marBottom w:val="0"/>
          <w:divBdr>
            <w:top w:val="none" w:sz="0" w:space="0" w:color="auto"/>
            <w:left w:val="none" w:sz="0" w:space="0" w:color="auto"/>
            <w:bottom w:val="none" w:sz="0" w:space="0" w:color="auto"/>
            <w:right w:val="none" w:sz="0" w:space="0" w:color="auto"/>
          </w:divBdr>
        </w:div>
        <w:div w:id="1777364575">
          <w:marLeft w:val="0"/>
          <w:marRight w:val="0"/>
          <w:marTop w:val="0"/>
          <w:marBottom w:val="0"/>
          <w:divBdr>
            <w:top w:val="none" w:sz="0" w:space="0" w:color="auto"/>
            <w:left w:val="none" w:sz="0" w:space="0" w:color="auto"/>
            <w:bottom w:val="none" w:sz="0" w:space="0" w:color="auto"/>
            <w:right w:val="none" w:sz="0" w:space="0" w:color="auto"/>
          </w:divBdr>
        </w:div>
        <w:div w:id="2106613539">
          <w:marLeft w:val="0"/>
          <w:marRight w:val="0"/>
          <w:marTop w:val="0"/>
          <w:marBottom w:val="0"/>
          <w:divBdr>
            <w:top w:val="none" w:sz="0" w:space="0" w:color="auto"/>
            <w:left w:val="none" w:sz="0" w:space="0" w:color="auto"/>
            <w:bottom w:val="none" w:sz="0" w:space="0" w:color="auto"/>
            <w:right w:val="none" w:sz="0" w:space="0" w:color="auto"/>
          </w:divBdr>
        </w:div>
      </w:divsChild>
    </w:div>
    <w:div w:id="1191992266">
      <w:bodyDiv w:val="1"/>
      <w:marLeft w:val="0"/>
      <w:marRight w:val="0"/>
      <w:marTop w:val="0"/>
      <w:marBottom w:val="0"/>
      <w:divBdr>
        <w:top w:val="none" w:sz="0" w:space="0" w:color="auto"/>
        <w:left w:val="none" w:sz="0" w:space="0" w:color="auto"/>
        <w:bottom w:val="none" w:sz="0" w:space="0" w:color="auto"/>
        <w:right w:val="none" w:sz="0" w:space="0" w:color="auto"/>
      </w:divBdr>
      <w:divsChild>
        <w:div w:id="589891219">
          <w:marLeft w:val="0"/>
          <w:marRight w:val="0"/>
          <w:marTop w:val="0"/>
          <w:marBottom w:val="0"/>
          <w:divBdr>
            <w:top w:val="none" w:sz="0" w:space="0" w:color="auto"/>
            <w:left w:val="none" w:sz="0" w:space="0" w:color="auto"/>
            <w:bottom w:val="none" w:sz="0" w:space="0" w:color="auto"/>
            <w:right w:val="none" w:sz="0" w:space="0" w:color="auto"/>
          </w:divBdr>
        </w:div>
        <w:div w:id="887649876">
          <w:marLeft w:val="0"/>
          <w:marRight w:val="0"/>
          <w:marTop w:val="0"/>
          <w:marBottom w:val="0"/>
          <w:divBdr>
            <w:top w:val="none" w:sz="0" w:space="0" w:color="auto"/>
            <w:left w:val="none" w:sz="0" w:space="0" w:color="auto"/>
            <w:bottom w:val="none" w:sz="0" w:space="0" w:color="auto"/>
            <w:right w:val="none" w:sz="0" w:space="0" w:color="auto"/>
          </w:divBdr>
        </w:div>
        <w:div w:id="1563754777">
          <w:marLeft w:val="0"/>
          <w:marRight w:val="0"/>
          <w:marTop w:val="0"/>
          <w:marBottom w:val="0"/>
          <w:divBdr>
            <w:top w:val="none" w:sz="0" w:space="0" w:color="auto"/>
            <w:left w:val="none" w:sz="0" w:space="0" w:color="auto"/>
            <w:bottom w:val="none" w:sz="0" w:space="0" w:color="auto"/>
            <w:right w:val="none" w:sz="0" w:space="0" w:color="auto"/>
          </w:divBdr>
        </w:div>
      </w:divsChild>
    </w:div>
    <w:div w:id="1234966816">
      <w:bodyDiv w:val="1"/>
      <w:marLeft w:val="0"/>
      <w:marRight w:val="0"/>
      <w:marTop w:val="0"/>
      <w:marBottom w:val="0"/>
      <w:divBdr>
        <w:top w:val="none" w:sz="0" w:space="0" w:color="auto"/>
        <w:left w:val="none" w:sz="0" w:space="0" w:color="auto"/>
        <w:bottom w:val="none" w:sz="0" w:space="0" w:color="auto"/>
        <w:right w:val="none" w:sz="0" w:space="0" w:color="auto"/>
      </w:divBdr>
      <w:divsChild>
        <w:div w:id="555438492">
          <w:marLeft w:val="0"/>
          <w:marRight w:val="0"/>
          <w:marTop w:val="0"/>
          <w:marBottom w:val="0"/>
          <w:divBdr>
            <w:top w:val="none" w:sz="0" w:space="0" w:color="auto"/>
            <w:left w:val="none" w:sz="0" w:space="0" w:color="auto"/>
            <w:bottom w:val="none" w:sz="0" w:space="0" w:color="auto"/>
            <w:right w:val="none" w:sz="0" w:space="0" w:color="auto"/>
          </w:divBdr>
        </w:div>
        <w:div w:id="1659573102">
          <w:marLeft w:val="0"/>
          <w:marRight w:val="0"/>
          <w:marTop w:val="0"/>
          <w:marBottom w:val="0"/>
          <w:divBdr>
            <w:top w:val="none" w:sz="0" w:space="0" w:color="auto"/>
            <w:left w:val="none" w:sz="0" w:space="0" w:color="auto"/>
            <w:bottom w:val="none" w:sz="0" w:space="0" w:color="auto"/>
            <w:right w:val="none" w:sz="0" w:space="0" w:color="auto"/>
          </w:divBdr>
        </w:div>
        <w:div w:id="1671257253">
          <w:marLeft w:val="0"/>
          <w:marRight w:val="0"/>
          <w:marTop w:val="0"/>
          <w:marBottom w:val="0"/>
          <w:divBdr>
            <w:top w:val="none" w:sz="0" w:space="0" w:color="auto"/>
            <w:left w:val="none" w:sz="0" w:space="0" w:color="auto"/>
            <w:bottom w:val="none" w:sz="0" w:space="0" w:color="auto"/>
            <w:right w:val="none" w:sz="0" w:space="0" w:color="auto"/>
          </w:divBdr>
        </w:div>
      </w:divsChild>
    </w:div>
    <w:div w:id="1257715653">
      <w:bodyDiv w:val="1"/>
      <w:marLeft w:val="0"/>
      <w:marRight w:val="0"/>
      <w:marTop w:val="0"/>
      <w:marBottom w:val="0"/>
      <w:divBdr>
        <w:top w:val="none" w:sz="0" w:space="0" w:color="auto"/>
        <w:left w:val="none" w:sz="0" w:space="0" w:color="auto"/>
        <w:bottom w:val="none" w:sz="0" w:space="0" w:color="auto"/>
        <w:right w:val="none" w:sz="0" w:space="0" w:color="auto"/>
      </w:divBdr>
      <w:divsChild>
        <w:div w:id="379207610">
          <w:marLeft w:val="0"/>
          <w:marRight w:val="0"/>
          <w:marTop w:val="0"/>
          <w:marBottom w:val="0"/>
          <w:divBdr>
            <w:top w:val="none" w:sz="0" w:space="0" w:color="auto"/>
            <w:left w:val="none" w:sz="0" w:space="0" w:color="auto"/>
            <w:bottom w:val="none" w:sz="0" w:space="0" w:color="auto"/>
            <w:right w:val="none" w:sz="0" w:space="0" w:color="auto"/>
          </w:divBdr>
        </w:div>
        <w:div w:id="989403880">
          <w:marLeft w:val="0"/>
          <w:marRight w:val="0"/>
          <w:marTop w:val="0"/>
          <w:marBottom w:val="0"/>
          <w:divBdr>
            <w:top w:val="none" w:sz="0" w:space="0" w:color="auto"/>
            <w:left w:val="none" w:sz="0" w:space="0" w:color="auto"/>
            <w:bottom w:val="none" w:sz="0" w:space="0" w:color="auto"/>
            <w:right w:val="none" w:sz="0" w:space="0" w:color="auto"/>
          </w:divBdr>
        </w:div>
        <w:div w:id="1128665077">
          <w:marLeft w:val="0"/>
          <w:marRight w:val="0"/>
          <w:marTop w:val="0"/>
          <w:marBottom w:val="0"/>
          <w:divBdr>
            <w:top w:val="none" w:sz="0" w:space="0" w:color="auto"/>
            <w:left w:val="none" w:sz="0" w:space="0" w:color="auto"/>
            <w:bottom w:val="none" w:sz="0" w:space="0" w:color="auto"/>
            <w:right w:val="none" w:sz="0" w:space="0" w:color="auto"/>
          </w:divBdr>
        </w:div>
        <w:div w:id="1579753338">
          <w:marLeft w:val="0"/>
          <w:marRight w:val="0"/>
          <w:marTop w:val="0"/>
          <w:marBottom w:val="0"/>
          <w:divBdr>
            <w:top w:val="none" w:sz="0" w:space="0" w:color="auto"/>
            <w:left w:val="none" w:sz="0" w:space="0" w:color="auto"/>
            <w:bottom w:val="none" w:sz="0" w:space="0" w:color="auto"/>
            <w:right w:val="none" w:sz="0" w:space="0" w:color="auto"/>
          </w:divBdr>
        </w:div>
        <w:div w:id="1804421587">
          <w:marLeft w:val="0"/>
          <w:marRight w:val="0"/>
          <w:marTop w:val="0"/>
          <w:marBottom w:val="0"/>
          <w:divBdr>
            <w:top w:val="none" w:sz="0" w:space="0" w:color="auto"/>
            <w:left w:val="none" w:sz="0" w:space="0" w:color="auto"/>
            <w:bottom w:val="none" w:sz="0" w:space="0" w:color="auto"/>
            <w:right w:val="none" w:sz="0" w:space="0" w:color="auto"/>
          </w:divBdr>
        </w:div>
      </w:divsChild>
    </w:div>
    <w:div w:id="1270159845">
      <w:bodyDiv w:val="1"/>
      <w:marLeft w:val="0"/>
      <w:marRight w:val="0"/>
      <w:marTop w:val="0"/>
      <w:marBottom w:val="0"/>
      <w:divBdr>
        <w:top w:val="none" w:sz="0" w:space="0" w:color="auto"/>
        <w:left w:val="none" w:sz="0" w:space="0" w:color="auto"/>
        <w:bottom w:val="none" w:sz="0" w:space="0" w:color="auto"/>
        <w:right w:val="none" w:sz="0" w:space="0" w:color="auto"/>
      </w:divBdr>
    </w:div>
    <w:div w:id="1292129776">
      <w:bodyDiv w:val="1"/>
      <w:marLeft w:val="0"/>
      <w:marRight w:val="0"/>
      <w:marTop w:val="0"/>
      <w:marBottom w:val="0"/>
      <w:divBdr>
        <w:top w:val="none" w:sz="0" w:space="0" w:color="auto"/>
        <w:left w:val="none" w:sz="0" w:space="0" w:color="auto"/>
        <w:bottom w:val="none" w:sz="0" w:space="0" w:color="auto"/>
        <w:right w:val="none" w:sz="0" w:space="0" w:color="auto"/>
      </w:divBdr>
      <w:divsChild>
        <w:div w:id="173498176">
          <w:marLeft w:val="0"/>
          <w:marRight w:val="0"/>
          <w:marTop w:val="0"/>
          <w:marBottom w:val="0"/>
          <w:divBdr>
            <w:top w:val="none" w:sz="0" w:space="0" w:color="auto"/>
            <w:left w:val="none" w:sz="0" w:space="0" w:color="auto"/>
            <w:bottom w:val="none" w:sz="0" w:space="0" w:color="auto"/>
            <w:right w:val="none" w:sz="0" w:space="0" w:color="auto"/>
          </w:divBdr>
        </w:div>
        <w:div w:id="280452439">
          <w:marLeft w:val="0"/>
          <w:marRight w:val="0"/>
          <w:marTop w:val="0"/>
          <w:marBottom w:val="0"/>
          <w:divBdr>
            <w:top w:val="none" w:sz="0" w:space="0" w:color="auto"/>
            <w:left w:val="none" w:sz="0" w:space="0" w:color="auto"/>
            <w:bottom w:val="none" w:sz="0" w:space="0" w:color="auto"/>
            <w:right w:val="none" w:sz="0" w:space="0" w:color="auto"/>
          </w:divBdr>
        </w:div>
        <w:div w:id="346561968">
          <w:marLeft w:val="0"/>
          <w:marRight w:val="0"/>
          <w:marTop w:val="0"/>
          <w:marBottom w:val="0"/>
          <w:divBdr>
            <w:top w:val="none" w:sz="0" w:space="0" w:color="auto"/>
            <w:left w:val="none" w:sz="0" w:space="0" w:color="auto"/>
            <w:bottom w:val="none" w:sz="0" w:space="0" w:color="auto"/>
            <w:right w:val="none" w:sz="0" w:space="0" w:color="auto"/>
          </w:divBdr>
        </w:div>
        <w:div w:id="480970792">
          <w:marLeft w:val="0"/>
          <w:marRight w:val="0"/>
          <w:marTop w:val="0"/>
          <w:marBottom w:val="0"/>
          <w:divBdr>
            <w:top w:val="none" w:sz="0" w:space="0" w:color="auto"/>
            <w:left w:val="none" w:sz="0" w:space="0" w:color="auto"/>
            <w:bottom w:val="none" w:sz="0" w:space="0" w:color="auto"/>
            <w:right w:val="none" w:sz="0" w:space="0" w:color="auto"/>
          </w:divBdr>
        </w:div>
        <w:div w:id="1240405261">
          <w:marLeft w:val="0"/>
          <w:marRight w:val="0"/>
          <w:marTop w:val="0"/>
          <w:marBottom w:val="0"/>
          <w:divBdr>
            <w:top w:val="none" w:sz="0" w:space="0" w:color="auto"/>
            <w:left w:val="none" w:sz="0" w:space="0" w:color="auto"/>
            <w:bottom w:val="none" w:sz="0" w:space="0" w:color="auto"/>
            <w:right w:val="none" w:sz="0" w:space="0" w:color="auto"/>
          </w:divBdr>
        </w:div>
        <w:div w:id="1605845612">
          <w:marLeft w:val="0"/>
          <w:marRight w:val="0"/>
          <w:marTop w:val="0"/>
          <w:marBottom w:val="0"/>
          <w:divBdr>
            <w:top w:val="none" w:sz="0" w:space="0" w:color="auto"/>
            <w:left w:val="none" w:sz="0" w:space="0" w:color="auto"/>
            <w:bottom w:val="none" w:sz="0" w:space="0" w:color="auto"/>
            <w:right w:val="none" w:sz="0" w:space="0" w:color="auto"/>
          </w:divBdr>
        </w:div>
        <w:div w:id="2034450974">
          <w:marLeft w:val="0"/>
          <w:marRight w:val="0"/>
          <w:marTop w:val="0"/>
          <w:marBottom w:val="0"/>
          <w:divBdr>
            <w:top w:val="none" w:sz="0" w:space="0" w:color="auto"/>
            <w:left w:val="none" w:sz="0" w:space="0" w:color="auto"/>
            <w:bottom w:val="none" w:sz="0" w:space="0" w:color="auto"/>
            <w:right w:val="none" w:sz="0" w:space="0" w:color="auto"/>
          </w:divBdr>
        </w:div>
      </w:divsChild>
    </w:div>
    <w:div w:id="1360157278">
      <w:bodyDiv w:val="1"/>
      <w:marLeft w:val="0"/>
      <w:marRight w:val="0"/>
      <w:marTop w:val="0"/>
      <w:marBottom w:val="0"/>
      <w:divBdr>
        <w:top w:val="none" w:sz="0" w:space="0" w:color="auto"/>
        <w:left w:val="none" w:sz="0" w:space="0" w:color="auto"/>
        <w:bottom w:val="none" w:sz="0" w:space="0" w:color="auto"/>
        <w:right w:val="none" w:sz="0" w:space="0" w:color="auto"/>
      </w:divBdr>
      <w:divsChild>
        <w:div w:id="345986929">
          <w:marLeft w:val="0"/>
          <w:marRight w:val="0"/>
          <w:marTop w:val="0"/>
          <w:marBottom w:val="0"/>
          <w:divBdr>
            <w:top w:val="none" w:sz="0" w:space="0" w:color="auto"/>
            <w:left w:val="none" w:sz="0" w:space="0" w:color="auto"/>
            <w:bottom w:val="none" w:sz="0" w:space="0" w:color="auto"/>
            <w:right w:val="none" w:sz="0" w:space="0" w:color="auto"/>
          </w:divBdr>
        </w:div>
        <w:div w:id="358893105">
          <w:marLeft w:val="0"/>
          <w:marRight w:val="0"/>
          <w:marTop w:val="0"/>
          <w:marBottom w:val="0"/>
          <w:divBdr>
            <w:top w:val="none" w:sz="0" w:space="0" w:color="auto"/>
            <w:left w:val="none" w:sz="0" w:space="0" w:color="auto"/>
            <w:bottom w:val="none" w:sz="0" w:space="0" w:color="auto"/>
            <w:right w:val="none" w:sz="0" w:space="0" w:color="auto"/>
          </w:divBdr>
        </w:div>
        <w:div w:id="938179769">
          <w:marLeft w:val="0"/>
          <w:marRight w:val="0"/>
          <w:marTop w:val="0"/>
          <w:marBottom w:val="0"/>
          <w:divBdr>
            <w:top w:val="none" w:sz="0" w:space="0" w:color="auto"/>
            <w:left w:val="none" w:sz="0" w:space="0" w:color="auto"/>
            <w:bottom w:val="none" w:sz="0" w:space="0" w:color="auto"/>
            <w:right w:val="none" w:sz="0" w:space="0" w:color="auto"/>
          </w:divBdr>
        </w:div>
        <w:div w:id="1884635518">
          <w:marLeft w:val="0"/>
          <w:marRight w:val="0"/>
          <w:marTop w:val="0"/>
          <w:marBottom w:val="0"/>
          <w:divBdr>
            <w:top w:val="none" w:sz="0" w:space="0" w:color="auto"/>
            <w:left w:val="none" w:sz="0" w:space="0" w:color="auto"/>
            <w:bottom w:val="none" w:sz="0" w:space="0" w:color="auto"/>
            <w:right w:val="none" w:sz="0" w:space="0" w:color="auto"/>
          </w:divBdr>
        </w:div>
        <w:div w:id="2010864473">
          <w:marLeft w:val="0"/>
          <w:marRight w:val="0"/>
          <w:marTop w:val="0"/>
          <w:marBottom w:val="0"/>
          <w:divBdr>
            <w:top w:val="none" w:sz="0" w:space="0" w:color="auto"/>
            <w:left w:val="none" w:sz="0" w:space="0" w:color="auto"/>
            <w:bottom w:val="none" w:sz="0" w:space="0" w:color="auto"/>
            <w:right w:val="none" w:sz="0" w:space="0" w:color="auto"/>
          </w:divBdr>
        </w:div>
      </w:divsChild>
    </w:div>
    <w:div w:id="1466965195">
      <w:bodyDiv w:val="1"/>
      <w:marLeft w:val="0"/>
      <w:marRight w:val="0"/>
      <w:marTop w:val="0"/>
      <w:marBottom w:val="0"/>
      <w:divBdr>
        <w:top w:val="none" w:sz="0" w:space="0" w:color="auto"/>
        <w:left w:val="none" w:sz="0" w:space="0" w:color="auto"/>
        <w:bottom w:val="none" w:sz="0" w:space="0" w:color="auto"/>
        <w:right w:val="none" w:sz="0" w:space="0" w:color="auto"/>
      </w:divBdr>
      <w:divsChild>
        <w:div w:id="488132943">
          <w:marLeft w:val="0"/>
          <w:marRight w:val="0"/>
          <w:marTop w:val="0"/>
          <w:marBottom w:val="0"/>
          <w:divBdr>
            <w:top w:val="none" w:sz="0" w:space="0" w:color="auto"/>
            <w:left w:val="none" w:sz="0" w:space="0" w:color="auto"/>
            <w:bottom w:val="none" w:sz="0" w:space="0" w:color="auto"/>
            <w:right w:val="none" w:sz="0" w:space="0" w:color="auto"/>
          </w:divBdr>
        </w:div>
        <w:div w:id="2085949592">
          <w:marLeft w:val="0"/>
          <w:marRight w:val="0"/>
          <w:marTop w:val="0"/>
          <w:marBottom w:val="0"/>
          <w:divBdr>
            <w:top w:val="none" w:sz="0" w:space="0" w:color="auto"/>
            <w:left w:val="none" w:sz="0" w:space="0" w:color="auto"/>
            <w:bottom w:val="none" w:sz="0" w:space="0" w:color="auto"/>
            <w:right w:val="none" w:sz="0" w:space="0" w:color="auto"/>
          </w:divBdr>
        </w:div>
      </w:divsChild>
    </w:div>
    <w:div w:id="1596137319">
      <w:bodyDiv w:val="1"/>
      <w:marLeft w:val="0"/>
      <w:marRight w:val="0"/>
      <w:marTop w:val="0"/>
      <w:marBottom w:val="0"/>
      <w:divBdr>
        <w:top w:val="none" w:sz="0" w:space="0" w:color="auto"/>
        <w:left w:val="none" w:sz="0" w:space="0" w:color="auto"/>
        <w:bottom w:val="none" w:sz="0" w:space="0" w:color="auto"/>
        <w:right w:val="none" w:sz="0" w:space="0" w:color="auto"/>
      </w:divBdr>
      <w:divsChild>
        <w:div w:id="348290222">
          <w:marLeft w:val="0"/>
          <w:marRight w:val="0"/>
          <w:marTop w:val="0"/>
          <w:marBottom w:val="0"/>
          <w:divBdr>
            <w:top w:val="none" w:sz="0" w:space="0" w:color="auto"/>
            <w:left w:val="none" w:sz="0" w:space="0" w:color="auto"/>
            <w:bottom w:val="none" w:sz="0" w:space="0" w:color="auto"/>
            <w:right w:val="none" w:sz="0" w:space="0" w:color="auto"/>
          </w:divBdr>
        </w:div>
        <w:div w:id="1267688332">
          <w:marLeft w:val="0"/>
          <w:marRight w:val="0"/>
          <w:marTop w:val="0"/>
          <w:marBottom w:val="0"/>
          <w:divBdr>
            <w:top w:val="none" w:sz="0" w:space="0" w:color="auto"/>
            <w:left w:val="none" w:sz="0" w:space="0" w:color="auto"/>
            <w:bottom w:val="none" w:sz="0" w:space="0" w:color="auto"/>
            <w:right w:val="none" w:sz="0" w:space="0" w:color="auto"/>
          </w:divBdr>
        </w:div>
      </w:divsChild>
    </w:div>
    <w:div w:id="1615404125">
      <w:bodyDiv w:val="1"/>
      <w:marLeft w:val="0"/>
      <w:marRight w:val="0"/>
      <w:marTop w:val="0"/>
      <w:marBottom w:val="0"/>
      <w:divBdr>
        <w:top w:val="none" w:sz="0" w:space="0" w:color="auto"/>
        <w:left w:val="none" w:sz="0" w:space="0" w:color="auto"/>
        <w:bottom w:val="none" w:sz="0" w:space="0" w:color="auto"/>
        <w:right w:val="none" w:sz="0" w:space="0" w:color="auto"/>
      </w:divBdr>
      <w:divsChild>
        <w:div w:id="699743499">
          <w:marLeft w:val="0"/>
          <w:marRight w:val="0"/>
          <w:marTop w:val="0"/>
          <w:marBottom w:val="0"/>
          <w:divBdr>
            <w:top w:val="none" w:sz="0" w:space="0" w:color="auto"/>
            <w:left w:val="none" w:sz="0" w:space="0" w:color="auto"/>
            <w:bottom w:val="none" w:sz="0" w:space="0" w:color="auto"/>
            <w:right w:val="none" w:sz="0" w:space="0" w:color="auto"/>
          </w:divBdr>
          <w:divsChild>
            <w:div w:id="111242396">
              <w:marLeft w:val="0"/>
              <w:marRight w:val="0"/>
              <w:marTop w:val="0"/>
              <w:marBottom w:val="0"/>
              <w:divBdr>
                <w:top w:val="none" w:sz="0" w:space="0" w:color="auto"/>
                <w:left w:val="none" w:sz="0" w:space="0" w:color="auto"/>
                <w:bottom w:val="none" w:sz="0" w:space="0" w:color="auto"/>
                <w:right w:val="none" w:sz="0" w:space="0" w:color="auto"/>
              </w:divBdr>
            </w:div>
            <w:div w:id="167644071">
              <w:marLeft w:val="0"/>
              <w:marRight w:val="0"/>
              <w:marTop w:val="0"/>
              <w:marBottom w:val="0"/>
              <w:divBdr>
                <w:top w:val="none" w:sz="0" w:space="0" w:color="auto"/>
                <w:left w:val="none" w:sz="0" w:space="0" w:color="auto"/>
                <w:bottom w:val="none" w:sz="0" w:space="0" w:color="auto"/>
                <w:right w:val="none" w:sz="0" w:space="0" w:color="auto"/>
              </w:divBdr>
            </w:div>
            <w:div w:id="1113522577">
              <w:marLeft w:val="0"/>
              <w:marRight w:val="0"/>
              <w:marTop w:val="0"/>
              <w:marBottom w:val="0"/>
              <w:divBdr>
                <w:top w:val="none" w:sz="0" w:space="0" w:color="auto"/>
                <w:left w:val="none" w:sz="0" w:space="0" w:color="auto"/>
                <w:bottom w:val="none" w:sz="0" w:space="0" w:color="auto"/>
                <w:right w:val="none" w:sz="0" w:space="0" w:color="auto"/>
              </w:divBdr>
            </w:div>
            <w:div w:id="1440250510">
              <w:marLeft w:val="0"/>
              <w:marRight w:val="0"/>
              <w:marTop w:val="0"/>
              <w:marBottom w:val="0"/>
              <w:divBdr>
                <w:top w:val="none" w:sz="0" w:space="0" w:color="auto"/>
                <w:left w:val="none" w:sz="0" w:space="0" w:color="auto"/>
                <w:bottom w:val="none" w:sz="0" w:space="0" w:color="auto"/>
                <w:right w:val="none" w:sz="0" w:space="0" w:color="auto"/>
              </w:divBdr>
            </w:div>
            <w:div w:id="1648589138">
              <w:marLeft w:val="0"/>
              <w:marRight w:val="0"/>
              <w:marTop w:val="0"/>
              <w:marBottom w:val="0"/>
              <w:divBdr>
                <w:top w:val="none" w:sz="0" w:space="0" w:color="auto"/>
                <w:left w:val="none" w:sz="0" w:space="0" w:color="auto"/>
                <w:bottom w:val="none" w:sz="0" w:space="0" w:color="auto"/>
                <w:right w:val="none" w:sz="0" w:space="0" w:color="auto"/>
              </w:divBdr>
            </w:div>
            <w:div w:id="1872184235">
              <w:marLeft w:val="0"/>
              <w:marRight w:val="0"/>
              <w:marTop w:val="0"/>
              <w:marBottom w:val="0"/>
              <w:divBdr>
                <w:top w:val="none" w:sz="0" w:space="0" w:color="auto"/>
                <w:left w:val="none" w:sz="0" w:space="0" w:color="auto"/>
                <w:bottom w:val="none" w:sz="0" w:space="0" w:color="auto"/>
                <w:right w:val="none" w:sz="0" w:space="0" w:color="auto"/>
              </w:divBdr>
            </w:div>
          </w:divsChild>
        </w:div>
        <w:div w:id="1192261799">
          <w:marLeft w:val="0"/>
          <w:marRight w:val="0"/>
          <w:marTop w:val="0"/>
          <w:marBottom w:val="0"/>
          <w:divBdr>
            <w:top w:val="none" w:sz="0" w:space="0" w:color="auto"/>
            <w:left w:val="none" w:sz="0" w:space="0" w:color="auto"/>
            <w:bottom w:val="none" w:sz="0" w:space="0" w:color="auto"/>
            <w:right w:val="none" w:sz="0" w:space="0" w:color="auto"/>
          </w:divBdr>
          <w:divsChild>
            <w:div w:id="594367562">
              <w:marLeft w:val="0"/>
              <w:marRight w:val="0"/>
              <w:marTop w:val="0"/>
              <w:marBottom w:val="0"/>
              <w:divBdr>
                <w:top w:val="none" w:sz="0" w:space="0" w:color="auto"/>
                <w:left w:val="none" w:sz="0" w:space="0" w:color="auto"/>
                <w:bottom w:val="none" w:sz="0" w:space="0" w:color="auto"/>
                <w:right w:val="none" w:sz="0" w:space="0" w:color="auto"/>
              </w:divBdr>
            </w:div>
            <w:div w:id="1095831281">
              <w:marLeft w:val="0"/>
              <w:marRight w:val="0"/>
              <w:marTop w:val="0"/>
              <w:marBottom w:val="0"/>
              <w:divBdr>
                <w:top w:val="none" w:sz="0" w:space="0" w:color="auto"/>
                <w:left w:val="none" w:sz="0" w:space="0" w:color="auto"/>
                <w:bottom w:val="none" w:sz="0" w:space="0" w:color="auto"/>
                <w:right w:val="none" w:sz="0" w:space="0" w:color="auto"/>
              </w:divBdr>
            </w:div>
            <w:div w:id="126025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164690">
      <w:bodyDiv w:val="1"/>
      <w:marLeft w:val="0"/>
      <w:marRight w:val="0"/>
      <w:marTop w:val="0"/>
      <w:marBottom w:val="0"/>
      <w:divBdr>
        <w:top w:val="none" w:sz="0" w:space="0" w:color="auto"/>
        <w:left w:val="none" w:sz="0" w:space="0" w:color="auto"/>
        <w:bottom w:val="none" w:sz="0" w:space="0" w:color="auto"/>
        <w:right w:val="none" w:sz="0" w:space="0" w:color="auto"/>
      </w:divBdr>
      <w:divsChild>
        <w:div w:id="1160728841">
          <w:marLeft w:val="0"/>
          <w:marRight w:val="0"/>
          <w:marTop w:val="0"/>
          <w:marBottom w:val="0"/>
          <w:divBdr>
            <w:top w:val="none" w:sz="0" w:space="0" w:color="auto"/>
            <w:left w:val="none" w:sz="0" w:space="0" w:color="auto"/>
            <w:bottom w:val="none" w:sz="0" w:space="0" w:color="auto"/>
            <w:right w:val="none" w:sz="0" w:space="0" w:color="auto"/>
          </w:divBdr>
        </w:div>
        <w:div w:id="1676224520">
          <w:marLeft w:val="0"/>
          <w:marRight w:val="0"/>
          <w:marTop w:val="0"/>
          <w:marBottom w:val="0"/>
          <w:divBdr>
            <w:top w:val="none" w:sz="0" w:space="0" w:color="auto"/>
            <w:left w:val="none" w:sz="0" w:space="0" w:color="auto"/>
            <w:bottom w:val="none" w:sz="0" w:space="0" w:color="auto"/>
            <w:right w:val="none" w:sz="0" w:space="0" w:color="auto"/>
          </w:divBdr>
        </w:div>
      </w:divsChild>
    </w:div>
    <w:div w:id="1788234333">
      <w:bodyDiv w:val="1"/>
      <w:marLeft w:val="0"/>
      <w:marRight w:val="0"/>
      <w:marTop w:val="0"/>
      <w:marBottom w:val="0"/>
      <w:divBdr>
        <w:top w:val="none" w:sz="0" w:space="0" w:color="auto"/>
        <w:left w:val="none" w:sz="0" w:space="0" w:color="auto"/>
        <w:bottom w:val="none" w:sz="0" w:space="0" w:color="auto"/>
        <w:right w:val="none" w:sz="0" w:space="0" w:color="auto"/>
      </w:divBdr>
    </w:div>
    <w:div w:id="1842546378">
      <w:bodyDiv w:val="1"/>
      <w:marLeft w:val="0"/>
      <w:marRight w:val="0"/>
      <w:marTop w:val="0"/>
      <w:marBottom w:val="0"/>
      <w:divBdr>
        <w:top w:val="none" w:sz="0" w:space="0" w:color="auto"/>
        <w:left w:val="none" w:sz="0" w:space="0" w:color="auto"/>
        <w:bottom w:val="none" w:sz="0" w:space="0" w:color="auto"/>
        <w:right w:val="none" w:sz="0" w:space="0" w:color="auto"/>
      </w:divBdr>
      <w:divsChild>
        <w:div w:id="731348379">
          <w:marLeft w:val="0"/>
          <w:marRight w:val="0"/>
          <w:marTop w:val="0"/>
          <w:marBottom w:val="0"/>
          <w:divBdr>
            <w:top w:val="none" w:sz="0" w:space="0" w:color="auto"/>
            <w:left w:val="none" w:sz="0" w:space="0" w:color="auto"/>
            <w:bottom w:val="none" w:sz="0" w:space="0" w:color="auto"/>
            <w:right w:val="none" w:sz="0" w:space="0" w:color="auto"/>
          </w:divBdr>
        </w:div>
        <w:div w:id="1547567514">
          <w:marLeft w:val="0"/>
          <w:marRight w:val="0"/>
          <w:marTop w:val="0"/>
          <w:marBottom w:val="0"/>
          <w:divBdr>
            <w:top w:val="none" w:sz="0" w:space="0" w:color="auto"/>
            <w:left w:val="none" w:sz="0" w:space="0" w:color="auto"/>
            <w:bottom w:val="none" w:sz="0" w:space="0" w:color="auto"/>
            <w:right w:val="none" w:sz="0" w:space="0" w:color="auto"/>
          </w:divBdr>
        </w:div>
      </w:divsChild>
    </w:div>
    <w:div w:id="1842814224">
      <w:bodyDiv w:val="1"/>
      <w:marLeft w:val="0"/>
      <w:marRight w:val="0"/>
      <w:marTop w:val="0"/>
      <w:marBottom w:val="0"/>
      <w:divBdr>
        <w:top w:val="none" w:sz="0" w:space="0" w:color="auto"/>
        <w:left w:val="none" w:sz="0" w:space="0" w:color="auto"/>
        <w:bottom w:val="none" w:sz="0" w:space="0" w:color="auto"/>
        <w:right w:val="none" w:sz="0" w:space="0" w:color="auto"/>
      </w:divBdr>
      <w:divsChild>
        <w:div w:id="1452440000">
          <w:marLeft w:val="0"/>
          <w:marRight w:val="0"/>
          <w:marTop w:val="0"/>
          <w:marBottom w:val="0"/>
          <w:divBdr>
            <w:top w:val="none" w:sz="0" w:space="0" w:color="auto"/>
            <w:left w:val="none" w:sz="0" w:space="0" w:color="auto"/>
            <w:bottom w:val="none" w:sz="0" w:space="0" w:color="auto"/>
            <w:right w:val="none" w:sz="0" w:space="0" w:color="auto"/>
          </w:divBdr>
        </w:div>
        <w:div w:id="1755316837">
          <w:marLeft w:val="0"/>
          <w:marRight w:val="0"/>
          <w:marTop w:val="0"/>
          <w:marBottom w:val="0"/>
          <w:divBdr>
            <w:top w:val="none" w:sz="0" w:space="0" w:color="auto"/>
            <w:left w:val="none" w:sz="0" w:space="0" w:color="auto"/>
            <w:bottom w:val="none" w:sz="0" w:space="0" w:color="auto"/>
            <w:right w:val="none" w:sz="0" w:space="0" w:color="auto"/>
          </w:divBdr>
        </w:div>
      </w:divsChild>
    </w:div>
    <w:div w:id="1876851082">
      <w:bodyDiv w:val="1"/>
      <w:marLeft w:val="0"/>
      <w:marRight w:val="0"/>
      <w:marTop w:val="0"/>
      <w:marBottom w:val="0"/>
      <w:divBdr>
        <w:top w:val="none" w:sz="0" w:space="0" w:color="auto"/>
        <w:left w:val="none" w:sz="0" w:space="0" w:color="auto"/>
        <w:bottom w:val="none" w:sz="0" w:space="0" w:color="auto"/>
        <w:right w:val="none" w:sz="0" w:space="0" w:color="auto"/>
      </w:divBdr>
    </w:div>
    <w:div w:id="1893225732">
      <w:bodyDiv w:val="1"/>
      <w:marLeft w:val="0"/>
      <w:marRight w:val="0"/>
      <w:marTop w:val="0"/>
      <w:marBottom w:val="0"/>
      <w:divBdr>
        <w:top w:val="none" w:sz="0" w:space="0" w:color="auto"/>
        <w:left w:val="none" w:sz="0" w:space="0" w:color="auto"/>
        <w:bottom w:val="none" w:sz="0" w:space="0" w:color="auto"/>
        <w:right w:val="none" w:sz="0" w:space="0" w:color="auto"/>
      </w:divBdr>
      <w:divsChild>
        <w:div w:id="59601581">
          <w:marLeft w:val="0"/>
          <w:marRight w:val="0"/>
          <w:marTop w:val="0"/>
          <w:marBottom w:val="0"/>
          <w:divBdr>
            <w:top w:val="none" w:sz="0" w:space="0" w:color="auto"/>
            <w:left w:val="none" w:sz="0" w:space="0" w:color="auto"/>
            <w:bottom w:val="none" w:sz="0" w:space="0" w:color="auto"/>
            <w:right w:val="none" w:sz="0" w:space="0" w:color="auto"/>
          </w:divBdr>
        </w:div>
        <w:div w:id="272134899">
          <w:marLeft w:val="0"/>
          <w:marRight w:val="0"/>
          <w:marTop w:val="0"/>
          <w:marBottom w:val="0"/>
          <w:divBdr>
            <w:top w:val="none" w:sz="0" w:space="0" w:color="auto"/>
            <w:left w:val="none" w:sz="0" w:space="0" w:color="auto"/>
            <w:bottom w:val="none" w:sz="0" w:space="0" w:color="auto"/>
            <w:right w:val="none" w:sz="0" w:space="0" w:color="auto"/>
          </w:divBdr>
        </w:div>
      </w:divsChild>
    </w:div>
    <w:div w:id="1912812048">
      <w:bodyDiv w:val="1"/>
      <w:marLeft w:val="0"/>
      <w:marRight w:val="0"/>
      <w:marTop w:val="0"/>
      <w:marBottom w:val="0"/>
      <w:divBdr>
        <w:top w:val="none" w:sz="0" w:space="0" w:color="auto"/>
        <w:left w:val="none" w:sz="0" w:space="0" w:color="auto"/>
        <w:bottom w:val="none" w:sz="0" w:space="0" w:color="auto"/>
        <w:right w:val="none" w:sz="0" w:space="0" w:color="auto"/>
      </w:divBdr>
      <w:divsChild>
        <w:div w:id="980773500">
          <w:marLeft w:val="0"/>
          <w:marRight w:val="0"/>
          <w:marTop w:val="0"/>
          <w:marBottom w:val="0"/>
          <w:divBdr>
            <w:top w:val="none" w:sz="0" w:space="0" w:color="auto"/>
            <w:left w:val="none" w:sz="0" w:space="0" w:color="auto"/>
            <w:bottom w:val="none" w:sz="0" w:space="0" w:color="auto"/>
            <w:right w:val="none" w:sz="0" w:space="0" w:color="auto"/>
          </w:divBdr>
        </w:div>
        <w:div w:id="1245871950">
          <w:marLeft w:val="0"/>
          <w:marRight w:val="0"/>
          <w:marTop w:val="0"/>
          <w:marBottom w:val="0"/>
          <w:divBdr>
            <w:top w:val="none" w:sz="0" w:space="0" w:color="auto"/>
            <w:left w:val="none" w:sz="0" w:space="0" w:color="auto"/>
            <w:bottom w:val="none" w:sz="0" w:space="0" w:color="auto"/>
            <w:right w:val="none" w:sz="0" w:space="0" w:color="auto"/>
          </w:divBdr>
        </w:div>
      </w:divsChild>
    </w:div>
    <w:div w:id="1926527277">
      <w:bodyDiv w:val="1"/>
      <w:marLeft w:val="0"/>
      <w:marRight w:val="0"/>
      <w:marTop w:val="0"/>
      <w:marBottom w:val="0"/>
      <w:divBdr>
        <w:top w:val="none" w:sz="0" w:space="0" w:color="auto"/>
        <w:left w:val="none" w:sz="0" w:space="0" w:color="auto"/>
        <w:bottom w:val="none" w:sz="0" w:space="0" w:color="auto"/>
        <w:right w:val="none" w:sz="0" w:space="0" w:color="auto"/>
      </w:divBdr>
      <w:divsChild>
        <w:div w:id="527374858">
          <w:marLeft w:val="0"/>
          <w:marRight w:val="0"/>
          <w:marTop w:val="0"/>
          <w:marBottom w:val="0"/>
          <w:divBdr>
            <w:top w:val="none" w:sz="0" w:space="0" w:color="auto"/>
            <w:left w:val="none" w:sz="0" w:space="0" w:color="auto"/>
            <w:bottom w:val="none" w:sz="0" w:space="0" w:color="auto"/>
            <w:right w:val="none" w:sz="0" w:space="0" w:color="auto"/>
          </w:divBdr>
        </w:div>
        <w:div w:id="1995405063">
          <w:marLeft w:val="0"/>
          <w:marRight w:val="0"/>
          <w:marTop w:val="0"/>
          <w:marBottom w:val="0"/>
          <w:divBdr>
            <w:top w:val="none" w:sz="0" w:space="0" w:color="auto"/>
            <w:left w:val="none" w:sz="0" w:space="0" w:color="auto"/>
            <w:bottom w:val="none" w:sz="0" w:space="0" w:color="auto"/>
            <w:right w:val="none" w:sz="0" w:space="0" w:color="auto"/>
          </w:divBdr>
        </w:div>
      </w:divsChild>
    </w:div>
    <w:div w:id="1991908930">
      <w:bodyDiv w:val="1"/>
      <w:marLeft w:val="0"/>
      <w:marRight w:val="0"/>
      <w:marTop w:val="0"/>
      <w:marBottom w:val="0"/>
      <w:divBdr>
        <w:top w:val="none" w:sz="0" w:space="0" w:color="auto"/>
        <w:left w:val="none" w:sz="0" w:space="0" w:color="auto"/>
        <w:bottom w:val="none" w:sz="0" w:space="0" w:color="auto"/>
        <w:right w:val="none" w:sz="0" w:space="0" w:color="auto"/>
      </w:divBdr>
    </w:div>
    <w:div w:id="2040281666">
      <w:bodyDiv w:val="1"/>
      <w:marLeft w:val="0"/>
      <w:marRight w:val="0"/>
      <w:marTop w:val="0"/>
      <w:marBottom w:val="0"/>
      <w:divBdr>
        <w:top w:val="none" w:sz="0" w:space="0" w:color="auto"/>
        <w:left w:val="none" w:sz="0" w:space="0" w:color="auto"/>
        <w:bottom w:val="none" w:sz="0" w:space="0" w:color="auto"/>
        <w:right w:val="none" w:sz="0" w:space="0" w:color="auto"/>
      </w:divBdr>
    </w:div>
    <w:div w:id="2050689212">
      <w:bodyDiv w:val="1"/>
      <w:marLeft w:val="0"/>
      <w:marRight w:val="0"/>
      <w:marTop w:val="0"/>
      <w:marBottom w:val="0"/>
      <w:divBdr>
        <w:top w:val="none" w:sz="0" w:space="0" w:color="auto"/>
        <w:left w:val="none" w:sz="0" w:space="0" w:color="auto"/>
        <w:bottom w:val="none" w:sz="0" w:space="0" w:color="auto"/>
        <w:right w:val="none" w:sz="0" w:space="0" w:color="auto"/>
      </w:divBdr>
    </w:div>
    <w:div w:id="2074770103">
      <w:bodyDiv w:val="1"/>
      <w:marLeft w:val="0"/>
      <w:marRight w:val="0"/>
      <w:marTop w:val="0"/>
      <w:marBottom w:val="0"/>
      <w:divBdr>
        <w:top w:val="none" w:sz="0" w:space="0" w:color="auto"/>
        <w:left w:val="none" w:sz="0" w:space="0" w:color="auto"/>
        <w:bottom w:val="none" w:sz="0" w:space="0" w:color="auto"/>
        <w:right w:val="none" w:sz="0" w:space="0" w:color="auto"/>
      </w:divBdr>
    </w:div>
    <w:div w:id="2111047011">
      <w:bodyDiv w:val="1"/>
      <w:marLeft w:val="0"/>
      <w:marRight w:val="0"/>
      <w:marTop w:val="0"/>
      <w:marBottom w:val="0"/>
      <w:divBdr>
        <w:top w:val="none" w:sz="0" w:space="0" w:color="auto"/>
        <w:left w:val="none" w:sz="0" w:space="0" w:color="auto"/>
        <w:bottom w:val="none" w:sz="0" w:space="0" w:color="auto"/>
        <w:right w:val="none" w:sz="0" w:space="0" w:color="auto"/>
      </w:divBdr>
      <w:divsChild>
        <w:div w:id="742683511">
          <w:marLeft w:val="0"/>
          <w:marRight w:val="0"/>
          <w:marTop w:val="0"/>
          <w:marBottom w:val="0"/>
          <w:divBdr>
            <w:top w:val="none" w:sz="0" w:space="0" w:color="auto"/>
            <w:left w:val="none" w:sz="0" w:space="0" w:color="auto"/>
            <w:bottom w:val="none" w:sz="0" w:space="0" w:color="auto"/>
            <w:right w:val="none" w:sz="0" w:space="0" w:color="auto"/>
          </w:divBdr>
        </w:div>
        <w:div w:id="1072780047">
          <w:marLeft w:val="0"/>
          <w:marRight w:val="0"/>
          <w:marTop w:val="0"/>
          <w:marBottom w:val="0"/>
          <w:divBdr>
            <w:top w:val="none" w:sz="0" w:space="0" w:color="auto"/>
            <w:left w:val="none" w:sz="0" w:space="0" w:color="auto"/>
            <w:bottom w:val="none" w:sz="0" w:space="0" w:color="auto"/>
            <w:right w:val="none" w:sz="0" w:space="0" w:color="auto"/>
          </w:divBdr>
        </w:div>
        <w:div w:id="1137063788">
          <w:marLeft w:val="0"/>
          <w:marRight w:val="0"/>
          <w:marTop w:val="0"/>
          <w:marBottom w:val="0"/>
          <w:divBdr>
            <w:top w:val="none" w:sz="0" w:space="0" w:color="auto"/>
            <w:left w:val="none" w:sz="0" w:space="0" w:color="auto"/>
            <w:bottom w:val="none" w:sz="0" w:space="0" w:color="auto"/>
            <w:right w:val="none" w:sz="0" w:space="0" w:color="auto"/>
          </w:divBdr>
        </w:div>
        <w:div w:id="1823501988">
          <w:marLeft w:val="0"/>
          <w:marRight w:val="0"/>
          <w:marTop w:val="0"/>
          <w:marBottom w:val="0"/>
          <w:divBdr>
            <w:top w:val="none" w:sz="0" w:space="0" w:color="auto"/>
            <w:left w:val="none" w:sz="0" w:space="0" w:color="auto"/>
            <w:bottom w:val="none" w:sz="0" w:space="0" w:color="auto"/>
            <w:right w:val="none" w:sz="0" w:space="0" w:color="auto"/>
          </w:divBdr>
        </w:div>
      </w:divsChild>
    </w:div>
    <w:div w:id="2112234879">
      <w:bodyDiv w:val="1"/>
      <w:marLeft w:val="0"/>
      <w:marRight w:val="0"/>
      <w:marTop w:val="0"/>
      <w:marBottom w:val="0"/>
      <w:divBdr>
        <w:top w:val="none" w:sz="0" w:space="0" w:color="auto"/>
        <w:left w:val="none" w:sz="0" w:space="0" w:color="auto"/>
        <w:bottom w:val="none" w:sz="0" w:space="0" w:color="auto"/>
        <w:right w:val="none" w:sz="0" w:space="0" w:color="auto"/>
      </w:divBdr>
    </w:div>
    <w:div w:id="2144106920">
      <w:bodyDiv w:val="1"/>
      <w:marLeft w:val="0"/>
      <w:marRight w:val="0"/>
      <w:marTop w:val="0"/>
      <w:marBottom w:val="0"/>
      <w:divBdr>
        <w:top w:val="none" w:sz="0" w:space="0" w:color="auto"/>
        <w:left w:val="none" w:sz="0" w:space="0" w:color="auto"/>
        <w:bottom w:val="none" w:sz="0" w:space="0" w:color="auto"/>
        <w:right w:val="none" w:sz="0" w:space="0" w:color="auto"/>
      </w:divBdr>
      <w:divsChild>
        <w:div w:id="162746559">
          <w:marLeft w:val="0"/>
          <w:marRight w:val="0"/>
          <w:marTop w:val="0"/>
          <w:marBottom w:val="0"/>
          <w:divBdr>
            <w:top w:val="none" w:sz="0" w:space="0" w:color="auto"/>
            <w:left w:val="none" w:sz="0" w:space="0" w:color="auto"/>
            <w:bottom w:val="none" w:sz="0" w:space="0" w:color="auto"/>
            <w:right w:val="none" w:sz="0" w:space="0" w:color="auto"/>
          </w:divBdr>
        </w:div>
        <w:div w:id="719717316">
          <w:marLeft w:val="0"/>
          <w:marRight w:val="0"/>
          <w:marTop w:val="0"/>
          <w:marBottom w:val="0"/>
          <w:divBdr>
            <w:top w:val="none" w:sz="0" w:space="0" w:color="auto"/>
            <w:left w:val="none" w:sz="0" w:space="0" w:color="auto"/>
            <w:bottom w:val="none" w:sz="0" w:space="0" w:color="auto"/>
            <w:right w:val="none" w:sz="0" w:space="0" w:color="auto"/>
          </w:divBdr>
        </w:div>
        <w:div w:id="1574923752">
          <w:marLeft w:val="0"/>
          <w:marRight w:val="0"/>
          <w:marTop w:val="0"/>
          <w:marBottom w:val="0"/>
          <w:divBdr>
            <w:top w:val="none" w:sz="0" w:space="0" w:color="auto"/>
            <w:left w:val="none" w:sz="0" w:space="0" w:color="auto"/>
            <w:bottom w:val="none" w:sz="0" w:space="0" w:color="auto"/>
            <w:right w:val="none" w:sz="0" w:space="0" w:color="auto"/>
          </w:divBdr>
        </w:div>
        <w:div w:id="2033846427">
          <w:marLeft w:val="0"/>
          <w:marRight w:val="0"/>
          <w:marTop w:val="0"/>
          <w:marBottom w:val="0"/>
          <w:divBdr>
            <w:top w:val="none" w:sz="0" w:space="0" w:color="auto"/>
            <w:left w:val="none" w:sz="0" w:space="0" w:color="auto"/>
            <w:bottom w:val="none" w:sz="0" w:space="0" w:color="auto"/>
            <w:right w:val="none" w:sz="0" w:space="0" w:color="auto"/>
          </w:divBdr>
        </w:div>
      </w:divsChild>
    </w:div>
    <w:div w:id="2144232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amnesty.org" TargetMode="External"/><Relationship Id="rId18" Type="http://schemas.openxmlformats.org/officeDocument/2006/relationships/hyperlink" Target="http://www.facebook.com/AmnestyGloba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info@amnesty.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amnesty.org/en/about-us/permis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customXml" Target="../customXml/item3.xml"/><Relationship Id="rId10" Type="http://schemas.openxmlformats.org/officeDocument/2006/relationships/footer" Target="footer2.xml"/><Relationship Id="rId19" Type="http://schemas.openxmlformats.org/officeDocument/2006/relationships/hyperlink" Target="https://www.amnesty.org/en/about-us/permis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acebook.com/AmnestyGlobal" TargetMode="External"/><Relationship Id="rId22" Type="http://schemas.openxmlformats.org/officeDocument/2006/relationships/image" Target="media/image7.svg"/><Relationship Id="rId27"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rsaegean.org/en/rule-of-law-greece-report/" TargetMode="External"/><Relationship Id="rId21" Type="http://schemas.openxmlformats.org/officeDocument/2006/relationships/hyperlink" Target="https://www.nchr.gr/images/pdf/nea_epikairothta/deltia_tupou/2023/Interim_Report_Mechanism_en.pdf" TargetMode="External"/><Relationship Id="rId42" Type="http://schemas.openxmlformats.org/officeDocument/2006/relationships/hyperlink" Target="https://www.ecoi.net/en/document/2018926.html" TargetMode="External"/><Relationship Id="rId47" Type="http://schemas.openxmlformats.org/officeDocument/2006/relationships/hyperlink" Target="https://hias.org/wp-content/uploads/greece-comments_deportationbill.pdf" TargetMode="External"/><Relationship Id="rId63" Type="http://schemas.openxmlformats.org/officeDocument/2006/relationships/hyperlink" Target="https://spcommreports.ohchr.org/TMResultsBase/DownLoadPublicCommunicationFile?gId=24700" TargetMode="External"/><Relationship Id="rId68" Type="http://schemas.openxmlformats.org/officeDocument/2006/relationships/hyperlink" Target="http://www.undocs.org/E/C.12/GRC/Q/2/Add.1" TargetMode="External"/><Relationship Id="rId84" Type="http://schemas.openxmlformats.org/officeDocument/2006/relationships/hyperlink" Target="https://www.amnesty.org/en/documents/eur25/7656/2024/en/;" TargetMode="External"/><Relationship Id="rId89" Type="http://schemas.openxmlformats.org/officeDocument/2006/relationships/hyperlink" Target="https://www.ilga-europe.org/report/annual-review-2024/" TargetMode="External"/><Relationship Id="rId16" Type="http://schemas.openxmlformats.org/officeDocument/2006/relationships/hyperlink" Target="http://www.spiegel.de/ausland/pushbacks-von-fluechtlingen-eu-kommission-kuerzt-griechischer-kuestenwache-das-geld-a-028e8f42-cb75-41b9-97dd-bc28add93967" TargetMode="External"/><Relationship Id="rId107" Type="http://schemas.openxmlformats.org/officeDocument/2006/relationships/hyperlink" Target="https://bit.ly/3Tcqhwy" TargetMode="External"/><Relationship Id="rId11" Type="http://schemas.openxmlformats.org/officeDocument/2006/relationships/hyperlink" Target="http://www.politico.eu/article/greece-ombudsman-summons-head-greek-coast-guard-pylos-shipwreck/" TargetMode="External"/><Relationship Id="rId32" Type="http://schemas.openxmlformats.org/officeDocument/2006/relationships/hyperlink" Target="https://www.kodiko.gr/nomothesia/document/809570/nomos-4960-2022" TargetMode="External"/><Relationship Id="rId37" Type="http://schemas.openxmlformats.org/officeDocument/2006/relationships/hyperlink" Target="https://edri.org/our-work/greek-ministry-of-asylum-and-migration-face-a-record-breaking-e175000-fine-for-the-border-management-systems-kentauros-hyperion/" TargetMode="External"/><Relationship Id="rId53" Type="http://schemas.openxmlformats.org/officeDocument/2006/relationships/hyperlink" Target="https://www.lighthousereports.com/investigation/drowning-in-lies/" TargetMode="External"/><Relationship Id="rId58" Type="http://schemas.openxmlformats.org/officeDocument/2006/relationships/hyperlink" Target="https://hudoc.echr.coe.int/eng?i=001-166850" TargetMode="External"/><Relationship Id="rId74" Type="http://schemas.openxmlformats.org/officeDocument/2006/relationships/hyperlink" Target="https://bit.ly/3XgvQev" TargetMode="External"/><Relationship Id="rId79" Type="http://schemas.openxmlformats.org/officeDocument/2006/relationships/hyperlink" Target="https://bit.ly/4e8mzwx" TargetMode="External"/><Relationship Id="rId102" Type="http://schemas.openxmlformats.org/officeDocument/2006/relationships/hyperlink" Target="https://bit.ly/4dJwmbV" TargetMode="External"/><Relationship Id="rId5" Type="http://schemas.openxmlformats.org/officeDocument/2006/relationships/hyperlink" Target="https://library.fes.de/pdf-files/bueros/athen/17365.pdf" TargetMode="External"/><Relationship Id="rId90" Type="http://schemas.openxmlformats.org/officeDocument/2006/relationships/hyperlink" Target="https://icd.who.int/browse10/2019/en" TargetMode="External"/><Relationship Id="rId95" Type="http://schemas.openxmlformats.org/officeDocument/2006/relationships/hyperlink" Target="https://www.kodiko.gr/nomothesia/document/678034/yp.-apofasi-3063-2020" TargetMode="External"/><Relationship Id="rId22" Type="http://schemas.openxmlformats.org/officeDocument/2006/relationships/hyperlink" Target="https://rm.coe.int/1680b0e4e1" TargetMode="External"/><Relationship Id="rId27" Type="http://schemas.openxmlformats.org/officeDocument/2006/relationships/hyperlink" Target="https://www.forin.gr/laws/law/4168/n-4960-2022" TargetMode="External"/><Relationship Id="rId43" Type="http://schemas.openxmlformats.org/officeDocument/2006/relationships/hyperlink" Target="https://rsaegean.org/en/comments-on-the-reform-of-the-international-protection-act-2/" TargetMode="External"/><Relationship Id="rId48" Type="http://schemas.openxmlformats.org/officeDocument/2006/relationships/hyperlink" Target="https://asylumineurope.org/wp-content/uploads/2024/06/AIDA-GR_2023-Update.pdf" TargetMode="External"/><Relationship Id="rId64" Type="http://schemas.openxmlformats.org/officeDocument/2006/relationships/hyperlink" Target="https://www.amnesty.org/en/documents/eur25/0088/2019/en/" TargetMode="External"/><Relationship Id="rId69" Type="http://schemas.openxmlformats.org/officeDocument/2006/relationships/hyperlink" Target="http://www.undocs.org/E/C.12/GRC/CO/2" TargetMode="External"/><Relationship Id="rId80" Type="http://schemas.openxmlformats.org/officeDocument/2006/relationships/hyperlink" Target="https://bit.ly/3AN2m0p" TargetMode="External"/><Relationship Id="rId85" Type="http://schemas.openxmlformats.org/officeDocument/2006/relationships/hyperlink" Target="https://rvrn.org/en/annual-report-2022/" TargetMode="External"/><Relationship Id="rId12" Type="http://schemas.openxmlformats.org/officeDocument/2006/relationships/hyperlink" Target="http://www.amnesty.org/en/documents/eur25/4307/2021/en/" TargetMode="External"/><Relationship Id="rId17" Type="http://schemas.openxmlformats.org/officeDocument/2006/relationships/hyperlink" Target="https://www.efsyn.gr/ellada/dikaiomata/310350_anexartitos-mihanismos-gia-toys-prosfyges-enkrypto" TargetMode="External"/><Relationship Id="rId33" Type="http://schemas.openxmlformats.org/officeDocument/2006/relationships/hyperlink" Target="https://www.amnesty.org/en/documents/eur25/8356/2024/en/" TargetMode="External"/><Relationship Id="rId38" Type="http://schemas.openxmlformats.org/officeDocument/2006/relationships/hyperlink" Target="http://www.amnesty.org/en/latest/news/2021/12/greece-asylum-seekers-being-illegally-detained-in-new-eu-funded-camp/" TargetMode="External"/><Relationship Id="rId59" Type="http://schemas.openxmlformats.org/officeDocument/2006/relationships/hyperlink" Target="https://spcommreports.ohchr.org/TMResultsBase/DownLoadPublicCommunicationFile?gId=22834" TargetMode="External"/><Relationship Id="rId103" Type="http://schemas.openxmlformats.org/officeDocument/2006/relationships/hyperlink" Target="https://bit.ly/31HQbgk" TargetMode="External"/><Relationship Id="rId108" Type="http://schemas.openxmlformats.org/officeDocument/2006/relationships/hyperlink" Target="https://bit.ly/3z3ljeM" TargetMode="External"/><Relationship Id="rId54" Type="http://schemas.openxmlformats.org/officeDocument/2006/relationships/hyperlink" Target="https://wearesolomon.com/mag/format/investigation/under-the-unwatchful-eye-of-the-authorities-deactivated-cameras-dying-in-the-darkest-depths-of-the-mediterranean/" TargetMode="External"/><Relationship Id="rId70" Type="http://schemas.openxmlformats.org/officeDocument/2006/relationships/hyperlink" Target="https://www.amnesty.org/en/documents/eur25/0088/2019/en/" TargetMode="External"/><Relationship Id="rId75" Type="http://schemas.openxmlformats.org/officeDocument/2006/relationships/hyperlink" Target="https://undocs.org/en/CCPR/C/GRC/CO/2" TargetMode="External"/><Relationship Id="rId91" Type="http://schemas.openxmlformats.org/officeDocument/2006/relationships/hyperlink" Target="https://icd.who.int/browse/2024-01/mms/en" TargetMode="External"/><Relationship Id="rId96" Type="http://schemas.openxmlformats.org/officeDocument/2006/relationships/hyperlink" Target="https://www.kodiko.gr/nomothesia/document/680342/yp.-apofasi-10616-2020" TargetMode="External"/><Relationship Id="rId1" Type="http://schemas.openxmlformats.org/officeDocument/2006/relationships/hyperlink" Target="https://www.amnesty.org/en/documents/pol10/7200/2024/en/" TargetMode="External"/><Relationship Id="rId6" Type="http://schemas.openxmlformats.org/officeDocument/2006/relationships/hyperlink" Target="https://thepressproject.gr/ypothesi-manioudaki-poiniki-dioxi-gia-anthropoktonia-kata-ton-4-eblekomenon-astynomikon/" TargetMode="External"/><Relationship Id="rId15" Type="http://schemas.openxmlformats.org/officeDocument/2006/relationships/hyperlink" Target="https://www.gcr.gr/media/k2/attachments/Joint_NGO_Briefing_on_the_situation_in_Greece_27_10_2021.pdf" TargetMode="External"/><Relationship Id="rId23" Type="http://schemas.openxmlformats.org/officeDocument/2006/relationships/hyperlink" Target="https://www.amnesty.eu/news/joint-ngo-statement-no-monitoring-of-fundamental-rights-violations-in-greece-without-independent-and-effective-mechanisms/" TargetMode="External"/><Relationship Id="rId28" Type="http://schemas.openxmlformats.org/officeDocument/2006/relationships/hyperlink" Target="http://www.aftodioikisi.gr/ipourgeia/epifylaxeis-stp-gia-ti-symmetochi-toy-se-epitropes-toy-yp-metanasteysis/" TargetMode="External"/><Relationship Id="rId36" Type="http://schemas.openxmlformats.org/officeDocument/2006/relationships/hyperlink" Target="https://rsaegean.org/en/ccac-aegean-islands-greece/" TargetMode="External"/><Relationship Id="rId49" Type="http://schemas.openxmlformats.org/officeDocument/2006/relationships/hyperlink" Target="https://legalcentrelesvos.org/litigation-of-the-legal-centre-lesvos/criminalisation/pylos-9/" TargetMode="External"/><Relationship Id="rId57" Type="http://schemas.openxmlformats.org/officeDocument/2006/relationships/hyperlink" Target="https://www.refworld.org/pdfid/57cd5dee4.pdf" TargetMode="External"/><Relationship Id="rId106" Type="http://schemas.openxmlformats.org/officeDocument/2006/relationships/hyperlink" Target="https://www.mfrr.eu/controlling-the-message-challenges-for-independent-reporting-in-greece/" TargetMode="External"/><Relationship Id="rId10" Type="http://schemas.openxmlformats.org/officeDocument/2006/relationships/hyperlink" Target="http://www.synigoros.gr/en/category/nea/post/press-release-or-the-greek-ombudsman-investigates-the-pylos-shipwreck-case" TargetMode="External"/><Relationship Id="rId31" Type="http://schemas.openxmlformats.org/officeDocument/2006/relationships/hyperlink" Target="https://www.nchr.gr/images/pdf/nea_epikairothta/epistoles/epistoli_YMA_211022.pdf" TargetMode="External"/><Relationship Id="rId44" Type="http://schemas.openxmlformats.org/officeDocument/2006/relationships/hyperlink" Target="https://collab.lawspot.gr/sites/default/files/mashup/feka/2021/fek-157-2021.pdf" TargetMode="External"/><Relationship Id="rId52" Type="http://schemas.openxmlformats.org/officeDocument/2006/relationships/hyperlink" Target="http://www.bbc.co.uk/news/world-europe-65914476" TargetMode="External"/><Relationship Id="rId60" Type="http://schemas.openxmlformats.org/officeDocument/2006/relationships/hyperlink" Target="https://hudoc.esc.coe.int/eng?i=XXI-1/def/GRC/1/2/EN" TargetMode="External"/><Relationship Id="rId65" Type="http://schemas.openxmlformats.org/officeDocument/2006/relationships/hyperlink" Target="https://spcommreports.ohchr.org/TMResultsBase/DownLoadPublicCommunicationFile?gId=24700" TargetMode="External"/><Relationship Id="rId73" Type="http://schemas.openxmlformats.org/officeDocument/2006/relationships/hyperlink" Target="https://spcommreports.ohchr.org/TMResultsBase/DownLoadPublicCommunicationFile?gId=24700" TargetMode="External"/><Relationship Id="rId78" Type="http://schemas.openxmlformats.org/officeDocument/2006/relationships/hyperlink" Target="https://bit.ly/47g40DF" TargetMode="External"/><Relationship Id="rId81" Type="http://schemas.openxmlformats.org/officeDocument/2006/relationships/hyperlink" Target="https://bit.ly/3AN2m0p" TargetMode="External"/><Relationship Id="rId86" Type="http://schemas.openxmlformats.org/officeDocument/2006/relationships/hyperlink" Target="https://rvrn.org/el/etisia-ekthesi-2023/" TargetMode="External"/><Relationship Id="rId94" Type="http://schemas.openxmlformats.org/officeDocument/2006/relationships/hyperlink" Target="https://www.unhcr.org/gr/en/57973-rvrn-attack-in-thessaloniki-lgbtqi.html" TargetMode="External"/><Relationship Id="rId99" Type="http://schemas.openxmlformats.org/officeDocument/2006/relationships/hyperlink" Target="https://rm.coe.int/expert-council-conf-exp2020-5-addendum-to-the-opinion-on-the-compatib/1680a076f2" TargetMode="External"/><Relationship Id="rId101" Type="http://schemas.openxmlformats.org/officeDocument/2006/relationships/hyperlink" Target="http://www.amnesty.org/en/location/europe-and-central-asia/western-central-and-south-eastern-europe/greece/" TargetMode="External"/><Relationship Id="rId4" Type="http://schemas.openxmlformats.org/officeDocument/2006/relationships/hyperlink" Target="https://reliefweb.int/report/greece/pandemic-abuses-how-greece-dismantled-right-asylum-and-normalised-violation-migrants-rights-throughout-covid-19-pandemic-lesvos" TargetMode="External"/><Relationship Id="rId9" Type="http://schemas.openxmlformats.org/officeDocument/2006/relationships/hyperlink" Target="https://fragdenstaat.de/dokumente/233972-olaffinal-report-on-Frontex/" TargetMode="External"/><Relationship Id="rId13" Type="http://schemas.openxmlformats.org/officeDocument/2006/relationships/hyperlink" Target="http://www.amnesty.org/en/documents/eur01/2077/2020/en/" TargetMode="External"/><Relationship Id="rId18" Type="http://schemas.openxmlformats.org/officeDocument/2006/relationships/hyperlink" Target="http://www.fenixaid.org/post/joint-ngo-briefing-on-the-situation-in-greece" TargetMode="External"/><Relationship Id="rId39" Type="http://schemas.openxmlformats.org/officeDocument/2006/relationships/hyperlink" Target="https://www.amnesty.org/en/documents/eur25/2259/2020/en/" TargetMode="External"/><Relationship Id="rId109" Type="http://schemas.openxmlformats.org/officeDocument/2006/relationships/hyperlink" Target="https://rm.coe.int/pdf-english-final-shadow-report-13022023/1680aa2e44" TargetMode="External"/><Relationship Id="rId34" Type="http://schemas.openxmlformats.org/officeDocument/2006/relationships/hyperlink" Target="https://www.amnesty.org/en/documents/eur25/3063/2020/en/" TargetMode="External"/><Relationship Id="rId50" Type="http://schemas.openxmlformats.org/officeDocument/2006/relationships/hyperlink" Target="http://www.spiegel.de/international/europe/new-accusations-against-the-greek-coast-guard-we-thought-they-knew-what-they-were-doing-a-5b7b93b8-9ca0-4889-b52a-e134bbd84f43" TargetMode="External"/><Relationship Id="rId55" Type="http://schemas.openxmlformats.org/officeDocument/2006/relationships/hyperlink" Target="https://www.ieidiseis.gr/ellada/203173/navagio-stin-pylo-vomva-gia-to-limeniko-mas-traviksan-me-sxoini-kai-vythistikame-5-martyries-stin-anakritria-kalamatas" TargetMode="External"/><Relationship Id="rId76" Type="http://schemas.openxmlformats.org/officeDocument/2006/relationships/hyperlink" Target="https://undocs.org/A/HRC/41/23" TargetMode="External"/><Relationship Id="rId97" Type="http://schemas.openxmlformats.org/officeDocument/2006/relationships/hyperlink" Target="https://asylumineurope.org/wp-content/uploads/2024/06/AIDA-GR_2023-Update.pdf" TargetMode="External"/><Relationship Id="rId104" Type="http://schemas.openxmlformats.org/officeDocument/2006/relationships/hyperlink" Target="https://bit.ly/3Tcqhwy" TargetMode="External"/><Relationship Id="rId7" Type="http://schemas.openxmlformats.org/officeDocument/2006/relationships/hyperlink" Target="https://www.synigoros.gr/en/category/e8nikos-mhxanismos-diereynhshs-peristatikwn-ay8airesias/post/deltio-typoy-or-to-symboylio-ths-eyrwphs-zhta-enisxysh-toy-e8nikoy-mhxanismoy-diereynhshs-peristatikwn-ay8airesias" TargetMode="External"/><Relationship Id="rId71" Type="http://schemas.openxmlformats.org/officeDocument/2006/relationships/hyperlink" Target="https://www.synigoros.gr/?i=human-rights.el.danews.345630" TargetMode="External"/><Relationship Id="rId92" Type="http://schemas.openxmlformats.org/officeDocument/2006/relationships/hyperlink" Target="https://tgender.gr/deltio-typoy-to-syd-kalei-tin-politei-2/" TargetMode="External"/><Relationship Id="rId2" Type="http://schemas.openxmlformats.org/officeDocument/2006/relationships/hyperlink" Target="https://www.amnesty.org/en/documents/pol10/5670/2023/en/" TargetMode="External"/><Relationship Id="rId29" Type="http://schemas.openxmlformats.org/officeDocument/2006/relationships/hyperlink" Target="https://migration.gov.gr/fro-complaints/" TargetMode="External"/><Relationship Id="rId24" Type="http://schemas.openxmlformats.org/officeDocument/2006/relationships/hyperlink" Target="http://www.amnesty.org/en/documents/eur25/3196/2020/en/" TargetMode="External"/><Relationship Id="rId40" Type="http://schemas.openxmlformats.org/officeDocument/2006/relationships/hyperlink" Target="https://asylumineurope.org/reports/country/greece/overview-legal-framework/" TargetMode="External"/><Relationship Id="rId45" Type="http://schemas.openxmlformats.org/officeDocument/2006/relationships/hyperlink" Target="https://www.coe.int/en/web/commissioner/-/greece-s-parliament-should-align-the-deportations-and-return-bill-with-human-rights-standards" TargetMode="External"/><Relationship Id="rId66" Type="http://schemas.openxmlformats.org/officeDocument/2006/relationships/hyperlink" Target="https://undocs.org/A/HRC/41/23" TargetMode="External"/><Relationship Id="rId87" Type="http://schemas.openxmlformats.org/officeDocument/2006/relationships/hyperlink" Target="https://rvrn.org/en/annual-report-2022/" TargetMode="External"/><Relationship Id="rId110" Type="http://schemas.openxmlformats.org/officeDocument/2006/relationships/hyperlink" Target="https://bit.ly/4g1za5X" TargetMode="External"/><Relationship Id="rId61" Type="http://schemas.openxmlformats.org/officeDocument/2006/relationships/hyperlink" Target="https://www.undocs.org/A/HRC/35/4" TargetMode="External"/><Relationship Id="rId82" Type="http://schemas.openxmlformats.org/officeDocument/2006/relationships/hyperlink" Target="https://www.bbc.co.uk/news/world-europe-68310126" TargetMode="External"/><Relationship Id="rId19" Type="http://schemas.openxmlformats.org/officeDocument/2006/relationships/hyperlink" Target="https://asylumineurope.org/reports/country/greece/asylum-procedure/access-procedure-and-registration/access-territory-and-push-backs/" TargetMode="External"/><Relationship Id="rId14" Type="http://schemas.openxmlformats.org/officeDocument/2006/relationships/hyperlink" Target="http://www.euractiv.com/section/justice-home-affairs/news/commission-asks-greece-fortransparency-on-pushbacks-to-release-migration-funds/" TargetMode="External"/><Relationship Id="rId30" Type="http://schemas.openxmlformats.org/officeDocument/2006/relationships/hyperlink" Target="https://www.synigoros.gr/en/category/nea/post/the-ombudsman's-reservations-regarding-his-participation-in-committees-of-the-ministry-of-migration-and-asylum" TargetMode="External"/><Relationship Id="rId35" Type="http://schemas.openxmlformats.org/officeDocument/2006/relationships/hyperlink" Target="http://www.amnesty.eu/news/one-year-after-the-moria-fire-few-lessons-learned-as-greece-expands-barriers-to-refugees-protection/" TargetMode="External"/><Relationship Id="rId56" Type="http://schemas.openxmlformats.org/officeDocument/2006/relationships/hyperlink" Target="https://legalcentrelesvos.org/2024/02/01/closure-of-the-pylos-9-investigation-and-rejection-of-requests-for-additional-crucial-evidence/" TargetMode="External"/><Relationship Id="rId77" Type="http://schemas.openxmlformats.org/officeDocument/2006/relationships/hyperlink" Target="https://bit.ly/47g3WDV" TargetMode="External"/><Relationship Id="rId100" Type="http://schemas.openxmlformats.org/officeDocument/2006/relationships/hyperlink" Target="https://spcommreports.ohchr.org/TMResultsBase/DownLoadPublicCommunicationFile?gId=26314." TargetMode="External"/><Relationship Id="rId105" Type="http://schemas.openxmlformats.org/officeDocument/2006/relationships/hyperlink" Target="https://bit.ly/3Tcqhwy" TargetMode="External"/><Relationship Id="rId8" Type="http://schemas.openxmlformats.org/officeDocument/2006/relationships/hyperlink" Target="http://www.amnesty.eu/wp-content/uploads/2023/12/12dec-Embargoed-AI-HRW-Pylos-Briefing-EUR2575182023eng.pdf" TargetMode="External"/><Relationship Id="rId51" Type="http://schemas.openxmlformats.org/officeDocument/2006/relationships/hyperlink" Target="https://rsaegean.org/wp-content/uploads/2023/09/RSA_CoastGuard_PostSafi_EN.pdf" TargetMode="External"/><Relationship Id="rId72" Type="http://schemas.openxmlformats.org/officeDocument/2006/relationships/hyperlink" Target="http://www.nchr.gr/images/pdf/apofaseis/antirisies_suneidisis/Submission%20of%20the%20GNCHR%20to%20the%20quadrennial%20analytical%20report%202017.pdf" TargetMode="External"/><Relationship Id="rId93" Type="http://schemas.openxmlformats.org/officeDocument/2006/relationships/hyperlink" Target="https://www.unhcr.org/gr/en/57973-rvrn-attack-in-thessaloniki-lgbtqi.html" TargetMode="External"/><Relationship Id="rId98" Type="http://schemas.openxmlformats.org/officeDocument/2006/relationships/hyperlink" Target="https://rm.coe.int/expert-council-conf-exp-2020-4-opinion-ngo-registrationgreece/16809ee91d" TargetMode="External"/><Relationship Id="rId3" Type="http://schemas.openxmlformats.org/officeDocument/2006/relationships/hyperlink" Target="https://www.amnesty.eu/news/one-year-since-greece-opened-new-prison-like-refugee-camps-ngos-call-for-a-more-humane-approach/" TargetMode="External"/><Relationship Id="rId25" Type="http://schemas.openxmlformats.org/officeDocument/2006/relationships/hyperlink" Target="https://migration.gov.gr/the-fundamental-rights-officer-at-the-ministry-of-migration-and-asylum-was-appointed/m" TargetMode="External"/><Relationship Id="rId46" Type="http://schemas.openxmlformats.org/officeDocument/2006/relationships/hyperlink" Target="https://www.unhcr.org/gr/23069-%cf%80%ce%b1%cf%81%ce%ad%ce%bc%ce%b2%ce%b1%cf%83%ce%b7-%ce%bd%ce%bf%ce%bc%ce%bf%cf%83%cf%87%ce%ad%ce%b4%ce%b9%ce%bf-%ce%b1%cf%80%ce%b5%ce%bb%ce%ac%cf%83%ce%b5%ce%b9%cf%82.html" TargetMode="External"/><Relationship Id="rId67" Type="http://schemas.openxmlformats.org/officeDocument/2006/relationships/hyperlink" Target="https://www.amnesty.org/en/documents/eur25/4777/2021/en/" TargetMode="External"/><Relationship Id="rId20" Type="http://schemas.openxmlformats.org/officeDocument/2006/relationships/hyperlink" Target="http://www.nchr.gr/images/pdf/RecMechanism/Annual_Report_2022_compressed_1.pdf" TargetMode="External"/><Relationship Id="rId41" Type="http://schemas.openxmlformats.org/officeDocument/2006/relationships/hyperlink" Target="http://www.amnesty.gr/sites/default/files/eur2551782022english_1.pdf" TargetMode="External"/><Relationship Id="rId62" Type="http://schemas.openxmlformats.org/officeDocument/2006/relationships/hyperlink" Target="https://undocs.org/A/HRC/41/23" TargetMode="External"/><Relationship Id="rId83" Type="http://schemas.openxmlformats.org/officeDocument/2006/relationships/hyperlink" Target="https://www.amnesty.org/en/latest/news/2024/02/greece-same-sex-marriage-recognition-key-milestone-in-fight-against-homophobia-and-transphobia/" TargetMode="External"/><Relationship Id="rId88" Type="http://schemas.openxmlformats.org/officeDocument/2006/relationships/hyperlink" Target="https://www.thepinknews.com/2022/07/22/greece-intersex-surgey-ban-children/" TargetMode="External"/><Relationship Id="rId111" Type="http://schemas.openxmlformats.org/officeDocument/2006/relationships/hyperlink" Target="https://bit.ly/3X6iP7j"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customXml/itemProps2.xml><?xml version="1.0" encoding="utf-8"?>
<ds:datastoreItem xmlns:ds="http://schemas.openxmlformats.org/officeDocument/2006/customXml" ds:itemID="{752D39EC-4368-4F0C-8E47-445C1CA806A9}"/>
</file>

<file path=customXml/itemProps3.xml><?xml version="1.0" encoding="utf-8"?>
<ds:datastoreItem xmlns:ds="http://schemas.openxmlformats.org/officeDocument/2006/customXml" ds:itemID="{7BECCD63-4833-4F08-9399-0A3099B91FBB}"/>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22</Pages>
  <Words>7633</Words>
  <Characters>43511</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51042</CharactersWithSpaces>
  <SharedDoc>false</SharedDoc>
  <HLinks>
    <vt:vector size="894" baseType="variant">
      <vt:variant>
        <vt:i4>1966141</vt:i4>
      </vt:variant>
      <vt:variant>
        <vt:i4>206</vt:i4>
      </vt:variant>
      <vt:variant>
        <vt:i4>0</vt:i4>
      </vt:variant>
      <vt:variant>
        <vt:i4>5</vt:i4>
      </vt:variant>
      <vt:variant>
        <vt:lpwstr/>
      </vt:variant>
      <vt:variant>
        <vt:lpwstr>_Toc177127988</vt:lpwstr>
      </vt:variant>
      <vt:variant>
        <vt:i4>1966141</vt:i4>
      </vt:variant>
      <vt:variant>
        <vt:i4>200</vt:i4>
      </vt:variant>
      <vt:variant>
        <vt:i4>0</vt:i4>
      </vt:variant>
      <vt:variant>
        <vt:i4>5</vt:i4>
      </vt:variant>
      <vt:variant>
        <vt:lpwstr/>
      </vt:variant>
      <vt:variant>
        <vt:lpwstr>_Toc177127987</vt:lpwstr>
      </vt:variant>
      <vt:variant>
        <vt:i4>1966141</vt:i4>
      </vt:variant>
      <vt:variant>
        <vt:i4>194</vt:i4>
      </vt:variant>
      <vt:variant>
        <vt:i4>0</vt:i4>
      </vt:variant>
      <vt:variant>
        <vt:i4>5</vt:i4>
      </vt:variant>
      <vt:variant>
        <vt:lpwstr/>
      </vt:variant>
      <vt:variant>
        <vt:lpwstr>_Toc177127986</vt:lpwstr>
      </vt:variant>
      <vt:variant>
        <vt:i4>1966141</vt:i4>
      </vt:variant>
      <vt:variant>
        <vt:i4>188</vt:i4>
      </vt:variant>
      <vt:variant>
        <vt:i4>0</vt:i4>
      </vt:variant>
      <vt:variant>
        <vt:i4>5</vt:i4>
      </vt:variant>
      <vt:variant>
        <vt:lpwstr/>
      </vt:variant>
      <vt:variant>
        <vt:lpwstr>_Toc177127985</vt:lpwstr>
      </vt:variant>
      <vt:variant>
        <vt:i4>1966141</vt:i4>
      </vt:variant>
      <vt:variant>
        <vt:i4>182</vt:i4>
      </vt:variant>
      <vt:variant>
        <vt:i4>0</vt:i4>
      </vt:variant>
      <vt:variant>
        <vt:i4>5</vt:i4>
      </vt:variant>
      <vt:variant>
        <vt:lpwstr/>
      </vt:variant>
      <vt:variant>
        <vt:lpwstr>_Toc177127984</vt:lpwstr>
      </vt:variant>
      <vt:variant>
        <vt:i4>1966141</vt:i4>
      </vt:variant>
      <vt:variant>
        <vt:i4>176</vt:i4>
      </vt:variant>
      <vt:variant>
        <vt:i4>0</vt:i4>
      </vt:variant>
      <vt:variant>
        <vt:i4>5</vt:i4>
      </vt:variant>
      <vt:variant>
        <vt:lpwstr/>
      </vt:variant>
      <vt:variant>
        <vt:lpwstr>_Toc177127983</vt:lpwstr>
      </vt:variant>
      <vt:variant>
        <vt:i4>1966141</vt:i4>
      </vt:variant>
      <vt:variant>
        <vt:i4>170</vt:i4>
      </vt:variant>
      <vt:variant>
        <vt:i4>0</vt:i4>
      </vt:variant>
      <vt:variant>
        <vt:i4>5</vt:i4>
      </vt:variant>
      <vt:variant>
        <vt:lpwstr/>
      </vt:variant>
      <vt:variant>
        <vt:lpwstr>_Toc177127982</vt:lpwstr>
      </vt:variant>
      <vt:variant>
        <vt:i4>1966141</vt:i4>
      </vt:variant>
      <vt:variant>
        <vt:i4>164</vt:i4>
      </vt:variant>
      <vt:variant>
        <vt:i4>0</vt:i4>
      </vt:variant>
      <vt:variant>
        <vt:i4>5</vt:i4>
      </vt:variant>
      <vt:variant>
        <vt:lpwstr/>
      </vt:variant>
      <vt:variant>
        <vt:lpwstr>_Toc177127981</vt:lpwstr>
      </vt:variant>
      <vt:variant>
        <vt:i4>1966141</vt:i4>
      </vt:variant>
      <vt:variant>
        <vt:i4>158</vt:i4>
      </vt:variant>
      <vt:variant>
        <vt:i4>0</vt:i4>
      </vt:variant>
      <vt:variant>
        <vt:i4>5</vt:i4>
      </vt:variant>
      <vt:variant>
        <vt:lpwstr/>
      </vt:variant>
      <vt:variant>
        <vt:lpwstr>_Toc177127980</vt:lpwstr>
      </vt:variant>
      <vt:variant>
        <vt:i4>1114173</vt:i4>
      </vt:variant>
      <vt:variant>
        <vt:i4>152</vt:i4>
      </vt:variant>
      <vt:variant>
        <vt:i4>0</vt:i4>
      </vt:variant>
      <vt:variant>
        <vt:i4>5</vt:i4>
      </vt:variant>
      <vt:variant>
        <vt:lpwstr/>
      </vt:variant>
      <vt:variant>
        <vt:lpwstr>_Toc177127979</vt:lpwstr>
      </vt:variant>
      <vt:variant>
        <vt:i4>1114173</vt:i4>
      </vt:variant>
      <vt:variant>
        <vt:i4>146</vt:i4>
      </vt:variant>
      <vt:variant>
        <vt:i4>0</vt:i4>
      </vt:variant>
      <vt:variant>
        <vt:i4>5</vt:i4>
      </vt:variant>
      <vt:variant>
        <vt:lpwstr/>
      </vt:variant>
      <vt:variant>
        <vt:lpwstr>_Toc177127978</vt:lpwstr>
      </vt:variant>
      <vt:variant>
        <vt:i4>1114173</vt:i4>
      </vt:variant>
      <vt:variant>
        <vt:i4>140</vt:i4>
      </vt:variant>
      <vt:variant>
        <vt:i4>0</vt:i4>
      </vt:variant>
      <vt:variant>
        <vt:i4>5</vt:i4>
      </vt:variant>
      <vt:variant>
        <vt:lpwstr/>
      </vt:variant>
      <vt:variant>
        <vt:lpwstr>_Toc177127977</vt:lpwstr>
      </vt:variant>
      <vt:variant>
        <vt:i4>1114173</vt:i4>
      </vt:variant>
      <vt:variant>
        <vt:i4>134</vt:i4>
      </vt:variant>
      <vt:variant>
        <vt:i4>0</vt:i4>
      </vt:variant>
      <vt:variant>
        <vt:i4>5</vt:i4>
      </vt:variant>
      <vt:variant>
        <vt:lpwstr/>
      </vt:variant>
      <vt:variant>
        <vt:lpwstr>_Toc177127976</vt:lpwstr>
      </vt:variant>
      <vt:variant>
        <vt:i4>1114173</vt:i4>
      </vt:variant>
      <vt:variant>
        <vt:i4>128</vt:i4>
      </vt:variant>
      <vt:variant>
        <vt:i4>0</vt:i4>
      </vt:variant>
      <vt:variant>
        <vt:i4>5</vt:i4>
      </vt:variant>
      <vt:variant>
        <vt:lpwstr/>
      </vt:variant>
      <vt:variant>
        <vt:lpwstr>_Toc177127975</vt:lpwstr>
      </vt:variant>
      <vt:variant>
        <vt:i4>1114173</vt:i4>
      </vt:variant>
      <vt:variant>
        <vt:i4>122</vt:i4>
      </vt:variant>
      <vt:variant>
        <vt:i4>0</vt:i4>
      </vt:variant>
      <vt:variant>
        <vt:i4>5</vt:i4>
      </vt:variant>
      <vt:variant>
        <vt:lpwstr/>
      </vt:variant>
      <vt:variant>
        <vt:lpwstr>_Toc177127974</vt:lpwstr>
      </vt:variant>
      <vt:variant>
        <vt:i4>1114173</vt:i4>
      </vt:variant>
      <vt:variant>
        <vt:i4>116</vt:i4>
      </vt:variant>
      <vt:variant>
        <vt:i4>0</vt:i4>
      </vt:variant>
      <vt:variant>
        <vt:i4>5</vt:i4>
      </vt:variant>
      <vt:variant>
        <vt:lpwstr/>
      </vt:variant>
      <vt:variant>
        <vt:lpwstr>_Toc177127973</vt:lpwstr>
      </vt:variant>
      <vt:variant>
        <vt:i4>1114173</vt:i4>
      </vt:variant>
      <vt:variant>
        <vt:i4>110</vt:i4>
      </vt:variant>
      <vt:variant>
        <vt:i4>0</vt:i4>
      </vt:variant>
      <vt:variant>
        <vt:i4>5</vt:i4>
      </vt:variant>
      <vt:variant>
        <vt:lpwstr/>
      </vt:variant>
      <vt:variant>
        <vt:lpwstr>_Toc177127972</vt:lpwstr>
      </vt:variant>
      <vt:variant>
        <vt:i4>1114173</vt:i4>
      </vt:variant>
      <vt:variant>
        <vt:i4>104</vt:i4>
      </vt:variant>
      <vt:variant>
        <vt:i4>0</vt:i4>
      </vt:variant>
      <vt:variant>
        <vt:i4>5</vt:i4>
      </vt:variant>
      <vt:variant>
        <vt:lpwstr/>
      </vt:variant>
      <vt:variant>
        <vt:lpwstr>_Toc177127971</vt:lpwstr>
      </vt:variant>
      <vt:variant>
        <vt:i4>1114173</vt:i4>
      </vt:variant>
      <vt:variant>
        <vt:i4>98</vt:i4>
      </vt:variant>
      <vt:variant>
        <vt:i4>0</vt:i4>
      </vt:variant>
      <vt:variant>
        <vt:i4>5</vt:i4>
      </vt:variant>
      <vt:variant>
        <vt:lpwstr/>
      </vt:variant>
      <vt:variant>
        <vt:lpwstr>_Toc177127970</vt:lpwstr>
      </vt:variant>
      <vt:variant>
        <vt:i4>1048637</vt:i4>
      </vt:variant>
      <vt:variant>
        <vt:i4>92</vt:i4>
      </vt:variant>
      <vt:variant>
        <vt:i4>0</vt:i4>
      </vt:variant>
      <vt:variant>
        <vt:i4>5</vt:i4>
      </vt:variant>
      <vt:variant>
        <vt:lpwstr/>
      </vt:variant>
      <vt:variant>
        <vt:lpwstr>_Toc177127969</vt:lpwstr>
      </vt:variant>
      <vt:variant>
        <vt:i4>1048637</vt:i4>
      </vt:variant>
      <vt:variant>
        <vt:i4>86</vt:i4>
      </vt:variant>
      <vt:variant>
        <vt:i4>0</vt:i4>
      </vt:variant>
      <vt:variant>
        <vt:i4>5</vt:i4>
      </vt:variant>
      <vt:variant>
        <vt:lpwstr/>
      </vt:variant>
      <vt:variant>
        <vt:lpwstr>_Toc177127968</vt:lpwstr>
      </vt:variant>
      <vt:variant>
        <vt:i4>1048637</vt:i4>
      </vt:variant>
      <vt:variant>
        <vt:i4>80</vt:i4>
      </vt:variant>
      <vt:variant>
        <vt:i4>0</vt:i4>
      </vt:variant>
      <vt:variant>
        <vt:i4>5</vt:i4>
      </vt:variant>
      <vt:variant>
        <vt:lpwstr/>
      </vt:variant>
      <vt:variant>
        <vt:lpwstr>_Toc177127967</vt:lpwstr>
      </vt:variant>
      <vt:variant>
        <vt:i4>1048637</vt:i4>
      </vt:variant>
      <vt:variant>
        <vt:i4>74</vt:i4>
      </vt:variant>
      <vt:variant>
        <vt:i4>0</vt:i4>
      </vt:variant>
      <vt:variant>
        <vt:i4>5</vt:i4>
      </vt:variant>
      <vt:variant>
        <vt:lpwstr/>
      </vt:variant>
      <vt:variant>
        <vt:lpwstr>_Toc177127966</vt:lpwstr>
      </vt:variant>
      <vt:variant>
        <vt:i4>1048637</vt:i4>
      </vt:variant>
      <vt:variant>
        <vt:i4>68</vt:i4>
      </vt:variant>
      <vt:variant>
        <vt:i4>0</vt:i4>
      </vt:variant>
      <vt:variant>
        <vt:i4>5</vt:i4>
      </vt:variant>
      <vt:variant>
        <vt:lpwstr/>
      </vt:variant>
      <vt:variant>
        <vt:lpwstr>_Toc177127965</vt:lpwstr>
      </vt:variant>
      <vt:variant>
        <vt:i4>1048637</vt:i4>
      </vt:variant>
      <vt:variant>
        <vt:i4>62</vt:i4>
      </vt:variant>
      <vt:variant>
        <vt:i4>0</vt:i4>
      </vt:variant>
      <vt:variant>
        <vt:i4>5</vt:i4>
      </vt:variant>
      <vt:variant>
        <vt:lpwstr/>
      </vt:variant>
      <vt:variant>
        <vt:lpwstr>_Toc177127964</vt:lpwstr>
      </vt:variant>
      <vt:variant>
        <vt:i4>1048637</vt:i4>
      </vt:variant>
      <vt:variant>
        <vt:i4>56</vt:i4>
      </vt:variant>
      <vt:variant>
        <vt:i4>0</vt:i4>
      </vt:variant>
      <vt:variant>
        <vt:i4>5</vt:i4>
      </vt:variant>
      <vt:variant>
        <vt:lpwstr/>
      </vt:variant>
      <vt:variant>
        <vt:lpwstr>_Toc177127963</vt:lpwstr>
      </vt:variant>
      <vt:variant>
        <vt:i4>1048637</vt:i4>
      </vt:variant>
      <vt:variant>
        <vt:i4>50</vt:i4>
      </vt:variant>
      <vt:variant>
        <vt:i4>0</vt:i4>
      </vt:variant>
      <vt:variant>
        <vt:i4>5</vt:i4>
      </vt:variant>
      <vt:variant>
        <vt:lpwstr/>
      </vt:variant>
      <vt:variant>
        <vt:lpwstr>_Toc177127962</vt:lpwstr>
      </vt:variant>
      <vt:variant>
        <vt:i4>1048637</vt:i4>
      </vt:variant>
      <vt:variant>
        <vt:i4>44</vt:i4>
      </vt:variant>
      <vt:variant>
        <vt:i4>0</vt:i4>
      </vt:variant>
      <vt:variant>
        <vt:i4>5</vt:i4>
      </vt:variant>
      <vt:variant>
        <vt:lpwstr/>
      </vt:variant>
      <vt:variant>
        <vt:lpwstr>_Toc177127961</vt:lpwstr>
      </vt:variant>
      <vt:variant>
        <vt:i4>1048637</vt:i4>
      </vt:variant>
      <vt:variant>
        <vt:i4>38</vt:i4>
      </vt:variant>
      <vt:variant>
        <vt:i4>0</vt:i4>
      </vt:variant>
      <vt:variant>
        <vt:i4>5</vt:i4>
      </vt:variant>
      <vt:variant>
        <vt:lpwstr/>
      </vt:variant>
      <vt:variant>
        <vt:lpwstr>_Toc177127960</vt:lpwstr>
      </vt:variant>
      <vt:variant>
        <vt:i4>1245245</vt:i4>
      </vt:variant>
      <vt:variant>
        <vt:i4>32</vt:i4>
      </vt:variant>
      <vt:variant>
        <vt:i4>0</vt:i4>
      </vt:variant>
      <vt:variant>
        <vt:i4>5</vt:i4>
      </vt:variant>
      <vt:variant>
        <vt:lpwstr/>
      </vt:variant>
      <vt:variant>
        <vt:lpwstr>_Toc177127959</vt:lpwstr>
      </vt:variant>
      <vt:variant>
        <vt:i4>1245245</vt:i4>
      </vt:variant>
      <vt:variant>
        <vt:i4>26</vt:i4>
      </vt:variant>
      <vt:variant>
        <vt:i4>0</vt:i4>
      </vt:variant>
      <vt:variant>
        <vt:i4>5</vt:i4>
      </vt:variant>
      <vt:variant>
        <vt:lpwstr/>
      </vt:variant>
      <vt:variant>
        <vt:lpwstr>_Toc177127958</vt:lpwstr>
      </vt:variant>
      <vt:variant>
        <vt:i4>1245245</vt:i4>
      </vt:variant>
      <vt:variant>
        <vt:i4>20</vt:i4>
      </vt:variant>
      <vt:variant>
        <vt:i4>0</vt:i4>
      </vt:variant>
      <vt:variant>
        <vt:i4>5</vt:i4>
      </vt:variant>
      <vt:variant>
        <vt:lpwstr/>
      </vt:variant>
      <vt:variant>
        <vt:lpwstr>_Toc177127957</vt:lpwstr>
      </vt:variant>
      <vt:variant>
        <vt:i4>1245245</vt:i4>
      </vt:variant>
      <vt:variant>
        <vt:i4>14</vt:i4>
      </vt:variant>
      <vt:variant>
        <vt:i4>0</vt:i4>
      </vt:variant>
      <vt:variant>
        <vt:i4>5</vt:i4>
      </vt:variant>
      <vt:variant>
        <vt:lpwstr/>
      </vt:variant>
      <vt:variant>
        <vt:lpwstr>_Toc177127956</vt:lpwstr>
      </vt:variant>
      <vt:variant>
        <vt:i4>1245245</vt:i4>
      </vt:variant>
      <vt:variant>
        <vt:i4>8</vt:i4>
      </vt:variant>
      <vt:variant>
        <vt:i4>0</vt:i4>
      </vt:variant>
      <vt:variant>
        <vt:i4>5</vt:i4>
      </vt:variant>
      <vt:variant>
        <vt:lpwstr/>
      </vt:variant>
      <vt:variant>
        <vt:lpwstr>_Toc177127955</vt:lpwstr>
      </vt:variant>
      <vt:variant>
        <vt:i4>1245245</vt:i4>
      </vt:variant>
      <vt:variant>
        <vt:i4>2</vt:i4>
      </vt:variant>
      <vt:variant>
        <vt:i4>0</vt:i4>
      </vt:variant>
      <vt:variant>
        <vt:i4>5</vt:i4>
      </vt:variant>
      <vt:variant>
        <vt:lpwstr/>
      </vt:variant>
      <vt:variant>
        <vt:lpwstr>_Toc177127954</vt:lpwstr>
      </vt:variant>
      <vt:variant>
        <vt:i4>3145779</vt:i4>
      </vt:variant>
      <vt:variant>
        <vt:i4>330</vt:i4>
      </vt:variant>
      <vt:variant>
        <vt:i4>0</vt:i4>
      </vt:variant>
      <vt:variant>
        <vt:i4>5</vt:i4>
      </vt:variant>
      <vt:variant>
        <vt:lpwstr>https://bit.ly/3X6iP7j</vt:lpwstr>
      </vt:variant>
      <vt:variant>
        <vt:lpwstr/>
      </vt:variant>
      <vt:variant>
        <vt:i4>3342397</vt:i4>
      </vt:variant>
      <vt:variant>
        <vt:i4>327</vt:i4>
      </vt:variant>
      <vt:variant>
        <vt:i4>0</vt:i4>
      </vt:variant>
      <vt:variant>
        <vt:i4>5</vt:i4>
      </vt:variant>
      <vt:variant>
        <vt:lpwstr>https://bit.ly/4g1za5X</vt:lpwstr>
      </vt:variant>
      <vt:variant>
        <vt:lpwstr/>
      </vt:variant>
      <vt:variant>
        <vt:i4>2097254</vt:i4>
      </vt:variant>
      <vt:variant>
        <vt:i4>324</vt:i4>
      </vt:variant>
      <vt:variant>
        <vt:i4>0</vt:i4>
      </vt:variant>
      <vt:variant>
        <vt:i4>5</vt:i4>
      </vt:variant>
      <vt:variant>
        <vt:lpwstr>https://rm.coe.int/pdf-english-final-shadow-report-13022023/1680aa2e44</vt:lpwstr>
      </vt:variant>
      <vt:variant>
        <vt:lpwstr/>
      </vt:variant>
      <vt:variant>
        <vt:i4>2621542</vt:i4>
      </vt:variant>
      <vt:variant>
        <vt:i4>321</vt:i4>
      </vt:variant>
      <vt:variant>
        <vt:i4>0</vt:i4>
      </vt:variant>
      <vt:variant>
        <vt:i4>5</vt:i4>
      </vt:variant>
      <vt:variant>
        <vt:lpwstr>https://bit.ly/3z3ljeM</vt:lpwstr>
      </vt:variant>
      <vt:variant>
        <vt:lpwstr/>
      </vt:variant>
      <vt:variant>
        <vt:i4>7209063</vt:i4>
      </vt:variant>
      <vt:variant>
        <vt:i4>318</vt:i4>
      </vt:variant>
      <vt:variant>
        <vt:i4>0</vt:i4>
      </vt:variant>
      <vt:variant>
        <vt:i4>5</vt:i4>
      </vt:variant>
      <vt:variant>
        <vt:lpwstr>https://bit.ly/3Tcqhwy</vt:lpwstr>
      </vt:variant>
      <vt:variant>
        <vt:lpwstr/>
      </vt:variant>
      <vt:variant>
        <vt:i4>8323171</vt:i4>
      </vt:variant>
      <vt:variant>
        <vt:i4>315</vt:i4>
      </vt:variant>
      <vt:variant>
        <vt:i4>0</vt:i4>
      </vt:variant>
      <vt:variant>
        <vt:i4>5</vt:i4>
      </vt:variant>
      <vt:variant>
        <vt:lpwstr>https://www.mfrr.eu/controlling-the-message-challenges-for-independent-reporting-in-greece/</vt:lpwstr>
      </vt:variant>
      <vt:variant>
        <vt:lpwstr/>
      </vt:variant>
      <vt:variant>
        <vt:i4>7209063</vt:i4>
      </vt:variant>
      <vt:variant>
        <vt:i4>312</vt:i4>
      </vt:variant>
      <vt:variant>
        <vt:i4>0</vt:i4>
      </vt:variant>
      <vt:variant>
        <vt:i4>5</vt:i4>
      </vt:variant>
      <vt:variant>
        <vt:lpwstr>https://bit.ly/3Tcqhwy</vt:lpwstr>
      </vt:variant>
      <vt:variant>
        <vt:lpwstr/>
      </vt:variant>
      <vt:variant>
        <vt:i4>7209063</vt:i4>
      </vt:variant>
      <vt:variant>
        <vt:i4>309</vt:i4>
      </vt:variant>
      <vt:variant>
        <vt:i4>0</vt:i4>
      </vt:variant>
      <vt:variant>
        <vt:i4>5</vt:i4>
      </vt:variant>
      <vt:variant>
        <vt:lpwstr>https://bit.ly/3Tcqhwy</vt:lpwstr>
      </vt:variant>
      <vt:variant>
        <vt:lpwstr/>
      </vt:variant>
      <vt:variant>
        <vt:i4>8192050</vt:i4>
      </vt:variant>
      <vt:variant>
        <vt:i4>306</vt:i4>
      </vt:variant>
      <vt:variant>
        <vt:i4>0</vt:i4>
      </vt:variant>
      <vt:variant>
        <vt:i4>5</vt:i4>
      </vt:variant>
      <vt:variant>
        <vt:lpwstr>https://bit.ly/31HQbgk</vt:lpwstr>
      </vt:variant>
      <vt:variant>
        <vt:lpwstr/>
      </vt:variant>
      <vt:variant>
        <vt:i4>6946916</vt:i4>
      </vt:variant>
      <vt:variant>
        <vt:i4>303</vt:i4>
      </vt:variant>
      <vt:variant>
        <vt:i4>0</vt:i4>
      </vt:variant>
      <vt:variant>
        <vt:i4>5</vt:i4>
      </vt:variant>
      <vt:variant>
        <vt:lpwstr>https://bit.ly/4dJwmbV</vt:lpwstr>
      </vt:variant>
      <vt:variant>
        <vt:lpwstr/>
      </vt:variant>
      <vt:variant>
        <vt:i4>7536758</vt:i4>
      </vt:variant>
      <vt:variant>
        <vt:i4>300</vt:i4>
      </vt:variant>
      <vt:variant>
        <vt:i4>0</vt:i4>
      </vt:variant>
      <vt:variant>
        <vt:i4>5</vt:i4>
      </vt:variant>
      <vt:variant>
        <vt:lpwstr>http://www.amnesty.org/en/location/europe-and-central-asia/western-central-and-south-eastern-europe/greece/</vt:lpwstr>
      </vt:variant>
      <vt:variant>
        <vt:lpwstr/>
      </vt:variant>
      <vt:variant>
        <vt:i4>5963789</vt:i4>
      </vt:variant>
      <vt:variant>
        <vt:i4>297</vt:i4>
      </vt:variant>
      <vt:variant>
        <vt:i4>0</vt:i4>
      </vt:variant>
      <vt:variant>
        <vt:i4>5</vt:i4>
      </vt:variant>
      <vt:variant>
        <vt:lpwstr>https://spcommreports.ohchr.org/TMResultsBase/DownLoadPublicCommunicationFile?gId=26314.</vt:lpwstr>
      </vt:variant>
      <vt:variant>
        <vt:lpwstr/>
      </vt:variant>
      <vt:variant>
        <vt:i4>3801130</vt:i4>
      </vt:variant>
      <vt:variant>
        <vt:i4>294</vt:i4>
      </vt:variant>
      <vt:variant>
        <vt:i4>0</vt:i4>
      </vt:variant>
      <vt:variant>
        <vt:i4>5</vt:i4>
      </vt:variant>
      <vt:variant>
        <vt:lpwstr>https://rm.coe.int/expert-council-conf-exp2020-5-addendum-to-the-opinion-on-the-compatib/1680a076f2</vt:lpwstr>
      </vt:variant>
      <vt:variant>
        <vt:lpwstr/>
      </vt:variant>
      <vt:variant>
        <vt:i4>6946870</vt:i4>
      </vt:variant>
      <vt:variant>
        <vt:i4>291</vt:i4>
      </vt:variant>
      <vt:variant>
        <vt:i4>0</vt:i4>
      </vt:variant>
      <vt:variant>
        <vt:i4>5</vt:i4>
      </vt:variant>
      <vt:variant>
        <vt:lpwstr>https://rm.coe.int/expert-council-conf-exp-2020-4-opinion-ngo-registrationgreece/16809ee91d</vt:lpwstr>
      </vt:variant>
      <vt:variant>
        <vt:lpwstr/>
      </vt:variant>
      <vt:variant>
        <vt:i4>2687069</vt:i4>
      </vt:variant>
      <vt:variant>
        <vt:i4>288</vt:i4>
      </vt:variant>
      <vt:variant>
        <vt:i4>0</vt:i4>
      </vt:variant>
      <vt:variant>
        <vt:i4>5</vt:i4>
      </vt:variant>
      <vt:variant>
        <vt:lpwstr>https://asylumineurope.org/wp-content/uploads/2024/06/AIDA-GR_2023-Update.pdf</vt:lpwstr>
      </vt:variant>
      <vt:variant>
        <vt:lpwstr/>
      </vt:variant>
      <vt:variant>
        <vt:i4>6357043</vt:i4>
      </vt:variant>
      <vt:variant>
        <vt:i4>285</vt:i4>
      </vt:variant>
      <vt:variant>
        <vt:i4>0</vt:i4>
      </vt:variant>
      <vt:variant>
        <vt:i4>5</vt:i4>
      </vt:variant>
      <vt:variant>
        <vt:lpwstr>https://www.kodiko.gr/nomothesia/document/680342/yp.-apofasi-10616-2020</vt:lpwstr>
      </vt:variant>
      <vt:variant>
        <vt:lpwstr/>
      </vt:variant>
      <vt:variant>
        <vt:i4>7471139</vt:i4>
      </vt:variant>
      <vt:variant>
        <vt:i4>282</vt:i4>
      </vt:variant>
      <vt:variant>
        <vt:i4>0</vt:i4>
      </vt:variant>
      <vt:variant>
        <vt:i4>5</vt:i4>
      </vt:variant>
      <vt:variant>
        <vt:lpwstr>https://www.kodiko.gr/nomothesia/document/678034/yp.-apofasi-3063-2020</vt:lpwstr>
      </vt:variant>
      <vt:variant>
        <vt:lpwstr/>
      </vt:variant>
      <vt:variant>
        <vt:i4>5701657</vt:i4>
      </vt:variant>
      <vt:variant>
        <vt:i4>279</vt:i4>
      </vt:variant>
      <vt:variant>
        <vt:i4>0</vt:i4>
      </vt:variant>
      <vt:variant>
        <vt:i4>5</vt:i4>
      </vt:variant>
      <vt:variant>
        <vt:lpwstr>https://www.unhcr.org/gr/en/57973-rvrn-attack-in-thessaloniki-lgbtqi.html</vt:lpwstr>
      </vt:variant>
      <vt:variant>
        <vt:lpwstr/>
      </vt:variant>
      <vt:variant>
        <vt:i4>6881314</vt:i4>
      </vt:variant>
      <vt:variant>
        <vt:i4>276</vt:i4>
      </vt:variant>
      <vt:variant>
        <vt:i4>0</vt:i4>
      </vt:variant>
      <vt:variant>
        <vt:i4>5</vt:i4>
      </vt:variant>
      <vt:variant>
        <vt:lpwstr>https://tgender.gr/deltio-typoy-to-syd-kalei-tin-politei-2/</vt:lpwstr>
      </vt:variant>
      <vt:variant>
        <vt:lpwstr/>
      </vt:variant>
      <vt:variant>
        <vt:i4>6225986</vt:i4>
      </vt:variant>
      <vt:variant>
        <vt:i4>273</vt:i4>
      </vt:variant>
      <vt:variant>
        <vt:i4>0</vt:i4>
      </vt:variant>
      <vt:variant>
        <vt:i4>5</vt:i4>
      </vt:variant>
      <vt:variant>
        <vt:lpwstr>https://icd.who.int/browse/2024-01/mms/en</vt:lpwstr>
      </vt:variant>
      <vt:variant>
        <vt:lpwstr>411470068</vt:lpwstr>
      </vt:variant>
      <vt:variant>
        <vt:i4>2818163</vt:i4>
      </vt:variant>
      <vt:variant>
        <vt:i4>270</vt:i4>
      </vt:variant>
      <vt:variant>
        <vt:i4>0</vt:i4>
      </vt:variant>
      <vt:variant>
        <vt:i4>5</vt:i4>
      </vt:variant>
      <vt:variant>
        <vt:lpwstr>https://icd.who.int/browse10/2019/en</vt:lpwstr>
      </vt:variant>
      <vt:variant>
        <vt:lpwstr>/F64.0</vt:lpwstr>
      </vt:variant>
      <vt:variant>
        <vt:i4>3670132</vt:i4>
      </vt:variant>
      <vt:variant>
        <vt:i4>267</vt:i4>
      </vt:variant>
      <vt:variant>
        <vt:i4>0</vt:i4>
      </vt:variant>
      <vt:variant>
        <vt:i4>5</vt:i4>
      </vt:variant>
      <vt:variant>
        <vt:lpwstr>https://www.ilga-europe.org/report/annual-review-2024/</vt:lpwstr>
      </vt:variant>
      <vt:variant>
        <vt:lpwstr/>
      </vt:variant>
      <vt:variant>
        <vt:i4>3604599</vt:i4>
      </vt:variant>
      <vt:variant>
        <vt:i4>264</vt:i4>
      </vt:variant>
      <vt:variant>
        <vt:i4>0</vt:i4>
      </vt:variant>
      <vt:variant>
        <vt:i4>5</vt:i4>
      </vt:variant>
      <vt:variant>
        <vt:lpwstr>https://www.thepinknews.com/2022/07/22/greece-intersex-surgey-ban-children/</vt:lpwstr>
      </vt:variant>
      <vt:variant>
        <vt:lpwstr/>
      </vt:variant>
      <vt:variant>
        <vt:i4>2031689</vt:i4>
      </vt:variant>
      <vt:variant>
        <vt:i4>261</vt:i4>
      </vt:variant>
      <vt:variant>
        <vt:i4>0</vt:i4>
      </vt:variant>
      <vt:variant>
        <vt:i4>5</vt:i4>
      </vt:variant>
      <vt:variant>
        <vt:lpwstr>https://rvrn.org/el/etisia-ekthesi-2023/</vt:lpwstr>
      </vt:variant>
      <vt:variant>
        <vt:lpwstr/>
      </vt:variant>
      <vt:variant>
        <vt:i4>6488160</vt:i4>
      </vt:variant>
      <vt:variant>
        <vt:i4>258</vt:i4>
      </vt:variant>
      <vt:variant>
        <vt:i4>0</vt:i4>
      </vt:variant>
      <vt:variant>
        <vt:i4>5</vt:i4>
      </vt:variant>
      <vt:variant>
        <vt:lpwstr>https://rvrn.org/en/annual-report-2022/</vt:lpwstr>
      </vt:variant>
      <vt:variant>
        <vt:lpwstr/>
      </vt:variant>
      <vt:variant>
        <vt:i4>2031626</vt:i4>
      </vt:variant>
      <vt:variant>
        <vt:i4>255</vt:i4>
      </vt:variant>
      <vt:variant>
        <vt:i4>0</vt:i4>
      </vt:variant>
      <vt:variant>
        <vt:i4>5</vt:i4>
      </vt:variant>
      <vt:variant>
        <vt:lpwstr>https://www.amnesty.org/en/documents/eur25/7656/2024/en/;</vt:lpwstr>
      </vt:variant>
      <vt:variant>
        <vt:lpwstr/>
      </vt:variant>
      <vt:variant>
        <vt:i4>6357101</vt:i4>
      </vt:variant>
      <vt:variant>
        <vt:i4>252</vt:i4>
      </vt:variant>
      <vt:variant>
        <vt:i4>0</vt:i4>
      </vt:variant>
      <vt:variant>
        <vt:i4>5</vt:i4>
      </vt:variant>
      <vt:variant>
        <vt:lpwstr>https://www.amnesty.org/en/latest/news/2024/02/greece-same-sex-marriage-recognition-key-milestone-in-fight-against-homophobia-and-transphobia/</vt:lpwstr>
      </vt:variant>
      <vt:variant>
        <vt:lpwstr/>
      </vt:variant>
      <vt:variant>
        <vt:i4>131079</vt:i4>
      </vt:variant>
      <vt:variant>
        <vt:i4>249</vt:i4>
      </vt:variant>
      <vt:variant>
        <vt:i4>0</vt:i4>
      </vt:variant>
      <vt:variant>
        <vt:i4>5</vt:i4>
      </vt:variant>
      <vt:variant>
        <vt:lpwstr>https://www.bbc.co.uk/news/world-europe-68310126</vt:lpwstr>
      </vt:variant>
      <vt:variant>
        <vt:lpwstr/>
      </vt:variant>
      <vt:variant>
        <vt:i4>2162794</vt:i4>
      </vt:variant>
      <vt:variant>
        <vt:i4>246</vt:i4>
      </vt:variant>
      <vt:variant>
        <vt:i4>0</vt:i4>
      </vt:variant>
      <vt:variant>
        <vt:i4>5</vt:i4>
      </vt:variant>
      <vt:variant>
        <vt:lpwstr>https://bit.ly/4e8mzwx</vt:lpwstr>
      </vt:variant>
      <vt:variant>
        <vt:lpwstr/>
      </vt:variant>
      <vt:variant>
        <vt:i4>7274614</vt:i4>
      </vt:variant>
      <vt:variant>
        <vt:i4>243</vt:i4>
      </vt:variant>
      <vt:variant>
        <vt:i4>0</vt:i4>
      </vt:variant>
      <vt:variant>
        <vt:i4>5</vt:i4>
      </vt:variant>
      <vt:variant>
        <vt:lpwstr>https://bit.ly/3AN2m0p</vt:lpwstr>
      </vt:variant>
      <vt:variant>
        <vt:lpwstr/>
      </vt:variant>
      <vt:variant>
        <vt:i4>7274614</vt:i4>
      </vt:variant>
      <vt:variant>
        <vt:i4>240</vt:i4>
      </vt:variant>
      <vt:variant>
        <vt:i4>0</vt:i4>
      </vt:variant>
      <vt:variant>
        <vt:i4>5</vt:i4>
      </vt:variant>
      <vt:variant>
        <vt:lpwstr>https://bit.ly/3AN2m0p</vt:lpwstr>
      </vt:variant>
      <vt:variant>
        <vt:lpwstr/>
      </vt:variant>
      <vt:variant>
        <vt:i4>2162794</vt:i4>
      </vt:variant>
      <vt:variant>
        <vt:i4>237</vt:i4>
      </vt:variant>
      <vt:variant>
        <vt:i4>0</vt:i4>
      </vt:variant>
      <vt:variant>
        <vt:i4>5</vt:i4>
      </vt:variant>
      <vt:variant>
        <vt:lpwstr>https://bit.ly/4e8mzwx</vt:lpwstr>
      </vt:variant>
      <vt:variant>
        <vt:lpwstr/>
      </vt:variant>
      <vt:variant>
        <vt:i4>2752626</vt:i4>
      </vt:variant>
      <vt:variant>
        <vt:i4>234</vt:i4>
      </vt:variant>
      <vt:variant>
        <vt:i4>0</vt:i4>
      </vt:variant>
      <vt:variant>
        <vt:i4>5</vt:i4>
      </vt:variant>
      <vt:variant>
        <vt:lpwstr>https://bit.ly/47g40DF</vt:lpwstr>
      </vt:variant>
      <vt:variant>
        <vt:lpwstr/>
      </vt:variant>
      <vt:variant>
        <vt:i4>8192117</vt:i4>
      </vt:variant>
      <vt:variant>
        <vt:i4>231</vt:i4>
      </vt:variant>
      <vt:variant>
        <vt:i4>0</vt:i4>
      </vt:variant>
      <vt:variant>
        <vt:i4>5</vt:i4>
      </vt:variant>
      <vt:variant>
        <vt:lpwstr>https://bit.ly/47g3WDV</vt:lpwstr>
      </vt:variant>
      <vt:variant>
        <vt:lpwstr/>
      </vt:variant>
      <vt:variant>
        <vt:i4>2687024</vt:i4>
      </vt:variant>
      <vt:variant>
        <vt:i4>228</vt:i4>
      </vt:variant>
      <vt:variant>
        <vt:i4>0</vt:i4>
      </vt:variant>
      <vt:variant>
        <vt:i4>5</vt:i4>
      </vt:variant>
      <vt:variant>
        <vt:lpwstr>https://undocs.org/A/HRC/41/23</vt:lpwstr>
      </vt:variant>
      <vt:variant>
        <vt:lpwstr/>
      </vt:variant>
      <vt:variant>
        <vt:i4>1769486</vt:i4>
      </vt:variant>
      <vt:variant>
        <vt:i4>225</vt:i4>
      </vt:variant>
      <vt:variant>
        <vt:i4>0</vt:i4>
      </vt:variant>
      <vt:variant>
        <vt:i4>5</vt:i4>
      </vt:variant>
      <vt:variant>
        <vt:lpwstr>https://undocs.org/en/CCPR/C/GRC/CO/2</vt:lpwstr>
      </vt:variant>
      <vt:variant>
        <vt:lpwstr/>
      </vt:variant>
      <vt:variant>
        <vt:i4>8126590</vt:i4>
      </vt:variant>
      <vt:variant>
        <vt:i4>222</vt:i4>
      </vt:variant>
      <vt:variant>
        <vt:i4>0</vt:i4>
      </vt:variant>
      <vt:variant>
        <vt:i4>5</vt:i4>
      </vt:variant>
      <vt:variant>
        <vt:lpwstr>https://bit.ly/3XgvQev</vt:lpwstr>
      </vt:variant>
      <vt:variant>
        <vt:lpwstr/>
      </vt:variant>
      <vt:variant>
        <vt:i4>7733309</vt:i4>
      </vt:variant>
      <vt:variant>
        <vt:i4>219</vt:i4>
      </vt:variant>
      <vt:variant>
        <vt:i4>0</vt:i4>
      </vt:variant>
      <vt:variant>
        <vt:i4>5</vt:i4>
      </vt:variant>
      <vt:variant>
        <vt:lpwstr>https://spcommreports.ohchr.org/TMResultsBase/DownLoadPublicCommunicationFile?gId=24700</vt:lpwstr>
      </vt:variant>
      <vt:variant>
        <vt:lpwstr/>
      </vt:variant>
      <vt:variant>
        <vt:i4>2621465</vt:i4>
      </vt:variant>
      <vt:variant>
        <vt:i4>216</vt:i4>
      </vt:variant>
      <vt:variant>
        <vt:i4>0</vt:i4>
      </vt:variant>
      <vt:variant>
        <vt:i4>5</vt:i4>
      </vt:variant>
      <vt:variant>
        <vt:lpwstr>http://www.nchr.gr/images/pdf/apofaseis/antirisies_suneidisis/Submission of the GNCHR to the quadrennial analytical report 2017.pdf</vt:lpwstr>
      </vt:variant>
      <vt:variant>
        <vt:lpwstr/>
      </vt:variant>
      <vt:variant>
        <vt:i4>4456451</vt:i4>
      </vt:variant>
      <vt:variant>
        <vt:i4>213</vt:i4>
      </vt:variant>
      <vt:variant>
        <vt:i4>0</vt:i4>
      </vt:variant>
      <vt:variant>
        <vt:i4>5</vt:i4>
      </vt:variant>
      <vt:variant>
        <vt:lpwstr>https://www.synigoros.gr/?i=human-rights.el.danews.345630</vt:lpwstr>
      </vt:variant>
      <vt:variant>
        <vt:lpwstr/>
      </vt:variant>
      <vt:variant>
        <vt:i4>1572865</vt:i4>
      </vt:variant>
      <vt:variant>
        <vt:i4>210</vt:i4>
      </vt:variant>
      <vt:variant>
        <vt:i4>0</vt:i4>
      </vt:variant>
      <vt:variant>
        <vt:i4>5</vt:i4>
      </vt:variant>
      <vt:variant>
        <vt:lpwstr>https://www.amnesty.org/en/documents/eur25/0088/2019/en/</vt:lpwstr>
      </vt:variant>
      <vt:variant>
        <vt:lpwstr/>
      </vt:variant>
      <vt:variant>
        <vt:i4>5308416</vt:i4>
      </vt:variant>
      <vt:variant>
        <vt:i4>207</vt:i4>
      </vt:variant>
      <vt:variant>
        <vt:i4>0</vt:i4>
      </vt:variant>
      <vt:variant>
        <vt:i4>5</vt:i4>
      </vt:variant>
      <vt:variant>
        <vt:lpwstr>http://www.undocs.org/E/C.12/GRC/CO/2</vt:lpwstr>
      </vt:variant>
      <vt:variant>
        <vt:lpwstr/>
      </vt:variant>
      <vt:variant>
        <vt:i4>6946853</vt:i4>
      </vt:variant>
      <vt:variant>
        <vt:i4>204</vt:i4>
      </vt:variant>
      <vt:variant>
        <vt:i4>0</vt:i4>
      </vt:variant>
      <vt:variant>
        <vt:i4>5</vt:i4>
      </vt:variant>
      <vt:variant>
        <vt:lpwstr>http://www.undocs.org/E/C.12/GRC/Q/2/Add.1</vt:lpwstr>
      </vt:variant>
      <vt:variant>
        <vt:lpwstr/>
      </vt:variant>
      <vt:variant>
        <vt:i4>1769482</vt:i4>
      </vt:variant>
      <vt:variant>
        <vt:i4>201</vt:i4>
      </vt:variant>
      <vt:variant>
        <vt:i4>0</vt:i4>
      </vt:variant>
      <vt:variant>
        <vt:i4>5</vt:i4>
      </vt:variant>
      <vt:variant>
        <vt:lpwstr>https://www.amnesty.org/en/documents/eur25/4777/2021/en/</vt:lpwstr>
      </vt:variant>
      <vt:variant>
        <vt:lpwstr/>
      </vt:variant>
      <vt:variant>
        <vt:i4>2687024</vt:i4>
      </vt:variant>
      <vt:variant>
        <vt:i4>198</vt:i4>
      </vt:variant>
      <vt:variant>
        <vt:i4>0</vt:i4>
      </vt:variant>
      <vt:variant>
        <vt:i4>5</vt:i4>
      </vt:variant>
      <vt:variant>
        <vt:lpwstr>https://undocs.org/A/HRC/41/23</vt:lpwstr>
      </vt:variant>
      <vt:variant>
        <vt:lpwstr/>
      </vt:variant>
      <vt:variant>
        <vt:i4>7733309</vt:i4>
      </vt:variant>
      <vt:variant>
        <vt:i4>195</vt:i4>
      </vt:variant>
      <vt:variant>
        <vt:i4>0</vt:i4>
      </vt:variant>
      <vt:variant>
        <vt:i4>5</vt:i4>
      </vt:variant>
      <vt:variant>
        <vt:lpwstr>https://spcommreports.ohchr.org/TMResultsBase/DownLoadPublicCommunicationFile?gId=24700</vt:lpwstr>
      </vt:variant>
      <vt:variant>
        <vt:lpwstr/>
      </vt:variant>
      <vt:variant>
        <vt:i4>1572865</vt:i4>
      </vt:variant>
      <vt:variant>
        <vt:i4>192</vt:i4>
      </vt:variant>
      <vt:variant>
        <vt:i4>0</vt:i4>
      </vt:variant>
      <vt:variant>
        <vt:i4>5</vt:i4>
      </vt:variant>
      <vt:variant>
        <vt:lpwstr>https://www.amnesty.org/en/documents/eur25/0088/2019/en/</vt:lpwstr>
      </vt:variant>
      <vt:variant>
        <vt:lpwstr/>
      </vt:variant>
      <vt:variant>
        <vt:i4>7733309</vt:i4>
      </vt:variant>
      <vt:variant>
        <vt:i4>189</vt:i4>
      </vt:variant>
      <vt:variant>
        <vt:i4>0</vt:i4>
      </vt:variant>
      <vt:variant>
        <vt:i4>5</vt:i4>
      </vt:variant>
      <vt:variant>
        <vt:lpwstr>https://spcommreports.ohchr.org/TMResultsBase/DownLoadPublicCommunicationFile?gId=24700</vt:lpwstr>
      </vt:variant>
      <vt:variant>
        <vt:lpwstr/>
      </vt:variant>
      <vt:variant>
        <vt:i4>2687024</vt:i4>
      </vt:variant>
      <vt:variant>
        <vt:i4>186</vt:i4>
      </vt:variant>
      <vt:variant>
        <vt:i4>0</vt:i4>
      </vt:variant>
      <vt:variant>
        <vt:i4>5</vt:i4>
      </vt:variant>
      <vt:variant>
        <vt:lpwstr>https://undocs.org/A/HRC/41/23</vt:lpwstr>
      </vt:variant>
      <vt:variant>
        <vt:lpwstr/>
      </vt:variant>
      <vt:variant>
        <vt:i4>4456454</vt:i4>
      </vt:variant>
      <vt:variant>
        <vt:i4>183</vt:i4>
      </vt:variant>
      <vt:variant>
        <vt:i4>0</vt:i4>
      </vt:variant>
      <vt:variant>
        <vt:i4>5</vt:i4>
      </vt:variant>
      <vt:variant>
        <vt:lpwstr>https://www.undocs.org/A/HRC/35/4</vt:lpwstr>
      </vt:variant>
      <vt:variant>
        <vt:lpwstr/>
      </vt:variant>
      <vt:variant>
        <vt:i4>1507353</vt:i4>
      </vt:variant>
      <vt:variant>
        <vt:i4>180</vt:i4>
      </vt:variant>
      <vt:variant>
        <vt:i4>0</vt:i4>
      </vt:variant>
      <vt:variant>
        <vt:i4>5</vt:i4>
      </vt:variant>
      <vt:variant>
        <vt:lpwstr>https://hudoc.esc.coe.int/eng?i=XXI-1/def/GRC/1/2/EN</vt:lpwstr>
      </vt:variant>
      <vt:variant>
        <vt:lpwstr/>
      </vt:variant>
      <vt:variant>
        <vt:i4>7536690</vt:i4>
      </vt:variant>
      <vt:variant>
        <vt:i4>177</vt:i4>
      </vt:variant>
      <vt:variant>
        <vt:i4>0</vt:i4>
      </vt:variant>
      <vt:variant>
        <vt:i4>5</vt:i4>
      </vt:variant>
      <vt:variant>
        <vt:lpwstr>https://spcommreports.ohchr.org/TMResultsBase/DownLoadPublicCommunicationFile?gId=22834</vt:lpwstr>
      </vt:variant>
      <vt:variant>
        <vt:lpwstr/>
      </vt:variant>
      <vt:variant>
        <vt:i4>7798899</vt:i4>
      </vt:variant>
      <vt:variant>
        <vt:i4>174</vt:i4>
      </vt:variant>
      <vt:variant>
        <vt:i4>0</vt:i4>
      </vt:variant>
      <vt:variant>
        <vt:i4>5</vt:i4>
      </vt:variant>
      <vt:variant>
        <vt:lpwstr>https://hudoc.echr.coe.int/eng?i=001-166850</vt:lpwstr>
      </vt:variant>
      <vt:variant>
        <vt:lpwstr/>
      </vt:variant>
      <vt:variant>
        <vt:i4>1179678</vt:i4>
      </vt:variant>
      <vt:variant>
        <vt:i4>171</vt:i4>
      </vt:variant>
      <vt:variant>
        <vt:i4>0</vt:i4>
      </vt:variant>
      <vt:variant>
        <vt:i4>5</vt:i4>
      </vt:variant>
      <vt:variant>
        <vt:lpwstr>https://www.refworld.org/pdfid/57cd5dee4.pdf</vt:lpwstr>
      </vt:variant>
      <vt:variant>
        <vt:lpwstr/>
      </vt:variant>
      <vt:variant>
        <vt:i4>6160402</vt:i4>
      </vt:variant>
      <vt:variant>
        <vt:i4>168</vt:i4>
      </vt:variant>
      <vt:variant>
        <vt:i4>0</vt:i4>
      </vt:variant>
      <vt:variant>
        <vt:i4>5</vt:i4>
      </vt:variant>
      <vt:variant>
        <vt:lpwstr>https://legalcentrelesvos.org/2024/02/01/closure-of-the-pylos-9-investigation-and-rejection-of-requests-for-additional-crucial-evidence/</vt:lpwstr>
      </vt:variant>
      <vt:variant>
        <vt:lpwstr/>
      </vt:variant>
      <vt:variant>
        <vt:i4>4849746</vt:i4>
      </vt:variant>
      <vt:variant>
        <vt:i4>165</vt:i4>
      </vt:variant>
      <vt:variant>
        <vt:i4>0</vt:i4>
      </vt:variant>
      <vt:variant>
        <vt:i4>5</vt:i4>
      </vt:variant>
      <vt:variant>
        <vt:lpwstr>https://www.ieidiseis.gr/ellada/203173/navagio-stin-pylo-vomva-gia-to-limeniko-mas-traviksan-me-sxoini-kai-vythistikame-5-martyries-stin-anakritria-kalamatas</vt:lpwstr>
      </vt:variant>
      <vt:variant>
        <vt:lpwstr/>
      </vt:variant>
      <vt:variant>
        <vt:i4>13</vt:i4>
      </vt:variant>
      <vt:variant>
        <vt:i4>162</vt:i4>
      </vt:variant>
      <vt:variant>
        <vt:i4>0</vt:i4>
      </vt:variant>
      <vt:variant>
        <vt:i4>5</vt:i4>
      </vt:variant>
      <vt:variant>
        <vt:lpwstr>https://wearesolomon.com/mag/format/investigation/under-the-unwatchful-eye-of-the-authorities-deactivated-cameras-dying-in-the-darkest-depths-of-the-mediterranean/</vt:lpwstr>
      </vt:variant>
      <vt:variant>
        <vt:lpwstr>:~:text=A%20collaborative%20investigation%20by%20Solomon,of%20Greek%20and%20European%20authorities</vt:lpwstr>
      </vt:variant>
      <vt:variant>
        <vt:i4>5767180</vt:i4>
      </vt:variant>
      <vt:variant>
        <vt:i4>159</vt:i4>
      </vt:variant>
      <vt:variant>
        <vt:i4>0</vt:i4>
      </vt:variant>
      <vt:variant>
        <vt:i4>5</vt:i4>
      </vt:variant>
      <vt:variant>
        <vt:lpwstr>https://www.lighthousereports.com/investigation/drowning-in-lies/</vt:lpwstr>
      </vt:variant>
      <vt:variant>
        <vt:lpwstr/>
      </vt:variant>
      <vt:variant>
        <vt:i4>6750244</vt:i4>
      </vt:variant>
      <vt:variant>
        <vt:i4>156</vt:i4>
      </vt:variant>
      <vt:variant>
        <vt:i4>0</vt:i4>
      </vt:variant>
      <vt:variant>
        <vt:i4>5</vt:i4>
      </vt:variant>
      <vt:variant>
        <vt:lpwstr>http://www.bbc.co.uk/news/world-europe-65914476</vt:lpwstr>
      </vt:variant>
      <vt:variant>
        <vt:lpwstr/>
      </vt:variant>
      <vt:variant>
        <vt:i4>3080278</vt:i4>
      </vt:variant>
      <vt:variant>
        <vt:i4>153</vt:i4>
      </vt:variant>
      <vt:variant>
        <vt:i4>0</vt:i4>
      </vt:variant>
      <vt:variant>
        <vt:i4>5</vt:i4>
      </vt:variant>
      <vt:variant>
        <vt:lpwstr>https://rsaegean.org/wp-content/uploads/2023/09/RSA_CoastGuard_PostSafi_EN.pdf</vt:lpwstr>
      </vt:variant>
      <vt:variant>
        <vt:lpwstr/>
      </vt:variant>
      <vt:variant>
        <vt:i4>5308439</vt:i4>
      </vt:variant>
      <vt:variant>
        <vt:i4>150</vt:i4>
      </vt:variant>
      <vt:variant>
        <vt:i4>0</vt:i4>
      </vt:variant>
      <vt:variant>
        <vt:i4>5</vt:i4>
      </vt:variant>
      <vt:variant>
        <vt:lpwstr>http://www.spiegel.de/international/europe/new-accusations-against-the-greek-coast-guard-we-thought-they-knew-what-they-were-doing-a-5b7b93b8-9ca0-4889-b52a-e134bbd84f43</vt:lpwstr>
      </vt:variant>
      <vt:variant>
        <vt:lpwstr/>
      </vt:variant>
      <vt:variant>
        <vt:i4>4456459</vt:i4>
      </vt:variant>
      <vt:variant>
        <vt:i4>147</vt:i4>
      </vt:variant>
      <vt:variant>
        <vt:i4>0</vt:i4>
      </vt:variant>
      <vt:variant>
        <vt:i4>5</vt:i4>
      </vt:variant>
      <vt:variant>
        <vt:lpwstr>https://legalcentrelesvos.org/litigation-of-the-legal-centre-lesvos/criminalisation/pylos-9/</vt:lpwstr>
      </vt:variant>
      <vt:variant>
        <vt:lpwstr/>
      </vt:variant>
      <vt:variant>
        <vt:i4>2687069</vt:i4>
      </vt:variant>
      <vt:variant>
        <vt:i4>144</vt:i4>
      </vt:variant>
      <vt:variant>
        <vt:i4>0</vt:i4>
      </vt:variant>
      <vt:variant>
        <vt:i4>5</vt:i4>
      </vt:variant>
      <vt:variant>
        <vt:lpwstr>https://asylumineurope.org/wp-content/uploads/2024/06/AIDA-GR_2023-Update.pdf</vt:lpwstr>
      </vt:variant>
      <vt:variant>
        <vt:lpwstr/>
      </vt:variant>
      <vt:variant>
        <vt:i4>4456571</vt:i4>
      </vt:variant>
      <vt:variant>
        <vt:i4>141</vt:i4>
      </vt:variant>
      <vt:variant>
        <vt:i4>0</vt:i4>
      </vt:variant>
      <vt:variant>
        <vt:i4>5</vt:i4>
      </vt:variant>
      <vt:variant>
        <vt:lpwstr>https://hias.org/wp-content/uploads/greece-comments_deportationbill.pdf</vt:lpwstr>
      </vt:variant>
      <vt:variant>
        <vt:lpwstr/>
      </vt:variant>
      <vt:variant>
        <vt:i4>6815844</vt:i4>
      </vt:variant>
      <vt:variant>
        <vt:i4>138</vt:i4>
      </vt:variant>
      <vt:variant>
        <vt:i4>0</vt:i4>
      </vt:variant>
      <vt:variant>
        <vt:i4>5</vt:i4>
      </vt:variant>
      <vt:variant>
        <vt:lpwstr>https://www.unhcr.org/gr/23069-%cf%80%ce%b1%cf%81%ce%ad%ce%bc%ce%b2%ce%b1%cf%83%ce%b7-%ce%bd%ce%bf%ce%bc%ce%bf%cf%83%cf%87%ce%ad%ce%b4%ce%b9%ce%bf-%ce%b1%cf%80%ce%b5%ce%bb%ce%ac%cf%83%ce%b5%ce%b9%cf%82.html</vt:lpwstr>
      </vt:variant>
      <vt:variant>
        <vt:lpwstr/>
      </vt:variant>
      <vt:variant>
        <vt:i4>7143550</vt:i4>
      </vt:variant>
      <vt:variant>
        <vt:i4>135</vt:i4>
      </vt:variant>
      <vt:variant>
        <vt:i4>0</vt:i4>
      </vt:variant>
      <vt:variant>
        <vt:i4>5</vt:i4>
      </vt:variant>
      <vt:variant>
        <vt:lpwstr>https://www.coe.int/en/web/commissioner/-/greece-s-parliament-should-align-the-deportations-and-return-bill-with-human-rights-standards</vt:lpwstr>
      </vt:variant>
      <vt:variant>
        <vt:lpwstr/>
      </vt:variant>
      <vt:variant>
        <vt:i4>8061025</vt:i4>
      </vt:variant>
      <vt:variant>
        <vt:i4>132</vt:i4>
      </vt:variant>
      <vt:variant>
        <vt:i4>0</vt:i4>
      </vt:variant>
      <vt:variant>
        <vt:i4>5</vt:i4>
      </vt:variant>
      <vt:variant>
        <vt:lpwstr>https://collab.lawspot.gr/sites/default/files/mashup/feka/2021/fek-157-2021.pdf</vt:lpwstr>
      </vt:variant>
      <vt:variant>
        <vt:lpwstr/>
      </vt:variant>
      <vt:variant>
        <vt:i4>4259934</vt:i4>
      </vt:variant>
      <vt:variant>
        <vt:i4>129</vt:i4>
      </vt:variant>
      <vt:variant>
        <vt:i4>0</vt:i4>
      </vt:variant>
      <vt:variant>
        <vt:i4>5</vt:i4>
      </vt:variant>
      <vt:variant>
        <vt:lpwstr>https://rsaegean.org/en/comments-on-the-reform-of-the-international-protection-act-2/</vt:lpwstr>
      </vt:variant>
      <vt:variant>
        <vt:lpwstr/>
      </vt:variant>
      <vt:variant>
        <vt:i4>1048587</vt:i4>
      </vt:variant>
      <vt:variant>
        <vt:i4>126</vt:i4>
      </vt:variant>
      <vt:variant>
        <vt:i4>0</vt:i4>
      </vt:variant>
      <vt:variant>
        <vt:i4>5</vt:i4>
      </vt:variant>
      <vt:variant>
        <vt:lpwstr>https://www.ecoi.net/en/document/2018926.html</vt:lpwstr>
      </vt:variant>
      <vt:variant>
        <vt:lpwstr/>
      </vt:variant>
      <vt:variant>
        <vt:i4>4194355</vt:i4>
      </vt:variant>
      <vt:variant>
        <vt:i4>123</vt:i4>
      </vt:variant>
      <vt:variant>
        <vt:i4>0</vt:i4>
      </vt:variant>
      <vt:variant>
        <vt:i4>5</vt:i4>
      </vt:variant>
      <vt:variant>
        <vt:lpwstr>http://www.amnesty.gr/sites/default/files/eur2551782022english_1.pdf</vt:lpwstr>
      </vt:variant>
      <vt:variant>
        <vt:lpwstr/>
      </vt:variant>
      <vt:variant>
        <vt:i4>3604520</vt:i4>
      </vt:variant>
      <vt:variant>
        <vt:i4>120</vt:i4>
      </vt:variant>
      <vt:variant>
        <vt:i4>0</vt:i4>
      </vt:variant>
      <vt:variant>
        <vt:i4>5</vt:i4>
      </vt:variant>
      <vt:variant>
        <vt:lpwstr>https://asylumineurope.org/reports/country/greece/overview-legal-framework/</vt:lpwstr>
      </vt:variant>
      <vt:variant>
        <vt:lpwstr/>
      </vt:variant>
      <vt:variant>
        <vt:i4>1966081</vt:i4>
      </vt:variant>
      <vt:variant>
        <vt:i4>117</vt:i4>
      </vt:variant>
      <vt:variant>
        <vt:i4>0</vt:i4>
      </vt:variant>
      <vt:variant>
        <vt:i4>5</vt:i4>
      </vt:variant>
      <vt:variant>
        <vt:lpwstr>https://www.amnesty.org/en/documents/eur25/2259/2020/en/</vt:lpwstr>
      </vt:variant>
      <vt:variant>
        <vt:lpwstr/>
      </vt:variant>
      <vt:variant>
        <vt:i4>8323118</vt:i4>
      </vt:variant>
      <vt:variant>
        <vt:i4>114</vt:i4>
      </vt:variant>
      <vt:variant>
        <vt:i4>0</vt:i4>
      </vt:variant>
      <vt:variant>
        <vt:i4>5</vt:i4>
      </vt:variant>
      <vt:variant>
        <vt:lpwstr>http://www.amnesty.org/en/latest/news/2021/12/greece-asylum-seekers-being-illegally-detained-in-new-eu-funded-camp/</vt:lpwstr>
      </vt:variant>
      <vt:variant>
        <vt:lpwstr/>
      </vt:variant>
      <vt:variant>
        <vt:i4>7078003</vt:i4>
      </vt:variant>
      <vt:variant>
        <vt:i4>111</vt:i4>
      </vt:variant>
      <vt:variant>
        <vt:i4>0</vt:i4>
      </vt:variant>
      <vt:variant>
        <vt:i4>5</vt:i4>
      </vt:variant>
      <vt:variant>
        <vt:lpwstr>https://edri.org/our-work/greek-ministry-of-asylum-and-migration-face-a-record-breaking-e175000-fine-for-the-border-management-systems-kentauros-hyperion/</vt:lpwstr>
      </vt:variant>
      <vt:variant>
        <vt:lpwstr/>
      </vt:variant>
      <vt:variant>
        <vt:i4>2949232</vt:i4>
      </vt:variant>
      <vt:variant>
        <vt:i4>108</vt:i4>
      </vt:variant>
      <vt:variant>
        <vt:i4>0</vt:i4>
      </vt:variant>
      <vt:variant>
        <vt:i4>5</vt:i4>
      </vt:variant>
      <vt:variant>
        <vt:lpwstr>https://rsaegean.org/en/ccac-aegean-islands-greece/</vt:lpwstr>
      </vt:variant>
      <vt:variant>
        <vt:lpwstr/>
      </vt:variant>
      <vt:variant>
        <vt:i4>3276850</vt:i4>
      </vt:variant>
      <vt:variant>
        <vt:i4>105</vt:i4>
      </vt:variant>
      <vt:variant>
        <vt:i4>0</vt:i4>
      </vt:variant>
      <vt:variant>
        <vt:i4>5</vt:i4>
      </vt:variant>
      <vt:variant>
        <vt:lpwstr>http://www.amnesty.eu/news/one-year-after-the-moria-fire-few-lessons-learned-as-greece-expands-barriers-to-refugees-protection/</vt:lpwstr>
      </vt:variant>
      <vt:variant>
        <vt:lpwstr/>
      </vt:variant>
      <vt:variant>
        <vt:i4>1835017</vt:i4>
      </vt:variant>
      <vt:variant>
        <vt:i4>102</vt:i4>
      </vt:variant>
      <vt:variant>
        <vt:i4>0</vt:i4>
      </vt:variant>
      <vt:variant>
        <vt:i4>5</vt:i4>
      </vt:variant>
      <vt:variant>
        <vt:lpwstr>https://www.amnesty.org/en/documents/eur25/3063/2020/en/</vt:lpwstr>
      </vt:variant>
      <vt:variant>
        <vt:lpwstr/>
      </vt:variant>
      <vt:variant>
        <vt:i4>1048591</vt:i4>
      </vt:variant>
      <vt:variant>
        <vt:i4>99</vt:i4>
      </vt:variant>
      <vt:variant>
        <vt:i4>0</vt:i4>
      </vt:variant>
      <vt:variant>
        <vt:i4>5</vt:i4>
      </vt:variant>
      <vt:variant>
        <vt:lpwstr>https://www.amnesty.org/en/documents/eur25/8356/2024/en/</vt:lpwstr>
      </vt:variant>
      <vt:variant>
        <vt:lpwstr/>
      </vt:variant>
      <vt:variant>
        <vt:i4>5242906</vt:i4>
      </vt:variant>
      <vt:variant>
        <vt:i4>96</vt:i4>
      </vt:variant>
      <vt:variant>
        <vt:i4>0</vt:i4>
      </vt:variant>
      <vt:variant>
        <vt:i4>5</vt:i4>
      </vt:variant>
      <vt:variant>
        <vt:lpwstr>https://www.kodiko.gr/nomothesia/document/809570/nomos-4960-2022</vt:lpwstr>
      </vt:variant>
      <vt:variant>
        <vt:lpwstr/>
      </vt:variant>
      <vt:variant>
        <vt:i4>65632</vt:i4>
      </vt:variant>
      <vt:variant>
        <vt:i4>93</vt:i4>
      </vt:variant>
      <vt:variant>
        <vt:i4>0</vt:i4>
      </vt:variant>
      <vt:variant>
        <vt:i4>5</vt:i4>
      </vt:variant>
      <vt:variant>
        <vt:lpwstr>https://www.nchr.gr/images/pdf/nea_epikairothta/epistoles/epistoli_YMA_211022.pdf</vt:lpwstr>
      </vt:variant>
      <vt:variant>
        <vt:lpwstr/>
      </vt:variant>
      <vt:variant>
        <vt:i4>4325385</vt:i4>
      </vt:variant>
      <vt:variant>
        <vt:i4>90</vt:i4>
      </vt:variant>
      <vt:variant>
        <vt:i4>0</vt:i4>
      </vt:variant>
      <vt:variant>
        <vt:i4>5</vt:i4>
      </vt:variant>
      <vt:variant>
        <vt:lpwstr>https://www.synigoros.gr/en/category/nea/post/the-ombudsman's-reservations-regarding-his-participation-in-committees-of-the-ministry-of-migration-and-asylum</vt:lpwstr>
      </vt:variant>
      <vt:variant>
        <vt:lpwstr/>
      </vt:variant>
      <vt:variant>
        <vt:i4>5570633</vt:i4>
      </vt:variant>
      <vt:variant>
        <vt:i4>87</vt:i4>
      </vt:variant>
      <vt:variant>
        <vt:i4>0</vt:i4>
      </vt:variant>
      <vt:variant>
        <vt:i4>5</vt:i4>
      </vt:variant>
      <vt:variant>
        <vt:lpwstr>https://migration.gov.gr/fro-complaints/</vt:lpwstr>
      </vt:variant>
      <vt:variant>
        <vt:lpwstr/>
      </vt:variant>
      <vt:variant>
        <vt:i4>1441876</vt:i4>
      </vt:variant>
      <vt:variant>
        <vt:i4>84</vt:i4>
      </vt:variant>
      <vt:variant>
        <vt:i4>0</vt:i4>
      </vt:variant>
      <vt:variant>
        <vt:i4>5</vt:i4>
      </vt:variant>
      <vt:variant>
        <vt:lpwstr>http://www.aftodioikisi.gr/ipourgeia/epifylaxeis-stp-gia-ti-symmetochi-toy-se-epitropes-toy-yp-metanasteysis/</vt:lpwstr>
      </vt:variant>
      <vt:variant>
        <vt:lpwstr/>
      </vt:variant>
      <vt:variant>
        <vt:i4>2228259</vt:i4>
      </vt:variant>
      <vt:variant>
        <vt:i4>81</vt:i4>
      </vt:variant>
      <vt:variant>
        <vt:i4>0</vt:i4>
      </vt:variant>
      <vt:variant>
        <vt:i4>5</vt:i4>
      </vt:variant>
      <vt:variant>
        <vt:lpwstr>https://www.forin.gr/laws/law/4168/n-4960-2022</vt:lpwstr>
      </vt:variant>
      <vt:variant>
        <vt:lpwstr>!/?article=54019</vt:lpwstr>
      </vt:variant>
      <vt:variant>
        <vt:i4>8192052</vt:i4>
      </vt:variant>
      <vt:variant>
        <vt:i4>78</vt:i4>
      </vt:variant>
      <vt:variant>
        <vt:i4>0</vt:i4>
      </vt:variant>
      <vt:variant>
        <vt:i4>5</vt:i4>
      </vt:variant>
      <vt:variant>
        <vt:lpwstr>https://rsaegean.org/en/rule-of-law-greece-report/</vt:lpwstr>
      </vt:variant>
      <vt:variant>
        <vt:lpwstr/>
      </vt:variant>
      <vt:variant>
        <vt:i4>7340082</vt:i4>
      </vt:variant>
      <vt:variant>
        <vt:i4>75</vt:i4>
      </vt:variant>
      <vt:variant>
        <vt:i4>0</vt:i4>
      </vt:variant>
      <vt:variant>
        <vt:i4>5</vt:i4>
      </vt:variant>
      <vt:variant>
        <vt:lpwstr>https://migration.gov.gr/the-fundamental-rights-officer-at-the-ministry-of-migration-and-asylum-was-appointed/m</vt:lpwstr>
      </vt:variant>
      <vt:variant>
        <vt:lpwstr/>
      </vt:variant>
      <vt:variant>
        <vt:i4>6684708</vt:i4>
      </vt:variant>
      <vt:variant>
        <vt:i4>72</vt:i4>
      </vt:variant>
      <vt:variant>
        <vt:i4>0</vt:i4>
      </vt:variant>
      <vt:variant>
        <vt:i4>5</vt:i4>
      </vt:variant>
      <vt:variant>
        <vt:lpwstr>http://www.amnesty.org/en/documents/eur25/3196/2020/en/</vt:lpwstr>
      </vt:variant>
      <vt:variant>
        <vt:lpwstr/>
      </vt:variant>
      <vt:variant>
        <vt:i4>6946863</vt:i4>
      </vt:variant>
      <vt:variant>
        <vt:i4>69</vt:i4>
      </vt:variant>
      <vt:variant>
        <vt:i4>0</vt:i4>
      </vt:variant>
      <vt:variant>
        <vt:i4>5</vt:i4>
      </vt:variant>
      <vt:variant>
        <vt:lpwstr>https://www.amnesty.eu/news/joint-ngo-statement-no-monitoring-of-fundamental-rights-violations-in-greece-without-independent-and-effective-mechanisms/</vt:lpwstr>
      </vt:variant>
      <vt:variant>
        <vt:lpwstr/>
      </vt:variant>
      <vt:variant>
        <vt:i4>786462</vt:i4>
      </vt:variant>
      <vt:variant>
        <vt:i4>66</vt:i4>
      </vt:variant>
      <vt:variant>
        <vt:i4>0</vt:i4>
      </vt:variant>
      <vt:variant>
        <vt:i4>5</vt:i4>
      </vt:variant>
      <vt:variant>
        <vt:lpwstr>https://rm.coe.int/1680b0e4e1</vt:lpwstr>
      </vt:variant>
      <vt:variant>
        <vt:lpwstr/>
      </vt:variant>
      <vt:variant>
        <vt:i4>6815817</vt:i4>
      </vt:variant>
      <vt:variant>
        <vt:i4>63</vt:i4>
      </vt:variant>
      <vt:variant>
        <vt:i4>0</vt:i4>
      </vt:variant>
      <vt:variant>
        <vt:i4>5</vt:i4>
      </vt:variant>
      <vt:variant>
        <vt:lpwstr>https://www.nchr.gr/images/pdf/nea_epikairothta/deltia_tupou/2023/Interim_Report_Mechanism_en.pdf</vt:lpwstr>
      </vt:variant>
      <vt:variant>
        <vt:lpwstr/>
      </vt:variant>
      <vt:variant>
        <vt:i4>2883693</vt:i4>
      </vt:variant>
      <vt:variant>
        <vt:i4>60</vt:i4>
      </vt:variant>
      <vt:variant>
        <vt:i4>0</vt:i4>
      </vt:variant>
      <vt:variant>
        <vt:i4>5</vt:i4>
      </vt:variant>
      <vt:variant>
        <vt:lpwstr>http://www.nchr.gr/images/pdf/RecMechanism/Annual_Report_2022_compressed_1.pdf</vt:lpwstr>
      </vt:variant>
      <vt:variant>
        <vt:lpwstr/>
      </vt:variant>
      <vt:variant>
        <vt:i4>5439568</vt:i4>
      </vt:variant>
      <vt:variant>
        <vt:i4>57</vt:i4>
      </vt:variant>
      <vt:variant>
        <vt:i4>0</vt:i4>
      </vt:variant>
      <vt:variant>
        <vt:i4>5</vt:i4>
      </vt:variant>
      <vt:variant>
        <vt:lpwstr>https://asylumineurope.org/reports/country/greece/asylum-procedure/access-procedure-and-registration/access-territory-and-push-backs/</vt:lpwstr>
      </vt:variant>
      <vt:variant>
        <vt:lpwstr/>
      </vt:variant>
      <vt:variant>
        <vt:i4>2752544</vt:i4>
      </vt:variant>
      <vt:variant>
        <vt:i4>54</vt:i4>
      </vt:variant>
      <vt:variant>
        <vt:i4>0</vt:i4>
      </vt:variant>
      <vt:variant>
        <vt:i4>5</vt:i4>
      </vt:variant>
      <vt:variant>
        <vt:lpwstr>http://www.fenixaid.org/post/joint-ngo-briefing-on-the-situation-in-greece</vt:lpwstr>
      </vt:variant>
      <vt:variant>
        <vt:lpwstr/>
      </vt:variant>
      <vt:variant>
        <vt:i4>6422532</vt:i4>
      </vt:variant>
      <vt:variant>
        <vt:i4>51</vt:i4>
      </vt:variant>
      <vt:variant>
        <vt:i4>0</vt:i4>
      </vt:variant>
      <vt:variant>
        <vt:i4>5</vt:i4>
      </vt:variant>
      <vt:variant>
        <vt:lpwstr>https://www.efsyn.gr/ellada/dikaiomata/310350_anexartitos-mihanismos-gia-toys-prosfyges-enkrypto</vt:lpwstr>
      </vt:variant>
      <vt:variant>
        <vt:lpwstr/>
      </vt:variant>
      <vt:variant>
        <vt:i4>589850</vt:i4>
      </vt:variant>
      <vt:variant>
        <vt:i4>48</vt:i4>
      </vt:variant>
      <vt:variant>
        <vt:i4>0</vt:i4>
      </vt:variant>
      <vt:variant>
        <vt:i4>5</vt:i4>
      </vt:variant>
      <vt:variant>
        <vt:lpwstr>http://www.spiegel.de/ausland/pushbacks-von-fluechtlingen-eu-kommission-kuerzt-griechischer-kuestenwache-das-geld-a-028e8f42-cb75-41b9-97dd-bc28add93967</vt:lpwstr>
      </vt:variant>
      <vt:variant>
        <vt:lpwstr/>
      </vt:variant>
      <vt:variant>
        <vt:i4>2490477</vt:i4>
      </vt:variant>
      <vt:variant>
        <vt:i4>45</vt:i4>
      </vt:variant>
      <vt:variant>
        <vt:i4>0</vt:i4>
      </vt:variant>
      <vt:variant>
        <vt:i4>5</vt:i4>
      </vt:variant>
      <vt:variant>
        <vt:lpwstr>https://www.gcr.gr/media/k2/attachments/Joint_NGO_Briefing_on_the_situation_in_Greece_27_10_2021.pdf</vt:lpwstr>
      </vt:variant>
      <vt:variant>
        <vt:lpwstr/>
      </vt:variant>
      <vt:variant>
        <vt:i4>4390995</vt:i4>
      </vt:variant>
      <vt:variant>
        <vt:i4>42</vt:i4>
      </vt:variant>
      <vt:variant>
        <vt:i4>0</vt:i4>
      </vt:variant>
      <vt:variant>
        <vt:i4>5</vt:i4>
      </vt:variant>
      <vt:variant>
        <vt:lpwstr>http://www.euractiv.com/section/justice-home-affairs/news/commission-asks-greece-fortransparency-on-pushbacks-to-release-migration-funds/</vt:lpwstr>
      </vt:variant>
      <vt:variant>
        <vt:lpwstr/>
      </vt:variant>
      <vt:variant>
        <vt:i4>6553647</vt:i4>
      </vt:variant>
      <vt:variant>
        <vt:i4>39</vt:i4>
      </vt:variant>
      <vt:variant>
        <vt:i4>0</vt:i4>
      </vt:variant>
      <vt:variant>
        <vt:i4>5</vt:i4>
      </vt:variant>
      <vt:variant>
        <vt:lpwstr>http://www.amnesty.org/en/documents/eur01/2077/2020/en/</vt:lpwstr>
      </vt:variant>
      <vt:variant>
        <vt:lpwstr/>
      </vt:variant>
      <vt:variant>
        <vt:i4>6619179</vt:i4>
      </vt:variant>
      <vt:variant>
        <vt:i4>36</vt:i4>
      </vt:variant>
      <vt:variant>
        <vt:i4>0</vt:i4>
      </vt:variant>
      <vt:variant>
        <vt:i4>5</vt:i4>
      </vt:variant>
      <vt:variant>
        <vt:lpwstr>http://www.amnesty.org/en/documents/eur25/4307/2021/en/</vt:lpwstr>
      </vt:variant>
      <vt:variant>
        <vt:lpwstr/>
      </vt:variant>
      <vt:variant>
        <vt:i4>2621551</vt:i4>
      </vt:variant>
      <vt:variant>
        <vt:i4>33</vt:i4>
      </vt:variant>
      <vt:variant>
        <vt:i4>0</vt:i4>
      </vt:variant>
      <vt:variant>
        <vt:i4>5</vt:i4>
      </vt:variant>
      <vt:variant>
        <vt:lpwstr>http://www.politico.eu/article/greece-ombudsman-summons-head-greek-coast-guard-pylos-shipwreck/</vt:lpwstr>
      </vt:variant>
      <vt:variant>
        <vt:lpwstr/>
      </vt:variant>
      <vt:variant>
        <vt:i4>8257634</vt:i4>
      </vt:variant>
      <vt:variant>
        <vt:i4>30</vt:i4>
      </vt:variant>
      <vt:variant>
        <vt:i4>0</vt:i4>
      </vt:variant>
      <vt:variant>
        <vt:i4>5</vt:i4>
      </vt:variant>
      <vt:variant>
        <vt:lpwstr>http://www.synigoros.gr/en/category/nea/post/press-release-or-the-greek-ombudsman-investigates-the-pylos-shipwreck-case</vt:lpwstr>
      </vt:variant>
      <vt:variant>
        <vt:lpwstr/>
      </vt:variant>
      <vt:variant>
        <vt:i4>786443</vt:i4>
      </vt:variant>
      <vt:variant>
        <vt:i4>27</vt:i4>
      </vt:variant>
      <vt:variant>
        <vt:i4>0</vt:i4>
      </vt:variant>
      <vt:variant>
        <vt:i4>5</vt:i4>
      </vt:variant>
      <vt:variant>
        <vt:lpwstr>https://fragdenstaat.de/dokumente/233972-olaffinal-report-on-Frontex/</vt:lpwstr>
      </vt:variant>
      <vt:variant>
        <vt:lpwstr/>
      </vt:variant>
      <vt:variant>
        <vt:i4>7274595</vt:i4>
      </vt:variant>
      <vt:variant>
        <vt:i4>24</vt:i4>
      </vt:variant>
      <vt:variant>
        <vt:i4>0</vt:i4>
      </vt:variant>
      <vt:variant>
        <vt:i4>5</vt:i4>
      </vt:variant>
      <vt:variant>
        <vt:lpwstr>http://www.amnesty.eu/wp-content/uploads/2023/12/12dec-Embargoed-AI-HRW-Pylos-Briefing-EUR2575182023eng.pdf</vt:lpwstr>
      </vt:variant>
      <vt:variant>
        <vt:lpwstr/>
      </vt:variant>
      <vt:variant>
        <vt:i4>1507355</vt:i4>
      </vt:variant>
      <vt:variant>
        <vt:i4>21</vt:i4>
      </vt:variant>
      <vt:variant>
        <vt:i4>0</vt:i4>
      </vt:variant>
      <vt:variant>
        <vt:i4>5</vt:i4>
      </vt:variant>
      <vt:variant>
        <vt:lpwstr>https://www.synigoros.gr/en/category/e8nikos-mhxanismos-diereynhshs-peristatikwn-ay8airesias/post/deltio-typoy-or-to-symboylio-ths-eyrwphs-zhta-enisxysh-toy-e8nikoy-mhxanismoy-diereynhshs-peristatikwn-ay8airesias</vt:lpwstr>
      </vt:variant>
      <vt:variant>
        <vt:lpwstr/>
      </vt:variant>
      <vt:variant>
        <vt:i4>7929979</vt:i4>
      </vt:variant>
      <vt:variant>
        <vt:i4>18</vt:i4>
      </vt:variant>
      <vt:variant>
        <vt:i4>0</vt:i4>
      </vt:variant>
      <vt:variant>
        <vt:i4>5</vt:i4>
      </vt:variant>
      <vt:variant>
        <vt:lpwstr>https://rm.coe.int/report-on-athens-roundtable-on-professional-policing/168096610d</vt:lpwstr>
      </vt:variant>
      <vt:variant>
        <vt:lpwstr/>
      </vt:variant>
      <vt:variant>
        <vt:i4>7667811</vt:i4>
      </vt:variant>
      <vt:variant>
        <vt:i4>15</vt:i4>
      </vt:variant>
      <vt:variant>
        <vt:i4>0</vt:i4>
      </vt:variant>
      <vt:variant>
        <vt:i4>5</vt:i4>
      </vt:variant>
      <vt:variant>
        <vt:lpwstr>https://thepressproject.gr/ypothesi-manioudaki-poiniki-dioxi-gia-anthropoktonia-kata-ton-4-eblekomenon-astynomikon/</vt:lpwstr>
      </vt:variant>
      <vt:variant>
        <vt:lpwstr/>
      </vt:variant>
      <vt:variant>
        <vt:i4>2424886</vt:i4>
      </vt:variant>
      <vt:variant>
        <vt:i4>12</vt:i4>
      </vt:variant>
      <vt:variant>
        <vt:i4>0</vt:i4>
      </vt:variant>
      <vt:variant>
        <vt:i4>5</vt:i4>
      </vt:variant>
      <vt:variant>
        <vt:lpwstr>https://library.fes.de/pdf-files/bueros/athen/17365.pdf</vt:lpwstr>
      </vt:variant>
      <vt:variant>
        <vt:lpwstr/>
      </vt:variant>
      <vt:variant>
        <vt:i4>8323115</vt:i4>
      </vt:variant>
      <vt:variant>
        <vt:i4>9</vt:i4>
      </vt:variant>
      <vt:variant>
        <vt:i4>0</vt:i4>
      </vt:variant>
      <vt:variant>
        <vt:i4>5</vt:i4>
      </vt:variant>
      <vt:variant>
        <vt:lpwstr>https://reliefweb.int/report/greece/pandemic-abuses-how-greece-dismantled-right-asylum-and-normalised-violation-migrants-rights-throughout-covid-19-pandemic-lesvos</vt:lpwstr>
      </vt:variant>
      <vt:variant>
        <vt:lpwstr/>
      </vt:variant>
      <vt:variant>
        <vt:i4>4390982</vt:i4>
      </vt:variant>
      <vt:variant>
        <vt:i4>6</vt:i4>
      </vt:variant>
      <vt:variant>
        <vt:i4>0</vt:i4>
      </vt:variant>
      <vt:variant>
        <vt:i4>5</vt:i4>
      </vt:variant>
      <vt:variant>
        <vt:lpwstr>https://www.amnesty.eu/news/one-year-since-greece-opened-new-prison-like-refugee-camps-ngos-call-for-a-more-humane-approach/</vt:lpwstr>
      </vt:variant>
      <vt:variant>
        <vt:lpwstr/>
      </vt:variant>
      <vt:variant>
        <vt:i4>1441813</vt:i4>
      </vt:variant>
      <vt:variant>
        <vt:i4>3</vt:i4>
      </vt:variant>
      <vt:variant>
        <vt:i4>0</vt:i4>
      </vt:variant>
      <vt:variant>
        <vt:i4>5</vt:i4>
      </vt:variant>
      <vt:variant>
        <vt:lpwstr>https://www.amnesty.org/en/documents/pol10/5670/2023/en/</vt:lpwstr>
      </vt:variant>
      <vt:variant>
        <vt:lpwstr/>
      </vt:variant>
      <vt:variant>
        <vt:i4>1310737</vt:i4>
      </vt:variant>
      <vt:variant>
        <vt:i4>0</vt:i4>
      </vt:variant>
      <vt:variant>
        <vt:i4>0</vt:i4>
      </vt:variant>
      <vt:variant>
        <vt:i4>5</vt:i4>
      </vt:variant>
      <vt:variant>
        <vt:lpwstr>https://www.amnesty.org/en/documents/pol10/7200/2024/en/</vt:lpwstr>
      </vt:variant>
      <vt:variant>
        <vt:lpwstr/>
      </vt:variant>
      <vt:variant>
        <vt:i4>5898314</vt:i4>
      </vt:variant>
      <vt:variant>
        <vt:i4>6</vt:i4>
      </vt:variant>
      <vt:variant>
        <vt:i4>0</vt:i4>
      </vt:variant>
      <vt:variant>
        <vt:i4>5</vt:i4>
      </vt:variant>
      <vt:variant>
        <vt:lpwstr>https://www.amnesty.org/en/about-us/permissions/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2024-09-15T22:22:00Z</dcterms:created>
  <dcterms:modified xsi:type="dcterms:W3CDTF">2024-09-15T22:22:00Z</dcterms:modified>
</cp:coreProperties>
</file>