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923A2" w14:textId="159C05DE" w:rsidR="6D9BE31F" w:rsidRPr="00D1230D" w:rsidRDefault="00B60A4D" w:rsidP="00B60A4D">
      <w:pPr>
        <w:tabs>
          <w:tab w:val="left" w:pos="7521"/>
        </w:tabs>
        <w:rPr>
          <w:rFonts w:ascii="Calibri" w:eastAsia="Batang" w:hAnsi="Calibri" w:cs="Calibri"/>
          <w:b/>
          <w:bCs/>
          <w:color w:val="000000" w:themeColor="text1"/>
          <w:sz w:val="28"/>
          <w:szCs w:val="28"/>
        </w:rPr>
      </w:pPr>
      <w:r w:rsidRPr="00D1230D">
        <w:rPr>
          <w:rFonts w:ascii="Calibri" w:eastAsia="Batang" w:hAnsi="Calibri" w:cs="Calibri"/>
          <w:b/>
          <w:bCs/>
          <w:color w:val="000000" w:themeColor="text1"/>
          <w:sz w:val="28"/>
          <w:szCs w:val="28"/>
        </w:rPr>
        <w:tab/>
      </w:r>
    </w:p>
    <w:p w14:paraId="20B89424" w14:textId="4570B6D2" w:rsidR="00557861" w:rsidRPr="00195E25" w:rsidRDefault="00292381" w:rsidP="0029092D">
      <w:pPr>
        <w:jc w:val="center"/>
        <w:rPr>
          <w:rFonts w:ascii="Calibri" w:eastAsia="Batang" w:hAnsi="Calibri" w:cs="Calibri"/>
          <w:b/>
          <w:color w:val="000000" w:themeColor="text1"/>
          <w:sz w:val="28"/>
          <w:szCs w:val="28"/>
          <w:lang w:val="en-US"/>
        </w:rPr>
      </w:pPr>
      <w:r w:rsidRPr="00195E25">
        <w:rPr>
          <w:rFonts w:ascii="Calibri" w:eastAsia="Batang" w:hAnsi="Calibri" w:cs="Calibri"/>
          <w:b/>
          <w:color w:val="000000" w:themeColor="text1"/>
          <w:sz w:val="28"/>
          <w:szCs w:val="28"/>
          <w:lang w:val="en-US"/>
        </w:rPr>
        <w:t>ALTERNATIVE CIVIL SOCIETY REPORT TO THE HUMAN RIGHTS COMMITTEE ON THE IMPLEMENTATION OF THE CIVIL RIGHTS COVENANT IN GUINEA-BISSAU</w:t>
      </w:r>
    </w:p>
    <w:p w14:paraId="672A6659" w14:textId="77777777" w:rsidR="00292381" w:rsidRPr="00195E25" w:rsidRDefault="00292381" w:rsidP="00292381">
      <w:pPr>
        <w:jc w:val="center"/>
        <w:rPr>
          <w:rFonts w:ascii="Calibri" w:eastAsia="Batang" w:hAnsi="Calibri" w:cs="Calibri"/>
          <w:b/>
          <w:color w:val="000000" w:themeColor="text1"/>
          <w:sz w:val="28"/>
          <w:szCs w:val="28"/>
          <w:lang w:val="en-US"/>
        </w:rPr>
      </w:pPr>
    </w:p>
    <w:p w14:paraId="0A37501D" w14:textId="77777777" w:rsidR="00292381" w:rsidRPr="00195E25" w:rsidRDefault="00292381" w:rsidP="00292381">
      <w:pPr>
        <w:jc w:val="center"/>
        <w:rPr>
          <w:rFonts w:ascii="Calibri" w:eastAsia="Batang" w:hAnsi="Calibri" w:cs="Calibri"/>
          <w:b/>
          <w:color w:val="000000" w:themeColor="text1"/>
          <w:lang w:val="en-US"/>
        </w:rPr>
      </w:pPr>
    </w:p>
    <w:p w14:paraId="5DAB6C7B" w14:textId="77777777" w:rsidR="00292381" w:rsidRPr="00195E25" w:rsidRDefault="00292381" w:rsidP="00292381">
      <w:pPr>
        <w:jc w:val="center"/>
        <w:rPr>
          <w:rFonts w:ascii="Calibri" w:eastAsia="Batang" w:hAnsi="Calibri" w:cs="Calibri"/>
          <w:b/>
          <w:color w:val="000000" w:themeColor="text1"/>
          <w:lang w:val="en-US"/>
        </w:rPr>
      </w:pPr>
    </w:p>
    <w:p w14:paraId="4ECD4A78" w14:textId="373A4FAD" w:rsidR="00292381" w:rsidRPr="00195E25" w:rsidRDefault="00292381" w:rsidP="00292381">
      <w:pPr>
        <w:jc w:val="center"/>
        <w:rPr>
          <w:rFonts w:ascii="Calibri" w:eastAsia="Batang" w:hAnsi="Calibri" w:cs="Calibri"/>
          <w:b/>
          <w:color w:val="000000" w:themeColor="text1"/>
          <w:lang w:val="en-US"/>
        </w:rPr>
      </w:pPr>
      <w:r w:rsidRPr="00195E25">
        <w:rPr>
          <w:rFonts w:ascii="Calibri" w:eastAsia="Batang" w:hAnsi="Calibri" w:cs="Calibri"/>
          <w:b/>
          <w:color w:val="000000" w:themeColor="text1"/>
          <w:lang w:val="en-US"/>
        </w:rPr>
        <w:t xml:space="preserve">WORKING GROUP </w:t>
      </w:r>
    </w:p>
    <w:p w14:paraId="02EB378F" w14:textId="77777777" w:rsidR="00292381" w:rsidRPr="00195E25" w:rsidRDefault="00292381" w:rsidP="00292381">
      <w:pPr>
        <w:rPr>
          <w:rFonts w:ascii="Calibri" w:eastAsia="Batang" w:hAnsi="Calibri" w:cs="Calibri"/>
          <w:b/>
          <w:color w:val="000000" w:themeColor="text1"/>
          <w:lang w:val="en-US"/>
        </w:rPr>
      </w:pPr>
    </w:p>
    <w:p w14:paraId="55765E90" w14:textId="77777777" w:rsidR="00292381" w:rsidRPr="00195E25" w:rsidRDefault="00292381" w:rsidP="00292381">
      <w:pPr>
        <w:rPr>
          <w:rFonts w:ascii="Calibri" w:eastAsia="Batang" w:hAnsi="Calibri" w:cs="Calibri"/>
          <w:b/>
          <w:color w:val="000000" w:themeColor="text1"/>
          <w:lang w:val="en-US"/>
        </w:rPr>
      </w:pPr>
      <w:r w:rsidRPr="00195E25">
        <w:rPr>
          <w:rFonts w:ascii="Calibri" w:eastAsia="Batang" w:hAnsi="Calibri" w:cs="Calibri"/>
          <w:b/>
          <w:color w:val="000000" w:themeColor="text1"/>
          <w:lang w:val="en-US"/>
        </w:rPr>
        <w:t xml:space="preserve">Theme: </w:t>
      </w:r>
      <w:r w:rsidRPr="00195E25">
        <w:rPr>
          <w:rFonts w:ascii="Calibri" w:eastAsia="Batang" w:hAnsi="Calibri" w:cs="Calibri"/>
          <w:color w:val="000000" w:themeColor="text1"/>
          <w:lang w:val="en-US"/>
        </w:rPr>
        <w:t xml:space="preserve">Right to Life, Security, Torture and Conditions of Detention </w:t>
      </w:r>
    </w:p>
    <w:p w14:paraId="6A05A809" w14:textId="77777777" w:rsidR="008F7A83" w:rsidRPr="00195E25" w:rsidRDefault="008F7A83" w:rsidP="00292381">
      <w:pPr>
        <w:rPr>
          <w:rFonts w:ascii="Calibri" w:eastAsia="Batang" w:hAnsi="Calibri" w:cs="Calibri"/>
          <w:b/>
          <w:color w:val="000000" w:themeColor="text1"/>
          <w:lang w:val="en-US"/>
        </w:rPr>
      </w:pPr>
    </w:p>
    <w:p w14:paraId="26D4F6B1" w14:textId="77777777" w:rsidR="00292381" w:rsidRPr="00D1230D" w:rsidRDefault="00292381" w:rsidP="00292381">
      <w:pPr>
        <w:rPr>
          <w:rFonts w:ascii="Calibri" w:eastAsia="Batang" w:hAnsi="Calibri" w:cs="Calibri"/>
          <w:b/>
          <w:color w:val="000000" w:themeColor="text1"/>
        </w:rPr>
      </w:pPr>
      <w:r w:rsidRPr="00D1230D">
        <w:rPr>
          <w:rFonts w:ascii="Calibri" w:eastAsia="Batang" w:hAnsi="Calibri" w:cs="Calibri"/>
          <w:b/>
          <w:color w:val="000000" w:themeColor="text1"/>
        </w:rPr>
        <w:t>Issues to be addressed:</w:t>
      </w:r>
    </w:p>
    <w:p w14:paraId="5A39BBE3" w14:textId="77777777" w:rsidR="00292381" w:rsidRPr="00D1230D" w:rsidRDefault="00292381" w:rsidP="00292381">
      <w:pPr>
        <w:rPr>
          <w:rFonts w:ascii="Calibri" w:eastAsia="Batang" w:hAnsi="Calibri" w:cs="Calibri"/>
          <w:b/>
          <w:color w:val="000000" w:themeColor="text1"/>
        </w:rPr>
      </w:pPr>
    </w:p>
    <w:p w14:paraId="28E53540" w14:textId="77777777" w:rsidR="00292381" w:rsidRPr="00195E25" w:rsidRDefault="00292381" w:rsidP="00292381">
      <w:pPr>
        <w:pStyle w:val="ListParagraph"/>
        <w:numPr>
          <w:ilvl w:val="0"/>
          <w:numId w:val="1"/>
        </w:numPr>
        <w:rPr>
          <w:rFonts w:ascii="Calibri" w:eastAsia="Batang" w:hAnsi="Calibri" w:cs="Calibri"/>
          <w:color w:val="000000" w:themeColor="text1"/>
          <w:lang w:val="en-US"/>
        </w:rPr>
      </w:pPr>
      <w:r w:rsidRPr="00195E25">
        <w:rPr>
          <w:rFonts w:ascii="Calibri" w:eastAsia="Batang" w:hAnsi="Calibri" w:cs="Calibri"/>
          <w:color w:val="000000" w:themeColor="text1"/>
          <w:lang w:val="en-US"/>
        </w:rPr>
        <w:t>Excessive use of force, extrajudicial executions;</w:t>
      </w:r>
    </w:p>
    <w:p w14:paraId="6A662118" w14:textId="10226138" w:rsidR="00292381" w:rsidRPr="00D1230D" w:rsidRDefault="00292381" w:rsidP="00292381">
      <w:pPr>
        <w:pStyle w:val="ListParagraph"/>
        <w:numPr>
          <w:ilvl w:val="0"/>
          <w:numId w:val="1"/>
        </w:numPr>
        <w:rPr>
          <w:rFonts w:ascii="Calibri" w:eastAsia="Batang" w:hAnsi="Calibri" w:cs="Calibri"/>
          <w:color w:val="000000" w:themeColor="text1"/>
        </w:rPr>
      </w:pPr>
      <w:r w:rsidRPr="00D1230D">
        <w:rPr>
          <w:rFonts w:ascii="Calibri" w:eastAsia="Batang" w:hAnsi="Calibri" w:cs="Calibri"/>
          <w:color w:val="000000" w:themeColor="text1"/>
        </w:rPr>
        <w:t xml:space="preserve">Torture and ill-treatment; </w:t>
      </w:r>
    </w:p>
    <w:p w14:paraId="2FE6D7A4" w14:textId="012347C4" w:rsidR="008F7A83" w:rsidRPr="00195E25" w:rsidRDefault="00292381" w:rsidP="008F7A83">
      <w:pPr>
        <w:pStyle w:val="ListParagraph"/>
        <w:numPr>
          <w:ilvl w:val="0"/>
          <w:numId w:val="1"/>
        </w:numPr>
        <w:rPr>
          <w:rFonts w:ascii="Calibri" w:eastAsia="Batang" w:hAnsi="Calibri" w:cs="Calibri"/>
          <w:color w:val="000000" w:themeColor="text1"/>
          <w:lang w:val="en-US"/>
        </w:rPr>
      </w:pPr>
      <w:r w:rsidRPr="00195E25">
        <w:rPr>
          <w:rFonts w:ascii="Calibri" w:eastAsia="Batang" w:hAnsi="Calibri" w:cs="Calibri"/>
          <w:color w:val="000000" w:themeColor="text1"/>
          <w:lang w:val="en-US"/>
        </w:rPr>
        <w:t>Conditions of detention, access to health care, prison overcrowding.</w:t>
      </w:r>
    </w:p>
    <w:p w14:paraId="72A3D3EC" w14:textId="77777777" w:rsidR="004E1584" w:rsidRPr="00195E25" w:rsidRDefault="004E1584" w:rsidP="008F7A83">
      <w:pPr>
        <w:rPr>
          <w:rFonts w:ascii="Calibri" w:eastAsia="Batang" w:hAnsi="Calibri" w:cs="Calibri"/>
          <w:color w:val="000000" w:themeColor="text1"/>
          <w:lang w:val="en-US"/>
        </w:rPr>
      </w:pPr>
    </w:p>
    <w:sdt>
      <w:sdtPr>
        <w:rPr>
          <w:rFonts w:asciiTheme="minorHAnsi" w:eastAsiaTheme="minorHAnsi" w:hAnsiTheme="minorHAnsi" w:cstheme="minorBidi"/>
          <w:color w:val="auto"/>
          <w:sz w:val="24"/>
          <w:szCs w:val="24"/>
          <w:lang w:val="pt-PT"/>
        </w:rPr>
        <w:id w:val="-1128939170"/>
        <w:docPartObj>
          <w:docPartGallery w:val="Table of Contents"/>
          <w:docPartUnique/>
        </w:docPartObj>
      </w:sdtPr>
      <w:sdtEndPr>
        <w:rPr>
          <w:b/>
          <w:bCs/>
          <w:noProof/>
        </w:rPr>
      </w:sdtEndPr>
      <w:sdtContent>
        <w:p w14:paraId="05238926" w14:textId="341575D3" w:rsidR="002B3AEC" w:rsidRPr="002B3AEC" w:rsidRDefault="002B3AEC">
          <w:pPr>
            <w:pStyle w:val="TOCHeading"/>
            <w:rPr>
              <w:color w:val="auto"/>
            </w:rPr>
          </w:pPr>
          <w:r w:rsidRPr="002B3AEC">
            <w:rPr>
              <w:color w:val="auto"/>
            </w:rPr>
            <w:t>Content</w:t>
          </w:r>
        </w:p>
        <w:p w14:paraId="32E11795" w14:textId="25A711C4" w:rsidR="00583E28" w:rsidRDefault="002B3AEC">
          <w:pPr>
            <w:pStyle w:val="TOC1"/>
            <w:tabs>
              <w:tab w:val="right" w:leader="dot" w:pos="8488"/>
            </w:tabs>
            <w:rPr>
              <w:rFonts w:eastAsiaTheme="minorEastAsia"/>
              <w:noProof/>
              <w:kern w:val="2"/>
              <w:lang w:val="en-US" w:eastAsia="zh-CN"/>
              <w14:ligatures w14:val="standardContextual"/>
            </w:rPr>
          </w:pPr>
          <w:r>
            <w:fldChar w:fldCharType="begin"/>
          </w:r>
          <w:r>
            <w:instrText xml:space="preserve"> TOC \o "1-3" \h \z \u </w:instrText>
          </w:r>
          <w:r>
            <w:fldChar w:fldCharType="separate"/>
          </w:r>
          <w:hyperlink w:anchor="_Toc198976484" w:history="1">
            <w:r w:rsidR="00583E28" w:rsidRPr="003F2E49">
              <w:rPr>
                <w:rStyle w:val="Hyperlink"/>
                <w:rFonts w:asciiTheme="majorHAnsi" w:eastAsia="Batang" w:hAnsiTheme="majorHAnsi" w:cstheme="majorHAnsi"/>
                <w:noProof/>
              </w:rPr>
              <w:t>METHODOLOGY AND OBJECTIVE</w:t>
            </w:r>
            <w:r w:rsidR="00583E28">
              <w:rPr>
                <w:noProof/>
                <w:webHidden/>
              </w:rPr>
              <w:tab/>
            </w:r>
            <w:r w:rsidR="00583E28">
              <w:rPr>
                <w:noProof/>
                <w:webHidden/>
              </w:rPr>
              <w:fldChar w:fldCharType="begin"/>
            </w:r>
            <w:r w:rsidR="00583E28">
              <w:rPr>
                <w:noProof/>
                <w:webHidden/>
              </w:rPr>
              <w:instrText xml:space="preserve"> PAGEREF _Toc198976484 \h </w:instrText>
            </w:r>
            <w:r w:rsidR="00583E28">
              <w:rPr>
                <w:noProof/>
                <w:webHidden/>
              </w:rPr>
            </w:r>
            <w:r w:rsidR="00583E28">
              <w:rPr>
                <w:noProof/>
                <w:webHidden/>
              </w:rPr>
              <w:fldChar w:fldCharType="separate"/>
            </w:r>
            <w:r w:rsidR="00583E28">
              <w:rPr>
                <w:noProof/>
                <w:webHidden/>
              </w:rPr>
              <w:t>2</w:t>
            </w:r>
            <w:r w:rsidR="00583E28">
              <w:rPr>
                <w:noProof/>
                <w:webHidden/>
              </w:rPr>
              <w:fldChar w:fldCharType="end"/>
            </w:r>
          </w:hyperlink>
        </w:p>
        <w:p w14:paraId="0052812E" w14:textId="12D35640" w:rsidR="00583E28" w:rsidRDefault="00583E28">
          <w:pPr>
            <w:pStyle w:val="TOC1"/>
            <w:tabs>
              <w:tab w:val="right" w:leader="dot" w:pos="8488"/>
            </w:tabs>
            <w:rPr>
              <w:rFonts w:eastAsiaTheme="minorEastAsia"/>
              <w:noProof/>
              <w:kern w:val="2"/>
              <w:lang w:val="en-US" w:eastAsia="zh-CN"/>
              <w14:ligatures w14:val="standardContextual"/>
            </w:rPr>
          </w:pPr>
          <w:hyperlink w:anchor="_Toc198976485" w:history="1">
            <w:r w:rsidRPr="003F2E49">
              <w:rPr>
                <w:rStyle w:val="Hyperlink"/>
                <w:rFonts w:ascii="Calibri" w:eastAsia="Batang" w:hAnsi="Calibri" w:cs="Calibri"/>
                <w:noProof/>
              </w:rPr>
              <w:t>ORGANISATIONS INVOLVED IN THE DRAFTING OF THE REPORT</w:t>
            </w:r>
            <w:r>
              <w:rPr>
                <w:noProof/>
                <w:webHidden/>
              </w:rPr>
              <w:tab/>
            </w:r>
            <w:r>
              <w:rPr>
                <w:noProof/>
                <w:webHidden/>
              </w:rPr>
              <w:fldChar w:fldCharType="begin"/>
            </w:r>
            <w:r>
              <w:rPr>
                <w:noProof/>
                <w:webHidden/>
              </w:rPr>
              <w:instrText xml:space="preserve"> PAGEREF _Toc198976485 \h </w:instrText>
            </w:r>
            <w:r>
              <w:rPr>
                <w:noProof/>
                <w:webHidden/>
              </w:rPr>
            </w:r>
            <w:r>
              <w:rPr>
                <w:noProof/>
                <w:webHidden/>
              </w:rPr>
              <w:fldChar w:fldCharType="separate"/>
            </w:r>
            <w:r>
              <w:rPr>
                <w:noProof/>
                <w:webHidden/>
              </w:rPr>
              <w:t>2</w:t>
            </w:r>
            <w:r>
              <w:rPr>
                <w:noProof/>
                <w:webHidden/>
              </w:rPr>
              <w:fldChar w:fldCharType="end"/>
            </w:r>
          </w:hyperlink>
        </w:p>
        <w:p w14:paraId="78327136" w14:textId="3628F69D" w:rsidR="00583E28" w:rsidRDefault="00583E28">
          <w:pPr>
            <w:pStyle w:val="TOC1"/>
            <w:tabs>
              <w:tab w:val="right" w:leader="dot" w:pos="8488"/>
            </w:tabs>
            <w:rPr>
              <w:rFonts w:eastAsiaTheme="minorEastAsia"/>
              <w:noProof/>
              <w:kern w:val="2"/>
              <w:lang w:val="en-US" w:eastAsia="zh-CN"/>
              <w14:ligatures w14:val="standardContextual"/>
            </w:rPr>
          </w:pPr>
          <w:hyperlink w:anchor="_Toc198976486" w:history="1">
            <w:r w:rsidRPr="003F2E49">
              <w:rPr>
                <w:rStyle w:val="Hyperlink"/>
                <w:rFonts w:asciiTheme="majorHAnsi" w:eastAsia="Batang" w:hAnsiTheme="majorHAnsi" w:cstheme="majorHAnsi"/>
                <w:noProof/>
              </w:rPr>
              <w:t>CONTEXTUALIZATION</w:t>
            </w:r>
            <w:r>
              <w:rPr>
                <w:noProof/>
                <w:webHidden/>
              </w:rPr>
              <w:tab/>
            </w:r>
            <w:r>
              <w:rPr>
                <w:noProof/>
                <w:webHidden/>
              </w:rPr>
              <w:fldChar w:fldCharType="begin"/>
            </w:r>
            <w:r>
              <w:rPr>
                <w:noProof/>
                <w:webHidden/>
              </w:rPr>
              <w:instrText xml:space="preserve"> PAGEREF _Toc198976486 \h </w:instrText>
            </w:r>
            <w:r>
              <w:rPr>
                <w:noProof/>
                <w:webHidden/>
              </w:rPr>
            </w:r>
            <w:r>
              <w:rPr>
                <w:noProof/>
                <w:webHidden/>
              </w:rPr>
              <w:fldChar w:fldCharType="separate"/>
            </w:r>
            <w:r>
              <w:rPr>
                <w:noProof/>
                <w:webHidden/>
              </w:rPr>
              <w:t>2</w:t>
            </w:r>
            <w:r>
              <w:rPr>
                <w:noProof/>
                <w:webHidden/>
              </w:rPr>
              <w:fldChar w:fldCharType="end"/>
            </w:r>
          </w:hyperlink>
        </w:p>
        <w:p w14:paraId="422E2AF7" w14:textId="4C112A36" w:rsidR="00583E28" w:rsidRDefault="00583E28">
          <w:pPr>
            <w:pStyle w:val="TOC3"/>
            <w:tabs>
              <w:tab w:val="right" w:leader="dot" w:pos="8488"/>
            </w:tabs>
            <w:rPr>
              <w:rFonts w:eastAsiaTheme="minorEastAsia"/>
              <w:noProof/>
              <w:kern w:val="2"/>
              <w:lang w:val="en-US" w:eastAsia="zh-CN"/>
              <w14:ligatures w14:val="standardContextual"/>
            </w:rPr>
          </w:pPr>
          <w:hyperlink w:anchor="_Toc198976487" w:history="1">
            <w:r w:rsidRPr="003F2E49">
              <w:rPr>
                <w:rStyle w:val="Hyperlink"/>
                <w:rFonts w:ascii="Calibri" w:eastAsia="Batang" w:hAnsi="Calibri" w:cs="Calibri"/>
                <w:b/>
                <w:noProof/>
              </w:rPr>
              <w:t>Context of repression – suppression of the right to demonstrate</w:t>
            </w:r>
            <w:r>
              <w:rPr>
                <w:noProof/>
                <w:webHidden/>
              </w:rPr>
              <w:tab/>
            </w:r>
            <w:r>
              <w:rPr>
                <w:noProof/>
                <w:webHidden/>
              </w:rPr>
              <w:fldChar w:fldCharType="begin"/>
            </w:r>
            <w:r>
              <w:rPr>
                <w:noProof/>
                <w:webHidden/>
              </w:rPr>
              <w:instrText xml:space="preserve"> PAGEREF _Toc198976487 \h </w:instrText>
            </w:r>
            <w:r>
              <w:rPr>
                <w:noProof/>
                <w:webHidden/>
              </w:rPr>
            </w:r>
            <w:r>
              <w:rPr>
                <w:noProof/>
                <w:webHidden/>
              </w:rPr>
              <w:fldChar w:fldCharType="separate"/>
            </w:r>
            <w:r>
              <w:rPr>
                <w:noProof/>
                <w:webHidden/>
              </w:rPr>
              <w:t>4</w:t>
            </w:r>
            <w:r>
              <w:rPr>
                <w:noProof/>
                <w:webHidden/>
              </w:rPr>
              <w:fldChar w:fldCharType="end"/>
            </w:r>
          </w:hyperlink>
        </w:p>
        <w:p w14:paraId="003321D2" w14:textId="7633A508" w:rsidR="00583E28" w:rsidRDefault="00583E28">
          <w:pPr>
            <w:pStyle w:val="TOC3"/>
            <w:tabs>
              <w:tab w:val="right" w:leader="dot" w:pos="8488"/>
            </w:tabs>
            <w:rPr>
              <w:rFonts w:eastAsiaTheme="minorEastAsia"/>
              <w:noProof/>
              <w:kern w:val="2"/>
              <w:lang w:val="en-US" w:eastAsia="zh-CN"/>
              <w14:ligatures w14:val="standardContextual"/>
            </w:rPr>
          </w:pPr>
          <w:hyperlink w:anchor="_Toc198976488" w:history="1">
            <w:r w:rsidRPr="003F2E49">
              <w:rPr>
                <w:rStyle w:val="Hyperlink"/>
                <w:rFonts w:ascii="Calibri" w:eastAsia="Batang" w:hAnsi="Calibri" w:cs="Calibri"/>
                <w:b/>
                <w:noProof/>
              </w:rPr>
              <w:t>Police repression of public demonstration in Bissau</w:t>
            </w:r>
            <w:r>
              <w:rPr>
                <w:noProof/>
                <w:webHidden/>
              </w:rPr>
              <w:tab/>
            </w:r>
            <w:r>
              <w:rPr>
                <w:noProof/>
                <w:webHidden/>
              </w:rPr>
              <w:fldChar w:fldCharType="begin"/>
            </w:r>
            <w:r>
              <w:rPr>
                <w:noProof/>
                <w:webHidden/>
              </w:rPr>
              <w:instrText xml:space="preserve"> PAGEREF _Toc198976488 \h </w:instrText>
            </w:r>
            <w:r>
              <w:rPr>
                <w:noProof/>
                <w:webHidden/>
              </w:rPr>
            </w:r>
            <w:r>
              <w:rPr>
                <w:noProof/>
                <w:webHidden/>
              </w:rPr>
              <w:fldChar w:fldCharType="separate"/>
            </w:r>
            <w:r>
              <w:rPr>
                <w:noProof/>
                <w:webHidden/>
              </w:rPr>
              <w:t>4</w:t>
            </w:r>
            <w:r>
              <w:rPr>
                <w:noProof/>
                <w:webHidden/>
              </w:rPr>
              <w:fldChar w:fldCharType="end"/>
            </w:r>
          </w:hyperlink>
        </w:p>
        <w:p w14:paraId="44A531D5" w14:textId="6503E728" w:rsidR="00583E28" w:rsidRDefault="00583E28">
          <w:pPr>
            <w:pStyle w:val="TOC2"/>
            <w:tabs>
              <w:tab w:val="right" w:leader="dot" w:pos="8488"/>
            </w:tabs>
            <w:rPr>
              <w:rFonts w:eastAsiaTheme="minorEastAsia"/>
              <w:noProof/>
              <w:kern w:val="2"/>
              <w:lang w:val="en-US" w:eastAsia="zh-CN"/>
              <w14:ligatures w14:val="standardContextual"/>
            </w:rPr>
          </w:pPr>
          <w:hyperlink w:anchor="_Toc198976489" w:history="1">
            <w:r w:rsidRPr="003F2E49">
              <w:rPr>
                <w:rStyle w:val="Hyperlink"/>
                <w:b/>
                <w:bCs/>
                <w:noProof/>
              </w:rPr>
              <w:t>Excessive use of force and extrajudicial executions – Article 7 of the Covenant</w:t>
            </w:r>
            <w:r>
              <w:rPr>
                <w:noProof/>
                <w:webHidden/>
              </w:rPr>
              <w:tab/>
            </w:r>
            <w:r>
              <w:rPr>
                <w:noProof/>
                <w:webHidden/>
              </w:rPr>
              <w:fldChar w:fldCharType="begin"/>
            </w:r>
            <w:r>
              <w:rPr>
                <w:noProof/>
                <w:webHidden/>
              </w:rPr>
              <w:instrText xml:space="preserve"> PAGEREF _Toc198976489 \h </w:instrText>
            </w:r>
            <w:r>
              <w:rPr>
                <w:noProof/>
                <w:webHidden/>
              </w:rPr>
            </w:r>
            <w:r>
              <w:rPr>
                <w:noProof/>
                <w:webHidden/>
              </w:rPr>
              <w:fldChar w:fldCharType="separate"/>
            </w:r>
            <w:r>
              <w:rPr>
                <w:noProof/>
                <w:webHidden/>
              </w:rPr>
              <w:t>5</w:t>
            </w:r>
            <w:r>
              <w:rPr>
                <w:noProof/>
                <w:webHidden/>
              </w:rPr>
              <w:fldChar w:fldCharType="end"/>
            </w:r>
          </w:hyperlink>
        </w:p>
        <w:p w14:paraId="1075893B" w14:textId="68F1D69E" w:rsidR="00583E28" w:rsidRDefault="00583E28">
          <w:pPr>
            <w:pStyle w:val="TOC2"/>
            <w:tabs>
              <w:tab w:val="right" w:leader="dot" w:pos="8488"/>
            </w:tabs>
            <w:rPr>
              <w:rFonts w:eastAsiaTheme="minorEastAsia"/>
              <w:noProof/>
              <w:kern w:val="2"/>
              <w:lang w:val="en-US" w:eastAsia="zh-CN"/>
              <w14:ligatures w14:val="standardContextual"/>
            </w:rPr>
          </w:pPr>
          <w:hyperlink w:anchor="_Toc198976490" w:history="1">
            <w:r w:rsidRPr="003F2E49">
              <w:rPr>
                <w:rStyle w:val="Hyperlink"/>
                <w:b/>
                <w:bCs/>
                <w:noProof/>
                <w:lang w:eastAsia="pt-PT"/>
              </w:rPr>
              <w:t>Freedoms of Assembly, Expression, Demonstration, Freedom of the Press – (Articles 19, 21, 22, 7, 9 and 14 of the Covenant)</w:t>
            </w:r>
            <w:r>
              <w:rPr>
                <w:noProof/>
                <w:webHidden/>
              </w:rPr>
              <w:tab/>
            </w:r>
            <w:r>
              <w:rPr>
                <w:noProof/>
                <w:webHidden/>
              </w:rPr>
              <w:fldChar w:fldCharType="begin"/>
            </w:r>
            <w:r>
              <w:rPr>
                <w:noProof/>
                <w:webHidden/>
              </w:rPr>
              <w:instrText xml:space="preserve"> PAGEREF _Toc198976490 \h </w:instrText>
            </w:r>
            <w:r>
              <w:rPr>
                <w:noProof/>
                <w:webHidden/>
              </w:rPr>
            </w:r>
            <w:r>
              <w:rPr>
                <w:noProof/>
                <w:webHidden/>
              </w:rPr>
              <w:fldChar w:fldCharType="separate"/>
            </w:r>
            <w:r>
              <w:rPr>
                <w:noProof/>
                <w:webHidden/>
              </w:rPr>
              <w:t>6</w:t>
            </w:r>
            <w:r>
              <w:rPr>
                <w:noProof/>
                <w:webHidden/>
              </w:rPr>
              <w:fldChar w:fldCharType="end"/>
            </w:r>
          </w:hyperlink>
        </w:p>
        <w:p w14:paraId="081E5DED" w14:textId="5ABA6385" w:rsidR="00583E28" w:rsidRDefault="00583E28">
          <w:pPr>
            <w:pStyle w:val="TOC2"/>
            <w:tabs>
              <w:tab w:val="right" w:leader="dot" w:pos="8488"/>
            </w:tabs>
            <w:rPr>
              <w:rFonts w:eastAsiaTheme="minorEastAsia"/>
              <w:noProof/>
              <w:kern w:val="2"/>
              <w:lang w:val="en-US" w:eastAsia="zh-CN"/>
              <w14:ligatures w14:val="standardContextual"/>
            </w:rPr>
          </w:pPr>
          <w:hyperlink w:anchor="_Toc198976491" w:history="1">
            <w:r w:rsidRPr="003F2E49">
              <w:rPr>
                <w:rStyle w:val="Hyperlink"/>
                <w:b/>
                <w:bCs/>
                <w:noProof/>
              </w:rPr>
              <w:t>Treatment of Persons Deprived of Liberty (Articles 6-7 and 10)</w:t>
            </w:r>
            <w:r>
              <w:rPr>
                <w:noProof/>
                <w:webHidden/>
              </w:rPr>
              <w:tab/>
            </w:r>
            <w:r>
              <w:rPr>
                <w:noProof/>
                <w:webHidden/>
              </w:rPr>
              <w:fldChar w:fldCharType="begin"/>
            </w:r>
            <w:r>
              <w:rPr>
                <w:noProof/>
                <w:webHidden/>
              </w:rPr>
              <w:instrText xml:space="preserve"> PAGEREF _Toc198976491 \h </w:instrText>
            </w:r>
            <w:r>
              <w:rPr>
                <w:noProof/>
                <w:webHidden/>
              </w:rPr>
            </w:r>
            <w:r>
              <w:rPr>
                <w:noProof/>
                <w:webHidden/>
              </w:rPr>
              <w:fldChar w:fldCharType="separate"/>
            </w:r>
            <w:r>
              <w:rPr>
                <w:noProof/>
                <w:webHidden/>
              </w:rPr>
              <w:t>8</w:t>
            </w:r>
            <w:r>
              <w:rPr>
                <w:noProof/>
                <w:webHidden/>
              </w:rPr>
              <w:fldChar w:fldCharType="end"/>
            </w:r>
          </w:hyperlink>
        </w:p>
        <w:p w14:paraId="1005F723" w14:textId="5FFB21EA" w:rsidR="00583E28" w:rsidRDefault="00583E28">
          <w:pPr>
            <w:pStyle w:val="TOC2"/>
            <w:tabs>
              <w:tab w:val="right" w:leader="dot" w:pos="8488"/>
            </w:tabs>
            <w:rPr>
              <w:rFonts w:eastAsiaTheme="minorEastAsia"/>
              <w:noProof/>
              <w:kern w:val="2"/>
              <w:lang w:val="en-US" w:eastAsia="zh-CN"/>
              <w14:ligatures w14:val="standardContextual"/>
            </w:rPr>
          </w:pPr>
          <w:hyperlink w:anchor="_Toc198976492" w:history="1">
            <w:r w:rsidRPr="003F2E49">
              <w:rPr>
                <w:rStyle w:val="Hyperlink"/>
                <w:b/>
                <w:bCs/>
                <w:noProof/>
              </w:rPr>
              <w:t>Children's Rights</w:t>
            </w:r>
            <w:r>
              <w:rPr>
                <w:noProof/>
                <w:webHidden/>
              </w:rPr>
              <w:tab/>
            </w:r>
            <w:r>
              <w:rPr>
                <w:noProof/>
                <w:webHidden/>
              </w:rPr>
              <w:fldChar w:fldCharType="begin"/>
            </w:r>
            <w:r>
              <w:rPr>
                <w:noProof/>
                <w:webHidden/>
              </w:rPr>
              <w:instrText xml:space="preserve"> PAGEREF _Toc198976492 \h </w:instrText>
            </w:r>
            <w:r>
              <w:rPr>
                <w:noProof/>
                <w:webHidden/>
              </w:rPr>
            </w:r>
            <w:r>
              <w:rPr>
                <w:noProof/>
                <w:webHidden/>
              </w:rPr>
              <w:fldChar w:fldCharType="separate"/>
            </w:r>
            <w:r>
              <w:rPr>
                <w:noProof/>
                <w:webHidden/>
              </w:rPr>
              <w:t>9</w:t>
            </w:r>
            <w:r>
              <w:rPr>
                <w:noProof/>
                <w:webHidden/>
              </w:rPr>
              <w:fldChar w:fldCharType="end"/>
            </w:r>
          </w:hyperlink>
        </w:p>
        <w:p w14:paraId="4FE6A95E" w14:textId="1932EF55" w:rsidR="00583E28" w:rsidRDefault="00583E28">
          <w:pPr>
            <w:pStyle w:val="TOC2"/>
            <w:tabs>
              <w:tab w:val="right" w:leader="dot" w:pos="8488"/>
            </w:tabs>
            <w:rPr>
              <w:rFonts w:eastAsiaTheme="minorEastAsia"/>
              <w:noProof/>
              <w:kern w:val="2"/>
              <w:lang w:val="en-US" w:eastAsia="zh-CN"/>
              <w14:ligatures w14:val="standardContextual"/>
            </w:rPr>
          </w:pPr>
          <w:hyperlink w:anchor="_Toc198976493" w:history="1">
            <w:r w:rsidRPr="003F2E49">
              <w:rPr>
                <w:rStyle w:val="Hyperlink"/>
                <w:b/>
                <w:bCs/>
                <w:noProof/>
              </w:rPr>
              <w:t>Civil Registry</w:t>
            </w:r>
            <w:r>
              <w:rPr>
                <w:noProof/>
                <w:webHidden/>
              </w:rPr>
              <w:tab/>
            </w:r>
            <w:r>
              <w:rPr>
                <w:noProof/>
                <w:webHidden/>
              </w:rPr>
              <w:fldChar w:fldCharType="begin"/>
            </w:r>
            <w:r>
              <w:rPr>
                <w:noProof/>
                <w:webHidden/>
              </w:rPr>
              <w:instrText xml:space="preserve"> PAGEREF _Toc198976493 \h </w:instrText>
            </w:r>
            <w:r>
              <w:rPr>
                <w:noProof/>
                <w:webHidden/>
              </w:rPr>
            </w:r>
            <w:r>
              <w:rPr>
                <w:noProof/>
                <w:webHidden/>
              </w:rPr>
              <w:fldChar w:fldCharType="separate"/>
            </w:r>
            <w:r>
              <w:rPr>
                <w:noProof/>
                <w:webHidden/>
              </w:rPr>
              <w:t>11</w:t>
            </w:r>
            <w:r>
              <w:rPr>
                <w:noProof/>
                <w:webHidden/>
              </w:rPr>
              <w:fldChar w:fldCharType="end"/>
            </w:r>
          </w:hyperlink>
        </w:p>
        <w:p w14:paraId="5EFC6911" w14:textId="7DF9D174" w:rsidR="00583E28" w:rsidRDefault="00583E28">
          <w:pPr>
            <w:pStyle w:val="TOC2"/>
            <w:tabs>
              <w:tab w:val="right" w:leader="dot" w:pos="8488"/>
            </w:tabs>
            <w:rPr>
              <w:rFonts w:eastAsiaTheme="minorEastAsia"/>
              <w:noProof/>
              <w:kern w:val="2"/>
              <w:lang w:val="en-US" w:eastAsia="zh-CN"/>
              <w14:ligatures w14:val="standardContextual"/>
            </w:rPr>
          </w:pPr>
          <w:hyperlink w:anchor="_Toc198976494" w:history="1">
            <w:r w:rsidRPr="003F2E49">
              <w:rPr>
                <w:rStyle w:val="Hyperlink"/>
                <w:b/>
                <w:bCs/>
                <w:noProof/>
              </w:rPr>
              <w:t>Early and Forced Marriage</w:t>
            </w:r>
            <w:r>
              <w:rPr>
                <w:noProof/>
                <w:webHidden/>
              </w:rPr>
              <w:tab/>
            </w:r>
            <w:r>
              <w:rPr>
                <w:noProof/>
                <w:webHidden/>
              </w:rPr>
              <w:fldChar w:fldCharType="begin"/>
            </w:r>
            <w:r>
              <w:rPr>
                <w:noProof/>
                <w:webHidden/>
              </w:rPr>
              <w:instrText xml:space="preserve"> PAGEREF _Toc198976494 \h </w:instrText>
            </w:r>
            <w:r>
              <w:rPr>
                <w:noProof/>
                <w:webHidden/>
              </w:rPr>
            </w:r>
            <w:r>
              <w:rPr>
                <w:noProof/>
                <w:webHidden/>
              </w:rPr>
              <w:fldChar w:fldCharType="separate"/>
            </w:r>
            <w:r>
              <w:rPr>
                <w:noProof/>
                <w:webHidden/>
              </w:rPr>
              <w:t>12</w:t>
            </w:r>
            <w:r>
              <w:rPr>
                <w:noProof/>
                <w:webHidden/>
              </w:rPr>
              <w:fldChar w:fldCharType="end"/>
            </w:r>
          </w:hyperlink>
        </w:p>
        <w:p w14:paraId="14579CED" w14:textId="362D6D63" w:rsidR="00583E28" w:rsidRDefault="00583E28">
          <w:pPr>
            <w:pStyle w:val="TOC2"/>
            <w:tabs>
              <w:tab w:val="right" w:leader="dot" w:pos="8488"/>
            </w:tabs>
            <w:rPr>
              <w:rFonts w:eastAsiaTheme="minorEastAsia"/>
              <w:noProof/>
              <w:kern w:val="2"/>
              <w:lang w:val="en-US" w:eastAsia="zh-CN"/>
              <w14:ligatures w14:val="standardContextual"/>
            </w:rPr>
          </w:pPr>
          <w:hyperlink w:anchor="_Toc198976495" w:history="1">
            <w:r w:rsidRPr="003F2E49">
              <w:rPr>
                <w:rStyle w:val="Hyperlink"/>
                <w:b/>
                <w:bCs/>
                <w:noProof/>
                <w:lang w:eastAsia="pt-PT"/>
              </w:rPr>
              <w:t>Women's Political Participation – (Articles 2, 3, 25, 26)</w:t>
            </w:r>
            <w:r>
              <w:rPr>
                <w:noProof/>
                <w:webHidden/>
              </w:rPr>
              <w:tab/>
            </w:r>
            <w:r>
              <w:rPr>
                <w:noProof/>
                <w:webHidden/>
              </w:rPr>
              <w:fldChar w:fldCharType="begin"/>
            </w:r>
            <w:r>
              <w:rPr>
                <w:noProof/>
                <w:webHidden/>
              </w:rPr>
              <w:instrText xml:space="preserve"> PAGEREF _Toc198976495 \h </w:instrText>
            </w:r>
            <w:r>
              <w:rPr>
                <w:noProof/>
                <w:webHidden/>
              </w:rPr>
            </w:r>
            <w:r>
              <w:rPr>
                <w:noProof/>
                <w:webHidden/>
              </w:rPr>
              <w:fldChar w:fldCharType="separate"/>
            </w:r>
            <w:r>
              <w:rPr>
                <w:noProof/>
                <w:webHidden/>
              </w:rPr>
              <w:t>12</w:t>
            </w:r>
            <w:r>
              <w:rPr>
                <w:noProof/>
                <w:webHidden/>
              </w:rPr>
              <w:fldChar w:fldCharType="end"/>
            </w:r>
          </w:hyperlink>
        </w:p>
        <w:p w14:paraId="002BEB38" w14:textId="07614DC3" w:rsidR="00583E28" w:rsidRDefault="00583E28">
          <w:pPr>
            <w:pStyle w:val="TOC3"/>
            <w:tabs>
              <w:tab w:val="right" w:leader="dot" w:pos="8488"/>
            </w:tabs>
            <w:rPr>
              <w:rFonts w:eastAsiaTheme="minorEastAsia"/>
              <w:noProof/>
              <w:kern w:val="2"/>
              <w:lang w:val="en-US" w:eastAsia="zh-CN"/>
              <w14:ligatures w14:val="standardContextual"/>
            </w:rPr>
          </w:pPr>
          <w:hyperlink w:anchor="_Toc198976496" w:history="1">
            <w:r w:rsidRPr="003F2E49">
              <w:rPr>
                <w:rStyle w:val="Hyperlink"/>
                <w:noProof/>
              </w:rPr>
              <w:t>Advances in women's political participation</w:t>
            </w:r>
            <w:r>
              <w:rPr>
                <w:noProof/>
                <w:webHidden/>
              </w:rPr>
              <w:tab/>
            </w:r>
            <w:r>
              <w:rPr>
                <w:noProof/>
                <w:webHidden/>
              </w:rPr>
              <w:fldChar w:fldCharType="begin"/>
            </w:r>
            <w:r>
              <w:rPr>
                <w:noProof/>
                <w:webHidden/>
              </w:rPr>
              <w:instrText xml:space="preserve"> PAGEREF _Toc198976496 \h </w:instrText>
            </w:r>
            <w:r>
              <w:rPr>
                <w:noProof/>
                <w:webHidden/>
              </w:rPr>
            </w:r>
            <w:r>
              <w:rPr>
                <w:noProof/>
                <w:webHidden/>
              </w:rPr>
              <w:fldChar w:fldCharType="separate"/>
            </w:r>
            <w:r>
              <w:rPr>
                <w:noProof/>
                <w:webHidden/>
              </w:rPr>
              <w:t>13</w:t>
            </w:r>
            <w:r>
              <w:rPr>
                <w:noProof/>
                <w:webHidden/>
              </w:rPr>
              <w:fldChar w:fldCharType="end"/>
            </w:r>
          </w:hyperlink>
        </w:p>
        <w:p w14:paraId="2FEB82E2" w14:textId="3004A2EB" w:rsidR="00583E28" w:rsidRDefault="00583E28">
          <w:pPr>
            <w:pStyle w:val="TOC3"/>
            <w:tabs>
              <w:tab w:val="right" w:leader="dot" w:pos="8488"/>
            </w:tabs>
            <w:rPr>
              <w:rFonts w:eastAsiaTheme="minorEastAsia"/>
              <w:noProof/>
              <w:kern w:val="2"/>
              <w:lang w:val="en-US" w:eastAsia="zh-CN"/>
              <w14:ligatures w14:val="standardContextual"/>
            </w:rPr>
          </w:pPr>
          <w:hyperlink w:anchor="_Toc198976497" w:history="1">
            <w:r w:rsidRPr="003F2E49">
              <w:rPr>
                <w:rStyle w:val="Hyperlink"/>
                <w:noProof/>
              </w:rPr>
              <w:t>Setbacks in women's political participation</w:t>
            </w:r>
            <w:r>
              <w:rPr>
                <w:noProof/>
                <w:webHidden/>
              </w:rPr>
              <w:tab/>
            </w:r>
            <w:r>
              <w:rPr>
                <w:noProof/>
                <w:webHidden/>
              </w:rPr>
              <w:fldChar w:fldCharType="begin"/>
            </w:r>
            <w:r>
              <w:rPr>
                <w:noProof/>
                <w:webHidden/>
              </w:rPr>
              <w:instrText xml:space="preserve"> PAGEREF _Toc198976497 \h </w:instrText>
            </w:r>
            <w:r>
              <w:rPr>
                <w:noProof/>
                <w:webHidden/>
              </w:rPr>
            </w:r>
            <w:r>
              <w:rPr>
                <w:noProof/>
                <w:webHidden/>
              </w:rPr>
              <w:fldChar w:fldCharType="separate"/>
            </w:r>
            <w:r>
              <w:rPr>
                <w:noProof/>
                <w:webHidden/>
              </w:rPr>
              <w:t>13</w:t>
            </w:r>
            <w:r>
              <w:rPr>
                <w:noProof/>
                <w:webHidden/>
              </w:rPr>
              <w:fldChar w:fldCharType="end"/>
            </w:r>
          </w:hyperlink>
        </w:p>
        <w:p w14:paraId="7908F323" w14:textId="097F996B" w:rsidR="00583E28" w:rsidRDefault="00583E28">
          <w:pPr>
            <w:pStyle w:val="TOC3"/>
            <w:tabs>
              <w:tab w:val="right" w:leader="dot" w:pos="8488"/>
            </w:tabs>
            <w:rPr>
              <w:rFonts w:eastAsiaTheme="minorEastAsia"/>
              <w:noProof/>
              <w:kern w:val="2"/>
              <w:lang w:val="en-US" w:eastAsia="zh-CN"/>
              <w14:ligatures w14:val="standardContextual"/>
            </w:rPr>
          </w:pPr>
          <w:hyperlink w:anchor="_Toc198976498" w:history="1">
            <w:r w:rsidRPr="003F2E49">
              <w:rPr>
                <w:rStyle w:val="Hyperlink"/>
                <w:noProof/>
              </w:rPr>
              <w:t>Challenges</w:t>
            </w:r>
            <w:r>
              <w:rPr>
                <w:noProof/>
                <w:webHidden/>
              </w:rPr>
              <w:tab/>
            </w:r>
            <w:r>
              <w:rPr>
                <w:noProof/>
                <w:webHidden/>
              </w:rPr>
              <w:fldChar w:fldCharType="begin"/>
            </w:r>
            <w:r>
              <w:rPr>
                <w:noProof/>
                <w:webHidden/>
              </w:rPr>
              <w:instrText xml:space="preserve"> PAGEREF _Toc198976498 \h </w:instrText>
            </w:r>
            <w:r>
              <w:rPr>
                <w:noProof/>
                <w:webHidden/>
              </w:rPr>
            </w:r>
            <w:r>
              <w:rPr>
                <w:noProof/>
                <w:webHidden/>
              </w:rPr>
              <w:fldChar w:fldCharType="separate"/>
            </w:r>
            <w:r>
              <w:rPr>
                <w:noProof/>
                <w:webHidden/>
              </w:rPr>
              <w:t>14</w:t>
            </w:r>
            <w:r>
              <w:rPr>
                <w:noProof/>
                <w:webHidden/>
              </w:rPr>
              <w:fldChar w:fldCharType="end"/>
            </w:r>
          </w:hyperlink>
        </w:p>
        <w:p w14:paraId="6764888A" w14:textId="44A2896B" w:rsidR="00583E28" w:rsidRDefault="00583E28">
          <w:pPr>
            <w:pStyle w:val="TOC2"/>
            <w:tabs>
              <w:tab w:val="right" w:leader="dot" w:pos="8488"/>
            </w:tabs>
            <w:rPr>
              <w:rFonts w:eastAsiaTheme="minorEastAsia"/>
              <w:noProof/>
              <w:kern w:val="2"/>
              <w:lang w:val="en-US" w:eastAsia="zh-CN"/>
              <w14:ligatures w14:val="standardContextual"/>
            </w:rPr>
          </w:pPr>
          <w:hyperlink w:anchor="_Toc198976499" w:history="1">
            <w:r w:rsidRPr="003F2E49">
              <w:rPr>
                <w:rStyle w:val="Hyperlink"/>
                <w:b/>
                <w:bCs/>
                <w:noProof/>
                <w:lang w:eastAsia="pt-PT"/>
              </w:rPr>
              <w:t>Rights of Persons with Disabilities</w:t>
            </w:r>
            <w:r>
              <w:rPr>
                <w:noProof/>
                <w:webHidden/>
              </w:rPr>
              <w:tab/>
            </w:r>
            <w:r>
              <w:rPr>
                <w:noProof/>
                <w:webHidden/>
              </w:rPr>
              <w:fldChar w:fldCharType="begin"/>
            </w:r>
            <w:r>
              <w:rPr>
                <w:noProof/>
                <w:webHidden/>
              </w:rPr>
              <w:instrText xml:space="preserve"> PAGEREF _Toc198976499 \h </w:instrText>
            </w:r>
            <w:r>
              <w:rPr>
                <w:noProof/>
                <w:webHidden/>
              </w:rPr>
            </w:r>
            <w:r>
              <w:rPr>
                <w:noProof/>
                <w:webHidden/>
              </w:rPr>
              <w:fldChar w:fldCharType="separate"/>
            </w:r>
            <w:r>
              <w:rPr>
                <w:noProof/>
                <w:webHidden/>
              </w:rPr>
              <w:t>15</w:t>
            </w:r>
            <w:r>
              <w:rPr>
                <w:noProof/>
                <w:webHidden/>
              </w:rPr>
              <w:fldChar w:fldCharType="end"/>
            </w:r>
          </w:hyperlink>
        </w:p>
        <w:p w14:paraId="16D6F5AB" w14:textId="7968F702" w:rsidR="00583E28" w:rsidRDefault="00583E28">
          <w:pPr>
            <w:pStyle w:val="TOC2"/>
            <w:tabs>
              <w:tab w:val="right" w:leader="dot" w:pos="8488"/>
            </w:tabs>
            <w:rPr>
              <w:rFonts w:eastAsiaTheme="minorEastAsia"/>
              <w:noProof/>
              <w:kern w:val="2"/>
              <w:lang w:val="en-US" w:eastAsia="zh-CN"/>
              <w14:ligatures w14:val="standardContextual"/>
            </w:rPr>
          </w:pPr>
          <w:hyperlink w:anchor="_Toc198976500" w:history="1">
            <w:r w:rsidRPr="003F2E49">
              <w:rPr>
                <w:rStyle w:val="Hyperlink"/>
                <w:b/>
                <w:bCs/>
                <w:noProof/>
              </w:rPr>
              <w:t>Religious Freedom (Article 18)</w:t>
            </w:r>
            <w:r>
              <w:rPr>
                <w:noProof/>
                <w:webHidden/>
              </w:rPr>
              <w:tab/>
            </w:r>
            <w:r>
              <w:rPr>
                <w:noProof/>
                <w:webHidden/>
              </w:rPr>
              <w:fldChar w:fldCharType="begin"/>
            </w:r>
            <w:r>
              <w:rPr>
                <w:noProof/>
                <w:webHidden/>
              </w:rPr>
              <w:instrText xml:space="preserve"> PAGEREF _Toc198976500 \h </w:instrText>
            </w:r>
            <w:r>
              <w:rPr>
                <w:noProof/>
                <w:webHidden/>
              </w:rPr>
            </w:r>
            <w:r>
              <w:rPr>
                <w:noProof/>
                <w:webHidden/>
              </w:rPr>
              <w:fldChar w:fldCharType="separate"/>
            </w:r>
            <w:r>
              <w:rPr>
                <w:noProof/>
                <w:webHidden/>
              </w:rPr>
              <w:t>17</w:t>
            </w:r>
            <w:r>
              <w:rPr>
                <w:noProof/>
                <w:webHidden/>
              </w:rPr>
              <w:fldChar w:fldCharType="end"/>
            </w:r>
          </w:hyperlink>
        </w:p>
        <w:p w14:paraId="4F9B6B4D" w14:textId="7FDA4EB9" w:rsidR="00583E28" w:rsidRDefault="00583E28">
          <w:pPr>
            <w:pStyle w:val="TOC1"/>
            <w:tabs>
              <w:tab w:val="right" w:leader="dot" w:pos="8488"/>
            </w:tabs>
            <w:rPr>
              <w:rFonts w:eastAsiaTheme="minorEastAsia"/>
              <w:noProof/>
              <w:kern w:val="2"/>
              <w:lang w:val="en-US" w:eastAsia="zh-CN"/>
              <w14:ligatures w14:val="standardContextual"/>
            </w:rPr>
          </w:pPr>
          <w:hyperlink w:anchor="_Toc198976501" w:history="1">
            <w:r w:rsidRPr="003F2E49">
              <w:rPr>
                <w:rStyle w:val="Hyperlink"/>
                <w:rFonts w:ascii="Calibri" w:eastAsia="Batang" w:hAnsi="Calibri" w:cs="Calibri"/>
                <w:noProof/>
              </w:rPr>
              <w:t>CONCLUSION</w:t>
            </w:r>
            <w:r>
              <w:rPr>
                <w:noProof/>
                <w:webHidden/>
              </w:rPr>
              <w:tab/>
            </w:r>
            <w:r>
              <w:rPr>
                <w:noProof/>
                <w:webHidden/>
              </w:rPr>
              <w:fldChar w:fldCharType="begin"/>
            </w:r>
            <w:r>
              <w:rPr>
                <w:noProof/>
                <w:webHidden/>
              </w:rPr>
              <w:instrText xml:space="preserve"> PAGEREF _Toc198976501 \h </w:instrText>
            </w:r>
            <w:r>
              <w:rPr>
                <w:noProof/>
                <w:webHidden/>
              </w:rPr>
            </w:r>
            <w:r>
              <w:rPr>
                <w:noProof/>
                <w:webHidden/>
              </w:rPr>
              <w:fldChar w:fldCharType="separate"/>
            </w:r>
            <w:r>
              <w:rPr>
                <w:noProof/>
                <w:webHidden/>
              </w:rPr>
              <w:t>19</w:t>
            </w:r>
            <w:r>
              <w:rPr>
                <w:noProof/>
                <w:webHidden/>
              </w:rPr>
              <w:fldChar w:fldCharType="end"/>
            </w:r>
          </w:hyperlink>
        </w:p>
        <w:p w14:paraId="18703C12" w14:textId="026E14A2" w:rsidR="00583E28" w:rsidRDefault="00583E28">
          <w:pPr>
            <w:pStyle w:val="TOC1"/>
            <w:tabs>
              <w:tab w:val="right" w:leader="dot" w:pos="8488"/>
            </w:tabs>
            <w:rPr>
              <w:rFonts w:eastAsiaTheme="minorEastAsia"/>
              <w:noProof/>
              <w:kern w:val="2"/>
              <w:lang w:val="en-US" w:eastAsia="zh-CN"/>
              <w14:ligatures w14:val="standardContextual"/>
            </w:rPr>
          </w:pPr>
          <w:hyperlink w:anchor="_Toc198976502" w:history="1">
            <w:r w:rsidRPr="003F2E49">
              <w:rPr>
                <w:rStyle w:val="Hyperlink"/>
                <w:rFonts w:ascii="Calibri" w:eastAsia="Batang" w:hAnsi="Calibri" w:cs="Calibri"/>
                <w:noProof/>
              </w:rPr>
              <w:t>ATTACHMENT</w:t>
            </w:r>
            <w:r>
              <w:rPr>
                <w:noProof/>
                <w:webHidden/>
              </w:rPr>
              <w:tab/>
            </w:r>
            <w:r>
              <w:rPr>
                <w:noProof/>
                <w:webHidden/>
              </w:rPr>
              <w:fldChar w:fldCharType="begin"/>
            </w:r>
            <w:r>
              <w:rPr>
                <w:noProof/>
                <w:webHidden/>
              </w:rPr>
              <w:instrText xml:space="preserve"> PAGEREF _Toc198976502 \h </w:instrText>
            </w:r>
            <w:r>
              <w:rPr>
                <w:noProof/>
                <w:webHidden/>
              </w:rPr>
            </w:r>
            <w:r>
              <w:rPr>
                <w:noProof/>
                <w:webHidden/>
              </w:rPr>
              <w:fldChar w:fldCharType="separate"/>
            </w:r>
            <w:r>
              <w:rPr>
                <w:noProof/>
                <w:webHidden/>
              </w:rPr>
              <w:t>20</w:t>
            </w:r>
            <w:r>
              <w:rPr>
                <w:noProof/>
                <w:webHidden/>
              </w:rPr>
              <w:fldChar w:fldCharType="end"/>
            </w:r>
          </w:hyperlink>
        </w:p>
        <w:p w14:paraId="3F51258F" w14:textId="24BD42E0" w:rsidR="002B3AEC" w:rsidRDefault="002B3AEC">
          <w:r>
            <w:rPr>
              <w:b/>
              <w:bCs/>
              <w:noProof/>
            </w:rPr>
            <w:fldChar w:fldCharType="end"/>
          </w:r>
        </w:p>
      </w:sdtContent>
    </w:sdt>
    <w:p w14:paraId="79EC2FE3" w14:textId="77777777" w:rsidR="002B3AEC" w:rsidRPr="00D1230D" w:rsidRDefault="002B3AEC" w:rsidP="008F7A83">
      <w:pPr>
        <w:rPr>
          <w:rFonts w:ascii="Calibri" w:eastAsia="Batang" w:hAnsi="Calibri" w:cs="Calibri"/>
          <w:color w:val="000000" w:themeColor="text1"/>
        </w:rPr>
      </w:pPr>
    </w:p>
    <w:p w14:paraId="0D0B940D" w14:textId="77777777" w:rsidR="004E1584" w:rsidRPr="00D1230D" w:rsidRDefault="004E1584" w:rsidP="008F7A83">
      <w:pPr>
        <w:rPr>
          <w:rFonts w:ascii="Calibri" w:eastAsia="Batang" w:hAnsi="Calibri" w:cs="Calibri"/>
          <w:color w:val="000000" w:themeColor="text1"/>
        </w:rPr>
      </w:pPr>
    </w:p>
    <w:p w14:paraId="1D6DF056" w14:textId="77777777" w:rsidR="008D6762" w:rsidRPr="004C64B9" w:rsidRDefault="008D6762" w:rsidP="004C64B9">
      <w:pPr>
        <w:pStyle w:val="Heading1"/>
        <w:rPr>
          <w:rFonts w:asciiTheme="majorHAnsi" w:eastAsia="Batang" w:hAnsiTheme="majorHAnsi" w:cstheme="majorHAnsi"/>
          <w:sz w:val="28"/>
          <w:szCs w:val="28"/>
        </w:rPr>
      </w:pPr>
      <w:bookmarkStart w:id="0" w:name="_Toc198976484"/>
      <w:r w:rsidRPr="004C64B9">
        <w:rPr>
          <w:rFonts w:asciiTheme="majorHAnsi" w:eastAsia="Batang" w:hAnsiTheme="majorHAnsi" w:cstheme="majorHAnsi"/>
          <w:sz w:val="28"/>
          <w:szCs w:val="28"/>
        </w:rPr>
        <w:t>METHODOLOGY AND OBJECTIVE</w:t>
      </w:r>
      <w:bookmarkEnd w:id="0"/>
    </w:p>
    <w:p w14:paraId="0E27B00A" w14:textId="77777777" w:rsidR="008D6762" w:rsidRPr="00D1230D" w:rsidRDefault="008D6762" w:rsidP="008D6762">
      <w:pPr>
        <w:jc w:val="both"/>
        <w:rPr>
          <w:rFonts w:ascii="Calibri" w:eastAsia="Batang" w:hAnsi="Calibri" w:cs="Calibri"/>
          <w:color w:val="000000" w:themeColor="text1"/>
        </w:rPr>
      </w:pPr>
    </w:p>
    <w:p w14:paraId="148B7754" w14:textId="77777777" w:rsidR="00DC78A3" w:rsidRPr="00195E25" w:rsidRDefault="008D6762" w:rsidP="00DC78A3">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This report is the result of a collective work carried out by a group of civil society organizations from Guinea-Bissau, and aims to report to the United Nations Human Rights Committee information on the human rights situation in Guinea-Bissau, at a time when the country is experiencing one of the most challenging phases related to the promotion and defense of human rights. It can be said that, to a large extent, there has been no compliance with the norms of the International Covenant on Civil and Political Rights by the Guinea-Bissau authorities.</w:t>
      </w:r>
    </w:p>
    <w:p w14:paraId="7660F01D" w14:textId="77777777" w:rsidR="00DC78A3" w:rsidRPr="00195E25" w:rsidRDefault="00DC78A3" w:rsidP="00DC78A3">
      <w:pPr>
        <w:pStyle w:val="ListParagraph"/>
        <w:ind w:left="0"/>
        <w:jc w:val="both"/>
        <w:rPr>
          <w:rFonts w:ascii="Calibri" w:eastAsia="Batang" w:hAnsi="Calibri" w:cs="Calibri"/>
          <w:color w:val="000000" w:themeColor="text1"/>
          <w:lang w:val="en-US"/>
        </w:rPr>
      </w:pPr>
    </w:p>
    <w:p w14:paraId="36587D75" w14:textId="538E48CB" w:rsidR="008D6762" w:rsidRPr="00195E25" w:rsidRDefault="00F47666" w:rsidP="00DC78A3">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For the development of this work, the methodology used was the creation of work teams divided into two groups in order to collect data using the following techniques:</w:t>
      </w:r>
    </w:p>
    <w:p w14:paraId="60061E4C" w14:textId="77777777" w:rsidR="004E1584" w:rsidRPr="00195E25" w:rsidRDefault="004E1584" w:rsidP="008D6762">
      <w:pPr>
        <w:jc w:val="both"/>
        <w:rPr>
          <w:rFonts w:ascii="Calibri" w:eastAsia="Batang" w:hAnsi="Calibri" w:cs="Calibri"/>
          <w:color w:val="000000" w:themeColor="text1"/>
          <w:lang w:val="en-US"/>
        </w:rPr>
      </w:pPr>
    </w:p>
    <w:p w14:paraId="60A286BD" w14:textId="3D2667BA" w:rsidR="00003D40" w:rsidRPr="00195E25" w:rsidRDefault="00F47666" w:rsidP="004E1584">
      <w:pPr>
        <w:pStyle w:val="ListParagraph"/>
        <w:numPr>
          <w:ilvl w:val="0"/>
          <w:numId w:val="8"/>
        </w:numPr>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Consultation of documents – documents produced by different organizations were identified for consultation purposes, including press releases, reports and press releases. Its verifications were carried out in order to ensure its reliability.</w:t>
      </w:r>
    </w:p>
    <w:p w14:paraId="44EAFD9C" w14:textId="77777777" w:rsidR="00003D40" w:rsidRPr="00195E25" w:rsidRDefault="00003D40" w:rsidP="004E1584">
      <w:pPr>
        <w:pStyle w:val="ListParagraph"/>
        <w:jc w:val="both"/>
        <w:rPr>
          <w:rFonts w:ascii="Calibri" w:eastAsia="Batang" w:hAnsi="Calibri" w:cs="Calibri"/>
          <w:color w:val="000000" w:themeColor="text1"/>
          <w:lang w:val="en-US"/>
        </w:rPr>
      </w:pPr>
    </w:p>
    <w:p w14:paraId="751CDB2E" w14:textId="4103F9BD" w:rsidR="00F47666" w:rsidRPr="00195E25" w:rsidRDefault="00003D40" w:rsidP="004E1584">
      <w:pPr>
        <w:pStyle w:val="ListParagraph"/>
        <w:numPr>
          <w:ilvl w:val="0"/>
          <w:numId w:val="8"/>
        </w:numPr>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 xml:space="preserve">Interviews - as a way to verify the information collected or make it more accurate, interviews were conducted with some relevant actors from civil society and the media. </w:t>
      </w:r>
    </w:p>
    <w:p w14:paraId="4B94D5A5" w14:textId="77777777" w:rsidR="00DE1773" w:rsidRPr="00195E25" w:rsidRDefault="00DE1773" w:rsidP="008F7A83">
      <w:pPr>
        <w:jc w:val="center"/>
        <w:rPr>
          <w:rFonts w:ascii="Calibri" w:eastAsia="Batang" w:hAnsi="Calibri" w:cs="Calibri"/>
          <w:color w:val="000000" w:themeColor="text1"/>
          <w:lang w:val="en-US"/>
        </w:rPr>
      </w:pPr>
    </w:p>
    <w:p w14:paraId="3DEEC669" w14:textId="77777777" w:rsidR="00DE1773" w:rsidRPr="00195E25" w:rsidRDefault="00DE1773" w:rsidP="008F7A83">
      <w:pPr>
        <w:jc w:val="center"/>
        <w:rPr>
          <w:rFonts w:ascii="Calibri" w:eastAsia="Batang" w:hAnsi="Calibri" w:cs="Calibri"/>
          <w:color w:val="000000" w:themeColor="text1"/>
          <w:lang w:val="en-US"/>
        </w:rPr>
      </w:pPr>
    </w:p>
    <w:p w14:paraId="3DA5FF66" w14:textId="73526E37" w:rsidR="002D5E12" w:rsidRPr="00195E25" w:rsidRDefault="002B3AEC" w:rsidP="002B3AEC">
      <w:pPr>
        <w:pStyle w:val="Heading1"/>
        <w:rPr>
          <w:rFonts w:ascii="Calibri" w:eastAsia="Batang" w:hAnsi="Calibri" w:cs="Calibri"/>
          <w:sz w:val="28"/>
          <w:szCs w:val="28"/>
          <w:lang w:val="en-US"/>
        </w:rPr>
      </w:pPr>
      <w:bookmarkStart w:id="1" w:name="_Toc198976485"/>
      <w:r w:rsidRPr="00195E25">
        <w:rPr>
          <w:rFonts w:ascii="Calibri" w:eastAsia="Batang" w:hAnsi="Calibri" w:cs="Calibri"/>
          <w:sz w:val="28"/>
          <w:szCs w:val="28"/>
          <w:lang w:val="en-US"/>
        </w:rPr>
        <w:t>ORGANISATIONS INVOLVED IN THE DRAFTING OF THE REPORT</w:t>
      </w:r>
      <w:bookmarkEnd w:id="1"/>
    </w:p>
    <w:p w14:paraId="55A40352" w14:textId="7B7455AC" w:rsidR="00FC7912" w:rsidRPr="00195E25" w:rsidRDefault="002B3AEC" w:rsidP="00FC7912">
      <w:pPr>
        <w:rPr>
          <w:rFonts w:cstheme="minorHAnsi"/>
          <w:lang w:val="en-US"/>
        </w:rPr>
      </w:pPr>
      <w:r w:rsidRPr="00195E25">
        <w:rPr>
          <w:rFonts w:ascii="Calibri" w:eastAsia="Batang" w:hAnsi="Calibri" w:cs="Calibri"/>
          <w:b/>
          <w:bCs/>
          <w:color w:val="000000" w:themeColor="text1"/>
          <w:lang w:val="en-US"/>
        </w:rPr>
        <w:t>Guinean League for Human Rights – LGDH</w:t>
      </w:r>
      <w:r w:rsidRPr="00195E25">
        <w:rPr>
          <w:rFonts w:ascii="Calibri" w:eastAsia="Batang" w:hAnsi="Calibri" w:cs="Calibri"/>
          <w:color w:val="000000" w:themeColor="text1"/>
          <w:lang w:val="en-US"/>
        </w:rPr>
        <w:t xml:space="preserve"> – The Guinean League for Human Rights (LGDH) is a non-governmental organization for the promotion, defense and protection of the rights and freedoms of the human person founded on August 12, </w:t>
      </w:r>
      <w:r w:rsidR="00FC7912" w:rsidRPr="00195E25">
        <w:rPr>
          <w:rFonts w:cstheme="minorHAnsi"/>
          <w:lang w:val="en-US"/>
        </w:rPr>
        <w:t xml:space="preserve">1991. It aims to promote and defend the fundamental rights of citizens whose principles are enshrined in the Universal Declaration of Human Rights and the African Charter on the Human Rights of Peoples, its mission is to fight for a more just, tolerant, dialoguing society, equal rights and opportunities for citizens and the primacy of the law, the rule of law,  of democracy and the principles and values that shape it. </w:t>
      </w:r>
    </w:p>
    <w:p w14:paraId="7BF35D75" w14:textId="77777777" w:rsidR="00FC7912" w:rsidRPr="00195E25" w:rsidRDefault="00FC7912" w:rsidP="00FC7912">
      <w:pPr>
        <w:rPr>
          <w:rFonts w:cstheme="minorHAnsi"/>
          <w:lang w:val="en-US"/>
        </w:rPr>
      </w:pPr>
    </w:p>
    <w:p w14:paraId="3656B9AB" w14:textId="3C97A5D8" w:rsidR="004E1584" w:rsidRPr="00195E25" w:rsidRDefault="001E6190" w:rsidP="00FC7912">
      <w:pPr>
        <w:rPr>
          <w:rFonts w:cstheme="minorHAnsi"/>
          <w:lang w:val="en-US"/>
        </w:rPr>
      </w:pPr>
      <w:r w:rsidRPr="00195E25">
        <w:rPr>
          <w:rFonts w:cstheme="minorHAnsi"/>
          <w:lang w:val="en-US"/>
        </w:rPr>
        <w:t>The Guinean League for Human Rights is a member of the International Federation of Human Rights Leagues (FIDH), a founding member of the Inter-African Union on Human Rights, an Observer Member of the African Commission on Human and Peoples' Rights, a founding member of the Forum of Human and Children's Rights NGOs of the PALOP, a member of the World Organization Against Torture (OMCT, a privileged partner of Amnesty International),  Founding member of the National Civil Society Movement of Guinea-Bissau, the West African Network for Peacebuilding (WANEP-GB) and the NGO Concertation Platform (PLACON-GB).</w:t>
      </w:r>
    </w:p>
    <w:p w14:paraId="419DA567" w14:textId="77777777" w:rsidR="002B3AEC" w:rsidRPr="00195E25" w:rsidRDefault="002B3AEC" w:rsidP="002B3AEC">
      <w:pPr>
        <w:rPr>
          <w:rFonts w:ascii="Calibri" w:eastAsia="Batang" w:hAnsi="Calibri" w:cs="Calibri"/>
          <w:color w:val="000000" w:themeColor="text1"/>
          <w:lang w:val="en-US"/>
        </w:rPr>
      </w:pPr>
    </w:p>
    <w:p w14:paraId="200C9893" w14:textId="1A21FDF2" w:rsidR="00A93D41" w:rsidRPr="00195E25" w:rsidRDefault="00540535" w:rsidP="00540535">
      <w:pPr>
        <w:spacing w:line="276" w:lineRule="auto"/>
        <w:jc w:val="both"/>
        <w:rPr>
          <w:rFonts w:cstheme="minorHAnsi"/>
          <w:lang w:val="en-US"/>
        </w:rPr>
      </w:pPr>
      <w:r w:rsidRPr="00195E25">
        <w:rPr>
          <w:rFonts w:cstheme="minorHAnsi"/>
          <w:b/>
          <w:lang w:val="en-US"/>
        </w:rPr>
        <w:t>YOUTH ASSOCIATION FOR THE PROMOTION AND DEFENSE OF HUMAN RIGHTS (AJPDH) -</w:t>
      </w:r>
      <w:r w:rsidRPr="00195E25">
        <w:rPr>
          <w:rFonts w:cstheme="minorHAnsi"/>
          <w:lang w:val="en-US"/>
        </w:rPr>
        <w:t xml:space="preserve"> is a Guinean, non-governmental and non-profit youth organization, dedicated to the promotion and defense of human rights, with a special focus on youth. It operates throughout the national territory through awareness-raising, training and advocacy actions, promoting values such as justice, freedom, equality and civic participation. The association fights gender-based violence, including early marriage and female genital mutilation, defends the rights of people with disabilities and promotes social inclusion. It also intervenes in the areas of citizenship, education, environment, volunteering and children's rights. The AJPDH trains young leaders and collaborates with national and international partners to strengthen its mission and contribute to the development of Guinea-Bissau.</w:t>
      </w:r>
    </w:p>
    <w:p w14:paraId="1314A1F9" w14:textId="77777777" w:rsidR="00DA0C00" w:rsidRPr="00195E25" w:rsidRDefault="00DA0C00" w:rsidP="00540535">
      <w:pPr>
        <w:spacing w:line="276" w:lineRule="auto"/>
        <w:jc w:val="both"/>
        <w:rPr>
          <w:rFonts w:eastAsia="Batang" w:cstheme="minorHAnsi"/>
          <w:color w:val="000000" w:themeColor="text1"/>
          <w:lang w:val="en-US"/>
        </w:rPr>
      </w:pPr>
    </w:p>
    <w:p w14:paraId="20B79615" w14:textId="4742A76B" w:rsidR="00DA0C00" w:rsidRPr="00195E25" w:rsidRDefault="00A93D41" w:rsidP="00887FBE">
      <w:pPr>
        <w:rPr>
          <w:rFonts w:ascii="Calibri" w:eastAsia="Batang" w:hAnsi="Calibri" w:cs="Calibri"/>
          <w:color w:val="000000" w:themeColor="text1"/>
          <w:lang w:val="en-US"/>
        </w:rPr>
      </w:pPr>
      <w:r w:rsidRPr="00195E25">
        <w:rPr>
          <w:rFonts w:ascii="Calibri" w:eastAsia="Batang" w:hAnsi="Calibri" w:cs="Calibri"/>
          <w:b/>
          <w:bCs/>
          <w:color w:val="000000" w:themeColor="text1"/>
          <w:lang w:val="en-US"/>
        </w:rPr>
        <w:t>Women's Political Platform – PPM</w:t>
      </w:r>
      <w:r w:rsidRPr="00195E25">
        <w:rPr>
          <w:rFonts w:ascii="Calibri" w:eastAsia="Batang" w:hAnsi="Calibri" w:cs="Calibri"/>
          <w:color w:val="000000" w:themeColor="text1"/>
          <w:lang w:val="en-US"/>
        </w:rPr>
        <w:t xml:space="preserve"> – It is a non-profit organization that works to defend women's human rights and promote gender equality in the country. Recognized for its political incidence, PPM's mission is to expand female participation in decision-making spaces and combat all forms of discrimination and exclusion. One of her most important milestones was the decisive role she played in the approval of the Parity Law in Guinea-Bissau, which represents a historic breakthrough for the representation of women in national politics. The organization also conducts training, awareness campaigns and articulations with other civil society entities to ensure that women's rights are respected and protected in all spheres of public and private life.</w:t>
      </w:r>
    </w:p>
    <w:p w14:paraId="4B8DB223" w14:textId="3E055E99" w:rsidR="0061250D" w:rsidRPr="00195E25" w:rsidRDefault="0061250D" w:rsidP="00DA0C00">
      <w:pPr>
        <w:rPr>
          <w:rFonts w:ascii="Calibri" w:eastAsia="Batang" w:hAnsi="Calibri" w:cs="Calibri"/>
          <w:color w:val="000000" w:themeColor="text1"/>
          <w:lang w:val="en-US"/>
        </w:rPr>
      </w:pPr>
    </w:p>
    <w:p w14:paraId="081C4A60" w14:textId="36E807E7" w:rsidR="0061250D" w:rsidRPr="00195E25" w:rsidRDefault="0061250D" w:rsidP="002B3AEC">
      <w:pPr>
        <w:rPr>
          <w:rFonts w:ascii="Calibri" w:eastAsia="Batang" w:hAnsi="Calibri" w:cs="Calibri"/>
          <w:color w:val="000000" w:themeColor="text1"/>
          <w:lang w:val="en-US"/>
        </w:rPr>
      </w:pPr>
      <w:r w:rsidRPr="00195E25">
        <w:rPr>
          <w:rFonts w:ascii="Calibri" w:eastAsia="Batang" w:hAnsi="Calibri" w:cs="Calibri"/>
          <w:b/>
          <w:bCs/>
          <w:color w:val="000000" w:themeColor="text1"/>
          <w:lang w:val="en-US"/>
        </w:rPr>
        <w:t xml:space="preserve">Network of Human Rights Defenders – RDDH-GB – </w:t>
      </w:r>
      <w:r w:rsidR="00DA0C00" w:rsidRPr="00195E25">
        <w:rPr>
          <w:rFonts w:ascii="Calibri" w:eastAsia="Batang" w:hAnsi="Calibri" w:cs="Calibri"/>
          <w:color w:val="000000" w:themeColor="text1"/>
          <w:lang w:val="en-US"/>
        </w:rPr>
        <w:t>Founded in 2013, the RDDH-GB is a civil society organization that aims to promote and defend the rights of human rights defenders in the country. With administrative, financial, and patrimonial autonomy, the network works to train defenders, monitor the human rights situation, and support defenders in vulnerable situations. In addition, she is a member of the West African Network of Human Rights Defenders (WAHRDN) and works in accordance with international standards for the protection of human rights defenders.</w:t>
      </w:r>
    </w:p>
    <w:p w14:paraId="4E3E34F5" w14:textId="77777777" w:rsidR="008F7A83" w:rsidRPr="002D5E12" w:rsidRDefault="008F7A83" w:rsidP="002D5E12">
      <w:pPr>
        <w:pStyle w:val="Heading1"/>
        <w:rPr>
          <w:rFonts w:asciiTheme="majorHAnsi" w:eastAsia="Batang" w:hAnsiTheme="majorHAnsi" w:cstheme="majorHAnsi"/>
          <w:sz w:val="28"/>
          <w:szCs w:val="28"/>
        </w:rPr>
      </w:pPr>
      <w:bookmarkStart w:id="2" w:name="_Toc198976486"/>
      <w:r w:rsidRPr="002D5E12">
        <w:rPr>
          <w:rFonts w:asciiTheme="majorHAnsi" w:eastAsia="Batang" w:hAnsiTheme="majorHAnsi" w:cstheme="majorHAnsi"/>
          <w:sz w:val="28"/>
          <w:szCs w:val="28"/>
        </w:rPr>
        <w:t xml:space="preserve">CONTEXTUALIZATION </w:t>
      </w:r>
      <w:bookmarkEnd w:id="2"/>
    </w:p>
    <w:p w14:paraId="45FB0818" w14:textId="77777777" w:rsidR="008F7A83" w:rsidRPr="00D1230D" w:rsidRDefault="008F7A83" w:rsidP="008F7A83">
      <w:pPr>
        <w:rPr>
          <w:rFonts w:ascii="Calibri" w:eastAsia="Batang" w:hAnsi="Calibri" w:cs="Calibri"/>
          <w:b/>
          <w:color w:val="000000" w:themeColor="text1"/>
        </w:rPr>
      </w:pPr>
    </w:p>
    <w:p w14:paraId="6262E0ED" w14:textId="77777777" w:rsidR="002D5E12" w:rsidRPr="00195E25" w:rsidRDefault="008F7A83" w:rsidP="002D5E12">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Guinea-Bissau has been marked by episodes, throughout its history, of very serious violations of the right to life as a primary human right.</w:t>
      </w:r>
    </w:p>
    <w:p w14:paraId="1608C282" w14:textId="77777777" w:rsidR="002D5E12" w:rsidRPr="00195E25" w:rsidRDefault="002D5E12" w:rsidP="002D5E12">
      <w:pPr>
        <w:pStyle w:val="ListParagraph"/>
        <w:ind w:left="0"/>
        <w:jc w:val="both"/>
        <w:rPr>
          <w:rFonts w:ascii="Calibri" w:eastAsia="Batang" w:hAnsi="Calibri" w:cs="Calibri"/>
          <w:color w:val="000000" w:themeColor="text1"/>
          <w:lang w:val="en-US"/>
        </w:rPr>
      </w:pPr>
    </w:p>
    <w:p w14:paraId="1E102BD8" w14:textId="77777777" w:rsidR="00A16068" w:rsidRPr="00195E25" w:rsidRDefault="008F7A83" w:rsidP="00A16068">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 xml:space="preserve">In addition to the context of the national liberation struggle for independence from Portuguese colonialism that took place between 1963 and 1974 and the civil war of June 7, 1998, the constant political struggles that have always culminated in coups d'état or coup attempts have claimed several lives, especially those of politicians. An emblematic example is the assassination of President João Bernardo Vieira in his residence by armed men shortly after the bomb assassination of the then Chief of Staff of the Armed Forces, Tagme Na Waie. Alongside these events, numerous land disputes </w:t>
      </w:r>
      <w:r w:rsidRPr="00195E25">
        <w:rPr>
          <w:rFonts w:ascii="Calibri" w:eastAsia="Batang" w:hAnsi="Calibri" w:cs="Calibri"/>
          <w:color w:val="000000" w:themeColor="text1"/>
          <w:lang w:val="en-US"/>
        </w:rPr>
        <w:lastRenderedPageBreak/>
        <w:t>between communities and accusations of witchcraft have caused and are still producing several fatalities.</w:t>
      </w:r>
    </w:p>
    <w:p w14:paraId="6D6ED1FC" w14:textId="77777777" w:rsidR="00A16068" w:rsidRPr="00195E25" w:rsidRDefault="00A16068" w:rsidP="00A16068">
      <w:pPr>
        <w:pStyle w:val="ListParagraph"/>
        <w:rPr>
          <w:rFonts w:ascii="Calibri" w:eastAsia="Batang" w:hAnsi="Calibri" w:cs="Calibri"/>
          <w:color w:val="000000" w:themeColor="text1"/>
          <w:lang w:val="en-US"/>
        </w:rPr>
      </w:pPr>
    </w:p>
    <w:p w14:paraId="37182E98" w14:textId="77777777" w:rsidR="00EC5314" w:rsidRPr="00195E25" w:rsidRDefault="004B052C" w:rsidP="00EC5314">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The period under review, 2020 to 2025, was marked by a sharp setback in terms of compliance with the International Covenant on Civil and Political Rights, there were significant losses of human lives, excessive use of force and extrajudicial executions of police and militia authorities attached to the regime, restrictions on fundamental freedoms (freedom of assembly and demonstration,  freedom of expression and of the press), torture and ill-treatment, and more than 150 cases of murder, kidnapping, beatings or torture have been documented.</w:t>
      </w:r>
    </w:p>
    <w:p w14:paraId="35C04AD8" w14:textId="77777777" w:rsidR="00EC5314" w:rsidRPr="00195E25" w:rsidRDefault="00EC5314" w:rsidP="00EC5314">
      <w:pPr>
        <w:pStyle w:val="ListParagraph"/>
        <w:rPr>
          <w:rFonts w:ascii="Calibri" w:eastAsia="Batang" w:hAnsi="Calibri" w:cs="Calibri"/>
          <w:color w:val="000000" w:themeColor="text1"/>
          <w:lang w:val="en-US"/>
        </w:rPr>
      </w:pPr>
    </w:p>
    <w:p w14:paraId="3307B712" w14:textId="44CAE74C" w:rsidR="00C5781F" w:rsidRPr="00195E25" w:rsidRDefault="00C5781F" w:rsidP="00EC5314">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In the field of women's rights, the Parity Law has proven ineffective in promoting gender equality. Security and justice institutions have also been compromised by corruption schemes, especially in the fight against drug trafficking. In terms of socioeconomic rights, public investment in health and education has been inadequate, resulting in high rates of infant mortality and extreme poverty.</w:t>
      </w:r>
    </w:p>
    <w:p w14:paraId="62486C05" w14:textId="77777777" w:rsidR="00C5781F" w:rsidRPr="00195E25" w:rsidRDefault="00C5781F" w:rsidP="008F7A83">
      <w:pPr>
        <w:jc w:val="both"/>
        <w:rPr>
          <w:rFonts w:ascii="Calibri" w:eastAsia="Batang" w:hAnsi="Calibri" w:cs="Calibri"/>
          <w:color w:val="000000" w:themeColor="text1"/>
          <w:lang w:val="en-US"/>
        </w:rPr>
      </w:pPr>
    </w:p>
    <w:tbl>
      <w:tblPr>
        <w:tblStyle w:val="TableGrid"/>
        <w:tblW w:w="8488" w:type="dxa"/>
        <w:tblLook w:val="04A0" w:firstRow="1" w:lastRow="0" w:firstColumn="1" w:lastColumn="0" w:noHBand="0" w:noVBand="1"/>
      </w:tblPr>
      <w:tblGrid>
        <w:gridCol w:w="8488"/>
      </w:tblGrid>
      <w:tr w:rsidR="008676AD" w:rsidRPr="00195E25" w14:paraId="24EC6F16" w14:textId="77777777" w:rsidTr="008676AD">
        <w:tc>
          <w:tcPr>
            <w:tcW w:w="8488" w:type="dxa"/>
          </w:tcPr>
          <w:p w14:paraId="0120E9E0" w14:textId="77777777" w:rsidR="008676AD" w:rsidRPr="00195E25" w:rsidRDefault="008676AD" w:rsidP="009B33BF">
            <w:pPr>
              <w:pStyle w:val="Heading3"/>
              <w:jc w:val="center"/>
              <w:rPr>
                <w:rFonts w:ascii="Calibri" w:eastAsia="Batang" w:hAnsi="Calibri" w:cs="Calibri"/>
                <w:b/>
                <w:color w:val="000000" w:themeColor="text1"/>
                <w:lang w:val="en-US"/>
              </w:rPr>
            </w:pPr>
            <w:bookmarkStart w:id="3" w:name="_Toc198976487"/>
            <w:r w:rsidRPr="00195E25">
              <w:rPr>
                <w:rFonts w:ascii="Calibri" w:eastAsia="Batang" w:hAnsi="Calibri" w:cs="Calibri"/>
                <w:b/>
                <w:color w:val="000000" w:themeColor="text1"/>
                <w:lang w:val="en-US"/>
              </w:rPr>
              <w:lastRenderedPageBreak/>
              <w:t xml:space="preserve">Context of repression – suppression of the right to demonstrate </w:t>
            </w:r>
            <w:bookmarkEnd w:id="3"/>
          </w:p>
          <w:p w14:paraId="499A7FB7" w14:textId="77777777" w:rsidR="008676AD" w:rsidRPr="00195E25" w:rsidRDefault="008676AD" w:rsidP="008676AD">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Since January 2024, a Press Release issued by the National Police Commissioner prohibiting public demonstrations has been in force in Guinea-Bissau. In addition to this illegal prohibition, this Communiqué has served as a basis for strong police repression and the commission of a series of abuses by public authorities in the country, among which the event at the Popular Front March in May 2024 is emblematic.</w:t>
            </w:r>
          </w:p>
          <w:p w14:paraId="5B9F1152" w14:textId="77777777" w:rsidR="008676AD" w:rsidRPr="00195E25" w:rsidRDefault="008676AD" w:rsidP="008676AD">
            <w:pPr>
              <w:pStyle w:val="ListParagraph"/>
              <w:ind w:left="0"/>
              <w:jc w:val="both"/>
              <w:rPr>
                <w:rFonts w:ascii="Calibri" w:eastAsia="Batang" w:hAnsi="Calibri" w:cs="Calibri"/>
                <w:color w:val="000000" w:themeColor="text1"/>
                <w:lang w:val="en-US"/>
              </w:rPr>
            </w:pPr>
          </w:p>
          <w:p w14:paraId="566ECD39" w14:textId="77777777" w:rsidR="008676AD" w:rsidRPr="00195E25" w:rsidRDefault="008676AD" w:rsidP="008676AD">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In the context of the illegal prohibition of the right to demonstrate, in which Guinean civil society is prohibited from taking to the streets and publicly expressing its criticisms, dissatisfactions and demands regarding access to rights, the presentation of this Shadow Report of civil society takes on even greater importance, in order to subsidize this Committee with information and analysis on the degree of implementation of the Covenant in the country,  but also as a space for the establishment of some degree of dialogue between civil society and national institutions, something that has not been possible at the domestic level and which, due to its seriousness, deserves to be mentioned. In this context, the receipt of the Alternative Reports ensures a minimum of social participation in the State's action to implement actions aimed at respecting the rules of the Pact.</w:t>
            </w:r>
          </w:p>
          <w:p w14:paraId="73C3EE54" w14:textId="77777777" w:rsidR="008676AD" w:rsidRPr="00195E25" w:rsidRDefault="008676AD" w:rsidP="008676AD">
            <w:pPr>
              <w:pStyle w:val="ListParagraph"/>
              <w:rPr>
                <w:rFonts w:ascii="Calibri" w:eastAsia="Batang" w:hAnsi="Calibri" w:cs="Calibri"/>
                <w:color w:val="000000" w:themeColor="text1"/>
                <w:lang w:val="en-US"/>
              </w:rPr>
            </w:pPr>
          </w:p>
          <w:p w14:paraId="47AC6692" w14:textId="5089EDA6" w:rsidR="008676AD" w:rsidRPr="00195E25" w:rsidRDefault="008676AD" w:rsidP="008676AD">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 xml:space="preserve">With regard to the mandate of the Human Rights Committee, it is important to highlight the direct effect on the exercise and enjoyment of the rights provided for in articles 21 and 22 of the Covenant. The impossibility of demonstrating affects freedom of expression, opinion, association and, consequently, violates the right to participate in public and private life. It is worth mentioning that the prohibition of the demonstration and the repression associated with it has a negative impact on the country. </w:t>
            </w:r>
          </w:p>
          <w:p w14:paraId="382D3A3B" w14:textId="77777777" w:rsidR="008676AD" w:rsidRPr="00195E25" w:rsidRDefault="008676AD" w:rsidP="009B33BF">
            <w:pPr>
              <w:jc w:val="both"/>
              <w:rPr>
                <w:rFonts w:ascii="Calibri" w:eastAsia="Batang" w:hAnsi="Calibri" w:cs="Calibri"/>
                <w:color w:val="000000" w:themeColor="text1"/>
                <w:lang w:val="en-US"/>
              </w:rPr>
            </w:pPr>
          </w:p>
          <w:p w14:paraId="44EFDE79" w14:textId="77777777" w:rsidR="008676AD" w:rsidRPr="00195E25" w:rsidRDefault="008676AD" w:rsidP="009B33BF">
            <w:pPr>
              <w:jc w:val="center"/>
              <w:rPr>
                <w:rFonts w:ascii="Calibri" w:eastAsia="Batang" w:hAnsi="Calibri" w:cs="Calibri"/>
                <w:color w:val="000000" w:themeColor="text1"/>
                <w:lang w:val="en-US"/>
              </w:rPr>
            </w:pPr>
            <w:r w:rsidRPr="00195E25">
              <w:rPr>
                <w:rFonts w:ascii="Calibri" w:eastAsia="Batang" w:hAnsi="Calibri" w:cs="Calibri"/>
                <w:color w:val="000000" w:themeColor="text1"/>
                <w:lang w:val="en-US"/>
              </w:rPr>
              <w:t xml:space="preserve">*********************************** </w:t>
            </w:r>
          </w:p>
          <w:p w14:paraId="41369B94" w14:textId="77777777" w:rsidR="008676AD" w:rsidRPr="00195E25" w:rsidRDefault="008676AD" w:rsidP="009B33BF">
            <w:pPr>
              <w:pStyle w:val="Heading3"/>
              <w:spacing w:line="240" w:lineRule="auto"/>
              <w:jc w:val="center"/>
              <w:rPr>
                <w:rFonts w:ascii="Calibri" w:eastAsia="Batang" w:hAnsi="Calibri" w:cs="Calibri"/>
                <w:b/>
                <w:color w:val="000000" w:themeColor="text1"/>
                <w:lang w:val="en-US"/>
              </w:rPr>
            </w:pPr>
            <w:bookmarkStart w:id="4" w:name="_heading=h.gzenj945r999" w:colFirst="0" w:colLast="0"/>
            <w:bookmarkStart w:id="5" w:name="_Toc198976488"/>
            <w:bookmarkEnd w:id="4"/>
            <w:r w:rsidRPr="00195E25">
              <w:rPr>
                <w:rFonts w:ascii="Calibri" w:eastAsia="Batang" w:hAnsi="Calibri" w:cs="Calibri"/>
                <w:b/>
                <w:color w:val="000000" w:themeColor="text1"/>
                <w:lang w:val="en-US"/>
              </w:rPr>
              <w:t xml:space="preserve">Police repression of public demonstration in Bissau </w:t>
            </w:r>
            <w:bookmarkEnd w:id="5"/>
          </w:p>
          <w:p w14:paraId="7786D8BC" w14:textId="77777777" w:rsidR="008676AD" w:rsidRPr="00195E25" w:rsidRDefault="008676AD" w:rsidP="008676AD">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The repression of the Popular Front March, held in May 2024 in Bissau, is an emblematic episode of violation of the right to protest and serious human rights abuses.</w:t>
            </w:r>
          </w:p>
          <w:p w14:paraId="66FB4B83" w14:textId="107870AA" w:rsidR="008676AD" w:rsidRPr="00195E25" w:rsidRDefault="008676AD" w:rsidP="009B33BF">
            <w:pPr>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 xml:space="preserve"> </w:t>
            </w:r>
          </w:p>
          <w:p w14:paraId="5DC880BE" w14:textId="77777777" w:rsidR="008676AD" w:rsidRPr="00195E25" w:rsidRDefault="008676AD" w:rsidP="008676AD">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Although the demonstration was legally communicated, the government banned it from taking place, and the police responded with excessive force, resulting in 93 arbitrary arrests, including activists such as Mansata Mónica Silá, of the AJPDH, and Armando Lona, coordinator of the Popular Front.</w:t>
            </w:r>
          </w:p>
          <w:p w14:paraId="518CDD1F" w14:textId="3CBA9A91" w:rsidR="008676AD" w:rsidRPr="00195E25" w:rsidRDefault="008676AD" w:rsidP="009B33BF">
            <w:pPr>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 xml:space="preserve"> </w:t>
            </w:r>
          </w:p>
          <w:p w14:paraId="240BC3C2" w14:textId="77777777" w:rsidR="008676AD" w:rsidRPr="00195E25" w:rsidRDefault="008676AD" w:rsidP="008676AD">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 xml:space="preserve">Among the detainees, 14 were women (later, another woman was detained in Bafatá, according to information gathered by civil society). According to the Guinean Human Rights League (LGDH), the detainees suffered torture, ill-treatment and were held incommunicado, without access to the Public Prosecutor's Office or lawyers, in violation of constitutional guarantees. The organization also denounced that a pregnant woman lost her baby due to violence suffered during detention. </w:t>
            </w:r>
          </w:p>
          <w:p w14:paraId="7261A69E" w14:textId="77777777" w:rsidR="008676AD" w:rsidRPr="00195E25" w:rsidRDefault="008676AD" w:rsidP="009B33BF">
            <w:pPr>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lastRenderedPageBreak/>
              <w:t xml:space="preserve">After a meeting with the President of the Republic, some of the detainees were released, but eight activists, including Lona, remained detained beyond the legal deadline, in conditions classified as "kidnapping" by the LGDH, which held the State responsible for their physical integrity and demanded their immediate release. </w:t>
            </w:r>
          </w:p>
          <w:p w14:paraId="5C9DCCDF" w14:textId="77777777" w:rsidR="008676AD" w:rsidRPr="00195E25" w:rsidRDefault="008676AD" w:rsidP="009B33BF">
            <w:pPr>
              <w:jc w:val="both"/>
              <w:rPr>
                <w:rFonts w:ascii="Calibri" w:eastAsia="Batang" w:hAnsi="Calibri" w:cs="Calibri"/>
                <w:color w:val="000000" w:themeColor="text1"/>
                <w:lang w:val="en-US"/>
              </w:rPr>
            </w:pPr>
          </w:p>
          <w:p w14:paraId="34D16932" w14:textId="2741DDA2" w:rsidR="008676AD" w:rsidRPr="00195E25" w:rsidRDefault="008676AD" w:rsidP="008676AD">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 xml:space="preserve">These events highlight a worrying pattern of </w:t>
            </w:r>
            <w:r w:rsidRPr="00195E25">
              <w:rPr>
                <w:rFonts w:ascii="Calibri" w:eastAsia="Batang" w:hAnsi="Calibri" w:cs="Calibri"/>
                <w:b/>
                <w:color w:val="000000" w:themeColor="text1"/>
                <w:lang w:val="en-US"/>
              </w:rPr>
              <w:t>institutional repression, police abuse, and criminalization of peaceful protest</w:t>
            </w:r>
            <w:r w:rsidRPr="00195E25">
              <w:rPr>
                <w:rFonts w:ascii="Calibri" w:eastAsia="Batang" w:hAnsi="Calibri" w:cs="Calibri"/>
                <w:color w:val="000000" w:themeColor="text1"/>
                <w:lang w:val="en-US"/>
              </w:rPr>
              <w:t xml:space="preserve"> in Guinea-Bissau, particularly with severe consequences for women human rights defenders and women activists. </w:t>
            </w:r>
          </w:p>
        </w:tc>
      </w:tr>
    </w:tbl>
    <w:p w14:paraId="4101652C" w14:textId="77777777" w:rsidR="00033545" w:rsidRPr="00195E25" w:rsidRDefault="00033545" w:rsidP="008F7A83">
      <w:pPr>
        <w:jc w:val="both"/>
        <w:rPr>
          <w:rFonts w:ascii="Calibri" w:eastAsia="Batang" w:hAnsi="Calibri" w:cs="Calibri"/>
          <w:color w:val="000000" w:themeColor="text1"/>
          <w:lang w:val="en-US"/>
        </w:rPr>
      </w:pPr>
    </w:p>
    <w:p w14:paraId="4B99056E" w14:textId="77777777" w:rsidR="00703099" w:rsidRPr="00195E25" w:rsidRDefault="00703099" w:rsidP="008F7A83">
      <w:pPr>
        <w:jc w:val="both"/>
        <w:rPr>
          <w:rFonts w:ascii="Calibri" w:eastAsia="Batang" w:hAnsi="Calibri" w:cs="Calibri"/>
          <w:b/>
          <w:bCs/>
          <w:color w:val="000000" w:themeColor="text1"/>
          <w:lang w:val="en-US"/>
        </w:rPr>
      </w:pPr>
    </w:p>
    <w:p w14:paraId="5AF95B99" w14:textId="10FCC04F" w:rsidR="00033545" w:rsidRPr="00195E25" w:rsidRDefault="00190991" w:rsidP="008676AD">
      <w:pPr>
        <w:pStyle w:val="Heading2"/>
        <w:rPr>
          <w:b/>
          <w:bCs/>
          <w:color w:val="auto"/>
          <w:lang w:val="en-US"/>
        </w:rPr>
      </w:pPr>
      <w:bookmarkStart w:id="6" w:name="_Toc198976489"/>
      <w:r w:rsidRPr="00195E25">
        <w:rPr>
          <w:b/>
          <w:bCs/>
          <w:color w:val="auto"/>
          <w:lang w:val="en-US"/>
        </w:rPr>
        <w:t>Excessive use of force and extrajudicial executions – Article 7 of the Covenant</w:t>
      </w:r>
      <w:bookmarkEnd w:id="6"/>
    </w:p>
    <w:p w14:paraId="1299C43A" w14:textId="77777777" w:rsidR="00190991" w:rsidRPr="00195E25" w:rsidRDefault="00190991" w:rsidP="008676AD">
      <w:pPr>
        <w:pStyle w:val="Heading2"/>
        <w:rPr>
          <w:color w:val="auto"/>
          <w:lang w:val="en-US"/>
        </w:rPr>
      </w:pPr>
    </w:p>
    <w:p w14:paraId="15E19A81" w14:textId="77777777" w:rsidR="0003686F" w:rsidRPr="00195E25" w:rsidRDefault="00033545" w:rsidP="0003686F">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The Right to life and physical integrity are located on the highest pedestal of fundamental rights and freedoms, as they are the basis for the observance and realization of other rights. Despite this finding and the full formal protection it enjoys at the constitutional level and under international law, the right to life and physical integrity continue to be the target of constant threats and violations in Guinea-Bissau.</w:t>
      </w:r>
    </w:p>
    <w:p w14:paraId="0E57B90B" w14:textId="77777777" w:rsidR="0003686F" w:rsidRPr="00195E25" w:rsidRDefault="0003686F" w:rsidP="0003686F">
      <w:pPr>
        <w:pStyle w:val="ListParagraph"/>
        <w:ind w:left="0"/>
        <w:jc w:val="both"/>
        <w:rPr>
          <w:rFonts w:ascii="Calibri" w:eastAsia="Batang" w:hAnsi="Calibri" w:cs="Calibri"/>
          <w:color w:val="000000" w:themeColor="text1"/>
          <w:lang w:val="en-US"/>
        </w:rPr>
      </w:pPr>
    </w:p>
    <w:p w14:paraId="680B2D5E" w14:textId="77777777" w:rsidR="0003686F" w:rsidRPr="00195E25" w:rsidRDefault="00DE050F" w:rsidP="0003686F">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On February 1, 2022, 11 people, including military and civilians, lost their lives after an attack on the Government Palace, this episode was dubbed an attempted coup d'état by the authorities. Subsequently, about 50 people, including civilians and military personnel, were arbitrarily detained by the defense and security forces without a judicial warrant.</w:t>
      </w:r>
    </w:p>
    <w:p w14:paraId="0FD85E1F" w14:textId="77777777" w:rsidR="0003686F" w:rsidRPr="00195E25" w:rsidRDefault="0003686F" w:rsidP="0003686F">
      <w:pPr>
        <w:pStyle w:val="ListParagraph"/>
        <w:rPr>
          <w:rFonts w:ascii="Calibri" w:eastAsia="Batang" w:hAnsi="Calibri" w:cs="Calibri"/>
          <w:color w:val="000000" w:themeColor="text1"/>
          <w:lang w:val="en-US" w:eastAsia="pt-PT"/>
        </w:rPr>
      </w:pPr>
    </w:p>
    <w:p w14:paraId="12B7C51B" w14:textId="77777777" w:rsidR="00A91001" w:rsidRPr="00195E25" w:rsidRDefault="0003686F" w:rsidP="00A91001">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eastAsia="pt-PT"/>
        </w:rPr>
        <w:t>On October 17, 2023, the excessive use of force by the police authorities of the 7th Precinct fatally killed a young man named Abdul Carimo Sani who could not withstand the injuries caused by the beating.</w:t>
      </w:r>
    </w:p>
    <w:p w14:paraId="2F11572E" w14:textId="77777777" w:rsidR="00A91001" w:rsidRPr="00195E25" w:rsidRDefault="00A91001" w:rsidP="00A91001">
      <w:pPr>
        <w:pStyle w:val="ListParagraph"/>
        <w:rPr>
          <w:rFonts w:ascii="Calibri" w:eastAsia="Batang" w:hAnsi="Calibri" w:cs="Calibri"/>
          <w:color w:val="000000" w:themeColor="text1"/>
          <w:lang w:val="en-US" w:eastAsia="pt-PT"/>
        </w:rPr>
      </w:pPr>
    </w:p>
    <w:p w14:paraId="0ECD57F6" w14:textId="77777777" w:rsidR="00214714" w:rsidRDefault="004F45AE" w:rsidP="00214714">
      <w:pPr>
        <w:pStyle w:val="ListParagraph"/>
        <w:numPr>
          <w:ilvl w:val="0"/>
          <w:numId w:val="27"/>
        </w:numPr>
        <w:ind w:left="0" w:firstLine="0"/>
        <w:jc w:val="both"/>
        <w:rPr>
          <w:rFonts w:ascii="Calibri" w:eastAsia="Batang" w:hAnsi="Calibri" w:cs="Calibri"/>
          <w:color w:val="000000" w:themeColor="text1"/>
        </w:rPr>
      </w:pPr>
      <w:r w:rsidRPr="00195E25">
        <w:rPr>
          <w:rFonts w:ascii="Calibri" w:eastAsia="Batang" w:hAnsi="Calibri" w:cs="Calibri"/>
          <w:color w:val="000000" w:themeColor="text1"/>
          <w:lang w:val="en-US" w:eastAsia="pt-PT"/>
        </w:rPr>
        <w:t xml:space="preserve">In 2024, four women were murdered in the Gabú region. One of the most shocking cases involved an 18-year-old girl who was brutally beaten to death by a group of women for refusing to marry a 50-year-old man.  In recent times, this criminal trend has been witnessed, a fact that motivated a vigil promoted by the LGDH with the participation of several organizations and individuals who fight for the women's cause, as is the case of RENLUV.  On April 3, 2024, the organizations came together calling on the State to criminalize femicide in the Guinean Penal Code in order to reverse this trend. Eight people were also murdered in the north of the country after being forced to ingest an unknown substance that is supposed to identify sorcerers. </w:t>
      </w:r>
      <w:r w:rsidRPr="00A91001">
        <w:rPr>
          <w:rFonts w:ascii="Calibri" w:eastAsia="Batang" w:hAnsi="Calibri" w:cs="Calibri"/>
          <w:color w:val="000000" w:themeColor="text1"/>
          <w:lang w:eastAsia="pt-PT"/>
        </w:rPr>
        <w:t>Meanwhile, there were more than 20 murders in this period.</w:t>
      </w:r>
    </w:p>
    <w:p w14:paraId="76B41E81" w14:textId="77777777" w:rsidR="00214714" w:rsidRPr="00214714" w:rsidRDefault="00214714" w:rsidP="00214714">
      <w:pPr>
        <w:pStyle w:val="ListParagraph"/>
        <w:rPr>
          <w:rFonts w:ascii="Calibri" w:eastAsia="Batang" w:hAnsi="Calibri" w:cs="Calibri"/>
          <w:color w:val="000000" w:themeColor="text1"/>
          <w:lang w:eastAsia="pt-PT"/>
        </w:rPr>
      </w:pPr>
    </w:p>
    <w:p w14:paraId="34574DA8" w14:textId="77777777" w:rsidR="00750C9F" w:rsidRPr="00195E25" w:rsidRDefault="00190991" w:rsidP="00750C9F">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eastAsia="pt-PT"/>
        </w:rPr>
        <w:t xml:space="preserve">In March 2021, two journalists were brutally beaten, one left on the verge of death after being kidnapped and taken to an uncertain location by agents allegedly from the presidential guard.  </w:t>
      </w:r>
    </w:p>
    <w:p w14:paraId="144AE786" w14:textId="77777777" w:rsidR="00750C9F" w:rsidRPr="00195E25" w:rsidRDefault="00750C9F" w:rsidP="00750C9F">
      <w:pPr>
        <w:pStyle w:val="ListParagraph"/>
        <w:rPr>
          <w:rFonts w:ascii="Calibri" w:eastAsia="Batang" w:hAnsi="Calibri" w:cs="Calibri"/>
          <w:color w:val="000000" w:themeColor="text1"/>
          <w:lang w:val="en-US" w:eastAsia="pt-PT"/>
        </w:rPr>
      </w:pPr>
    </w:p>
    <w:p w14:paraId="732F8CF4" w14:textId="7F1F598F" w:rsidR="00D643A9" w:rsidRPr="00195E25" w:rsidRDefault="00D643A9" w:rsidP="00750C9F">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eastAsia="pt-PT"/>
        </w:rPr>
        <w:t xml:space="preserve">In November 2024, the youth leader of the Madem G-15 party, Lassana Issuf Corobum, was detained and subjected to severe torture at the Ministry of the Interior. Another activist from the same party named Queba Sané was detained by the same </w:t>
      </w:r>
      <w:r w:rsidRPr="00195E25">
        <w:rPr>
          <w:rFonts w:ascii="Calibri" w:eastAsia="Batang" w:hAnsi="Calibri" w:cs="Calibri"/>
          <w:color w:val="000000" w:themeColor="text1"/>
          <w:lang w:val="en-US" w:eastAsia="pt-PT"/>
        </w:rPr>
        <w:lastRenderedPageBreak/>
        <w:t xml:space="preserve">entity in August 2024 and subjected to torture, and was even presumed dead due to the seriousness of the act suffered. </w:t>
      </w:r>
    </w:p>
    <w:p w14:paraId="1FC39945" w14:textId="77777777" w:rsidR="00905155" w:rsidRPr="00195E25" w:rsidRDefault="00905155" w:rsidP="008F7A83">
      <w:pPr>
        <w:jc w:val="both"/>
        <w:rPr>
          <w:rFonts w:ascii="Calibri" w:eastAsia="Batang" w:hAnsi="Calibri" w:cs="Calibri"/>
          <w:color w:val="000000" w:themeColor="text1"/>
          <w:lang w:val="en-US"/>
        </w:rPr>
      </w:pPr>
    </w:p>
    <w:tbl>
      <w:tblPr>
        <w:tblStyle w:val="TableGrid"/>
        <w:tblW w:w="0" w:type="auto"/>
        <w:tblLook w:val="04A0" w:firstRow="1" w:lastRow="0" w:firstColumn="1" w:lastColumn="0" w:noHBand="0" w:noVBand="1"/>
      </w:tblPr>
      <w:tblGrid>
        <w:gridCol w:w="8488"/>
      </w:tblGrid>
      <w:tr w:rsidR="006946B3" w:rsidRPr="00195E25" w14:paraId="5169B774" w14:textId="77777777" w:rsidTr="006946B3">
        <w:tc>
          <w:tcPr>
            <w:tcW w:w="8488" w:type="dxa"/>
          </w:tcPr>
          <w:p w14:paraId="3D28FE72" w14:textId="77777777" w:rsidR="006946B3" w:rsidRPr="00D1230D" w:rsidRDefault="006946B3" w:rsidP="006946B3">
            <w:pPr>
              <w:jc w:val="both"/>
              <w:rPr>
                <w:rFonts w:ascii="Calibri" w:eastAsia="Batang" w:hAnsi="Calibri" w:cs="Calibri"/>
                <w:b/>
                <w:color w:val="000000" w:themeColor="text1"/>
                <w:lang w:eastAsia="pt-PT"/>
              </w:rPr>
            </w:pPr>
            <w:r w:rsidRPr="00D1230D">
              <w:rPr>
                <w:rFonts w:ascii="Calibri" w:eastAsia="Batang" w:hAnsi="Calibri" w:cs="Calibri"/>
                <w:b/>
                <w:color w:val="000000" w:themeColor="text1"/>
                <w:lang w:eastAsia="pt-PT"/>
              </w:rPr>
              <w:t>Recommendations for the State:</w:t>
            </w:r>
          </w:p>
          <w:p w14:paraId="68B61E8C" w14:textId="77777777" w:rsidR="006946B3" w:rsidRPr="00D1230D" w:rsidRDefault="006946B3" w:rsidP="006946B3">
            <w:pPr>
              <w:jc w:val="both"/>
              <w:rPr>
                <w:rFonts w:ascii="Calibri" w:eastAsia="Batang" w:hAnsi="Calibri" w:cs="Calibri"/>
                <w:b/>
                <w:color w:val="000000" w:themeColor="text1"/>
                <w:lang w:eastAsia="pt-PT"/>
              </w:rPr>
            </w:pPr>
          </w:p>
          <w:p w14:paraId="2DBED779" w14:textId="77777777" w:rsidR="006946B3" w:rsidRPr="00195E25" w:rsidRDefault="006946B3" w:rsidP="006946B3">
            <w:pPr>
              <w:pStyle w:val="ListParagraph"/>
              <w:numPr>
                <w:ilvl w:val="0"/>
                <w:numId w:val="23"/>
              </w:numPr>
              <w:jc w:val="both"/>
              <w:rPr>
                <w:rFonts w:ascii="Calibri" w:eastAsia="Batang" w:hAnsi="Calibri" w:cs="Calibri"/>
                <w:bCs/>
                <w:color w:val="000000" w:themeColor="text1"/>
                <w:lang w:val="en-US" w:eastAsia="pt-PT"/>
              </w:rPr>
            </w:pPr>
            <w:r w:rsidRPr="00195E25">
              <w:rPr>
                <w:rFonts w:ascii="Calibri" w:eastAsia="Batang" w:hAnsi="Calibri" w:cs="Calibri"/>
                <w:bCs/>
                <w:color w:val="000000" w:themeColor="text1"/>
                <w:lang w:val="en-US" w:eastAsia="pt-PT"/>
              </w:rPr>
              <w:t xml:space="preserve">Investigate, identify and bring to justice all those responsible in connection with police violence; </w:t>
            </w:r>
          </w:p>
          <w:p w14:paraId="0D5D050B" w14:textId="77777777" w:rsidR="006946B3" w:rsidRPr="00195E25" w:rsidRDefault="006946B3" w:rsidP="006946B3">
            <w:pPr>
              <w:jc w:val="both"/>
              <w:rPr>
                <w:rFonts w:ascii="Calibri" w:eastAsia="Batang" w:hAnsi="Calibri" w:cs="Calibri"/>
                <w:bCs/>
                <w:color w:val="000000" w:themeColor="text1"/>
                <w:lang w:val="en-US" w:eastAsia="pt-PT"/>
              </w:rPr>
            </w:pPr>
          </w:p>
          <w:p w14:paraId="4497206E" w14:textId="39A8C40A" w:rsidR="006946B3" w:rsidRPr="00195E25" w:rsidRDefault="006946B3" w:rsidP="006946B3">
            <w:pPr>
              <w:pStyle w:val="ListParagraph"/>
              <w:numPr>
                <w:ilvl w:val="0"/>
                <w:numId w:val="22"/>
              </w:numPr>
              <w:jc w:val="both"/>
              <w:rPr>
                <w:rFonts w:ascii="Calibri" w:eastAsia="Batang" w:hAnsi="Calibri" w:cs="Calibri"/>
                <w:bCs/>
                <w:color w:val="000000" w:themeColor="text1"/>
                <w:lang w:val="en-US" w:eastAsia="pt-PT"/>
              </w:rPr>
            </w:pPr>
            <w:r w:rsidRPr="00195E25">
              <w:rPr>
                <w:rFonts w:ascii="Calibri" w:eastAsia="Batang" w:hAnsi="Calibri" w:cs="Calibri"/>
                <w:bCs/>
                <w:color w:val="000000" w:themeColor="text1"/>
                <w:lang w:val="en-US" w:eastAsia="pt-PT"/>
              </w:rPr>
              <w:t>Incorporate the crime of femicide into the Guinean Penal Code, autonomously</w:t>
            </w:r>
          </w:p>
          <w:p w14:paraId="1C78628F" w14:textId="77777777" w:rsidR="006946B3" w:rsidRPr="00195E25" w:rsidRDefault="006946B3" w:rsidP="00774AD1">
            <w:pPr>
              <w:jc w:val="both"/>
              <w:rPr>
                <w:rFonts w:ascii="Calibri" w:eastAsia="Batang" w:hAnsi="Calibri" w:cs="Calibri"/>
                <w:b/>
                <w:color w:val="000000" w:themeColor="text1"/>
                <w:lang w:val="en-US" w:eastAsia="pt-PT"/>
              </w:rPr>
            </w:pPr>
          </w:p>
        </w:tc>
      </w:tr>
    </w:tbl>
    <w:p w14:paraId="294DDB23" w14:textId="2ADCA229" w:rsidR="008B3479" w:rsidRPr="00195E25" w:rsidRDefault="008B3479" w:rsidP="008F7A83">
      <w:pPr>
        <w:jc w:val="both"/>
        <w:rPr>
          <w:rFonts w:ascii="Calibri" w:eastAsia="Batang" w:hAnsi="Calibri" w:cs="Calibri"/>
          <w:b/>
          <w:color w:val="000000" w:themeColor="text1"/>
          <w:lang w:val="en-US" w:eastAsia="pt-PT"/>
        </w:rPr>
      </w:pPr>
    </w:p>
    <w:p w14:paraId="3467751D" w14:textId="77B82A9A" w:rsidR="00774AD1" w:rsidRPr="00195E25" w:rsidRDefault="00774AD1" w:rsidP="00774AD1">
      <w:pPr>
        <w:pStyle w:val="Heading2"/>
        <w:rPr>
          <w:b/>
          <w:bCs/>
          <w:color w:val="auto"/>
          <w:lang w:val="en-US" w:eastAsia="pt-PT"/>
        </w:rPr>
      </w:pPr>
      <w:bookmarkStart w:id="7" w:name="_Toc198976490"/>
      <w:r w:rsidRPr="00195E25">
        <w:rPr>
          <w:b/>
          <w:bCs/>
          <w:color w:val="auto"/>
          <w:lang w:val="en-US" w:eastAsia="pt-PT"/>
        </w:rPr>
        <w:t>Freedoms of Assembly, Expression, Demonstration, Freedom of the Press – (Articles 19, 21, 22, 7, 9 and 14 of the Covenant)</w:t>
      </w:r>
      <w:bookmarkEnd w:id="7"/>
    </w:p>
    <w:p w14:paraId="34CE0A41" w14:textId="77777777" w:rsidR="00EF7D90" w:rsidRPr="00195E25" w:rsidRDefault="00EF7D90" w:rsidP="008F7A83">
      <w:pPr>
        <w:jc w:val="both"/>
        <w:rPr>
          <w:rFonts w:ascii="Calibri" w:eastAsia="Batang" w:hAnsi="Calibri" w:cs="Calibri"/>
          <w:color w:val="000000" w:themeColor="text1"/>
          <w:lang w:val="en-US"/>
        </w:rPr>
      </w:pPr>
    </w:p>
    <w:p w14:paraId="35D8F2DF" w14:textId="77777777" w:rsidR="003E2093" w:rsidRPr="00195E25" w:rsidRDefault="00557861" w:rsidP="003E2093">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The Constitution of Guinea-Bissau contains provisions for the protection of the right to freedom of peaceful assembly (Articles 54 to 56), as the State also refers to in its report (paragraphs 344 and 366). In addition, there is also a law on freedom of demonstration and assembly, Law 3/92. It should be noted that the Constitution and the law do not provide for any additional formality to be able to carry out a demonstration, only prior notice. Precisely as a result of this fact, the State's obligation to ensure the realization of peaceful demonstrations when prior notice is served. However, public entities have been prohibiting and repelling meetings and demonstrations in a brutal way, alleging the lack of authorization.</w:t>
      </w:r>
    </w:p>
    <w:p w14:paraId="442D6AD1" w14:textId="77777777" w:rsidR="003E2093" w:rsidRPr="00195E25" w:rsidRDefault="003E2093" w:rsidP="003E2093">
      <w:pPr>
        <w:pStyle w:val="ListParagraph"/>
        <w:ind w:left="0"/>
        <w:jc w:val="both"/>
        <w:rPr>
          <w:rFonts w:ascii="Calibri" w:eastAsia="Batang" w:hAnsi="Calibri" w:cs="Calibri"/>
          <w:color w:val="000000" w:themeColor="text1"/>
          <w:lang w:val="en-US"/>
        </w:rPr>
      </w:pPr>
    </w:p>
    <w:p w14:paraId="41BD84A8" w14:textId="349203AF" w:rsidR="00B36889" w:rsidRPr="00195E25" w:rsidRDefault="00065A06" w:rsidP="00B36889">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A statement from the Ministry of the Interior and Public Order of Guinea-Bissau dated January 15, 2024 prohibited, indefinitely, the freedom of assembly and demonstration or any civic or political act in the country, under the pretext of the search and seizure operation of firearms that were allegedly in the possession of citizens following the alleged coup attempt that took place on February 1, 2022.</w:t>
      </w:r>
    </w:p>
    <w:p w14:paraId="02C030FB" w14:textId="77777777" w:rsidR="00B36889" w:rsidRPr="00195E25" w:rsidRDefault="00B36889" w:rsidP="00B36889">
      <w:pPr>
        <w:pStyle w:val="ListParagraph"/>
        <w:rPr>
          <w:rFonts w:ascii="Calibri" w:eastAsia="Batang" w:hAnsi="Calibri" w:cs="Calibri"/>
          <w:color w:val="000000" w:themeColor="text1"/>
          <w:lang w:val="en-US"/>
        </w:rPr>
      </w:pPr>
    </w:p>
    <w:p w14:paraId="3F075E66" w14:textId="77777777" w:rsidR="00027B78" w:rsidRPr="00195E25" w:rsidRDefault="00C603DF" w:rsidP="00027B78">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This illegal and unconstitutional act, which also affronts the freedoms enshrined in the text of the Covenant, Article 21, has the sole and exclusive objective of restricting or suppressing the fundamental freedoms of citizens, prohibiting them from holding any assembly or demonstration. Even demonstrations about the escalating cost of living and the deterioration of the rights to health and education, which are economic, social and cultural rights, were reprimanded.</w:t>
      </w:r>
    </w:p>
    <w:p w14:paraId="18BD3B8F" w14:textId="77777777" w:rsidR="00027B78" w:rsidRPr="00195E25" w:rsidRDefault="00027B78" w:rsidP="00027B78">
      <w:pPr>
        <w:pStyle w:val="ListParagraph"/>
        <w:rPr>
          <w:rFonts w:ascii="Calibri" w:eastAsia="Batang" w:hAnsi="Calibri" w:cs="Calibri"/>
          <w:color w:val="000000" w:themeColor="text1"/>
          <w:lang w:val="en-US"/>
        </w:rPr>
      </w:pPr>
    </w:p>
    <w:p w14:paraId="547B8683" w14:textId="77777777" w:rsidR="00C242C9" w:rsidRPr="00195E25" w:rsidRDefault="00C603DF" w:rsidP="00C242C9">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This prohibition, on the other hand, has conditioned the activities of political parties that have been left with no space to position themselves in the face of the serious political crisis installed with the resignation of the legitimate government that emerged from the last legislative election held in June 2023, the dissolution of the National People's Assembly on December 4, 2023 and the kidnapping of the Supreme Court of Justice forcing its president to resign from his functions.</w:t>
      </w:r>
    </w:p>
    <w:p w14:paraId="21E43B7D" w14:textId="77777777" w:rsidR="00C242C9" w:rsidRPr="00195E25" w:rsidRDefault="00C242C9" w:rsidP="00C242C9">
      <w:pPr>
        <w:pStyle w:val="ListParagraph"/>
        <w:rPr>
          <w:rFonts w:ascii="Calibri" w:eastAsia="Batang" w:hAnsi="Calibri" w:cs="Calibri"/>
          <w:color w:val="000000" w:themeColor="text1"/>
          <w:lang w:val="en-US"/>
        </w:rPr>
      </w:pPr>
    </w:p>
    <w:p w14:paraId="59E0DD86" w14:textId="77777777" w:rsidR="00751894" w:rsidRPr="00195E25" w:rsidRDefault="00391E58" w:rsidP="00751894">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 xml:space="preserve">As a result, repressive measures have been adopted against any initiatives aimed at the exercise of these freedoms with constitutional dignity, as can be read in the cases listed below. </w:t>
      </w:r>
    </w:p>
    <w:p w14:paraId="229F30C7" w14:textId="77777777" w:rsidR="00751894" w:rsidRPr="00195E25" w:rsidRDefault="00751894" w:rsidP="00751894">
      <w:pPr>
        <w:pStyle w:val="ListParagraph"/>
        <w:rPr>
          <w:rFonts w:ascii="Calibri" w:eastAsia="Batang" w:hAnsi="Calibri" w:cs="Calibri"/>
          <w:color w:val="000000" w:themeColor="text1"/>
          <w:lang w:val="en-US"/>
        </w:rPr>
      </w:pPr>
    </w:p>
    <w:p w14:paraId="16D128EC" w14:textId="77777777" w:rsidR="00CD09C9" w:rsidRPr="00195E25" w:rsidRDefault="00F778C0" w:rsidP="00CD09C9">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 xml:space="preserve">The recent persecution of LGDH leaders by security forces assigned to the Ministry of the Interior and Public Order on April 12, 2025 is an example. The president of the LGDH made a complaint about the health system with emphasis on the problems faced by the hemodialysis center. The denunciation was followed by persecution of the members of the League and its president. The residences of the League's leaders were the target of night patrols. There was an abusive and forced invasion and intrusion into the President's house in broad daylight with the aim of capturing him, leaving his wife and children in panic. The threats to the LGDH and its leaders were systematic in an attempt to silence this organization and condition its performance as an unavoidable actor in the struggle for the promotion, defense and protection of human rights in Guinea-Bissau.      </w:t>
      </w:r>
    </w:p>
    <w:p w14:paraId="711BAFFC" w14:textId="77777777" w:rsidR="00CD09C9" w:rsidRPr="00195E25" w:rsidRDefault="00CD09C9" w:rsidP="00CD09C9">
      <w:pPr>
        <w:pStyle w:val="ListParagraph"/>
        <w:rPr>
          <w:rFonts w:ascii="Calibri" w:eastAsia="Batang" w:hAnsi="Calibri" w:cs="Calibri"/>
          <w:color w:val="000000" w:themeColor="text1"/>
          <w:lang w:val="en-US" w:eastAsia="pt-PT"/>
        </w:rPr>
      </w:pPr>
    </w:p>
    <w:p w14:paraId="77E2CE23" w14:textId="77777777" w:rsidR="005E446F" w:rsidRPr="00195E25" w:rsidRDefault="0040111E" w:rsidP="005E446F">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eastAsia="pt-PT"/>
        </w:rPr>
        <w:t>There has been a growing crackdown on pluralism and fundamental freedoms. The political opposition is constantly being harassed and attacked. Opposition leaders face threats, violence and travel bans. According to what has been documented, the PAICG leader was prevented from traveling abroad 5 times, between 2021 and 2024, violating not only the principle of free movement of citizens enshrined in the constitutional text, Article 53, but also Article 12 of the ICCPR in the matter concerned.</w:t>
      </w:r>
    </w:p>
    <w:p w14:paraId="530B1631" w14:textId="77777777" w:rsidR="005E446F" w:rsidRPr="00195E25" w:rsidRDefault="005E446F" w:rsidP="005E446F">
      <w:pPr>
        <w:pStyle w:val="ListParagraph"/>
        <w:rPr>
          <w:rFonts w:ascii="Calibri" w:eastAsia="Batang" w:hAnsi="Calibri" w:cs="Calibri"/>
          <w:color w:val="000000" w:themeColor="text1"/>
          <w:lang w:val="en-US" w:eastAsia="pt-PT"/>
        </w:rPr>
      </w:pPr>
    </w:p>
    <w:p w14:paraId="4020D4BB" w14:textId="77777777" w:rsidR="00593AF9" w:rsidRPr="00195E25" w:rsidRDefault="00237023" w:rsidP="00593AF9">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eastAsia="pt-PT"/>
        </w:rPr>
        <w:t>There was an attempt, in 2024, to prohibit the leader of the PRS from traveling, who in the same year faced another form of political pressure, having been attacked in his own residence by security agents who threw tear gas inside, in a meeting with militants, shortly after being prevented from accessing the party's headquarters.</w:t>
      </w:r>
    </w:p>
    <w:p w14:paraId="468DD2D7" w14:textId="77777777" w:rsidR="00593AF9" w:rsidRPr="00195E25" w:rsidRDefault="00593AF9" w:rsidP="00593AF9">
      <w:pPr>
        <w:pStyle w:val="ListParagraph"/>
        <w:rPr>
          <w:rFonts w:ascii="Calibri" w:eastAsia="Batang" w:hAnsi="Calibri" w:cs="Calibri"/>
          <w:color w:val="000000" w:themeColor="text1"/>
          <w:lang w:val="en-US" w:eastAsia="pt-PT"/>
        </w:rPr>
      </w:pPr>
    </w:p>
    <w:p w14:paraId="30A8093F" w14:textId="77777777" w:rsidR="00D92565" w:rsidRPr="00195E25" w:rsidRDefault="0040111E" w:rsidP="00D92565">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eastAsia="pt-PT"/>
        </w:rPr>
        <w:t>The Security Forces are constantly being used to repress and disperse meetings and demonstrations, firing tear gas at the activities of political parties opposed to the installed regime.</w:t>
      </w:r>
    </w:p>
    <w:p w14:paraId="397787EF" w14:textId="77777777" w:rsidR="00D92565" w:rsidRPr="00195E25" w:rsidRDefault="00D92565" w:rsidP="00D92565">
      <w:pPr>
        <w:pStyle w:val="ListParagraph"/>
        <w:rPr>
          <w:rFonts w:ascii="Calibri" w:eastAsia="Batang" w:hAnsi="Calibri" w:cs="Calibri"/>
          <w:color w:val="000000" w:themeColor="text1"/>
          <w:lang w:val="en-US" w:eastAsia="pt-PT"/>
        </w:rPr>
      </w:pPr>
    </w:p>
    <w:p w14:paraId="0EB9589E" w14:textId="52FC4378" w:rsidR="0014219B" w:rsidRPr="00195E25" w:rsidRDefault="00D92565" w:rsidP="00D92565">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eastAsia="pt-PT"/>
        </w:rPr>
        <w:t>On October 12, 2024, the PAIG met in one of the neighborhoods near the capital Bissau. As the ban on political activity was in effect, the meeting was violently repressed, resulting in beatings and hospitalizations of party members. There were four serious injuries, as well as the poisoning of people living in the area with tear gas, including a newborn child.</w:t>
      </w:r>
    </w:p>
    <w:p w14:paraId="110FFD37" w14:textId="77777777" w:rsidR="00C01A26" w:rsidRPr="00195E25" w:rsidRDefault="00C01A26" w:rsidP="0040111E">
      <w:pPr>
        <w:jc w:val="both"/>
        <w:rPr>
          <w:rFonts w:ascii="Calibri" w:eastAsia="Batang" w:hAnsi="Calibri" w:cs="Calibri"/>
          <w:color w:val="000000" w:themeColor="text1"/>
          <w:lang w:val="en-US" w:eastAsia="pt-PT"/>
        </w:rPr>
      </w:pPr>
    </w:p>
    <w:tbl>
      <w:tblPr>
        <w:tblStyle w:val="TableGrid"/>
        <w:tblW w:w="0" w:type="auto"/>
        <w:tblLook w:val="04A0" w:firstRow="1" w:lastRow="0" w:firstColumn="1" w:lastColumn="0" w:noHBand="0" w:noVBand="1"/>
      </w:tblPr>
      <w:tblGrid>
        <w:gridCol w:w="8488"/>
      </w:tblGrid>
      <w:tr w:rsidR="00A5504C" w:rsidRPr="00195E25" w14:paraId="617F497D" w14:textId="77777777" w:rsidTr="00A5504C">
        <w:tc>
          <w:tcPr>
            <w:tcW w:w="8488" w:type="dxa"/>
          </w:tcPr>
          <w:p w14:paraId="5571A2A1" w14:textId="67314BB3" w:rsidR="00A5504C" w:rsidRPr="00CD09C9" w:rsidRDefault="00A5504C" w:rsidP="00A5504C">
            <w:pPr>
              <w:jc w:val="both"/>
              <w:rPr>
                <w:rFonts w:ascii="Calibri" w:eastAsia="Batang" w:hAnsi="Calibri" w:cs="Calibri"/>
                <w:b/>
                <w:color w:val="000000" w:themeColor="text1"/>
                <w:lang w:eastAsia="pt-PT"/>
              </w:rPr>
            </w:pPr>
            <w:r w:rsidRPr="00CD09C9">
              <w:rPr>
                <w:rFonts w:ascii="Calibri" w:eastAsia="Batang" w:hAnsi="Calibri" w:cs="Calibri"/>
                <w:b/>
                <w:color w:val="000000" w:themeColor="text1"/>
                <w:lang w:eastAsia="pt-PT"/>
              </w:rPr>
              <w:t>Recommendations for the State</w:t>
            </w:r>
          </w:p>
          <w:p w14:paraId="0378E27E" w14:textId="77777777" w:rsidR="00A5504C" w:rsidRPr="00CD09C9" w:rsidRDefault="00A5504C" w:rsidP="00A5504C">
            <w:pPr>
              <w:jc w:val="both"/>
              <w:rPr>
                <w:rFonts w:ascii="Calibri" w:eastAsia="Batang" w:hAnsi="Calibri" w:cs="Calibri"/>
                <w:b/>
                <w:color w:val="000000" w:themeColor="text1"/>
                <w:lang w:eastAsia="pt-PT"/>
              </w:rPr>
            </w:pPr>
          </w:p>
          <w:p w14:paraId="4F95B3BF" w14:textId="400F1D53" w:rsidR="00A5504C" w:rsidRPr="00195E25" w:rsidRDefault="00A5504C" w:rsidP="00A5504C">
            <w:pPr>
              <w:pStyle w:val="ListParagraph"/>
              <w:numPr>
                <w:ilvl w:val="0"/>
                <w:numId w:val="7"/>
              </w:numPr>
              <w:spacing w:after="160" w:line="259" w:lineRule="auto"/>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To lift as a matter of urgency the illegal suspension of freedom of assembly and demonstration in force in Guinea-Bissau.</w:t>
            </w:r>
          </w:p>
          <w:p w14:paraId="3D1D742A" w14:textId="69A31D02" w:rsidR="00A5504C" w:rsidRPr="00195E25" w:rsidRDefault="00A5504C" w:rsidP="00A5504C">
            <w:pPr>
              <w:pStyle w:val="ListParagraph"/>
              <w:numPr>
                <w:ilvl w:val="0"/>
                <w:numId w:val="7"/>
              </w:numPr>
              <w:jc w:val="both"/>
              <w:rPr>
                <w:rFonts w:ascii="Calibri" w:eastAsia="Batang" w:hAnsi="Calibri" w:cs="Calibri"/>
                <w:b/>
                <w:color w:val="000000" w:themeColor="text1"/>
                <w:lang w:val="en-US" w:eastAsia="pt-PT"/>
              </w:rPr>
            </w:pPr>
            <w:r w:rsidRPr="00195E25">
              <w:rPr>
                <w:rFonts w:ascii="Calibri" w:eastAsia="Batang" w:hAnsi="Calibri" w:cs="Calibri"/>
                <w:color w:val="000000" w:themeColor="text1"/>
                <w:lang w:val="en-US"/>
              </w:rPr>
              <w:t>Establish effective mechanisms to investigate all allegations of human rights violations, ensuring that those responsible are identified and held accountable in accordance with the law, and establish investigative commissions.</w:t>
            </w:r>
          </w:p>
          <w:p w14:paraId="49C72AB1" w14:textId="77777777" w:rsidR="008B0EBB" w:rsidRPr="00195E25" w:rsidRDefault="00A5504C" w:rsidP="008B0EBB">
            <w:pPr>
              <w:pStyle w:val="ListParagraph"/>
              <w:numPr>
                <w:ilvl w:val="0"/>
                <w:numId w:val="7"/>
              </w:numPr>
              <w:spacing w:after="160" w:line="259" w:lineRule="auto"/>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Ensure the active participation of citizens in political and decision-making processes, ensuring that all voices are heard and that policies meet the needs of all segments of society.</w:t>
            </w:r>
          </w:p>
          <w:p w14:paraId="460B009E" w14:textId="77777777" w:rsidR="008B0EBB" w:rsidRPr="00195E25" w:rsidRDefault="00A5504C" w:rsidP="008B0EBB">
            <w:pPr>
              <w:pStyle w:val="ListParagraph"/>
              <w:numPr>
                <w:ilvl w:val="0"/>
                <w:numId w:val="7"/>
              </w:numPr>
              <w:spacing w:after="160" w:line="259" w:lineRule="auto"/>
              <w:jc w:val="both"/>
              <w:rPr>
                <w:rFonts w:ascii="Calibri" w:eastAsia="Batang" w:hAnsi="Calibri" w:cs="Calibri"/>
                <w:color w:val="000000" w:themeColor="text1"/>
                <w:lang w:val="en-US"/>
              </w:rPr>
            </w:pPr>
            <w:r w:rsidRPr="00195E25">
              <w:rPr>
                <w:rFonts w:ascii="Calibri" w:eastAsia="Batang" w:hAnsi="Calibri" w:cs="Calibri"/>
                <w:bCs/>
                <w:color w:val="000000" w:themeColor="text1"/>
                <w:lang w:val="en-US"/>
              </w:rPr>
              <w:t xml:space="preserve">Immediate release of all those detained </w:t>
            </w:r>
            <w:r w:rsidRPr="00195E25">
              <w:rPr>
                <w:rFonts w:ascii="Calibri" w:eastAsia="Batang" w:hAnsi="Calibri" w:cs="Calibri"/>
                <w:color w:val="000000" w:themeColor="text1"/>
                <w:lang w:val="en-US"/>
              </w:rPr>
              <w:t>in connection with the case of 1 February 2022, who are in a situation of arbitrary/unlawful detention.</w:t>
            </w:r>
          </w:p>
          <w:p w14:paraId="68BD9C16" w14:textId="71FB1D34" w:rsidR="00A5504C" w:rsidRPr="00195E25" w:rsidRDefault="00A5504C" w:rsidP="008B0EBB">
            <w:pPr>
              <w:pStyle w:val="ListParagraph"/>
              <w:numPr>
                <w:ilvl w:val="0"/>
                <w:numId w:val="7"/>
              </w:numPr>
              <w:spacing w:after="160" w:line="259" w:lineRule="auto"/>
              <w:jc w:val="both"/>
              <w:rPr>
                <w:rFonts w:ascii="Calibri" w:eastAsia="Batang" w:hAnsi="Calibri" w:cs="Calibri"/>
                <w:color w:val="000000" w:themeColor="text1"/>
                <w:lang w:val="en-US"/>
              </w:rPr>
            </w:pPr>
            <w:r w:rsidRPr="00195E25">
              <w:rPr>
                <w:rFonts w:ascii="Calibri" w:eastAsia="Batang" w:hAnsi="Calibri" w:cs="Calibri"/>
                <w:bCs/>
                <w:color w:val="000000" w:themeColor="text1"/>
                <w:lang w:val="en-US"/>
              </w:rPr>
              <w:lastRenderedPageBreak/>
              <w:t xml:space="preserve">Implement the National Strategy for the </w:t>
            </w:r>
            <w:r w:rsidRPr="00195E25">
              <w:rPr>
                <w:rFonts w:ascii="Calibri" w:eastAsia="Batang" w:hAnsi="Calibri" w:cs="Calibri"/>
                <w:color w:val="000000" w:themeColor="text1"/>
                <w:lang w:val="en-US"/>
              </w:rPr>
              <w:t>Promotion and Protection of Human Rights.</w:t>
            </w:r>
          </w:p>
          <w:p w14:paraId="53D3054D" w14:textId="77777777" w:rsidR="00A5504C" w:rsidRPr="00195E25" w:rsidRDefault="00A5504C" w:rsidP="0040111E">
            <w:pPr>
              <w:jc w:val="both"/>
              <w:rPr>
                <w:rFonts w:ascii="Calibri" w:eastAsia="Batang" w:hAnsi="Calibri" w:cs="Calibri"/>
                <w:color w:val="000000" w:themeColor="text1"/>
                <w:lang w:val="en-US" w:eastAsia="pt-PT"/>
              </w:rPr>
            </w:pPr>
          </w:p>
        </w:tc>
      </w:tr>
    </w:tbl>
    <w:p w14:paraId="6A347E7A" w14:textId="77777777" w:rsidR="00A5504C" w:rsidRPr="00195E25" w:rsidRDefault="00A5504C" w:rsidP="0040111E">
      <w:pPr>
        <w:jc w:val="both"/>
        <w:rPr>
          <w:rFonts w:ascii="Calibri" w:eastAsia="Batang" w:hAnsi="Calibri" w:cs="Calibri"/>
          <w:color w:val="000000" w:themeColor="text1"/>
          <w:lang w:val="en-US" w:eastAsia="pt-PT"/>
        </w:rPr>
      </w:pPr>
    </w:p>
    <w:p w14:paraId="495DB72B" w14:textId="61BFA3F1" w:rsidR="00A25C88" w:rsidRPr="00195E25" w:rsidRDefault="00A25C88" w:rsidP="00C76923">
      <w:pPr>
        <w:pStyle w:val="Heading2"/>
        <w:rPr>
          <w:b/>
          <w:bCs/>
          <w:color w:val="auto"/>
          <w:lang w:val="en-US"/>
        </w:rPr>
      </w:pPr>
      <w:bookmarkStart w:id="8" w:name="_Toc198976491"/>
      <w:r w:rsidRPr="00195E25">
        <w:rPr>
          <w:b/>
          <w:bCs/>
          <w:color w:val="auto"/>
          <w:lang w:val="en-US"/>
        </w:rPr>
        <w:t>Treatment of Persons Deprived of Liberty (Articles 6-7 and 10)</w:t>
      </w:r>
      <w:bookmarkEnd w:id="8"/>
    </w:p>
    <w:p w14:paraId="01655BB7" w14:textId="77777777" w:rsidR="00C76923" w:rsidRPr="00195E25" w:rsidRDefault="00C76923" w:rsidP="00C76923">
      <w:pPr>
        <w:rPr>
          <w:lang w:val="en-US"/>
        </w:rPr>
      </w:pPr>
    </w:p>
    <w:p w14:paraId="5F41432C" w14:textId="77777777" w:rsidR="00BC1AA7" w:rsidRPr="00195E25" w:rsidRDefault="00A25C88" w:rsidP="00BC1AA7">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 xml:space="preserve">Article 38 of the Constitution of the Republic of Guinea-Bissau enshrined the Principle of Respect for the Dignity of the Human Person, with the aim of guaranteeing the protection of citizens against acts that jeopardize their freedoms outside the cases or situations provided for by law. </w:t>
      </w:r>
    </w:p>
    <w:p w14:paraId="495DFC55" w14:textId="77777777" w:rsidR="00BC1AA7" w:rsidRPr="00195E25" w:rsidRDefault="00BC1AA7" w:rsidP="00BC1AA7">
      <w:pPr>
        <w:pStyle w:val="ListParagraph"/>
        <w:ind w:left="0"/>
        <w:jc w:val="both"/>
        <w:rPr>
          <w:rFonts w:ascii="Calibri" w:eastAsia="Batang" w:hAnsi="Calibri" w:cs="Calibri"/>
          <w:color w:val="000000" w:themeColor="text1"/>
          <w:lang w:val="en-US"/>
        </w:rPr>
      </w:pPr>
    </w:p>
    <w:p w14:paraId="4D050FB5" w14:textId="77777777" w:rsidR="00BD56E3" w:rsidRPr="00195E25" w:rsidRDefault="00A25C88" w:rsidP="00BD56E3">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Decree No. 12/2011 of February 3, 2011 approves minimum rules for the treatment of prisoners, it happens that against the provisions of this legal diploma, we have assisted the State to incarcerate people in a situation of preventive detention and effective fulfillment of sentences in subhuman situations in the three main prison establishments in the country, namely Bandim Prison Centers,  of Mansoa and Bafata.</w:t>
      </w:r>
    </w:p>
    <w:p w14:paraId="56386254" w14:textId="77777777" w:rsidR="00BD56E3" w:rsidRPr="00195E25" w:rsidRDefault="00BD56E3" w:rsidP="00BD56E3">
      <w:pPr>
        <w:pStyle w:val="ListParagraph"/>
        <w:rPr>
          <w:rFonts w:ascii="Calibri" w:eastAsia="Batang" w:hAnsi="Calibri" w:cs="Calibri"/>
          <w:color w:val="000000" w:themeColor="text1"/>
          <w:lang w:val="en-US"/>
        </w:rPr>
      </w:pPr>
    </w:p>
    <w:p w14:paraId="39E36377" w14:textId="77777777" w:rsidR="00621C4A" w:rsidRPr="00195E25" w:rsidRDefault="00A25C88" w:rsidP="00621C4A">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 xml:space="preserve">According to the Weekly Report of the Guinean League of Human Rights on the Situation of Human Rights in the Country for the week of March 18 to 24, 2025, it was found that the current situation of the Bandim Prison Center is extremely precarious and violates the minimum rules for the treatment of prisoners in force in the country (Decree No. 12/2011),  as well as international standards on the subject, such as the International Covenant on Civil and Political Rights and the United Nations Standard Minimum Rules for the Treatment of Prisoners, known as the "Mandela Rules" adopted through Resolution A/RES/70/175. </w:t>
      </w:r>
    </w:p>
    <w:p w14:paraId="636B9DE7" w14:textId="77777777" w:rsidR="00621C4A" w:rsidRPr="00195E25" w:rsidRDefault="00621C4A" w:rsidP="00621C4A">
      <w:pPr>
        <w:pStyle w:val="ListParagraph"/>
        <w:rPr>
          <w:rFonts w:ascii="Calibri" w:eastAsia="Batang" w:hAnsi="Calibri" w:cs="Calibri"/>
          <w:color w:val="000000" w:themeColor="text1"/>
          <w:lang w:val="en-US"/>
        </w:rPr>
      </w:pPr>
    </w:p>
    <w:p w14:paraId="6BAAD05B" w14:textId="77777777" w:rsidR="00C22E58" w:rsidRPr="00195E25" w:rsidRDefault="00A25C88" w:rsidP="00C22E58">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 xml:space="preserve">The Bandim Center is overcrowded, in fact overcrowding has characterized this establishment, as it has a capacity to house 56 inmates, but it always has an average much higher than its capacity with numbers rising to one hundred prisoners. According to the data at the time, there were 91 people in the cells and no space to sleep, leading some to sleep in the bathrooms of the cells. The building requires urgent renovations under penalty of entering an advanced state of degradation, the cells do not have ventilation, lighting and much less adequate mattresses, putting the dignity and lives of the prisoners at risk. </w:t>
      </w:r>
    </w:p>
    <w:p w14:paraId="13081225" w14:textId="77777777" w:rsidR="00C22E58" w:rsidRPr="00195E25" w:rsidRDefault="00C22E58" w:rsidP="00C22E58">
      <w:pPr>
        <w:pStyle w:val="ListParagraph"/>
        <w:rPr>
          <w:rFonts w:ascii="Calibri" w:eastAsia="Batang" w:hAnsi="Calibri" w:cs="Calibri"/>
          <w:color w:val="000000" w:themeColor="text1"/>
          <w:lang w:val="en-US"/>
        </w:rPr>
      </w:pPr>
    </w:p>
    <w:p w14:paraId="6DD7F4F6" w14:textId="3453BA10" w:rsidR="00936801" w:rsidRPr="00195E25" w:rsidRDefault="00A25C88" w:rsidP="00C22E58">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The same situation was found in the prison centers of Mansoa and Bafatá, where there is precariousness at all levels, starting with the working conditions of the Prison Guards and the very condition of the prisoners that requires urgent measures. The food for the prisoners is a problem, it is very precarious, despite the fact that the State disburses a sum of 17 million CFA per month to a private company to cover the food in the three centers. It should be noted that Bafatá Prison has a capacity for 56 inmates and the data for 2023 point to a total number of 65 inmates, all male, of which 20 were released.</w:t>
      </w:r>
    </w:p>
    <w:p w14:paraId="71278BC8" w14:textId="77777777" w:rsidR="00D10BC0" w:rsidRPr="00195E25" w:rsidRDefault="00D10BC0" w:rsidP="00D10BC0">
      <w:pPr>
        <w:pStyle w:val="ListParagraph"/>
        <w:rPr>
          <w:rFonts w:ascii="Calibri" w:eastAsia="Batang" w:hAnsi="Calibri" w:cs="Calibri"/>
          <w:color w:val="000000" w:themeColor="text1"/>
          <w:lang w:val="en-US"/>
        </w:rPr>
      </w:pPr>
    </w:p>
    <w:p w14:paraId="01CB0EDD" w14:textId="77777777" w:rsidR="00523E57" w:rsidRPr="00195E25" w:rsidRDefault="00936801" w:rsidP="001F048E">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 xml:space="preserve">In 2024, of the 66 registered prisoners, all male, 26 were released.   </w:t>
      </w:r>
    </w:p>
    <w:p w14:paraId="6605E0DE" w14:textId="77777777" w:rsidR="00523E57" w:rsidRPr="00195E25" w:rsidRDefault="00523E57" w:rsidP="00523E57">
      <w:pPr>
        <w:pStyle w:val="ListParagraph"/>
        <w:rPr>
          <w:rFonts w:ascii="Calibri" w:eastAsia="Batang" w:hAnsi="Calibri" w:cs="Calibri"/>
          <w:color w:val="000000" w:themeColor="text1"/>
          <w:lang w:val="en-US"/>
        </w:rPr>
      </w:pPr>
    </w:p>
    <w:p w14:paraId="00AAB8D3" w14:textId="2D981AFC" w:rsidR="000C1E93" w:rsidRPr="00195E25" w:rsidRDefault="00A25C88" w:rsidP="000C1E93">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lastRenderedPageBreak/>
        <w:t xml:space="preserve">Regarding the procedural situation in this center, it was found that there are prisoners whose pretrial detention periods far exceed the legal limits and the steps for their release depend on material means that neither the Prison nor the Provincial Court have at their disposal. </w:t>
      </w:r>
    </w:p>
    <w:p w14:paraId="30812FD3" w14:textId="77777777" w:rsidR="000C1E93" w:rsidRPr="00195E25" w:rsidRDefault="000C1E93" w:rsidP="000C1E93">
      <w:pPr>
        <w:pStyle w:val="ListParagraph"/>
        <w:rPr>
          <w:rFonts w:ascii="Calibri" w:eastAsia="Batang" w:hAnsi="Calibri" w:cs="Calibri"/>
          <w:color w:val="000000" w:themeColor="text1"/>
          <w:lang w:val="en-US"/>
        </w:rPr>
      </w:pPr>
    </w:p>
    <w:p w14:paraId="54F1917E" w14:textId="705970FC" w:rsidR="00265138" w:rsidRPr="00195E25" w:rsidRDefault="00D871E7" w:rsidP="00265138">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At the Mansoa Prison Center, which has a capacity for 26 inmates, there is a lack of essential equipment and work materials. Urgent measures are needed to improve the conditions of prisoners and prison staff in order to restore their dignity.</w:t>
      </w:r>
    </w:p>
    <w:p w14:paraId="52678143" w14:textId="77777777" w:rsidR="00265138" w:rsidRPr="00195E25" w:rsidRDefault="00265138" w:rsidP="00265138">
      <w:pPr>
        <w:pStyle w:val="ListParagraph"/>
        <w:rPr>
          <w:rFonts w:ascii="Calibri" w:eastAsia="Batang" w:hAnsi="Calibri" w:cs="Calibri"/>
          <w:color w:val="000000" w:themeColor="text1"/>
          <w:lang w:val="en-US"/>
        </w:rPr>
      </w:pPr>
    </w:p>
    <w:p w14:paraId="1E395C08" w14:textId="77777777" w:rsidR="00110AC7" w:rsidRPr="00195E25" w:rsidRDefault="00796D32" w:rsidP="00265138">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With the exception of the two Prison Centers (Mansoa and Bafatá), the one in Bandim has a women's cell with a capacity for 5 inmates, but can accommodate up to 10 people. At present, in all three centres there is no programme designed for the training and social reintegration of prisoners, contact with the outside world is restricted and there are no guarantees against torture and ill-treatment.</w:t>
      </w:r>
    </w:p>
    <w:p w14:paraId="198C58E7" w14:textId="77777777" w:rsidR="00110AC7" w:rsidRPr="00195E25" w:rsidRDefault="00110AC7" w:rsidP="00110AC7">
      <w:pPr>
        <w:pStyle w:val="ListParagraph"/>
        <w:rPr>
          <w:rFonts w:ascii="Calibri" w:eastAsia="Batang" w:hAnsi="Calibri" w:cs="Calibri"/>
          <w:color w:val="000000" w:themeColor="text1"/>
          <w:lang w:val="en-US"/>
        </w:rPr>
      </w:pPr>
    </w:p>
    <w:p w14:paraId="6A0077B2" w14:textId="5E487EE7" w:rsidR="00A25C88" w:rsidRPr="00195E25" w:rsidRDefault="00A665FD" w:rsidP="00110AC7">
      <w:pPr>
        <w:pStyle w:val="ListParagraph"/>
        <w:ind w:left="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 xml:space="preserve"> </w:t>
      </w:r>
    </w:p>
    <w:tbl>
      <w:tblPr>
        <w:tblStyle w:val="TableGrid"/>
        <w:tblW w:w="0" w:type="auto"/>
        <w:tblLook w:val="04A0" w:firstRow="1" w:lastRow="0" w:firstColumn="1" w:lastColumn="0" w:noHBand="0" w:noVBand="1"/>
      </w:tblPr>
      <w:tblGrid>
        <w:gridCol w:w="8488"/>
      </w:tblGrid>
      <w:tr w:rsidR="00110AC7" w:rsidRPr="00195E25" w14:paraId="36EDB00C" w14:textId="77777777" w:rsidTr="00110AC7">
        <w:tc>
          <w:tcPr>
            <w:tcW w:w="8488" w:type="dxa"/>
          </w:tcPr>
          <w:p w14:paraId="7919B685" w14:textId="337123DD" w:rsidR="00110AC7" w:rsidRPr="00110AC7" w:rsidRDefault="00110AC7" w:rsidP="00110AC7">
            <w:pPr>
              <w:pStyle w:val="NormalWeb"/>
              <w:jc w:val="both"/>
              <w:rPr>
                <w:rFonts w:ascii="Calibri" w:eastAsia="Batang" w:hAnsi="Calibri" w:cs="Calibri"/>
                <w:b/>
                <w:bCs/>
                <w:color w:val="000000" w:themeColor="text1"/>
              </w:rPr>
            </w:pPr>
            <w:r w:rsidRPr="00110AC7">
              <w:rPr>
                <w:rFonts w:ascii="Calibri" w:eastAsia="Batang" w:hAnsi="Calibri" w:cs="Calibri"/>
                <w:b/>
                <w:bCs/>
                <w:color w:val="000000" w:themeColor="text1"/>
              </w:rPr>
              <w:t>Recommendations for the State</w:t>
            </w:r>
          </w:p>
          <w:p w14:paraId="4F1DE31F" w14:textId="77777777" w:rsidR="00110AC7" w:rsidRPr="00195E25" w:rsidRDefault="00110AC7" w:rsidP="002F29AF">
            <w:pPr>
              <w:pStyle w:val="NormalWeb"/>
              <w:numPr>
                <w:ilvl w:val="0"/>
                <w:numId w:val="24"/>
              </w:numPr>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Build prisons from scratch that meet the international standards set forth in UN Resolution A/RES/70/175.</w:t>
            </w:r>
          </w:p>
          <w:p w14:paraId="3249EF77" w14:textId="56A79FE9" w:rsidR="00110AC7" w:rsidRPr="00195E25" w:rsidRDefault="00110AC7" w:rsidP="002F29AF">
            <w:pPr>
              <w:pStyle w:val="NormalWeb"/>
              <w:numPr>
                <w:ilvl w:val="0"/>
                <w:numId w:val="24"/>
              </w:numPr>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Comply with the rules established for the treatment of prisoners as provided for in Decree 12/2011 of February 3, 2011 and UN Resolution A/RES/70/175.</w:t>
            </w:r>
          </w:p>
          <w:p w14:paraId="63726731" w14:textId="5A2E9629" w:rsidR="00110AC7" w:rsidRPr="00195E25" w:rsidRDefault="00110AC7" w:rsidP="00F605D6">
            <w:pPr>
              <w:pStyle w:val="NormalWeb"/>
              <w:numPr>
                <w:ilvl w:val="0"/>
                <w:numId w:val="24"/>
              </w:numPr>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To provide Prison Guards with the material means indispensable for the full fulfilment of their duties.</w:t>
            </w:r>
          </w:p>
        </w:tc>
      </w:tr>
    </w:tbl>
    <w:p w14:paraId="3FE9F23F" w14:textId="77777777" w:rsidR="0014219B" w:rsidRPr="00195E25" w:rsidRDefault="0014219B" w:rsidP="0040111E">
      <w:pPr>
        <w:jc w:val="both"/>
        <w:rPr>
          <w:rFonts w:ascii="Calibri" w:eastAsia="Batang" w:hAnsi="Calibri" w:cs="Calibri"/>
          <w:color w:val="000000" w:themeColor="text1"/>
          <w:lang w:val="en-US" w:eastAsia="pt-PT"/>
        </w:rPr>
      </w:pPr>
    </w:p>
    <w:p w14:paraId="456AD644" w14:textId="77777777" w:rsidR="00E6304E" w:rsidRPr="00F605D6" w:rsidRDefault="00E6304E" w:rsidP="00F605D6">
      <w:pPr>
        <w:pStyle w:val="Heading2"/>
        <w:rPr>
          <w:b/>
          <w:bCs/>
          <w:color w:val="auto"/>
        </w:rPr>
      </w:pPr>
      <w:bookmarkStart w:id="9" w:name="_Toc198976492"/>
      <w:r w:rsidRPr="00F605D6">
        <w:rPr>
          <w:b/>
          <w:bCs/>
          <w:color w:val="auto"/>
        </w:rPr>
        <w:t>Children's Rights</w:t>
      </w:r>
      <w:bookmarkEnd w:id="9"/>
    </w:p>
    <w:p w14:paraId="1F72F646" w14:textId="77777777" w:rsidR="00CC0905" w:rsidRPr="00CD09C9" w:rsidRDefault="00CC0905" w:rsidP="00E6304E">
      <w:pPr>
        <w:jc w:val="both"/>
        <w:rPr>
          <w:rFonts w:ascii="Calibri" w:eastAsia="Batang" w:hAnsi="Calibri" w:cs="Calibri"/>
          <w:b/>
          <w:color w:val="000000" w:themeColor="text1"/>
        </w:rPr>
      </w:pPr>
    </w:p>
    <w:p w14:paraId="0C5503C1" w14:textId="77777777" w:rsidR="00737FD9" w:rsidRPr="00195E25" w:rsidRDefault="00E6304E" w:rsidP="00737FD9">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Despite some efforts that the State has made in this matter with the approval by the Council of Ministers of the Code for the Integral Protection of Children, they still continue to suffer seriously from child exploitation at all levels of social life, from child labor, begging on the streets of cities in the country, street vending, among other violations that jeopardize the dignity of the child.</w:t>
      </w:r>
    </w:p>
    <w:p w14:paraId="5795DC39" w14:textId="77777777" w:rsidR="00737FD9" w:rsidRPr="00195E25" w:rsidRDefault="00737FD9" w:rsidP="00737FD9">
      <w:pPr>
        <w:pStyle w:val="ListParagraph"/>
        <w:ind w:left="0"/>
        <w:jc w:val="both"/>
        <w:rPr>
          <w:rFonts w:ascii="Calibri" w:eastAsia="Batang" w:hAnsi="Calibri" w:cs="Calibri"/>
          <w:color w:val="000000" w:themeColor="text1"/>
          <w:lang w:val="en-US"/>
        </w:rPr>
      </w:pPr>
    </w:p>
    <w:p w14:paraId="6DD2C717" w14:textId="77777777" w:rsidR="0048653A" w:rsidRPr="00195E25" w:rsidRDefault="00E6304E" w:rsidP="0048653A">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bCs/>
          <w:color w:val="000000" w:themeColor="text1"/>
          <w:lang w:val="en-US"/>
        </w:rPr>
        <w:t>In Guinea-Bissau, the reality of trafficking of children crossing borders is not limited to local issues. Many children go to countries such as Senegal, Gambia, Guinea, but also to Europe. This trafficking is closely linked to the situation of the TALBE CHILDREN.</w:t>
      </w:r>
    </w:p>
    <w:p w14:paraId="4A2CB5B1" w14:textId="77777777" w:rsidR="0048653A" w:rsidRPr="00195E25" w:rsidRDefault="0048653A" w:rsidP="0048653A">
      <w:pPr>
        <w:pStyle w:val="ListParagraph"/>
        <w:rPr>
          <w:rFonts w:ascii="Calibri" w:eastAsia="Batang" w:hAnsi="Calibri" w:cs="Calibri"/>
          <w:bCs/>
          <w:color w:val="000000" w:themeColor="text1"/>
          <w:lang w:val="en-US"/>
        </w:rPr>
      </w:pPr>
    </w:p>
    <w:p w14:paraId="652E0CEB" w14:textId="77777777" w:rsidR="00A93A46" w:rsidRPr="00195E25" w:rsidRDefault="00E6304E" w:rsidP="00A93A46">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bCs/>
          <w:color w:val="000000" w:themeColor="text1"/>
          <w:lang w:val="en-US"/>
        </w:rPr>
        <w:t xml:space="preserve">Despite the existence of Law No. 12/2011 which in its article 4 defines, prohibits and criminalizes trafficking in persons, especially women and children and other international instruments such as the Convention on the Rights of the Child, the African Charter on the Rights of the Child among other documents that protect children and ratified by the State of Guinea-Bissau,  There is still a serious violation of children's rights in the country. </w:t>
      </w:r>
    </w:p>
    <w:p w14:paraId="32B27647" w14:textId="77777777" w:rsidR="00A93A46" w:rsidRPr="00195E25" w:rsidRDefault="00A93A46" w:rsidP="00A93A46">
      <w:pPr>
        <w:pStyle w:val="ListParagraph"/>
        <w:rPr>
          <w:rFonts w:ascii="Calibri" w:eastAsia="Batang" w:hAnsi="Calibri" w:cs="Calibri"/>
          <w:color w:val="000000" w:themeColor="text1"/>
          <w:lang w:val="en-US"/>
        </w:rPr>
      </w:pPr>
    </w:p>
    <w:p w14:paraId="487988B9" w14:textId="77777777" w:rsidR="00795558" w:rsidRPr="00195E25" w:rsidRDefault="00E6304E" w:rsidP="00795558">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lastRenderedPageBreak/>
        <w:t>In the last three (03) years, the Association of Friends of the Child (AMIC) has rescued 932 talibé children who were victims of trafficking or forced begging in the countries of the Sub-Region, namely Gambia and Senegal, especially in the main cities, Banjul and Dakar.</w:t>
      </w:r>
    </w:p>
    <w:p w14:paraId="797EEB88" w14:textId="77777777" w:rsidR="00795558" w:rsidRPr="00195E25" w:rsidRDefault="00795558" w:rsidP="00795558">
      <w:pPr>
        <w:pStyle w:val="ListParagraph"/>
        <w:rPr>
          <w:rFonts w:ascii="Calibri" w:eastAsia="Batang" w:hAnsi="Calibri" w:cs="Calibri"/>
          <w:color w:val="000000" w:themeColor="text1"/>
          <w:lang w:val="en-US"/>
        </w:rPr>
      </w:pPr>
    </w:p>
    <w:p w14:paraId="2DC6FD79" w14:textId="77777777" w:rsidR="007A048F" w:rsidRPr="00195E25" w:rsidRDefault="00E6304E" w:rsidP="007A048F">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Child sexual exploitation continues to gain alarming proportions in recent years in the country, especially in the Bolama-Bijagós region, particularly on the island of Bubaque. There, the practice of sex tourism involving children persists. The insufficiency of concrete and effective actions by the State allows the continuation of this practice, representing a serious violation of the rights of children and young people.</w:t>
      </w:r>
    </w:p>
    <w:p w14:paraId="45F6E399" w14:textId="77777777" w:rsidR="007A048F" w:rsidRPr="00195E25" w:rsidRDefault="007A048F" w:rsidP="007A048F">
      <w:pPr>
        <w:pStyle w:val="ListParagraph"/>
        <w:rPr>
          <w:rFonts w:ascii="Calibri" w:eastAsia="Batang" w:hAnsi="Calibri" w:cs="Calibri"/>
          <w:color w:val="000000" w:themeColor="text1"/>
          <w:lang w:val="en-US"/>
        </w:rPr>
      </w:pPr>
    </w:p>
    <w:p w14:paraId="5314F039" w14:textId="77777777" w:rsidR="00E700A7" w:rsidRPr="00195E25" w:rsidRDefault="00E6304E" w:rsidP="00E700A7">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Child sexual abuse continues to be one of the major concerns of Guinean civil society. However, the lack of rigor of the judicial system in investigating and punishing perpetrators prevents victims from accessing justice and adequate protection, encouraging the continuation of these crimes.</w:t>
      </w:r>
    </w:p>
    <w:p w14:paraId="655090DF" w14:textId="77777777" w:rsidR="00E700A7" w:rsidRPr="00195E25" w:rsidRDefault="00E700A7" w:rsidP="00E700A7">
      <w:pPr>
        <w:pStyle w:val="ListParagraph"/>
        <w:rPr>
          <w:rFonts w:ascii="Calibri" w:eastAsia="Batang" w:hAnsi="Calibri" w:cs="Calibri"/>
          <w:color w:val="000000" w:themeColor="text1"/>
          <w:lang w:val="en-US"/>
        </w:rPr>
      </w:pPr>
    </w:p>
    <w:p w14:paraId="5DCA9D59" w14:textId="3FE2E619" w:rsidR="00E6304E" w:rsidRPr="00195E25" w:rsidRDefault="00E6304E" w:rsidP="00E700A7">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According to 2024 data from the National Association for the Protection of Domestic Workers (ANAPROMED), eight out of ten domestic workers, mostly children, are victims of sexual harassment, often by people in positions of power. The slowness of justice and the lack of effective punishment contribute to the perpetuation of this scenario of rights violations.</w:t>
      </w:r>
    </w:p>
    <w:p w14:paraId="01887707" w14:textId="77777777" w:rsidR="009B0EF2" w:rsidRPr="00195E25" w:rsidRDefault="009B0EF2" w:rsidP="00E6304E">
      <w:pPr>
        <w:jc w:val="both"/>
        <w:rPr>
          <w:rFonts w:ascii="Calibri" w:eastAsia="Batang" w:hAnsi="Calibri" w:cs="Calibri"/>
          <w:color w:val="000000" w:themeColor="text1"/>
          <w:lang w:val="en-US"/>
        </w:rPr>
      </w:pPr>
    </w:p>
    <w:tbl>
      <w:tblPr>
        <w:tblStyle w:val="TableGrid"/>
        <w:tblW w:w="0" w:type="auto"/>
        <w:tblLook w:val="04A0" w:firstRow="1" w:lastRow="0" w:firstColumn="1" w:lastColumn="0" w:noHBand="0" w:noVBand="1"/>
      </w:tblPr>
      <w:tblGrid>
        <w:gridCol w:w="8488"/>
      </w:tblGrid>
      <w:tr w:rsidR="00EC246F" w:rsidRPr="00195E25" w14:paraId="192F6716" w14:textId="77777777" w:rsidTr="00660536">
        <w:tc>
          <w:tcPr>
            <w:tcW w:w="8488" w:type="dxa"/>
          </w:tcPr>
          <w:p w14:paraId="06CD7DBF" w14:textId="77777777" w:rsidR="009B0EF2" w:rsidRPr="00195E25" w:rsidRDefault="009B0EF2" w:rsidP="009B0EF2">
            <w:pPr>
              <w:spacing w:before="240" w:after="240" w:line="288" w:lineRule="auto"/>
              <w:jc w:val="both"/>
              <w:rPr>
                <w:rFonts w:ascii="Calibri" w:eastAsia="Batang" w:hAnsi="Calibri" w:cs="Calibri"/>
                <w:b/>
                <w:color w:val="000000" w:themeColor="text1"/>
                <w:lang w:val="en-US"/>
              </w:rPr>
            </w:pPr>
            <w:r w:rsidRPr="00195E25">
              <w:rPr>
                <w:rFonts w:ascii="Calibri" w:eastAsia="Batang" w:hAnsi="Calibri" w:cs="Calibri"/>
                <w:b/>
                <w:color w:val="000000" w:themeColor="text1"/>
                <w:lang w:val="en-US"/>
              </w:rPr>
              <w:t xml:space="preserve">Visit of the UN Special Rapporteur on Trafficking in Persons in November 2024: Key Highlights and Points of Concern  </w:t>
            </w:r>
          </w:p>
          <w:p w14:paraId="145DC30F" w14:textId="77777777" w:rsidR="009B0EF2" w:rsidRPr="00195E25" w:rsidRDefault="009B0EF2" w:rsidP="000137BA">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 xml:space="preserve">The visit of the UN Special Rapporteur on trafficking in persons, Siobhán Mullally, to Guinea-Bissau in November 2024 highlighted significant concerns about the situation of girls and women in the country. During her mission, the Rapporteur emphasized that girls are particularly vulnerable to trafficking, being often exploited as domestic workers and subjected to sexual exploitation, that factors such as child poverty, food insecurity, and limited access to quality education increase the risks of trafficking, especially for girls in rural areas. In addition, he highlighted that children in street situations, involved in begging or street trading, are also at high risk of exploitation. </w:t>
            </w:r>
          </w:p>
          <w:p w14:paraId="256F0264" w14:textId="77777777" w:rsidR="000137BA" w:rsidRPr="00195E25" w:rsidRDefault="000137BA" w:rsidP="000137BA">
            <w:pPr>
              <w:pStyle w:val="ListParagraph"/>
              <w:ind w:left="0"/>
              <w:jc w:val="both"/>
              <w:rPr>
                <w:rFonts w:ascii="Calibri" w:eastAsia="Batang" w:hAnsi="Calibri" w:cs="Calibri"/>
                <w:color w:val="000000" w:themeColor="text1"/>
                <w:lang w:val="en-US"/>
              </w:rPr>
            </w:pPr>
          </w:p>
          <w:p w14:paraId="6C10D28A" w14:textId="77777777" w:rsidR="009B0EF2" w:rsidRPr="00195E25" w:rsidRDefault="009B0EF2" w:rsidP="000137BA">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 xml:space="preserve">The Special Rapporteur also specifically addressed the impact of gender inequality and discrimination on trafficking in women and girls, including forced marriage and sexual exploitation. It underscored </w:t>
            </w:r>
            <w:r w:rsidRPr="00195E25">
              <w:rPr>
                <w:rFonts w:ascii="Calibri" w:eastAsia="Batang" w:hAnsi="Calibri" w:cs="Calibri"/>
                <w:b/>
                <w:color w:val="000000" w:themeColor="text1"/>
                <w:lang w:val="en-US"/>
              </w:rPr>
              <w:t>the urgent need for reforms in the criminal justice system, with a focus on gender sensitivity and a trauma-informed approach, to improve access to justice, especially in rural areas</w:t>
            </w:r>
            <w:r w:rsidRPr="00195E25">
              <w:rPr>
                <w:rFonts w:ascii="Calibri" w:eastAsia="Batang" w:hAnsi="Calibri" w:cs="Calibri"/>
                <w:color w:val="000000" w:themeColor="text1"/>
                <w:lang w:val="en-US"/>
              </w:rPr>
              <w:t xml:space="preserve">. </w:t>
            </w:r>
            <w:r w:rsidRPr="00195E25">
              <w:rPr>
                <w:rFonts w:ascii="Calibri" w:eastAsia="Batang" w:hAnsi="Calibri" w:cs="Calibri"/>
                <w:b/>
                <w:color w:val="000000" w:themeColor="text1"/>
                <w:lang w:val="en-US"/>
              </w:rPr>
              <w:t>Mullally stressed the importance of strengthening the protection of workers' rights in high-risk sectors such as domestic work, agriculture, fishing and mining, where women and girls face high risks of forced labour and sexual exploitation.</w:t>
            </w:r>
            <w:r w:rsidRPr="00195E25">
              <w:rPr>
                <w:rFonts w:ascii="Calibri" w:eastAsia="Batang" w:hAnsi="Calibri" w:cs="Calibri"/>
                <w:color w:val="000000" w:themeColor="text1"/>
                <w:lang w:val="en-US"/>
              </w:rPr>
              <w:t xml:space="preserve"> She also highlighted the need to strengthen the capacity of civil society organizations, unions and lawyers to assist and advocate for victims. </w:t>
            </w:r>
          </w:p>
          <w:p w14:paraId="723B2A4B" w14:textId="77777777" w:rsidR="000137BA" w:rsidRPr="00195E25" w:rsidRDefault="000137BA" w:rsidP="000137BA">
            <w:pPr>
              <w:pStyle w:val="ListParagraph"/>
              <w:rPr>
                <w:rFonts w:ascii="Calibri" w:eastAsia="Batang" w:hAnsi="Calibri" w:cs="Calibri"/>
                <w:color w:val="000000" w:themeColor="text1"/>
                <w:lang w:val="en-US"/>
              </w:rPr>
            </w:pPr>
          </w:p>
          <w:p w14:paraId="15AFED4D" w14:textId="6FEEAD82" w:rsidR="009B0EF2" w:rsidRPr="00195E25" w:rsidRDefault="009B0EF2" w:rsidP="000137BA">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lastRenderedPageBreak/>
              <w:t>Despite efforts by the government of Guinea-Bissau, including the adoption of a new national strategic plan, Mullally noted that limited financial resources, fragile child protection systems, and widespread impunity continue to allow child trafficking to persist.</w:t>
            </w:r>
          </w:p>
        </w:tc>
      </w:tr>
    </w:tbl>
    <w:p w14:paraId="622A36A7" w14:textId="77777777" w:rsidR="009B0EF2" w:rsidRPr="00195E25" w:rsidRDefault="009B0EF2" w:rsidP="00E6304E">
      <w:pPr>
        <w:jc w:val="both"/>
        <w:rPr>
          <w:rFonts w:ascii="Calibri" w:eastAsia="Batang" w:hAnsi="Calibri" w:cs="Calibri"/>
          <w:color w:val="000000" w:themeColor="text1"/>
          <w:lang w:val="en-US"/>
        </w:rPr>
      </w:pPr>
    </w:p>
    <w:tbl>
      <w:tblPr>
        <w:tblStyle w:val="TableGrid"/>
        <w:tblW w:w="0" w:type="auto"/>
        <w:tblLook w:val="04A0" w:firstRow="1" w:lastRow="0" w:firstColumn="1" w:lastColumn="0" w:noHBand="0" w:noVBand="1"/>
      </w:tblPr>
      <w:tblGrid>
        <w:gridCol w:w="8488"/>
      </w:tblGrid>
      <w:tr w:rsidR="000137BA" w:rsidRPr="00195E25" w14:paraId="4E2212A3" w14:textId="77777777" w:rsidTr="000137BA">
        <w:tc>
          <w:tcPr>
            <w:tcW w:w="8488" w:type="dxa"/>
          </w:tcPr>
          <w:p w14:paraId="51DC5DA3" w14:textId="77777777" w:rsidR="000137BA" w:rsidRPr="00CD09C9" w:rsidRDefault="000137BA" w:rsidP="000137BA">
            <w:pPr>
              <w:jc w:val="both"/>
              <w:rPr>
                <w:rFonts w:ascii="Calibri" w:eastAsia="Batang" w:hAnsi="Calibri" w:cs="Calibri"/>
                <w:b/>
                <w:bCs/>
                <w:color w:val="000000" w:themeColor="text1"/>
              </w:rPr>
            </w:pPr>
            <w:r w:rsidRPr="00CD09C9">
              <w:rPr>
                <w:rFonts w:ascii="Calibri" w:eastAsia="Batang" w:hAnsi="Calibri" w:cs="Calibri"/>
                <w:b/>
                <w:bCs/>
                <w:color w:val="000000" w:themeColor="text1"/>
              </w:rPr>
              <w:t>Recommendations for the State</w:t>
            </w:r>
          </w:p>
          <w:p w14:paraId="0E0129D5" w14:textId="77777777" w:rsidR="000137BA" w:rsidRPr="00CD09C9" w:rsidRDefault="000137BA" w:rsidP="000137BA">
            <w:pPr>
              <w:jc w:val="both"/>
              <w:rPr>
                <w:rFonts w:ascii="Calibri" w:eastAsia="Batang" w:hAnsi="Calibri" w:cs="Calibri"/>
                <w:b/>
                <w:bCs/>
                <w:color w:val="000000" w:themeColor="text1"/>
              </w:rPr>
            </w:pPr>
          </w:p>
          <w:p w14:paraId="5DAE8E45" w14:textId="54EF2F90" w:rsidR="000137BA" w:rsidRPr="00195E25" w:rsidRDefault="000137BA" w:rsidP="000137BA">
            <w:pPr>
              <w:numPr>
                <w:ilvl w:val="0"/>
                <w:numId w:val="21"/>
              </w:numPr>
              <w:pBdr>
                <w:top w:val="nil"/>
                <w:left w:val="nil"/>
                <w:bottom w:val="nil"/>
                <w:right w:val="nil"/>
                <w:between w:val="nil"/>
              </w:pBdr>
              <w:jc w:val="both"/>
              <w:rPr>
                <w:rFonts w:ascii="Calibri" w:eastAsia="Batang" w:hAnsi="Calibri" w:cs="Calibri"/>
                <w:b/>
                <w:color w:val="000000" w:themeColor="text1"/>
                <w:lang w:val="en-US"/>
              </w:rPr>
            </w:pPr>
            <w:r w:rsidRPr="00195E25">
              <w:rPr>
                <w:rFonts w:ascii="Calibri" w:eastAsia="Batang" w:hAnsi="Calibri" w:cs="Calibri"/>
                <w:color w:val="000000" w:themeColor="text1"/>
                <w:lang w:val="en-US"/>
              </w:rPr>
              <w:t>Regarding sexual exploitation in tourism, implement current initiatives such as the National Code of Conduct for the protection of children from sexual abuse and exploitation in the tourism sector, establishing and developing agreements with the private sector in the hospitality industry and affected communities to implement and operationalize the Code of Conduct.</w:t>
            </w:r>
          </w:p>
          <w:p w14:paraId="03EA49E9" w14:textId="77777777" w:rsidR="000137BA" w:rsidRPr="00195E25" w:rsidRDefault="000137BA" w:rsidP="00E6304E">
            <w:pPr>
              <w:jc w:val="both"/>
              <w:rPr>
                <w:rFonts w:ascii="Calibri" w:eastAsia="Batang" w:hAnsi="Calibri" w:cs="Calibri"/>
                <w:color w:val="000000" w:themeColor="text1"/>
                <w:lang w:val="en-US"/>
              </w:rPr>
            </w:pPr>
          </w:p>
        </w:tc>
      </w:tr>
    </w:tbl>
    <w:p w14:paraId="0F3DB396" w14:textId="77777777" w:rsidR="009B0EF2" w:rsidRPr="00195E25" w:rsidRDefault="009B0EF2" w:rsidP="00E6304E">
      <w:pPr>
        <w:jc w:val="both"/>
        <w:rPr>
          <w:rFonts w:ascii="Calibri" w:eastAsia="Batang" w:hAnsi="Calibri" w:cs="Calibri"/>
          <w:color w:val="000000" w:themeColor="text1"/>
          <w:lang w:val="en-US"/>
        </w:rPr>
      </w:pPr>
    </w:p>
    <w:p w14:paraId="52E56223" w14:textId="77777777" w:rsidR="00291056" w:rsidRPr="00195E25" w:rsidRDefault="00291056" w:rsidP="00E6304E">
      <w:pPr>
        <w:jc w:val="both"/>
        <w:rPr>
          <w:rFonts w:ascii="Calibri" w:eastAsia="Batang" w:hAnsi="Calibri" w:cs="Calibri"/>
          <w:b/>
          <w:color w:val="000000" w:themeColor="text1"/>
          <w:lang w:val="en-US"/>
        </w:rPr>
      </w:pPr>
    </w:p>
    <w:p w14:paraId="4667EDEF" w14:textId="77777777" w:rsidR="0065693F" w:rsidRDefault="0065693F" w:rsidP="00965275">
      <w:pPr>
        <w:pStyle w:val="Heading2"/>
        <w:rPr>
          <w:b/>
          <w:bCs/>
          <w:color w:val="auto"/>
        </w:rPr>
      </w:pPr>
      <w:bookmarkStart w:id="10" w:name="_Toc198976493"/>
      <w:r w:rsidRPr="00965275">
        <w:rPr>
          <w:b/>
          <w:bCs/>
          <w:color w:val="auto"/>
        </w:rPr>
        <w:t>Civil Registry</w:t>
      </w:r>
      <w:bookmarkEnd w:id="10"/>
    </w:p>
    <w:p w14:paraId="7B5A6790" w14:textId="77777777" w:rsidR="00965275" w:rsidRPr="00965275" w:rsidRDefault="00965275" w:rsidP="00965275"/>
    <w:p w14:paraId="1307E947" w14:textId="647ECA43" w:rsidR="00674E0F" w:rsidRPr="00195E25" w:rsidRDefault="00E6304E" w:rsidP="00674E0F">
      <w:pPr>
        <w:pStyle w:val="ListParagraph"/>
        <w:numPr>
          <w:ilvl w:val="0"/>
          <w:numId w:val="27"/>
        </w:numPr>
        <w:ind w:left="0" w:firstLine="0"/>
        <w:jc w:val="both"/>
        <w:rPr>
          <w:rFonts w:ascii="Calibri" w:eastAsia="Batang" w:hAnsi="Calibri" w:cs="Calibri"/>
          <w:color w:val="000000" w:themeColor="text1"/>
          <w:lang w:val="en-US" w:eastAsia="pt-PT"/>
        </w:rPr>
      </w:pPr>
      <w:r w:rsidRPr="00195E25">
        <w:rPr>
          <w:rFonts w:ascii="Calibri" w:eastAsia="Batang" w:hAnsi="Calibri" w:cs="Calibri"/>
          <w:bCs/>
          <w:color w:val="000000" w:themeColor="text1"/>
          <w:lang w:val="en-US" w:eastAsia="pt-PT"/>
        </w:rPr>
        <w:t>Regarding the registration of children's births, there are still problems in this child protection sector in the country. Although some partners have been supporting the Government, in particular UNICEF, there is a low rate of child birth registrations, with a greater emphasis on rural areas.</w:t>
      </w:r>
    </w:p>
    <w:p w14:paraId="0741058E" w14:textId="77777777" w:rsidR="00674E0F" w:rsidRPr="00195E25" w:rsidRDefault="00674E0F" w:rsidP="00674E0F">
      <w:pPr>
        <w:pStyle w:val="ListParagraph"/>
        <w:ind w:left="0"/>
        <w:jc w:val="both"/>
        <w:rPr>
          <w:rFonts w:ascii="Calibri" w:eastAsia="Batang" w:hAnsi="Calibri" w:cs="Calibri"/>
          <w:color w:val="000000" w:themeColor="text1"/>
          <w:lang w:val="en-US" w:eastAsia="pt-PT"/>
        </w:rPr>
      </w:pPr>
    </w:p>
    <w:p w14:paraId="2FAF0CF1" w14:textId="77777777" w:rsidR="00B53B6F" w:rsidRPr="00195E25" w:rsidRDefault="00E6304E" w:rsidP="00B53B6F">
      <w:pPr>
        <w:pStyle w:val="ListParagraph"/>
        <w:numPr>
          <w:ilvl w:val="0"/>
          <w:numId w:val="27"/>
        </w:numPr>
        <w:ind w:left="0" w:firstLine="0"/>
        <w:jc w:val="both"/>
        <w:rPr>
          <w:rFonts w:ascii="Calibri" w:eastAsia="Batang" w:hAnsi="Calibri" w:cs="Calibri"/>
          <w:color w:val="000000" w:themeColor="text1"/>
          <w:lang w:val="en-US" w:eastAsia="pt-PT"/>
        </w:rPr>
      </w:pPr>
      <w:r w:rsidRPr="00195E25">
        <w:rPr>
          <w:rFonts w:ascii="Calibri" w:eastAsia="Batang" w:hAnsi="Calibri" w:cs="Calibri"/>
          <w:color w:val="000000" w:themeColor="text1"/>
          <w:lang w:val="en-US" w:eastAsia="pt-PT"/>
        </w:rPr>
        <w:t>According to data from the 2019 MICS and the government, Ministry of Justice supported by the UNDP from 2024, only 46% of children under 5 years old and 36% of children under 1 year old have a birth registration. In addition to the challenges to access, in some cases, men refuse to accept parental responsibility, and when it comes to babies born with abnormalities or disabilities, many fathers hide the existence of the child and never register the birth of the child.</w:t>
      </w:r>
    </w:p>
    <w:p w14:paraId="699052CA" w14:textId="77777777" w:rsidR="00B53B6F" w:rsidRPr="00195E25" w:rsidRDefault="00B53B6F" w:rsidP="00B53B6F">
      <w:pPr>
        <w:pStyle w:val="ListParagraph"/>
        <w:rPr>
          <w:rFonts w:ascii="Calibri" w:eastAsia="Batang" w:hAnsi="Calibri" w:cs="Calibri"/>
          <w:color w:val="000000" w:themeColor="text1"/>
          <w:lang w:val="en-US" w:eastAsia="pt-PT"/>
        </w:rPr>
      </w:pPr>
    </w:p>
    <w:p w14:paraId="6147C6F7" w14:textId="7CBE682A" w:rsidR="00E6304E" w:rsidRPr="00195E25" w:rsidRDefault="00E6304E" w:rsidP="00B53B6F">
      <w:pPr>
        <w:pStyle w:val="ListParagraph"/>
        <w:numPr>
          <w:ilvl w:val="0"/>
          <w:numId w:val="27"/>
        </w:numPr>
        <w:ind w:left="0" w:firstLine="0"/>
        <w:jc w:val="both"/>
        <w:rPr>
          <w:rFonts w:ascii="Calibri" w:eastAsia="Batang" w:hAnsi="Calibri" w:cs="Calibri"/>
          <w:color w:val="000000" w:themeColor="text1"/>
          <w:lang w:val="en-US" w:eastAsia="pt-PT"/>
        </w:rPr>
      </w:pPr>
      <w:r w:rsidRPr="00195E25">
        <w:rPr>
          <w:rFonts w:ascii="Calibri" w:eastAsia="Batang" w:hAnsi="Calibri" w:cs="Calibri"/>
          <w:color w:val="000000" w:themeColor="text1"/>
          <w:lang w:val="en-US" w:eastAsia="pt-PT"/>
        </w:rPr>
        <w:t>Unregistered children are extremely vulnerable, as their access to services can be limited, in some cases, for example, children are unable to access juvenile justice or cannot prove their age in cases of child marriage or child labour.</w:t>
      </w:r>
    </w:p>
    <w:p w14:paraId="2334C275" w14:textId="77777777" w:rsidR="0019654A" w:rsidRPr="00195E25" w:rsidRDefault="0019654A" w:rsidP="0019654A">
      <w:pPr>
        <w:pStyle w:val="ListParagraph"/>
        <w:rPr>
          <w:rFonts w:ascii="Calibri" w:eastAsia="Batang" w:hAnsi="Calibri" w:cs="Calibri"/>
          <w:color w:val="000000" w:themeColor="text1"/>
          <w:lang w:val="en-US" w:eastAsia="pt-PT"/>
        </w:rPr>
      </w:pPr>
    </w:p>
    <w:tbl>
      <w:tblPr>
        <w:tblStyle w:val="TableGrid"/>
        <w:tblW w:w="0" w:type="auto"/>
        <w:tblLook w:val="04A0" w:firstRow="1" w:lastRow="0" w:firstColumn="1" w:lastColumn="0" w:noHBand="0" w:noVBand="1"/>
      </w:tblPr>
      <w:tblGrid>
        <w:gridCol w:w="8488"/>
      </w:tblGrid>
      <w:tr w:rsidR="0019654A" w:rsidRPr="00195E25" w14:paraId="189BED2E" w14:textId="77777777" w:rsidTr="0019654A">
        <w:tc>
          <w:tcPr>
            <w:tcW w:w="8488" w:type="dxa"/>
          </w:tcPr>
          <w:p w14:paraId="57C7F6DA" w14:textId="77777777" w:rsidR="0019654A" w:rsidRPr="00CD09C9" w:rsidRDefault="0019654A" w:rsidP="0019654A">
            <w:pPr>
              <w:spacing w:before="100" w:beforeAutospacing="1" w:after="100" w:afterAutospacing="1"/>
              <w:jc w:val="both"/>
              <w:rPr>
                <w:rFonts w:ascii="Calibri" w:eastAsia="Batang" w:hAnsi="Calibri" w:cs="Calibri"/>
                <w:b/>
                <w:bCs/>
                <w:color w:val="000000" w:themeColor="text1"/>
                <w:lang w:eastAsia="pt-PT"/>
              </w:rPr>
            </w:pPr>
            <w:r w:rsidRPr="00CD09C9">
              <w:rPr>
                <w:rFonts w:ascii="Calibri" w:eastAsia="Batang" w:hAnsi="Calibri" w:cs="Calibri"/>
                <w:b/>
                <w:bCs/>
                <w:color w:val="000000" w:themeColor="text1"/>
                <w:lang w:eastAsia="pt-PT"/>
              </w:rPr>
              <w:t>Recommendations for the State</w:t>
            </w:r>
          </w:p>
          <w:p w14:paraId="17770BE2" w14:textId="77777777" w:rsidR="0019654A" w:rsidRPr="00195E25" w:rsidRDefault="0019654A" w:rsidP="0019654A">
            <w:pPr>
              <w:pStyle w:val="ListParagraph"/>
              <w:numPr>
                <w:ilvl w:val="0"/>
                <w:numId w:val="28"/>
              </w:numPr>
              <w:jc w:val="both"/>
              <w:rPr>
                <w:rFonts w:ascii="Calibri" w:eastAsia="Batang" w:hAnsi="Calibri" w:cs="Calibri"/>
                <w:color w:val="000000" w:themeColor="text1"/>
                <w:lang w:val="en-US" w:eastAsia="pt-PT"/>
              </w:rPr>
            </w:pPr>
            <w:r w:rsidRPr="00195E25">
              <w:rPr>
                <w:rFonts w:ascii="Calibri" w:eastAsia="Batang" w:hAnsi="Calibri" w:cs="Calibri"/>
                <w:color w:val="000000" w:themeColor="text1"/>
                <w:lang w:val="en-US"/>
              </w:rPr>
              <w:t>Strengthen, in line with SDG target 16.9, birth registration campaigns to ensure that all children are registered, enabling greater collaboration with local communities to ensure the registration of children at birth through different mechanisms adapted to the local context, together with the civil registry office.</w:t>
            </w:r>
          </w:p>
          <w:p w14:paraId="0557E940" w14:textId="01679400" w:rsidR="00E14642" w:rsidRPr="00195E25" w:rsidRDefault="00E14642" w:rsidP="00E14642">
            <w:pPr>
              <w:pStyle w:val="ListParagraph"/>
              <w:jc w:val="both"/>
              <w:rPr>
                <w:rFonts w:ascii="Calibri" w:eastAsia="Batang" w:hAnsi="Calibri" w:cs="Calibri"/>
                <w:color w:val="000000" w:themeColor="text1"/>
                <w:lang w:val="en-US" w:eastAsia="pt-PT"/>
              </w:rPr>
            </w:pPr>
          </w:p>
        </w:tc>
      </w:tr>
    </w:tbl>
    <w:p w14:paraId="7A156E48" w14:textId="77777777" w:rsidR="0019654A" w:rsidRPr="00195E25" w:rsidRDefault="0019654A" w:rsidP="0019654A">
      <w:pPr>
        <w:pStyle w:val="ListParagraph"/>
        <w:ind w:left="0"/>
        <w:jc w:val="both"/>
        <w:rPr>
          <w:rFonts w:ascii="Calibri" w:eastAsia="Batang" w:hAnsi="Calibri" w:cs="Calibri"/>
          <w:color w:val="000000" w:themeColor="text1"/>
          <w:lang w:val="en-US" w:eastAsia="pt-PT"/>
        </w:rPr>
      </w:pPr>
    </w:p>
    <w:p w14:paraId="3C1C43CE" w14:textId="106DDDD4" w:rsidR="0065693F" w:rsidRDefault="0065693F" w:rsidP="00E14642">
      <w:pPr>
        <w:pStyle w:val="Heading2"/>
        <w:rPr>
          <w:b/>
          <w:bCs/>
          <w:color w:val="auto"/>
        </w:rPr>
      </w:pPr>
      <w:bookmarkStart w:id="11" w:name="_Toc198976494"/>
      <w:r w:rsidRPr="00E14642">
        <w:rPr>
          <w:b/>
          <w:bCs/>
          <w:color w:val="auto"/>
        </w:rPr>
        <w:t>Early and Forced Marriage</w:t>
      </w:r>
      <w:bookmarkEnd w:id="11"/>
    </w:p>
    <w:p w14:paraId="69247E0C" w14:textId="77777777" w:rsidR="00E14642" w:rsidRPr="00E14642" w:rsidRDefault="00E14642" w:rsidP="00E14642"/>
    <w:p w14:paraId="70E7A9FF" w14:textId="77777777" w:rsidR="009735DD" w:rsidRPr="00195E25" w:rsidRDefault="00E6304E" w:rsidP="009735DD">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 xml:space="preserve">Early and forced marriage has been gradually decreasing, but many cases of child marriages continue to be recorded in some rural areas (south of the country in the </w:t>
      </w:r>
      <w:r w:rsidRPr="00195E25">
        <w:rPr>
          <w:rFonts w:ascii="Calibri" w:eastAsia="Batang" w:hAnsi="Calibri" w:cs="Calibri"/>
          <w:color w:val="000000" w:themeColor="text1"/>
          <w:lang w:val="en-US"/>
        </w:rPr>
        <w:lastRenderedPageBreak/>
        <w:t>regions of Quinara, Tombali). According to UNICEF data, 26% of Guinean women say they were married under the age of 18 and 8% under the age of 15.</w:t>
      </w:r>
    </w:p>
    <w:p w14:paraId="5B7A1898" w14:textId="77777777" w:rsidR="009735DD" w:rsidRPr="00195E25" w:rsidRDefault="009735DD" w:rsidP="009735DD">
      <w:pPr>
        <w:pStyle w:val="ListParagraph"/>
        <w:ind w:left="0"/>
        <w:jc w:val="both"/>
        <w:rPr>
          <w:rFonts w:ascii="Calibri" w:eastAsia="Batang" w:hAnsi="Calibri" w:cs="Calibri"/>
          <w:color w:val="000000" w:themeColor="text1"/>
          <w:lang w:val="en-US"/>
        </w:rPr>
      </w:pPr>
    </w:p>
    <w:p w14:paraId="7B3E16DC" w14:textId="5E83E698" w:rsidR="0065693F" w:rsidRPr="00195E25" w:rsidRDefault="00EF377B" w:rsidP="009735DD">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Several organizations, namely the aforementioned UNICEF, Plan International and the Association and Friends of Children (AMIC) have been working to eradicate this phenomenon rooted in cultural practices and which are aggravated by socioeconomic factors. However, this effort requires concerted approaches that take into account legislative reform, education, and community empowerment. The State must be the leader of these actions, supported by civil society. The Shelter for young people and girls who are victims of early marriage is managed by AMIC, without state support or funds.</w:t>
      </w:r>
    </w:p>
    <w:p w14:paraId="07459315" w14:textId="77777777" w:rsidR="00291056" w:rsidRPr="00195E25" w:rsidRDefault="00291056" w:rsidP="00F0071A">
      <w:pPr>
        <w:spacing w:line="276" w:lineRule="auto"/>
        <w:jc w:val="both"/>
        <w:rPr>
          <w:rFonts w:ascii="Calibri" w:eastAsia="Batang" w:hAnsi="Calibri" w:cs="Calibri"/>
          <w:color w:val="000000" w:themeColor="text1"/>
          <w:lang w:val="en-US"/>
        </w:rPr>
      </w:pPr>
    </w:p>
    <w:tbl>
      <w:tblPr>
        <w:tblStyle w:val="TableGrid"/>
        <w:tblW w:w="0" w:type="auto"/>
        <w:tblLook w:val="04A0" w:firstRow="1" w:lastRow="0" w:firstColumn="1" w:lastColumn="0" w:noHBand="0" w:noVBand="1"/>
      </w:tblPr>
      <w:tblGrid>
        <w:gridCol w:w="8488"/>
      </w:tblGrid>
      <w:tr w:rsidR="006351E1" w:rsidRPr="00195E25" w14:paraId="7A342A27" w14:textId="77777777" w:rsidTr="006351E1">
        <w:tc>
          <w:tcPr>
            <w:tcW w:w="8488" w:type="dxa"/>
          </w:tcPr>
          <w:p w14:paraId="125CA35E" w14:textId="77777777" w:rsidR="006351E1" w:rsidRPr="00CD09C9" w:rsidRDefault="006351E1" w:rsidP="006351E1">
            <w:pPr>
              <w:spacing w:line="276" w:lineRule="auto"/>
              <w:jc w:val="both"/>
              <w:rPr>
                <w:rFonts w:ascii="Calibri" w:eastAsia="Batang" w:hAnsi="Calibri" w:cs="Calibri"/>
                <w:b/>
                <w:color w:val="000000" w:themeColor="text1"/>
              </w:rPr>
            </w:pPr>
            <w:r w:rsidRPr="00CD09C9">
              <w:rPr>
                <w:rFonts w:ascii="Calibri" w:eastAsia="Batang" w:hAnsi="Calibri" w:cs="Calibri"/>
                <w:b/>
                <w:color w:val="000000" w:themeColor="text1"/>
              </w:rPr>
              <w:t>Recommendations:</w:t>
            </w:r>
          </w:p>
          <w:p w14:paraId="06F41708" w14:textId="6E5248A6" w:rsidR="006351E1" w:rsidRPr="00195E25" w:rsidRDefault="006351E1" w:rsidP="006351E1">
            <w:pPr>
              <w:pStyle w:val="NormalWeb"/>
              <w:numPr>
                <w:ilvl w:val="0"/>
                <w:numId w:val="13"/>
              </w:numPr>
              <w:jc w:val="both"/>
              <w:rPr>
                <w:rFonts w:ascii="Calibri" w:eastAsia="Batang" w:hAnsi="Calibri" w:cs="Calibri"/>
                <w:color w:val="000000" w:themeColor="text1"/>
                <w:lang w:val="en-US"/>
              </w:rPr>
            </w:pPr>
            <w:r w:rsidRPr="00195E25">
              <w:rPr>
                <w:rFonts w:ascii="Calibri" w:eastAsia="Batang" w:hAnsi="Calibri" w:cs="Calibri"/>
                <w:bCs/>
                <w:color w:val="000000" w:themeColor="text1"/>
                <w:lang w:val="en-US"/>
              </w:rPr>
              <w:t xml:space="preserve">Strengthen enforcement of the law </w:t>
            </w:r>
            <w:r w:rsidRPr="00195E25">
              <w:rPr>
                <w:rFonts w:ascii="Calibri" w:eastAsia="Batang" w:hAnsi="Calibri" w:cs="Calibri"/>
                <w:color w:val="000000" w:themeColor="text1"/>
                <w:lang w:val="en-US"/>
              </w:rPr>
              <w:t>against trafficking in minors and the adoption of a legal instrument.</w:t>
            </w:r>
          </w:p>
          <w:p w14:paraId="5008BC7F" w14:textId="6DC643C5" w:rsidR="006351E1" w:rsidRPr="00195E25" w:rsidRDefault="006351E1" w:rsidP="006351E1">
            <w:pPr>
              <w:pStyle w:val="NormalWeb"/>
              <w:numPr>
                <w:ilvl w:val="0"/>
                <w:numId w:val="13"/>
              </w:numPr>
              <w:jc w:val="both"/>
              <w:rPr>
                <w:rFonts w:ascii="Calibri" w:eastAsia="Batang" w:hAnsi="Calibri" w:cs="Calibri"/>
                <w:color w:val="000000" w:themeColor="text1"/>
                <w:lang w:val="en-US"/>
              </w:rPr>
            </w:pPr>
            <w:r w:rsidRPr="00195E25">
              <w:rPr>
                <w:rFonts w:ascii="Calibri" w:eastAsia="Batang" w:hAnsi="Calibri" w:cs="Calibri"/>
                <w:bCs/>
                <w:color w:val="000000" w:themeColor="text1"/>
                <w:lang w:val="en-US"/>
              </w:rPr>
              <w:t xml:space="preserve">Establishment of national and regional rehabilitation and reception centres </w:t>
            </w:r>
            <w:r w:rsidRPr="00195E25">
              <w:rPr>
                <w:rFonts w:ascii="Calibri" w:eastAsia="Batang" w:hAnsi="Calibri" w:cs="Calibri"/>
                <w:color w:val="000000" w:themeColor="text1"/>
                <w:lang w:val="en-US"/>
              </w:rPr>
              <w:t>for children at risk or in conflict with the law.</w:t>
            </w:r>
          </w:p>
        </w:tc>
      </w:tr>
    </w:tbl>
    <w:p w14:paraId="752C771D" w14:textId="77777777" w:rsidR="006351E1" w:rsidRPr="00195E25" w:rsidRDefault="006351E1" w:rsidP="00F0071A">
      <w:pPr>
        <w:spacing w:line="276" w:lineRule="auto"/>
        <w:jc w:val="both"/>
        <w:rPr>
          <w:rFonts w:ascii="Calibri" w:eastAsia="Batang" w:hAnsi="Calibri" w:cs="Calibri"/>
          <w:color w:val="000000" w:themeColor="text1"/>
          <w:lang w:val="en-US"/>
        </w:rPr>
      </w:pPr>
    </w:p>
    <w:p w14:paraId="6537F28F" w14:textId="77777777" w:rsidR="00F0071A" w:rsidRPr="00195E25" w:rsidRDefault="00F0071A" w:rsidP="00F0071A">
      <w:pPr>
        <w:spacing w:line="276" w:lineRule="auto"/>
        <w:jc w:val="both"/>
        <w:rPr>
          <w:rFonts w:ascii="Calibri" w:eastAsia="Batang" w:hAnsi="Calibri" w:cs="Calibri"/>
          <w:color w:val="000000" w:themeColor="text1"/>
          <w:lang w:val="en-US"/>
        </w:rPr>
      </w:pPr>
    </w:p>
    <w:p w14:paraId="66B20629" w14:textId="77777777" w:rsidR="0014219B" w:rsidRPr="004D2BBA" w:rsidRDefault="005F044C" w:rsidP="004D2BBA">
      <w:pPr>
        <w:pStyle w:val="Heading2"/>
        <w:rPr>
          <w:b/>
          <w:bCs/>
          <w:color w:val="auto"/>
          <w:lang w:eastAsia="pt-PT"/>
        </w:rPr>
      </w:pPr>
      <w:bookmarkStart w:id="12" w:name="_Toc198976495"/>
      <w:r w:rsidRPr="004D2BBA">
        <w:rPr>
          <w:b/>
          <w:bCs/>
          <w:color w:val="auto"/>
          <w:lang w:eastAsia="pt-PT"/>
        </w:rPr>
        <w:t>Women's Political Participation – (Articles 2, 3, 25, 26)</w:t>
      </w:r>
      <w:bookmarkEnd w:id="12"/>
    </w:p>
    <w:p w14:paraId="6DFB9E20" w14:textId="77777777" w:rsidR="005F044C" w:rsidRPr="00CD09C9" w:rsidRDefault="005F044C" w:rsidP="0014219B">
      <w:pPr>
        <w:jc w:val="both"/>
        <w:rPr>
          <w:rFonts w:ascii="Calibri" w:eastAsia="Batang" w:hAnsi="Calibri" w:cs="Calibri"/>
          <w:b/>
          <w:color w:val="000000" w:themeColor="text1"/>
        </w:rPr>
      </w:pPr>
    </w:p>
    <w:p w14:paraId="65712C59" w14:textId="72240666" w:rsidR="0014219B" w:rsidRPr="00195E25" w:rsidRDefault="0014219B" w:rsidP="004D2BBA">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Women's political participation in Guinea-Bissau is a complex and multifaceted issue, marked by challenges, advances and setbacks. Although women have played a key role in the struggle for independence and make up more than half of the Guinean population, their representation in politics is still quite limited. The promotion of gender equality and the participation of women in decision-making are priorities on the country's agenda, although in practice it is the opposite, because there is no will on the part of governments to overcome cultural, economic, political and social challenges and barriers.</w:t>
      </w:r>
    </w:p>
    <w:p w14:paraId="70DF9E56" w14:textId="77777777" w:rsidR="0014219B" w:rsidRPr="00195E25" w:rsidRDefault="0014219B" w:rsidP="0014219B">
      <w:pPr>
        <w:jc w:val="both"/>
        <w:rPr>
          <w:rFonts w:ascii="Calibri" w:eastAsia="Batang" w:hAnsi="Calibri" w:cs="Calibri"/>
          <w:color w:val="000000" w:themeColor="text1"/>
          <w:lang w:val="en-US"/>
        </w:rPr>
      </w:pPr>
    </w:p>
    <w:p w14:paraId="1F74E54A" w14:textId="77777777" w:rsidR="0014219B" w:rsidRPr="00DF4249" w:rsidRDefault="0014219B" w:rsidP="00DF4249">
      <w:pPr>
        <w:pStyle w:val="Heading3"/>
        <w:rPr>
          <w:color w:val="auto"/>
        </w:rPr>
      </w:pPr>
      <w:bookmarkStart w:id="13" w:name="_Toc198976496"/>
      <w:r w:rsidRPr="00DF4249">
        <w:rPr>
          <w:color w:val="auto"/>
        </w:rPr>
        <w:t>Advances in women's political participation</w:t>
      </w:r>
      <w:bookmarkEnd w:id="13"/>
    </w:p>
    <w:p w14:paraId="44E871BC" w14:textId="77777777" w:rsidR="005F044C" w:rsidRPr="00CD09C9" w:rsidRDefault="005F044C" w:rsidP="0014219B">
      <w:pPr>
        <w:jc w:val="both"/>
        <w:rPr>
          <w:rFonts w:ascii="Calibri" w:eastAsia="Batang" w:hAnsi="Calibri" w:cs="Calibri"/>
          <w:b/>
          <w:color w:val="000000" w:themeColor="text1"/>
        </w:rPr>
      </w:pPr>
    </w:p>
    <w:p w14:paraId="78A91343" w14:textId="77777777" w:rsidR="004F09B2" w:rsidRPr="00195E25" w:rsidRDefault="00EB7BAE" w:rsidP="004F09B2">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Guinea-Bissau has several national and local civil society organizations that work in the promotion and defense of women's human rights, gender equality, political participation and in the instances of women's decision-making and economic empowerment, among which the Women's Political Platform, the National Council of Women, the Network of Women Mediators,  the Association of Women in Economic Activity, the Network of Women Lawyers and the National Network of Young Girl Leaders.</w:t>
      </w:r>
    </w:p>
    <w:p w14:paraId="17DAB4AB" w14:textId="77777777" w:rsidR="004F09B2" w:rsidRPr="00195E25" w:rsidRDefault="004F09B2" w:rsidP="004F09B2">
      <w:pPr>
        <w:pStyle w:val="ListParagraph"/>
        <w:ind w:left="0"/>
        <w:jc w:val="both"/>
        <w:rPr>
          <w:rFonts w:ascii="Calibri" w:eastAsia="Batang" w:hAnsi="Calibri" w:cs="Calibri"/>
          <w:color w:val="000000" w:themeColor="text1"/>
          <w:lang w:val="en-US"/>
        </w:rPr>
      </w:pPr>
    </w:p>
    <w:p w14:paraId="20EBB2A6" w14:textId="77777777" w:rsidR="00371760" w:rsidRPr="00195E25" w:rsidRDefault="00DE4986" w:rsidP="00371760">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 xml:space="preserve">There are also projects of awareness-raising and education actions on women's political rights and on the importance of their participation for changing attitudes and promoting gender equality (Initiative +Women), implemented by civil society organizations and partner NGOs, whose objective is to have more representation of </w:t>
      </w:r>
      <w:r w:rsidRPr="00195E25">
        <w:rPr>
          <w:rFonts w:ascii="Calibri" w:eastAsia="Batang" w:hAnsi="Calibri" w:cs="Calibri"/>
          <w:color w:val="000000" w:themeColor="text1"/>
          <w:lang w:val="en-US"/>
        </w:rPr>
        <w:lastRenderedPageBreak/>
        <w:t>women in decision-making instances and the participation of women in the electoral process.</w:t>
      </w:r>
    </w:p>
    <w:p w14:paraId="0D315A55" w14:textId="77777777" w:rsidR="00371760" w:rsidRPr="00195E25" w:rsidRDefault="00371760" w:rsidP="00371760">
      <w:pPr>
        <w:pStyle w:val="ListParagraph"/>
        <w:rPr>
          <w:rFonts w:ascii="Calibri" w:eastAsia="Batang" w:hAnsi="Calibri" w:cs="Calibri"/>
          <w:color w:val="000000" w:themeColor="text1"/>
          <w:lang w:val="en-US"/>
        </w:rPr>
      </w:pPr>
    </w:p>
    <w:p w14:paraId="16703EAB" w14:textId="77777777" w:rsidR="00A80A71" w:rsidRDefault="00442FD3" w:rsidP="00A80A71">
      <w:pPr>
        <w:pStyle w:val="ListParagraph"/>
        <w:numPr>
          <w:ilvl w:val="0"/>
          <w:numId w:val="27"/>
        </w:numPr>
        <w:ind w:left="0" w:firstLine="0"/>
        <w:jc w:val="both"/>
        <w:rPr>
          <w:rFonts w:ascii="Calibri" w:eastAsia="Batang" w:hAnsi="Calibri" w:cs="Calibri"/>
          <w:color w:val="000000" w:themeColor="text1"/>
        </w:rPr>
      </w:pPr>
      <w:r w:rsidRPr="00195E25">
        <w:rPr>
          <w:rFonts w:ascii="Calibri" w:eastAsia="Batang" w:hAnsi="Calibri" w:cs="Calibri"/>
          <w:color w:val="000000" w:themeColor="text1"/>
          <w:lang w:val="en-US"/>
        </w:rPr>
        <w:t xml:space="preserve">In addition, it is known that women who occupy leadership positions and make decisions have a positive impact on the country's society and politics. </w:t>
      </w:r>
      <w:r w:rsidRPr="00371760">
        <w:rPr>
          <w:rFonts w:ascii="Calibri" w:eastAsia="Batang" w:hAnsi="Calibri" w:cs="Calibri"/>
          <w:color w:val="000000" w:themeColor="text1"/>
        </w:rPr>
        <w:t>That is why the struggle of civil society.</w:t>
      </w:r>
    </w:p>
    <w:p w14:paraId="6B20E3C9" w14:textId="77777777" w:rsidR="00A80A71" w:rsidRPr="00A80A71" w:rsidRDefault="00A80A71" w:rsidP="00A80A71">
      <w:pPr>
        <w:pStyle w:val="ListParagraph"/>
        <w:rPr>
          <w:rFonts w:ascii="Calibri" w:eastAsia="Batang" w:hAnsi="Calibri" w:cs="Calibri"/>
          <w:color w:val="000000" w:themeColor="text1"/>
        </w:rPr>
      </w:pPr>
    </w:p>
    <w:p w14:paraId="473EE72F" w14:textId="77777777" w:rsidR="00A80A71" w:rsidRPr="00195E25" w:rsidRDefault="00DE0094" w:rsidP="00A80A71">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Likewise, it is true that the State has adopted the second generation of the National Policy for Gender Equality and Equity and its Action Plan, which are also important instruments in the fight for women's political participation.</w:t>
      </w:r>
    </w:p>
    <w:p w14:paraId="5337CF03" w14:textId="77777777" w:rsidR="00A80A71" w:rsidRPr="00195E25" w:rsidRDefault="00A80A71" w:rsidP="00A80A71">
      <w:pPr>
        <w:pStyle w:val="ListParagraph"/>
        <w:rPr>
          <w:rFonts w:ascii="Calibri" w:eastAsia="Batang" w:hAnsi="Calibri" w:cs="Calibri"/>
          <w:color w:val="000000" w:themeColor="text1"/>
          <w:lang w:val="en-US"/>
        </w:rPr>
      </w:pPr>
    </w:p>
    <w:p w14:paraId="3BDEABE5" w14:textId="737E16D5" w:rsidR="00A405BE" w:rsidRPr="00195E25" w:rsidRDefault="00DE0094" w:rsidP="00A80A71">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Finally, it is worth mentioning the existence of Law 04/2018, on Parity of a minimum representation of 36% of women in decision-making bodies.</w:t>
      </w:r>
    </w:p>
    <w:p w14:paraId="53D77FB3" w14:textId="77777777" w:rsidR="00B2041E" w:rsidRPr="00195E25" w:rsidRDefault="00B2041E" w:rsidP="0014219B">
      <w:pPr>
        <w:jc w:val="both"/>
        <w:rPr>
          <w:rFonts w:ascii="Calibri" w:eastAsia="Batang" w:hAnsi="Calibri" w:cs="Calibri"/>
          <w:b/>
          <w:color w:val="000000" w:themeColor="text1"/>
          <w:lang w:val="en-US"/>
        </w:rPr>
      </w:pPr>
    </w:p>
    <w:p w14:paraId="4CA840BA" w14:textId="1679A5BA" w:rsidR="0014219B" w:rsidRPr="00B2041E" w:rsidRDefault="0014219B" w:rsidP="00B2041E">
      <w:pPr>
        <w:pStyle w:val="Heading3"/>
        <w:rPr>
          <w:color w:val="auto"/>
        </w:rPr>
      </w:pPr>
      <w:bookmarkStart w:id="14" w:name="_Toc198976497"/>
      <w:r w:rsidRPr="00B2041E">
        <w:rPr>
          <w:color w:val="auto"/>
        </w:rPr>
        <w:t>Setbacks in women's political participation</w:t>
      </w:r>
      <w:bookmarkEnd w:id="14"/>
    </w:p>
    <w:p w14:paraId="144A5D23" w14:textId="77777777" w:rsidR="005F044C" w:rsidRPr="00CD09C9" w:rsidRDefault="005F044C" w:rsidP="0014219B">
      <w:pPr>
        <w:jc w:val="both"/>
        <w:rPr>
          <w:rFonts w:ascii="Calibri" w:eastAsia="Batang" w:hAnsi="Calibri" w:cs="Calibri"/>
          <w:b/>
          <w:color w:val="000000" w:themeColor="text1"/>
        </w:rPr>
      </w:pPr>
    </w:p>
    <w:p w14:paraId="1CDBC97F" w14:textId="77777777" w:rsidR="00402B2A" w:rsidRPr="00195E25" w:rsidRDefault="00392956" w:rsidP="00402B2A">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Despite these advances, there was a reduction to 11 deputies in the XI legislature of the National People's Assembly against the 14 deputies in the previous legislature, both in a universe of 102 deputies.</w:t>
      </w:r>
    </w:p>
    <w:p w14:paraId="0E65F895" w14:textId="77777777" w:rsidR="00402B2A" w:rsidRPr="00195E25" w:rsidRDefault="00402B2A" w:rsidP="00402B2A">
      <w:pPr>
        <w:pStyle w:val="ListParagraph"/>
        <w:ind w:left="0"/>
        <w:jc w:val="both"/>
        <w:rPr>
          <w:rFonts w:ascii="Calibri" w:eastAsia="Batang" w:hAnsi="Calibri" w:cs="Calibri"/>
          <w:color w:val="000000" w:themeColor="text1"/>
          <w:lang w:val="en-US"/>
        </w:rPr>
      </w:pPr>
    </w:p>
    <w:p w14:paraId="6366CCAE" w14:textId="77777777" w:rsidR="00CD317B" w:rsidRPr="00195E25" w:rsidRDefault="00C84DB5" w:rsidP="00CD317B">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There was also a reduction in female representation in the current government led by Rui Duarte de Barros, which has only 3 Ministers and 3 Secretaries of State against 4 Ministers and 4 Secretaries of State in the government led by Geraldo Martins.</w:t>
      </w:r>
    </w:p>
    <w:p w14:paraId="79C72465" w14:textId="77777777" w:rsidR="00CD317B" w:rsidRPr="00195E25" w:rsidRDefault="00CD317B" w:rsidP="00CD317B">
      <w:pPr>
        <w:pStyle w:val="ListParagraph"/>
        <w:rPr>
          <w:rFonts w:ascii="Calibri" w:eastAsia="Batang" w:hAnsi="Calibri" w:cs="Calibri"/>
          <w:color w:val="000000" w:themeColor="text1"/>
          <w:lang w:val="en-US"/>
        </w:rPr>
      </w:pPr>
    </w:p>
    <w:p w14:paraId="658CE663" w14:textId="77777777" w:rsidR="00B24308" w:rsidRPr="00195E25" w:rsidRDefault="00A664A0" w:rsidP="00B24308">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The adoption of the National Policy for Gender Equality and Equity and its Action Plan did not lead to its implementation.</w:t>
      </w:r>
    </w:p>
    <w:p w14:paraId="696F61B1" w14:textId="77777777" w:rsidR="00B24308" w:rsidRPr="00195E25" w:rsidRDefault="00B24308" w:rsidP="00B24308">
      <w:pPr>
        <w:pStyle w:val="ListParagraph"/>
        <w:rPr>
          <w:rFonts w:ascii="Calibri" w:eastAsia="Batang" w:hAnsi="Calibri" w:cs="Calibri"/>
          <w:color w:val="000000" w:themeColor="text1"/>
          <w:lang w:val="en-US"/>
        </w:rPr>
      </w:pPr>
    </w:p>
    <w:p w14:paraId="542A2445" w14:textId="77777777" w:rsidR="00B24308" w:rsidRPr="00195E25" w:rsidRDefault="004562B4" w:rsidP="00B24308">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 xml:space="preserve">Likewise, the precepts of the Parity Law, Law No. 04/2018, were not implemented in the last elections and the quota of 36% of women was not filled neither in the party lists nor in the elective positions. </w:t>
      </w:r>
    </w:p>
    <w:p w14:paraId="6FBE6040" w14:textId="77777777" w:rsidR="00B24308" w:rsidRPr="00195E25" w:rsidRDefault="00B24308" w:rsidP="00B24308">
      <w:pPr>
        <w:pStyle w:val="ListParagraph"/>
        <w:rPr>
          <w:rFonts w:ascii="Calibri" w:eastAsia="Batang" w:hAnsi="Calibri" w:cs="Calibri"/>
          <w:color w:val="000000" w:themeColor="text1"/>
          <w:lang w:val="en-US"/>
        </w:rPr>
      </w:pPr>
    </w:p>
    <w:p w14:paraId="5BFACF51" w14:textId="229F4BC2" w:rsidR="0014219B" w:rsidRPr="00195E25" w:rsidRDefault="00887C35" w:rsidP="00B24308">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 xml:space="preserve">There is a lack of will and effort to mobilize funds to support women's candidacies and campaigns, which prevents them from participating in elections and campaigns on an equal footing with men. </w:t>
      </w:r>
    </w:p>
    <w:p w14:paraId="738610EB" w14:textId="77777777" w:rsidR="0014219B" w:rsidRPr="00195E25" w:rsidRDefault="0014219B" w:rsidP="0014219B">
      <w:pPr>
        <w:jc w:val="both"/>
        <w:rPr>
          <w:rFonts w:ascii="Calibri" w:eastAsia="Batang" w:hAnsi="Calibri" w:cs="Calibri"/>
          <w:b/>
          <w:color w:val="000000" w:themeColor="text1"/>
          <w:lang w:val="en-US"/>
        </w:rPr>
      </w:pPr>
    </w:p>
    <w:p w14:paraId="1B74806B" w14:textId="77777777" w:rsidR="0014219B" w:rsidRPr="00600EBD" w:rsidRDefault="0014219B" w:rsidP="00600EBD">
      <w:pPr>
        <w:pStyle w:val="Heading3"/>
        <w:rPr>
          <w:color w:val="auto"/>
        </w:rPr>
      </w:pPr>
      <w:bookmarkStart w:id="15" w:name="_Toc198976498"/>
      <w:r w:rsidRPr="00600EBD">
        <w:rPr>
          <w:color w:val="auto"/>
        </w:rPr>
        <w:t>Challenges</w:t>
      </w:r>
      <w:bookmarkEnd w:id="15"/>
    </w:p>
    <w:p w14:paraId="637805D2" w14:textId="77777777" w:rsidR="005F044C" w:rsidRPr="00CD09C9" w:rsidRDefault="005F044C" w:rsidP="0014219B">
      <w:pPr>
        <w:jc w:val="both"/>
        <w:rPr>
          <w:rFonts w:ascii="Calibri" w:eastAsia="Batang" w:hAnsi="Calibri" w:cs="Calibri"/>
          <w:b/>
          <w:color w:val="000000" w:themeColor="text1"/>
        </w:rPr>
      </w:pPr>
    </w:p>
    <w:p w14:paraId="4CD7A987" w14:textId="77777777" w:rsidR="0094698E" w:rsidRPr="00195E25" w:rsidRDefault="0014219B" w:rsidP="0094698E">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 xml:space="preserve">Among the challenges and barriers are gender stereotypes that relegate women to a secondary role in politics, which hinders their ascension to leadership positions. Lack of access to education and training limits women's opportunities to become actively involved in politics. Also the culture, traditions and social norms in some regions of the country still restrict women's political participation, especially in more conservative contexts. Women also face violence and political discrimination, which affects their safety and their ability to exercise their right to participate in politics. </w:t>
      </w:r>
    </w:p>
    <w:p w14:paraId="05490D80" w14:textId="77777777" w:rsidR="0094698E" w:rsidRPr="00195E25" w:rsidRDefault="0094698E" w:rsidP="0094698E">
      <w:pPr>
        <w:pStyle w:val="ListParagraph"/>
        <w:ind w:left="0"/>
        <w:jc w:val="both"/>
        <w:rPr>
          <w:rFonts w:ascii="Calibri" w:eastAsia="Batang" w:hAnsi="Calibri" w:cs="Calibri"/>
          <w:color w:val="000000" w:themeColor="text1"/>
          <w:lang w:val="en-US"/>
        </w:rPr>
      </w:pPr>
    </w:p>
    <w:p w14:paraId="3BDF1958" w14:textId="088F875F" w:rsidR="0014219B" w:rsidRPr="00195E25" w:rsidRDefault="0014219B" w:rsidP="0094698E">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lastRenderedPageBreak/>
        <w:t>Likewise, women often face financial difficulties to run for and run in elections, which makes it difficult for them to participate and in some situations, the role of women in politics is underestimated or ignored, which affects their credibility and influence.</w:t>
      </w:r>
    </w:p>
    <w:p w14:paraId="463F29E8" w14:textId="77777777" w:rsidR="005F044C" w:rsidRPr="00195E25" w:rsidRDefault="005F044C" w:rsidP="0014219B">
      <w:pPr>
        <w:jc w:val="both"/>
        <w:rPr>
          <w:rFonts w:ascii="Calibri" w:eastAsia="Batang" w:hAnsi="Calibri" w:cs="Calibri"/>
          <w:color w:val="000000" w:themeColor="text1"/>
          <w:lang w:val="en-US"/>
        </w:rPr>
      </w:pPr>
    </w:p>
    <w:p w14:paraId="5768A682" w14:textId="083DED10" w:rsidR="005F044C" w:rsidRPr="00CD09C9" w:rsidRDefault="0014219B" w:rsidP="0014219B">
      <w:pPr>
        <w:jc w:val="both"/>
        <w:rPr>
          <w:rFonts w:ascii="Calibri" w:eastAsia="Batang" w:hAnsi="Calibri" w:cs="Calibri"/>
          <w:color w:val="000000" w:themeColor="text1"/>
        </w:rPr>
      </w:pPr>
      <w:r w:rsidRPr="00CD09C9">
        <w:rPr>
          <w:rFonts w:ascii="Calibri" w:eastAsia="Batang" w:hAnsi="Calibri" w:cs="Calibri"/>
          <w:color w:val="000000" w:themeColor="text1"/>
        </w:rPr>
        <w:t>.</w:t>
      </w:r>
    </w:p>
    <w:tbl>
      <w:tblPr>
        <w:tblStyle w:val="TableGrid"/>
        <w:tblW w:w="0" w:type="auto"/>
        <w:tblLook w:val="04A0" w:firstRow="1" w:lastRow="0" w:firstColumn="1" w:lastColumn="0" w:noHBand="0" w:noVBand="1"/>
      </w:tblPr>
      <w:tblGrid>
        <w:gridCol w:w="8488"/>
      </w:tblGrid>
      <w:tr w:rsidR="00D307F6" w:rsidRPr="00195E25" w14:paraId="71F036F8" w14:textId="77777777" w:rsidTr="00D307F6">
        <w:tc>
          <w:tcPr>
            <w:tcW w:w="8488" w:type="dxa"/>
          </w:tcPr>
          <w:p w14:paraId="41D0CB5E" w14:textId="7FB4B61B" w:rsidR="0048783D" w:rsidRPr="00CD09C9" w:rsidRDefault="0014219B" w:rsidP="0048783D">
            <w:pPr>
              <w:jc w:val="both"/>
              <w:rPr>
                <w:rFonts w:ascii="Calibri" w:eastAsia="Batang" w:hAnsi="Calibri" w:cs="Calibri"/>
                <w:b/>
                <w:color w:val="000000" w:themeColor="text1"/>
              </w:rPr>
            </w:pPr>
            <w:r w:rsidRPr="00CD09C9">
              <w:rPr>
                <w:rFonts w:ascii="Calibri" w:eastAsia="Batang" w:hAnsi="Calibri" w:cs="Calibri"/>
                <w:color w:val="000000" w:themeColor="text1"/>
              </w:rPr>
              <w:t> </w:t>
            </w:r>
            <w:r w:rsidR="0048783D" w:rsidRPr="00CD09C9">
              <w:rPr>
                <w:rFonts w:ascii="Calibri" w:eastAsia="Batang" w:hAnsi="Calibri" w:cs="Calibri"/>
                <w:b/>
                <w:color w:val="000000" w:themeColor="text1"/>
              </w:rPr>
              <w:t>Recommendations for the State</w:t>
            </w:r>
          </w:p>
          <w:p w14:paraId="0216B416" w14:textId="77777777" w:rsidR="0048783D" w:rsidRPr="00CD09C9" w:rsidRDefault="0048783D" w:rsidP="0048783D">
            <w:pPr>
              <w:jc w:val="both"/>
              <w:rPr>
                <w:rFonts w:ascii="Calibri" w:eastAsia="Batang" w:hAnsi="Calibri" w:cs="Calibri"/>
                <w:b/>
                <w:color w:val="000000" w:themeColor="text1"/>
              </w:rPr>
            </w:pPr>
          </w:p>
          <w:p w14:paraId="3C0768CA" w14:textId="3F0E6A38" w:rsidR="0048783D" w:rsidRPr="00195E25" w:rsidRDefault="0048783D" w:rsidP="0048783D">
            <w:pPr>
              <w:pStyle w:val="ListParagraph"/>
              <w:numPr>
                <w:ilvl w:val="0"/>
                <w:numId w:val="14"/>
              </w:numPr>
              <w:spacing w:after="160" w:line="259" w:lineRule="auto"/>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Revise and regulate Law No 4/2018 on parity, with a view to achieving effective parity, extending its scope to elected and appointed positions, include gender alternation in public and private administration, and strengthen sanctions in case of violation of the law by 2029.</w:t>
            </w:r>
          </w:p>
          <w:p w14:paraId="034BDB17" w14:textId="1F9B1954" w:rsidR="0048783D" w:rsidRPr="00195E25" w:rsidRDefault="0048783D" w:rsidP="0048783D">
            <w:pPr>
              <w:pStyle w:val="ListParagraph"/>
              <w:numPr>
                <w:ilvl w:val="0"/>
                <w:numId w:val="14"/>
              </w:numPr>
              <w:spacing w:after="160" w:line="259" w:lineRule="auto"/>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Revise the Framework Law on Political Parties and the Electoral Law so that the requirements of the Parity Law are part of their texts by 2027.</w:t>
            </w:r>
          </w:p>
          <w:p w14:paraId="1020B356" w14:textId="77777777" w:rsidR="0048783D" w:rsidRPr="00195E25" w:rsidRDefault="0048783D" w:rsidP="0048783D">
            <w:pPr>
              <w:pStyle w:val="ListParagraph"/>
              <w:numPr>
                <w:ilvl w:val="0"/>
                <w:numId w:val="14"/>
              </w:numPr>
              <w:spacing w:after="160" w:line="259" w:lineRule="auto"/>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Implement existing laws and policies on gender equality and equity by 2030.</w:t>
            </w:r>
          </w:p>
          <w:p w14:paraId="518CA3A4" w14:textId="7D188D7C" w:rsidR="0048783D" w:rsidRPr="00195E25" w:rsidRDefault="0048783D" w:rsidP="0048783D">
            <w:pPr>
              <w:pStyle w:val="ListParagraph"/>
              <w:numPr>
                <w:ilvl w:val="0"/>
                <w:numId w:val="14"/>
              </w:numPr>
              <w:spacing w:after="160" w:line="259" w:lineRule="auto"/>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Train and hold political leaders and government bodies accountable for the implementation, monitoring and evaluation of the National Policy for Gender Equality and Equity by 2030.</w:t>
            </w:r>
          </w:p>
          <w:p w14:paraId="1B6E9A4E" w14:textId="77777777" w:rsidR="0048783D" w:rsidRPr="00195E25" w:rsidRDefault="0048783D" w:rsidP="0048783D">
            <w:pPr>
              <w:pStyle w:val="ListParagraph"/>
              <w:numPr>
                <w:ilvl w:val="0"/>
                <w:numId w:val="14"/>
              </w:numPr>
              <w:spacing w:after="160" w:line="259" w:lineRule="auto"/>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Train and empower the community, parents and guardians, on the importance of basic education, women's schooling and their active participation in political life by 2028.</w:t>
            </w:r>
          </w:p>
          <w:p w14:paraId="7D226000" w14:textId="1F556D59" w:rsidR="0048783D" w:rsidRPr="00195E25" w:rsidRDefault="0048783D" w:rsidP="0048783D">
            <w:pPr>
              <w:pStyle w:val="ListParagraph"/>
              <w:numPr>
                <w:ilvl w:val="0"/>
                <w:numId w:val="14"/>
              </w:numPr>
              <w:spacing w:after="160" w:line="259" w:lineRule="auto"/>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Create, in the General State Budget, a budget line to support women candidates until 2026.</w:t>
            </w:r>
          </w:p>
          <w:p w14:paraId="2AC9CCA6" w14:textId="77777777" w:rsidR="0048783D" w:rsidRPr="00195E25" w:rsidRDefault="0048783D" w:rsidP="0048783D">
            <w:pPr>
              <w:pStyle w:val="ListParagraph"/>
              <w:numPr>
                <w:ilvl w:val="0"/>
                <w:numId w:val="14"/>
              </w:numPr>
              <w:spacing w:after="160" w:line="259" w:lineRule="auto"/>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 xml:space="preserve"> Reduce socio-cultural barriers and sensitize men, especially traditional and religious leaders, to women's political rights, by 2030.</w:t>
            </w:r>
          </w:p>
          <w:p w14:paraId="11F4A87B" w14:textId="1ABCBE78" w:rsidR="00D307F6" w:rsidRPr="00195E25" w:rsidRDefault="00D307F6" w:rsidP="0014219B">
            <w:pPr>
              <w:jc w:val="both"/>
              <w:rPr>
                <w:rFonts w:ascii="Calibri" w:eastAsia="Batang" w:hAnsi="Calibri" w:cs="Calibri"/>
                <w:color w:val="000000" w:themeColor="text1"/>
                <w:lang w:val="en-US"/>
              </w:rPr>
            </w:pPr>
          </w:p>
        </w:tc>
      </w:tr>
    </w:tbl>
    <w:p w14:paraId="6E7BEAA2" w14:textId="6D265D89" w:rsidR="0014219B" w:rsidRPr="00195E25" w:rsidRDefault="0014219B" w:rsidP="0014219B">
      <w:pPr>
        <w:jc w:val="both"/>
        <w:rPr>
          <w:rFonts w:ascii="Calibri" w:eastAsia="Batang" w:hAnsi="Calibri" w:cs="Calibri"/>
          <w:color w:val="000000" w:themeColor="text1"/>
          <w:lang w:val="en-US"/>
        </w:rPr>
      </w:pPr>
    </w:p>
    <w:p w14:paraId="5630AD66" w14:textId="77777777" w:rsidR="006125B2" w:rsidRPr="00195E25" w:rsidRDefault="006125B2" w:rsidP="00B54760">
      <w:pPr>
        <w:rPr>
          <w:rFonts w:ascii="Calibri" w:eastAsia="Batang" w:hAnsi="Calibri" w:cs="Calibri"/>
          <w:b/>
          <w:bCs/>
          <w:color w:val="000000" w:themeColor="text1"/>
          <w:lang w:val="en-US" w:eastAsia="pt-PT"/>
        </w:rPr>
      </w:pPr>
    </w:p>
    <w:p w14:paraId="721B0608" w14:textId="77777777" w:rsidR="00B54760" w:rsidRPr="00415C80" w:rsidRDefault="00B54760" w:rsidP="00415C80">
      <w:pPr>
        <w:pStyle w:val="Heading2"/>
        <w:rPr>
          <w:b/>
          <w:bCs/>
          <w:color w:val="auto"/>
          <w:lang w:eastAsia="pt-PT"/>
        </w:rPr>
      </w:pPr>
      <w:bookmarkStart w:id="16" w:name="_Toc198976499"/>
      <w:r w:rsidRPr="00415C80">
        <w:rPr>
          <w:b/>
          <w:bCs/>
          <w:color w:val="auto"/>
          <w:lang w:eastAsia="pt-PT"/>
        </w:rPr>
        <w:t>Rights of Persons with Disabilities</w:t>
      </w:r>
      <w:bookmarkEnd w:id="16"/>
    </w:p>
    <w:p w14:paraId="61829076" w14:textId="77777777" w:rsidR="00B54760" w:rsidRPr="00CD09C9" w:rsidRDefault="00B54760" w:rsidP="00B54760">
      <w:pPr>
        <w:rPr>
          <w:rFonts w:ascii="Calibri" w:eastAsia="Batang" w:hAnsi="Calibri" w:cs="Calibri"/>
          <w:color w:val="000000" w:themeColor="text1"/>
          <w:lang w:eastAsia="pt-PT"/>
        </w:rPr>
      </w:pPr>
    </w:p>
    <w:p w14:paraId="09FB45A0" w14:textId="77777777" w:rsidR="00B132D9" w:rsidRPr="00195E25" w:rsidRDefault="00B54760" w:rsidP="00B132D9">
      <w:pPr>
        <w:pStyle w:val="ListParagraph"/>
        <w:numPr>
          <w:ilvl w:val="0"/>
          <w:numId w:val="27"/>
        </w:numPr>
        <w:ind w:left="0" w:firstLine="0"/>
        <w:jc w:val="both"/>
        <w:rPr>
          <w:rFonts w:ascii="Calibri" w:eastAsia="Batang" w:hAnsi="Calibri" w:cs="Calibri"/>
          <w:color w:val="000000" w:themeColor="text1"/>
          <w:lang w:val="en-US" w:eastAsia="pt-PT"/>
        </w:rPr>
      </w:pPr>
      <w:r w:rsidRPr="00195E25">
        <w:rPr>
          <w:rFonts w:ascii="Calibri" w:eastAsia="Batang" w:hAnsi="Calibri" w:cs="Calibri"/>
          <w:color w:val="000000" w:themeColor="text1"/>
          <w:lang w:val="en-US" w:eastAsia="pt-PT"/>
        </w:rPr>
        <w:t>The ratification of the Rules on Equal Opportunities for Persons with Disabilities and the International Convention on the Rights of Persons with Disabilities represented a key milestone in promoting the rights of this population group in Guinea-Bissau. However, it is important to note that, despite the fact that more than a decade has passed since these important ratifications, effective measures have not yet been implemented for their proper dissemination to Guinean society. This gap compromises the transformative potential that these international instruments could exert in guaranteeing the rights of persons with disabilities in the country.</w:t>
      </w:r>
    </w:p>
    <w:p w14:paraId="3E223750" w14:textId="77777777" w:rsidR="00B132D9" w:rsidRPr="00195E25" w:rsidRDefault="00B132D9" w:rsidP="00B132D9">
      <w:pPr>
        <w:pStyle w:val="ListParagraph"/>
        <w:ind w:left="0"/>
        <w:jc w:val="both"/>
        <w:rPr>
          <w:rFonts w:ascii="Calibri" w:eastAsia="Batang" w:hAnsi="Calibri" w:cs="Calibri"/>
          <w:color w:val="000000" w:themeColor="text1"/>
          <w:lang w:val="en-US" w:eastAsia="pt-PT"/>
        </w:rPr>
      </w:pPr>
    </w:p>
    <w:p w14:paraId="65FAA6F1" w14:textId="77777777" w:rsidR="00F44459" w:rsidRPr="00195E25" w:rsidRDefault="00B54760" w:rsidP="00F44459">
      <w:pPr>
        <w:pStyle w:val="ListParagraph"/>
        <w:numPr>
          <w:ilvl w:val="0"/>
          <w:numId w:val="27"/>
        </w:numPr>
        <w:ind w:left="0" w:firstLine="0"/>
        <w:jc w:val="both"/>
        <w:rPr>
          <w:rFonts w:ascii="Calibri" w:eastAsia="Batang" w:hAnsi="Calibri" w:cs="Calibri"/>
          <w:color w:val="000000" w:themeColor="text1"/>
          <w:lang w:val="en-US" w:eastAsia="pt-PT"/>
        </w:rPr>
      </w:pPr>
      <w:r w:rsidRPr="00195E25">
        <w:rPr>
          <w:rFonts w:ascii="Calibri" w:eastAsia="Batang" w:hAnsi="Calibri" w:cs="Calibri"/>
          <w:color w:val="000000" w:themeColor="text1"/>
          <w:lang w:val="en-US" w:eastAsia="pt-PT"/>
        </w:rPr>
        <w:t>With regard to statistical data on people with disabilities in Guinea-Bissau, the 2009 General Census identified 13,590 individuals in this condition, representing only 0.94% of the total population. This percentage has raised deep concern among organizations operating in this sector, as it is significantly different from the averages observed in similar contexts. This discrepancy suggests that there was an inadequate understanding of the concept of disability during the data collection process.</w:t>
      </w:r>
    </w:p>
    <w:p w14:paraId="5BE36BAD" w14:textId="77777777" w:rsidR="00F44459" w:rsidRPr="00195E25" w:rsidRDefault="00F44459" w:rsidP="00F44459">
      <w:pPr>
        <w:pStyle w:val="ListParagraph"/>
        <w:rPr>
          <w:rFonts w:ascii="Calibri" w:eastAsia="Batang" w:hAnsi="Calibri" w:cs="Calibri"/>
          <w:color w:val="000000" w:themeColor="text1"/>
          <w:lang w:val="en-US" w:eastAsia="pt-PT"/>
        </w:rPr>
      </w:pPr>
    </w:p>
    <w:p w14:paraId="5BC8F2DB" w14:textId="77777777" w:rsidR="00C9483D" w:rsidRPr="00195E25" w:rsidRDefault="00B54760" w:rsidP="00C9483D">
      <w:pPr>
        <w:pStyle w:val="ListParagraph"/>
        <w:numPr>
          <w:ilvl w:val="0"/>
          <w:numId w:val="27"/>
        </w:numPr>
        <w:ind w:left="0" w:firstLine="0"/>
        <w:jc w:val="both"/>
        <w:rPr>
          <w:rFonts w:ascii="Calibri" w:eastAsia="Batang" w:hAnsi="Calibri" w:cs="Calibri"/>
          <w:color w:val="000000" w:themeColor="text1"/>
          <w:lang w:val="en-US" w:eastAsia="pt-PT"/>
        </w:rPr>
      </w:pPr>
      <w:r w:rsidRPr="00195E25">
        <w:rPr>
          <w:rFonts w:ascii="Calibri" w:eastAsia="Batang" w:hAnsi="Calibri" w:cs="Calibri"/>
          <w:color w:val="000000" w:themeColor="text1"/>
          <w:lang w:val="en-US" w:eastAsia="pt-PT"/>
        </w:rPr>
        <w:t>In view of this reality, it is imperative to obtain more accurate and representative information. The organizations recognize the urgent need to apply the Washington Group Method in the first General Population Census and to intensify Information, Education and Communication (IEC) actions with communities and professionals responsible for data collection, aiming to expand understanding of the various forms of disability. Only with this consolidated knowledge base will it be possible to carry out statistical surveys that more faithfully reflect the demographic reality of people with disabilities in the country, thus allowing the development of more effective and inclusive public policies.</w:t>
      </w:r>
    </w:p>
    <w:p w14:paraId="47199DDD" w14:textId="77777777" w:rsidR="00C9483D" w:rsidRPr="00195E25" w:rsidRDefault="00C9483D" w:rsidP="00C9483D">
      <w:pPr>
        <w:pStyle w:val="ListParagraph"/>
        <w:rPr>
          <w:rFonts w:ascii="Calibri" w:eastAsia="Batang" w:hAnsi="Calibri" w:cs="Calibri"/>
          <w:color w:val="000000" w:themeColor="text1"/>
          <w:lang w:val="en-US" w:eastAsia="pt-PT"/>
        </w:rPr>
      </w:pPr>
    </w:p>
    <w:p w14:paraId="18B661DC" w14:textId="77777777" w:rsidR="00D2314F" w:rsidRPr="00195E25" w:rsidRDefault="00B54760" w:rsidP="00D2314F">
      <w:pPr>
        <w:pStyle w:val="ListParagraph"/>
        <w:numPr>
          <w:ilvl w:val="0"/>
          <w:numId w:val="27"/>
        </w:numPr>
        <w:ind w:left="0" w:firstLine="0"/>
        <w:jc w:val="both"/>
        <w:rPr>
          <w:rFonts w:ascii="Calibri" w:eastAsia="Batang" w:hAnsi="Calibri" w:cs="Calibri"/>
          <w:color w:val="000000" w:themeColor="text1"/>
          <w:lang w:val="en-US" w:eastAsia="pt-PT"/>
        </w:rPr>
      </w:pPr>
      <w:r w:rsidRPr="00195E25">
        <w:rPr>
          <w:rFonts w:ascii="Calibri" w:eastAsia="Batang" w:hAnsi="Calibri" w:cs="Calibri"/>
          <w:color w:val="000000" w:themeColor="text1"/>
          <w:lang w:val="en-US" w:eastAsia="pt-PT"/>
        </w:rPr>
        <w:t xml:space="preserve">People with disabilities face multiple barriers to accessibility and movement that significantly compromise their full participation in society. From the outset, the inadequacy of buildings and transport to meet the specific needs of people with disabilities stands out. </w:t>
      </w:r>
    </w:p>
    <w:p w14:paraId="27D4EF71" w14:textId="77777777" w:rsidR="00D2314F" w:rsidRPr="00195E25" w:rsidRDefault="00D2314F" w:rsidP="00D2314F">
      <w:pPr>
        <w:pStyle w:val="ListParagraph"/>
        <w:rPr>
          <w:rFonts w:ascii="Calibri" w:eastAsia="Batang" w:hAnsi="Calibri" w:cs="Calibri"/>
          <w:color w:val="000000" w:themeColor="text1"/>
          <w:lang w:val="en-US" w:eastAsia="pt-PT"/>
        </w:rPr>
      </w:pPr>
    </w:p>
    <w:p w14:paraId="1D070D3A" w14:textId="77777777" w:rsidR="00D7624E" w:rsidRPr="00195E25" w:rsidRDefault="003818F9" w:rsidP="00D7624E">
      <w:pPr>
        <w:pStyle w:val="ListParagraph"/>
        <w:numPr>
          <w:ilvl w:val="0"/>
          <w:numId w:val="27"/>
        </w:numPr>
        <w:ind w:left="0" w:firstLine="0"/>
        <w:jc w:val="both"/>
        <w:rPr>
          <w:rFonts w:ascii="Calibri" w:eastAsia="Batang" w:hAnsi="Calibri" w:cs="Calibri"/>
          <w:color w:val="000000" w:themeColor="text1"/>
          <w:lang w:val="en-US" w:eastAsia="pt-PT"/>
        </w:rPr>
      </w:pPr>
      <w:r w:rsidRPr="00195E25">
        <w:rPr>
          <w:rFonts w:ascii="Calibri" w:eastAsia="Batang" w:hAnsi="Calibri" w:cs="Calibri"/>
          <w:color w:val="000000" w:themeColor="text1"/>
          <w:lang w:val="en-US" w:eastAsia="pt-PT"/>
        </w:rPr>
        <w:t>The exercise of their fundamental freedoms, namely the freedom to demonstrate, Article 21 of the Pact, for reasons related to the lack of urbanised infrastructure (decent streets and roads) are difficult to implement. There is a lack of quota policies that guarantee their insertion in the labor market.</w:t>
      </w:r>
    </w:p>
    <w:p w14:paraId="32933E84" w14:textId="77777777" w:rsidR="00D7624E" w:rsidRPr="00195E25" w:rsidRDefault="00D7624E" w:rsidP="00D7624E">
      <w:pPr>
        <w:pStyle w:val="ListParagraph"/>
        <w:rPr>
          <w:rFonts w:ascii="Calibri" w:eastAsia="Batang" w:hAnsi="Calibri" w:cs="Calibri"/>
          <w:color w:val="000000" w:themeColor="text1"/>
          <w:lang w:val="en-US" w:eastAsia="pt-PT"/>
        </w:rPr>
      </w:pPr>
    </w:p>
    <w:p w14:paraId="2AF22E76" w14:textId="77777777" w:rsidR="000B15BF" w:rsidRPr="00195E25" w:rsidRDefault="00B54760" w:rsidP="000B15BF">
      <w:pPr>
        <w:pStyle w:val="ListParagraph"/>
        <w:numPr>
          <w:ilvl w:val="0"/>
          <w:numId w:val="27"/>
        </w:numPr>
        <w:ind w:left="0" w:firstLine="0"/>
        <w:jc w:val="both"/>
        <w:rPr>
          <w:rFonts w:ascii="Calibri" w:eastAsia="Batang" w:hAnsi="Calibri" w:cs="Calibri"/>
          <w:color w:val="000000" w:themeColor="text1"/>
          <w:lang w:val="en-US" w:eastAsia="pt-PT"/>
        </w:rPr>
      </w:pPr>
      <w:r w:rsidRPr="00195E25">
        <w:rPr>
          <w:rFonts w:ascii="Calibri" w:eastAsia="Batang" w:hAnsi="Calibri" w:cs="Calibri"/>
          <w:color w:val="000000" w:themeColor="text1"/>
          <w:lang w:val="en-US" w:eastAsia="pt-PT"/>
        </w:rPr>
        <w:t>These structural barriers persist largely due to the lack of effective mechanisms aimed at eliminating them or, at least, progressively reducing them. At the same time, social stereotypes associated with people with disabilities continue to reinforce prejudices and limit opportunities, creating a cycle of exclusion that transcends the merely physical aspects of accessibility.</w:t>
      </w:r>
    </w:p>
    <w:p w14:paraId="27ED37D1" w14:textId="77777777" w:rsidR="000B15BF" w:rsidRPr="00195E25" w:rsidRDefault="000B15BF" w:rsidP="000B15BF">
      <w:pPr>
        <w:pStyle w:val="ListParagraph"/>
        <w:rPr>
          <w:rFonts w:ascii="Calibri" w:eastAsia="Batang" w:hAnsi="Calibri" w:cs="Calibri"/>
          <w:color w:val="000000" w:themeColor="text1"/>
          <w:lang w:val="en-US" w:eastAsia="pt-PT"/>
        </w:rPr>
      </w:pPr>
    </w:p>
    <w:p w14:paraId="700E0A88" w14:textId="77777777" w:rsidR="0096067A" w:rsidRPr="00195E25" w:rsidRDefault="00B54760" w:rsidP="0096067A">
      <w:pPr>
        <w:pStyle w:val="ListParagraph"/>
        <w:numPr>
          <w:ilvl w:val="0"/>
          <w:numId w:val="27"/>
        </w:numPr>
        <w:ind w:left="0" w:firstLine="0"/>
        <w:jc w:val="both"/>
        <w:rPr>
          <w:rFonts w:ascii="Calibri" w:eastAsia="Batang" w:hAnsi="Calibri" w:cs="Calibri"/>
          <w:color w:val="000000" w:themeColor="text1"/>
          <w:lang w:val="en-US" w:eastAsia="pt-PT"/>
        </w:rPr>
      </w:pPr>
      <w:r w:rsidRPr="00195E25">
        <w:rPr>
          <w:rFonts w:ascii="Calibri" w:eastAsia="Batang" w:hAnsi="Calibri" w:cs="Calibri"/>
          <w:color w:val="000000" w:themeColor="text1"/>
          <w:lang w:val="en-US" w:eastAsia="pt-PT"/>
        </w:rPr>
        <w:t>Overcoming these challenges requires an integrated approach that contemplates both structural adaptations and cultural transformations, aiming to build a truly inclusive society, where diversity is recognized as a fundamental value.</w:t>
      </w:r>
    </w:p>
    <w:p w14:paraId="65B7076E" w14:textId="77777777" w:rsidR="0096067A" w:rsidRPr="00195E25" w:rsidRDefault="0096067A" w:rsidP="0096067A">
      <w:pPr>
        <w:pStyle w:val="ListParagraph"/>
        <w:rPr>
          <w:rFonts w:ascii="Calibri" w:eastAsia="Batang" w:hAnsi="Calibri" w:cs="Calibri"/>
          <w:color w:val="000000" w:themeColor="text1"/>
          <w:lang w:val="en-US" w:eastAsia="pt-PT"/>
        </w:rPr>
      </w:pPr>
    </w:p>
    <w:p w14:paraId="1E4B9F22" w14:textId="77777777" w:rsidR="00D5330C" w:rsidRPr="00195E25" w:rsidRDefault="00B54760" w:rsidP="00D5330C">
      <w:pPr>
        <w:pStyle w:val="ListParagraph"/>
        <w:numPr>
          <w:ilvl w:val="0"/>
          <w:numId w:val="27"/>
        </w:numPr>
        <w:ind w:left="0" w:firstLine="0"/>
        <w:jc w:val="both"/>
        <w:rPr>
          <w:rFonts w:ascii="Calibri" w:eastAsia="Batang" w:hAnsi="Calibri" w:cs="Calibri"/>
          <w:color w:val="000000" w:themeColor="text1"/>
          <w:lang w:val="en-US" w:eastAsia="pt-PT"/>
        </w:rPr>
      </w:pPr>
      <w:r w:rsidRPr="00195E25">
        <w:rPr>
          <w:rFonts w:ascii="Calibri" w:eastAsia="Batang" w:hAnsi="Calibri" w:cs="Calibri"/>
          <w:color w:val="000000" w:themeColor="text1"/>
          <w:lang w:val="en-US" w:eastAsia="pt-PT"/>
        </w:rPr>
        <w:t>The phenomenon of abandonment of children with disabilities in Guinea-Bissau is intrinsically related to multiple social, economic and cultural factors. In the foreground, the extreme economic vulnerability that affects many families stands out, significantly limiting their ability to provide specialized and continuous care that these children need. These children end up being left unregistered, in violation of Articles 16 and 24 of the Covenant.</w:t>
      </w:r>
    </w:p>
    <w:p w14:paraId="5624AFCB" w14:textId="77777777" w:rsidR="00D5330C" w:rsidRPr="00195E25" w:rsidRDefault="00D5330C" w:rsidP="00D5330C">
      <w:pPr>
        <w:pStyle w:val="ListParagraph"/>
        <w:rPr>
          <w:rFonts w:ascii="Calibri" w:eastAsia="Batang" w:hAnsi="Calibri" w:cs="Calibri"/>
          <w:color w:val="000000" w:themeColor="text1"/>
          <w:kern w:val="36"/>
          <w:lang w:val="en-US" w:eastAsia="pt-PT"/>
        </w:rPr>
      </w:pPr>
    </w:p>
    <w:p w14:paraId="5121C825" w14:textId="77777777" w:rsidR="00A409F9" w:rsidRPr="00195E25" w:rsidRDefault="00B54760" w:rsidP="00A409F9">
      <w:pPr>
        <w:pStyle w:val="ListParagraph"/>
        <w:numPr>
          <w:ilvl w:val="0"/>
          <w:numId w:val="27"/>
        </w:numPr>
        <w:ind w:left="0" w:firstLine="0"/>
        <w:jc w:val="both"/>
        <w:rPr>
          <w:rFonts w:ascii="Calibri" w:eastAsia="Batang" w:hAnsi="Calibri" w:cs="Calibri"/>
          <w:color w:val="000000" w:themeColor="text1"/>
          <w:lang w:val="en-US" w:eastAsia="pt-PT"/>
        </w:rPr>
      </w:pPr>
      <w:r w:rsidRPr="00195E25">
        <w:rPr>
          <w:rFonts w:ascii="Calibri" w:eastAsia="Batang" w:hAnsi="Calibri" w:cs="Calibri"/>
          <w:color w:val="000000" w:themeColor="text1"/>
          <w:kern w:val="36"/>
          <w:lang w:val="en-US" w:eastAsia="pt-PT"/>
        </w:rPr>
        <w:t xml:space="preserve">The public and political participation of persons with disabilities in Guinea-Bissau faces significant obstacles, both legislative and administrative in nature, which jeopardize the full exercise of their democratic rights. The precepts of Article 25 of the Covenant have not been respected. </w:t>
      </w:r>
    </w:p>
    <w:p w14:paraId="18080DA8" w14:textId="77777777" w:rsidR="00A409F9" w:rsidRPr="00195E25" w:rsidRDefault="00A409F9" w:rsidP="00A409F9">
      <w:pPr>
        <w:pStyle w:val="ListParagraph"/>
        <w:rPr>
          <w:rFonts w:ascii="Calibri" w:eastAsia="Batang" w:hAnsi="Calibri" w:cs="Calibri"/>
          <w:color w:val="000000" w:themeColor="text1"/>
          <w:lang w:val="en-US" w:eastAsia="pt-PT"/>
        </w:rPr>
      </w:pPr>
    </w:p>
    <w:p w14:paraId="62C76D4D" w14:textId="77777777" w:rsidR="00A168AE" w:rsidRPr="00195E25" w:rsidRDefault="00B54760" w:rsidP="00A168AE">
      <w:pPr>
        <w:pStyle w:val="ListParagraph"/>
        <w:numPr>
          <w:ilvl w:val="0"/>
          <w:numId w:val="27"/>
        </w:numPr>
        <w:ind w:left="0" w:firstLine="0"/>
        <w:jc w:val="both"/>
        <w:rPr>
          <w:rFonts w:ascii="Calibri" w:eastAsia="Batang" w:hAnsi="Calibri" w:cs="Calibri"/>
          <w:color w:val="000000" w:themeColor="text1"/>
          <w:lang w:val="en-US" w:eastAsia="pt-PT"/>
        </w:rPr>
      </w:pPr>
      <w:r w:rsidRPr="00195E25">
        <w:rPr>
          <w:rFonts w:ascii="Calibri" w:eastAsia="Batang" w:hAnsi="Calibri" w:cs="Calibri"/>
          <w:color w:val="000000" w:themeColor="text1"/>
          <w:lang w:val="en-US" w:eastAsia="pt-PT"/>
        </w:rPr>
        <w:t xml:space="preserve">In the legislative sphere, the absence of provisions in the electoral law that allow the use of ballot papers in Braille stands out, considerably limiting the autonomy of visually impaired citizens during the electoral process. Although the current legislation does not prevent the collaboration of these people by third parties at the time of voting, </w:t>
      </w:r>
      <w:r w:rsidRPr="00195E25">
        <w:rPr>
          <w:rFonts w:ascii="Calibri" w:eastAsia="Batang" w:hAnsi="Calibri" w:cs="Calibri"/>
          <w:color w:val="000000" w:themeColor="text1"/>
          <w:lang w:val="en-US" w:eastAsia="pt-PT"/>
        </w:rPr>
        <w:lastRenderedPageBreak/>
        <w:t>this solution compromises the fundamental principle of secrecy of the vote, highlighting the urgent need to review the electoral legal framework.</w:t>
      </w:r>
    </w:p>
    <w:p w14:paraId="17B91F48" w14:textId="77777777" w:rsidR="00A168AE" w:rsidRPr="00195E25" w:rsidRDefault="00A168AE" w:rsidP="00A168AE">
      <w:pPr>
        <w:pStyle w:val="ListParagraph"/>
        <w:rPr>
          <w:rFonts w:ascii="Calibri" w:eastAsia="Batang" w:hAnsi="Calibri" w:cs="Calibri"/>
          <w:color w:val="000000" w:themeColor="text1"/>
          <w:lang w:val="en-US" w:eastAsia="pt-PT"/>
        </w:rPr>
      </w:pPr>
    </w:p>
    <w:p w14:paraId="5874796D" w14:textId="77777777" w:rsidR="00496049" w:rsidRPr="00195E25" w:rsidRDefault="00B54760" w:rsidP="00496049">
      <w:pPr>
        <w:pStyle w:val="ListParagraph"/>
        <w:numPr>
          <w:ilvl w:val="0"/>
          <w:numId w:val="27"/>
        </w:numPr>
        <w:ind w:left="0" w:firstLine="0"/>
        <w:jc w:val="both"/>
        <w:rPr>
          <w:rFonts w:ascii="Calibri" w:eastAsia="Batang" w:hAnsi="Calibri" w:cs="Calibri"/>
          <w:color w:val="000000" w:themeColor="text1"/>
          <w:lang w:val="en-US" w:eastAsia="pt-PT"/>
        </w:rPr>
      </w:pPr>
      <w:r w:rsidRPr="00195E25">
        <w:rPr>
          <w:rFonts w:ascii="Calibri" w:eastAsia="Batang" w:hAnsi="Calibri" w:cs="Calibri"/>
          <w:color w:val="000000" w:themeColor="text1"/>
          <w:lang w:val="en-US" w:eastAsia="pt-PT"/>
        </w:rPr>
        <w:t>Important initiatives were developed in the 2014 and 2019 electoral cycles, through the strategic collaboration between the Federation of Associations of Persons with Disabilities of Guinea-Bissau, Humanity &amp; Inclusion and the National Electoral Commission. This partnership, made possible with resources from the European Union, has made it possible to implement pilot projects for inclusive elections in certain electoral districts, demonstrating the feasibility of more inclusive practices.</w:t>
      </w:r>
    </w:p>
    <w:p w14:paraId="07633D18" w14:textId="77777777" w:rsidR="00496049" w:rsidRPr="00195E25" w:rsidRDefault="00496049" w:rsidP="00496049">
      <w:pPr>
        <w:pStyle w:val="ListParagraph"/>
        <w:rPr>
          <w:rFonts w:ascii="Calibri" w:eastAsia="Batang" w:hAnsi="Calibri" w:cs="Calibri"/>
          <w:color w:val="000000" w:themeColor="text1"/>
          <w:lang w:val="en-US" w:eastAsia="pt-PT"/>
        </w:rPr>
      </w:pPr>
    </w:p>
    <w:p w14:paraId="47ABAAA7" w14:textId="4788716F" w:rsidR="00B54760" w:rsidRPr="00195E25" w:rsidRDefault="00B54760" w:rsidP="00496049">
      <w:pPr>
        <w:pStyle w:val="ListParagraph"/>
        <w:numPr>
          <w:ilvl w:val="0"/>
          <w:numId w:val="27"/>
        </w:numPr>
        <w:ind w:left="0" w:firstLine="0"/>
        <w:jc w:val="both"/>
        <w:rPr>
          <w:rFonts w:ascii="Calibri" w:eastAsia="Batang" w:hAnsi="Calibri" w:cs="Calibri"/>
          <w:color w:val="000000" w:themeColor="text1"/>
          <w:lang w:val="en-US" w:eastAsia="pt-PT"/>
        </w:rPr>
      </w:pPr>
      <w:r w:rsidRPr="00195E25">
        <w:rPr>
          <w:rFonts w:ascii="Calibri" w:eastAsia="Batang" w:hAnsi="Calibri" w:cs="Calibri"/>
          <w:color w:val="000000" w:themeColor="text1"/>
          <w:lang w:val="en-US" w:eastAsia="pt-PT"/>
        </w:rPr>
        <w:t>However, structural challenges persist related to the accessibility of electoral administrative processes. It is imperative that voting booths and places designated for the exercise of voting be designed or adapted considering the various accessibility needs, thus ensuring equitable conditions of participation for all citizens, regardless of their physical, sensory or intellectual conditions.</w:t>
      </w:r>
    </w:p>
    <w:p w14:paraId="0DE4B5B7" w14:textId="77777777" w:rsidR="00A405BE" w:rsidRPr="00195E25" w:rsidRDefault="00A405BE" w:rsidP="00B54760">
      <w:pPr>
        <w:jc w:val="both"/>
        <w:rPr>
          <w:rFonts w:ascii="Calibri" w:eastAsia="Batang" w:hAnsi="Calibri" w:cs="Calibri"/>
          <w:color w:val="000000" w:themeColor="text1"/>
          <w:lang w:val="en-US" w:eastAsia="pt-PT"/>
        </w:rPr>
      </w:pPr>
    </w:p>
    <w:p w14:paraId="52E69272" w14:textId="77777777" w:rsidR="00A624FA" w:rsidRPr="00195E25" w:rsidRDefault="00A624FA" w:rsidP="00B54760">
      <w:pPr>
        <w:jc w:val="both"/>
        <w:rPr>
          <w:rFonts w:ascii="Calibri" w:eastAsia="Batang" w:hAnsi="Calibri" w:cs="Calibri"/>
          <w:color w:val="000000" w:themeColor="text1"/>
          <w:lang w:val="en-US" w:eastAsia="pt-PT"/>
        </w:rPr>
      </w:pPr>
    </w:p>
    <w:p w14:paraId="239F572B" w14:textId="77777777" w:rsidR="00A624FA" w:rsidRPr="00195E25" w:rsidRDefault="00A624FA" w:rsidP="00B54760">
      <w:pPr>
        <w:jc w:val="both"/>
        <w:rPr>
          <w:rFonts w:ascii="Calibri" w:eastAsia="Batang" w:hAnsi="Calibri" w:cs="Calibri"/>
          <w:color w:val="000000" w:themeColor="text1"/>
          <w:lang w:val="en-US" w:eastAsia="pt-PT"/>
        </w:rPr>
      </w:pPr>
    </w:p>
    <w:tbl>
      <w:tblPr>
        <w:tblStyle w:val="TableGrid"/>
        <w:tblW w:w="0" w:type="auto"/>
        <w:tblLook w:val="04A0" w:firstRow="1" w:lastRow="0" w:firstColumn="1" w:lastColumn="0" w:noHBand="0" w:noVBand="1"/>
      </w:tblPr>
      <w:tblGrid>
        <w:gridCol w:w="8488"/>
      </w:tblGrid>
      <w:tr w:rsidR="00A624FA" w:rsidRPr="00195E25" w14:paraId="582D2568" w14:textId="77777777" w:rsidTr="00A624FA">
        <w:tc>
          <w:tcPr>
            <w:tcW w:w="8488" w:type="dxa"/>
          </w:tcPr>
          <w:p w14:paraId="234E4562" w14:textId="77777777" w:rsidR="00A624FA" w:rsidRPr="00CD09C9" w:rsidRDefault="00A624FA" w:rsidP="00A624FA">
            <w:pPr>
              <w:jc w:val="both"/>
              <w:rPr>
                <w:rFonts w:ascii="Calibri" w:eastAsia="Batang" w:hAnsi="Calibri" w:cs="Calibri"/>
                <w:b/>
                <w:color w:val="000000" w:themeColor="text1"/>
                <w:lang w:eastAsia="pt-PT"/>
              </w:rPr>
            </w:pPr>
            <w:r w:rsidRPr="00CD09C9">
              <w:rPr>
                <w:rFonts w:ascii="Calibri" w:eastAsia="Batang" w:hAnsi="Calibri" w:cs="Calibri"/>
                <w:b/>
                <w:color w:val="000000" w:themeColor="text1"/>
                <w:lang w:eastAsia="pt-PT"/>
              </w:rPr>
              <w:t>Recommendations:</w:t>
            </w:r>
          </w:p>
          <w:p w14:paraId="0CC87308" w14:textId="5FB904BE" w:rsidR="00A624FA" w:rsidRPr="00195E25" w:rsidRDefault="00A624FA" w:rsidP="00A624FA">
            <w:pPr>
              <w:pStyle w:val="NormalWeb"/>
              <w:numPr>
                <w:ilvl w:val="0"/>
                <w:numId w:val="15"/>
              </w:numPr>
              <w:rPr>
                <w:rFonts w:ascii="Calibri" w:eastAsia="Batang" w:hAnsi="Calibri" w:cs="Calibri"/>
                <w:color w:val="000000" w:themeColor="text1"/>
                <w:lang w:val="en-US"/>
              </w:rPr>
            </w:pPr>
            <w:r w:rsidRPr="00195E25">
              <w:rPr>
                <w:rFonts w:ascii="Calibri" w:eastAsia="Batang" w:hAnsi="Calibri" w:cs="Calibri"/>
                <w:bCs/>
                <w:color w:val="000000" w:themeColor="text1"/>
                <w:lang w:val="en-US"/>
              </w:rPr>
              <w:t xml:space="preserve">Approval of a law </w:t>
            </w:r>
            <w:r w:rsidRPr="00195E25">
              <w:rPr>
                <w:rFonts w:ascii="Calibri" w:eastAsia="Batang" w:hAnsi="Calibri" w:cs="Calibri"/>
                <w:color w:val="000000" w:themeColor="text1"/>
                <w:lang w:val="en-US"/>
              </w:rPr>
              <w:t>for the protection of persons with albinism in Guinea-Bissau.</w:t>
            </w:r>
          </w:p>
          <w:p w14:paraId="00F1B6C1" w14:textId="4BDB14B9" w:rsidR="00A624FA" w:rsidRPr="00195E25" w:rsidRDefault="00A624FA" w:rsidP="00A624FA">
            <w:pPr>
              <w:pStyle w:val="NormalWeb"/>
              <w:numPr>
                <w:ilvl w:val="0"/>
                <w:numId w:val="15"/>
              </w:numPr>
              <w:rPr>
                <w:rFonts w:ascii="Calibri" w:eastAsia="Batang" w:hAnsi="Calibri" w:cs="Calibri"/>
                <w:color w:val="000000" w:themeColor="text1"/>
                <w:lang w:val="en-US"/>
              </w:rPr>
            </w:pPr>
            <w:r w:rsidRPr="00195E25">
              <w:rPr>
                <w:rFonts w:ascii="Calibri" w:eastAsia="Batang" w:hAnsi="Calibri" w:cs="Calibri"/>
                <w:bCs/>
                <w:color w:val="000000" w:themeColor="text1"/>
                <w:lang w:val="en-US"/>
              </w:rPr>
              <w:t xml:space="preserve">Effective implementation </w:t>
            </w:r>
            <w:r w:rsidRPr="00195E25">
              <w:rPr>
                <w:rFonts w:ascii="Calibri" w:eastAsia="Batang" w:hAnsi="Calibri" w:cs="Calibri"/>
                <w:color w:val="000000" w:themeColor="text1"/>
                <w:lang w:val="en-US"/>
              </w:rPr>
              <w:t>of the national strategy for the protection of the rights of persons with disabilities.</w:t>
            </w:r>
          </w:p>
          <w:p w14:paraId="53FCAA1B" w14:textId="77777777" w:rsidR="00A624FA" w:rsidRPr="00195E25" w:rsidRDefault="00A624FA" w:rsidP="00A624FA">
            <w:pPr>
              <w:pStyle w:val="ListParagraph"/>
              <w:numPr>
                <w:ilvl w:val="0"/>
                <w:numId w:val="15"/>
              </w:numPr>
              <w:spacing w:after="160" w:line="259" w:lineRule="auto"/>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Promote awareness campaigns to reduce the stigma associated with disabilities and ensure that Persons with Disabilities have access to protection from violence and discrimination.</w:t>
            </w:r>
          </w:p>
          <w:p w14:paraId="30A8D62C" w14:textId="77777777" w:rsidR="00A624FA" w:rsidRPr="00195E25" w:rsidRDefault="00A624FA" w:rsidP="00B54760">
            <w:pPr>
              <w:jc w:val="both"/>
              <w:rPr>
                <w:rFonts w:ascii="Calibri" w:eastAsia="Batang" w:hAnsi="Calibri" w:cs="Calibri"/>
                <w:color w:val="000000" w:themeColor="text1"/>
                <w:lang w:val="en-US" w:eastAsia="pt-PT"/>
              </w:rPr>
            </w:pPr>
          </w:p>
        </w:tc>
      </w:tr>
    </w:tbl>
    <w:p w14:paraId="50B62444" w14:textId="77777777" w:rsidR="00A624FA" w:rsidRPr="00195E25" w:rsidRDefault="00A624FA" w:rsidP="00B54760">
      <w:pPr>
        <w:jc w:val="both"/>
        <w:rPr>
          <w:rFonts w:ascii="Calibri" w:eastAsia="Batang" w:hAnsi="Calibri" w:cs="Calibri"/>
          <w:color w:val="000000" w:themeColor="text1"/>
          <w:lang w:val="en-US" w:eastAsia="pt-PT"/>
        </w:rPr>
      </w:pPr>
    </w:p>
    <w:p w14:paraId="66204FF1" w14:textId="77777777" w:rsidR="00B54760" w:rsidRPr="00195E25" w:rsidRDefault="00B54760" w:rsidP="00B54760">
      <w:pPr>
        <w:spacing w:after="160" w:line="259" w:lineRule="auto"/>
        <w:jc w:val="both"/>
        <w:rPr>
          <w:rFonts w:ascii="Calibri" w:eastAsia="Batang" w:hAnsi="Calibri" w:cs="Calibri"/>
          <w:color w:val="000000" w:themeColor="text1"/>
          <w:lang w:val="en-US"/>
        </w:rPr>
      </w:pPr>
    </w:p>
    <w:p w14:paraId="01A7380F" w14:textId="77777777" w:rsidR="0014219B" w:rsidRPr="002B6E23" w:rsidRDefault="00732E9C" w:rsidP="002B6E23">
      <w:pPr>
        <w:pStyle w:val="Heading2"/>
        <w:rPr>
          <w:b/>
          <w:bCs/>
          <w:color w:val="auto"/>
        </w:rPr>
      </w:pPr>
      <w:bookmarkStart w:id="17" w:name="_Toc198976500"/>
      <w:r w:rsidRPr="002B6E23">
        <w:rPr>
          <w:b/>
          <w:bCs/>
          <w:color w:val="auto"/>
        </w:rPr>
        <w:t>Religious Freedom (Article 18)</w:t>
      </w:r>
      <w:bookmarkEnd w:id="17"/>
    </w:p>
    <w:p w14:paraId="2DBF0D7D" w14:textId="77777777" w:rsidR="00603E9B" w:rsidRPr="00CD09C9" w:rsidRDefault="00603E9B" w:rsidP="00732E9C">
      <w:pPr>
        <w:jc w:val="both"/>
        <w:rPr>
          <w:rFonts w:ascii="Calibri" w:eastAsia="Batang" w:hAnsi="Calibri" w:cs="Calibri"/>
          <w:color w:val="000000" w:themeColor="text1"/>
        </w:rPr>
      </w:pPr>
    </w:p>
    <w:p w14:paraId="7A7C82FB" w14:textId="77777777" w:rsidR="00D07A30" w:rsidRPr="00195E25" w:rsidRDefault="00732E9C" w:rsidP="00D07A30">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Guinea-Bissau has a population of about 1.9 million inhabitants and is characterized by its cultural richness that derives from significant ethnic and religious diversity. This cultural diversity represents both an advantage and a disadvantage for the socio-economic development of the country. Creole, a language that does not belong to any ethnic group, contributes to the approximation of the various communities from an ethnic-religious point of view.</w:t>
      </w:r>
    </w:p>
    <w:p w14:paraId="11B48EE4" w14:textId="77777777" w:rsidR="00D07A30" w:rsidRPr="00195E25" w:rsidRDefault="00D07A30" w:rsidP="00D07A30">
      <w:pPr>
        <w:pStyle w:val="ListParagraph"/>
        <w:ind w:left="0"/>
        <w:jc w:val="both"/>
        <w:rPr>
          <w:rFonts w:ascii="Calibri" w:eastAsia="Batang" w:hAnsi="Calibri" w:cs="Calibri"/>
          <w:color w:val="000000" w:themeColor="text1"/>
          <w:lang w:val="en-US"/>
        </w:rPr>
      </w:pPr>
    </w:p>
    <w:p w14:paraId="687B31B2" w14:textId="77777777" w:rsidR="0080643C" w:rsidRPr="00195E25" w:rsidRDefault="00603E9B" w:rsidP="0080643C">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Religious freedom finds its shelter in the Constitution of the Republic under the terms of Article 52, this precept establishes freedom of conscience and religion.</w:t>
      </w:r>
    </w:p>
    <w:p w14:paraId="592E5DEB" w14:textId="77777777" w:rsidR="0080643C" w:rsidRPr="00195E25" w:rsidRDefault="0080643C" w:rsidP="0080643C">
      <w:pPr>
        <w:pStyle w:val="ListParagraph"/>
        <w:rPr>
          <w:rFonts w:ascii="Calibri" w:eastAsia="Batang" w:hAnsi="Calibri" w:cs="Calibri"/>
          <w:color w:val="000000" w:themeColor="text1"/>
          <w:lang w:val="en-US" w:eastAsia="pt-PT"/>
        </w:rPr>
      </w:pPr>
    </w:p>
    <w:p w14:paraId="1791523E" w14:textId="77777777" w:rsidR="008D3B11" w:rsidRPr="00195E25" w:rsidRDefault="002506C5" w:rsidP="008D3B11">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eastAsia="pt-PT"/>
        </w:rPr>
        <w:t xml:space="preserve">Religious freedom is the freedom to adopt or not to adopt a religion (inner freedom: to believe, not to believe or not to believe), to choose a particular religion, to proselytize in one way or another, not to be harmed by any religious or anti-religious position or attitude. Consequently, the State (and the other public powers) cannot </w:t>
      </w:r>
      <w:r w:rsidRPr="00195E25">
        <w:rPr>
          <w:rFonts w:ascii="Calibri" w:eastAsia="Batang" w:hAnsi="Calibri" w:cs="Calibri"/>
          <w:color w:val="000000" w:themeColor="text1"/>
          <w:lang w:val="en-US" w:eastAsia="pt-PT"/>
        </w:rPr>
        <w:lastRenderedPageBreak/>
        <w:t>prevent or oblige anyone to profess a certain belief and, on the other hand, must allow or enable those who follow a certain religion to fulfill the duties arising from it.</w:t>
      </w:r>
    </w:p>
    <w:p w14:paraId="3D0CCA19" w14:textId="77777777" w:rsidR="008D3B11" w:rsidRPr="00195E25" w:rsidRDefault="008D3B11" w:rsidP="008D3B11">
      <w:pPr>
        <w:pStyle w:val="ListParagraph"/>
        <w:rPr>
          <w:rFonts w:ascii="Calibri" w:eastAsia="Batang" w:hAnsi="Calibri" w:cs="Calibri"/>
          <w:color w:val="000000" w:themeColor="text1"/>
          <w:lang w:val="en-US" w:eastAsia="pt-PT"/>
        </w:rPr>
      </w:pPr>
    </w:p>
    <w:p w14:paraId="7D743771" w14:textId="77777777" w:rsidR="002A6FB1" w:rsidRPr="00195E25" w:rsidRDefault="002506C5" w:rsidP="002A6FB1">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eastAsia="pt-PT"/>
        </w:rPr>
        <w:t>Guinea-Bissau is characterized by being a country of religious diversity with about 45% of the population of Muslim religion, approximately 22% of the Christian population (Catholics and Evangelicals), and about 31% profess religions of African origin.</w:t>
      </w:r>
    </w:p>
    <w:p w14:paraId="6E7FF890" w14:textId="77777777" w:rsidR="002A6FB1" w:rsidRPr="00195E25" w:rsidRDefault="002A6FB1" w:rsidP="002A6FB1">
      <w:pPr>
        <w:pStyle w:val="ListParagraph"/>
        <w:rPr>
          <w:rFonts w:ascii="Calibri" w:eastAsia="Batang" w:hAnsi="Calibri" w:cs="Calibri"/>
          <w:color w:val="000000" w:themeColor="text1"/>
          <w:lang w:val="en-US" w:eastAsia="pt-PT"/>
        </w:rPr>
      </w:pPr>
    </w:p>
    <w:p w14:paraId="3D26CED8" w14:textId="77777777" w:rsidR="009E2C3D" w:rsidRPr="00195E25" w:rsidRDefault="00554B96" w:rsidP="009E2C3D">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eastAsia="pt-PT"/>
        </w:rPr>
        <w:t>This diversity, always characterized by peaceful coexistence, has been shaken in recent years by tensions that indicate inter- and intra-religious radicalism.</w:t>
      </w:r>
    </w:p>
    <w:p w14:paraId="14D9F642" w14:textId="77777777" w:rsidR="009E2C3D" w:rsidRPr="00195E25" w:rsidRDefault="009E2C3D" w:rsidP="009E2C3D">
      <w:pPr>
        <w:pStyle w:val="ListParagraph"/>
        <w:rPr>
          <w:rFonts w:ascii="Calibri" w:eastAsia="Batang" w:hAnsi="Calibri" w:cs="Calibri"/>
          <w:color w:val="000000" w:themeColor="text1"/>
          <w:lang w:val="en-US" w:eastAsia="pt-PT"/>
        </w:rPr>
      </w:pPr>
    </w:p>
    <w:p w14:paraId="5F37844D" w14:textId="77777777" w:rsidR="00F805B7" w:rsidRPr="00195E25" w:rsidRDefault="00554B96" w:rsidP="0082530D">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eastAsia="pt-PT"/>
        </w:rPr>
        <w:t xml:space="preserve">We have witnessed phenomena of stigmatization and attacks on places of worship of traditional religions of African origin by, allegedly, evangelical Christians who set fire to the "Balobas" because they understand that these places are diabolical. As an example, in March 2024, three "Balobas" were set on fire. In response, there was an attempt to set fire to an evangelical church in Mindara Neighborhood called the Church of MAFI. </w:t>
      </w:r>
    </w:p>
    <w:p w14:paraId="6FDB70C3" w14:textId="77777777" w:rsidR="00F805B7" w:rsidRPr="00195E25" w:rsidRDefault="00F805B7" w:rsidP="00F805B7">
      <w:pPr>
        <w:pStyle w:val="ListParagraph"/>
        <w:rPr>
          <w:rFonts w:ascii="Calibri" w:eastAsia="Batang" w:hAnsi="Calibri" w:cs="Calibri"/>
          <w:color w:val="000000" w:themeColor="text1"/>
          <w:lang w:val="en-US" w:eastAsia="pt-PT"/>
        </w:rPr>
      </w:pPr>
    </w:p>
    <w:p w14:paraId="711B4288" w14:textId="77777777" w:rsidR="00224C14" w:rsidRPr="00195E25" w:rsidRDefault="009F489F" w:rsidP="00224C14">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eastAsia="pt-PT"/>
        </w:rPr>
        <w:t>There are evangelical stations, such as Rádio Luz, that preach narratives of demonization of the traditional religion of African origin, often referring that those who practice it "will burn in the fire of hell".</w:t>
      </w:r>
    </w:p>
    <w:p w14:paraId="3DD458E9" w14:textId="77777777" w:rsidR="00224C14" w:rsidRPr="00195E25" w:rsidRDefault="00224C14" w:rsidP="00224C14">
      <w:pPr>
        <w:pStyle w:val="ListParagraph"/>
        <w:rPr>
          <w:rFonts w:ascii="Calibri" w:eastAsia="Batang" w:hAnsi="Calibri" w:cs="Calibri"/>
          <w:color w:val="000000" w:themeColor="text1"/>
          <w:lang w:val="en-US" w:eastAsia="pt-PT"/>
        </w:rPr>
      </w:pPr>
    </w:p>
    <w:p w14:paraId="2C3AE7DB" w14:textId="77777777" w:rsidR="00A2713B" w:rsidRPr="00195E25" w:rsidRDefault="009F489F" w:rsidP="00A2713B">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eastAsia="pt-PT"/>
        </w:rPr>
        <w:t>Ethnic-religious divisionism has been used in recent years by politicians as a way to capture votes and rise to power, a paradigmatic example is that of the President of the Republic, Umaro Sissoco Embaló, who in 2019, during the campaigns for the presidential elections, in addition to proclaiming speeches that indicate such practices, began to use the "Keffiyeh or Shemagh" (scarf with a red and white pattern normally worn by Muslims in Saudi Arabia) as a symbol of identification Muslim, counting that they represent approximately 45% of the population.</w:t>
      </w:r>
    </w:p>
    <w:p w14:paraId="6ADD74D4" w14:textId="77777777" w:rsidR="00A2713B" w:rsidRPr="00195E25" w:rsidRDefault="00A2713B" w:rsidP="00A2713B">
      <w:pPr>
        <w:pStyle w:val="ListParagraph"/>
        <w:rPr>
          <w:rFonts w:ascii="Calibri" w:eastAsia="Batang" w:hAnsi="Calibri" w:cs="Calibri"/>
          <w:color w:val="000000" w:themeColor="text1"/>
          <w:lang w:val="en-US" w:eastAsia="pt-PT"/>
        </w:rPr>
      </w:pPr>
    </w:p>
    <w:p w14:paraId="63EF7759" w14:textId="77777777" w:rsidR="00153EDD" w:rsidRDefault="00AF63E9" w:rsidP="00153EDD">
      <w:pPr>
        <w:pStyle w:val="ListParagraph"/>
        <w:numPr>
          <w:ilvl w:val="0"/>
          <w:numId w:val="27"/>
        </w:numPr>
        <w:ind w:left="0" w:firstLine="0"/>
        <w:jc w:val="both"/>
        <w:rPr>
          <w:rFonts w:ascii="Calibri" w:eastAsia="Batang" w:hAnsi="Calibri" w:cs="Calibri"/>
          <w:color w:val="000000" w:themeColor="text1"/>
        </w:rPr>
      </w:pPr>
      <w:r w:rsidRPr="00195E25">
        <w:rPr>
          <w:rFonts w:ascii="Calibri" w:eastAsia="Batang" w:hAnsi="Calibri" w:cs="Calibri"/>
          <w:color w:val="000000" w:themeColor="text1"/>
          <w:lang w:val="en-US" w:eastAsia="pt-PT"/>
        </w:rPr>
        <w:t xml:space="preserve">In July 2022, there was vandalization of the Catholic church of Santa Isabel de Gabú, located in the eastern province of the country. The vandals broke the altar and destroyed the sacred images and took the symbol of World Youth Day, this situation highlights the growing religious extremism in Guinea-Bissau. </w:t>
      </w:r>
      <w:r w:rsidRPr="00A2713B">
        <w:rPr>
          <w:rFonts w:ascii="Calibri" w:eastAsia="Batang" w:hAnsi="Calibri" w:cs="Calibri"/>
          <w:color w:val="000000" w:themeColor="text1"/>
          <w:lang w:eastAsia="pt-PT"/>
        </w:rPr>
        <w:t>Those responsible have not been found.</w:t>
      </w:r>
    </w:p>
    <w:p w14:paraId="74C2701E" w14:textId="77777777" w:rsidR="00153EDD" w:rsidRPr="00153EDD" w:rsidRDefault="00153EDD" w:rsidP="00153EDD">
      <w:pPr>
        <w:pStyle w:val="ListParagraph"/>
        <w:rPr>
          <w:rFonts w:ascii="Calibri" w:eastAsia="Batang" w:hAnsi="Calibri" w:cs="Calibri"/>
          <w:color w:val="000000" w:themeColor="text1"/>
          <w:lang w:eastAsia="pt-PT"/>
        </w:rPr>
      </w:pPr>
    </w:p>
    <w:p w14:paraId="0B56105F" w14:textId="77777777" w:rsidR="002A4D5D" w:rsidRPr="00195E25" w:rsidRDefault="00332A71" w:rsidP="002A4D5D">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eastAsia="pt-PT"/>
        </w:rPr>
        <w:t>There is growing concern in the Muslim community that denounces the suspicious external funding received by some Muslim religious leaders for the construction of mosques and schools from radical or extremist Islamic groups, which may be undermining traditionally moderate Islam in the country.</w:t>
      </w:r>
    </w:p>
    <w:p w14:paraId="7FBEB1D3" w14:textId="77777777" w:rsidR="002A4D5D" w:rsidRPr="00195E25" w:rsidRDefault="002A4D5D" w:rsidP="002A4D5D">
      <w:pPr>
        <w:pStyle w:val="ListParagraph"/>
        <w:rPr>
          <w:rFonts w:ascii="Calibri" w:eastAsia="Batang" w:hAnsi="Calibri" w:cs="Calibri"/>
          <w:color w:val="000000" w:themeColor="text1"/>
          <w:lang w:val="en-US" w:eastAsia="pt-PT"/>
        </w:rPr>
      </w:pPr>
    </w:p>
    <w:p w14:paraId="07020EF8" w14:textId="77777777" w:rsidR="00CA560C" w:rsidRPr="00195E25" w:rsidRDefault="00033186" w:rsidP="002A4D5D">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eastAsia="pt-PT"/>
        </w:rPr>
        <w:t xml:space="preserve">Lately, there has been state interference in religious matters, especially in the Muslim religion, postponing and imposing the date for Ramadan prayers when it coincides on a Friday, based on the superstition that when Ramadan is celebrated on this weekday the president of the republic loses power, either by death or another situation. </w:t>
      </w:r>
    </w:p>
    <w:p w14:paraId="7504E8C7" w14:textId="77777777" w:rsidR="00CA560C" w:rsidRPr="00195E25" w:rsidRDefault="00CA560C" w:rsidP="00CA560C">
      <w:pPr>
        <w:pStyle w:val="ListParagraph"/>
        <w:rPr>
          <w:rFonts w:ascii="Calibri" w:eastAsia="Batang" w:hAnsi="Calibri" w:cs="Calibri"/>
          <w:color w:val="000000" w:themeColor="text1"/>
          <w:lang w:val="en-US" w:eastAsia="pt-PT"/>
        </w:rPr>
      </w:pPr>
    </w:p>
    <w:p w14:paraId="23BC2633" w14:textId="42EC86F4" w:rsidR="004E1584" w:rsidRPr="00195E25" w:rsidRDefault="00DD1A6D" w:rsidP="002A4D5D">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eastAsia="pt-PT"/>
        </w:rPr>
        <w:lastRenderedPageBreak/>
        <w:t>There was a situation that occurred on May 14, 2021 in which Muslim worshippers from the town of Contuba, Bafata region, assaulted the regional Commissioner of the Public Order Police after he went to this town in order to prevent them from praying Ramadan. In response, the Rapid Intervention Police went to the scene carrying out a brutal police charge against the people and preventing the prayer from taking place and causing dozens of injuries.</w:t>
      </w:r>
    </w:p>
    <w:p w14:paraId="4D4A8553" w14:textId="77777777" w:rsidR="00C33AE2" w:rsidRPr="00195E25" w:rsidRDefault="00C33AE2" w:rsidP="00C33AE2">
      <w:pPr>
        <w:pStyle w:val="ListParagraph"/>
        <w:rPr>
          <w:rFonts w:ascii="Calibri" w:eastAsia="Batang" w:hAnsi="Calibri" w:cs="Calibri"/>
          <w:color w:val="000000" w:themeColor="text1"/>
          <w:lang w:val="en-US"/>
        </w:rPr>
      </w:pPr>
    </w:p>
    <w:p w14:paraId="7CF49023" w14:textId="77777777" w:rsidR="00C33AE2" w:rsidRPr="00195E25" w:rsidRDefault="00C33AE2" w:rsidP="00C33AE2">
      <w:pPr>
        <w:pStyle w:val="ListParagraph"/>
        <w:ind w:left="0"/>
        <w:jc w:val="both"/>
        <w:rPr>
          <w:rFonts w:ascii="Calibri" w:eastAsia="Batang" w:hAnsi="Calibri" w:cs="Calibri"/>
          <w:color w:val="000000" w:themeColor="text1"/>
          <w:lang w:val="en-US"/>
        </w:rPr>
      </w:pPr>
    </w:p>
    <w:tbl>
      <w:tblPr>
        <w:tblStyle w:val="TableGrid"/>
        <w:tblW w:w="0" w:type="auto"/>
        <w:tblLook w:val="04A0" w:firstRow="1" w:lastRow="0" w:firstColumn="1" w:lastColumn="0" w:noHBand="0" w:noVBand="1"/>
      </w:tblPr>
      <w:tblGrid>
        <w:gridCol w:w="8488"/>
      </w:tblGrid>
      <w:tr w:rsidR="00C33AE2" w:rsidRPr="00195E25" w14:paraId="7EDECE5C" w14:textId="77777777" w:rsidTr="00C33AE2">
        <w:tc>
          <w:tcPr>
            <w:tcW w:w="8488" w:type="dxa"/>
          </w:tcPr>
          <w:p w14:paraId="43947776" w14:textId="34D16A6A" w:rsidR="00C33AE2" w:rsidRPr="00CD09C9" w:rsidRDefault="00C33AE2" w:rsidP="00C33AE2">
            <w:pPr>
              <w:spacing w:before="100" w:beforeAutospacing="1" w:after="100" w:afterAutospacing="1"/>
              <w:jc w:val="both"/>
              <w:rPr>
                <w:rFonts w:ascii="Calibri" w:eastAsia="Batang" w:hAnsi="Calibri" w:cs="Calibri"/>
                <w:b/>
                <w:color w:val="000000" w:themeColor="text1"/>
                <w:lang w:eastAsia="pt-PT"/>
              </w:rPr>
            </w:pPr>
            <w:r w:rsidRPr="00CD09C9">
              <w:rPr>
                <w:rFonts w:ascii="Calibri" w:eastAsia="Batang" w:hAnsi="Calibri" w:cs="Calibri"/>
                <w:b/>
                <w:color w:val="000000" w:themeColor="text1"/>
                <w:lang w:eastAsia="pt-PT"/>
              </w:rPr>
              <w:t>Recommendations for the State</w:t>
            </w:r>
          </w:p>
          <w:p w14:paraId="31B7BA6B" w14:textId="7F00B24D" w:rsidR="00C33AE2" w:rsidRPr="00195E25" w:rsidRDefault="00C33AE2" w:rsidP="00C33AE2">
            <w:pPr>
              <w:pStyle w:val="ListParagraph"/>
              <w:numPr>
                <w:ilvl w:val="0"/>
                <w:numId w:val="16"/>
              </w:numPr>
              <w:spacing w:before="100" w:beforeAutospacing="1" w:after="100" w:afterAutospacing="1"/>
              <w:jc w:val="both"/>
              <w:rPr>
                <w:rFonts w:ascii="Calibri" w:eastAsia="Batang" w:hAnsi="Calibri" w:cs="Calibri"/>
                <w:color w:val="000000" w:themeColor="text1"/>
                <w:lang w:val="en-US" w:eastAsia="pt-PT"/>
              </w:rPr>
            </w:pPr>
            <w:r w:rsidRPr="00195E25">
              <w:rPr>
                <w:rFonts w:ascii="Calibri" w:eastAsia="Batang" w:hAnsi="Calibri" w:cs="Calibri"/>
                <w:color w:val="000000" w:themeColor="text1"/>
                <w:lang w:val="en-US" w:eastAsia="pt-PT"/>
              </w:rPr>
              <w:t>Promote awareness campaigns about the different religious beliefs in the country.</w:t>
            </w:r>
          </w:p>
          <w:p w14:paraId="70775876" w14:textId="2163C907" w:rsidR="00C33AE2" w:rsidRPr="00195E25" w:rsidRDefault="00C33AE2" w:rsidP="00C33AE2">
            <w:pPr>
              <w:pStyle w:val="ListParagraph"/>
              <w:numPr>
                <w:ilvl w:val="0"/>
                <w:numId w:val="16"/>
              </w:numPr>
              <w:spacing w:before="100" w:beforeAutospacing="1" w:after="100" w:afterAutospacing="1"/>
              <w:jc w:val="both"/>
              <w:rPr>
                <w:rFonts w:ascii="Calibri" w:eastAsia="Batang" w:hAnsi="Calibri" w:cs="Calibri"/>
                <w:color w:val="000000" w:themeColor="text1"/>
                <w:lang w:val="en-US" w:eastAsia="pt-PT"/>
              </w:rPr>
            </w:pPr>
            <w:r w:rsidRPr="00195E25">
              <w:rPr>
                <w:rFonts w:ascii="Calibri" w:eastAsia="Batang" w:hAnsi="Calibri" w:cs="Calibri"/>
                <w:color w:val="000000" w:themeColor="text1"/>
                <w:lang w:val="en-US" w:eastAsia="pt-PT"/>
              </w:rPr>
              <w:t>Combat hate crimes and discrimination based on religion by creating specialized structures for crimes of religious intolerance.</w:t>
            </w:r>
          </w:p>
          <w:p w14:paraId="2D898C8C" w14:textId="583809B7" w:rsidR="00C33AE2" w:rsidRPr="00195E25" w:rsidRDefault="00C33AE2" w:rsidP="00C33AE2">
            <w:pPr>
              <w:pStyle w:val="ListParagraph"/>
              <w:numPr>
                <w:ilvl w:val="0"/>
                <w:numId w:val="16"/>
              </w:numPr>
              <w:spacing w:before="100" w:beforeAutospacing="1" w:after="100" w:afterAutospacing="1"/>
              <w:jc w:val="both"/>
              <w:rPr>
                <w:rFonts w:ascii="Calibri" w:eastAsia="Batang" w:hAnsi="Calibri" w:cs="Calibri"/>
                <w:color w:val="000000" w:themeColor="text1"/>
                <w:lang w:val="en-US" w:eastAsia="pt-PT"/>
              </w:rPr>
            </w:pPr>
            <w:r w:rsidRPr="00195E25">
              <w:rPr>
                <w:rFonts w:ascii="Calibri" w:eastAsia="Batang" w:hAnsi="Calibri" w:cs="Calibri"/>
                <w:color w:val="000000" w:themeColor="text1"/>
                <w:lang w:val="en-US" w:eastAsia="pt-PT"/>
              </w:rPr>
              <w:t>Create reporting channels and psychological, legal and social support for victims of religious discrimination.</w:t>
            </w:r>
          </w:p>
          <w:p w14:paraId="10E19D12" w14:textId="4BC885B6" w:rsidR="00C33AE2" w:rsidRPr="00195E25" w:rsidRDefault="00C33AE2" w:rsidP="00C33AE2">
            <w:pPr>
              <w:pStyle w:val="ListParagraph"/>
              <w:numPr>
                <w:ilvl w:val="0"/>
                <w:numId w:val="16"/>
              </w:numPr>
              <w:spacing w:before="100" w:beforeAutospacing="1" w:after="100" w:afterAutospacing="1"/>
              <w:jc w:val="both"/>
              <w:rPr>
                <w:rFonts w:ascii="Calibri" w:eastAsia="Batang" w:hAnsi="Calibri" w:cs="Calibri"/>
                <w:color w:val="000000" w:themeColor="text1"/>
                <w:lang w:val="en-US" w:eastAsia="pt-PT"/>
              </w:rPr>
            </w:pPr>
            <w:r w:rsidRPr="00195E25">
              <w:rPr>
                <w:rFonts w:ascii="Calibri" w:eastAsia="Batang" w:hAnsi="Calibri" w:cs="Calibri"/>
                <w:color w:val="000000" w:themeColor="text1"/>
                <w:lang w:val="en-US" w:eastAsia="pt-PT"/>
              </w:rPr>
              <w:t>To stimulate spaces for interreligious dialogue with representatives of the State.</w:t>
            </w:r>
          </w:p>
          <w:p w14:paraId="3A537695" w14:textId="16A8AB64" w:rsidR="00C33AE2" w:rsidRPr="00195E25" w:rsidRDefault="00C33AE2" w:rsidP="00C33AE2">
            <w:pPr>
              <w:pStyle w:val="ListParagraph"/>
              <w:numPr>
                <w:ilvl w:val="0"/>
                <w:numId w:val="16"/>
              </w:numPr>
              <w:spacing w:before="100" w:beforeAutospacing="1" w:after="100" w:afterAutospacing="1"/>
              <w:jc w:val="both"/>
              <w:rPr>
                <w:rFonts w:ascii="Calibri" w:eastAsia="Batang" w:hAnsi="Calibri" w:cs="Calibri"/>
                <w:color w:val="000000" w:themeColor="text1"/>
                <w:lang w:val="en-US" w:eastAsia="pt-PT"/>
              </w:rPr>
            </w:pPr>
            <w:r w:rsidRPr="00195E25">
              <w:rPr>
                <w:rFonts w:ascii="Calibri" w:eastAsia="Batang" w:hAnsi="Calibri" w:cs="Calibri"/>
                <w:color w:val="000000" w:themeColor="text1"/>
                <w:lang w:val="en-US" w:eastAsia="pt-PT"/>
              </w:rPr>
              <w:t>Ensure respect for the secularity of the State and that there is no favoring of any religion in public policies, financing or other institutional spaces.</w:t>
            </w:r>
          </w:p>
          <w:p w14:paraId="2EF91110" w14:textId="7C48E7FB" w:rsidR="00C33AE2" w:rsidRPr="00195E25" w:rsidRDefault="00C33AE2" w:rsidP="00C33AE2">
            <w:pPr>
              <w:pStyle w:val="ListParagraph"/>
              <w:numPr>
                <w:ilvl w:val="0"/>
                <w:numId w:val="16"/>
              </w:numPr>
              <w:spacing w:before="100" w:beforeAutospacing="1" w:after="100" w:afterAutospacing="1"/>
              <w:jc w:val="both"/>
              <w:rPr>
                <w:rFonts w:ascii="Calibri" w:eastAsia="Batang" w:hAnsi="Calibri" w:cs="Calibri"/>
                <w:color w:val="000000" w:themeColor="text1"/>
                <w:lang w:val="en-US" w:eastAsia="pt-PT"/>
              </w:rPr>
            </w:pPr>
            <w:r w:rsidRPr="00195E25">
              <w:rPr>
                <w:rFonts w:ascii="Calibri" w:eastAsia="Batang" w:hAnsi="Calibri" w:cs="Calibri"/>
                <w:color w:val="000000" w:themeColor="text1"/>
                <w:lang w:val="en-US" w:eastAsia="pt-PT"/>
              </w:rPr>
              <w:t>Prevent political leaders from using religion for electoral manipulation or that religious leaders do not hold political office.</w:t>
            </w:r>
          </w:p>
          <w:p w14:paraId="35C9195D" w14:textId="77777777" w:rsidR="00C33AE2" w:rsidRPr="00195E25" w:rsidRDefault="00C33AE2" w:rsidP="002506C5">
            <w:pPr>
              <w:spacing w:before="100" w:beforeAutospacing="1" w:after="100" w:afterAutospacing="1"/>
              <w:jc w:val="both"/>
              <w:rPr>
                <w:rFonts w:ascii="Calibri" w:eastAsia="Batang" w:hAnsi="Calibri" w:cs="Calibri"/>
                <w:b/>
                <w:color w:val="000000" w:themeColor="text1"/>
                <w:lang w:val="en-US" w:eastAsia="pt-PT"/>
              </w:rPr>
            </w:pPr>
          </w:p>
        </w:tc>
      </w:tr>
    </w:tbl>
    <w:p w14:paraId="44A2129A" w14:textId="77777777" w:rsidR="00060368" w:rsidRPr="00195E25" w:rsidRDefault="00060368" w:rsidP="004E1584">
      <w:pPr>
        <w:spacing w:after="160" w:line="259" w:lineRule="auto"/>
        <w:jc w:val="both"/>
        <w:rPr>
          <w:rFonts w:ascii="Calibri" w:eastAsia="Batang" w:hAnsi="Calibri" w:cs="Calibri"/>
          <w:b/>
          <w:bCs/>
          <w:color w:val="000000" w:themeColor="text1"/>
          <w:lang w:val="en-US"/>
        </w:rPr>
      </w:pPr>
    </w:p>
    <w:p w14:paraId="7170E40A" w14:textId="7A2C838B" w:rsidR="004E1584" w:rsidRPr="00060368" w:rsidRDefault="004E1584" w:rsidP="00060368">
      <w:pPr>
        <w:pStyle w:val="Heading1"/>
        <w:rPr>
          <w:rFonts w:ascii="Calibri" w:eastAsia="Batang" w:hAnsi="Calibri" w:cs="Calibri"/>
          <w:sz w:val="28"/>
          <w:szCs w:val="28"/>
        </w:rPr>
      </w:pPr>
      <w:bookmarkStart w:id="18" w:name="_Toc198976501"/>
      <w:r w:rsidRPr="00060368">
        <w:rPr>
          <w:rFonts w:ascii="Calibri" w:eastAsia="Batang" w:hAnsi="Calibri" w:cs="Calibri"/>
          <w:sz w:val="28"/>
          <w:szCs w:val="28"/>
        </w:rPr>
        <w:t>CONCLUSION</w:t>
      </w:r>
      <w:bookmarkEnd w:id="18"/>
    </w:p>
    <w:p w14:paraId="0DDADBB9" w14:textId="77777777" w:rsidR="00A7494D" w:rsidRPr="00195E25" w:rsidRDefault="004E1584" w:rsidP="00A7494D">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After more than 50 years, Guinea-Bissau continues to face serious problems of development and inequality motivated by the lack of public policies that meet the specific needs of the populations, the systematic violations of Human Rights, disrespect for the Democratic Rule of Law and human dignity.</w:t>
      </w:r>
    </w:p>
    <w:p w14:paraId="51B9A1E0" w14:textId="77777777" w:rsidR="00A7494D" w:rsidRPr="00195E25" w:rsidRDefault="00A7494D" w:rsidP="00A7494D">
      <w:pPr>
        <w:pStyle w:val="ListParagraph"/>
        <w:ind w:left="0"/>
        <w:jc w:val="both"/>
        <w:rPr>
          <w:rFonts w:ascii="Calibri" w:eastAsia="Batang" w:hAnsi="Calibri" w:cs="Calibri"/>
          <w:color w:val="000000" w:themeColor="text1"/>
          <w:lang w:val="en-US"/>
        </w:rPr>
      </w:pPr>
    </w:p>
    <w:p w14:paraId="240ECBA3" w14:textId="202BF744" w:rsidR="007B290E" w:rsidRPr="00195E25" w:rsidRDefault="007B290E" w:rsidP="00A7494D">
      <w:pPr>
        <w:pStyle w:val="ListParagraph"/>
        <w:numPr>
          <w:ilvl w:val="0"/>
          <w:numId w:val="27"/>
        </w:numPr>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The struggle for justice and human dignity remains a crucial task for the survival and progress of Guinea-Bissau.</w:t>
      </w:r>
    </w:p>
    <w:p w14:paraId="19219836" w14:textId="77777777" w:rsidR="00B1154B" w:rsidRPr="00195E25" w:rsidRDefault="00B1154B" w:rsidP="004E1584">
      <w:pPr>
        <w:jc w:val="both"/>
        <w:rPr>
          <w:rFonts w:ascii="Calibri" w:eastAsia="Batang" w:hAnsi="Calibri" w:cs="Calibri"/>
          <w:color w:val="000000" w:themeColor="text1"/>
          <w:lang w:val="en-US"/>
        </w:rPr>
      </w:pPr>
    </w:p>
    <w:p w14:paraId="296FEF7D" w14:textId="5983F4BA" w:rsidR="00A7494D" w:rsidRPr="00195E25" w:rsidRDefault="00A7494D">
      <w:pPr>
        <w:rPr>
          <w:rFonts w:ascii="Calibri" w:eastAsia="Batang" w:hAnsi="Calibri" w:cs="Calibri"/>
          <w:color w:val="000000" w:themeColor="text1"/>
          <w:lang w:val="en-US"/>
        </w:rPr>
      </w:pPr>
      <w:r w:rsidRPr="00195E25">
        <w:rPr>
          <w:rFonts w:ascii="Calibri" w:eastAsia="Batang" w:hAnsi="Calibri" w:cs="Calibri"/>
          <w:color w:val="000000" w:themeColor="text1"/>
          <w:lang w:val="en-US"/>
        </w:rPr>
        <w:br w:type="page"/>
      </w:r>
    </w:p>
    <w:p w14:paraId="08C5318B" w14:textId="77777777" w:rsidR="00C92BA7" w:rsidRPr="00195E25" w:rsidRDefault="00B1154B" w:rsidP="00A7494D">
      <w:pPr>
        <w:pStyle w:val="Heading1"/>
        <w:rPr>
          <w:rFonts w:ascii="Calibri" w:eastAsia="Batang" w:hAnsi="Calibri" w:cs="Calibri"/>
          <w:sz w:val="28"/>
          <w:szCs w:val="28"/>
          <w:lang w:val="en-US"/>
        </w:rPr>
      </w:pPr>
      <w:bookmarkStart w:id="19" w:name="_Toc198976502"/>
      <w:r w:rsidRPr="00195E25">
        <w:rPr>
          <w:rFonts w:ascii="Calibri" w:eastAsia="Batang" w:hAnsi="Calibri" w:cs="Calibri"/>
          <w:sz w:val="28"/>
          <w:szCs w:val="28"/>
          <w:lang w:val="en-US"/>
        </w:rPr>
        <w:lastRenderedPageBreak/>
        <w:t>ATTACHMENT</w:t>
      </w:r>
      <w:bookmarkEnd w:id="19"/>
    </w:p>
    <w:p w14:paraId="586C6606" w14:textId="77777777" w:rsidR="00C92BA7" w:rsidRPr="00195E25" w:rsidRDefault="00B1154B" w:rsidP="00C92BA7">
      <w:pPr>
        <w:jc w:val="center"/>
        <w:rPr>
          <w:rFonts w:ascii="Calibri" w:eastAsia="Batang" w:hAnsi="Calibri" w:cs="Calibri"/>
          <w:lang w:val="en-US"/>
        </w:rPr>
      </w:pPr>
      <w:r w:rsidRPr="00195E25">
        <w:rPr>
          <w:rFonts w:ascii="Calibri" w:eastAsia="Batang" w:hAnsi="Calibri" w:cs="Calibri"/>
          <w:lang w:val="en-US"/>
        </w:rPr>
        <w:t>CHRONOLOGY OF SOME CASES OF HUMAN RIGHTS VIOLATIONS IN GUINEA-BISSAU FROM 2020 TO 2025</w:t>
      </w:r>
    </w:p>
    <w:p w14:paraId="22F1A9A8" w14:textId="77777777" w:rsidR="003A7118" w:rsidRPr="00195E25" w:rsidRDefault="003A7118" w:rsidP="003A7118">
      <w:pPr>
        <w:widowControl w:val="0"/>
        <w:autoSpaceDE w:val="0"/>
        <w:autoSpaceDN w:val="0"/>
        <w:adjustRightInd w:val="0"/>
        <w:spacing w:after="240" w:line="360" w:lineRule="atLeast"/>
        <w:jc w:val="both"/>
        <w:rPr>
          <w:rFonts w:ascii="Calibri" w:eastAsia="Batang" w:hAnsi="Calibri" w:cs="Calibri"/>
          <w:color w:val="000000" w:themeColor="text1"/>
          <w:lang w:val="en-US"/>
        </w:rPr>
      </w:pPr>
    </w:p>
    <w:p w14:paraId="104B3D64" w14:textId="3A8F39AB" w:rsidR="003A338A" w:rsidRPr="00195E25" w:rsidRDefault="003A338A" w:rsidP="003A338A">
      <w:pPr>
        <w:pStyle w:val="ListParagraph"/>
        <w:widowControl w:val="0"/>
        <w:numPr>
          <w:ilvl w:val="0"/>
          <w:numId w:val="17"/>
        </w:numPr>
        <w:autoSpaceDE w:val="0"/>
        <w:autoSpaceDN w:val="0"/>
        <w:adjustRightInd w:val="0"/>
        <w:spacing w:after="240" w:line="360" w:lineRule="atLeast"/>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 xml:space="preserve">On July 26, 2020, Radio Capital FM, critical of the current regime, was attacked by a group of armed men who stormed the station and destroyed transmission equipment. </w:t>
      </w:r>
    </w:p>
    <w:p w14:paraId="2585925B" w14:textId="5D43E23E" w:rsidR="00BD0206" w:rsidRPr="00195E25" w:rsidRDefault="00A2424A" w:rsidP="00BD0206">
      <w:pPr>
        <w:pStyle w:val="ListParagraph"/>
        <w:widowControl w:val="0"/>
        <w:numPr>
          <w:ilvl w:val="0"/>
          <w:numId w:val="17"/>
        </w:numPr>
        <w:autoSpaceDE w:val="0"/>
        <w:autoSpaceDN w:val="0"/>
        <w:adjustRightInd w:val="0"/>
        <w:spacing w:after="240" w:line="360" w:lineRule="atLeast"/>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On October 9, 2020, two political activists and members of the Youth of the Movement for Political Alternation (MADEM-G15), Carlos Sambú and Queba Sani ("Kelly"), denounced having been kidnapped in the Ajuda neighborhood of the Guinean capital and tortured on the premises of the Presidency of the Republic.</w:t>
      </w:r>
    </w:p>
    <w:p w14:paraId="2C2CB413" w14:textId="3BD39803" w:rsidR="00E8729D" w:rsidRPr="00195E25" w:rsidRDefault="00E8729D" w:rsidP="00E8729D">
      <w:pPr>
        <w:pStyle w:val="ListParagraph"/>
        <w:widowControl w:val="0"/>
        <w:numPr>
          <w:ilvl w:val="0"/>
          <w:numId w:val="17"/>
        </w:numPr>
        <w:autoSpaceDE w:val="0"/>
        <w:autoSpaceDN w:val="0"/>
        <w:adjustRightInd w:val="0"/>
        <w:spacing w:after="240" w:line="360" w:lineRule="atLeast"/>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On January 28, 2021, journalist Sulai Seide, from Radio Bombolom, was arrested and beaten by police at the Second Police Station in Bissau.</w:t>
      </w:r>
    </w:p>
    <w:p w14:paraId="141A3950" w14:textId="6DB9B758" w:rsidR="003A338A" w:rsidRPr="00195E25" w:rsidRDefault="003A338A" w:rsidP="003A338A">
      <w:pPr>
        <w:pStyle w:val="ListParagraph"/>
        <w:widowControl w:val="0"/>
        <w:numPr>
          <w:ilvl w:val="0"/>
          <w:numId w:val="17"/>
        </w:numPr>
        <w:autoSpaceDE w:val="0"/>
        <w:autoSpaceDN w:val="0"/>
        <w:adjustRightInd w:val="0"/>
        <w:spacing w:after="240" w:line="360" w:lineRule="atLeast"/>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On February 3, 2021, following multiple public threats, the Bar Association was illegally notified to vacate the property that housed its registered office, located on the perimeter of the Presidency of the Republic.</w:t>
      </w:r>
    </w:p>
    <w:p w14:paraId="06A88EE2" w14:textId="055E6E91" w:rsidR="003A338A" w:rsidRPr="00195E25" w:rsidRDefault="003A338A" w:rsidP="003A338A">
      <w:pPr>
        <w:pStyle w:val="ListParagraph"/>
        <w:widowControl w:val="0"/>
        <w:numPr>
          <w:ilvl w:val="0"/>
          <w:numId w:val="17"/>
        </w:numPr>
        <w:autoSpaceDE w:val="0"/>
        <w:autoSpaceDN w:val="0"/>
        <w:adjustRightInd w:val="0"/>
        <w:spacing w:after="240" w:line="360" w:lineRule="atLeast"/>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On the night of February 8, 2021, the residence of political analyst Rui Landim was attacked by armed men, moments after he had broadcast critical comments about the regime to the microphones of a private radio station.</w:t>
      </w:r>
    </w:p>
    <w:p w14:paraId="574B8B32" w14:textId="1676C389" w:rsidR="003A338A" w:rsidRPr="00195E25" w:rsidRDefault="003A338A" w:rsidP="003A338A">
      <w:pPr>
        <w:pStyle w:val="ListParagraph"/>
        <w:widowControl w:val="0"/>
        <w:numPr>
          <w:ilvl w:val="0"/>
          <w:numId w:val="17"/>
        </w:numPr>
        <w:autoSpaceDE w:val="0"/>
        <w:autoSpaceDN w:val="0"/>
        <w:adjustRightInd w:val="0"/>
        <w:spacing w:after="240" w:line="360" w:lineRule="atLeast"/>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On March 9, 2021, journalist Aly Silva was kidnapped, brutally beaten and abandoned by a group of armed and hooded men in the heart of the capital.</w:t>
      </w:r>
    </w:p>
    <w:p w14:paraId="2752A968" w14:textId="4B450115" w:rsidR="003A338A" w:rsidRPr="00195E25" w:rsidRDefault="003A338A" w:rsidP="003A338A">
      <w:pPr>
        <w:pStyle w:val="ListParagraph"/>
        <w:widowControl w:val="0"/>
        <w:numPr>
          <w:ilvl w:val="0"/>
          <w:numId w:val="17"/>
        </w:numPr>
        <w:autoSpaceDE w:val="0"/>
        <w:autoSpaceDN w:val="0"/>
        <w:adjustRightInd w:val="0"/>
        <w:spacing w:after="240" w:line="360" w:lineRule="atLeast"/>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On March 29 and 31, 2021, the former Minister of Justice, Ruth Monteiro, was prevented from traveling by the Security Forces at Bissau's international airport, allegedly for not having handed over the official vehicle.</w:t>
      </w:r>
    </w:p>
    <w:p w14:paraId="10DF7CA5" w14:textId="77777777" w:rsidR="00DB6488" w:rsidRPr="00195E25" w:rsidRDefault="00C92BA7" w:rsidP="00DB6488">
      <w:pPr>
        <w:pStyle w:val="ListParagraph"/>
        <w:widowControl w:val="0"/>
        <w:numPr>
          <w:ilvl w:val="0"/>
          <w:numId w:val="17"/>
        </w:numPr>
        <w:autoSpaceDE w:val="0"/>
        <w:autoSpaceDN w:val="0"/>
        <w:adjustRightInd w:val="0"/>
        <w:spacing w:after="240" w:line="360" w:lineRule="atLeast"/>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On June 14, 2021, businessman Veríssimo Nancassa, commonly known as Tchitchi, very close to the PAIGC leader, was prevented from traveling to Dakar, where he lives.</w:t>
      </w:r>
    </w:p>
    <w:p w14:paraId="53664354" w14:textId="77777777" w:rsidR="00731C96" w:rsidRPr="00195E25" w:rsidRDefault="00C92BA7" w:rsidP="00731C96">
      <w:pPr>
        <w:pStyle w:val="ListParagraph"/>
        <w:widowControl w:val="0"/>
        <w:numPr>
          <w:ilvl w:val="0"/>
          <w:numId w:val="17"/>
        </w:numPr>
        <w:autoSpaceDE w:val="0"/>
        <w:autoSpaceDN w:val="0"/>
        <w:adjustRightInd w:val="0"/>
        <w:spacing w:after="240" w:line="360" w:lineRule="atLeast"/>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On July 23, 2021, Domingos Simões Pereira, leader of the PAIGC, was prevented from traveling to Portugal for the first time by "superior order".</w:t>
      </w:r>
    </w:p>
    <w:p w14:paraId="66C10759" w14:textId="42393895" w:rsidR="00311DBC" w:rsidRPr="00195E25" w:rsidRDefault="00311DBC" w:rsidP="00731C96">
      <w:pPr>
        <w:pStyle w:val="ListParagraph"/>
        <w:widowControl w:val="0"/>
        <w:numPr>
          <w:ilvl w:val="0"/>
          <w:numId w:val="17"/>
        </w:numPr>
        <w:autoSpaceDE w:val="0"/>
        <w:autoSpaceDN w:val="0"/>
        <w:adjustRightInd w:val="0"/>
        <w:spacing w:after="240" w:line="360" w:lineRule="atLeast"/>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On October 8, 2021, in the same context of systematic persecution of trade unionists, two union leaders in the health sector (João Domingos da Silva and Yoio João Correia) were allegedly arrested at the behest of the President of the Republic.</w:t>
      </w:r>
    </w:p>
    <w:p w14:paraId="5E9F96EC" w14:textId="649D59BD" w:rsidR="00435CD4" w:rsidRPr="00195E25" w:rsidRDefault="00435CD4" w:rsidP="00731C96">
      <w:pPr>
        <w:pStyle w:val="ListParagraph"/>
        <w:widowControl w:val="0"/>
        <w:numPr>
          <w:ilvl w:val="0"/>
          <w:numId w:val="17"/>
        </w:numPr>
        <w:autoSpaceDE w:val="0"/>
        <w:autoSpaceDN w:val="0"/>
        <w:adjustRightInd w:val="0"/>
        <w:spacing w:after="240" w:line="360" w:lineRule="atLeast"/>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On February 1, 2022, a group of armed men attacked the Government Palace, culminating in the death of 11 people. As a result of this act, about 50 people were arrested without a judicial warrant. More than 3 years later, some people are still detained without trial.</w:t>
      </w:r>
    </w:p>
    <w:p w14:paraId="3E9E0656" w14:textId="6E7B1B9B" w:rsidR="00731C96" w:rsidRPr="00195E25" w:rsidRDefault="00731C96" w:rsidP="00E44857">
      <w:pPr>
        <w:pStyle w:val="ListParagraph"/>
        <w:widowControl w:val="0"/>
        <w:numPr>
          <w:ilvl w:val="0"/>
          <w:numId w:val="17"/>
        </w:numPr>
        <w:autoSpaceDE w:val="0"/>
        <w:autoSpaceDN w:val="0"/>
        <w:adjustRightInd w:val="0"/>
        <w:spacing w:after="240" w:line="360" w:lineRule="atLeast"/>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 xml:space="preserve">On February 8, 2022, Radio Capital FM was the target of a second attack </w:t>
      </w:r>
      <w:r w:rsidRPr="00195E25">
        <w:rPr>
          <w:rFonts w:ascii="Calibri" w:eastAsia="Batang" w:hAnsi="Calibri" w:cs="Calibri"/>
          <w:color w:val="000000" w:themeColor="text1"/>
          <w:lang w:val="en-US"/>
        </w:rPr>
        <w:lastRenderedPageBreak/>
        <w:t>perpetrated by a group of armed men. The radio station, including equipment and facilities, was completely destroyed by gunfire, and several journalists and staff suffered serious injuries.</w:t>
      </w:r>
    </w:p>
    <w:p w14:paraId="6249DE67" w14:textId="0CF98799" w:rsidR="00E44857" w:rsidRPr="00195E25" w:rsidRDefault="00E44857" w:rsidP="00E44857">
      <w:pPr>
        <w:pStyle w:val="ListParagraph"/>
        <w:widowControl w:val="0"/>
        <w:numPr>
          <w:ilvl w:val="0"/>
          <w:numId w:val="17"/>
        </w:numPr>
        <w:autoSpaceDE w:val="0"/>
        <w:autoSpaceDN w:val="0"/>
        <w:adjustRightInd w:val="0"/>
        <w:spacing w:after="240" w:line="360" w:lineRule="atLeast"/>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On March 19, 2022, lawyer and political activist Sana Canté was kidnapped and brutally beaten by a group of armed men, hours after returning to Guinea-Bissau.</w:t>
      </w:r>
    </w:p>
    <w:p w14:paraId="706561B3" w14:textId="77777777" w:rsidR="00E70421" w:rsidRPr="00195E25" w:rsidRDefault="00E44857" w:rsidP="00E70421">
      <w:pPr>
        <w:pStyle w:val="ListParagraph"/>
        <w:widowControl w:val="0"/>
        <w:numPr>
          <w:ilvl w:val="0"/>
          <w:numId w:val="17"/>
        </w:numPr>
        <w:autoSpaceDE w:val="0"/>
        <w:autoSpaceDN w:val="0"/>
        <w:adjustRightInd w:val="0"/>
        <w:spacing w:after="240" w:line="360" w:lineRule="atLeast"/>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On April 9, 2022, the Government of Guinea-Bissau ordered the closure of 79 broadcasting structures for alleged non-payment of the broadcasting license by the Ministry of Social Communication.</w:t>
      </w:r>
    </w:p>
    <w:p w14:paraId="58D90BB0" w14:textId="77777777" w:rsidR="00E70421" w:rsidRPr="00195E25" w:rsidRDefault="00C92BA7" w:rsidP="00E70421">
      <w:pPr>
        <w:pStyle w:val="ListParagraph"/>
        <w:widowControl w:val="0"/>
        <w:numPr>
          <w:ilvl w:val="0"/>
          <w:numId w:val="17"/>
        </w:numPr>
        <w:autoSpaceDE w:val="0"/>
        <w:autoSpaceDN w:val="0"/>
        <w:adjustRightInd w:val="0"/>
        <w:spacing w:after="240" w:line="360" w:lineRule="atLeast"/>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 xml:space="preserve">Agnelo Augusto Regala, leader of the Union for Change (UM) party, was shot at his residence in Bissau by armed and hooded men on May 7, 2022. According to the victim, "the shots were fired from a vehicle that was passing by the street near his residence". Days earlier, Agnelo Regala had criticized the return of the ECOWAS military force to Guinea-Bissau, considering it a "violation of national sovereignty". </w:t>
      </w:r>
    </w:p>
    <w:p w14:paraId="0A6B9756" w14:textId="77777777" w:rsidR="00435CD4" w:rsidRPr="00195E25" w:rsidRDefault="00C92BA7" w:rsidP="00435CD4">
      <w:pPr>
        <w:pStyle w:val="ListParagraph"/>
        <w:widowControl w:val="0"/>
        <w:numPr>
          <w:ilvl w:val="0"/>
          <w:numId w:val="17"/>
        </w:numPr>
        <w:autoSpaceDE w:val="0"/>
        <w:autoSpaceDN w:val="0"/>
        <w:adjustRightInd w:val="0"/>
        <w:spacing w:after="240" w:line="360" w:lineRule="atLeast"/>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On 29 November 2022, a group of armed people in power attacked the political analyst and legal adviser of Radio Bombolom FM, Marcelino Ntupé, who was beaten and removed from his home and subsequently abandoned in the vicinity of his residence.</w:t>
      </w:r>
    </w:p>
    <w:p w14:paraId="435F0A43" w14:textId="2F6F266C" w:rsidR="00C4523B" w:rsidRPr="00195E25" w:rsidRDefault="00C4523B" w:rsidP="00435CD4">
      <w:pPr>
        <w:pStyle w:val="ListParagraph"/>
        <w:widowControl w:val="0"/>
        <w:numPr>
          <w:ilvl w:val="0"/>
          <w:numId w:val="17"/>
        </w:numPr>
        <w:autoSpaceDE w:val="0"/>
        <w:autoSpaceDN w:val="0"/>
        <w:adjustRightInd w:val="0"/>
        <w:spacing w:after="240" w:line="360" w:lineRule="atLeast"/>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eastAsia="pt-PT"/>
        </w:rPr>
        <w:t>On June 26, 2023, a citizen named Mamadu Ula Embaló was kidnapped and beaten by unknown persons following his public statements against the regime.</w:t>
      </w:r>
    </w:p>
    <w:p w14:paraId="7711E2F4" w14:textId="32B4D77E" w:rsidR="00C4523B" w:rsidRPr="00195E25" w:rsidRDefault="00C4523B" w:rsidP="00435CD4">
      <w:pPr>
        <w:pStyle w:val="ListParagraph"/>
        <w:widowControl w:val="0"/>
        <w:numPr>
          <w:ilvl w:val="0"/>
          <w:numId w:val="17"/>
        </w:numPr>
        <w:autoSpaceDE w:val="0"/>
        <w:autoSpaceDN w:val="0"/>
        <w:adjustRightInd w:val="0"/>
        <w:spacing w:after="240" w:line="360" w:lineRule="atLeast"/>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eastAsia="pt-PT"/>
        </w:rPr>
        <w:t>On May 5, 2023, the residence of political commentator, Fransual Dias, was attacked by armed men who fired firearms and set fire to the vehicle that was completely consumed by fire.</w:t>
      </w:r>
    </w:p>
    <w:p w14:paraId="4E01F447" w14:textId="77777777" w:rsidR="00C4523B" w:rsidRPr="00195E25" w:rsidRDefault="00676B40" w:rsidP="00C4523B">
      <w:pPr>
        <w:pStyle w:val="ListParagraph"/>
        <w:widowControl w:val="0"/>
        <w:numPr>
          <w:ilvl w:val="0"/>
          <w:numId w:val="17"/>
        </w:numPr>
        <w:autoSpaceDE w:val="0"/>
        <w:autoSpaceDN w:val="0"/>
        <w:adjustRightInd w:val="0"/>
        <w:spacing w:after="240" w:line="360" w:lineRule="atLeast"/>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eastAsia="pt-PT"/>
        </w:rPr>
        <w:t>On October 17, 2023, a young man named Abdul Carimo Sani was murdered, who could not withstand the injuries caused by the beatings delivered by the Public Order Police officers assigned to the 7th Precinct.</w:t>
      </w:r>
    </w:p>
    <w:p w14:paraId="0837E655" w14:textId="77777777" w:rsidR="00BC6AA1" w:rsidRPr="00195E25" w:rsidRDefault="00436EDE" w:rsidP="00BC6AA1">
      <w:pPr>
        <w:pStyle w:val="ListParagraph"/>
        <w:widowControl w:val="0"/>
        <w:numPr>
          <w:ilvl w:val="0"/>
          <w:numId w:val="17"/>
        </w:numPr>
        <w:autoSpaceDE w:val="0"/>
        <w:autoSpaceDN w:val="0"/>
        <w:adjustRightInd w:val="0"/>
        <w:spacing w:after="240" w:line="360" w:lineRule="atLeast"/>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eastAsia="pt-PT"/>
        </w:rPr>
        <w:t>On November 12, 2023, the Deputy of the Social Renewal Party, Farid Michel Tavares Fadul, was beaten for allegedly operating a drone in the vicinity of the Presidency of the Republic.</w:t>
      </w:r>
    </w:p>
    <w:p w14:paraId="794A668E" w14:textId="77777777" w:rsidR="00EE11D2" w:rsidRPr="00195E25" w:rsidRDefault="000E2779" w:rsidP="00EE11D2">
      <w:pPr>
        <w:pStyle w:val="ListParagraph"/>
        <w:widowControl w:val="0"/>
        <w:numPr>
          <w:ilvl w:val="0"/>
          <w:numId w:val="17"/>
        </w:numPr>
        <w:autoSpaceDE w:val="0"/>
        <w:autoSpaceDN w:val="0"/>
        <w:adjustRightInd w:val="0"/>
        <w:spacing w:after="240" w:line="360" w:lineRule="atLeast"/>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On May 17, 2024, a peaceful demonstration organized by the Popular Front was severely repressed, resulting in the illegal detention and torture of more than 90 people in the cells of the 2nd Police Station next to the Ministry of the Interior.</w:t>
      </w:r>
    </w:p>
    <w:p w14:paraId="216AFBFD" w14:textId="071C2166" w:rsidR="00AA246F" w:rsidRPr="00195E25" w:rsidRDefault="00AA246F" w:rsidP="00EE11D2">
      <w:pPr>
        <w:pStyle w:val="ListParagraph"/>
        <w:widowControl w:val="0"/>
        <w:numPr>
          <w:ilvl w:val="0"/>
          <w:numId w:val="17"/>
        </w:numPr>
        <w:autoSpaceDE w:val="0"/>
        <w:autoSpaceDN w:val="0"/>
        <w:adjustRightInd w:val="0"/>
        <w:spacing w:after="240" w:line="360" w:lineRule="atLeast"/>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 xml:space="preserve">On 24 July 2024, three judges of the High Military Court were detained at the General Staff of the Armed Forces for issuing a judgment ordering the release of the detainees in connection with the 1 February 2022 case. </w:t>
      </w:r>
    </w:p>
    <w:p w14:paraId="5245AB87" w14:textId="77777777" w:rsidR="007F2B5E" w:rsidRPr="00195E25" w:rsidRDefault="000E2779" w:rsidP="007F2B5E">
      <w:pPr>
        <w:pStyle w:val="ListParagraph"/>
        <w:widowControl w:val="0"/>
        <w:numPr>
          <w:ilvl w:val="0"/>
          <w:numId w:val="17"/>
        </w:numPr>
        <w:autoSpaceDE w:val="0"/>
        <w:autoSpaceDN w:val="0"/>
        <w:adjustRightInd w:val="0"/>
        <w:spacing w:after="240" w:line="360" w:lineRule="atLeast"/>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On July 31, 2024, during a vigil, a group of teachers demanding salary payments was surprised by the Rapid Intervention Police who beat those present as well as the journalists who were covering the act.</w:t>
      </w:r>
    </w:p>
    <w:p w14:paraId="64311AA6" w14:textId="77777777" w:rsidR="00107D52" w:rsidRPr="00195E25" w:rsidRDefault="00B2257E" w:rsidP="00107D52">
      <w:pPr>
        <w:pStyle w:val="ListParagraph"/>
        <w:widowControl w:val="0"/>
        <w:numPr>
          <w:ilvl w:val="0"/>
          <w:numId w:val="17"/>
        </w:numPr>
        <w:autoSpaceDE w:val="0"/>
        <w:autoSpaceDN w:val="0"/>
        <w:adjustRightInd w:val="0"/>
        <w:spacing w:after="240" w:line="360" w:lineRule="atLeast"/>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 xml:space="preserve">On 23 November 2024, at the behest of the Minister of the Interior, the President of the Youth of the MADEM-G15 Party of the Bafatá region was arbitrarily arrested and </w:t>
      </w:r>
      <w:r w:rsidRPr="00195E25">
        <w:rPr>
          <w:rFonts w:ascii="Calibri" w:eastAsia="Batang" w:hAnsi="Calibri" w:cs="Calibri"/>
          <w:color w:val="000000" w:themeColor="text1"/>
          <w:lang w:val="en-US"/>
        </w:rPr>
        <w:lastRenderedPageBreak/>
        <w:t>subjected to torture sessions at the Ministry of the Interior and Public Order.</w:t>
      </w:r>
    </w:p>
    <w:p w14:paraId="16DEB4AB" w14:textId="5E0796CD" w:rsidR="00C92BA7" w:rsidRPr="00195E25" w:rsidRDefault="00EF07BE" w:rsidP="00107D52">
      <w:pPr>
        <w:pStyle w:val="ListParagraph"/>
        <w:widowControl w:val="0"/>
        <w:numPr>
          <w:ilvl w:val="0"/>
          <w:numId w:val="17"/>
        </w:numPr>
        <w:autoSpaceDE w:val="0"/>
        <w:autoSpaceDN w:val="0"/>
        <w:adjustRightInd w:val="0"/>
        <w:spacing w:after="240" w:line="360" w:lineRule="atLeast"/>
        <w:ind w:left="0" w:firstLine="0"/>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On April 12, 2025, the leaders of the Guinean League of Rights were targets of persecution, the home of its president was invaded by armed men, following a public complaint made about the functioning of the health system in the country.</w:t>
      </w:r>
    </w:p>
    <w:p w14:paraId="608DEACE" w14:textId="3E13B88E" w:rsidR="004E1584" w:rsidRPr="00195E25" w:rsidRDefault="004E1584" w:rsidP="004E1584">
      <w:pPr>
        <w:jc w:val="both"/>
        <w:rPr>
          <w:rFonts w:ascii="Calibri" w:eastAsia="Batang" w:hAnsi="Calibri" w:cs="Calibri"/>
          <w:color w:val="000000" w:themeColor="text1"/>
          <w:lang w:val="en-US"/>
        </w:rPr>
      </w:pPr>
      <w:r w:rsidRPr="00195E25">
        <w:rPr>
          <w:rFonts w:ascii="Calibri" w:eastAsia="Batang" w:hAnsi="Calibri" w:cs="Calibri"/>
          <w:color w:val="000000" w:themeColor="text1"/>
          <w:lang w:val="en-US"/>
        </w:rPr>
        <w:t xml:space="preserve"> </w:t>
      </w:r>
    </w:p>
    <w:sectPr w:rsidR="004E1584" w:rsidRPr="00195E25" w:rsidSect="00A7629A">
      <w:footerReference w:type="default" r:id="rId11"/>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DCE81" w14:textId="77777777" w:rsidR="00960056" w:rsidRDefault="00960056" w:rsidP="009F1269">
      <w:r>
        <w:separator/>
      </w:r>
    </w:p>
  </w:endnote>
  <w:endnote w:type="continuationSeparator" w:id="0">
    <w:p w14:paraId="72D39420" w14:textId="77777777" w:rsidR="00960056" w:rsidRDefault="00960056" w:rsidP="009F12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1440135"/>
      <w:docPartObj>
        <w:docPartGallery w:val="Page Numbers (Bottom of Page)"/>
        <w:docPartUnique/>
      </w:docPartObj>
    </w:sdtPr>
    <w:sdtEndPr>
      <w:rPr>
        <w:noProof/>
      </w:rPr>
    </w:sdtEndPr>
    <w:sdtContent>
      <w:p w14:paraId="4F55F335" w14:textId="4E95959C" w:rsidR="008B3479" w:rsidRDefault="008B3479">
        <w:pPr>
          <w:pStyle w:val="Footer"/>
          <w:jc w:val="right"/>
        </w:pPr>
        <w:r>
          <w:fldChar w:fldCharType="begin"/>
        </w:r>
        <w:r>
          <w:instrText xml:space="preserve"> PAGE   \* MERGEFORMAT </w:instrText>
        </w:r>
        <w:r>
          <w:fldChar w:fldCharType="separate"/>
        </w:r>
        <w:r w:rsidR="00540535">
          <w:rPr>
            <w:noProof/>
          </w:rPr>
          <w:t>3</w:t>
        </w:r>
        <w:r>
          <w:rPr>
            <w:noProof/>
          </w:rPr>
          <w:fldChar w:fldCharType="end"/>
        </w:r>
      </w:p>
    </w:sdtContent>
  </w:sdt>
  <w:p w14:paraId="3AFA1A59" w14:textId="77777777" w:rsidR="008B3479" w:rsidRDefault="008B34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6C4906" w14:textId="77777777" w:rsidR="00960056" w:rsidRDefault="00960056" w:rsidP="009F1269">
      <w:r>
        <w:separator/>
      </w:r>
    </w:p>
  </w:footnote>
  <w:footnote w:type="continuationSeparator" w:id="0">
    <w:p w14:paraId="7868FF8F" w14:textId="77777777" w:rsidR="00960056" w:rsidRDefault="00960056" w:rsidP="009F12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7762E"/>
    <w:multiLevelType w:val="hybridMultilevel"/>
    <w:tmpl w:val="3CDA04DE"/>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 w15:restartNumberingAfterBreak="0">
    <w:nsid w:val="064A050C"/>
    <w:multiLevelType w:val="hybridMultilevel"/>
    <w:tmpl w:val="9B56E312"/>
    <w:lvl w:ilvl="0" w:tplc="0816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 w15:restartNumberingAfterBreak="0">
    <w:nsid w:val="06A05F9E"/>
    <w:multiLevelType w:val="hybridMultilevel"/>
    <w:tmpl w:val="6456CE70"/>
    <w:lvl w:ilvl="0" w:tplc="FFFFFFFF">
      <w:start w:val="1"/>
      <w:numFmt w:val="decimal"/>
      <w:lvlText w:val="%1."/>
      <w:lvlJc w:val="left"/>
      <w:pPr>
        <w:ind w:left="720" w:hanging="360"/>
      </w:pPr>
      <w:rPr>
        <w:rFonts w:ascii="Calibri" w:eastAsia="Batang" w:hAnsi="Calibri" w:cs="Calibr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A3061A"/>
    <w:multiLevelType w:val="hybridMultilevel"/>
    <w:tmpl w:val="823C9F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CB1B98"/>
    <w:multiLevelType w:val="hybridMultilevel"/>
    <w:tmpl w:val="A93857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4669DD"/>
    <w:multiLevelType w:val="hybridMultilevel"/>
    <w:tmpl w:val="2FC85A0E"/>
    <w:lvl w:ilvl="0" w:tplc="0816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6" w15:restartNumberingAfterBreak="0">
    <w:nsid w:val="1780417F"/>
    <w:multiLevelType w:val="hybridMultilevel"/>
    <w:tmpl w:val="F32A4758"/>
    <w:lvl w:ilvl="0" w:tplc="0816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7" w15:restartNumberingAfterBreak="0">
    <w:nsid w:val="1EE02322"/>
    <w:multiLevelType w:val="hybridMultilevel"/>
    <w:tmpl w:val="2C7298C8"/>
    <w:lvl w:ilvl="0" w:tplc="0816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8" w15:restartNumberingAfterBreak="0">
    <w:nsid w:val="236222B6"/>
    <w:multiLevelType w:val="hybridMultilevel"/>
    <w:tmpl w:val="AAB8D4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7F6E2B"/>
    <w:multiLevelType w:val="hybridMultilevel"/>
    <w:tmpl w:val="6C2EA95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0" w15:restartNumberingAfterBreak="0">
    <w:nsid w:val="2A2B78A0"/>
    <w:multiLevelType w:val="multilevel"/>
    <w:tmpl w:val="D87A8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162898"/>
    <w:multiLevelType w:val="hybridMultilevel"/>
    <w:tmpl w:val="24ECCE4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2" w15:restartNumberingAfterBreak="0">
    <w:nsid w:val="2E385C58"/>
    <w:multiLevelType w:val="hybridMultilevel"/>
    <w:tmpl w:val="E772950E"/>
    <w:lvl w:ilvl="0" w:tplc="0816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3" w15:restartNumberingAfterBreak="0">
    <w:nsid w:val="39F51E6F"/>
    <w:multiLevelType w:val="hybridMultilevel"/>
    <w:tmpl w:val="9BD8393C"/>
    <w:lvl w:ilvl="0" w:tplc="0816000D">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4" w15:restartNumberingAfterBreak="0">
    <w:nsid w:val="3F3B011A"/>
    <w:multiLevelType w:val="hybridMultilevel"/>
    <w:tmpl w:val="C722163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5" w15:restartNumberingAfterBreak="0">
    <w:nsid w:val="43294689"/>
    <w:multiLevelType w:val="multilevel"/>
    <w:tmpl w:val="66B48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E30093"/>
    <w:multiLevelType w:val="hybridMultilevel"/>
    <w:tmpl w:val="6456CE70"/>
    <w:lvl w:ilvl="0" w:tplc="2B48B23A">
      <w:start w:val="1"/>
      <w:numFmt w:val="decimal"/>
      <w:lvlText w:val="%1."/>
      <w:lvlJc w:val="left"/>
      <w:pPr>
        <w:ind w:left="720" w:hanging="360"/>
      </w:pPr>
      <w:rPr>
        <w:rFonts w:ascii="Calibri" w:eastAsia="Batang" w:hAnsi="Calibri" w:cs="Calibr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1716EE"/>
    <w:multiLevelType w:val="hybridMultilevel"/>
    <w:tmpl w:val="B546F67E"/>
    <w:lvl w:ilvl="0" w:tplc="0816000D">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8" w15:restartNumberingAfterBreak="0">
    <w:nsid w:val="4F3200EA"/>
    <w:multiLevelType w:val="hybridMultilevel"/>
    <w:tmpl w:val="63E2707E"/>
    <w:lvl w:ilvl="0" w:tplc="0816000D">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9" w15:restartNumberingAfterBreak="0">
    <w:nsid w:val="56251795"/>
    <w:multiLevelType w:val="hybridMultilevel"/>
    <w:tmpl w:val="D5ACB658"/>
    <w:lvl w:ilvl="0" w:tplc="0816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0" w15:restartNumberingAfterBreak="0">
    <w:nsid w:val="5B367903"/>
    <w:multiLevelType w:val="hybridMultilevel"/>
    <w:tmpl w:val="99A2737C"/>
    <w:lvl w:ilvl="0" w:tplc="0816000D">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1" w15:restartNumberingAfterBreak="0">
    <w:nsid w:val="5BD000E1"/>
    <w:multiLevelType w:val="hybridMultilevel"/>
    <w:tmpl w:val="CF187918"/>
    <w:lvl w:ilvl="0" w:tplc="0816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2" w15:restartNumberingAfterBreak="0">
    <w:nsid w:val="5D392AAF"/>
    <w:multiLevelType w:val="hybridMultilevel"/>
    <w:tmpl w:val="5CA4999A"/>
    <w:lvl w:ilvl="0" w:tplc="0816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3" w15:restartNumberingAfterBreak="0">
    <w:nsid w:val="70FA6F97"/>
    <w:multiLevelType w:val="hybridMultilevel"/>
    <w:tmpl w:val="9C2604D4"/>
    <w:lvl w:ilvl="0" w:tplc="0816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4" w15:restartNumberingAfterBreak="0">
    <w:nsid w:val="733750C0"/>
    <w:multiLevelType w:val="multilevel"/>
    <w:tmpl w:val="E48A322A"/>
    <w:lvl w:ilvl="0">
      <w:start w:val="1"/>
      <w:numFmt w:val="bullet"/>
      <w:lvlText w:val=""/>
      <w:lvlJc w:val="left"/>
      <w:pPr>
        <w:ind w:left="783" w:hanging="360"/>
      </w:pPr>
      <w:rPr>
        <w:rFonts w:ascii="Wingdings" w:hAnsi="Wingdings" w:hint="default"/>
        <w:color w:val="000000"/>
      </w:rPr>
    </w:lvl>
    <w:lvl w:ilvl="1">
      <w:start w:val="1"/>
      <w:numFmt w:val="bullet"/>
      <w:lvlText w:val="o"/>
      <w:lvlJc w:val="left"/>
      <w:pPr>
        <w:ind w:left="1503" w:hanging="360"/>
      </w:pPr>
      <w:rPr>
        <w:rFonts w:ascii="Courier New" w:eastAsia="Courier New" w:hAnsi="Courier New" w:cs="Courier New"/>
      </w:rPr>
    </w:lvl>
    <w:lvl w:ilvl="2">
      <w:start w:val="1"/>
      <w:numFmt w:val="bullet"/>
      <w:lvlText w:val="▪"/>
      <w:lvlJc w:val="left"/>
      <w:pPr>
        <w:ind w:left="2223" w:hanging="360"/>
      </w:pPr>
      <w:rPr>
        <w:rFonts w:ascii="Noto Sans Symbols" w:eastAsia="Noto Sans Symbols" w:hAnsi="Noto Sans Symbols" w:cs="Noto Sans Symbols"/>
      </w:rPr>
    </w:lvl>
    <w:lvl w:ilvl="3">
      <w:start w:val="1"/>
      <w:numFmt w:val="bullet"/>
      <w:lvlText w:val="●"/>
      <w:lvlJc w:val="left"/>
      <w:pPr>
        <w:ind w:left="2943" w:hanging="360"/>
      </w:pPr>
      <w:rPr>
        <w:rFonts w:ascii="Noto Sans Symbols" w:eastAsia="Noto Sans Symbols" w:hAnsi="Noto Sans Symbols" w:cs="Noto Sans Symbols"/>
      </w:rPr>
    </w:lvl>
    <w:lvl w:ilvl="4">
      <w:start w:val="1"/>
      <w:numFmt w:val="bullet"/>
      <w:lvlText w:val="o"/>
      <w:lvlJc w:val="left"/>
      <w:pPr>
        <w:ind w:left="3663" w:hanging="360"/>
      </w:pPr>
      <w:rPr>
        <w:rFonts w:ascii="Courier New" w:eastAsia="Courier New" w:hAnsi="Courier New" w:cs="Courier New"/>
      </w:rPr>
    </w:lvl>
    <w:lvl w:ilvl="5">
      <w:start w:val="1"/>
      <w:numFmt w:val="bullet"/>
      <w:lvlText w:val="▪"/>
      <w:lvlJc w:val="left"/>
      <w:pPr>
        <w:ind w:left="4383" w:hanging="360"/>
      </w:pPr>
      <w:rPr>
        <w:rFonts w:ascii="Noto Sans Symbols" w:eastAsia="Noto Sans Symbols" w:hAnsi="Noto Sans Symbols" w:cs="Noto Sans Symbols"/>
      </w:rPr>
    </w:lvl>
    <w:lvl w:ilvl="6">
      <w:start w:val="1"/>
      <w:numFmt w:val="bullet"/>
      <w:lvlText w:val="●"/>
      <w:lvlJc w:val="left"/>
      <w:pPr>
        <w:ind w:left="5103" w:hanging="360"/>
      </w:pPr>
      <w:rPr>
        <w:rFonts w:ascii="Noto Sans Symbols" w:eastAsia="Noto Sans Symbols" w:hAnsi="Noto Sans Symbols" w:cs="Noto Sans Symbols"/>
      </w:rPr>
    </w:lvl>
    <w:lvl w:ilvl="7">
      <w:start w:val="1"/>
      <w:numFmt w:val="bullet"/>
      <w:lvlText w:val="o"/>
      <w:lvlJc w:val="left"/>
      <w:pPr>
        <w:ind w:left="5823" w:hanging="360"/>
      </w:pPr>
      <w:rPr>
        <w:rFonts w:ascii="Courier New" w:eastAsia="Courier New" w:hAnsi="Courier New" w:cs="Courier New"/>
      </w:rPr>
    </w:lvl>
    <w:lvl w:ilvl="8">
      <w:start w:val="1"/>
      <w:numFmt w:val="bullet"/>
      <w:lvlText w:val="▪"/>
      <w:lvlJc w:val="left"/>
      <w:pPr>
        <w:ind w:left="6543" w:hanging="360"/>
      </w:pPr>
      <w:rPr>
        <w:rFonts w:ascii="Noto Sans Symbols" w:eastAsia="Noto Sans Symbols" w:hAnsi="Noto Sans Symbols" w:cs="Noto Sans Symbols"/>
      </w:rPr>
    </w:lvl>
  </w:abstractNum>
  <w:abstractNum w:abstractNumId="25" w15:restartNumberingAfterBreak="0">
    <w:nsid w:val="74EE0D51"/>
    <w:multiLevelType w:val="hybridMultilevel"/>
    <w:tmpl w:val="08DC53F4"/>
    <w:lvl w:ilvl="0" w:tplc="0816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6" w15:restartNumberingAfterBreak="0">
    <w:nsid w:val="751A3639"/>
    <w:multiLevelType w:val="multilevel"/>
    <w:tmpl w:val="C1E62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70004D"/>
    <w:multiLevelType w:val="hybridMultilevel"/>
    <w:tmpl w:val="8C80933C"/>
    <w:lvl w:ilvl="0" w:tplc="0816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8" w15:restartNumberingAfterBreak="0">
    <w:nsid w:val="77B10892"/>
    <w:multiLevelType w:val="hybridMultilevel"/>
    <w:tmpl w:val="E5104F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126654541">
    <w:abstractNumId w:val="11"/>
  </w:num>
  <w:num w:numId="2" w16cid:durableId="618730107">
    <w:abstractNumId w:val="20"/>
  </w:num>
  <w:num w:numId="3" w16cid:durableId="2126652951">
    <w:abstractNumId w:val="17"/>
  </w:num>
  <w:num w:numId="4" w16cid:durableId="384450784">
    <w:abstractNumId w:val="13"/>
  </w:num>
  <w:num w:numId="5" w16cid:durableId="439226317">
    <w:abstractNumId w:val="18"/>
  </w:num>
  <w:num w:numId="6" w16cid:durableId="597720332">
    <w:abstractNumId w:val="21"/>
  </w:num>
  <w:num w:numId="7" w16cid:durableId="1859464777">
    <w:abstractNumId w:val="7"/>
  </w:num>
  <w:num w:numId="8" w16cid:durableId="1298417368">
    <w:abstractNumId w:val="0"/>
  </w:num>
  <w:num w:numId="9" w16cid:durableId="694621840">
    <w:abstractNumId w:val="3"/>
  </w:num>
  <w:num w:numId="10" w16cid:durableId="1476920249">
    <w:abstractNumId w:val="9"/>
  </w:num>
  <w:num w:numId="11" w16cid:durableId="917787760">
    <w:abstractNumId w:val="14"/>
  </w:num>
  <w:num w:numId="12" w16cid:durableId="1395423675">
    <w:abstractNumId w:val="28"/>
  </w:num>
  <w:num w:numId="13" w16cid:durableId="1823882779">
    <w:abstractNumId w:val="12"/>
  </w:num>
  <w:num w:numId="14" w16cid:durableId="714232887">
    <w:abstractNumId w:val="5"/>
  </w:num>
  <w:num w:numId="15" w16cid:durableId="1137455658">
    <w:abstractNumId w:val="1"/>
  </w:num>
  <w:num w:numId="16" w16cid:durableId="1635913432">
    <w:abstractNumId w:val="19"/>
  </w:num>
  <w:num w:numId="17" w16cid:durableId="1238057109">
    <w:abstractNumId w:val="16"/>
  </w:num>
  <w:num w:numId="18" w16cid:durableId="958872141">
    <w:abstractNumId w:val="26"/>
  </w:num>
  <w:num w:numId="19" w16cid:durableId="901065706">
    <w:abstractNumId w:val="15"/>
  </w:num>
  <w:num w:numId="20" w16cid:durableId="1439064619">
    <w:abstractNumId w:val="10"/>
  </w:num>
  <w:num w:numId="21" w16cid:durableId="177619850">
    <w:abstractNumId w:val="24"/>
  </w:num>
  <w:num w:numId="22" w16cid:durableId="856575204">
    <w:abstractNumId w:val="23"/>
  </w:num>
  <w:num w:numId="23" w16cid:durableId="1049107684">
    <w:abstractNumId w:val="22"/>
  </w:num>
  <w:num w:numId="24" w16cid:durableId="2047828259">
    <w:abstractNumId w:val="25"/>
  </w:num>
  <w:num w:numId="25" w16cid:durableId="1705671042">
    <w:abstractNumId w:val="27"/>
  </w:num>
  <w:num w:numId="26" w16cid:durableId="1855921475">
    <w:abstractNumId w:val="6"/>
  </w:num>
  <w:num w:numId="27" w16cid:durableId="959384688">
    <w:abstractNumId w:val="4"/>
  </w:num>
  <w:num w:numId="28" w16cid:durableId="1856192243">
    <w:abstractNumId w:val="8"/>
  </w:num>
  <w:num w:numId="29" w16cid:durableId="15115296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381"/>
    <w:rsid w:val="00003D40"/>
    <w:rsid w:val="0001031D"/>
    <w:rsid w:val="000137BA"/>
    <w:rsid w:val="00015D09"/>
    <w:rsid w:val="00024ACB"/>
    <w:rsid w:val="00027B78"/>
    <w:rsid w:val="00031226"/>
    <w:rsid w:val="00031AE2"/>
    <w:rsid w:val="00033186"/>
    <w:rsid w:val="00033545"/>
    <w:rsid w:val="0003686F"/>
    <w:rsid w:val="00037F4B"/>
    <w:rsid w:val="000529FB"/>
    <w:rsid w:val="000553A5"/>
    <w:rsid w:val="00060368"/>
    <w:rsid w:val="00065A06"/>
    <w:rsid w:val="00083B00"/>
    <w:rsid w:val="00085CE0"/>
    <w:rsid w:val="00091B36"/>
    <w:rsid w:val="000944F0"/>
    <w:rsid w:val="000A2A6E"/>
    <w:rsid w:val="000A5CED"/>
    <w:rsid w:val="000B15BF"/>
    <w:rsid w:val="000B2A6A"/>
    <w:rsid w:val="000B5B0D"/>
    <w:rsid w:val="000C1E93"/>
    <w:rsid w:val="000D0DDA"/>
    <w:rsid w:val="000D4160"/>
    <w:rsid w:val="000E2779"/>
    <w:rsid w:val="000E35FA"/>
    <w:rsid w:val="00101EE5"/>
    <w:rsid w:val="00107D52"/>
    <w:rsid w:val="00110AC7"/>
    <w:rsid w:val="0011770E"/>
    <w:rsid w:val="001200E4"/>
    <w:rsid w:val="0014219B"/>
    <w:rsid w:val="00146717"/>
    <w:rsid w:val="00153EDD"/>
    <w:rsid w:val="001632BE"/>
    <w:rsid w:val="00171DC7"/>
    <w:rsid w:val="00172B6C"/>
    <w:rsid w:val="0017618B"/>
    <w:rsid w:val="00185BD0"/>
    <w:rsid w:val="00190991"/>
    <w:rsid w:val="00193931"/>
    <w:rsid w:val="00195E25"/>
    <w:rsid w:val="0019654A"/>
    <w:rsid w:val="001A3E55"/>
    <w:rsid w:val="001B33CA"/>
    <w:rsid w:val="001B3FDE"/>
    <w:rsid w:val="001C0228"/>
    <w:rsid w:val="001C362F"/>
    <w:rsid w:val="001D31C9"/>
    <w:rsid w:val="001E4E9B"/>
    <w:rsid w:val="001E6190"/>
    <w:rsid w:val="00201B94"/>
    <w:rsid w:val="002057F2"/>
    <w:rsid w:val="00214714"/>
    <w:rsid w:val="00224C14"/>
    <w:rsid w:val="00237023"/>
    <w:rsid w:val="002506C5"/>
    <w:rsid w:val="00263CC7"/>
    <w:rsid w:val="00264141"/>
    <w:rsid w:val="00265138"/>
    <w:rsid w:val="002702D7"/>
    <w:rsid w:val="0028033B"/>
    <w:rsid w:val="002848B8"/>
    <w:rsid w:val="0029092D"/>
    <w:rsid w:val="00290D65"/>
    <w:rsid w:val="00291056"/>
    <w:rsid w:val="0029219B"/>
    <w:rsid w:val="00292381"/>
    <w:rsid w:val="002A3E58"/>
    <w:rsid w:val="002A4D5D"/>
    <w:rsid w:val="002A6FB1"/>
    <w:rsid w:val="002B2811"/>
    <w:rsid w:val="002B3AEC"/>
    <w:rsid w:val="002B6E23"/>
    <w:rsid w:val="002B7DF9"/>
    <w:rsid w:val="002D5E12"/>
    <w:rsid w:val="00311DBC"/>
    <w:rsid w:val="00316472"/>
    <w:rsid w:val="003273DC"/>
    <w:rsid w:val="00327AB2"/>
    <w:rsid w:val="00332A71"/>
    <w:rsid w:val="00334161"/>
    <w:rsid w:val="00340401"/>
    <w:rsid w:val="00352D72"/>
    <w:rsid w:val="00357E49"/>
    <w:rsid w:val="00371760"/>
    <w:rsid w:val="003818F9"/>
    <w:rsid w:val="0038473C"/>
    <w:rsid w:val="0038747C"/>
    <w:rsid w:val="00391E58"/>
    <w:rsid w:val="00392956"/>
    <w:rsid w:val="00393D53"/>
    <w:rsid w:val="003A338A"/>
    <w:rsid w:val="003A3410"/>
    <w:rsid w:val="003A37A1"/>
    <w:rsid w:val="003A7118"/>
    <w:rsid w:val="003B05CD"/>
    <w:rsid w:val="003D274C"/>
    <w:rsid w:val="003D6DDB"/>
    <w:rsid w:val="003E2093"/>
    <w:rsid w:val="0040111E"/>
    <w:rsid w:val="00402B2A"/>
    <w:rsid w:val="004154FA"/>
    <w:rsid w:val="00415C80"/>
    <w:rsid w:val="00435CD4"/>
    <w:rsid w:val="00436EDE"/>
    <w:rsid w:val="004419F1"/>
    <w:rsid w:val="00442FD3"/>
    <w:rsid w:val="00454371"/>
    <w:rsid w:val="004562B4"/>
    <w:rsid w:val="004664CD"/>
    <w:rsid w:val="00472A86"/>
    <w:rsid w:val="00480D5B"/>
    <w:rsid w:val="0048653A"/>
    <w:rsid w:val="0048783D"/>
    <w:rsid w:val="00496049"/>
    <w:rsid w:val="00496B6B"/>
    <w:rsid w:val="004A1156"/>
    <w:rsid w:val="004B00F4"/>
    <w:rsid w:val="004B052C"/>
    <w:rsid w:val="004B12F6"/>
    <w:rsid w:val="004B44A5"/>
    <w:rsid w:val="004C64B9"/>
    <w:rsid w:val="004D2BBA"/>
    <w:rsid w:val="004E073E"/>
    <w:rsid w:val="004E1584"/>
    <w:rsid w:val="004F09B2"/>
    <w:rsid w:val="004F45AE"/>
    <w:rsid w:val="0051628C"/>
    <w:rsid w:val="00523E57"/>
    <w:rsid w:val="00540535"/>
    <w:rsid w:val="005516EE"/>
    <w:rsid w:val="0055392C"/>
    <w:rsid w:val="00554963"/>
    <w:rsid w:val="00554B96"/>
    <w:rsid w:val="00557861"/>
    <w:rsid w:val="005640E4"/>
    <w:rsid w:val="0057345B"/>
    <w:rsid w:val="00583E28"/>
    <w:rsid w:val="00590C68"/>
    <w:rsid w:val="00593AF9"/>
    <w:rsid w:val="005949DC"/>
    <w:rsid w:val="00596002"/>
    <w:rsid w:val="005A7BA2"/>
    <w:rsid w:val="005B1899"/>
    <w:rsid w:val="005D4D8B"/>
    <w:rsid w:val="005D6FFC"/>
    <w:rsid w:val="005E12D0"/>
    <w:rsid w:val="005E446F"/>
    <w:rsid w:val="005F044C"/>
    <w:rsid w:val="00600EBD"/>
    <w:rsid w:val="00603E9B"/>
    <w:rsid w:val="0061250D"/>
    <w:rsid w:val="006125B2"/>
    <w:rsid w:val="00621C4A"/>
    <w:rsid w:val="00621FC8"/>
    <w:rsid w:val="006351E1"/>
    <w:rsid w:val="006369C8"/>
    <w:rsid w:val="0063743F"/>
    <w:rsid w:val="0065693F"/>
    <w:rsid w:val="00660536"/>
    <w:rsid w:val="0066132B"/>
    <w:rsid w:val="00674BF1"/>
    <w:rsid w:val="00674E0F"/>
    <w:rsid w:val="00676B40"/>
    <w:rsid w:val="006946B3"/>
    <w:rsid w:val="006A17B7"/>
    <w:rsid w:val="006B64B6"/>
    <w:rsid w:val="006C7E87"/>
    <w:rsid w:val="006D7F92"/>
    <w:rsid w:val="006F2DCB"/>
    <w:rsid w:val="00700045"/>
    <w:rsid w:val="00703099"/>
    <w:rsid w:val="00704D1A"/>
    <w:rsid w:val="00707473"/>
    <w:rsid w:val="00707736"/>
    <w:rsid w:val="007158D2"/>
    <w:rsid w:val="00731C96"/>
    <w:rsid w:val="00732E9C"/>
    <w:rsid w:val="00737FD9"/>
    <w:rsid w:val="00750C9F"/>
    <w:rsid w:val="00751894"/>
    <w:rsid w:val="00774AD1"/>
    <w:rsid w:val="00777E41"/>
    <w:rsid w:val="00784AE2"/>
    <w:rsid w:val="007861F3"/>
    <w:rsid w:val="00787AC9"/>
    <w:rsid w:val="00787D70"/>
    <w:rsid w:val="00795558"/>
    <w:rsid w:val="00796D32"/>
    <w:rsid w:val="007A048F"/>
    <w:rsid w:val="007B290E"/>
    <w:rsid w:val="007D22D8"/>
    <w:rsid w:val="007D5567"/>
    <w:rsid w:val="007E579F"/>
    <w:rsid w:val="007E673A"/>
    <w:rsid w:val="007E7069"/>
    <w:rsid w:val="007E7309"/>
    <w:rsid w:val="007F2B5E"/>
    <w:rsid w:val="007F5161"/>
    <w:rsid w:val="0080643C"/>
    <w:rsid w:val="008172A0"/>
    <w:rsid w:val="0082187D"/>
    <w:rsid w:val="00824BBF"/>
    <w:rsid w:val="0082530D"/>
    <w:rsid w:val="00830781"/>
    <w:rsid w:val="0083363F"/>
    <w:rsid w:val="00841C06"/>
    <w:rsid w:val="00842B09"/>
    <w:rsid w:val="00854B9C"/>
    <w:rsid w:val="00856A84"/>
    <w:rsid w:val="008632E4"/>
    <w:rsid w:val="008660F0"/>
    <w:rsid w:val="00866451"/>
    <w:rsid w:val="008676AD"/>
    <w:rsid w:val="00887C35"/>
    <w:rsid w:val="00887FBE"/>
    <w:rsid w:val="00890744"/>
    <w:rsid w:val="008975D7"/>
    <w:rsid w:val="008A5EE8"/>
    <w:rsid w:val="008B0EBB"/>
    <w:rsid w:val="008B3479"/>
    <w:rsid w:val="008C3775"/>
    <w:rsid w:val="008D296A"/>
    <w:rsid w:val="008D3B11"/>
    <w:rsid w:val="008D5E8C"/>
    <w:rsid w:val="008D6762"/>
    <w:rsid w:val="008E0738"/>
    <w:rsid w:val="008E3EDE"/>
    <w:rsid w:val="008E5BD0"/>
    <w:rsid w:val="008F6DD7"/>
    <w:rsid w:val="008F7A83"/>
    <w:rsid w:val="009040EA"/>
    <w:rsid w:val="00905155"/>
    <w:rsid w:val="00907C71"/>
    <w:rsid w:val="00926AD9"/>
    <w:rsid w:val="00934249"/>
    <w:rsid w:val="00936801"/>
    <w:rsid w:val="00944675"/>
    <w:rsid w:val="0094698E"/>
    <w:rsid w:val="00952C95"/>
    <w:rsid w:val="0095577B"/>
    <w:rsid w:val="00960056"/>
    <w:rsid w:val="0096067A"/>
    <w:rsid w:val="00965275"/>
    <w:rsid w:val="009712A9"/>
    <w:rsid w:val="009735DD"/>
    <w:rsid w:val="00992364"/>
    <w:rsid w:val="009A7FE3"/>
    <w:rsid w:val="009B0EF2"/>
    <w:rsid w:val="009B33BF"/>
    <w:rsid w:val="009B48F5"/>
    <w:rsid w:val="009C2FFA"/>
    <w:rsid w:val="009C3E84"/>
    <w:rsid w:val="009D23FB"/>
    <w:rsid w:val="009E1181"/>
    <w:rsid w:val="009E2C3D"/>
    <w:rsid w:val="009E2DE8"/>
    <w:rsid w:val="009E3A56"/>
    <w:rsid w:val="009F0CE8"/>
    <w:rsid w:val="009F1269"/>
    <w:rsid w:val="009F1427"/>
    <w:rsid w:val="009F489F"/>
    <w:rsid w:val="00A046E2"/>
    <w:rsid w:val="00A15093"/>
    <w:rsid w:val="00A16068"/>
    <w:rsid w:val="00A168AE"/>
    <w:rsid w:val="00A22FA3"/>
    <w:rsid w:val="00A23397"/>
    <w:rsid w:val="00A2424A"/>
    <w:rsid w:val="00A25C88"/>
    <w:rsid w:val="00A2713B"/>
    <w:rsid w:val="00A33E32"/>
    <w:rsid w:val="00A405BE"/>
    <w:rsid w:val="00A409F9"/>
    <w:rsid w:val="00A41F0E"/>
    <w:rsid w:val="00A5504C"/>
    <w:rsid w:val="00A624FA"/>
    <w:rsid w:val="00A644CD"/>
    <w:rsid w:val="00A664A0"/>
    <w:rsid w:val="00A665FD"/>
    <w:rsid w:val="00A66D6A"/>
    <w:rsid w:val="00A72899"/>
    <w:rsid w:val="00A732D7"/>
    <w:rsid w:val="00A7494D"/>
    <w:rsid w:val="00A7629A"/>
    <w:rsid w:val="00A779BC"/>
    <w:rsid w:val="00A80A71"/>
    <w:rsid w:val="00A91001"/>
    <w:rsid w:val="00A93A46"/>
    <w:rsid w:val="00A93D41"/>
    <w:rsid w:val="00AA246F"/>
    <w:rsid w:val="00AB313C"/>
    <w:rsid w:val="00AB3667"/>
    <w:rsid w:val="00AB67AF"/>
    <w:rsid w:val="00AF63E9"/>
    <w:rsid w:val="00B1154B"/>
    <w:rsid w:val="00B132D9"/>
    <w:rsid w:val="00B2041E"/>
    <w:rsid w:val="00B2257E"/>
    <w:rsid w:val="00B23D15"/>
    <w:rsid w:val="00B24308"/>
    <w:rsid w:val="00B2755F"/>
    <w:rsid w:val="00B36889"/>
    <w:rsid w:val="00B47F8A"/>
    <w:rsid w:val="00B50BCB"/>
    <w:rsid w:val="00B53B6F"/>
    <w:rsid w:val="00B54760"/>
    <w:rsid w:val="00B605E3"/>
    <w:rsid w:val="00B60A4D"/>
    <w:rsid w:val="00B74775"/>
    <w:rsid w:val="00BA4740"/>
    <w:rsid w:val="00BA65A6"/>
    <w:rsid w:val="00BB1D5C"/>
    <w:rsid w:val="00BC1AA7"/>
    <w:rsid w:val="00BC6AA1"/>
    <w:rsid w:val="00BD0206"/>
    <w:rsid w:val="00BD56E3"/>
    <w:rsid w:val="00BD6272"/>
    <w:rsid w:val="00BD791E"/>
    <w:rsid w:val="00BE0603"/>
    <w:rsid w:val="00BE0C08"/>
    <w:rsid w:val="00BF0E9A"/>
    <w:rsid w:val="00BF7F28"/>
    <w:rsid w:val="00C002C7"/>
    <w:rsid w:val="00C009E4"/>
    <w:rsid w:val="00C01A26"/>
    <w:rsid w:val="00C10FC7"/>
    <w:rsid w:val="00C22E58"/>
    <w:rsid w:val="00C242C9"/>
    <w:rsid w:val="00C242E2"/>
    <w:rsid w:val="00C32B1A"/>
    <w:rsid w:val="00C33AE2"/>
    <w:rsid w:val="00C4523B"/>
    <w:rsid w:val="00C5781F"/>
    <w:rsid w:val="00C603DF"/>
    <w:rsid w:val="00C76923"/>
    <w:rsid w:val="00C84DB5"/>
    <w:rsid w:val="00C92BA7"/>
    <w:rsid w:val="00C9483D"/>
    <w:rsid w:val="00C94E82"/>
    <w:rsid w:val="00CA0860"/>
    <w:rsid w:val="00CA560C"/>
    <w:rsid w:val="00CA750E"/>
    <w:rsid w:val="00CC0905"/>
    <w:rsid w:val="00CC36FB"/>
    <w:rsid w:val="00CD09C9"/>
    <w:rsid w:val="00CD314F"/>
    <w:rsid w:val="00CD317B"/>
    <w:rsid w:val="00CD4E1A"/>
    <w:rsid w:val="00CE6DE8"/>
    <w:rsid w:val="00CF1A22"/>
    <w:rsid w:val="00CF3B3F"/>
    <w:rsid w:val="00CF5DED"/>
    <w:rsid w:val="00D036A3"/>
    <w:rsid w:val="00D05B50"/>
    <w:rsid w:val="00D079DE"/>
    <w:rsid w:val="00D07A30"/>
    <w:rsid w:val="00D10BC0"/>
    <w:rsid w:val="00D1230D"/>
    <w:rsid w:val="00D2314F"/>
    <w:rsid w:val="00D307F6"/>
    <w:rsid w:val="00D33472"/>
    <w:rsid w:val="00D452CF"/>
    <w:rsid w:val="00D45434"/>
    <w:rsid w:val="00D5330C"/>
    <w:rsid w:val="00D643A9"/>
    <w:rsid w:val="00D74376"/>
    <w:rsid w:val="00D7624E"/>
    <w:rsid w:val="00D871E7"/>
    <w:rsid w:val="00D9132E"/>
    <w:rsid w:val="00D92565"/>
    <w:rsid w:val="00DA0C00"/>
    <w:rsid w:val="00DB6488"/>
    <w:rsid w:val="00DC54DF"/>
    <w:rsid w:val="00DC6936"/>
    <w:rsid w:val="00DC78A3"/>
    <w:rsid w:val="00DD0FF4"/>
    <w:rsid w:val="00DD1A6D"/>
    <w:rsid w:val="00DD6560"/>
    <w:rsid w:val="00DE0094"/>
    <w:rsid w:val="00DE050F"/>
    <w:rsid w:val="00DE1773"/>
    <w:rsid w:val="00DE3DE4"/>
    <w:rsid w:val="00DE4986"/>
    <w:rsid w:val="00DE72CD"/>
    <w:rsid w:val="00DF0ADD"/>
    <w:rsid w:val="00DF4249"/>
    <w:rsid w:val="00DF4DC3"/>
    <w:rsid w:val="00E04132"/>
    <w:rsid w:val="00E14642"/>
    <w:rsid w:val="00E26314"/>
    <w:rsid w:val="00E44857"/>
    <w:rsid w:val="00E56BD6"/>
    <w:rsid w:val="00E6304E"/>
    <w:rsid w:val="00E700A7"/>
    <w:rsid w:val="00E70421"/>
    <w:rsid w:val="00E733DC"/>
    <w:rsid w:val="00E76BA4"/>
    <w:rsid w:val="00E8729D"/>
    <w:rsid w:val="00E87463"/>
    <w:rsid w:val="00E91BB7"/>
    <w:rsid w:val="00EB3716"/>
    <w:rsid w:val="00EB6E72"/>
    <w:rsid w:val="00EB7BAE"/>
    <w:rsid w:val="00EC246F"/>
    <w:rsid w:val="00EC50B8"/>
    <w:rsid w:val="00EC5314"/>
    <w:rsid w:val="00EC5BD9"/>
    <w:rsid w:val="00ED25CE"/>
    <w:rsid w:val="00ED337A"/>
    <w:rsid w:val="00EE11D2"/>
    <w:rsid w:val="00EF07BE"/>
    <w:rsid w:val="00EF0E08"/>
    <w:rsid w:val="00EF1211"/>
    <w:rsid w:val="00EF377B"/>
    <w:rsid w:val="00EF7D90"/>
    <w:rsid w:val="00F0071A"/>
    <w:rsid w:val="00F14412"/>
    <w:rsid w:val="00F22E5D"/>
    <w:rsid w:val="00F31C0A"/>
    <w:rsid w:val="00F4061E"/>
    <w:rsid w:val="00F44459"/>
    <w:rsid w:val="00F47666"/>
    <w:rsid w:val="00F605D6"/>
    <w:rsid w:val="00F778C0"/>
    <w:rsid w:val="00F805B7"/>
    <w:rsid w:val="00F8331C"/>
    <w:rsid w:val="00F8386C"/>
    <w:rsid w:val="00F91A55"/>
    <w:rsid w:val="00FB6A87"/>
    <w:rsid w:val="00FC7912"/>
    <w:rsid w:val="00FD2952"/>
    <w:rsid w:val="00FE5B53"/>
    <w:rsid w:val="00FF041E"/>
    <w:rsid w:val="6D9BE31F"/>
  </w:rsids>
  <m:mathPr>
    <m:mathFont m:val="Cambria Math"/>
    <m:brkBin m:val="before"/>
    <m:brkBinSub m:val="--"/>
    <m:smallFrac m:val="0"/>
    <m:dispDef/>
    <m:lMargin m:val="0"/>
    <m:rMargin m:val="0"/>
    <m:defJc m:val="centerGroup"/>
    <m:wrapIndent m:val="1440"/>
    <m:intLim m:val="subSup"/>
    <m:naryLim m:val="undOvr"/>
  </m:mathPr>
  <w:themeFontLang w:val="pt-PT"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D7942F7"/>
  <w15:chartTrackingRefBased/>
  <w15:docId w15:val="{4DCE37EA-3DD7-6D43-AC54-8D4A7E195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pt-P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54760"/>
    <w:pPr>
      <w:spacing w:before="100" w:beforeAutospacing="1" w:after="100" w:afterAutospacing="1"/>
      <w:outlineLvl w:val="0"/>
    </w:pPr>
    <w:rPr>
      <w:rFonts w:ascii="Times New Roman" w:eastAsia="Times New Roman" w:hAnsi="Times New Roman" w:cs="Times New Roman"/>
      <w:b/>
      <w:bCs/>
      <w:kern w:val="36"/>
      <w:sz w:val="48"/>
      <w:szCs w:val="48"/>
      <w:lang w:eastAsia="pt-PT"/>
    </w:rPr>
  </w:style>
  <w:style w:type="paragraph" w:styleId="Heading2">
    <w:name w:val="heading 2"/>
    <w:basedOn w:val="Normal"/>
    <w:next w:val="Normal"/>
    <w:link w:val="Heading2Char"/>
    <w:uiPriority w:val="9"/>
    <w:unhideWhenUsed/>
    <w:qFormat/>
    <w:rsid w:val="008676A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B33BF"/>
    <w:pPr>
      <w:keepNext/>
      <w:keepLines/>
      <w:spacing w:before="160" w:after="80" w:line="259" w:lineRule="auto"/>
      <w:outlineLvl w:val="2"/>
    </w:pPr>
    <w:rPr>
      <w:rFonts w:ascii="Aptos" w:eastAsiaTheme="majorEastAsia" w:hAnsi="Aptos" w:cstheme="majorBidi"/>
      <w:color w:val="2F5496" w:themeColor="accent1" w:themeShade="BF"/>
      <w:sz w:val="28"/>
      <w:szCs w:val="28"/>
      <w:lang w:val="pt-BR"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s,List Paragraph (numbered (a)),Bioforce zListePuce,L_4,References,Numbered List Paragraph,ReferencesCxSpLast,Paragraphe de liste1,Paragraphe de liste11,Paragraphe de liste4,Glossaire,liste de tableaux,Paragraphe 2,Titre1,figur"/>
    <w:basedOn w:val="Normal"/>
    <w:link w:val="ListParagraphChar"/>
    <w:uiPriority w:val="34"/>
    <w:qFormat/>
    <w:rsid w:val="00292381"/>
    <w:pPr>
      <w:ind w:left="720"/>
      <w:contextualSpacing/>
    </w:pPr>
  </w:style>
  <w:style w:type="paragraph" w:styleId="NormalWeb">
    <w:name w:val="Normal (Web)"/>
    <w:basedOn w:val="Normal"/>
    <w:uiPriority w:val="99"/>
    <w:unhideWhenUsed/>
    <w:rsid w:val="0040111E"/>
    <w:pPr>
      <w:spacing w:before="100" w:beforeAutospacing="1" w:after="100" w:afterAutospacing="1"/>
    </w:pPr>
    <w:rPr>
      <w:rFonts w:ascii="Times New Roman" w:eastAsia="Times New Roman" w:hAnsi="Times New Roman" w:cs="Times New Roman"/>
      <w:lang w:eastAsia="pt-PT"/>
    </w:rPr>
  </w:style>
  <w:style w:type="character" w:customStyle="1" w:styleId="Heading1Char">
    <w:name w:val="Heading 1 Char"/>
    <w:basedOn w:val="DefaultParagraphFont"/>
    <w:link w:val="Heading1"/>
    <w:uiPriority w:val="9"/>
    <w:rsid w:val="00B54760"/>
    <w:rPr>
      <w:rFonts w:ascii="Times New Roman" w:eastAsia="Times New Roman" w:hAnsi="Times New Roman" w:cs="Times New Roman"/>
      <w:b/>
      <w:bCs/>
      <w:kern w:val="36"/>
      <w:sz w:val="48"/>
      <w:szCs w:val="48"/>
      <w:lang w:eastAsia="pt-PT"/>
    </w:rPr>
  </w:style>
  <w:style w:type="paragraph" w:styleId="Header">
    <w:name w:val="header"/>
    <w:basedOn w:val="Normal"/>
    <w:link w:val="HeaderChar"/>
    <w:uiPriority w:val="99"/>
    <w:unhideWhenUsed/>
    <w:rsid w:val="009F1269"/>
    <w:pPr>
      <w:tabs>
        <w:tab w:val="center" w:pos="4680"/>
        <w:tab w:val="right" w:pos="9360"/>
      </w:tabs>
    </w:pPr>
  </w:style>
  <w:style w:type="character" w:customStyle="1" w:styleId="HeaderChar">
    <w:name w:val="Header Char"/>
    <w:basedOn w:val="DefaultParagraphFont"/>
    <w:link w:val="Header"/>
    <w:uiPriority w:val="99"/>
    <w:rsid w:val="009F1269"/>
  </w:style>
  <w:style w:type="paragraph" w:styleId="Footer">
    <w:name w:val="footer"/>
    <w:basedOn w:val="Normal"/>
    <w:link w:val="FooterChar"/>
    <w:uiPriority w:val="99"/>
    <w:unhideWhenUsed/>
    <w:rsid w:val="009F1269"/>
    <w:pPr>
      <w:tabs>
        <w:tab w:val="center" w:pos="4680"/>
        <w:tab w:val="right" w:pos="9360"/>
      </w:tabs>
    </w:pPr>
  </w:style>
  <w:style w:type="character" w:customStyle="1" w:styleId="FooterChar">
    <w:name w:val="Footer Char"/>
    <w:basedOn w:val="DefaultParagraphFont"/>
    <w:link w:val="Footer"/>
    <w:uiPriority w:val="99"/>
    <w:rsid w:val="009F1269"/>
  </w:style>
  <w:style w:type="paragraph" w:styleId="Revision">
    <w:name w:val="Revision"/>
    <w:hidden/>
    <w:uiPriority w:val="99"/>
    <w:semiHidden/>
    <w:rsid w:val="009F1269"/>
  </w:style>
  <w:style w:type="table" w:styleId="TableGrid">
    <w:name w:val="Table Grid"/>
    <w:basedOn w:val="TableNormal"/>
    <w:uiPriority w:val="39"/>
    <w:rsid w:val="009B33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9B33BF"/>
    <w:rPr>
      <w:rFonts w:ascii="Aptos" w:eastAsiaTheme="majorEastAsia" w:hAnsi="Aptos" w:cstheme="majorBidi"/>
      <w:color w:val="2F5496" w:themeColor="accent1" w:themeShade="BF"/>
      <w:sz w:val="28"/>
      <w:szCs w:val="28"/>
      <w:lang w:val="pt-BR" w:eastAsia="zh-CN"/>
    </w:rPr>
  </w:style>
  <w:style w:type="character" w:styleId="CommentReference">
    <w:name w:val="annotation reference"/>
    <w:basedOn w:val="DefaultParagraphFont"/>
    <w:uiPriority w:val="99"/>
    <w:semiHidden/>
    <w:unhideWhenUsed/>
    <w:rsid w:val="00EC50B8"/>
    <w:rPr>
      <w:sz w:val="16"/>
      <w:szCs w:val="16"/>
    </w:rPr>
  </w:style>
  <w:style w:type="paragraph" w:styleId="CommentText">
    <w:name w:val="annotation text"/>
    <w:basedOn w:val="Normal"/>
    <w:link w:val="CommentTextChar"/>
    <w:uiPriority w:val="99"/>
    <w:unhideWhenUsed/>
    <w:rsid w:val="00EC50B8"/>
    <w:rPr>
      <w:sz w:val="20"/>
      <w:szCs w:val="20"/>
    </w:rPr>
  </w:style>
  <w:style w:type="character" w:customStyle="1" w:styleId="CommentTextChar">
    <w:name w:val="Comment Text Char"/>
    <w:basedOn w:val="DefaultParagraphFont"/>
    <w:link w:val="CommentText"/>
    <w:uiPriority w:val="99"/>
    <w:rsid w:val="00EC50B8"/>
    <w:rPr>
      <w:sz w:val="20"/>
      <w:szCs w:val="20"/>
    </w:rPr>
  </w:style>
  <w:style w:type="paragraph" w:styleId="CommentSubject">
    <w:name w:val="annotation subject"/>
    <w:basedOn w:val="CommentText"/>
    <w:next w:val="CommentText"/>
    <w:link w:val="CommentSubjectChar"/>
    <w:uiPriority w:val="99"/>
    <w:semiHidden/>
    <w:unhideWhenUsed/>
    <w:rsid w:val="00EC50B8"/>
    <w:rPr>
      <w:b/>
      <w:bCs/>
    </w:rPr>
  </w:style>
  <w:style w:type="character" w:customStyle="1" w:styleId="CommentSubjectChar">
    <w:name w:val="Comment Subject Char"/>
    <w:basedOn w:val="CommentTextChar"/>
    <w:link w:val="CommentSubject"/>
    <w:uiPriority w:val="99"/>
    <w:semiHidden/>
    <w:rsid w:val="00EC50B8"/>
    <w:rPr>
      <w:b/>
      <w:bCs/>
      <w:sz w:val="20"/>
      <w:szCs w:val="20"/>
    </w:rPr>
  </w:style>
  <w:style w:type="paragraph" w:styleId="BalloonText">
    <w:name w:val="Balloon Text"/>
    <w:basedOn w:val="Normal"/>
    <w:link w:val="BalloonTextChar"/>
    <w:uiPriority w:val="99"/>
    <w:semiHidden/>
    <w:unhideWhenUsed/>
    <w:rsid w:val="00193931"/>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93931"/>
    <w:rPr>
      <w:rFonts w:ascii="Times New Roman" w:hAnsi="Times New Roman" w:cs="Times New Roman"/>
      <w:sz w:val="18"/>
      <w:szCs w:val="18"/>
    </w:rPr>
  </w:style>
  <w:style w:type="character" w:customStyle="1" w:styleId="ListParagraphChar">
    <w:name w:val="List Paragraph Char"/>
    <w:aliases w:val="Bullets Char,List Paragraph (numbered (a)) Char,Bioforce zListePuce Char,L_4 Char,References Char,Numbered List Paragraph Char,ReferencesCxSpLast Char,Paragraphe de liste1 Char,Paragraphe de liste11 Char,Paragraphe de liste4 Char"/>
    <w:link w:val="ListParagraph"/>
    <w:uiPriority w:val="34"/>
    <w:qFormat/>
    <w:locked/>
    <w:rsid w:val="00A25C88"/>
  </w:style>
  <w:style w:type="character" w:customStyle="1" w:styleId="Heading2Char">
    <w:name w:val="Heading 2 Char"/>
    <w:basedOn w:val="DefaultParagraphFont"/>
    <w:link w:val="Heading2"/>
    <w:uiPriority w:val="9"/>
    <w:rsid w:val="008676A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2B3AEC"/>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2B3AEC"/>
    <w:pPr>
      <w:spacing w:after="100"/>
    </w:pPr>
  </w:style>
  <w:style w:type="paragraph" w:styleId="TOC3">
    <w:name w:val="toc 3"/>
    <w:basedOn w:val="Normal"/>
    <w:next w:val="Normal"/>
    <w:autoRedefine/>
    <w:uiPriority w:val="39"/>
    <w:unhideWhenUsed/>
    <w:rsid w:val="002B3AEC"/>
    <w:pPr>
      <w:spacing w:after="100"/>
      <w:ind w:left="480"/>
    </w:pPr>
  </w:style>
  <w:style w:type="paragraph" w:styleId="TOC2">
    <w:name w:val="toc 2"/>
    <w:basedOn w:val="Normal"/>
    <w:next w:val="Normal"/>
    <w:autoRedefine/>
    <w:uiPriority w:val="39"/>
    <w:unhideWhenUsed/>
    <w:rsid w:val="002B3AEC"/>
    <w:pPr>
      <w:spacing w:after="100"/>
      <w:ind w:left="240"/>
    </w:pPr>
  </w:style>
  <w:style w:type="character" w:styleId="Hyperlink">
    <w:name w:val="Hyperlink"/>
    <w:basedOn w:val="DefaultParagraphFont"/>
    <w:uiPriority w:val="99"/>
    <w:unhideWhenUsed/>
    <w:rsid w:val="002B3AEC"/>
    <w:rPr>
      <w:color w:val="0563C1" w:themeColor="hyperlink"/>
      <w:u w:val="single"/>
    </w:rPr>
  </w:style>
  <w:style w:type="character" w:styleId="PlaceholderText">
    <w:name w:val="Placeholder Text"/>
    <w:basedOn w:val="DefaultParagraphFont"/>
    <w:uiPriority w:val="99"/>
    <w:semiHidden/>
    <w:rsid w:val="00195E2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95029">
      <w:bodyDiv w:val="1"/>
      <w:marLeft w:val="0"/>
      <w:marRight w:val="0"/>
      <w:marTop w:val="0"/>
      <w:marBottom w:val="0"/>
      <w:divBdr>
        <w:top w:val="none" w:sz="0" w:space="0" w:color="auto"/>
        <w:left w:val="none" w:sz="0" w:space="0" w:color="auto"/>
        <w:bottom w:val="none" w:sz="0" w:space="0" w:color="auto"/>
        <w:right w:val="none" w:sz="0" w:space="0" w:color="auto"/>
      </w:divBdr>
      <w:divsChild>
        <w:div w:id="154075219">
          <w:marLeft w:val="0"/>
          <w:marRight w:val="0"/>
          <w:marTop w:val="0"/>
          <w:marBottom w:val="0"/>
          <w:divBdr>
            <w:top w:val="none" w:sz="0" w:space="0" w:color="auto"/>
            <w:left w:val="none" w:sz="0" w:space="0" w:color="auto"/>
            <w:bottom w:val="none" w:sz="0" w:space="0" w:color="auto"/>
            <w:right w:val="none" w:sz="0" w:space="0" w:color="auto"/>
          </w:divBdr>
          <w:divsChild>
            <w:div w:id="1315254289">
              <w:marLeft w:val="0"/>
              <w:marRight w:val="0"/>
              <w:marTop w:val="0"/>
              <w:marBottom w:val="0"/>
              <w:divBdr>
                <w:top w:val="none" w:sz="0" w:space="0" w:color="auto"/>
                <w:left w:val="none" w:sz="0" w:space="0" w:color="auto"/>
                <w:bottom w:val="none" w:sz="0" w:space="0" w:color="auto"/>
                <w:right w:val="none" w:sz="0" w:space="0" w:color="auto"/>
              </w:divBdr>
              <w:divsChild>
                <w:div w:id="160795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15726">
      <w:bodyDiv w:val="1"/>
      <w:marLeft w:val="0"/>
      <w:marRight w:val="0"/>
      <w:marTop w:val="0"/>
      <w:marBottom w:val="0"/>
      <w:divBdr>
        <w:top w:val="none" w:sz="0" w:space="0" w:color="auto"/>
        <w:left w:val="none" w:sz="0" w:space="0" w:color="auto"/>
        <w:bottom w:val="none" w:sz="0" w:space="0" w:color="auto"/>
        <w:right w:val="none" w:sz="0" w:space="0" w:color="auto"/>
      </w:divBdr>
    </w:div>
    <w:div w:id="408424081">
      <w:bodyDiv w:val="1"/>
      <w:marLeft w:val="0"/>
      <w:marRight w:val="0"/>
      <w:marTop w:val="0"/>
      <w:marBottom w:val="0"/>
      <w:divBdr>
        <w:top w:val="none" w:sz="0" w:space="0" w:color="auto"/>
        <w:left w:val="none" w:sz="0" w:space="0" w:color="auto"/>
        <w:bottom w:val="none" w:sz="0" w:space="0" w:color="auto"/>
        <w:right w:val="none" w:sz="0" w:space="0" w:color="auto"/>
      </w:divBdr>
    </w:div>
    <w:div w:id="488980753">
      <w:bodyDiv w:val="1"/>
      <w:marLeft w:val="0"/>
      <w:marRight w:val="0"/>
      <w:marTop w:val="0"/>
      <w:marBottom w:val="0"/>
      <w:divBdr>
        <w:top w:val="none" w:sz="0" w:space="0" w:color="auto"/>
        <w:left w:val="none" w:sz="0" w:space="0" w:color="auto"/>
        <w:bottom w:val="none" w:sz="0" w:space="0" w:color="auto"/>
        <w:right w:val="none" w:sz="0" w:space="0" w:color="auto"/>
      </w:divBdr>
    </w:div>
    <w:div w:id="792789360">
      <w:bodyDiv w:val="1"/>
      <w:marLeft w:val="0"/>
      <w:marRight w:val="0"/>
      <w:marTop w:val="0"/>
      <w:marBottom w:val="0"/>
      <w:divBdr>
        <w:top w:val="none" w:sz="0" w:space="0" w:color="auto"/>
        <w:left w:val="none" w:sz="0" w:space="0" w:color="auto"/>
        <w:bottom w:val="none" w:sz="0" w:space="0" w:color="auto"/>
        <w:right w:val="none" w:sz="0" w:space="0" w:color="auto"/>
      </w:divBdr>
      <w:divsChild>
        <w:div w:id="231426698">
          <w:marLeft w:val="0"/>
          <w:marRight w:val="0"/>
          <w:marTop w:val="0"/>
          <w:marBottom w:val="0"/>
          <w:divBdr>
            <w:top w:val="none" w:sz="0" w:space="0" w:color="auto"/>
            <w:left w:val="none" w:sz="0" w:space="0" w:color="auto"/>
            <w:bottom w:val="none" w:sz="0" w:space="0" w:color="auto"/>
            <w:right w:val="none" w:sz="0" w:space="0" w:color="auto"/>
          </w:divBdr>
          <w:divsChild>
            <w:div w:id="1367484069">
              <w:marLeft w:val="0"/>
              <w:marRight w:val="0"/>
              <w:marTop w:val="0"/>
              <w:marBottom w:val="0"/>
              <w:divBdr>
                <w:top w:val="none" w:sz="0" w:space="0" w:color="auto"/>
                <w:left w:val="none" w:sz="0" w:space="0" w:color="auto"/>
                <w:bottom w:val="none" w:sz="0" w:space="0" w:color="auto"/>
                <w:right w:val="none" w:sz="0" w:space="0" w:color="auto"/>
              </w:divBdr>
              <w:divsChild>
                <w:div w:id="59513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004785">
      <w:bodyDiv w:val="1"/>
      <w:marLeft w:val="0"/>
      <w:marRight w:val="0"/>
      <w:marTop w:val="0"/>
      <w:marBottom w:val="0"/>
      <w:divBdr>
        <w:top w:val="none" w:sz="0" w:space="0" w:color="auto"/>
        <w:left w:val="none" w:sz="0" w:space="0" w:color="auto"/>
        <w:bottom w:val="none" w:sz="0" w:space="0" w:color="auto"/>
        <w:right w:val="none" w:sz="0" w:space="0" w:color="auto"/>
      </w:divBdr>
    </w:div>
    <w:div w:id="979650365">
      <w:bodyDiv w:val="1"/>
      <w:marLeft w:val="0"/>
      <w:marRight w:val="0"/>
      <w:marTop w:val="0"/>
      <w:marBottom w:val="0"/>
      <w:divBdr>
        <w:top w:val="none" w:sz="0" w:space="0" w:color="auto"/>
        <w:left w:val="none" w:sz="0" w:space="0" w:color="auto"/>
        <w:bottom w:val="none" w:sz="0" w:space="0" w:color="auto"/>
        <w:right w:val="none" w:sz="0" w:space="0" w:color="auto"/>
      </w:divBdr>
      <w:divsChild>
        <w:div w:id="603880541">
          <w:marLeft w:val="0"/>
          <w:marRight w:val="0"/>
          <w:marTop w:val="0"/>
          <w:marBottom w:val="0"/>
          <w:divBdr>
            <w:top w:val="none" w:sz="0" w:space="0" w:color="auto"/>
            <w:left w:val="none" w:sz="0" w:space="0" w:color="auto"/>
            <w:bottom w:val="none" w:sz="0" w:space="0" w:color="auto"/>
            <w:right w:val="none" w:sz="0" w:space="0" w:color="auto"/>
          </w:divBdr>
          <w:divsChild>
            <w:div w:id="1636061164">
              <w:marLeft w:val="0"/>
              <w:marRight w:val="0"/>
              <w:marTop w:val="0"/>
              <w:marBottom w:val="0"/>
              <w:divBdr>
                <w:top w:val="none" w:sz="0" w:space="0" w:color="auto"/>
                <w:left w:val="none" w:sz="0" w:space="0" w:color="auto"/>
                <w:bottom w:val="none" w:sz="0" w:space="0" w:color="auto"/>
                <w:right w:val="none" w:sz="0" w:space="0" w:color="auto"/>
              </w:divBdr>
              <w:divsChild>
                <w:div w:id="146866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771664">
      <w:bodyDiv w:val="1"/>
      <w:marLeft w:val="0"/>
      <w:marRight w:val="0"/>
      <w:marTop w:val="0"/>
      <w:marBottom w:val="0"/>
      <w:divBdr>
        <w:top w:val="none" w:sz="0" w:space="0" w:color="auto"/>
        <w:left w:val="none" w:sz="0" w:space="0" w:color="auto"/>
        <w:bottom w:val="none" w:sz="0" w:space="0" w:color="auto"/>
        <w:right w:val="none" w:sz="0" w:space="0" w:color="auto"/>
      </w:divBdr>
      <w:divsChild>
        <w:div w:id="631713937">
          <w:marLeft w:val="0"/>
          <w:marRight w:val="0"/>
          <w:marTop w:val="0"/>
          <w:marBottom w:val="0"/>
          <w:divBdr>
            <w:top w:val="none" w:sz="0" w:space="0" w:color="auto"/>
            <w:left w:val="none" w:sz="0" w:space="0" w:color="auto"/>
            <w:bottom w:val="none" w:sz="0" w:space="0" w:color="auto"/>
            <w:right w:val="none" w:sz="0" w:space="0" w:color="auto"/>
          </w:divBdr>
          <w:divsChild>
            <w:div w:id="768309217">
              <w:marLeft w:val="0"/>
              <w:marRight w:val="0"/>
              <w:marTop w:val="0"/>
              <w:marBottom w:val="0"/>
              <w:divBdr>
                <w:top w:val="none" w:sz="0" w:space="0" w:color="auto"/>
                <w:left w:val="none" w:sz="0" w:space="0" w:color="auto"/>
                <w:bottom w:val="none" w:sz="0" w:space="0" w:color="auto"/>
                <w:right w:val="none" w:sz="0" w:space="0" w:color="auto"/>
              </w:divBdr>
              <w:divsChild>
                <w:div w:id="71686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994102">
      <w:bodyDiv w:val="1"/>
      <w:marLeft w:val="0"/>
      <w:marRight w:val="0"/>
      <w:marTop w:val="0"/>
      <w:marBottom w:val="0"/>
      <w:divBdr>
        <w:top w:val="none" w:sz="0" w:space="0" w:color="auto"/>
        <w:left w:val="none" w:sz="0" w:space="0" w:color="auto"/>
        <w:bottom w:val="none" w:sz="0" w:space="0" w:color="auto"/>
        <w:right w:val="none" w:sz="0" w:space="0" w:color="auto"/>
      </w:divBdr>
      <w:divsChild>
        <w:div w:id="550925005">
          <w:marLeft w:val="0"/>
          <w:marRight w:val="0"/>
          <w:marTop w:val="0"/>
          <w:marBottom w:val="0"/>
          <w:divBdr>
            <w:top w:val="none" w:sz="0" w:space="0" w:color="auto"/>
            <w:left w:val="none" w:sz="0" w:space="0" w:color="auto"/>
            <w:bottom w:val="none" w:sz="0" w:space="0" w:color="auto"/>
            <w:right w:val="none" w:sz="0" w:space="0" w:color="auto"/>
          </w:divBdr>
          <w:divsChild>
            <w:div w:id="587545341">
              <w:marLeft w:val="0"/>
              <w:marRight w:val="0"/>
              <w:marTop w:val="0"/>
              <w:marBottom w:val="0"/>
              <w:divBdr>
                <w:top w:val="none" w:sz="0" w:space="0" w:color="auto"/>
                <w:left w:val="none" w:sz="0" w:space="0" w:color="auto"/>
                <w:bottom w:val="none" w:sz="0" w:space="0" w:color="auto"/>
                <w:right w:val="none" w:sz="0" w:space="0" w:color="auto"/>
              </w:divBdr>
              <w:divsChild>
                <w:div w:id="207519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716194">
      <w:bodyDiv w:val="1"/>
      <w:marLeft w:val="0"/>
      <w:marRight w:val="0"/>
      <w:marTop w:val="0"/>
      <w:marBottom w:val="0"/>
      <w:divBdr>
        <w:top w:val="none" w:sz="0" w:space="0" w:color="auto"/>
        <w:left w:val="none" w:sz="0" w:space="0" w:color="auto"/>
        <w:bottom w:val="none" w:sz="0" w:space="0" w:color="auto"/>
        <w:right w:val="none" w:sz="0" w:space="0" w:color="auto"/>
      </w:divBdr>
    </w:div>
    <w:div w:id="1265304317">
      <w:bodyDiv w:val="1"/>
      <w:marLeft w:val="0"/>
      <w:marRight w:val="0"/>
      <w:marTop w:val="0"/>
      <w:marBottom w:val="0"/>
      <w:divBdr>
        <w:top w:val="none" w:sz="0" w:space="0" w:color="auto"/>
        <w:left w:val="none" w:sz="0" w:space="0" w:color="auto"/>
        <w:bottom w:val="none" w:sz="0" w:space="0" w:color="auto"/>
        <w:right w:val="none" w:sz="0" w:space="0" w:color="auto"/>
      </w:divBdr>
      <w:divsChild>
        <w:div w:id="637229057">
          <w:marLeft w:val="0"/>
          <w:marRight w:val="0"/>
          <w:marTop w:val="0"/>
          <w:marBottom w:val="0"/>
          <w:divBdr>
            <w:top w:val="none" w:sz="0" w:space="0" w:color="auto"/>
            <w:left w:val="none" w:sz="0" w:space="0" w:color="auto"/>
            <w:bottom w:val="none" w:sz="0" w:space="0" w:color="auto"/>
            <w:right w:val="none" w:sz="0" w:space="0" w:color="auto"/>
          </w:divBdr>
          <w:divsChild>
            <w:div w:id="1637105930">
              <w:marLeft w:val="0"/>
              <w:marRight w:val="0"/>
              <w:marTop w:val="0"/>
              <w:marBottom w:val="0"/>
              <w:divBdr>
                <w:top w:val="none" w:sz="0" w:space="0" w:color="auto"/>
                <w:left w:val="none" w:sz="0" w:space="0" w:color="auto"/>
                <w:bottom w:val="none" w:sz="0" w:space="0" w:color="auto"/>
                <w:right w:val="none" w:sz="0" w:space="0" w:color="auto"/>
              </w:divBdr>
              <w:divsChild>
                <w:div w:id="119314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776086">
      <w:bodyDiv w:val="1"/>
      <w:marLeft w:val="0"/>
      <w:marRight w:val="0"/>
      <w:marTop w:val="0"/>
      <w:marBottom w:val="0"/>
      <w:divBdr>
        <w:top w:val="none" w:sz="0" w:space="0" w:color="auto"/>
        <w:left w:val="none" w:sz="0" w:space="0" w:color="auto"/>
        <w:bottom w:val="none" w:sz="0" w:space="0" w:color="auto"/>
        <w:right w:val="none" w:sz="0" w:space="0" w:color="auto"/>
      </w:divBdr>
      <w:divsChild>
        <w:div w:id="1465735300">
          <w:marLeft w:val="0"/>
          <w:marRight w:val="0"/>
          <w:marTop w:val="0"/>
          <w:marBottom w:val="0"/>
          <w:divBdr>
            <w:top w:val="none" w:sz="0" w:space="0" w:color="auto"/>
            <w:left w:val="none" w:sz="0" w:space="0" w:color="auto"/>
            <w:bottom w:val="none" w:sz="0" w:space="0" w:color="auto"/>
            <w:right w:val="none" w:sz="0" w:space="0" w:color="auto"/>
          </w:divBdr>
          <w:divsChild>
            <w:div w:id="1013532219">
              <w:marLeft w:val="0"/>
              <w:marRight w:val="0"/>
              <w:marTop w:val="0"/>
              <w:marBottom w:val="0"/>
              <w:divBdr>
                <w:top w:val="none" w:sz="0" w:space="0" w:color="auto"/>
                <w:left w:val="none" w:sz="0" w:space="0" w:color="auto"/>
                <w:bottom w:val="none" w:sz="0" w:space="0" w:color="auto"/>
                <w:right w:val="none" w:sz="0" w:space="0" w:color="auto"/>
              </w:divBdr>
              <w:divsChild>
                <w:div w:id="151764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060137">
      <w:bodyDiv w:val="1"/>
      <w:marLeft w:val="0"/>
      <w:marRight w:val="0"/>
      <w:marTop w:val="0"/>
      <w:marBottom w:val="0"/>
      <w:divBdr>
        <w:top w:val="none" w:sz="0" w:space="0" w:color="auto"/>
        <w:left w:val="none" w:sz="0" w:space="0" w:color="auto"/>
        <w:bottom w:val="none" w:sz="0" w:space="0" w:color="auto"/>
        <w:right w:val="none" w:sz="0" w:space="0" w:color="auto"/>
      </w:divBdr>
    </w:div>
    <w:div w:id="1564490461">
      <w:bodyDiv w:val="1"/>
      <w:marLeft w:val="0"/>
      <w:marRight w:val="0"/>
      <w:marTop w:val="0"/>
      <w:marBottom w:val="0"/>
      <w:divBdr>
        <w:top w:val="none" w:sz="0" w:space="0" w:color="auto"/>
        <w:left w:val="none" w:sz="0" w:space="0" w:color="auto"/>
        <w:bottom w:val="none" w:sz="0" w:space="0" w:color="auto"/>
        <w:right w:val="none" w:sz="0" w:space="0" w:color="auto"/>
      </w:divBdr>
    </w:div>
    <w:div w:id="1650550204">
      <w:bodyDiv w:val="1"/>
      <w:marLeft w:val="0"/>
      <w:marRight w:val="0"/>
      <w:marTop w:val="0"/>
      <w:marBottom w:val="0"/>
      <w:divBdr>
        <w:top w:val="none" w:sz="0" w:space="0" w:color="auto"/>
        <w:left w:val="none" w:sz="0" w:space="0" w:color="auto"/>
        <w:bottom w:val="none" w:sz="0" w:space="0" w:color="auto"/>
        <w:right w:val="none" w:sz="0" w:space="0" w:color="auto"/>
      </w:divBdr>
    </w:div>
    <w:div w:id="1700469211">
      <w:bodyDiv w:val="1"/>
      <w:marLeft w:val="0"/>
      <w:marRight w:val="0"/>
      <w:marTop w:val="0"/>
      <w:marBottom w:val="0"/>
      <w:divBdr>
        <w:top w:val="none" w:sz="0" w:space="0" w:color="auto"/>
        <w:left w:val="none" w:sz="0" w:space="0" w:color="auto"/>
        <w:bottom w:val="none" w:sz="0" w:space="0" w:color="auto"/>
        <w:right w:val="none" w:sz="0" w:space="0" w:color="auto"/>
      </w:divBdr>
    </w:div>
    <w:div w:id="1731688260">
      <w:bodyDiv w:val="1"/>
      <w:marLeft w:val="0"/>
      <w:marRight w:val="0"/>
      <w:marTop w:val="0"/>
      <w:marBottom w:val="0"/>
      <w:divBdr>
        <w:top w:val="none" w:sz="0" w:space="0" w:color="auto"/>
        <w:left w:val="none" w:sz="0" w:space="0" w:color="auto"/>
        <w:bottom w:val="none" w:sz="0" w:space="0" w:color="auto"/>
        <w:right w:val="none" w:sz="0" w:space="0" w:color="auto"/>
      </w:divBdr>
    </w:div>
    <w:div w:id="2033221602">
      <w:bodyDiv w:val="1"/>
      <w:marLeft w:val="0"/>
      <w:marRight w:val="0"/>
      <w:marTop w:val="0"/>
      <w:marBottom w:val="0"/>
      <w:divBdr>
        <w:top w:val="none" w:sz="0" w:space="0" w:color="auto"/>
        <w:left w:val="none" w:sz="0" w:space="0" w:color="auto"/>
        <w:bottom w:val="none" w:sz="0" w:space="0" w:color="auto"/>
        <w:right w:val="none" w:sz="0" w:space="0" w:color="auto"/>
      </w:divBdr>
    </w:div>
    <w:div w:id="2098210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de2318d-8e4e-494a-847f-5c3f28cc443f" xsi:nil="true"/>
    <lcf76f155ced4ddcb4097134ff3c332f xmlns="4b06b7a2-15d8-41e1-b69f-2a7a935cbfc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E0FB7D0F340C44AA3D14A37F6D1C9A" ma:contentTypeVersion="13" ma:contentTypeDescription="Create a new document." ma:contentTypeScope="" ma:versionID="c3ceb0f2a1b75d66c42f3c2107bb19bd">
  <xsd:schema xmlns:xsd="http://www.w3.org/2001/XMLSchema" xmlns:xs="http://www.w3.org/2001/XMLSchema" xmlns:p="http://schemas.microsoft.com/office/2006/metadata/properties" xmlns:ns2="4b06b7a2-15d8-41e1-b69f-2a7a935cbfc0" xmlns:ns3="2de2318d-8e4e-494a-847f-5c3f28cc443f" targetNamespace="http://schemas.microsoft.com/office/2006/metadata/properties" ma:root="true" ma:fieldsID="95b0dd6266dcc803d01c19ef30c92a74" ns2:_="" ns3:_="">
    <xsd:import namespace="4b06b7a2-15d8-41e1-b69f-2a7a935cbfc0"/>
    <xsd:import namespace="2de2318d-8e4e-494a-847f-5c3f28cc443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06b7a2-15d8-41e1-b69f-2a7a935cbf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e2318d-8e4e-494a-847f-5c3f28cc443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dc3b979-226e-488b-8588-e31f7699c11c}" ma:internalName="TaxCatchAll" ma:showField="CatchAllData" ma:web="2de2318d-8e4e-494a-847f-5c3f28cc443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EF855-E689-4EC4-ACCB-553E3B5EE212}">
  <ds:schemaRefs>
    <ds:schemaRef ds:uri="http://schemas.microsoft.com/office/2006/metadata/properties"/>
    <ds:schemaRef ds:uri="http://schemas.microsoft.com/office/infopath/2007/PartnerControls"/>
    <ds:schemaRef ds:uri="2de2318d-8e4e-494a-847f-5c3f28cc443f"/>
    <ds:schemaRef ds:uri="4b06b7a2-15d8-41e1-b69f-2a7a935cbfc0"/>
  </ds:schemaRefs>
</ds:datastoreItem>
</file>

<file path=customXml/itemProps2.xml><?xml version="1.0" encoding="utf-8"?>
<ds:datastoreItem xmlns:ds="http://schemas.openxmlformats.org/officeDocument/2006/customXml" ds:itemID="{BE9F117E-1E89-4E3B-B57D-C622CDF45F8E}">
  <ds:schemaRefs>
    <ds:schemaRef ds:uri="http://schemas.microsoft.com/sharepoint/v3/contenttype/forms"/>
  </ds:schemaRefs>
</ds:datastoreItem>
</file>

<file path=customXml/itemProps3.xml><?xml version="1.0" encoding="utf-8"?>
<ds:datastoreItem xmlns:ds="http://schemas.openxmlformats.org/officeDocument/2006/customXml" ds:itemID="{8BAB0C7C-A08E-44F1-97B2-5C88EAB6E2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06b7a2-15d8-41e1-b69f-2a7a935cbfc0"/>
    <ds:schemaRef ds:uri="2de2318d-8e4e-494a-847f-5c3f28cc44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76E586-BFF3-4C0B-8D70-C690264DD1DC}">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8</TotalTime>
  <Pages>22</Pages>
  <Words>7982</Words>
  <Characters>45500</Characters>
  <Application>Microsoft Office Word</Application>
  <DocSecurity>0</DocSecurity>
  <Lines>379</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Camilla Silva Floeistrup</cp:lastModifiedBy>
  <cp:revision>1</cp:revision>
  <cp:lastPrinted>2025-05-22T15:04:00Z</cp:lastPrinted>
  <dcterms:created xsi:type="dcterms:W3CDTF">2025-05-26T15:29:00Z</dcterms:created>
  <dcterms:modified xsi:type="dcterms:W3CDTF">2025-05-26T15:36:00Z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0x0101000AE0FB7D0F340C44AA3D14A37F6D1C9A</vt:lpwstr>
  </property>
  <property fmtid="{D5CDD505-2E9C-101B-9397-08002B2CF9AE}" pid="3" name="MediaServiceImageTags">
    <vt:lpwstr/>
  </property>
</Properties>
</file>