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2BF4FB" w14:textId="37268D39" w:rsidR="00DA3AF1" w:rsidRPr="00DA3AF1" w:rsidRDefault="00DA3AF1" w:rsidP="00831437">
      <w:pPr>
        <w:jc w:val="center"/>
        <w:rPr>
          <w:rFonts w:ascii="Times New Roman" w:hAnsi="Times New Roman" w:cs="Times New Roman"/>
          <w:b/>
          <w:bCs/>
          <w:sz w:val="28"/>
          <w:szCs w:val="28"/>
        </w:rPr>
      </w:pPr>
      <w:r w:rsidRPr="00DA3AF1">
        <w:rPr>
          <w:rFonts w:ascii="Times New Roman" w:hAnsi="Times New Roman" w:cs="Times New Roman"/>
          <w:b/>
          <w:bCs/>
          <w:color w:val="1F3864" w:themeColor="accent5" w:themeShade="80"/>
          <w:sz w:val="28"/>
          <w:szCs w:val="28"/>
        </w:rPr>
        <w:t>Maat</w:t>
      </w:r>
      <w:r w:rsidRPr="00DA3AF1">
        <w:rPr>
          <w:rFonts w:ascii="Times New Roman" w:hAnsi="Times New Roman" w:cs="Times New Roman"/>
          <w:b/>
          <w:bCs/>
          <w:color w:val="1F3864" w:themeColor="accent5" w:themeShade="80"/>
          <w:sz w:val="28"/>
          <w:szCs w:val="28"/>
        </w:rPr>
        <w:t xml:space="preserve"> for Peace’</w:t>
      </w:r>
      <w:r w:rsidRPr="00DA3AF1">
        <w:rPr>
          <w:rFonts w:ascii="Times New Roman" w:hAnsi="Times New Roman" w:cs="Times New Roman"/>
          <w:b/>
          <w:bCs/>
          <w:color w:val="1F3864" w:themeColor="accent5" w:themeShade="80"/>
          <w:sz w:val="28"/>
          <w:szCs w:val="28"/>
        </w:rPr>
        <w:t xml:space="preserve"> report to the Committee on the Elimination of All Forms of Discrimination against Women regarding </w:t>
      </w:r>
      <w:r w:rsidRPr="00DA3AF1">
        <w:rPr>
          <w:rFonts w:ascii="Times New Roman" w:hAnsi="Times New Roman" w:cs="Times New Roman"/>
          <w:b/>
          <w:bCs/>
          <w:color w:val="FF0000"/>
          <w:sz w:val="28"/>
          <w:szCs w:val="28"/>
        </w:rPr>
        <w:t>Kuwait</w:t>
      </w:r>
    </w:p>
    <w:p w14:paraId="05621FD2" w14:textId="77777777" w:rsidR="00DA3AF1" w:rsidRDefault="00DA3AF1" w:rsidP="00831437">
      <w:pPr>
        <w:jc w:val="both"/>
        <w:rPr>
          <w:rFonts w:ascii="Times New Roman" w:hAnsi="Times New Roman" w:cs="Times New Roman"/>
          <w:sz w:val="24"/>
          <w:szCs w:val="24"/>
        </w:rPr>
      </w:pPr>
      <w:r w:rsidRPr="00DA3AF1">
        <w:rPr>
          <w:rFonts w:ascii="Times New Roman" w:hAnsi="Times New Roman" w:cs="Times New Roman"/>
          <w:b/>
          <w:bCs/>
          <w:sz w:val="24"/>
          <w:szCs w:val="24"/>
        </w:rPr>
        <w:t>Submitted by:</w:t>
      </w:r>
      <w:r w:rsidRPr="00B33504">
        <w:rPr>
          <w:rFonts w:ascii="Times New Roman" w:hAnsi="Times New Roman" w:cs="Times New Roman"/>
          <w:sz w:val="24"/>
          <w:szCs w:val="24"/>
        </w:rPr>
        <w:t xml:space="preserve"> Maat for Peace, Development and Human Rights (which </w:t>
      </w:r>
      <w:r>
        <w:rPr>
          <w:rFonts w:ascii="Times New Roman" w:hAnsi="Times New Roman" w:cs="Times New Roman"/>
          <w:sz w:val="24"/>
          <w:szCs w:val="24"/>
        </w:rPr>
        <w:t>holds</w:t>
      </w:r>
      <w:r w:rsidRPr="00B33504">
        <w:rPr>
          <w:rFonts w:ascii="Times New Roman" w:hAnsi="Times New Roman" w:cs="Times New Roman"/>
          <w:sz w:val="24"/>
          <w:szCs w:val="24"/>
        </w:rPr>
        <w:t xml:space="preserve"> </w:t>
      </w:r>
      <w:r w:rsidRPr="003759A1">
        <w:rPr>
          <w:rFonts w:ascii="Times New Roman" w:hAnsi="Times New Roman" w:cs="Times New Roman"/>
          <w:sz w:val="24"/>
          <w:szCs w:val="24"/>
        </w:rPr>
        <w:t>consultative status with the United Nations Economic and Social Council).</w:t>
      </w:r>
    </w:p>
    <w:p w14:paraId="206B7E94" w14:textId="77777777" w:rsidR="00DA3AF1" w:rsidRPr="00DA3AF1" w:rsidRDefault="00DA3AF1" w:rsidP="00831437">
      <w:pPr>
        <w:jc w:val="both"/>
        <w:rPr>
          <w:rFonts w:ascii="Times New Roman" w:hAnsi="Times New Roman" w:cs="Times New Roman"/>
          <w:b/>
          <w:bCs/>
          <w:color w:val="FF0000"/>
          <w:sz w:val="24"/>
          <w:szCs w:val="24"/>
          <w:rtl/>
        </w:rPr>
      </w:pPr>
      <w:r w:rsidRPr="00DA3AF1">
        <w:rPr>
          <w:rFonts w:ascii="Times New Roman" w:hAnsi="Times New Roman" w:cs="Times New Roman"/>
          <w:b/>
          <w:bCs/>
          <w:color w:val="FF0000"/>
          <w:sz w:val="24"/>
          <w:szCs w:val="24"/>
        </w:rPr>
        <w:t>Executive summary</w:t>
      </w:r>
    </w:p>
    <w:p w14:paraId="56E3AB96" w14:textId="77777777" w:rsidR="00DA3AF1" w:rsidRDefault="00DA3AF1" w:rsidP="00831437">
      <w:pPr>
        <w:jc w:val="both"/>
        <w:rPr>
          <w:rFonts w:ascii="Times New Roman" w:hAnsi="Times New Roman" w:cs="Times New Roman"/>
          <w:color w:val="FF0000"/>
          <w:sz w:val="24"/>
          <w:szCs w:val="24"/>
        </w:rPr>
      </w:pPr>
      <w:bookmarkStart w:id="0" w:name="_GoBack"/>
      <w:bookmarkEnd w:id="0"/>
      <w:r>
        <w:rPr>
          <w:rFonts w:ascii="Times New Roman" w:hAnsi="Times New Roman" w:cs="Times New Roman"/>
          <w:noProof/>
          <w:color w:val="FF0000"/>
          <w:sz w:val="24"/>
          <w:szCs w:val="24"/>
          <w:lang w:val="en-GB" w:eastAsia="en-GB"/>
        </w:rPr>
        <mc:AlternateContent>
          <mc:Choice Requires="wps">
            <w:drawing>
              <wp:anchor distT="0" distB="0" distL="114300" distR="114300" simplePos="0" relativeHeight="251659264" behindDoc="0" locked="0" layoutInCell="1" allowOverlap="1" wp14:anchorId="31C76BB8" wp14:editId="4A7C3EF2">
                <wp:simplePos x="0" y="0"/>
                <wp:positionH relativeFrom="column">
                  <wp:posOffset>0</wp:posOffset>
                </wp:positionH>
                <wp:positionV relativeFrom="paragraph">
                  <wp:posOffset>29845</wp:posOffset>
                </wp:positionV>
                <wp:extent cx="6330950" cy="6350"/>
                <wp:effectExtent l="0" t="0" r="31750" b="31750"/>
                <wp:wrapNone/>
                <wp:docPr id="1" name="Straight Connector 1"/>
                <wp:cNvGraphicFramePr/>
                <a:graphic xmlns:a="http://schemas.openxmlformats.org/drawingml/2006/main">
                  <a:graphicData uri="http://schemas.microsoft.com/office/word/2010/wordprocessingShape">
                    <wps:wsp>
                      <wps:cNvCnPr/>
                      <wps:spPr>
                        <a:xfrm>
                          <a:off x="0" y="0"/>
                          <a:ext cx="633095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D542E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2.35pt" to="49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" strokecolor="black [3200]" strokeweight=".5pt">
                <v:stroke joinstyle="miter"/>
              </v:line>
            </w:pict>
          </mc:Fallback>
        </mc:AlternateContent>
      </w:r>
    </w:p>
    <w:p w14:paraId="773A7FB1" w14:textId="77777777" w:rsidR="00DA3AF1" w:rsidRDefault="00DA3AF1" w:rsidP="00831437">
      <w:pPr>
        <w:jc w:val="both"/>
        <w:rPr>
          <w:rFonts w:ascii="Times New Roman" w:hAnsi="Times New Roman" w:cs="Times New Roman"/>
          <w:sz w:val="24"/>
          <w:szCs w:val="24"/>
          <w:rtl/>
        </w:rPr>
      </w:pPr>
      <w:r w:rsidRPr="003759A1">
        <w:rPr>
          <w:rFonts w:ascii="Times New Roman" w:hAnsi="Times New Roman" w:cs="Times New Roman"/>
          <w:sz w:val="24"/>
          <w:szCs w:val="24"/>
        </w:rPr>
        <w:t xml:space="preserve">Kuwait </w:t>
      </w:r>
      <w:r>
        <w:rPr>
          <w:rFonts w:ascii="Times New Roman" w:hAnsi="Times New Roman" w:cs="Times New Roman"/>
          <w:sz w:val="24"/>
          <w:szCs w:val="24"/>
        </w:rPr>
        <w:t>was reviewed</w:t>
      </w:r>
      <w:r w:rsidRPr="003759A1">
        <w:rPr>
          <w:rFonts w:ascii="Times New Roman" w:hAnsi="Times New Roman" w:cs="Times New Roman"/>
          <w:sz w:val="24"/>
          <w:szCs w:val="24"/>
        </w:rPr>
        <w:t xml:space="preserve"> before the Committee on the Elimination of All Forms of Discrimin</w:t>
      </w:r>
      <w:r>
        <w:rPr>
          <w:rFonts w:ascii="Times New Roman" w:hAnsi="Times New Roman" w:cs="Times New Roman"/>
          <w:sz w:val="24"/>
          <w:szCs w:val="24"/>
        </w:rPr>
        <w:t>ation against Women during the 88th session</w:t>
      </w:r>
      <w:r w:rsidRPr="003759A1">
        <w:rPr>
          <w:rFonts w:ascii="Times New Roman" w:hAnsi="Times New Roman" w:cs="Times New Roman"/>
          <w:sz w:val="24"/>
          <w:szCs w:val="24"/>
        </w:rPr>
        <w:t xml:space="preserve"> that </w:t>
      </w:r>
      <w:r w:rsidRPr="003C01EB">
        <w:rPr>
          <w:rFonts w:ascii="Times New Roman" w:hAnsi="Times New Roman" w:cs="Times New Roman"/>
          <w:sz w:val="24"/>
          <w:szCs w:val="24"/>
        </w:rPr>
        <w:t>encouraged Maat</w:t>
      </w:r>
      <w:r>
        <w:rPr>
          <w:rFonts w:ascii="Times New Roman" w:hAnsi="Times New Roman" w:cs="Times New Roman"/>
          <w:sz w:val="24"/>
          <w:szCs w:val="24"/>
        </w:rPr>
        <w:t xml:space="preserve"> to monitor</w:t>
      </w:r>
      <w:r w:rsidRPr="003759A1">
        <w:rPr>
          <w:rFonts w:ascii="Times New Roman" w:hAnsi="Times New Roman" w:cs="Times New Roman"/>
          <w:sz w:val="24"/>
          <w:szCs w:val="24"/>
        </w:rPr>
        <w:t xml:space="preserve"> the progress made and the challenges facing the government of the State of Kuwait in implementing the Convention on the Elimination of All Forms </w:t>
      </w:r>
      <w:r>
        <w:rPr>
          <w:rFonts w:ascii="Times New Roman" w:hAnsi="Times New Roman" w:cs="Times New Roman"/>
          <w:sz w:val="24"/>
          <w:szCs w:val="24"/>
        </w:rPr>
        <w:t>of Discrimination against Women</w:t>
      </w:r>
      <w:r w:rsidRPr="003759A1">
        <w:rPr>
          <w:rFonts w:ascii="Times New Roman" w:hAnsi="Times New Roman" w:cs="Times New Roman"/>
          <w:sz w:val="24"/>
          <w:szCs w:val="24"/>
        </w:rPr>
        <w:t xml:space="preserve">. Kuwait had previously submitted its national report in November 2021, then the Committee presented a list of issues to the State on </w:t>
      </w:r>
      <w:r>
        <w:rPr>
          <w:rFonts w:ascii="Times New Roman" w:hAnsi="Times New Roman" w:cs="Times New Roman"/>
          <w:sz w:val="24"/>
          <w:szCs w:val="24"/>
        </w:rPr>
        <w:t xml:space="preserve">8 </w:t>
      </w:r>
      <w:r w:rsidRPr="003759A1">
        <w:rPr>
          <w:rFonts w:ascii="Times New Roman" w:hAnsi="Times New Roman" w:cs="Times New Roman"/>
          <w:sz w:val="24"/>
          <w:szCs w:val="24"/>
        </w:rPr>
        <w:t>March 2023, and the Kuwaiti government resp</w:t>
      </w:r>
      <w:r>
        <w:rPr>
          <w:rFonts w:ascii="Times New Roman" w:hAnsi="Times New Roman" w:cs="Times New Roman"/>
          <w:sz w:val="24"/>
          <w:szCs w:val="24"/>
        </w:rPr>
        <w:t>onded to this list in June 2023</w:t>
      </w:r>
      <w:r w:rsidRPr="003759A1">
        <w:rPr>
          <w:rFonts w:ascii="Times New Roman" w:hAnsi="Times New Roman" w:cs="Times New Roman"/>
          <w:sz w:val="24"/>
          <w:szCs w:val="24"/>
        </w:rPr>
        <w:t xml:space="preserve">. After reviewing the three reports, Maat would like to submit this report to clarify Kuwait's commitment to fulfilling its pledges and implement the observations submitted to it regarding </w:t>
      </w:r>
      <w:r>
        <w:rPr>
          <w:rFonts w:ascii="Times New Roman" w:hAnsi="Times New Roman" w:cs="Times New Roman"/>
          <w:sz w:val="24"/>
          <w:szCs w:val="24"/>
        </w:rPr>
        <w:t>several</w:t>
      </w:r>
      <w:r w:rsidRPr="003759A1">
        <w:rPr>
          <w:rFonts w:ascii="Times New Roman" w:hAnsi="Times New Roman" w:cs="Times New Roman"/>
          <w:sz w:val="24"/>
          <w:szCs w:val="24"/>
        </w:rPr>
        <w:t xml:space="preserve"> issues such as human trafficking and gender equality, as well as the right of Kuwaiti women to pass on their nationality to their children, and finally discriminatory practices against Bedoon women. </w:t>
      </w:r>
    </w:p>
    <w:p w14:paraId="1A41A037" w14:textId="77777777" w:rsidR="00DA3AF1" w:rsidRDefault="00DA3AF1" w:rsidP="00831437">
      <w:pPr>
        <w:jc w:val="both"/>
        <w:rPr>
          <w:rFonts w:ascii="Times New Roman" w:hAnsi="Times New Roman" w:cs="Times New Roman"/>
          <w:sz w:val="24"/>
          <w:szCs w:val="24"/>
        </w:rPr>
      </w:pPr>
      <w:r w:rsidRPr="00B20AD4">
        <w:rPr>
          <w:rFonts w:ascii="Times New Roman" w:hAnsi="Times New Roman" w:cs="Times New Roman"/>
          <w:sz w:val="24"/>
          <w:szCs w:val="24"/>
        </w:rPr>
        <w:t>Despite Kuwait's efforts to uphold women's rights, implement Convention provisions</w:t>
      </w:r>
      <w:r w:rsidRPr="003759A1">
        <w:rPr>
          <w:rFonts w:ascii="Times New Roman" w:hAnsi="Times New Roman" w:cs="Times New Roman"/>
          <w:sz w:val="24"/>
          <w:szCs w:val="24"/>
        </w:rPr>
        <w:t xml:space="preserve">, and eliminate all forms </w:t>
      </w:r>
      <w:r>
        <w:rPr>
          <w:rFonts w:ascii="Times New Roman" w:hAnsi="Times New Roman" w:cs="Times New Roman"/>
          <w:sz w:val="24"/>
          <w:szCs w:val="24"/>
        </w:rPr>
        <w:t>of discrimination against women;</w:t>
      </w:r>
      <w:r>
        <w:rPr>
          <w:rFonts w:ascii="Times New Roman" w:hAnsi="Times New Roman" w:cs="Times New Roman" w:hint="cs"/>
          <w:sz w:val="24"/>
          <w:szCs w:val="24"/>
          <w:rtl/>
        </w:rPr>
        <w:t xml:space="preserve"> </w:t>
      </w:r>
      <w:r w:rsidRPr="00B20AD4">
        <w:rPr>
          <w:rFonts w:ascii="Times New Roman" w:hAnsi="Times New Roman" w:cs="Times New Roman"/>
          <w:sz w:val="24"/>
          <w:szCs w:val="24"/>
        </w:rPr>
        <w:t>Kuwaiti women still suffer from discrimination in the social, political</w:t>
      </w:r>
      <w:r>
        <w:rPr>
          <w:rFonts w:ascii="Times New Roman" w:hAnsi="Times New Roman" w:cs="Times New Roman"/>
          <w:sz w:val="24"/>
          <w:szCs w:val="24"/>
        </w:rPr>
        <w:t>,</w:t>
      </w:r>
      <w:r w:rsidRPr="00B20AD4">
        <w:rPr>
          <w:rFonts w:ascii="Times New Roman" w:hAnsi="Times New Roman" w:cs="Times New Roman"/>
          <w:sz w:val="24"/>
          <w:szCs w:val="24"/>
        </w:rPr>
        <w:t xml:space="preserve"> and economic fields. Although constitutional guarantees of gender equality, Kuwaiti legislation does not reflect the essence of the Constitution and does not achieve the desired benefit in terms of facilitating the lives of female citizens and alleviating their suffering. The Kuwaiti law does not grant women the same legal status, rights, and inheritance provisions as men. Women suffer from discrimination in most aspects of family law, including divorce, child custody, as well as in basic ci</w:t>
      </w:r>
      <w:r>
        <w:rPr>
          <w:rFonts w:ascii="Times New Roman" w:hAnsi="Times New Roman" w:cs="Times New Roman"/>
          <w:sz w:val="24"/>
          <w:szCs w:val="24"/>
        </w:rPr>
        <w:t>tizenship rights and employment</w:t>
      </w:r>
      <w:r w:rsidRPr="00B20AD4">
        <w:rPr>
          <w:rFonts w:ascii="Times New Roman" w:hAnsi="Times New Roman" w:cs="Times New Roman"/>
          <w:sz w:val="24"/>
          <w:szCs w:val="24"/>
        </w:rPr>
        <w:t>. Although no cases of discrimination have been reported in the public or private sector in accessing credit, owning or managing a business project, or securing housing, there is no official government system to monitor this</w:t>
      </w:r>
      <w:r>
        <w:rPr>
          <w:rStyle w:val="FootnoteReference"/>
          <w:rFonts w:ascii="Times New Roman" w:hAnsi="Times New Roman" w:cs="Times New Roman"/>
          <w:sz w:val="24"/>
          <w:szCs w:val="24"/>
        </w:rPr>
        <w:footnoteReference w:id="1"/>
      </w:r>
      <w:r w:rsidRPr="00B20AD4">
        <w:rPr>
          <w:rFonts w:ascii="Times New Roman" w:hAnsi="Times New Roman" w:cs="Times New Roman"/>
          <w:sz w:val="24"/>
          <w:szCs w:val="24"/>
        </w:rPr>
        <w:t xml:space="preserve">. On the economic level, Kuwait has made significant progress in closing the gender wage gap. Its ranking has increased by ten places, among the recent positive developments, yet it </w:t>
      </w:r>
      <w:r w:rsidRPr="00B20AD4">
        <w:rPr>
          <w:rFonts w:ascii="Times New Roman" w:hAnsi="Times New Roman" w:cs="Times New Roman"/>
          <w:sz w:val="24"/>
          <w:szCs w:val="24"/>
        </w:rPr>
        <w:lastRenderedPageBreak/>
        <w:t>is still ranked 120th out of 146 countries overall. The main reason for gender inequality in Kuwai</w:t>
      </w:r>
      <w:r>
        <w:rPr>
          <w:rFonts w:ascii="Times New Roman" w:hAnsi="Times New Roman" w:cs="Times New Roman"/>
          <w:sz w:val="24"/>
          <w:szCs w:val="24"/>
        </w:rPr>
        <w:t>t is due to economic activity; w</w:t>
      </w:r>
      <w:r w:rsidRPr="00B20AD4">
        <w:rPr>
          <w:rFonts w:ascii="Times New Roman" w:hAnsi="Times New Roman" w:cs="Times New Roman"/>
          <w:sz w:val="24"/>
          <w:szCs w:val="24"/>
        </w:rPr>
        <w:t>omen receive lower wages than men in the workforce</w:t>
      </w:r>
      <w:r>
        <w:rPr>
          <w:rStyle w:val="FootnoteReference"/>
          <w:rFonts w:ascii="Times New Roman" w:hAnsi="Times New Roman" w:cs="Times New Roman"/>
          <w:sz w:val="24"/>
          <w:szCs w:val="24"/>
        </w:rPr>
        <w:footnoteReference w:id="2"/>
      </w:r>
      <w:r w:rsidRPr="00B20AD4">
        <w:rPr>
          <w:rFonts w:ascii="Times New Roman" w:hAnsi="Times New Roman" w:cs="Times New Roman"/>
          <w:sz w:val="24"/>
          <w:szCs w:val="24"/>
        </w:rPr>
        <w:t>.</w:t>
      </w:r>
    </w:p>
    <w:p w14:paraId="62AC1BA5" w14:textId="4835E255" w:rsidR="00DA3AF1" w:rsidRPr="00DA3AF1" w:rsidRDefault="00DA3AF1" w:rsidP="00831437">
      <w:pPr>
        <w:jc w:val="both"/>
        <w:rPr>
          <w:rFonts w:ascii="Times New Roman" w:hAnsi="Times New Roman" w:cs="Times New Roman"/>
          <w:b/>
          <w:bCs/>
          <w:color w:val="FF0000"/>
          <w:sz w:val="24"/>
          <w:szCs w:val="24"/>
        </w:rPr>
      </w:pPr>
      <w:r w:rsidRPr="00DA3AF1">
        <w:rPr>
          <w:rFonts w:ascii="Times New Roman" w:hAnsi="Times New Roman" w:cs="Times New Roman"/>
          <w:b/>
          <w:bCs/>
          <w:color w:val="FF0000"/>
          <w:sz w:val="24"/>
          <w:szCs w:val="24"/>
        </w:rPr>
        <w:t xml:space="preserve">First: Trafficking of women (Article </w:t>
      </w:r>
      <w:r>
        <w:rPr>
          <w:rFonts w:ascii="Times New Roman" w:hAnsi="Times New Roman" w:cs="Times New Roman"/>
          <w:b/>
          <w:bCs/>
          <w:color w:val="FF0000"/>
          <w:sz w:val="24"/>
          <w:szCs w:val="24"/>
        </w:rPr>
        <w:t>six</w:t>
      </w:r>
      <w:r w:rsidRPr="00DA3AF1">
        <w:rPr>
          <w:rFonts w:ascii="Times New Roman" w:hAnsi="Times New Roman" w:cs="Times New Roman"/>
          <w:b/>
          <w:bCs/>
          <w:color w:val="FF0000"/>
          <w:sz w:val="24"/>
          <w:szCs w:val="24"/>
        </w:rPr>
        <w:t>)</w:t>
      </w:r>
    </w:p>
    <w:p w14:paraId="7FAD7595" w14:textId="77777777" w:rsidR="00DA3AF1" w:rsidRPr="003C01EB" w:rsidRDefault="00DA3AF1" w:rsidP="00831437">
      <w:pPr>
        <w:jc w:val="both"/>
        <w:rPr>
          <w:rFonts w:ascii="Times New Roman" w:hAnsi="Times New Roman" w:cs="Times New Roman"/>
          <w:sz w:val="24"/>
          <w:szCs w:val="24"/>
        </w:rPr>
      </w:pPr>
      <w:r w:rsidRPr="003C01EB">
        <w:rPr>
          <w:rFonts w:ascii="Times New Roman" w:hAnsi="Times New Roman" w:cs="Times New Roman"/>
          <w:sz w:val="24"/>
          <w:szCs w:val="24"/>
        </w:rPr>
        <w:t>Within the framework of working to implement this article, Kuwait confirmed in its national report that it is keen to increase protection and care for women, especially female migrant workers. It had previously adopted Domestic Workers Law No. 68 of 2015 to protect migrant workers and established a separate department for domestic workers. Furthermore, recent laws approved by the National Assembly compensate for overtime and set a minimum wage ($250) to address some aspects of labor rights</w:t>
      </w:r>
      <w:r>
        <w:rPr>
          <w:rStyle w:val="FootnoteReference"/>
          <w:rFonts w:ascii="Times New Roman" w:hAnsi="Times New Roman" w:cs="Times New Roman"/>
          <w:sz w:val="24"/>
          <w:szCs w:val="24"/>
        </w:rPr>
        <w:footnoteReference w:id="3"/>
      </w:r>
      <w:r w:rsidRPr="003C01EB">
        <w:rPr>
          <w:rFonts w:ascii="Times New Roman" w:hAnsi="Times New Roman" w:cs="Times New Roman"/>
          <w:sz w:val="24"/>
          <w:szCs w:val="24"/>
        </w:rPr>
        <w:t>.</w:t>
      </w:r>
    </w:p>
    <w:p w14:paraId="3C84E3DE" w14:textId="5E39A942" w:rsidR="00DA3AF1" w:rsidRDefault="00DA3AF1" w:rsidP="00831437">
      <w:pPr>
        <w:jc w:val="both"/>
        <w:rPr>
          <w:rFonts w:ascii="Times New Roman" w:hAnsi="Times New Roman" w:cs="Times New Roman"/>
          <w:sz w:val="24"/>
          <w:szCs w:val="24"/>
        </w:rPr>
      </w:pPr>
      <w:r w:rsidRPr="003C01EB">
        <w:rPr>
          <w:rFonts w:ascii="Times New Roman" w:hAnsi="Times New Roman" w:cs="Times New Roman"/>
          <w:sz w:val="24"/>
          <w:szCs w:val="24"/>
        </w:rPr>
        <w:t xml:space="preserve">However, Maat </w:t>
      </w:r>
      <w:r w:rsidRPr="00367DA6">
        <w:rPr>
          <w:rFonts w:ascii="Times New Roman" w:hAnsi="Times New Roman" w:cs="Times New Roman"/>
          <w:sz w:val="24"/>
          <w:szCs w:val="24"/>
        </w:rPr>
        <w:t xml:space="preserve">believes that </w:t>
      </w:r>
      <w:r w:rsidRPr="003C01EB">
        <w:rPr>
          <w:rFonts w:ascii="Times New Roman" w:hAnsi="Times New Roman" w:cs="Times New Roman"/>
          <w:sz w:val="24"/>
          <w:szCs w:val="24"/>
        </w:rPr>
        <w:t xml:space="preserve">these measures were not sufficient when migrant domestic workers faced violence in the short or long term, as its forms varied against women in Kuwait. The focus here will be on the different forms of human trafficking and forced labor to which migrant workers are exposed. It can be said that there are no concrete measures to ensure a safe zone for migrant women under the </w:t>
      </w:r>
      <w:proofErr w:type="spellStart"/>
      <w:r>
        <w:rPr>
          <w:rFonts w:ascii="Times New Roman" w:hAnsi="Times New Roman" w:cs="Times New Roman"/>
          <w:sz w:val="24"/>
          <w:szCs w:val="24"/>
        </w:rPr>
        <w:t>Kafala</w:t>
      </w:r>
      <w:proofErr w:type="spellEnd"/>
      <w:r w:rsidRPr="00DA3AF1">
        <w:rPr>
          <w:rFonts w:ascii="Times New Roman" w:hAnsi="Times New Roman" w:cs="Times New Roman"/>
          <w:sz w:val="24"/>
          <w:szCs w:val="24"/>
        </w:rPr>
        <w:t xml:space="preserve"> (Sponsorship) System</w:t>
      </w:r>
      <w:r w:rsidRPr="003C01EB">
        <w:rPr>
          <w:rFonts w:ascii="Times New Roman" w:hAnsi="Times New Roman" w:cs="Times New Roman"/>
          <w:sz w:val="24"/>
          <w:szCs w:val="24"/>
        </w:rPr>
        <w:t xml:space="preserve">. </w:t>
      </w:r>
      <w:r w:rsidRPr="00367DA6">
        <w:rPr>
          <w:rFonts w:ascii="Times New Roman" w:hAnsi="Times New Roman" w:cs="Times New Roman"/>
          <w:sz w:val="24"/>
          <w:szCs w:val="24"/>
        </w:rPr>
        <w:t>Investigations are only initiated in cases of severe abu</w:t>
      </w:r>
      <w:r>
        <w:rPr>
          <w:rFonts w:ascii="Times New Roman" w:hAnsi="Times New Roman" w:cs="Times New Roman"/>
          <w:sz w:val="24"/>
          <w:szCs w:val="24"/>
        </w:rPr>
        <w:t>se based on the worker's report</w:t>
      </w:r>
      <w:r w:rsidRPr="003C01EB">
        <w:rPr>
          <w:rFonts w:ascii="Times New Roman" w:hAnsi="Times New Roman" w:cs="Times New Roman"/>
          <w:sz w:val="24"/>
          <w:szCs w:val="24"/>
        </w:rPr>
        <w:t xml:space="preserve">. Maat </w:t>
      </w:r>
      <w:r w:rsidRPr="00367DA6">
        <w:rPr>
          <w:rFonts w:ascii="Times New Roman" w:hAnsi="Times New Roman" w:cs="Times New Roman"/>
          <w:sz w:val="24"/>
          <w:szCs w:val="24"/>
        </w:rPr>
        <w:t>also observed that the process for submitting complaints does not provide adequate protection for workers until they experience severe mistreatment, including instances where employers engage in the buying and selling of domestic workers on online platforms</w:t>
      </w:r>
      <w:r>
        <w:rPr>
          <w:rStyle w:val="FootnoteReference"/>
          <w:rFonts w:ascii="Times New Roman" w:hAnsi="Times New Roman" w:cs="Times New Roman"/>
          <w:sz w:val="24"/>
          <w:szCs w:val="24"/>
        </w:rPr>
        <w:footnoteReference w:id="4"/>
      </w:r>
      <w:r w:rsidRPr="00367DA6">
        <w:rPr>
          <w:rFonts w:ascii="Times New Roman" w:hAnsi="Times New Roman" w:cs="Times New Roman"/>
          <w:sz w:val="24"/>
          <w:szCs w:val="24"/>
        </w:rPr>
        <w:t>.</w:t>
      </w:r>
    </w:p>
    <w:p w14:paraId="51269689" w14:textId="77777777" w:rsidR="00DA3AF1" w:rsidRPr="00DA3AF1" w:rsidRDefault="00DA3AF1" w:rsidP="00831437">
      <w:pPr>
        <w:pStyle w:val="ListParagraph"/>
        <w:numPr>
          <w:ilvl w:val="0"/>
          <w:numId w:val="33"/>
        </w:numPr>
        <w:jc w:val="both"/>
        <w:rPr>
          <w:rFonts w:ascii="Times New Roman" w:hAnsi="Times New Roman" w:cs="Times New Roman"/>
          <w:b/>
          <w:bCs/>
          <w:sz w:val="24"/>
          <w:szCs w:val="24"/>
        </w:rPr>
      </w:pPr>
      <w:r w:rsidRPr="00DA3AF1">
        <w:rPr>
          <w:rFonts w:ascii="Times New Roman" w:hAnsi="Times New Roman" w:cs="Times New Roman"/>
          <w:b/>
          <w:bCs/>
          <w:sz w:val="24"/>
          <w:szCs w:val="24"/>
        </w:rPr>
        <w:t>Exploitation and sale of women</w:t>
      </w:r>
    </w:p>
    <w:p w14:paraId="5069EC45" w14:textId="77777777" w:rsidR="00DA3AF1" w:rsidRDefault="00DA3AF1" w:rsidP="00831437">
      <w:pPr>
        <w:jc w:val="both"/>
        <w:rPr>
          <w:rFonts w:ascii="Times New Roman" w:hAnsi="Times New Roman" w:cs="Times New Roman"/>
          <w:sz w:val="24"/>
          <w:szCs w:val="24"/>
        </w:rPr>
      </w:pPr>
      <w:r w:rsidRPr="00367DA6">
        <w:rPr>
          <w:rFonts w:ascii="Times New Roman" w:hAnsi="Times New Roman" w:cs="Times New Roman"/>
          <w:sz w:val="24"/>
          <w:szCs w:val="24"/>
        </w:rPr>
        <w:t>Despite Kuwait's efforts to eliminate the phenomenon of human trafficking, the sale of migrant domestic workers on online platforms still exists, as reports revealed</w:t>
      </w:r>
      <w:r w:rsidRPr="002C454F">
        <w:rPr>
          <w:rFonts w:ascii="Arial" w:hAnsi="Arial" w:cs="Arial"/>
          <w:color w:val="000000"/>
          <w:sz w:val="27"/>
          <w:szCs w:val="27"/>
          <w:shd w:val="clear" w:color="auto" w:fill="FFFFFF"/>
        </w:rPr>
        <w:t xml:space="preserve"> </w:t>
      </w:r>
      <w:r w:rsidRPr="002C454F">
        <w:rPr>
          <w:rFonts w:ascii="Times New Roman" w:hAnsi="Times New Roman" w:cs="Times New Roman"/>
          <w:sz w:val="24"/>
          <w:szCs w:val="24"/>
        </w:rPr>
        <w:t>the involvement of government officials and police offic</w:t>
      </w:r>
      <w:r>
        <w:rPr>
          <w:rFonts w:ascii="Times New Roman" w:hAnsi="Times New Roman" w:cs="Times New Roman"/>
          <w:sz w:val="24"/>
          <w:szCs w:val="24"/>
        </w:rPr>
        <w:t>ers in these illicit activities</w:t>
      </w:r>
      <w:r w:rsidRPr="00367DA6">
        <w:rPr>
          <w:rFonts w:ascii="Times New Roman" w:hAnsi="Times New Roman" w:cs="Times New Roman"/>
          <w:sz w:val="24"/>
          <w:szCs w:val="24"/>
        </w:rPr>
        <w:t xml:space="preserve">. In one of the cases documented by Maat, a police officer sold a domestic worker through one of the </w:t>
      </w:r>
      <w:r>
        <w:rPr>
          <w:rFonts w:ascii="Times New Roman" w:hAnsi="Times New Roman" w:cs="Times New Roman"/>
          <w:sz w:val="24"/>
          <w:szCs w:val="24"/>
        </w:rPr>
        <w:t>online platform</w:t>
      </w:r>
      <w:r w:rsidRPr="00367DA6">
        <w:rPr>
          <w:rFonts w:ascii="Times New Roman" w:hAnsi="Times New Roman" w:cs="Times New Roman"/>
          <w:sz w:val="24"/>
          <w:szCs w:val="24"/>
        </w:rPr>
        <w:t>, the buyer was advised to seize the worker’s passport. According to available information, many websites sell domestic workers at trading prices ranging bet</w:t>
      </w:r>
      <w:r>
        <w:rPr>
          <w:rFonts w:ascii="Times New Roman" w:hAnsi="Times New Roman" w:cs="Times New Roman"/>
          <w:sz w:val="24"/>
          <w:szCs w:val="24"/>
        </w:rPr>
        <w:t>ween 500 - 1,500 Kuwaiti dinars,</w:t>
      </w:r>
      <w:r w:rsidRPr="00367DA6">
        <w:rPr>
          <w:rFonts w:ascii="Times New Roman" w:hAnsi="Times New Roman" w:cs="Times New Roman"/>
          <w:sz w:val="24"/>
          <w:szCs w:val="24"/>
        </w:rPr>
        <w:t xml:space="preserve"> </w:t>
      </w:r>
      <w:r w:rsidRPr="002C454F">
        <w:rPr>
          <w:rFonts w:ascii="Times New Roman" w:hAnsi="Times New Roman" w:cs="Times New Roman"/>
          <w:sz w:val="24"/>
          <w:szCs w:val="24"/>
        </w:rPr>
        <w:t>along with revealing personal details like photos, nationality, duration of stay</w:t>
      </w:r>
      <w:r w:rsidRPr="00367DA6">
        <w:rPr>
          <w:rFonts w:ascii="Times New Roman" w:hAnsi="Times New Roman" w:cs="Times New Roman"/>
          <w:sz w:val="24"/>
          <w:szCs w:val="24"/>
        </w:rPr>
        <w:t xml:space="preserve">, and </w:t>
      </w:r>
      <w:r w:rsidRPr="002C454F">
        <w:rPr>
          <w:rFonts w:ascii="Times New Roman" w:hAnsi="Times New Roman" w:cs="Times New Roman"/>
          <w:sz w:val="24"/>
          <w:szCs w:val="24"/>
        </w:rPr>
        <w:t>reasons cited for th</w:t>
      </w:r>
      <w:r>
        <w:rPr>
          <w:rFonts w:ascii="Times New Roman" w:hAnsi="Times New Roman" w:cs="Times New Roman"/>
          <w:sz w:val="24"/>
          <w:szCs w:val="24"/>
        </w:rPr>
        <w:t>eir sale or sponsor replacement</w:t>
      </w:r>
      <w:r w:rsidRPr="00367DA6">
        <w:rPr>
          <w:rFonts w:ascii="Times New Roman" w:hAnsi="Times New Roman" w:cs="Times New Roman"/>
          <w:sz w:val="24"/>
          <w:szCs w:val="24"/>
        </w:rPr>
        <w:t xml:space="preserve">. </w:t>
      </w:r>
      <w:r w:rsidRPr="002C454F">
        <w:rPr>
          <w:rFonts w:ascii="Times New Roman" w:hAnsi="Times New Roman" w:cs="Times New Roman"/>
          <w:sz w:val="24"/>
          <w:szCs w:val="24"/>
        </w:rPr>
        <w:t xml:space="preserve">These websites, operating outside the country's legal framework, exploit </w:t>
      </w:r>
      <w:r w:rsidRPr="002C454F">
        <w:rPr>
          <w:rFonts w:ascii="Times New Roman" w:hAnsi="Times New Roman" w:cs="Times New Roman"/>
          <w:sz w:val="24"/>
          <w:szCs w:val="24"/>
        </w:rPr>
        <w:lastRenderedPageBreak/>
        <w:t>domestic workers by treating them as commodities</w:t>
      </w:r>
      <w:r>
        <w:rPr>
          <w:rStyle w:val="FootnoteReference"/>
          <w:rFonts w:ascii="Times New Roman" w:hAnsi="Times New Roman" w:cs="Times New Roman"/>
          <w:sz w:val="24"/>
          <w:szCs w:val="24"/>
        </w:rPr>
        <w:footnoteReference w:id="5"/>
      </w:r>
      <w:r w:rsidRPr="002C454F">
        <w:rPr>
          <w:rFonts w:ascii="Times New Roman" w:hAnsi="Times New Roman" w:cs="Times New Roman"/>
          <w:sz w:val="24"/>
          <w:szCs w:val="24"/>
        </w:rPr>
        <w:t>.</w:t>
      </w:r>
      <w:r w:rsidRPr="002C454F">
        <w:rPr>
          <w:rFonts w:ascii="Times New Roman" w:hAnsi="Times New Roman" w:cs="Times New Roman"/>
          <w:sz w:val="24"/>
          <w:szCs w:val="24"/>
        </w:rPr>
        <w:br/>
      </w:r>
    </w:p>
    <w:p w14:paraId="0A99FF7E" w14:textId="77777777" w:rsidR="00DA3AF1" w:rsidRPr="00DA3AF1" w:rsidRDefault="00DA3AF1" w:rsidP="00831437">
      <w:pPr>
        <w:pStyle w:val="ListParagraph"/>
        <w:numPr>
          <w:ilvl w:val="0"/>
          <w:numId w:val="33"/>
        </w:numPr>
        <w:jc w:val="both"/>
        <w:rPr>
          <w:rFonts w:ascii="Times New Roman" w:hAnsi="Times New Roman" w:cs="Times New Roman"/>
          <w:b/>
          <w:bCs/>
          <w:sz w:val="24"/>
          <w:szCs w:val="24"/>
        </w:rPr>
      </w:pPr>
      <w:r w:rsidRPr="00DA3AF1">
        <w:rPr>
          <w:rFonts w:ascii="Times New Roman" w:hAnsi="Times New Roman" w:cs="Times New Roman"/>
          <w:b/>
          <w:bCs/>
          <w:sz w:val="24"/>
          <w:szCs w:val="24"/>
        </w:rPr>
        <w:t>Forced labor</w:t>
      </w:r>
    </w:p>
    <w:p w14:paraId="50EB31E1" w14:textId="60A87093" w:rsidR="00DA3AF1" w:rsidRPr="002C454F" w:rsidRDefault="00DA3AF1" w:rsidP="00831437">
      <w:pPr>
        <w:jc w:val="both"/>
        <w:rPr>
          <w:rFonts w:ascii="Times New Roman" w:hAnsi="Times New Roman" w:cs="Times New Roman"/>
          <w:sz w:val="24"/>
          <w:szCs w:val="24"/>
        </w:rPr>
      </w:pPr>
      <w:r w:rsidRPr="00AE7477">
        <w:rPr>
          <w:rFonts w:ascii="Times New Roman" w:hAnsi="Times New Roman" w:cs="Times New Roman"/>
          <w:sz w:val="24"/>
          <w:szCs w:val="24"/>
        </w:rPr>
        <w:t>As reported by the Global Slavery Index 2023, an estimated 13.0 individuals per 1,000</w:t>
      </w:r>
      <w:r>
        <w:rPr>
          <w:rFonts w:ascii="Times New Roman" w:hAnsi="Times New Roman" w:cs="Times New Roman"/>
          <w:sz w:val="24"/>
          <w:szCs w:val="24"/>
        </w:rPr>
        <w:t xml:space="preserve"> </w:t>
      </w:r>
      <w:r w:rsidRPr="00665FC8">
        <w:rPr>
          <w:rFonts w:ascii="Times New Roman" w:hAnsi="Times New Roman" w:cs="Times New Roman"/>
          <w:sz w:val="24"/>
          <w:szCs w:val="24"/>
        </w:rPr>
        <w:t>are living in modern slavery in Kuwait</w:t>
      </w:r>
      <w:r w:rsidRPr="002C454F">
        <w:rPr>
          <w:rFonts w:ascii="Times New Roman" w:hAnsi="Times New Roman" w:cs="Times New Roman"/>
          <w:sz w:val="24"/>
          <w:szCs w:val="24"/>
        </w:rPr>
        <w:t xml:space="preserve">. </w:t>
      </w:r>
      <w:r w:rsidRPr="00AE7477">
        <w:rPr>
          <w:rFonts w:ascii="Times New Roman" w:hAnsi="Times New Roman" w:cs="Times New Roman"/>
          <w:sz w:val="24"/>
          <w:szCs w:val="24"/>
        </w:rPr>
        <w:t>In 2020, around 55,000 people experienced forced labor or forced marriage</w:t>
      </w:r>
      <w:r w:rsidRPr="002C454F">
        <w:rPr>
          <w:rFonts w:ascii="Times New Roman" w:hAnsi="Times New Roman" w:cs="Times New Roman"/>
          <w:sz w:val="24"/>
          <w:szCs w:val="24"/>
        </w:rPr>
        <w:t>. Kuwait ranks tenth globally and third among Arab countries</w:t>
      </w:r>
      <w:r>
        <w:rPr>
          <w:rStyle w:val="FootnoteReference"/>
          <w:rFonts w:ascii="Times New Roman" w:hAnsi="Times New Roman" w:cs="Times New Roman"/>
          <w:sz w:val="24"/>
          <w:szCs w:val="24"/>
        </w:rPr>
        <w:footnoteReference w:id="6"/>
      </w:r>
      <w:r w:rsidRPr="002C454F">
        <w:rPr>
          <w:rFonts w:ascii="Times New Roman" w:hAnsi="Times New Roman" w:cs="Times New Roman"/>
          <w:sz w:val="24"/>
          <w:szCs w:val="24"/>
        </w:rPr>
        <w:t xml:space="preserve">. </w:t>
      </w:r>
      <w:r w:rsidRPr="00665FC8">
        <w:rPr>
          <w:rFonts w:ascii="Times New Roman" w:hAnsi="Times New Roman" w:cs="Times New Roman"/>
          <w:sz w:val="24"/>
          <w:szCs w:val="24"/>
        </w:rPr>
        <w:t>Statistics indicate that in 2021, there were approximately 745,000 d</w:t>
      </w:r>
      <w:r>
        <w:rPr>
          <w:rFonts w:ascii="Times New Roman" w:hAnsi="Times New Roman" w:cs="Times New Roman"/>
          <w:sz w:val="24"/>
          <w:szCs w:val="24"/>
        </w:rPr>
        <w:t xml:space="preserve">omestic workers, mostly migrant </w:t>
      </w:r>
      <w:r w:rsidRPr="002C454F">
        <w:rPr>
          <w:rFonts w:ascii="Times New Roman" w:hAnsi="Times New Roman" w:cs="Times New Roman"/>
          <w:sz w:val="24"/>
          <w:szCs w:val="24"/>
        </w:rPr>
        <w:t>women. In this context, many local and international human rights reports have confirmed that most domestic workers in Kuwait are vulnerable to forced labor through their employment within the frame</w:t>
      </w:r>
      <w:r>
        <w:rPr>
          <w:rFonts w:ascii="Times New Roman" w:hAnsi="Times New Roman" w:cs="Times New Roman"/>
          <w:sz w:val="24"/>
          <w:szCs w:val="24"/>
        </w:rPr>
        <w:t xml:space="preserve">work of the sponsorship system. Due to </w:t>
      </w:r>
      <w:r w:rsidRPr="002C454F">
        <w:rPr>
          <w:rFonts w:ascii="Times New Roman" w:hAnsi="Times New Roman" w:cs="Times New Roman"/>
          <w:sz w:val="24"/>
          <w:szCs w:val="24"/>
        </w:rPr>
        <w:t xml:space="preserve">the weak existence and implementation of laws, </w:t>
      </w:r>
      <w:r w:rsidRPr="00E3107B">
        <w:rPr>
          <w:rFonts w:ascii="Times New Roman" w:hAnsi="Times New Roman" w:cs="Times New Roman"/>
          <w:sz w:val="24"/>
          <w:szCs w:val="24"/>
        </w:rPr>
        <w:t xml:space="preserve">migrant domestic workers in Kuwait are subjected to undesirable conditions, including low wages, excessive working hours, </w:t>
      </w:r>
      <w:r w:rsidRPr="00E3107B">
        <w:rPr>
          <w:rFonts w:ascii="Times New Roman" w:hAnsi="Times New Roman" w:cs="Times New Roman"/>
          <w:sz w:val="24"/>
          <w:szCs w:val="24"/>
        </w:rPr>
        <w:t>and confiscation</w:t>
      </w:r>
      <w:r w:rsidRPr="00E3107B">
        <w:rPr>
          <w:rFonts w:ascii="Times New Roman" w:hAnsi="Times New Roman" w:cs="Times New Roman"/>
          <w:sz w:val="24"/>
          <w:szCs w:val="24"/>
        </w:rPr>
        <w:t xml:space="preserve"> of passports, exploitation, trafficking, as w</w:t>
      </w:r>
      <w:r>
        <w:rPr>
          <w:rFonts w:ascii="Times New Roman" w:hAnsi="Times New Roman" w:cs="Times New Roman"/>
          <w:sz w:val="24"/>
          <w:szCs w:val="24"/>
        </w:rPr>
        <w:t>ell as mistreatment and torture</w:t>
      </w:r>
      <w:r w:rsidRPr="002C454F">
        <w:rPr>
          <w:rFonts w:ascii="Times New Roman" w:hAnsi="Times New Roman" w:cs="Times New Roman"/>
          <w:sz w:val="24"/>
          <w:szCs w:val="24"/>
        </w:rPr>
        <w:t xml:space="preserve">. </w:t>
      </w:r>
      <w:r w:rsidRPr="00AE7477">
        <w:rPr>
          <w:rFonts w:ascii="Times New Roman" w:hAnsi="Times New Roman" w:cs="Times New Roman"/>
          <w:sz w:val="24"/>
          <w:szCs w:val="24"/>
        </w:rPr>
        <w:t>Domestic wor</w:t>
      </w:r>
      <w:r>
        <w:rPr>
          <w:rFonts w:ascii="Times New Roman" w:hAnsi="Times New Roman" w:cs="Times New Roman"/>
          <w:sz w:val="24"/>
          <w:szCs w:val="24"/>
        </w:rPr>
        <w:t>kers face a range of violations</w:t>
      </w:r>
      <w:r w:rsidRPr="002C454F">
        <w:rPr>
          <w:rFonts w:ascii="Times New Roman" w:hAnsi="Times New Roman" w:cs="Times New Roman"/>
          <w:sz w:val="24"/>
          <w:szCs w:val="24"/>
        </w:rPr>
        <w:t>, ranging from mistreatment to attempted murder</w:t>
      </w:r>
      <w:r>
        <w:rPr>
          <w:rFonts w:ascii="Times New Roman" w:hAnsi="Times New Roman" w:cs="Times New Roman"/>
          <w:sz w:val="24"/>
          <w:szCs w:val="24"/>
        </w:rPr>
        <w:t>.</w:t>
      </w:r>
      <w:r w:rsidRPr="00AE7477">
        <w:t xml:space="preserve"> </w:t>
      </w:r>
      <w:r w:rsidRPr="00AE7477">
        <w:rPr>
          <w:rFonts w:ascii="Times New Roman" w:hAnsi="Times New Roman" w:cs="Times New Roman"/>
          <w:sz w:val="24"/>
          <w:szCs w:val="24"/>
        </w:rPr>
        <w:t xml:space="preserve">In January 2023, a tragic incident occurred where a 35-year-old Filipina domestic worker was discovered dead and burned in the Kuwait desert while pregnant. </w:t>
      </w:r>
      <w:r w:rsidRPr="002C454F">
        <w:rPr>
          <w:rFonts w:ascii="Times New Roman" w:hAnsi="Times New Roman" w:cs="Times New Roman"/>
          <w:sz w:val="24"/>
          <w:szCs w:val="24"/>
        </w:rPr>
        <w:t xml:space="preserve"> Her employer's 17-year-old son was convicted. This is not the first time such incidents have occurred to migrant domestic workers in Kuwait, as many cases of physical and emotional abuse have been reported</w:t>
      </w:r>
      <w:r>
        <w:rPr>
          <w:rStyle w:val="FootnoteReference"/>
          <w:rFonts w:ascii="Times New Roman" w:hAnsi="Times New Roman" w:cs="Times New Roman"/>
          <w:sz w:val="24"/>
          <w:szCs w:val="24"/>
        </w:rPr>
        <w:footnoteReference w:id="7"/>
      </w:r>
      <w:r w:rsidRPr="002C454F">
        <w:rPr>
          <w:rFonts w:ascii="Times New Roman" w:hAnsi="Times New Roman" w:cs="Times New Roman"/>
          <w:sz w:val="24"/>
          <w:szCs w:val="24"/>
        </w:rPr>
        <w:t>. Other reports indicate that workers frequently face sexual assault, rape, human trafficking, labor contract violations, and unlawful termination. In 2022 alone, the Philippine Migrant Workers Administration claimed there were 24,000 cases of rights violations and violations against Filipino domestic workers, and the Overseas Filipino Workers Welfare Administration documented 196 deaths of Filipino workers in Kuwait since 2016</w:t>
      </w:r>
      <w:r>
        <w:rPr>
          <w:rStyle w:val="FootnoteReference"/>
          <w:rFonts w:ascii="Times New Roman" w:hAnsi="Times New Roman" w:cs="Times New Roman"/>
          <w:sz w:val="24"/>
          <w:szCs w:val="24"/>
        </w:rPr>
        <w:footnoteReference w:id="8"/>
      </w:r>
      <w:r w:rsidRPr="002C454F">
        <w:rPr>
          <w:rFonts w:ascii="Times New Roman" w:hAnsi="Times New Roman" w:cs="Times New Roman"/>
          <w:sz w:val="24"/>
          <w:szCs w:val="24"/>
        </w:rPr>
        <w:t>.</w:t>
      </w:r>
    </w:p>
    <w:p w14:paraId="69E56BEA" w14:textId="77777777" w:rsidR="00DA3AF1" w:rsidRDefault="00DA3AF1" w:rsidP="00831437">
      <w:pPr>
        <w:jc w:val="both"/>
        <w:rPr>
          <w:rFonts w:ascii="Times New Roman" w:hAnsi="Times New Roman" w:cs="Times New Roman"/>
          <w:sz w:val="24"/>
          <w:szCs w:val="24"/>
        </w:rPr>
      </w:pPr>
      <w:r w:rsidRPr="00A507AD">
        <w:rPr>
          <w:rFonts w:ascii="Times New Roman" w:hAnsi="Times New Roman" w:cs="Times New Roman"/>
          <w:sz w:val="24"/>
          <w:szCs w:val="24"/>
        </w:rPr>
        <w:t>Therefore, it is necessary for the Kuwaiti government to implement significant reforms in the sponsorship system, including enhancing accountability measures to tackle corruption and</w:t>
      </w:r>
      <w:r w:rsidRPr="002C454F">
        <w:rPr>
          <w:rFonts w:ascii="Times New Roman" w:hAnsi="Times New Roman" w:cs="Times New Roman"/>
          <w:sz w:val="24"/>
          <w:szCs w:val="24"/>
        </w:rPr>
        <w:t xml:space="preserve"> abuse </w:t>
      </w:r>
      <w:r w:rsidRPr="002C454F">
        <w:rPr>
          <w:rFonts w:ascii="Times New Roman" w:hAnsi="Times New Roman" w:cs="Times New Roman"/>
          <w:sz w:val="24"/>
          <w:szCs w:val="24"/>
        </w:rPr>
        <w:lastRenderedPageBreak/>
        <w:t xml:space="preserve">of power. </w:t>
      </w:r>
      <w:r w:rsidRPr="00A507AD">
        <w:rPr>
          <w:rFonts w:ascii="Times New Roman" w:hAnsi="Times New Roman" w:cs="Times New Roman"/>
          <w:sz w:val="24"/>
          <w:szCs w:val="24"/>
        </w:rPr>
        <w:t xml:space="preserve">Steps should be taken to </w:t>
      </w:r>
      <w:r w:rsidRPr="002C454F">
        <w:rPr>
          <w:rFonts w:ascii="Times New Roman" w:hAnsi="Times New Roman" w:cs="Times New Roman"/>
          <w:sz w:val="24"/>
          <w:szCs w:val="24"/>
        </w:rPr>
        <w:t>identify, investigate, and prosecute individuals involved in these practices, regardless of their positions or affiliations.</w:t>
      </w:r>
    </w:p>
    <w:p w14:paraId="2169CE6B" w14:textId="77777777" w:rsidR="00DA3AF1" w:rsidRPr="00DA3AF1" w:rsidRDefault="00DA3AF1" w:rsidP="00831437">
      <w:pPr>
        <w:jc w:val="both"/>
        <w:rPr>
          <w:rFonts w:ascii="Times New Roman" w:hAnsi="Times New Roman" w:cs="Times New Roman"/>
          <w:b/>
          <w:bCs/>
          <w:color w:val="FF0000"/>
          <w:sz w:val="24"/>
          <w:szCs w:val="24"/>
        </w:rPr>
      </w:pPr>
      <w:r w:rsidRPr="00DA3AF1">
        <w:rPr>
          <w:rFonts w:ascii="Times New Roman" w:hAnsi="Times New Roman" w:cs="Times New Roman"/>
          <w:b/>
          <w:bCs/>
          <w:color w:val="FF0000"/>
          <w:sz w:val="24"/>
          <w:szCs w:val="24"/>
        </w:rPr>
        <w:t>Second: Women’s political and public participation (Article Seven)</w:t>
      </w:r>
    </w:p>
    <w:p w14:paraId="7320B39D" w14:textId="77777777" w:rsidR="00DA3AF1" w:rsidRDefault="00DA3AF1" w:rsidP="00831437">
      <w:pPr>
        <w:jc w:val="both"/>
        <w:rPr>
          <w:rFonts w:ascii="Times New Roman" w:hAnsi="Times New Roman" w:cs="Times New Roman"/>
          <w:sz w:val="24"/>
          <w:szCs w:val="24"/>
        </w:rPr>
      </w:pPr>
      <w:r w:rsidRPr="00F80A3E">
        <w:rPr>
          <w:rFonts w:ascii="Times New Roman" w:hAnsi="Times New Roman" w:cs="Times New Roman"/>
          <w:sz w:val="24"/>
          <w:szCs w:val="24"/>
        </w:rPr>
        <w:t>Maat reviewed the steps taken by Kuwait in its national report submitted to the committee to implement Article Seven of the Convention. Despite recent efforts by Kuwaiti civil society to nominate women for elected positions, the Kuwaiti society does not seem ready to accept women yet, including women voters. Kuwaiti women ranked as the second least Arab women participating in political life, whether in parliamentary, governmental, or party work, as the rates of Kuwaiti women’s participation in political work have been notably low for over a decade, both in practice and in holding leadership positions</w:t>
      </w:r>
      <w:r>
        <w:rPr>
          <w:rStyle w:val="FootnoteReference"/>
          <w:rFonts w:ascii="Times New Roman" w:hAnsi="Times New Roman" w:cs="Times New Roman"/>
          <w:sz w:val="24"/>
          <w:szCs w:val="24"/>
        </w:rPr>
        <w:footnoteReference w:id="9"/>
      </w:r>
      <w:r w:rsidRPr="00F80A3E">
        <w:rPr>
          <w:rFonts w:ascii="Times New Roman" w:hAnsi="Times New Roman" w:cs="Times New Roman"/>
          <w:sz w:val="24"/>
          <w:szCs w:val="24"/>
        </w:rPr>
        <w:t>. Even though</w:t>
      </w:r>
      <w:r>
        <w:rPr>
          <w:rFonts w:ascii="Times New Roman" w:hAnsi="Times New Roman" w:cs="Times New Roman"/>
          <w:sz w:val="24"/>
          <w:szCs w:val="24"/>
        </w:rPr>
        <w:t xml:space="preserve"> </w:t>
      </w:r>
      <w:r w:rsidRPr="00F80A3E">
        <w:rPr>
          <w:rFonts w:ascii="Times New Roman" w:hAnsi="Times New Roman" w:cs="Times New Roman"/>
          <w:sz w:val="24"/>
          <w:szCs w:val="24"/>
        </w:rPr>
        <w:t>women in Kuwait have enjoyed the right to vote and stand for election since 2005, with some being elected to parliament membership, additionally Kuwaiti women make up about 52% of voters and less than 7% of candidates in the parliamentary elections for the National Assembly that were held on 6 June 2022; Kuwaiti women’s participation in political work remains weak. Despite the active participation of women in the 2022 elections, supported by laws that limit the influence of dominant tribal forces and require voter registration based on civil identity cards to inhibit vote-buying and transfer effectively, the results were below expectations, as only two women were able to win out of 27 female candidates</w:t>
      </w:r>
      <w:r>
        <w:rPr>
          <w:rStyle w:val="FootnoteReference"/>
          <w:rFonts w:ascii="Times New Roman" w:hAnsi="Times New Roman" w:cs="Times New Roman"/>
          <w:sz w:val="24"/>
          <w:szCs w:val="24"/>
        </w:rPr>
        <w:footnoteReference w:id="10"/>
      </w:r>
      <w:r w:rsidRPr="00F80A3E">
        <w:rPr>
          <w:rFonts w:ascii="Times New Roman" w:hAnsi="Times New Roman" w:cs="Times New Roman"/>
          <w:sz w:val="24"/>
          <w:szCs w:val="24"/>
        </w:rPr>
        <w:t>.</w:t>
      </w:r>
    </w:p>
    <w:p w14:paraId="48977895" w14:textId="77777777" w:rsidR="00DA3AF1" w:rsidRPr="00F80A3E" w:rsidRDefault="00DA3AF1" w:rsidP="00831437">
      <w:pPr>
        <w:jc w:val="both"/>
        <w:rPr>
          <w:rFonts w:ascii="Times New Roman" w:hAnsi="Times New Roman" w:cs="Times New Roman"/>
          <w:sz w:val="24"/>
          <w:szCs w:val="24"/>
        </w:rPr>
      </w:pPr>
      <w:r w:rsidRPr="00954BD1">
        <w:rPr>
          <w:rFonts w:ascii="Times New Roman" w:hAnsi="Times New Roman" w:cs="Times New Roman"/>
          <w:sz w:val="24"/>
          <w:szCs w:val="24"/>
        </w:rPr>
        <w:t>In this context, Maat identifies several challenges that impede women's political participation. These obstacles may be due to the cultural system t that fails to motivate women to engage in politics and assume leadership roles or the challenge may be the woman herself, as some groups of women are not convinced of activating women’s political participation and voting for them.  Although the total number of female candidates for the 2024 National Assembly elections, which will be held on 4 April 2024, reaches 13 candidates, the number of female citizens eligible to vote is 428,785, exceeding the number of male citizens eligible to vote, which is 405,948, but there are no positive indicators of incr</w:t>
      </w:r>
      <w:r>
        <w:rPr>
          <w:rFonts w:ascii="Times New Roman" w:hAnsi="Times New Roman" w:cs="Times New Roman"/>
          <w:sz w:val="24"/>
          <w:szCs w:val="24"/>
        </w:rPr>
        <w:t>easing their chances of winning</w:t>
      </w:r>
      <w:r>
        <w:rPr>
          <w:rStyle w:val="FootnoteReference"/>
          <w:rFonts w:ascii="Times New Roman" w:hAnsi="Times New Roman" w:cs="Times New Roman"/>
          <w:sz w:val="24"/>
          <w:szCs w:val="24"/>
        </w:rPr>
        <w:footnoteReference w:id="11"/>
      </w:r>
      <w:r w:rsidRPr="00F80A3E">
        <w:rPr>
          <w:rFonts w:ascii="Times New Roman" w:hAnsi="Times New Roman" w:cs="Times New Roman"/>
          <w:sz w:val="24"/>
          <w:szCs w:val="24"/>
        </w:rPr>
        <w:t>.</w:t>
      </w:r>
    </w:p>
    <w:p w14:paraId="75F9D15B" w14:textId="77777777" w:rsidR="00DA3AF1" w:rsidRDefault="00DA3AF1" w:rsidP="00831437">
      <w:pPr>
        <w:jc w:val="both"/>
        <w:rPr>
          <w:rFonts w:ascii="Times New Roman" w:hAnsi="Times New Roman" w:cs="Times New Roman"/>
          <w:sz w:val="24"/>
          <w:szCs w:val="24"/>
        </w:rPr>
      </w:pPr>
      <w:r w:rsidRPr="00954BD1">
        <w:rPr>
          <w:rFonts w:ascii="Times New Roman" w:hAnsi="Times New Roman" w:cs="Times New Roman"/>
          <w:sz w:val="24"/>
          <w:szCs w:val="24"/>
        </w:rPr>
        <w:t xml:space="preserve">Therefore, it can be said that there is a gap between the law and the Kuwaiti reality regarding women's rights, as women face realistic barriers to freely expressing themselves. While there are no legal prohibitions against women engaging in public and political activities in Kuwait, societal </w:t>
      </w:r>
      <w:r w:rsidRPr="00954BD1">
        <w:rPr>
          <w:rFonts w:ascii="Times New Roman" w:hAnsi="Times New Roman" w:cs="Times New Roman"/>
          <w:sz w:val="24"/>
          <w:szCs w:val="24"/>
        </w:rPr>
        <w:lastRenderedPageBreak/>
        <w:t>and cultural constraints act as entrenched barriers</w:t>
      </w:r>
      <w:r>
        <w:rPr>
          <w:rStyle w:val="FootnoteReference"/>
          <w:rFonts w:ascii="Times New Roman" w:hAnsi="Times New Roman" w:cs="Times New Roman"/>
          <w:sz w:val="24"/>
          <w:szCs w:val="24"/>
        </w:rPr>
        <w:footnoteReference w:id="12"/>
      </w:r>
      <w:r w:rsidRPr="00954BD1">
        <w:rPr>
          <w:rFonts w:ascii="Times New Roman" w:hAnsi="Times New Roman" w:cs="Times New Roman"/>
          <w:sz w:val="24"/>
          <w:szCs w:val="24"/>
        </w:rPr>
        <w:t>. Women's groups are the only legitimate way for women to participate in public activism. Unfortunately, like all voluntary associations in Kuwait, women's groups are subject to state control and funding. Consequently, these groups largely align with government directives emphasizing women's traditional roles rather than their political and social empowerment</w:t>
      </w:r>
      <w:r>
        <w:rPr>
          <w:rStyle w:val="FootnoteReference"/>
          <w:rFonts w:ascii="Times New Roman" w:hAnsi="Times New Roman" w:cs="Times New Roman"/>
          <w:sz w:val="24"/>
          <w:szCs w:val="24"/>
        </w:rPr>
        <w:footnoteReference w:id="13"/>
      </w:r>
      <w:r w:rsidRPr="00954BD1">
        <w:rPr>
          <w:rFonts w:ascii="Times New Roman" w:hAnsi="Times New Roman" w:cs="Times New Roman"/>
          <w:sz w:val="24"/>
          <w:szCs w:val="24"/>
        </w:rPr>
        <w:t>.</w:t>
      </w:r>
    </w:p>
    <w:p w14:paraId="0BE1791D" w14:textId="38F3B2BC" w:rsidR="00DA3AF1" w:rsidRDefault="00DA3AF1" w:rsidP="00831437">
      <w:pPr>
        <w:jc w:val="both"/>
        <w:rPr>
          <w:rFonts w:ascii="Times New Roman" w:hAnsi="Times New Roman" w:cs="Times New Roman"/>
          <w:sz w:val="24"/>
          <w:szCs w:val="24"/>
        </w:rPr>
      </w:pPr>
      <w:r w:rsidRPr="00951A07">
        <w:rPr>
          <w:rFonts w:ascii="Times New Roman" w:hAnsi="Times New Roman" w:cs="Times New Roman"/>
          <w:sz w:val="24"/>
          <w:szCs w:val="24"/>
        </w:rPr>
        <w:t>As for access to leadership positions, local reports confirm that the percentage of women’s representation in leadership positions in Kuwait (Minister - Undersecretary - Assistant Undersecretary) has reached 28% in all state sectors. The number of women in the police, diplomatic corps, oil sector, and judiciary have doubled as well. Women now hold 47% of leadership and supervisory positions in the Ministry of Defense, and 43% in the military engineering sector. Kuwait's efforts have played a crucial role in empowering women economically, with women now occupying 41% of leadership and supervisory roles in the Central Bank of Kuwait, 26% in the banking sector, and representing 35% of the workforce in Kuwaiti banks</w:t>
      </w:r>
      <w:r>
        <w:rPr>
          <w:rStyle w:val="FootnoteReference"/>
          <w:rFonts w:ascii="Times New Roman" w:hAnsi="Times New Roman" w:cs="Times New Roman"/>
          <w:sz w:val="24"/>
          <w:szCs w:val="24"/>
        </w:rPr>
        <w:footnoteReference w:id="14"/>
      </w:r>
      <w:r w:rsidRPr="00951A07">
        <w:rPr>
          <w:rFonts w:ascii="Times New Roman" w:hAnsi="Times New Roman" w:cs="Times New Roman"/>
          <w:sz w:val="24"/>
          <w:szCs w:val="24"/>
        </w:rPr>
        <w:t>. In August 2022, the Ministry of Interior introduced a new policy automatically registering all Kuwaiti citizens aged 21 and above as voters, which benefits women by ensuring they can register without interference from male family members.</w:t>
      </w:r>
    </w:p>
    <w:p w14:paraId="63EFF41F" w14:textId="77777777" w:rsidR="00DA3AF1" w:rsidRPr="00DA3AF1" w:rsidRDefault="00DA3AF1" w:rsidP="00831437">
      <w:pPr>
        <w:jc w:val="both"/>
        <w:rPr>
          <w:rFonts w:ascii="Times New Roman" w:hAnsi="Times New Roman" w:cs="Times New Roman"/>
          <w:b/>
          <w:bCs/>
          <w:color w:val="FF0000"/>
          <w:sz w:val="24"/>
          <w:szCs w:val="24"/>
        </w:rPr>
      </w:pPr>
      <w:r w:rsidRPr="00DA3AF1">
        <w:rPr>
          <w:rFonts w:ascii="Times New Roman" w:hAnsi="Times New Roman" w:cs="Times New Roman"/>
          <w:b/>
          <w:bCs/>
          <w:color w:val="FF0000"/>
          <w:sz w:val="24"/>
          <w:szCs w:val="24"/>
        </w:rPr>
        <w:t>Third: Granting citizenship (Article Nine)</w:t>
      </w:r>
    </w:p>
    <w:p w14:paraId="07753802" w14:textId="77777777" w:rsidR="00DA3AF1" w:rsidRPr="00951A07" w:rsidRDefault="00DA3AF1" w:rsidP="00831437">
      <w:pPr>
        <w:jc w:val="both"/>
        <w:rPr>
          <w:rFonts w:ascii="Times New Roman" w:hAnsi="Times New Roman" w:cs="Times New Roman"/>
          <w:sz w:val="24"/>
          <w:szCs w:val="24"/>
        </w:rPr>
      </w:pPr>
      <w:r w:rsidRPr="00951A07">
        <w:rPr>
          <w:rFonts w:ascii="Times New Roman" w:hAnsi="Times New Roman" w:cs="Times New Roman"/>
          <w:sz w:val="24"/>
          <w:szCs w:val="24"/>
        </w:rPr>
        <w:t>Maat observes that Kuwaiti women are subjected to clear discrimination regard</w:t>
      </w:r>
      <w:r>
        <w:rPr>
          <w:rFonts w:ascii="Times New Roman" w:hAnsi="Times New Roman" w:cs="Times New Roman"/>
          <w:sz w:val="24"/>
          <w:szCs w:val="24"/>
        </w:rPr>
        <w:t xml:space="preserve">ing nationality compared to men. </w:t>
      </w:r>
      <w:r w:rsidRPr="00951A07">
        <w:rPr>
          <w:rFonts w:ascii="Times New Roman" w:hAnsi="Times New Roman" w:cs="Times New Roman"/>
          <w:sz w:val="24"/>
          <w:szCs w:val="24"/>
        </w:rPr>
        <w:t>This contradicts Article 9 of the Convention, which guarantees women equal rights to men in acquiring, changing,</w:t>
      </w:r>
      <w:r>
        <w:rPr>
          <w:rFonts w:ascii="Times New Roman" w:hAnsi="Times New Roman" w:cs="Times New Roman"/>
          <w:sz w:val="24"/>
          <w:szCs w:val="24"/>
        </w:rPr>
        <w:t xml:space="preserve"> or retaining their nationality</w:t>
      </w:r>
      <w:r w:rsidRPr="00951A07">
        <w:rPr>
          <w:rFonts w:ascii="Times New Roman" w:hAnsi="Times New Roman" w:cs="Times New Roman"/>
          <w:sz w:val="24"/>
          <w:szCs w:val="24"/>
        </w:rPr>
        <w:t xml:space="preserve">. </w:t>
      </w:r>
      <w:r w:rsidRPr="00F37849">
        <w:rPr>
          <w:rFonts w:ascii="Times New Roman" w:hAnsi="Times New Roman" w:cs="Times New Roman"/>
          <w:sz w:val="24"/>
          <w:szCs w:val="24"/>
        </w:rPr>
        <w:t>The most prominent aspects of gender discrimination in Kuwait are evident in granting only men the right to grant nationality to their children under the current</w:t>
      </w:r>
      <w:r>
        <w:rPr>
          <w:rFonts w:ascii="Times New Roman" w:hAnsi="Times New Roman" w:cs="Times New Roman"/>
          <w:sz w:val="24"/>
          <w:szCs w:val="24"/>
        </w:rPr>
        <w:t xml:space="preserve"> nationality law in the country. </w:t>
      </w:r>
      <w:r w:rsidRPr="00951A07">
        <w:rPr>
          <w:rFonts w:ascii="Times New Roman" w:hAnsi="Times New Roman" w:cs="Times New Roman"/>
          <w:sz w:val="24"/>
          <w:szCs w:val="24"/>
        </w:rPr>
        <w:t>According to official statistics in 2021, there are about 20,000 Kuwa</w:t>
      </w:r>
      <w:r>
        <w:rPr>
          <w:rFonts w:ascii="Times New Roman" w:hAnsi="Times New Roman" w:cs="Times New Roman"/>
          <w:sz w:val="24"/>
          <w:szCs w:val="24"/>
        </w:rPr>
        <w:t>iti women married to foreigners</w:t>
      </w:r>
      <w:r w:rsidRPr="00951A07">
        <w:rPr>
          <w:rFonts w:ascii="Times New Roman" w:hAnsi="Times New Roman" w:cs="Times New Roman"/>
          <w:sz w:val="24"/>
          <w:szCs w:val="24"/>
        </w:rPr>
        <w:t xml:space="preserve"> </w:t>
      </w:r>
      <w:r w:rsidRPr="00F37849">
        <w:rPr>
          <w:rFonts w:ascii="Times New Roman" w:hAnsi="Times New Roman" w:cs="Times New Roman"/>
          <w:sz w:val="24"/>
          <w:szCs w:val="24"/>
        </w:rPr>
        <w:t>with no official numbers counting the Kuwaiti children born from these marriages</w:t>
      </w:r>
      <w:r w:rsidRPr="00951A07">
        <w:rPr>
          <w:rFonts w:ascii="Times New Roman" w:hAnsi="Times New Roman" w:cs="Times New Roman"/>
          <w:sz w:val="24"/>
          <w:szCs w:val="24"/>
        </w:rPr>
        <w:t>, and therefore they do not enjoy citizenship rights and are treated as expatriates in their homeland</w:t>
      </w:r>
      <w:r>
        <w:rPr>
          <w:rStyle w:val="FootnoteReference"/>
          <w:rFonts w:ascii="Times New Roman" w:hAnsi="Times New Roman" w:cs="Times New Roman"/>
          <w:sz w:val="24"/>
          <w:szCs w:val="24"/>
        </w:rPr>
        <w:footnoteReference w:id="15"/>
      </w:r>
      <w:r w:rsidRPr="00951A07">
        <w:rPr>
          <w:rFonts w:ascii="Times New Roman" w:hAnsi="Times New Roman" w:cs="Times New Roman"/>
          <w:sz w:val="24"/>
          <w:szCs w:val="24"/>
        </w:rPr>
        <w:t>.</w:t>
      </w:r>
    </w:p>
    <w:p w14:paraId="36F26A09" w14:textId="77777777" w:rsidR="00DA3AF1" w:rsidRPr="00951A07" w:rsidRDefault="00DA3AF1" w:rsidP="00831437">
      <w:pPr>
        <w:jc w:val="both"/>
        <w:rPr>
          <w:rFonts w:ascii="Times New Roman" w:hAnsi="Times New Roman" w:cs="Times New Roman"/>
          <w:sz w:val="24"/>
          <w:szCs w:val="24"/>
        </w:rPr>
      </w:pPr>
      <w:r w:rsidRPr="00F37849">
        <w:rPr>
          <w:rFonts w:ascii="Times New Roman" w:hAnsi="Times New Roman" w:cs="Times New Roman"/>
          <w:sz w:val="24"/>
          <w:szCs w:val="24"/>
        </w:rPr>
        <w:lastRenderedPageBreak/>
        <w:t xml:space="preserve">Kuwait relies on not granting the Kuwaiti mother’s nationality to her children. According to what it has stipulated in its national report, is that Kuwaiti nationality is based on blood ties and is granted by birth to a Kuwaiti father, as it is globally established that nationality is a legal relationship between the individual and the state and is at the core of matters related to state sovereignty. </w:t>
      </w:r>
      <w:r w:rsidRPr="00951A07">
        <w:rPr>
          <w:rFonts w:ascii="Times New Roman" w:hAnsi="Times New Roman" w:cs="Times New Roman"/>
          <w:sz w:val="24"/>
          <w:szCs w:val="24"/>
        </w:rPr>
        <w:t xml:space="preserve">It also affirmed the right of every state to retain the freedom to legislate nationality laws. Based on this, Article (2) </w:t>
      </w:r>
      <w:r w:rsidRPr="00DA3AF1">
        <w:rPr>
          <w:rFonts w:ascii="Times New Roman" w:hAnsi="Times New Roman" w:cs="Times New Roman"/>
          <w:sz w:val="24"/>
          <w:szCs w:val="24"/>
        </w:rPr>
        <w:t xml:space="preserve">of </w:t>
      </w:r>
      <w:proofErr w:type="spellStart"/>
      <w:r w:rsidRPr="00DA3AF1">
        <w:rPr>
          <w:rFonts w:ascii="Times New Roman" w:hAnsi="Times New Roman" w:cs="Times New Roman"/>
          <w:sz w:val="24"/>
          <w:szCs w:val="24"/>
        </w:rPr>
        <w:t>Emiri</w:t>
      </w:r>
      <w:proofErr w:type="spellEnd"/>
      <w:r w:rsidRPr="00DA3AF1">
        <w:rPr>
          <w:rFonts w:ascii="Times New Roman" w:hAnsi="Times New Roman" w:cs="Times New Roman"/>
          <w:sz w:val="24"/>
          <w:szCs w:val="24"/>
        </w:rPr>
        <w:t xml:space="preserve"> Decree No. 15 of 1959</w:t>
      </w:r>
      <w:r w:rsidRPr="00951A07">
        <w:rPr>
          <w:rFonts w:ascii="Times New Roman" w:hAnsi="Times New Roman" w:cs="Times New Roman"/>
          <w:sz w:val="24"/>
          <w:szCs w:val="24"/>
        </w:rPr>
        <w:t xml:space="preserve"> regarding the Kuwaiti Nationality Law regulated the conditions for granting citizenship, which is that anyone born in Kuwait or abroad to a Kuwaiti father must be Kuwaiti</w:t>
      </w:r>
      <w:r>
        <w:rPr>
          <w:rStyle w:val="FootnoteReference"/>
          <w:rFonts w:ascii="Times New Roman" w:hAnsi="Times New Roman" w:cs="Times New Roman"/>
          <w:sz w:val="24"/>
          <w:szCs w:val="24"/>
        </w:rPr>
        <w:footnoteReference w:id="16"/>
      </w:r>
      <w:r w:rsidRPr="00951A07">
        <w:rPr>
          <w:rFonts w:ascii="Times New Roman" w:hAnsi="Times New Roman" w:cs="Times New Roman"/>
          <w:sz w:val="24"/>
          <w:szCs w:val="24"/>
        </w:rPr>
        <w:t>.</w:t>
      </w:r>
    </w:p>
    <w:p w14:paraId="0CDAB5C9" w14:textId="77777777" w:rsidR="00DA3AF1" w:rsidRPr="00F37849" w:rsidRDefault="00DA3AF1" w:rsidP="00831437">
      <w:pPr>
        <w:jc w:val="both"/>
        <w:rPr>
          <w:rFonts w:ascii="Times New Roman" w:hAnsi="Times New Roman" w:cs="Times New Roman"/>
          <w:sz w:val="24"/>
          <w:szCs w:val="24"/>
        </w:rPr>
      </w:pPr>
      <w:r w:rsidRPr="00F37849">
        <w:rPr>
          <w:rFonts w:ascii="Times New Roman" w:hAnsi="Times New Roman" w:cs="Times New Roman"/>
          <w:sz w:val="24"/>
          <w:szCs w:val="24"/>
        </w:rPr>
        <w:t xml:space="preserve">However, the Kuwaiti legislator has granted Kuwaiti women the right to grant citizenship to their children through amendments to the new citizenship law issued in 2022 </w:t>
      </w:r>
      <w:r w:rsidRPr="006944A1">
        <w:rPr>
          <w:rFonts w:ascii="Times New Roman" w:hAnsi="Times New Roman" w:cs="Times New Roman"/>
          <w:sz w:val="24"/>
          <w:szCs w:val="24"/>
        </w:rPr>
        <w:t xml:space="preserve">under specific </w:t>
      </w:r>
      <w:r>
        <w:rPr>
          <w:rFonts w:ascii="Times New Roman" w:hAnsi="Times New Roman" w:cs="Times New Roman"/>
          <w:sz w:val="24"/>
          <w:szCs w:val="24"/>
        </w:rPr>
        <w:t xml:space="preserve">conditions. </w:t>
      </w:r>
      <w:r w:rsidRPr="006944A1">
        <w:rPr>
          <w:rFonts w:ascii="Times New Roman" w:hAnsi="Times New Roman" w:cs="Times New Roman"/>
          <w:sz w:val="24"/>
          <w:szCs w:val="24"/>
        </w:rPr>
        <w:t>These conditions, outlined in the second paragraph of Article 5 of the Nationality Law, specify that if a child is born to a Kuwaiti mother who stays in Kuwait until adulthood, and if the father is a foreigner imprisoned, divorced the mother, or deceased, the law allows Kuwaiti women to transmit their nationality to their children in these scenarios</w:t>
      </w:r>
      <w:r>
        <w:rPr>
          <w:rStyle w:val="FootnoteReference"/>
          <w:rFonts w:ascii="Times New Roman" w:hAnsi="Times New Roman" w:cs="Times New Roman"/>
          <w:sz w:val="24"/>
          <w:szCs w:val="24"/>
        </w:rPr>
        <w:footnoteReference w:id="17"/>
      </w:r>
      <w:r w:rsidRPr="006944A1">
        <w:rPr>
          <w:rFonts w:ascii="Times New Roman" w:hAnsi="Times New Roman" w:cs="Times New Roman"/>
          <w:sz w:val="24"/>
          <w:szCs w:val="24"/>
        </w:rPr>
        <w:t>.</w:t>
      </w:r>
    </w:p>
    <w:p w14:paraId="3D7CA3AE" w14:textId="77777777" w:rsidR="00DA3AF1" w:rsidRDefault="00DA3AF1" w:rsidP="00831437">
      <w:pPr>
        <w:jc w:val="both"/>
        <w:rPr>
          <w:rFonts w:ascii="Times New Roman" w:hAnsi="Times New Roman" w:cs="Times New Roman"/>
          <w:sz w:val="24"/>
          <w:szCs w:val="24"/>
        </w:rPr>
      </w:pPr>
      <w:r w:rsidRPr="00F37849">
        <w:rPr>
          <w:rFonts w:ascii="Times New Roman" w:hAnsi="Times New Roman" w:cs="Times New Roman"/>
          <w:sz w:val="24"/>
          <w:szCs w:val="24"/>
        </w:rPr>
        <w:t xml:space="preserve">However, </w:t>
      </w:r>
      <w:r w:rsidRPr="0048562F">
        <w:rPr>
          <w:rFonts w:ascii="Times New Roman" w:hAnsi="Times New Roman" w:cs="Times New Roman"/>
          <w:sz w:val="24"/>
          <w:szCs w:val="24"/>
        </w:rPr>
        <w:t>under these conditions, if a Kuwaiti woman is married to a foreigner and wants to give her nationality to her children, she must either become widowed or divorced from her non-Kuwaiti husband. This requirement for naturalization approval from the Minister of Interior creates unfair conditions for gender equality in citizenship grant.</w:t>
      </w:r>
      <w:r>
        <w:rPr>
          <w:rFonts w:ascii="Times New Roman" w:hAnsi="Times New Roman" w:cs="Times New Roman"/>
          <w:sz w:val="24"/>
          <w:szCs w:val="24"/>
        </w:rPr>
        <w:t xml:space="preserve"> </w:t>
      </w:r>
      <w:r w:rsidRPr="0048562F">
        <w:rPr>
          <w:rFonts w:ascii="Times New Roman" w:hAnsi="Times New Roman" w:cs="Times New Roman"/>
          <w:sz w:val="24"/>
          <w:szCs w:val="24"/>
        </w:rPr>
        <w:t>Not granting citizenship results in treating children as expatriates in their own country, and thus, according to the laws of the Civil Service Commission, they are not entitled to appointment or even to obtain benefits in salaries and bonuses, but they are treated as foreigners according to the nationalities of their parents, despite the issuance of Decree No. (17- 2017) regarding the civil service system, which stipulates appointment priority for the children of Kuwaiti women immediately after Kuwaiti men, but this decree is not applied in reality. In addition to facing the specter of deportation, especially since the laws of foreign residents do not exempt the children of Kuwaiti women and their husbands from administrative deportation, meaning more psychological pressure on Kuwaiti women who may find themselves forced to emigrate from their country one day to join their children who have been deported</w:t>
      </w:r>
      <w:r>
        <w:rPr>
          <w:rStyle w:val="FootnoteReference"/>
          <w:rFonts w:ascii="Times New Roman" w:hAnsi="Times New Roman" w:cs="Times New Roman"/>
          <w:sz w:val="24"/>
          <w:szCs w:val="24"/>
        </w:rPr>
        <w:footnoteReference w:id="18"/>
      </w:r>
      <w:r w:rsidRPr="0048562F">
        <w:rPr>
          <w:rFonts w:ascii="Times New Roman" w:hAnsi="Times New Roman" w:cs="Times New Roman"/>
          <w:sz w:val="24"/>
          <w:szCs w:val="24"/>
        </w:rPr>
        <w:t>.</w:t>
      </w:r>
    </w:p>
    <w:p w14:paraId="71A024DF" w14:textId="77777777" w:rsidR="00DA3AF1" w:rsidRPr="00DA3AF1" w:rsidRDefault="00DA3AF1" w:rsidP="00831437">
      <w:pPr>
        <w:jc w:val="both"/>
        <w:rPr>
          <w:rFonts w:ascii="Times New Roman" w:hAnsi="Times New Roman" w:cs="Times New Roman"/>
          <w:b/>
          <w:bCs/>
          <w:color w:val="FF0000"/>
          <w:sz w:val="24"/>
          <w:szCs w:val="24"/>
        </w:rPr>
      </w:pPr>
      <w:r w:rsidRPr="00DA3AF1">
        <w:rPr>
          <w:rFonts w:ascii="Times New Roman" w:hAnsi="Times New Roman" w:cs="Times New Roman"/>
          <w:b/>
          <w:bCs/>
          <w:color w:val="FF0000"/>
          <w:sz w:val="24"/>
          <w:szCs w:val="24"/>
        </w:rPr>
        <w:t>Fourth: Health care: Article 12</w:t>
      </w:r>
    </w:p>
    <w:p w14:paraId="27B376F9" w14:textId="77777777" w:rsidR="00DA3AF1" w:rsidRDefault="00DA3AF1" w:rsidP="00831437">
      <w:pPr>
        <w:jc w:val="both"/>
        <w:rPr>
          <w:rFonts w:ascii="Times New Roman" w:hAnsi="Times New Roman" w:cs="Times New Roman"/>
          <w:sz w:val="24"/>
          <w:szCs w:val="24"/>
        </w:rPr>
      </w:pPr>
      <w:r w:rsidRPr="0048562F">
        <w:rPr>
          <w:rFonts w:ascii="Times New Roman" w:hAnsi="Times New Roman" w:cs="Times New Roman"/>
          <w:sz w:val="24"/>
          <w:szCs w:val="24"/>
        </w:rPr>
        <w:lastRenderedPageBreak/>
        <w:t xml:space="preserve">Maat reviewed the measures taken by Kuwait to ensure health care for women within its territory. </w:t>
      </w:r>
      <w:r w:rsidRPr="004D2B42">
        <w:rPr>
          <w:rFonts w:ascii="Times New Roman" w:hAnsi="Times New Roman" w:cs="Times New Roman"/>
          <w:sz w:val="24"/>
          <w:szCs w:val="24"/>
        </w:rPr>
        <w:t>However, Maat also highlighted discriminatory actions taken by Kuwait towards expatriate and resident women. In May 2023, the Kuwaiti Ministry of Health introduced new discriminatory measures affecting res</w:t>
      </w:r>
      <w:r>
        <w:rPr>
          <w:rFonts w:ascii="Times New Roman" w:hAnsi="Times New Roman" w:cs="Times New Roman"/>
          <w:sz w:val="24"/>
          <w:szCs w:val="24"/>
        </w:rPr>
        <w:t xml:space="preserve">idents' health rights in Kuwait </w:t>
      </w:r>
      <w:r w:rsidRPr="0048562F">
        <w:rPr>
          <w:rFonts w:ascii="Times New Roman" w:hAnsi="Times New Roman" w:cs="Times New Roman"/>
          <w:sz w:val="24"/>
          <w:szCs w:val="24"/>
        </w:rPr>
        <w:t xml:space="preserve">by imposing fees </w:t>
      </w:r>
      <w:r w:rsidRPr="004D2B42">
        <w:rPr>
          <w:rFonts w:ascii="Times New Roman" w:hAnsi="Times New Roman" w:cs="Times New Roman"/>
          <w:sz w:val="24"/>
          <w:szCs w:val="24"/>
        </w:rPr>
        <w:t xml:space="preserve">for </w:t>
      </w:r>
      <w:r w:rsidRPr="00DA3AF1">
        <w:rPr>
          <w:rFonts w:ascii="Times New Roman" w:hAnsi="Times New Roman" w:cs="Times New Roman"/>
          <w:sz w:val="24"/>
          <w:szCs w:val="24"/>
        </w:rPr>
        <w:t>blood bags</w:t>
      </w:r>
      <w:r w:rsidRPr="004D2B42">
        <w:rPr>
          <w:rFonts w:ascii="Times New Roman" w:hAnsi="Times New Roman" w:cs="Times New Roman"/>
          <w:sz w:val="24"/>
          <w:szCs w:val="24"/>
        </w:rPr>
        <w:t xml:space="preserve"> and laboratory tests at the Blood </w:t>
      </w:r>
      <w:r>
        <w:rPr>
          <w:rFonts w:ascii="Times New Roman" w:hAnsi="Times New Roman" w:cs="Times New Roman"/>
          <w:sz w:val="24"/>
          <w:szCs w:val="24"/>
        </w:rPr>
        <w:t>Transfusion Services Department</w:t>
      </w:r>
      <w:r w:rsidRPr="0048562F">
        <w:rPr>
          <w:rFonts w:ascii="Times New Roman" w:hAnsi="Times New Roman" w:cs="Times New Roman"/>
          <w:sz w:val="24"/>
          <w:szCs w:val="24"/>
        </w:rPr>
        <w:t xml:space="preserve">. </w:t>
      </w:r>
      <w:r w:rsidRPr="004D2B42">
        <w:rPr>
          <w:rFonts w:ascii="Times New Roman" w:hAnsi="Times New Roman" w:cs="Times New Roman"/>
          <w:sz w:val="24"/>
          <w:szCs w:val="24"/>
        </w:rPr>
        <w:t>This decision directly impacts emergencies that urgently need blood transfusions to save lives, particularly women during childbirth.</w:t>
      </w:r>
      <w:r>
        <w:rPr>
          <w:rFonts w:ascii="Times New Roman" w:hAnsi="Times New Roman" w:cs="Times New Roman"/>
          <w:sz w:val="24"/>
          <w:szCs w:val="24"/>
        </w:rPr>
        <w:t xml:space="preserve"> </w:t>
      </w:r>
      <w:r w:rsidRPr="004D2B42">
        <w:rPr>
          <w:rFonts w:ascii="Times New Roman" w:hAnsi="Times New Roman" w:cs="Times New Roman"/>
          <w:sz w:val="24"/>
          <w:szCs w:val="24"/>
        </w:rPr>
        <w:t>Consequently, these discriminatory measures violate Article 12 of the Convention on the Elimination of All Forms of Discrimination against Women, which stipulates that “States Parties shall take all appropriate measures to eliminate discrimination against women in the field of health care and shall ensure women equal access to health care services, including family planning services.”</w:t>
      </w:r>
    </w:p>
    <w:p w14:paraId="2AE800F4" w14:textId="77777777" w:rsidR="00DA3AF1" w:rsidRPr="00DA3AF1" w:rsidRDefault="00DA3AF1" w:rsidP="00831437">
      <w:pPr>
        <w:jc w:val="both"/>
        <w:rPr>
          <w:rFonts w:ascii="Times New Roman" w:hAnsi="Times New Roman" w:cs="Times New Roman"/>
          <w:b/>
          <w:bCs/>
          <w:color w:val="FF0000"/>
          <w:sz w:val="24"/>
          <w:szCs w:val="24"/>
        </w:rPr>
      </w:pPr>
      <w:r w:rsidRPr="00DA3AF1">
        <w:rPr>
          <w:rFonts w:ascii="Times New Roman" w:hAnsi="Times New Roman" w:cs="Times New Roman"/>
          <w:b/>
          <w:bCs/>
          <w:color w:val="FF0000"/>
          <w:sz w:val="24"/>
          <w:szCs w:val="24"/>
        </w:rPr>
        <w:t>Fifth: Bedoon women</w:t>
      </w:r>
    </w:p>
    <w:p w14:paraId="217969F5" w14:textId="77777777" w:rsidR="00DA3AF1" w:rsidRDefault="00DA3AF1" w:rsidP="00831437">
      <w:pPr>
        <w:jc w:val="both"/>
        <w:rPr>
          <w:rFonts w:ascii="Times New Roman" w:hAnsi="Times New Roman" w:cs="Times New Roman"/>
          <w:sz w:val="24"/>
          <w:szCs w:val="24"/>
        </w:rPr>
      </w:pPr>
      <w:r w:rsidRPr="00DF14BA">
        <w:rPr>
          <w:rFonts w:ascii="Times New Roman" w:hAnsi="Times New Roman" w:cs="Times New Roman"/>
          <w:sz w:val="24"/>
          <w:szCs w:val="24"/>
        </w:rPr>
        <w:t xml:space="preserve">Bedoon women in Kuwait encounter further instances of unjust treatment in both legal and social settings. Reports indicate that Bedoon women and girls may experience sexual harassment from government personnel while seeking documentation. Additionally, Bedoon women are unable to assert their legal entitlements post-divorce, like child custody, due to marriages not being officially recorded by authorities, particularly in cases involving two unregistered </w:t>
      </w:r>
      <w:proofErr w:type="spellStart"/>
      <w:r w:rsidRPr="00DF14BA">
        <w:rPr>
          <w:rFonts w:ascii="Times New Roman" w:hAnsi="Times New Roman" w:cs="Times New Roman"/>
          <w:sz w:val="24"/>
          <w:szCs w:val="24"/>
        </w:rPr>
        <w:t>Bidun</w:t>
      </w:r>
      <w:proofErr w:type="spellEnd"/>
      <w:r w:rsidRPr="00DF14BA">
        <w:rPr>
          <w:rFonts w:ascii="Times New Roman" w:hAnsi="Times New Roman" w:cs="Times New Roman"/>
          <w:sz w:val="24"/>
          <w:szCs w:val="24"/>
        </w:rPr>
        <w:t xml:space="preserve"> individuals</w:t>
      </w:r>
      <w:r>
        <w:rPr>
          <w:rStyle w:val="FootnoteReference"/>
          <w:rFonts w:ascii="Times New Roman" w:hAnsi="Times New Roman" w:cs="Times New Roman"/>
          <w:sz w:val="24"/>
          <w:szCs w:val="24"/>
        </w:rPr>
        <w:footnoteReference w:id="19"/>
      </w:r>
      <w:r w:rsidRPr="00DF14BA">
        <w:rPr>
          <w:rFonts w:ascii="Times New Roman" w:hAnsi="Times New Roman" w:cs="Times New Roman"/>
          <w:sz w:val="24"/>
          <w:szCs w:val="24"/>
        </w:rPr>
        <w:t>.</w:t>
      </w:r>
    </w:p>
    <w:p w14:paraId="49E2A343" w14:textId="77777777" w:rsidR="00DA3AF1" w:rsidRDefault="00DA3AF1" w:rsidP="00831437">
      <w:pPr>
        <w:jc w:val="both"/>
        <w:rPr>
          <w:rFonts w:ascii="Times New Roman" w:hAnsi="Times New Roman" w:cs="Times New Roman"/>
          <w:sz w:val="24"/>
          <w:szCs w:val="24"/>
        </w:rPr>
      </w:pPr>
      <w:r w:rsidRPr="00DF14BA">
        <w:rPr>
          <w:rFonts w:ascii="Times New Roman" w:hAnsi="Times New Roman" w:cs="Times New Roman"/>
          <w:sz w:val="24"/>
          <w:szCs w:val="24"/>
        </w:rPr>
        <w:t>Bedoon women continue to face discrimination in various aspects, including access to education, employment, healthcare, obtaining passports, and freedom of movement for themselves and their children. Even Kuwaiti citizen mothers are unable to pass on their nationality to their children if the father is Bedoon. This results in statelessness for the child, creating an ongoing cycle of injustice and inequality for women, regardless of whom the Bedoon individual marries</w:t>
      </w:r>
      <w:r>
        <w:rPr>
          <w:rStyle w:val="FootnoteReference"/>
          <w:rFonts w:ascii="Times New Roman" w:hAnsi="Times New Roman" w:cs="Times New Roman"/>
          <w:sz w:val="24"/>
          <w:szCs w:val="24"/>
        </w:rPr>
        <w:footnoteReference w:id="20"/>
      </w:r>
      <w:r w:rsidRPr="00DF14BA">
        <w:rPr>
          <w:rFonts w:ascii="Times New Roman" w:hAnsi="Times New Roman" w:cs="Times New Roman"/>
          <w:sz w:val="24"/>
          <w:szCs w:val="24"/>
        </w:rPr>
        <w:t>.</w:t>
      </w:r>
    </w:p>
    <w:p w14:paraId="169E1137" w14:textId="77777777" w:rsidR="00DA3AF1" w:rsidRDefault="00DA3AF1" w:rsidP="00831437">
      <w:pPr>
        <w:jc w:val="both"/>
        <w:rPr>
          <w:rFonts w:ascii="Times New Roman" w:hAnsi="Times New Roman" w:cs="Times New Roman"/>
          <w:sz w:val="24"/>
          <w:szCs w:val="24"/>
        </w:rPr>
      </w:pPr>
      <w:r w:rsidRPr="00DF14BA">
        <w:rPr>
          <w:rFonts w:ascii="Times New Roman" w:hAnsi="Times New Roman" w:cs="Times New Roman"/>
          <w:sz w:val="24"/>
          <w:szCs w:val="24"/>
        </w:rPr>
        <w:t xml:space="preserve">Hence, it is apparent that Kuwait's systematic discrimination against the Bedoon population, especially women, contravenes its legal responsibilities outlined not only in the Convention on the Elimination of Discrimination against Women but also in the International Convention on the Elimination of All Forms of Racial Discrimination, the Convention on the Rights of the Child, and </w:t>
      </w:r>
      <w:r w:rsidRPr="00DF14BA">
        <w:rPr>
          <w:rFonts w:ascii="Times New Roman" w:hAnsi="Times New Roman" w:cs="Times New Roman"/>
          <w:sz w:val="24"/>
          <w:szCs w:val="24"/>
        </w:rPr>
        <w:lastRenderedPageBreak/>
        <w:t>the International Covenant on Economic, Social and Cultural Rights.  Kuwait is a party to these agreements</w:t>
      </w:r>
      <w:r>
        <w:rPr>
          <w:rFonts w:ascii="Times New Roman" w:hAnsi="Times New Roman" w:cs="Times New Roman"/>
          <w:sz w:val="24"/>
          <w:szCs w:val="24"/>
        </w:rPr>
        <w:t>.</w:t>
      </w:r>
    </w:p>
    <w:p w14:paraId="49073695" w14:textId="77777777" w:rsidR="00DA3AF1" w:rsidRDefault="00DA3AF1" w:rsidP="00831437">
      <w:pPr>
        <w:jc w:val="both"/>
        <w:rPr>
          <w:rFonts w:ascii="Times New Roman" w:hAnsi="Times New Roman" w:cs="Times New Roman"/>
          <w:sz w:val="24"/>
          <w:szCs w:val="24"/>
        </w:rPr>
      </w:pPr>
      <w:r w:rsidRPr="00DF14BA">
        <w:rPr>
          <w:rFonts w:ascii="Times New Roman" w:hAnsi="Times New Roman" w:cs="Times New Roman"/>
          <w:sz w:val="24"/>
          <w:szCs w:val="24"/>
        </w:rPr>
        <w:t>Maat urges the Kuwaiti government to thoroughly assess current laws and practices to eliminate or modify any discriminatory clauses based on gender, such as Personal Status Law No. 51 and the Nationality Law. It also emphasizes the importance of reevaluating the situation of the Bedoon population, particularly women; the country enforces discriminatory legislation against non-citizens and pursues a policy of involuntary deportation of Bedoons. Maat also stresses the need to comply with the provisions outlined in the United Nations Convention relating to the Status of Stateless Persons (1954) and the Convention on the Reduction of Statelessness (1961).</w:t>
      </w:r>
    </w:p>
    <w:p w14:paraId="24C40888" w14:textId="77777777" w:rsidR="00DA3AF1" w:rsidRPr="00DA3AF1" w:rsidRDefault="00DA3AF1" w:rsidP="00831437">
      <w:pPr>
        <w:jc w:val="both"/>
        <w:rPr>
          <w:rFonts w:ascii="Times New Roman" w:hAnsi="Times New Roman" w:cs="Times New Roman"/>
          <w:b/>
          <w:bCs/>
          <w:color w:val="FF0000"/>
          <w:sz w:val="24"/>
          <w:szCs w:val="24"/>
        </w:rPr>
      </w:pPr>
      <w:r w:rsidRPr="00DA3AF1">
        <w:rPr>
          <w:rFonts w:ascii="Times New Roman" w:hAnsi="Times New Roman" w:cs="Times New Roman"/>
          <w:b/>
          <w:bCs/>
          <w:color w:val="FF0000"/>
          <w:sz w:val="24"/>
          <w:szCs w:val="24"/>
        </w:rPr>
        <w:t>Therefore, Maat recommends the following:</w:t>
      </w:r>
    </w:p>
    <w:p w14:paraId="0F881D2E" w14:textId="77777777" w:rsidR="00DA3AF1" w:rsidRPr="00DF14BA" w:rsidRDefault="00DA3AF1" w:rsidP="00831437">
      <w:pPr>
        <w:pStyle w:val="ListParagraph"/>
        <w:numPr>
          <w:ilvl w:val="0"/>
          <w:numId w:val="33"/>
        </w:numPr>
        <w:jc w:val="both"/>
        <w:rPr>
          <w:rFonts w:ascii="Times New Roman" w:hAnsi="Times New Roman" w:cs="Times New Roman"/>
          <w:sz w:val="24"/>
          <w:szCs w:val="24"/>
        </w:rPr>
      </w:pPr>
      <w:r w:rsidRPr="00DF14BA">
        <w:rPr>
          <w:rFonts w:ascii="Times New Roman" w:hAnsi="Times New Roman" w:cs="Times New Roman"/>
          <w:sz w:val="24"/>
          <w:szCs w:val="24"/>
        </w:rPr>
        <w:t>Encouraging Kuwait to reconsider its nationality law to ensure equality between women and men, enabling Kuwaiti women to pass on their nationality to their children and non-</w:t>
      </w:r>
      <w:r>
        <w:rPr>
          <w:rFonts w:ascii="Times New Roman" w:hAnsi="Times New Roman" w:cs="Times New Roman"/>
          <w:sz w:val="24"/>
          <w:szCs w:val="24"/>
        </w:rPr>
        <w:t>Kuwaiti husbands, just like men</w:t>
      </w:r>
      <w:r w:rsidRPr="00DF14BA">
        <w:rPr>
          <w:rFonts w:ascii="Times New Roman" w:hAnsi="Times New Roman" w:cs="Times New Roman"/>
          <w:sz w:val="24"/>
          <w:szCs w:val="24"/>
        </w:rPr>
        <w:t>.</w:t>
      </w:r>
    </w:p>
    <w:p w14:paraId="73D42408" w14:textId="77777777" w:rsidR="00DA3AF1" w:rsidRPr="00DF14BA" w:rsidRDefault="00DA3AF1" w:rsidP="00831437">
      <w:pPr>
        <w:pStyle w:val="ListParagraph"/>
        <w:numPr>
          <w:ilvl w:val="0"/>
          <w:numId w:val="33"/>
        </w:numPr>
        <w:jc w:val="both"/>
        <w:rPr>
          <w:rFonts w:ascii="Times New Roman" w:hAnsi="Times New Roman" w:cs="Times New Roman"/>
          <w:sz w:val="24"/>
          <w:szCs w:val="24"/>
        </w:rPr>
      </w:pPr>
      <w:r w:rsidRPr="00DF14BA">
        <w:rPr>
          <w:rFonts w:ascii="Times New Roman" w:hAnsi="Times New Roman" w:cs="Times New Roman"/>
          <w:sz w:val="24"/>
          <w:szCs w:val="24"/>
        </w:rPr>
        <w:t>Addressing the situation of Bedoon women, eliminating all forms of discrimination against them, and granting them all economic and social rights</w:t>
      </w:r>
    </w:p>
    <w:p w14:paraId="2C773B32" w14:textId="77777777" w:rsidR="00DA3AF1" w:rsidRPr="00DF14BA" w:rsidRDefault="00DA3AF1" w:rsidP="00831437">
      <w:pPr>
        <w:pStyle w:val="ListParagraph"/>
        <w:numPr>
          <w:ilvl w:val="0"/>
          <w:numId w:val="33"/>
        </w:numPr>
        <w:jc w:val="both"/>
        <w:rPr>
          <w:rFonts w:ascii="Times New Roman" w:hAnsi="Times New Roman" w:cs="Times New Roman"/>
          <w:sz w:val="24"/>
          <w:szCs w:val="24"/>
        </w:rPr>
      </w:pPr>
      <w:r w:rsidRPr="00DF14BA">
        <w:rPr>
          <w:rFonts w:ascii="Times New Roman" w:hAnsi="Times New Roman" w:cs="Times New Roman"/>
          <w:sz w:val="24"/>
          <w:szCs w:val="24"/>
        </w:rPr>
        <w:t>Encouraging Kuwait to amend the Domestic Workers Law fundamentally, ensuring protection against all forms of abuse by adhering to international guidelines throughout</w:t>
      </w:r>
      <w:r>
        <w:rPr>
          <w:rFonts w:ascii="Times New Roman" w:hAnsi="Times New Roman" w:cs="Times New Roman"/>
          <w:sz w:val="24"/>
          <w:szCs w:val="24"/>
        </w:rPr>
        <w:t xml:space="preserve"> the entire immigration process</w:t>
      </w:r>
      <w:r w:rsidRPr="00DF14BA">
        <w:rPr>
          <w:rFonts w:ascii="Times New Roman" w:hAnsi="Times New Roman" w:cs="Times New Roman"/>
          <w:sz w:val="24"/>
          <w:szCs w:val="24"/>
        </w:rPr>
        <w:t>.</w:t>
      </w:r>
    </w:p>
    <w:p w14:paraId="7526C367" w14:textId="77777777" w:rsidR="00DA3AF1" w:rsidRDefault="00DA3AF1" w:rsidP="00831437">
      <w:pPr>
        <w:pStyle w:val="ListParagraph"/>
        <w:numPr>
          <w:ilvl w:val="0"/>
          <w:numId w:val="33"/>
        </w:numPr>
        <w:jc w:val="both"/>
        <w:rPr>
          <w:rFonts w:ascii="Times New Roman" w:hAnsi="Times New Roman" w:cs="Times New Roman"/>
          <w:sz w:val="24"/>
          <w:szCs w:val="24"/>
        </w:rPr>
      </w:pPr>
      <w:r w:rsidRPr="00AA04F8">
        <w:rPr>
          <w:rFonts w:ascii="Times New Roman" w:hAnsi="Times New Roman" w:cs="Times New Roman"/>
          <w:sz w:val="24"/>
          <w:szCs w:val="24"/>
        </w:rPr>
        <w:t>Considering implementing a "quota" system to ensure women's political participation in Kuwait.</w:t>
      </w:r>
    </w:p>
    <w:p w14:paraId="6B23493E" w14:textId="77777777" w:rsidR="00DA3AF1" w:rsidRPr="00DF14BA" w:rsidRDefault="00DA3AF1" w:rsidP="00831437">
      <w:pPr>
        <w:pStyle w:val="ListParagraph"/>
        <w:numPr>
          <w:ilvl w:val="0"/>
          <w:numId w:val="33"/>
        </w:numPr>
        <w:jc w:val="both"/>
        <w:rPr>
          <w:rFonts w:ascii="Times New Roman" w:hAnsi="Times New Roman" w:cs="Times New Roman"/>
          <w:sz w:val="24"/>
          <w:szCs w:val="24"/>
        </w:rPr>
      </w:pPr>
      <w:r w:rsidRPr="00AA04F8">
        <w:rPr>
          <w:rFonts w:ascii="Times New Roman" w:hAnsi="Times New Roman" w:cs="Times New Roman"/>
          <w:sz w:val="24"/>
          <w:szCs w:val="24"/>
        </w:rPr>
        <w:t>Providing workers with the right to lodge a complaint and request protection in the event of ill-treatm</w:t>
      </w:r>
      <w:r>
        <w:rPr>
          <w:rFonts w:ascii="Times New Roman" w:hAnsi="Times New Roman" w:cs="Times New Roman"/>
          <w:sz w:val="24"/>
          <w:szCs w:val="24"/>
        </w:rPr>
        <w:t>ent, regardless of its severity</w:t>
      </w:r>
      <w:r w:rsidRPr="00DF14BA">
        <w:rPr>
          <w:rFonts w:ascii="Times New Roman" w:hAnsi="Times New Roman" w:cs="Times New Roman"/>
          <w:sz w:val="24"/>
          <w:szCs w:val="24"/>
        </w:rPr>
        <w:t>.</w:t>
      </w:r>
    </w:p>
    <w:p w14:paraId="43BDAF0F" w14:textId="77777777" w:rsidR="00DA3AF1" w:rsidRPr="00DF14BA" w:rsidRDefault="00DA3AF1" w:rsidP="00831437">
      <w:pPr>
        <w:pStyle w:val="ListParagraph"/>
        <w:numPr>
          <w:ilvl w:val="0"/>
          <w:numId w:val="33"/>
        </w:numPr>
        <w:jc w:val="both"/>
        <w:rPr>
          <w:rFonts w:ascii="Times New Roman" w:hAnsi="Times New Roman" w:cs="Times New Roman"/>
          <w:sz w:val="24"/>
          <w:szCs w:val="24"/>
        </w:rPr>
      </w:pPr>
      <w:r w:rsidRPr="00AA04F8">
        <w:rPr>
          <w:rFonts w:ascii="Times New Roman" w:hAnsi="Times New Roman" w:cs="Times New Roman"/>
          <w:sz w:val="24"/>
          <w:szCs w:val="24"/>
        </w:rPr>
        <w:t>Urging Kuwait to develop strategies for combating patriarchal attitudes and stereotypes concerning the roles and responsibilities of women and men in the family and society overall.</w:t>
      </w:r>
    </w:p>
    <w:p w14:paraId="0B2E4F0B" w14:textId="4E3B38FA" w:rsidR="00F871C7" w:rsidRPr="007B5697" w:rsidRDefault="00F871C7" w:rsidP="00831437">
      <w:pPr>
        <w:jc w:val="both"/>
        <w:rPr>
          <w:rFonts w:asciiTheme="majorBidi" w:hAnsiTheme="majorBidi" w:cstheme="majorBidi"/>
          <w:sz w:val="28"/>
          <w:szCs w:val="28"/>
          <w:rtl/>
          <w:lang w:bidi="ar-EG"/>
        </w:rPr>
      </w:pPr>
    </w:p>
    <w:sectPr w:rsidR="00F871C7" w:rsidRPr="007B5697" w:rsidSect="00871BB0">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A584F2" w14:textId="77777777" w:rsidR="00FA316E" w:rsidRDefault="00FA316E" w:rsidP="004F6D5A">
      <w:pPr>
        <w:spacing w:after="0" w:line="240" w:lineRule="auto"/>
      </w:pPr>
      <w:r>
        <w:separator/>
      </w:r>
    </w:p>
  </w:endnote>
  <w:endnote w:type="continuationSeparator" w:id="0">
    <w:p w14:paraId="121B8134" w14:textId="77777777" w:rsidR="00FA316E" w:rsidRDefault="00FA316E"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Helwan</w:t>
          </w:r>
          <w:proofErr w:type="spellEnd"/>
          <w:r w:rsidRPr="000F15D5">
            <w:rPr>
              <w:rFonts w:asciiTheme="majorBidi" w:eastAsia="Times New Roman" w:hAnsiTheme="majorBidi" w:cstheme="majorBidi"/>
              <w:color w:val="000000"/>
              <w:sz w:val="18"/>
              <w:szCs w:val="18"/>
            </w:rPr>
            <w:t xml:space="preserve">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w:t>
          </w:r>
          <w:proofErr w:type="spellStart"/>
          <w:r w:rsidRPr="000F15D5">
            <w:rPr>
              <w:rFonts w:asciiTheme="majorBidi" w:hAnsiTheme="majorBidi" w:cstheme="majorBidi"/>
              <w:color w:val="000000"/>
              <w:sz w:val="18"/>
              <w:szCs w:val="18"/>
              <w:shd w:val="clear" w:color="auto" w:fill="FFFFFF"/>
            </w:rPr>
            <w:t>Corniche</w:t>
          </w:r>
          <w:proofErr w:type="spellEnd"/>
          <w:r w:rsidRPr="000F15D5">
            <w:rPr>
              <w:rFonts w:asciiTheme="majorBidi" w:hAnsiTheme="majorBidi" w:cstheme="majorBidi"/>
              <w:color w:val="000000"/>
              <w:sz w:val="18"/>
              <w:szCs w:val="18"/>
              <w:shd w:val="clear" w:color="auto" w:fill="FFFFFF"/>
            </w:rPr>
            <w:t xml:space="preserv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134AF" w14:textId="77777777" w:rsidR="00FA316E" w:rsidRDefault="00FA316E" w:rsidP="004F6D5A">
      <w:pPr>
        <w:spacing w:after="0" w:line="240" w:lineRule="auto"/>
      </w:pPr>
      <w:r>
        <w:separator/>
      </w:r>
    </w:p>
  </w:footnote>
  <w:footnote w:type="continuationSeparator" w:id="0">
    <w:p w14:paraId="6CABF9F5" w14:textId="77777777" w:rsidR="00FA316E" w:rsidRDefault="00FA316E" w:rsidP="004F6D5A">
      <w:pPr>
        <w:spacing w:after="0" w:line="240" w:lineRule="auto"/>
      </w:pPr>
      <w:r>
        <w:continuationSeparator/>
      </w:r>
    </w:p>
  </w:footnote>
  <w:footnote w:id="1">
    <w:p w14:paraId="1B87A03C" w14:textId="77777777" w:rsidR="00DA3AF1" w:rsidRDefault="00DA3AF1" w:rsidP="00DA3AF1">
      <w:pPr>
        <w:pStyle w:val="FootnoteText"/>
      </w:pPr>
      <w:r>
        <w:rPr>
          <w:rStyle w:val="FootnoteReference"/>
        </w:rPr>
        <w:footnoteRef/>
      </w:r>
      <w:r>
        <w:t xml:space="preserve"> </w:t>
      </w:r>
      <w:r>
        <w:rPr>
          <w:rFonts w:ascii="Calibri" w:eastAsia="Calibri" w:hAnsi="Calibri" w:cs="Calibri"/>
          <w:color w:val="000000"/>
        </w:rPr>
        <w:t xml:space="preserve">2022 Country Reports on Human Rights Practices: Kuwait, Bureau of Democracy, Human Rights, and Labor, link, </w:t>
      </w:r>
      <w:hyperlink r:id="rId1">
        <w:r>
          <w:rPr>
            <w:rFonts w:ascii="Calibri" w:eastAsia="Calibri" w:hAnsi="Calibri" w:cs="Calibri"/>
            <w:color w:val="0563C1"/>
            <w:u w:val="single"/>
          </w:rPr>
          <w:t>https://www.state.gov/reports/2022-country-reports-on-human-rights-practices/kuwait/</w:t>
        </w:r>
      </w:hyperlink>
    </w:p>
  </w:footnote>
  <w:footnote w:id="2">
    <w:p w14:paraId="3D1ADADD" w14:textId="77777777" w:rsidR="00DA3AF1" w:rsidRDefault="00DA3AF1" w:rsidP="00DA3AF1">
      <w:pPr>
        <w:pStyle w:val="FootnoteText"/>
      </w:pPr>
      <w:r>
        <w:rPr>
          <w:rStyle w:val="FootnoteReference"/>
        </w:rPr>
        <w:footnoteRef/>
      </w:r>
      <w:r>
        <w:t xml:space="preserve"> </w:t>
      </w:r>
      <w:r>
        <w:rPr>
          <w:rFonts w:ascii="Calibri" w:eastAsia="Calibri" w:hAnsi="Calibri" w:cs="Calibri"/>
          <w:color w:val="000000"/>
        </w:rPr>
        <w:t xml:space="preserve">Gender Wage Gap in Kuwait, The </w:t>
      </w:r>
      <w:proofErr w:type="spellStart"/>
      <w:r>
        <w:rPr>
          <w:rFonts w:ascii="Calibri" w:eastAsia="Calibri" w:hAnsi="Calibri" w:cs="Calibri"/>
          <w:color w:val="000000"/>
        </w:rPr>
        <w:t>Borgen</w:t>
      </w:r>
      <w:proofErr w:type="spellEnd"/>
      <w:r>
        <w:rPr>
          <w:rFonts w:ascii="Calibri" w:eastAsia="Calibri" w:hAnsi="Calibri" w:cs="Calibri"/>
          <w:color w:val="000000"/>
        </w:rPr>
        <w:t xml:space="preserve"> Project, 26 Oct 2023, link, </w:t>
      </w:r>
      <w:hyperlink r:id="rId2">
        <w:r>
          <w:rPr>
            <w:rFonts w:ascii="Calibri" w:eastAsia="Calibri" w:hAnsi="Calibri" w:cs="Calibri"/>
            <w:color w:val="0563C1"/>
            <w:u w:val="single"/>
          </w:rPr>
          <w:t>https://borgenproject.org/gender-wage-gap-in-kuwait/</w:t>
        </w:r>
      </w:hyperlink>
    </w:p>
  </w:footnote>
  <w:footnote w:id="3">
    <w:p w14:paraId="4A4B2B8C" w14:textId="77777777" w:rsidR="00DA3AF1" w:rsidRDefault="00DA3AF1" w:rsidP="00DA3AF1">
      <w:pPr>
        <w:pStyle w:val="FootnoteText"/>
      </w:pPr>
      <w:r>
        <w:rPr>
          <w:rStyle w:val="FootnoteReference"/>
        </w:rPr>
        <w:footnoteRef/>
      </w:r>
      <w:r>
        <w:t xml:space="preserve"> </w:t>
      </w:r>
      <w:r w:rsidRPr="00367DA6">
        <w:t>Kuwait's response to the list of issues submitted to it by the Committee, paragraphs 60 and 61, can be consulted on the Committee's website</w:t>
      </w:r>
    </w:p>
  </w:footnote>
  <w:footnote w:id="4">
    <w:p w14:paraId="40D27CD7" w14:textId="77777777" w:rsidR="00DA3AF1" w:rsidRDefault="00DA3AF1" w:rsidP="00DA3AF1">
      <w:pPr>
        <w:pStyle w:val="FootnoteText"/>
      </w:pPr>
      <w:r>
        <w:rPr>
          <w:rStyle w:val="FootnoteReference"/>
        </w:rPr>
        <w:footnoteRef/>
      </w:r>
      <w:r>
        <w:t xml:space="preserve"> </w:t>
      </w:r>
      <w:r>
        <w:rPr>
          <w:rFonts w:ascii="Calibri" w:eastAsia="Calibri" w:hAnsi="Calibri" w:cs="Calibri"/>
          <w:color w:val="000000"/>
        </w:rPr>
        <w:t xml:space="preserve">Protecting the Rights of Migrant Domestic Workers in Kuwait, Catalyst, 3 Mar 2024, link, </w:t>
      </w:r>
      <w:hyperlink r:id="rId3">
        <w:r>
          <w:rPr>
            <w:rFonts w:ascii="Calibri" w:eastAsia="Calibri" w:hAnsi="Calibri" w:cs="Calibri"/>
            <w:color w:val="0563C1"/>
            <w:u w:val="single"/>
          </w:rPr>
          <w:t>https://bit.ly/4ak4REc</w:t>
        </w:r>
      </w:hyperlink>
    </w:p>
  </w:footnote>
  <w:footnote w:id="5">
    <w:p w14:paraId="660C1BEB" w14:textId="77777777" w:rsidR="00DA3AF1" w:rsidRDefault="00DA3AF1" w:rsidP="00DA3AF1">
      <w:pPr>
        <w:pStyle w:val="FootnoteText"/>
      </w:pPr>
      <w:r>
        <w:rPr>
          <w:rStyle w:val="FootnoteReference"/>
        </w:rPr>
        <w:footnoteRef/>
      </w:r>
      <w:r>
        <w:t xml:space="preserve"> </w:t>
      </w:r>
      <w:r>
        <w:rPr>
          <w:rFonts w:ascii="Calibri" w:eastAsia="Calibri" w:hAnsi="Calibri" w:cs="Calibri"/>
          <w:color w:val="000000"/>
        </w:rPr>
        <w:t xml:space="preserve">Human trafficking in Kuwait and providing a fair and safe environment for domestic workers,  KAN, 25 Jul 2023, link, </w:t>
      </w:r>
      <w:hyperlink r:id="rId4">
        <w:r>
          <w:rPr>
            <w:rFonts w:ascii="Calibri" w:eastAsia="Calibri" w:hAnsi="Calibri" w:cs="Calibri"/>
            <w:color w:val="0563C1"/>
            <w:u w:val="single"/>
          </w:rPr>
          <w:t>https://kuwaitaidnetwork.com/human-trafficking-in-kuwait-and-providing-a-fair-and-safe-environment-for-domestic-workers/</w:t>
        </w:r>
      </w:hyperlink>
    </w:p>
  </w:footnote>
  <w:footnote w:id="6">
    <w:p w14:paraId="79980213" w14:textId="77777777" w:rsidR="00DA3AF1" w:rsidRDefault="00DA3AF1" w:rsidP="00DA3AF1">
      <w:pPr>
        <w:pStyle w:val="FootnoteText"/>
      </w:pPr>
      <w:r>
        <w:rPr>
          <w:rStyle w:val="FootnoteReference"/>
        </w:rPr>
        <w:footnoteRef/>
      </w:r>
      <w:r>
        <w:t xml:space="preserve"> </w:t>
      </w:r>
      <w:r>
        <w:rPr>
          <w:rFonts w:ascii="Calibri" w:eastAsia="Calibri" w:hAnsi="Calibri" w:cs="Calibri"/>
          <w:color w:val="000000"/>
        </w:rPr>
        <w:t xml:space="preserve">Modern Slavery in Kuwait, Global Slavery Index 2023, link, </w:t>
      </w:r>
      <w:hyperlink r:id="rId5">
        <w:r>
          <w:rPr>
            <w:rFonts w:ascii="Calibri" w:eastAsia="Calibri" w:hAnsi="Calibri" w:cs="Calibri"/>
            <w:color w:val="0563C1"/>
            <w:u w:val="single"/>
          </w:rPr>
          <w:t>https://cdn.walkfree.org/content/uploads/2023/09/28142852/GSI-Snapshot-Kuwait.pdf</w:t>
        </w:r>
      </w:hyperlink>
    </w:p>
  </w:footnote>
  <w:footnote w:id="7">
    <w:p w14:paraId="57948ED5" w14:textId="77777777" w:rsidR="00DA3AF1" w:rsidRDefault="00DA3AF1" w:rsidP="00DA3AF1">
      <w:pPr>
        <w:pStyle w:val="FootnoteText"/>
      </w:pPr>
      <w:r>
        <w:rPr>
          <w:rStyle w:val="FootnoteReference"/>
        </w:rPr>
        <w:footnoteRef/>
      </w:r>
      <w:r>
        <w:t xml:space="preserve"> </w:t>
      </w:r>
      <w:r>
        <w:rPr>
          <w:rFonts w:ascii="Calibri" w:eastAsia="Calibri" w:hAnsi="Calibri" w:cs="Calibri"/>
          <w:color w:val="000000"/>
        </w:rPr>
        <w:t xml:space="preserve">Protecting the Rights of Migrant Domestic Workers in Kuwait, Catalyst, 3 Mar 2024, link, </w:t>
      </w:r>
      <w:hyperlink r:id="rId6">
        <w:r>
          <w:rPr>
            <w:rFonts w:ascii="Calibri" w:eastAsia="Calibri" w:hAnsi="Calibri" w:cs="Calibri"/>
            <w:color w:val="0563C1"/>
            <w:u w:val="single"/>
          </w:rPr>
          <w:t>https://bit.ly/4ak4REc</w:t>
        </w:r>
      </w:hyperlink>
    </w:p>
  </w:footnote>
  <w:footnote w:id="8">
    <w:p w14:paraId="79386C00" w14:textId="77777777" w:rsidR="00DA3AF1" w:rsidRDefault="00DA3AF1" w:rsidP="00DA3AF1">
      <w:pPr>
        <w:pStyle w:val="FootnoteText"/>
      </w:pPr>
      <w:r>
        <w:rPr>
          <w:rStyle w:val="FootnoteReference"/>
        </w:rPr>
        <w:footnoteRef/>
      </w:r>
      <w:r>
        <w:t xml:space="preserve"> </w:t>
      </w:r>
      <w:r>
        <w:rPr>
          <w:rFonts w:ascii="Calibri" w:eastAsia="Calibri" w:hAnsi="Calibri" w:cs="Calibri"/>
          <w:color w:val="000000"/>
        </w:rPr>
        <w:t xml:space="preserve">Dispatch on Migrant and Domestic Workers in Kuwait, Americans for Democracy &amp; Human Rights in Bahrain (ADHRB), 19 Jun 2023, link, </w:t>
      </w:r>
      <w:hyperlink r:id="rId7">
        <w:r>
          <w:rPr>
            <w:rFonts w:ascii="Calibri" w:eastAsia="Calibri" w:hAnsi="Calibri" w:cs="Calibri"/>
            <w:color w:val="0563C1"/>
            <w:u w:val="single"/>
          </w:rPr>
          <w:t>https://www.adhrb.org/2023/06/dispatch-on-migrant-and-domestic-workers-in-kuwait/</w:t>
        </w:r>
      </w:hyperlink>
    </w:p>
  </w:footnote>
  <w:footnote w:id="9">
    <w:p w14:paraId="0494280D" w14:textId="77777777" w:rsidR="00DA3AF1" w:rsidRDefault="00DA3AF1" w:rsidP="00DA3AF1">
      <w:pPr>
        <w:pStyle w:val="FootnoteText"/>
      </w:pPr>
      <w:r>
        <w:rPr>
          <w:rStyle w:val="FootnoteReference"/>
        </w:rPr>
        <w:footnoteRef/>
      </w:r>
      <w:r>
        <w:t xml:space="preserve"> </w:t>
      </w:r>
      <w:r w:rsidRPr="00F80A3E">
        <w:t xml:space="preserve">- Kuwaiti women practicing less Arab political work, Arab Gulf Center for Studies and Research, May 28, 2023, link, </w:t>
      </w:r>
      <w:hyperlink r:id="rId8">
        <w:r>
          <w:rPr>
            <w:rFonts w:ascii="Calibri" w:eastAsia="Calibri" w:hAnsi="Calibri" w:cs="Calibri"/>
            <w:color w:val="0563C1"/>
            <w:u w:val="single"/>
          </w:rPr>
          <w:t>https://bit.ly/4aImzkJ</w:t>
        </w:r>
      </w:hyperlink>
    </w:p>
  </w:footnote>
  <w:footnote w:id="10">
    <w:p w14:paraId="42D12B80" w14:textId="77777777" w:rsidR="00DA3AF1" w:rsidRDefault="00DA3AF1" w:rsidP="00DA3AF1">
      <w:pPr>
        <w:pStyle w:val="FootnoteText"/>
      </w:pPr>
      <w:r>
        <w:rPr>
          <w:rStyle w:val="FootnoteReference"/>
        </w:rPr>
        <w:footnoteRef/>
      </w:r>
      <w:r>
        <w:t xml:space="preserve"> </w:t>
      </w:r>
      <w:r>
        <w:rPr>
          <w:rFonts w:ascii="Calibri" w:eastAsia="Calibri" w:hAnsi="Calibri" w:cs="Calibri"/>
          <w:color w:val="000000"/>
        </w:rPr>
        <w:t xml:space="preserve">Kuwaiti Women Account for About 52% of Voters, Less than 7% of Candidates, </w:t>
      </w:r>
      <w:proofErr w:type="spellStart"/>
      <w:r>
        <w:rPr>
          <w:rFonts w:ascii="Calibri" w:eastAsia="Calibri" w:hAnsi="Calibri" w:cs="Calibri"/>
          <w:color w:val="000000"/>
        </w:rPr>
        <w:t>Aawsat</w:t>
      </w:r>
      <w:proofErr w:type="spellEnd"/>
      <w:r>
        <w:rPr>
          <w:rFonts w:ascii="Calibri" w:eastAsia="Calibri" w:hAnsi="Calibri" w:cs="Calibri"/>
          <w:color w:val="000000"/>
        </w:rPr>
        <w:t xml:space="preserve">, 4 Jun 2023, link, </w:t>
      </w:r>
      <w:hyperlink r:id="rId9">
        <w:r>
          <w:rPr>
            <w:rFonts w:ascii="Calibri" w:eastAsia="Calibri" w:hAnsi="Calibri" w:cs="Calibri"/>
            <w:color w:val="0563C1"/>
            <w:u w:val="single"/>
          </w:rPr>
          <w:t>https://english.aawsat.com/gulf/4363501-kuwaiti-women-account-about-52-voters-less-7-candidates</w:t>
        </w:r>
      </w:hyperlink>
    </w:p>
  </w:footnote>
  <w:footnote w:id="11">
    <w:p w14:paraId="6D7EB0DA" w14:textId="77777777" w:rsidR="00DA3AF1" w:rsidRDefault="00DA3AF1" w:rsidP="00DA3AF1">
      <w:pPr>
        <w:pStyle w:val="FootnoteText"/>
      </w:pPr>
      <w:r>
        <w:rPr>
          <w:rStyle w:val="FootnoteReference"/>
        </w:rPr>
        <w:footnoteRef/>
      </w:r>
      <w:r>
        <w:t xml:space="preserve"> </w:t>
      </w:r>
      <w:r w:rsidRPr="00951A07">
        <w:t>Women in the National Assembly... Is it time to approve a quota?, Al-Rai, April 1, 2024, link</w:t>
      </w:r>
      <w:hyperlink r:id="rId10">
        <w:r>
          <w:rPr>
            <w:rFonts w:ascii="Calibri" w:eastAsia="Calibri" w:hAnsi="Calibri" w:cs="Calibri"/>
            <w:color w:val="0563C1"/>
            <w:u w:val="single"/>
          </w:rPr>
          <w:t>https://bit.ly/3J3Fpa8</w:t>
        </w:r>
      </w:hyperlink>
    </w:p>
  </w:footnote>
  <w:footnote w:id="12">
    <w:p w14:paraId="305395DB" w14:textId="77777777" w:rsidR="00DA3AF1" w:rsidRDefault="00DA3AF1" w:rsidP="00DA3AF1">
      <w:pPr>
        <w:pStyle w:val="FootnoteText"/>
      </w:pPr>
      <w:r>
        <w:rPr>
          <w:rStyle w:val="FootnoteReference"/>
        </w:rPr>
        <w:footnoteRef/>
      </w:r>
      <w:r>
        <w:t xml:space="preserve"> </w:t>
      </w:r>
      <w:r>
        <w:rPr>
          <w:rFonts w:ascii="Calibri" w:eastAsia="Calibri" w:hAnsi="Calibri" w:cs="Calibri"/>
          <w:color w:val="000000"/>
        </w:rPr>
        <w:t xml:space="preserve">A gap between questions and answers: Kuwait’s legal framework masks their reality on the ground, CCPR Center, 30 Oct 2023, link,  </w:t>
      </w:r>
      <w:hyperlink r:id="rId11">
        <w:r>
          <w:rPr>
            <w:rFonts w:ascii="Calibri" w:eastAsia="Calibri" w:hAnsi="Calibri" w:cs="Calibri"/>
            <w:color w:val="0563C1"/>
            <w:u w:val="single"/>
          </w:rPr>
          <w:t>https://ccprcentre.org/ccprpages/a-gap-between-questions-and-answers-kuwaits-legal-framework-masks-their-reality-on-the-ground</w:t>
        </w:r>
      </w:hyperlink>
    </w:p>
  </w:footnote>
  <w:footnote w:id="13">
    <w:p w14:paraId="11A8B360" w14:textId="77777777" w:rsidR="00DA3AF1" w:rsidRDefault="00DA3AF1" w:rsidP="00DA3AF1">
      <w:pPr>
        <w:pStyle w:val="FootnoteText"/>
      </w:pPr>
      <w:r>
        <w:rPr>
          <w:rStyle w:val="FootnoteReference"/>
        </w:rPr>
        <w:footnoteRef/>
      </w:r>
      <w:r>
        <w:t xml:space="preserve"> </w:t>
      </w:r>
      <w:r>
        <w:rPr>
          <w:rFonts w:ascii="Calibri" w:eastAsia="Calibri" w:hAnsi="Calibri" w:cs="Calibri"/>
          <w:color w:val="000000"/>
        </w:rPr>
        <w:t xml:space="preserve">Gender Wage Gap in Kuwait, The </w:t>
      </w:r>
      <w:proofErr w:type="spellStart"/>
      <w:r>
        <w:rPr>
          <w:rFonts w:ascii="Calibri" w:eastAsia="Calibri" w:hAnsi="Calibri" w:cs="Calibri"/>
          <w:color w:val="000000"/>
        </w:rPr>
        <w:t>Borgen</w:t>
      </w:r>
      <w:proofErr w:type="spellEnd"/>
      <w:r>
        <w:rPr>
          <w:rFonts w:ascii="Calibri" w:eastAsia="Calibri" w:hAnsi="Calibri" w:cs="Calibri"/>
          <w:color w:val="000000"/>
        </w:rPr>
        <w:t xml:space="preserve"> Project, 26 Oct 2023, link, </w:t>
      </w:r>
      <w:hyperlink r:id="rId12">
        <w:r>
          <w:rPr>
            <w:rFonts w:ascii="Calibri" w:eastAsia="Calibri" w:hAnsi="Calibri" w:cs="Calibri"/>
            <w:color w:val="0563C1"/>
            <w:u w:val="single"/>
          </w:rPr>
          <w:t>https://borgenproject.org/gender-wage-gap-in-kuwait/</w:t>
        </w:r>
      </w:hyperlink>
    </w:p>
  </w:footnote>
  <w:footnote w:id="14">
    <w:p w14:paraId="0FF621ED" w14:textId="77777777" w:rsidR="00DA3AF1" w:rsidRDefault="00DA3AF1" w:rsidP="00DA3AF1">
      <w:pPr>
        <w:pStyle w:val="FootnoteText"/>
      </w:pPr>
      <w:r>
        <w:rPr>
          <w:rStyle w:val="FootnoteReference"/>
        </w:rPr>
        <w:footnoteRef/>
      </w:r>
      <w:r>
        <w:t xml:space="preserve"> </w:t>
      </w:r>
      <w:r w:rsidRPr="00951A07">
        <w:t>Foreign Affairs: 28% representation of women in leadership positions, Al-</w:t>
      </w:r>
      <w:proofErr w:type="spellStart"/>
      <w:r w:rsidRPr="00951A07">
        <w:t>Jarida</w:t>
      </w:r>
      <w:proofErr w:type="spellEnd"/>
      <w:r w:rsidRPr="00951A07">
        <w:t xml:space="preserve"> website, November 7, 2023, link</w:t>
      </w:r>
      <w:hyperlink r:id="rId13">
        <w:r>
          <w:rPr>
            <w:rFonts w:ascii="Calibri" w:eastAsia="Calibri" w:hAnsi="Calibri" w:cs="Calibri"/>
            <w:color w:val="0563C1"/>
            <w:u w:val="single"/>
          </w:rPr>
          <w:t>https://www.aljarida.com/article/43818</w:t>
        </w:r>
      </w:hyperlink>
    </w:p>
  </w:footnote>
  <w:footnote w:id="15">
    <w:p w14:paraId="1F473AE1" w14:textId="5329836A" w:rsidR="00DA3AF1" w:rsidRPr="00DA3AF1" w:rsidRDefault="00DA3AF1" w:rsidP="00DA3AF1">
      <w:pPr>
        <w:pBdr>
          <w:top w:val="nil"/>
          <w:left w:val="nil"/>
          <w:bottom w:val="nil"/>
          <w:right w:val="nil"/>
          <w:between w:val="nil"/>
        </w:pBdr>
        <w:bidi/>
        <w:spacing w:after="0" w:line="240" w:lineRule="auto"/>
        <w:jc w:val="right"/>
        <w:rPr>
          <w:color w:val="000000"/>
          <w:sz w:val="20"/>
          <w:szCs w:val="20"/>
        </w:rPr>
      </w:pPr>
      <w:r w:rsidRPr="00DA3AF1">
        <w:rPr>
          <w:rStyle w:val="FootnoteReference"/>
          <w:sz w:val="20"/>
          <w:szCs w:val="20"/>
        </w:rPr>
        <w:footnoteRef/>
      </w:r>
      <w:r w:rsidRPr="00DA3AF1">
        <w:rPr>
          <w:sz w:val="20"/>
          <w:szCs w:val="20"/>
        </w:rPr>
        <w:t xml:space="preserve"> Gulf women struggle to obtain citizenship for their children, 2021, link, </w:t>
      </w:r>
      <w:hyperlink r:id="rId14">
        <w:r w:rsidRPr="00DA3AF1">
          <w:rPr>
            <w:rFonts w:ascii="Calibri" w:eastAsia="Calibri" w:hAnsi="Calibri" w:cs="Calibri"/>
            <w:color w:val="0563C1"/>
            <w:sz w:val="20"/>
            <w:szCs w:val="20"/>
            <w:u w:val="single"/>
          </w:rPr>
          <w:t>https://amwaj.media/ar/article/gulf-women-neglectedrights-children</w:t>
        </w:r>
      </w:hyperlink>
    </w:p>
  </w:footnote>
  <w:footnote w:id="16">
    <w:p w14:paraId="0AAA8C6E" w14:textId="77777777" w:rsidR="00DA3AF1" w:rsidRDefault="00DA3AF1" w:rsidP="00DA3AF1">
      <w:pPr>
        <w:pStyle w:val="FootnoteText"/>
      </w:pPr>
      <w:r>
        <w:rPr>
          <w:rStyle w:val="FootnoteReference"/>
        </w:rPr>
        <w:footnoteRef/>
      </w:r>
      <w:r>
        <w:t xml:space="preserve"> </w:t>
      </w:r>
      <w:r w:rsidRPr="00AA04F8">
        <w:t>- Please refer to the National Report of Kuwait and the specific response to this part in the list of issues available on the committee’s website.</w:t>
      </w:r>
    </w:p>
  </w:footnote>
  <w:footnote w:id="17">
    <w:p w14:paraId="4BDA09E6" w14:textId="77777777" w:rsidR="00DA3AF1" w:rsidRDefault="00DA3AF1" w:rsidP="00DA3AF1">
      <w:pPr>
        <w:pStyle w:val="FootnoteText"/>
      </w:pPr>
      <w:r>
        <w:rPr>
          <w:rStyle w:val="FootnoteReference"/>
        </w:rPr>
        <w:footnoteRef/>
      </w:r>
      <w:r>
        <w:t xml:space="preserve"> </w:t>
      </w:r>
      <w:r w:rsidRPr="00AA04F8">
        <w:t xml:space="preserve">Conditions for naturalization in the new Kuwaiti nationality law, Gulf website, January 5, 2023, link, </w:t>
      </w:r>
      <w:hyperlink r:id="rId15">
        <w:r>
          <w:rPr>
            <w:rFonts w:ascii="Calibri" w:eastAsia="Calibri" w:hAnsi="Calibri" w:cs="Calibri"/>
            <w:color w:val="0563C1"/>
            <w:u w:val="single"/>
          </w:rPr>
          <w:t>https://kaleijy.com/news31099.html</w:t>
        </w:r>
      </w:hyperlink>
    </w:p>
  </w:footnote>
  <w:footnote w:id="18">
    <w:p w14:paraId="06BAAC04" w14:textId="77777777" w:rsidR="00DA3AF1" w:rsidRDefault="00DA3AF1" w:rsidP="00DA3AF1">
      <w:pPr>
        <w:pStyle w:val="FootnoteText"/>
      </w:pPr>
      <w:r>
        <w:rPr>
          <w:rStyle w:val="FootnoteReference"/>
        </w:rPr>
        <w:footnoteRef/>
      </w:r>
      <w:r>
        <w:t xml:space="preserve"> </w:t>
      </w:r>
      <w:r w:rsidRPr="00AA04F8">
        <w:t xml:space="preserve">Equality in the constitution and discrimination in legislation... Kuwaiti citizenship and the rights of her children from her non-Kuwaiti husband, </w:t>
      </w:r>
      <w:proofErr w:type="spellStart"/>
      <w:r w:rsidRPr="00AA04F8">
        <w:t>Taqadum</w:t>
      </w:r>
      <w:proofErr w:type="spellEnd"/>
      <w:r w:rsidRPr="00AA04F8">
        <w:t xml:space="preserve"> website, February 29, 2024, link, </w:t>
      </w:r>
      <w:hyperlink r:id="rId16">
        <w:r>
          <w:rPr>
            <w:rFonts w:ascii="Calibri" w:eastAsia="Calibri" w:hAnsi="Calibri" w:cs="Calibri"/>
            <w:color w:val="0563C1"/>
            <w:u w:val="single"/>
          </w:rPr>
          <w:t>https://taqadoom.com/5659/</w:t>
        </w:r>
      </w:hyperlink>
    </w:p>
  </w:footnote>
  <w:footnote w:id="19">
    <w:p w14:paraId="4265BD04" w14:textId="77777777" w:rsidR="00DA3AF1" w:rsidRDefault="00DA3AF1" w:rsidP="00DA3AF1">
      <w:pPr>
        <w:pStyle w:val="FootnoteText"/>
      </w:pPr>
      <w:r>
        <w:rPr>
          <w:rStyle w:val="FootnoteReference"/>
        </w:rPr>
        <w:footnoteRef/>
      </w:r>
      <w:r>
        <w:t xml:space="preserve"> </w:t>
      </w:r>
      <w:r>
        <w:rPr>
          <w:rFonts w:ascii="Calibri" w:eastAsia="Calibri" w:hAnsi="Calibri" w:cs="Calibri"/>
          <w:color w:val="000000"/>
        </w:rPr>
        <w:t xml:space="preserve">Bidoon Woman in Kuwait, Danielle Cohen Immigration Law Solicitor, 9 Jan 2024, link, </w:t>
      </w:r>
      <w:hyperlink r:id="rId17">
        <w:r>
          <w:rPr>
            <w:rFonts w:ascii="Calibri" w:eastAsia="Calibri" w:hAnsi="Calibri" w:cs="Calibri"/>
            <w:color w:val="0563C1"/>
            <w:u w:val="single"/>
          </w:rPr>
          <w:t>https://www.daniellecohenimmigration.com/bidoon-women-in-kuwait/</w:t>
        </w:r>
      </w:hyperlink>
    </w:p>
  </w:footnote>
  <w:footnote w:id="20">
    <w:p w14:paraId="541118B2" w14:textId="77777777" w:rsidR="00DA3AF1" w:rsidRDefault="00DA3AF1" w:rsidP="00DA3AF1">
      <w:pPr>
        <w:pBdr>
          <w:top w:val="nil"/>
          <w:left w:val="nil"/>
          <w:bottom w:val="nil"/>
          <w:right w:val="nil"/>
          <w:between w:val="nil"/>
        </w:pBdr>
        <w:spacing w:after="0" w:line="240" w:lineRule="auto"/>
        <w:rPr>
          <w:color w:val="000000"/>
          <w:sz w:val="20"/>
          <w:szCs w:val="20"/>
        </w:rPr>
      </w:pPr>
      <w:r>
        <w:rPr>
          <w:rStyle w:val="FootnoteReference"/>
        </w:rPr>
        <w:footnoteRef/>
      </w:r>
      <w:r>
        <w:t xml:space="preserve"> </w:t>
      </w:r>
      <w:r>
        <w:rPr>
          <w:rFonts w:ascii="Calibri" w:eastAsia="Calibri" w:hAnsi="Calibri" w:cs="Calibri"/>
          <w:color w:val="000000"/>
          <w:sz w:val="20"/>
          <w:szCs w:val="20"/>
        </w:rPr>
        <w:t xml:space="preserve">Challenges of being Bidoon in Kuwait, Americans for Democracy &amp; Human Rights in Bahrain (ADHRB), 16 May 2022, link, </w:t>
      </w:r>
      <w:hyperlink r:id="rId18">
        <w:r>
          <w:rPr>
            <w:rFonts w:ascii="Calibri" w:eastAsia="Calibri" w:hAnsi="Calibri" w:cs="Calibri"/>
            <w:color w:val="0563C1"/>
            <w:sz w:val="20"/>
            <w:szCs w:val="20"/>
            <w:u w:val="single"/>
          </w:rPr>
          <w:t>https://www.adhrb.org/2022/05/challenges-of-being-bidoon-in-kuwait/</w:t>
        </w:r>
      </w:hyperlink>
    </w:p>
    <w:p w14:paraId="2EED4120" w14:textId="77777777" w:rsidR="00DA3AF1" w:rsidRDefault="00DA3AF1" w:rsidP="00DA3AF1">
      <w:pPr>
        <w:pBdr>
          <w:top w:val="nil"/>
          <w:left w:val="nil"/>
          <w:bottom w:val="nil"/>
          <w:right w:val="nil"/>
          <w:between w:val="nil"/>
        </w:pBdr>
        <w:spacing w:after="0" w:line="240" w:lineRule="auto"/>
        <w:rPr>
          <w:color w:val="000000"/>
          <w:sz w:val="20"/>
          <w:szCs w:val="20"/>
        </w:rPr>
      </w:pPr>
    </w:p>
    <w:p w14:paraId="5EE84802" w14:textId="77777777" w:rsidR="00DA3AF1" w:rsidRDefault="00DA3AF1" w:rsidP="00DA3AF1">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E37C07"/>
    <w:multiLevelType w:val="hybridMultilevel"/>
    <w:tmpl w:val="772EC36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1"/>
  </w:num>
  <w:num w:numId="4">
    <w:abstractNumId w:val="11"/>
  </w:num>
  <w:num w:numId="5">
    <w:abstractNumId w:val="3"/>
  </w:num>
  <w:num w:numId="6">
    <w:abstractNumId w:val="26"/>
  </w:num>
  <w:num w:numId="7">
    <w:abstractNumId w:val="29"/>
  </w:num>
  <w:num w:numId="8">
    <w:abstractNumId w:val="31"/>
  </w:num>
  <w:num w:numId="9">
    <w:abstractNumId w:val="24"/>
  </w:num>
  <w:num w:numId="10">
    <w:abstractNumId w:val="27"/>
  </w:num>
  <w:num w:numId="11">
    <w:abstractNumId w:val="20"/>
  </w:num>
  <w:num w:numId="12">
    <w:abstractNumId w:val="30"/>
  </w:num>
  <w:num w:numId="13">
    <w:abstractNumId w:val="17"/>
  </w:num>
  <w:num w:numId="14">
    <w:abstractNumId w:val="7"/>
  </w:num>
  <w:num w:numId="15">
    <w:abstractNumId w:val="23"/>
  </w:num>
  <w:num w:numId="16">
    <w:abstractNumId w:val="12"/>
  </w:num>
  <w:num w:numId="17">
    <w:abstractNumId w:val="0"/>
  </w:num>
  <w:num w:numId="18">
    <w:abstractNumId w:val="16"/>
  </w:num>
  <w:num w:numId="19">
    <w:abstractNumId w:val="2"/>
  </w:num>
  <w:num w:numId="20">
    <w:abstractNumId w:val="9"/>
  </w:num>
  <w:num w:numId="21">
    <w:abstractNumId w:val="32"/>
  </w:num>
  <w:num w:numId="22">
    <w:abstractNumId w:val="10"/>
  </w:num>
  <w:num w:numId="23">
    <w:abstractNumId w:val="14"/>
  </w:num>
  <w:num w:numId="24">
    <w:abstractNumId w:val="25"/>
  </w:num>
  <w:num w:numId="25">
    <w:abstractNumId w:val="28"/>
  </w:num>
  <w:num w:numId="26">
    <w:abstractNumId w:val="8"/>
  </w:num>
  <w:num w:numId="27">
    <w:abstractNumId w:val="6"/>
  </w:num>
  <w:num w:numId="28">
    <w:abstractNumId w:val="21"/>
  </w:num>
  <w:num w:numId="29">
    <w:abstractNumId w:val="22"/>
  </w:num>
  <w:num w:numId="30">
    <w:abstractNumId w:val="13"/>
  </w:num>
  <w:num w:numId="31">
    <w:abstractNumId w:val="18"/>
  </w:num>
  <w:num w:numId="32">
    <w:abstractNumId w:val="5"/>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650"/>
    <w:rsid w:val="00015BCC"/>
    <w:rsid w:val="0004495D"/>
    <w:rsid w:val="0004619A"/>
    <w:rsid w:val="00046C49"/>
    <w:rsid w:val="00086352"/>
    <w:rsid w:val="000A0E24"/>
    <w:rsid w:val="000B5D57"/>
    <w:rsid w:val="000B6F75"/>
    <w:rsid w:val="000C7C14"/>
    <w:rsid w:val="00101544"/>
    <w:rsid w:val="00156C09"/>
    <w:rsid w:val="00196443"/>
    <w:rsid w:val="001D532C"/>
    <w:rsid w:val="001D6213"/>
    <w:rsid w:val="002257CD"/>
    <w:rsid w:val="002305C5"/>
    <w:rsid w:val="002876FE"/>
    <w:rsid w:val="002D5B01"/>
    <w:rsid w:val="003319F3"/>
    <w:rsid w:val="003439F7"/>
    <w:rsid w:val="00360DAB"/>
    <w:rsid w:val="00372B51"/>
    <w:rsid w:val="0038184B"/>
    <w:rsid w:val="003A1F96"/>
    <w:rsid w:val="003A745E"/>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B3A8D"/>
    <w:rsid w:val="005C3446"/>
    <w:rsid w:val="005E2E96"/>
    <w:rsid w:val="00640577"/>
    <w:rsid w:val="006412F6"/>
    <w:rsid w:val="00646A53"/>
    <w:rsid w:val="006807A3"/>
    <w:rsid w:val="00693967"/>
    <w:rsid w:val="00713444"/>
    <w:rsid w:val="0075015E"/>
    <w:rsid w:val="00755B2C"/>
    <w:rsid w:val="007A3C77"/>
    <w:rsid w:val="007B5697"/>
    <w:rsid w:val="007C2144"/>
    <w:rsid w:val="007C3E73"/>
    <w:rsid w:val="007E56C8"/>
    <w:rsid w:val="007F62CB"/>
    <w:rsid w:val="00823531"/>
    <w:rsid w:val="00823F46"/>
    <w:rsid w:val="00826C6D"/>
    <w:rsid w:val="00831437"/>
    <w:rsid w:val="00860C1C"/>
    <w:rsid w:val="00871BB0"/>
    <w:rsid w:val="00875304"/>
    <w:rsid w:val="008823E1"/>
    <w:rsid w:val="00884133"/>
    <w:rsid w:val="008F2641"/>
    <w:rsid w:val="0091285A"/>
    <w:rsid w:val="009337BF"/>
    <w:rsid w:val="009412A9"/>
    <w:rsid w:val="009850AD"/>
    <w:rsid w:val="00990858"/>
    <w:rsid w:val="009B028E"/>
    <w:rsid w:val="009D1F8F"/>
    <w:rsid w:val="009E290C"/>
    <w:rsid w:val="00A3448D"/>
    <w:rsid w:val="00A37636"/>
    <w:rsid w:val="00A537CE"/>
    <w:rsid w:val="00A81650"/>
    <w:rsid w:val="00A83C1E"/>
    <w:rsid w:val="00AF7FD1"/>
    <w:rsid w:val="00B01D47"/>
    <w:rsid w:val="00B35D5B"/>
    <w:rsid w:val="00B50DC2"/>
    <w:rsid w:val="00B53978"/>
    <w:rsid w:val="00B66916"/>
    <w:rsid w:val="00B76BA7"/>
    <w:rsid w:val="00BA7411"/>
    <w:rsid w:val="00BB10FB"/>
    <w:rsid w:val="00BB2414"/>
    <w:rsid w:val="00BB2E0C"/>
    <w:rsid w:val="00BC2D2E"/>
    <w:rsid w:val="00C0706B"/>
    <w:rsid w:val="00C34E13"/>
    <w:rsid w:val="00C47923"/>
    <w:rsid w:val="00C86D0C"/>
    <w:rsid w:val="00CC2F15"/>
    <w:rsid w:val="00CD5381"/>
    <w:rsid w:val="00D01C6A"/>
    <w:rsid w:val="00D11899"/>
    <w:rsid w:val="00D674C8"/>
    <w:rsid w:val="00DA3AF1"/>
    <w:rsid w:val="00DB04A9"/>
    <w:rsid w:val="00DB5AB9"/>
    <w:rsid w:val="00DE35AB"/>
    <w:rsid w:val="00DF3596"/>
    <w:rsid w:val="00E3117B"/>
    <w:rsid w:val="00E4520A"/>
    <w:rsid w:val="00E45A93"/>
    <w:rsid w:val="00E55456"/>
    <w:rsid w:val="00EA2C34"/>
    <w:rsid w:val="00EA4670"/>
    <w:rsid w:val="00EB7424"/>
    <w:rsid w:val="00ED3ED2"/>
    <w:rsid w:val="00ED7702"/>
    <w:rsid w:val="00EF597D"/>
    <w:rsid w:val="00F533B4"/>
    <w:rsid w:val="00F56B3D"/>
    <w:rsid w:val="00F871C7"/>
    <w:rsid w:val="00F94355"/>
    <w:rsid w:val="00FA13E3"/>
    <w:rsid w:val="00FA316E"/>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3A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
    <w:name w:val="Unresolved Mention"/>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bit.ly/4aImzkJ" TargetMode="External"/><Relationship Id="rId13" Type="http://schemas.openxmlformats.org/officeDocument/2006/relationships/hyperlink" Target="https://www.aljarida.com/article/43818" TargetMode="External"/><Relationship Id="rId18" Type="http://schemas.openxmlformats.org/officeDocument/2006/relationships/hyperlink" Target="https://www.adhrb.org/2022/05/challenges-of-being-bidoon-in-kuwait/" TargetMode="External"/><Relationship Id="rId3" Type="http://schemas.openxmlformats.org/officeDocument/2006/relationships/hyperlink" Target="https://bit.ly/4ak4REc" TargetMode="External"/><Relationship Id="rId7" Type="http://schemas.openxmlformats.org/officeDocument/2006/relationships/hyperlink" Target="https://www.adhrb.org/2023/06/dispatch-on-migrant-and-domestic-workers-in-kuwait/" TargetMode="External"/><Relationship Id="rId12" Type="http://schemas.openxmlformats.org/officeDocument/2006/relationships/hyperlink" Target="https://borgenproject.org/gender-wage-gap-in-kuwait/" TargetMode="External"/><Relationship Id="rId17" Type="http://schemas.openxmlformats.org/officeDocument/2006/relationships/hyperlink" Target="https://www.daniellecohenimmigration.com/bidoon-women-in-kuwait/" TargetMode="External"/><Relationship Id="rId2" Type="http://schemas.openxmlformats.org/officeDocument/2006/relationships/hyperlink" Target="https://borgenproject.org/gender-wage-gap-in-kuwait/" TargetMode="External"/><Relationship Id="rId16" Type="http://schemas.openxmlformats.org/officeDocument/2006/relationships/hyperlink" Target="https://taqadoom.com/5659/" TargetMode="External"/><Relationship Id="rId1" Type="http://schemas.openxmlformats.org/officeDocument/2006/relationships/hyperlink" Target="https://www.state.gov/reports/2022-country-reports-on-human-rights-practices/kuwait/" TargetMode="External"/><Relationship Id="rId6" Type="http://schemas.openxmlformats.org/officeDocument/2006/relationships/hyperlink" Target="https://bit.ly/4ak4REc" TargetMode="External"/><Relationship Id="rId11" Type="http://schemas.openxmlformats.org/officeDocument/2006/relationships/hyperlink" Target="https://ccprcentre.org/ccprpages/a-gap-between-questions-and-answers-kuwaits-legal-framework-masks-their-reality-on-the-ground" TargetMode="External"/><Relationship Id="rId5" Type="http://schemas.openxmlformats.org/officeDocument/2006/relationships/hyperlink" Target="https://cdn.walkfree.org/content/uploads/2023/09/28142852/GSI-Snapshot-Kuwait.pdf" TargetMode="External"/><Relationship Id="rId15" Type="http://schemas.openxmlformats.org/officeDocument/2006/relationships/hyperlink" Target="https://kaleijy.com/news31099.html" TargetMode="External"/><Relationship Id="rId10" Type="http://schemas.openxmlformats.org/officeDocument/2006/relationships/hyperlink" Target="https://bit.ly/3J3Fpa8" TargetMode="External"/><Relationship Id="rId4" Type="http://schemas.openxmlformats.org/officeDocument/2006/relationships/hyperlink" Target="https://kuwaitaidnetwork.com/human-trafficking-in-kuwait-and-providing-a-fair-and-safe-environment-for-domestic-workers/" TargetMode="External"/><Relationship Id="rId9" Type="http://schemas.openxmlformats.org/officeDocument/2006/relationships/hyperlink" Target="https://english.aawsat.com/gulf/4363501-kuwaiti-women-account-about-52-voters-less-7-candidates" TargetMode="External"/><Relationship Id="rId14" Type="http://schemas.openxmlformats.org/officeDocument/2006/relationships/hyperlink" Target="https://amwaj.media/ar/article/gulf-women-neglectedrights-childr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E46049-9927-41F6-8DA9-6AAD10D49527}">
  <ds:schemaRefs>
    <ds:schemaRef ds:uri="http://schemas.openxmlformats.org/officeDocument/2006/bibliography"/>
  </ds:schemaRefs>
</ds:datastoreItem>
</file>

<file path=customXml/itemProps2.xml><?xml version="1.0" encoding="utf-8"?>
<ds:datastoreItem xmlns:ds="http://schemas.openxmlformats.org/officeDocument/2006/customXml" ds:itemID="{FDEF6210-94A4-48E2-8C98-3B81AFE0863C}"/>
</file>

<file path=customXml/itemProps3.xml><?xml version="1.0" encoding="utf-8"?>
<ds:datastoreItem xmlns:ds="http://schemas.openxmlformats.org/officeDocument/2006/customXml" ds:itemID="{AA8C8509-2401-4B99-AD25-2FBDF077C159}"/>
</file>

<file path=docProps/app.xml><?xml version="1.0" encoding="utf-8"?>
<Properties xmlns="http://schemas.openxmlformats.org/officeDocument/2006/extended-properties" xmlns:vt="http://schemas.openxmlformats.org/officeDocument/2006/docPropsVTypes">
  <Template>Normal</Template>
  <TotalTime>2</TotalTime>
  <Pages>8</Pages>
  <Words>2702</Words>
  <Characters>15406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3</cp:revision>
  <dcterms:created xsi:type="dcterms:W3CDTF">2024-04-15T09:22:00Z</dcterms:created>
  <dcterms:modified xsi:type="dcterms:W3CDTF">2024-04-15T09:24:00Z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