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CEC2EA" w14:textId="786C75D4" w:rsidR="60589CA8" w:rsidRDefault="001F7813" w:rsidP="3220C020">
      <w:pPr>
        <w:pStyle w:val="Heading1"/>
        <w:pBdr>
          <w:bottom w:val="single" w:sz="6" w:space="1" w:color="000000"/>
        </w:pBdr>
        <w:jc w:val="center"/>
        <w:rPr>
          <w:rStyle w:val="FootnoteReference"/>
          <w:rFonts w:ascii="Arial Nova" w:eastAsia="Arial Nova" w:hAnsi="Arial Nova" w:cs="Arial Nova"/>
          <w:b/>
          <w:bCs/>
          <w:color w:val="auto"/>
        </w:rPr>
      </w:pPr>
      <w:r>
        <w:rPr>
          <w:rFonts w:ascii="Arial Nova" w:eastAsia="Arial Nova" w:hAnsi="Arial Nova" w:cs="Arial Nova"/>
          <w:b/>
          <w:bCs/>
          <w:noProof/>
          <w:color w:val="auto"/>
          <w:vertAlign w:val="superscript"/>
          <w14:ligatures w14:val="standardContextual"/>
        </w:rPr>
        <mc:AlternateContent>
          <mc:Choice Requires="wps">
            <w:drawing>
              <wp:anchor distT="0" distB="0" distL="114300" distR="114300" simplePos="0" relativeHeight="251659264" behindDoc="1" locked="0" layoutInCell="1" allowOverlap="1" wp14:anchorId="73F13E0C" wp14:editId="779985E6">
                <wp:simplePos x="0" y="0"/>
                <wp:positionH relativeFrom="column">
                  <wp:posOffset>-829340</wp:posOffset>
                </wp:positionH>
                <wp:positionV relativeFrom="paragraph">
                  <wp:posOffset>-839972</wp:posOffset>
                </wp:positionV>
                <wp:extent cx="7612912" cy="9898912"/>
                <wp:effectExtent l="0" t="0" r="0" b="0"/>
                <wp:wrapNone/>
                <wp:docPr id="1380505103" name="Text Box 1"/>
                <wp:cNvGraphicFramePr/>
                <a:graphic xmlns:a="http://schemas.openxmlformats.org/drawingml/2006/main">
                  <a:graphicData uri="http://schemas.microsoft.com/office/word/2010/wordprocessingShape">
                    <wps:wsp>
                      <wps:cNvSpPr txBox="1"/>
                      <wps:spPr>
                        <a:xfrm>
                          <a:off x="0" y="0"/>
                          <a:ext cx="7612912" cy="9898912"/>
                        </a:xfrm>
                        <a:prstGeom prst="rect">
                          <a:avLst/>
                        </a:prstGeom>
                        <a:solidFill>
                          <a:schemeClr val="tx2">
                            <a:lumMod val="10000"/>
                            <a:lumOff val="90000"/>
                          </a:schemeClr>
                        </a:solidFill>
                        <a:ln w="6350">
                          <a:noFill/>
                        </a:ln>
                      </wps:spPr>
                      <wps:txbx>
                        <w:txbxContent>
                          <w:p w14:paraId="20F2817F" w14:textId="77777777" w:rsidR="001F7813" w:rsidRDefault="001F7813">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3F13E0C" id="_x0000_t202" coordsize="21600,21600" o:spt="202" path="m,l,21600r21600,l21600,xe">
                <v:stroke joinstyle="miter"/>
                <v:path gradientshapeok="t" o:connecttype="rect"/>
              </v:shapetype>
              <v:shape id="Text Box 1" o:spid="_x0000_s1026" type="#_x0000_t202" style="position:absolute;left:0;text-align:left;margin-left:-65.3pt;margin-top:-66.15pt;width:599.45pt;height:779.4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" fillcolor="#dceaf7 [351]" stroked="f" strokeweight=".5pt">
                <v:textbox>
                  <w:txbxContent>
                    <w:p w14:paraId="20F2817F" w14:textId="77777777" w:rsidR="001F7813" w:rsidRDefault="001F7813">
                      <w:pPr>
                        <w:ind w:left="0"/>
                      </w:pPr>
                    </w:p>
                  </w:txbxContent>
                </v:textbox>
              </v:shape>
            </w:pict>
          </mc:Fallback>
        </mc:AlternateContent>
      </w:r>
    </w:p>
    <w:p w14:paraId="6674F7AF" w14:textId="77777777" w:rsidR="00F4688C" w:rsidRDefault="00F4688C" w:rsidP="3220C020">
      <w:pPr>
        <w:pBdr>
          <w:bottom w:val="single" w:sz="6" w:space="1" w:color="000000"/>
        </w:pBdr>
        <w:spacing w:line="240" w:lineRule="auto"/>
        <w:jc w:val="center"/>
        <w:rPr>
          <w:b/>
          <w:bCs/>
          <w:sz w:val="32"/>
          <w:szCs w:val="32"/>
        </w:rPr>
      </w:pPr>
    </w:p>
    <w:p w14:paraId="2889F657" w14:textId="77777777" w:rsidR="00F4688C" w:rsidRDefault="00F4688C" w:rsidP="3220C020">
      <w:pPr>
        <w:pBdr>
          <w:bottom w:val="single" w:sz="6" w:space="1" w:color="000000"/>
        </w:pBdr>
        <w:spacing w:line="240" w:lineRule="auto"/>
        <w:jc w:val="center"/>
        <w:rPr>
          <w:b/>
          <w:bCs/>
          <w:sz w:val="32"/>
          <w:szCs w:val="32"/>
        </w:rPr>
      </w:pPr>
    </w:p>
    <w:p w14:paraId="0CDCCCD2" w14:textId="75C1D80A" w:rsidR="60589CA8" w:rsidRDefault="3220C020" w:rsidP="3220C020">
      <w:pPr>
        <w:pBdr>
          <w:bottom w:val="single" w:sz="6" w:space="1" w:color="000000"/>
        </w:pBdr>
        <w:spacing w:line="240" w:lineRule="auto"/>
        <w:jc w:val="center"/>
        <w:rPr>
          <w:b/>
          <w:bCs/>
          <w:sz w:val="28"/>
          <w:szCs w:val="28"/>
        </w:rPr>
      </w:pPr>
      <w:r w:rsidRPr="3220C020">
        <w:rPr>
          <w:b/>
          <w:bCs/>
          <w:sz w:val="32"/>
          <w:szCs w:val="32"/>
        </w:rPr>
        <w:t>ARMS EXPORTS IMPACTING DISABILITY RIGHTS IN GAZA AND THE WEST BANK: EXTRATERRITORIAL OBLIGATIONS OF CANADA, THE NETHERLANDS AND AUSTRALIA</w:t>
      </w:r>
    </w:p>
    <w:p w14:paraId="5456C0EB" w14:textId="1F491E65" w:rsidR="60589CA8" w:rsidRDefault="3220C020" w:rsidP="3220C020">
      <w:pPr>
        <w:pStyle w:val="Heading1"/>
        <w:pBdr>
          <w:bottom w:val="single" w:sz="6" w:space="1" w:color="000000"/>
        </w:pBdr>
        <w:spacing w:line="240" w:lineRule="auto"/>
        <w:jc w:val="center"/>
        <w:rPr>
          <w:rFonts w:ascii="Arial" w:eastAsia="Arial" w:hAnsi="Arial" w:cs="Arial"/>
          <w:color w:val="auto"/>
          <w:sz w:val="32"/>
          <w:szCs w:val="32"/>
        </w:rPr>
      </w:pPr>
      <w:r w:rsidRPr="3220C020">
        <w:rPr>
          <w:rFonts w:ascii="Arial" w:eastAsia="Arial" w:hAnsi="Arial" w:cs="Arial"/>
          <w:color w:val="auto"/>
          <w:sz w:val="32"/>
          <w:szCs w:val="32"/>
        </w:rPr>
        <w:t xml:space="preserve">Submission to the United Nations Committee on the Rights of Persons with Disabilities </w:t>
      </w:r>
      <w:proofErr w:type="gramStart"/>
      <w:r w:rsidRPr="3220C020">
        <w:rPr>
          <w:rFonts w:ascii="Arial" w:eastAsia="Arial" w:hAnsi="Arial" w:cs="Arial"/>
          <w:color w:val="auto"/>
          <w:sz w:val="32"/>
          <w:szCs w:val="32"/>
        </w:rPr>
        <w:t>on the Occasion of</w:t>
      </w:r>
      <w:proofErr w:type="gramEnd"/>
      <w:r w:rsidRPr="3220C020">
        <w:rPr>
          <w:rFonts w:ascii="Arial" w:eastAsia="Arial" w:hAnsi="Arial" w:cs="Arial"/>
          <w:color w:val="auto"/>
          <w:sz w:val="32"/>
          <w:szCs w:val="32"/>
        </w:rPr>
        <w:t xml:space="preserve"> the Committee’s Periodic Review of the State of Palestine</w:t>
      </w:r>
    </w:p>
    <w:p w14:paraId="1C964DB9" w14:textId="3C36142F" w:rsidR="60589CA8" w:rsidRPr="00F4688C" w:rsidRDefault="3220C020" w:rsidP="3220C020">
      <w:pPr>
        <w:pStyle w:val="Heading1"/>
        <w:pBdr>
          <w:bottom w:val="single" w:sz="6" w:space="1" w:color="000000"/>
        </w:pBdr>
        <w:jc w:val="center"/>
        <w:rPr>
          <w:rFonts w:ascii="Arial" w:eastAsia="Arial" w:hAnsi="Arial" w:cs="Arial"/>
          <w:b/>
          <w:bCs/>
          <w:color w:val="auto"/>
          <w:sz w:val="36"/>
          <w:szCs w:val="36"/>
        </w:rPr>
      </w:pPr>
      <w:r w:rsidRPr="00F4688C">
        <w:rPr>
          <w:rFonts w:ascii="Arial" w:eastAsia="Arial" w:hAnsi="Arial" w:cs="Arial"/>
          <w:b/>
          <w:bCs/>
          <w:color w:val="auto"/>
          <w:sz w:val="36"/>
          <w:szCs w:val="36"/>
        </w:rPr>
        <w:t xml:space="preserve">July 2025 </w:t>
      </w:r>
    </w:p>
    <w:p w14:paraId="0C45BA9E" w14:textId="66382301" w:rsidR="60589CA8" w:rsidRDefault="60589CA8" w:rsidP="3220C020">
      <w:pPr>
        <w:pStyle w:val="Heading1"/>
        <w:pBdr>
          <w:bottom w:val="single" w:sz="6" w:space="1" w:color="000000"/>
        </w:pBdr>
        <w:spacing w:before="0" w:after="0" w:line="240" w:lineRule="auto"/>
        <w:jc w:val="center"/>
        <w:rPr>
          <w:rFonts w:ascii="Arial" w:eastAsia="Arial" w:hAnsi="Arial" w:cs="Arial"/>
          <w:b/>
          <w:bCs/>
          <w:color w:val="auto"/>
          <w:sz w:val="32"/>
          <w:szCs w:val="32"/>
        </w:rPr>
      </w:pPr>
    </w:p>
    <w:p w14:paraId="6228613E" w14:textId="7FD6B2A4" w:rsidR="60589CA8" w:rsidRDefault="00367D34" w:rsidP="3220C020">
      <w:pPr>
        <w:pStyle w:val="Heading1"/>
        <w:pBdr>
          <w:bottom w:val="single" w:sz="6" w:space="1" w:color="000000"/>
        </w:pBdr>
        <w:spacing w:before="0" w:after="0" w:line="240" w:lineRule="auto"/>
        <w:jc w:val="center"/>
        <w:rPr>
          <w:rFonts w:ascii="Arial" w:eastAsia="Arial" w:hAnsi="Arial" w:cs="Arial"/>
          <w:b/>
          <w:bCs/>
          <w:color w:val="auto"/>
          <w:sz w:val="32"/>
          <w:szCs w:val="32"/>
        </w:rPr>
      </w:pPr>
      <w:r>
        <w:rPr>
          <w:rFonts w:ascii="Arial" w:eastAsia="Arial" w:hAnsi="Arial" w:cs="Arial"/>
          <w:b/>
          <w:bCs/>
          <w:color w:val="auto"/>
          <w:sz w:val="32"/>
          <w:szCs w:val="32"/>
        </w:rPr>
        <w:t>Submitted</w:t>
      </w:r>
      <w:r w:rsidR="3220C020" w:rsidRPr="3220C020">
        <w:rPr>
          <w:rFonts w:ascii="Arial" w:eastAsia="Arial" w:hAnsi="Arial" w:cs="Arial"/>
          <w:b/>
          <w:bCs/>
          <w:color w:val="auto"/>
          <w:sz w:val="32"/>
          <w:szCs w:val="32"/>
        </w:rPr>
        <w:t xml:space="preserve"> By: </w:t>
      </w:r>
    </w:p>
    <w:p w14:paraId="4C94B5C4" w14:textId="28F828BF" w:rsidR="60589CA8" w:rsidRDefault="60589CA8" w:rsidP="3220C020">
      <w:pPr>
        <w:pStyle w:val="Heading1"/>
        <w:pBdr>
          <w:bottom w:val="single" w:sz="6" w:space="1" w:color="000000"/>
        </w:pBdr>
        <w:spacing w:before="0" w:after="0" w:line="240" w:lineRule="auto"/>
        <w:jc w:val="center"/>
        <w:rPr>
          <w:rFonts w:ascii="Arial" w:eastAsia="Arial" w:hAnsi="Arial" w:cs="Arial"/>
          <w:color w:val="auto"/>
          <w:sz w:val="28"/>
          <w:szCs w:val="28"/>
        </w:rPr>
      </w:pPr>
    </w:p>
    <w:p w14:paraId="51642A1A" w14:textId="79FFBCD9" w:rsidR="60589CA8" w:rsidRDefault="3220C020" w:rsidP="3220C020">
      <w:pPr>
        <w:pStyle w:val="Heading1"/>
        <w:pBdr>
          <w:bottom w:val="single" w:sz="6" w:space="1" w:color="000000"/>
        </w:pBdr>
        <w:spacing w:before="0" w:after="0" w:line="240" w:lineRule="auto"/>
        <w:jc w:val="center"/>
        <w:rPr>
          <w:rFonts w:ascii="Arial" w:eastAsia="Arial" w:hAnsi="Arial" w:cs="Arial"/>
          <w:color w:val="auto"/>
          <w:sz w:val="26"/>
          <w:szCs w:val="26"/>
        </w:rPr>
      </w:pPr>
      <w:r w:rsidRPr="3220C020">
        <w:rPr>
          <w:rFonts w:ascii="Arial" w:eastAsia="Arial" w:hAnsi="Arial" w:cs="Arial"/>
          <w:color w:val="auto"/>
          <w:sz w:val="26"/>
          <w:szCs w:val="26"/>
        </w:rPr>
        <w:t xml:space="preserve">International Human Rights Program at the University of Toronto Faculty of Law </w:t>
      </w:r>
    </w:p>
    <w:p w14:paraId="5B186557" w14:textId="4C8A7278" w:rsidR="3220C020" w:rsidRDefault="3220C020" w:rsidP="3220C020">
      <w:pPr>
        <w:pStyle w:val="Heading1"/>
        <w:pBdr>
          <w:bottom w:val="single" w:sz="6" w:space="1" w:color="000000"/>
        </w:pBdr>
        <w:spacing w:before="0" w:after="0" w:line="240" w:lineRule="auto"/>
        <w:jc w:val="center"/>
        <w:rPr>
          <w:rFonts w:ascii="Arial" w:eastAsia="Arial" w:hAnsi="Arial" w:cs="Arial"/>
          <w:color w:val="auto"/>
          <w:sz w:val="26"/>
          <w:szCs w:val="26"/>
        </w:rPr>
      </w:pPr>
      <w:r w:rsidRPr="3220C020">
        <w:rPr>
          <w:rFonts w:ascii="Arial" w:eastAsia="Arial" w:hAnsi="Arial" w:cs="Arial"/>
          <w:color w:val="auto"/>
          <w:sz w:val="26"/>
          <w:szCs w:val="26"/>
        </w:rPr>
        <w:t>PAX</w:t>
      </w:r>
    </w:p>
    <w:p w14:paraId="004112B6" w14:textId="77777777" w:rsidR="00F4688C" w:rsidRDefault="3220C020" w:rsidP="3220C020">
      <w:pPr>
        <w:pStyle w:val="Heading1"/>
        <w:pBdr>
          <w:bottom w:val="single" w:sz="6" w:space="1" w:color="000000"/>
        </w:pBdr>
        <w:spacing w:before="0" w:after="0" w:line="240" w:lineRule="auto"/>
        <w:jc w:val="center"/>
        <w:rPr>
          <w:rFonts w:ascii="Arial" w:eastAsia="Arial" w:hAnsi="Arial" w:cs="Arial"/>
          <w:color w:val="auto"/>
          <w:sz w:val="26"/>
          <w:szCs w:val="26"/>
        </w:rPr>
      </w:pPr>
      <w:r w:rsidRPr="3220C020">
        <w:rPr>
          <w:rFonts w:ascii="Arial" w:eastAsia="Arial" w:hAnsi="Arial" w:cs="Arial"/>
          <w:color w:val="auto"/>
          <w:sz w:val="26"/>
          <w:szCs w:val="26"/>
        </w:rPr>
        <w:t xml:space="preserve">Australian Centre for International Justice </w:t>
      </w:r>
    </w:p>
    <w:p w14:paraId="33763516" w14:textId="77777777" w:rsidR="00F4688C" w:rsidRDefault="00F4688C" w:rsidP="3220C020">
      <w:pPr>
        <w:pStyle w:val="Heading1"/>
        <w:pBdr>
          <w:bottom w:val="single" w:sz="6" w:space="1" w:color="000000"/>
        </w:pBdr>
        <w:spacing w:before="0" w:after="0" w:line="240" w:lineRule="auto"/>
        <w:jc w:val="center"/>
        <w:rPr>
          <w:rFonts w:ascii="Arial" w:eastAsia="Arial" w:hAnsi="Arial" w:cs="Arial"/>
          <w:color w:val="auto"/>
          <w:sz w:val="26"/>
          <w:szCs w:val="26"/>
        </w:rPr>
      </w:pPr>
      <w:r>
        <w:rPr>
          <w:rFonts w:ascii="Arial" w:eastAsia="Arial" w:hAnsi="Arial" w:cs="Arial"/>
          <w:color w:val="auto"/>
          <w:sz w:val="26"/>
          <w:szCs w:val="26"/>
        </w:rPr>
        <w:t xml:space="preserve">Disability Justice Network of Ontario </w:t>
      </w:r>
    </w:p>
    <w:p w14:paraId="018CB2B7" w14:textId="606C3D3D" w:rsidR="60589CA8" w:rsidRDefault="00F4688C" w:rsidP="3220C020">
      <w:pPr>
        <w:pStyle w:val="Heading1"/>
        <w:pBdr>
          <w:bottom w:val="single" w:sz="6" w:space="1" w:color="000000"/>
        </w:pBdr>
        <w:spacing w:before="0" w:after="0" w:line="240" w:lineRule="auto"/>
        <w:jc w:val="center"/>
        <w:rPr>
          <w:rFonts w:ascii="Arial" w:eastAsia="Arial" w:hAnsi="Arial" w:cs="Arial"/>
          <w:b/>
          <w:bCs/>
          <w:sz w:val="26"/>
          <w:szCs w:val="26"/>
        </w:rPr>
      </w:pPr>
      <w:r>
        <w:rPr>
          <w:rFonts w:ascii="Arial" w:eastAsia="Arial" w:hAnsi="Arial" w:cs="Arial"/>
          <w:color w:val="auto"/>
          <w:sz w:val="26"/>
          <w:szCs w:val="26"/>
        </w:rPr>
        <w:t>Global Human Rights Clinic at the University of Chicago Law School</w:t>
      </w:r>
    </w:p>
    <w:p w14:paraId="06FCE3B2" w14:textId="2D829C5D" w:rsidR="60589CA8" w:rsidRDefault="60589CA8" w:rsidP="3220C020">
      <w:pPr>
        <w:pStyle w:val="Heading1"/>
        <w:pBdr>
          <w:bottom w:val="single" w:sz="6" w:space="1" w:color="000000"/>
        </w:pBdr>
        <w:spacing w:before="0" w:after="0" w:line="240" w:lineRule="auto"/>
        <w:jc w:val="center"/>
        <w:rPr>
          <w:rFonts w:ascii="Arial" w:eastAsia="Arial" w:hAnsi="Arial" w:cs="Arial"/>
          <w:color w:val="auto"/>
          <w:sz w:val="26"/>
          <w:szCs w:val="26"/>
        </w:rPr>
      </w:pPr>
    </w:p>
    <w:p w14:paraId="0F529677" w14:textId="718831CA" w:rsidR="3220C020" w:rsidRDefault="3220C020" w:rsidP="3220C020"/>
    <w:p w14:paraId="59855F1D" w14:textId="055B400C" w:rsidR="3220C020" w:rsidRDefault="3220C020" w:rsidP="3220C020"/>
    <w:p w14:paraId="24BECA25" w14:textId="65F031DC" w:rsidR="3220C020" w:rsidRDefault="3220C020" w:rsidP="3220C020"/>
    <w:p w14:paraId="0E15DEE6" w14:textId="0E9BBCDB" w:rsidR="3220C020" w:rsidRDefault="3220C020" w:rsidP="3220C020"/>
    <w:p w14:paraId="2FFD60E2" w14:textId="75D639A1" w:rsidR="3220C020" w:rsidRDefault="3220C020" w:rsidP="3220C020"/>
    <w:p w14:paraId="7F4DBBF3" w14:textId="46F82EE1" w:rsidR="00F4688C" w:rsidRPr="001F7813" w:rsidRDefault="60589CA8" w:rsidP="001F7813">
      <w:r>
        <w:br w:type="page"/>
      </w:r>
    </w:p>
    <w:p w14:paraId="7DB60FB6" w14:textId="4C85A743" w:rsidR="001F7813" w:rsidRPr="001F7813" w:rsidRDefault="3220C020" w:rsidP="001F7813">
      <w:pPr>
        <w:pStyle w:val="Heading1"/>
        <w:pBdr>
          <w:bottom w:val="single" w:sz="6" w:space="1" w:color="000000"/>
        </w:pBdr>
        <w:spacing w:before="0" w:after="0" w:line="240" w:lineRule="auto"/>
        <w:jc w:val="center"/>
        <w:rPr>
          <w:rFonts w:ascii="Arial" w:eastAsia="Arial" w:hAnsi="Arial" w:cs="Arial"/>
          <w:b/>
          <w:bCs/>
          <w:color w:val="auto"/>
          <w:sz w:val="24"/>
          <w:szCs w:val="24"/>
        </w:rPr>
      </w:pPr>
      <w:r w:rsidRPr="00F4688C">
        <w:rPr>
          <w:rFonts w:ascii="Arial" w:eastAsia="Arial" w:hAnsi="Arial" w:cs="Arial"/>
          <w:b/>
          <w:bCs/>
          <w:color w:val="auto"/>
          <w:sz w:val="24"/>
          <w:szCs w:val="24"/>
        </w:rPr>
        <w:lastRenderedPageBreak/>
        <w:t>TABLE OF CONTENTS</w:t>
      </w:r>
    </w:p>
    <w:p w14:paraId="1E40D627" w14:textId="77777777" w:rsidR="00CA342B" w:rsidRDefault="00CA342B" w:rsidP="00E021EF">
      <w:pPr>
        <w:tabs>
          <w:tab w:val="right" w:pos="9356"/>
        </w:tabs>
        <w:rPr>
          <w:b/>
          <w:bCs/>
        </w:rPr>
      </w:pPr>
    </w:p>
    <w:p w14:paraId="3833E4F6" w14:textId="19098BB1" w:rsidR="60589CA8" w:rsidRDefault="3220C020" w:rsidP="00E021EF">
      <w:pPr>
        <w:tabs>
          <w:tab w:val="right" w:pos="9356"/>
        </w:tabs>
        <w:rPr>
          <w:b/>
          <w:bCs/>
        </w:rPr>
      </w:pPr>
      <w:r w:rsidRPr="3220C020">
        <w:rPr>
          <w:b/>
          <w:bCs/>
        </w:rPr>
        <w:t>I. INTRODUCTION</w:t>
      </w:r>
      <w:r w:rsidR="00E021EF">
        <w:rPr>
          <w:b/>
          <w:bCs/>
        </w:rPr>
        <w:tab/>
      </w:r>
      <w:r w:rsidR="00E021EF" w:rsidRPr="00E021EF">
        <w:t>1</w:t>
      </w:r>
    </w:p>
    <w:p w14:paraId="52C77F97" w14:textId="7F616D91" w:rsidR="60589CA8" w:rsidRDefault="3220C020" w:rsidP="00E021EF">
      <w:pPr>
        <w:tabs>
          <w:tab w:val="right" w:pos="9356"/>
        </w:tabs>
        <w:rPr>
          <w:b/>
          <w:bCs/>
        </w:rPr>
      </w:pPr>
      <w:r w:rsidRPr="3220C020">
        <w:rPr>
          <w:b/>
          <w:bCs/>
        </w:rPr>
        <w:t xml:space="preserve">II. </w:t>
      </w:r>
      <w:r w:rsidR="00F4688C">
        <w:rPr>
          <w:b/>
          <w:bCs/>
        </w:rPr>
        <w:t xml:space="preserve">FACTUAL </w:t>
      </w:r>
      <w:r w:rsidRPr="3220C020">
        <w:rPr>
          <w:b/>
          <w:bCs/>
        </w:rPr>
        <w:t>BACKGROUND</w:t>
      </w:r>
      <w:r w:rsidR="00E021EF">
        <w:rPr>
          <w:b/>
          <w:bCs/>
        </w:rPr>
        <w:tab/>
      </w:r>
      <w:r w:rsidR="00E021EF" w:rsidRPr="00E021EF">
        <w:t>3</w:t>
      </w:r>
    </w:p>
    <w:p w14:paraId="40DBD73C" w14:textId="636264D8" w:rsidR="00F4688C" w:rsidRDefault="00F4688C" w:rsidP="00E021EF">
      <w:pPr>
        <w:tabs>
          <w:tab w:val="right" w:pos="9356"/>
        </w:tabs>
        <w:ind w:firstLine="0"/>
        <w:rPr>
          <w:i/>
          <w:iCs/>
        </w:rPr>
      </w:pPr>
      <w:r>
        <w:rPr>
          <w:i/>
          <w:iCs/>
        </w:rPr>
        <w:t>A. Background on the Conflict</w:t>
      </w:r>
      <w:r w:rsidR="00E021EF">
        <w:rPr>
          <w:i/>
          <w:iCs/>
        </w:rPr>
        <w:tab/>
      </w:r>
      <w:r w:rsidR="00E021EF" w:rsidRPr="00E021EF">
        <w:t>3</w:t>
      </w:r>
    </w:p>
    <w:p w14:paraId="00683EC1" w14:textId="18CF8071" w:rsidR="00F4688C" w:rsidRDefault="3220C020" w:rsidP="00E021EF">
      <w:pPr>
        <w:tabs>
          <w:tab w:val="right" w:pos="9356"/>
        </w:tabs>
        <w:ind w:firstLine="0"/>
        <w:rPr>
          <w:i/>
          <w:iCs/>
        </w:rPr>
      </w:pPr>
      <w:r w:rsidRPr="3220C020">
        <w:rPr>
          <w:i/>
          <w:iCs/>
        </w:rPr>
        <w:t xml:space="preserve">B. </w:t>
      </w:r>
      <w:r w:rsidR="00F4688C">
        <w:rPr>
          <w:i/>
          <w:iCs/>
        </w:rPr>
        <w:t>Impacts on Persons with Disabilities</w:t>
      </w:r>
      <w:r w:rsidR="00E021EF">
        <w:rPr>
          <w:i/>
          <w:iCs/>
        </w:rPr>
        <w:tab/>
      </w:r>
      <w:r w:rsidR="00E021EF" w:rsidRPr="00E021EF">
        <w:t>5</w:t>
      </w:r>
    </w:p>
    <w:p w14:paraId="7A7D3993" w14:textId="3533719A" w:rsidR="60589CA8" w:rsidRDefault="00F4688C" w:rsidP="00E021EF">
      <w:pPr>
        <w:tabs>
          <w:tab w:val="right" w:pos="9356"/>
        </w:tabs>
        <w:ind w:firstLine="0"/>
        <w:rPr>
          <w:i/>
          <w:iCs/>
        </w:rPr>
      </w:pPr>
      <w:r>
        <w:rPr>
          <w:i/>
          <w:iCs/>
        </w:rPr>
        <w:t xml:space="preserve">C. </w:t>
      </w:r>
      <w:r w:rsidR="3220C020" w:rsidRPr="3220C020">
        <w:rPr>
          <w:i/>
          <w:iCs/>
        </w:rPr>
        <w:t>Arms Exports to Israel by States Parties</w:t>
      </w:r>
      <w:r w:rsidR="00E021EF">
        <w:rPr>
          <w:i/>
          <w:iCs/>
        </w:rPr>
        <w:tab/>
      </w:r>
      <w:r w:rsidR="00E021EF" w:rsidRPr="00E021EF">
        <w:t>6</w:t>
      </w:r>
    </w:p>
    <w:p w14:paraId="60B0D50C" w14:textId="5A7ECAF8" w:rsidR="60589CA8" w:rsidRDefault="3220C020" w:rsidP="00E021EF">
      <w:pPr>
        <w:tabs>
          <w:tab w:val="right" w:pos="9356"/>
        </w:tabs>
        <w:ind w:left="720" w:firstLine="0"/>
      </w:pPr>
      <w:r w:rsidRPr="3220C020">
        <w:t>1. Canada</w:t>
      </w:r>
      <w:r w:rsidR="00E021EF">
        <w:tab/>
        <w:t>6</w:t>
      </w:r>
    </w:p>
    <w:p w14:paraId="3CA0C2B1" w14:textId="605B142E" w:rsidR="60589CA8" w:rsidRDefault="3220C020" w:rsidP="00E021EF">
      <w:pPr>
        <w:tabs>
          <w:tab w:val="right" w:pos="9356"/>
        </w:tabs>
        <w:ind w:left="720" w:firstLine="0"/>
      </w:pPr>
      <w:r w:rsidRPr="3220C020">
        <w:t>2. Netherlands</w:t>
      </w:r>
      <w:r w:rsidR="00E021EF">
        <w:tab/>
        <w:t>10</w:t>
      </w:r>
    </w:p>
    <w:p w14:paraId="3229F3F8" w14:textId="218A8BD1" w:rsidR="60589CA8" w:rsidRDefault="3220C020" w:rsidP="00E021EF">
      <w:pPr>
        <w:tabs>
          <w:tab w:val="right" w:pos="9356"/>
        </w:tabs>
        <w:ind w:left="720" w:firstLine="0"/>
      </w:pPr>
      <w:r w:rsidRPr="3220C020">
        <w:t>3. Australia</w:t>
      </w:r>
      <w:r w:rsidR="00E021EF">
        <w:tab/>
        <w:t>11</w:t>
      </w:r>
    </w:p>
    <w:p w14:paraId="03DC5534" w14:textId="0759B1E3" w:rsidR="60589CA8" w:rsidRDefault="3220C020" w:rsidP="00E021EF">
      <w:pPr>
        <w:tabs>
          <w:tab w:val="right" w:pos="9356"/>
        </w:tabs>
        <w:rPr>
          <w:b/>
          <w:bCs/>
        </w:rPr>
      </w:pPr>
      <w:r w:rsidRPr="3220C020">
        <w:rPr>
          <w:b/>
          <w:bCs/>
        </w:rPr>
        <w:t>III. VIOLATIONS OF EXTRATERRITORIAL OBLIGATIONS BY STATES PARTIES</w:t>
      </w:r>
      <w:r w:rsidR="00E021EF">
        <w:rPr>
          <w:b/>
          <w:bCs/>
        </w:rPr>
        <w:tab/>
      </w:r>
      <w:r w:rsidR="00E021EF" w:rsidRPr="00E021EF">
        <w:t>13</w:t>
      </w:r>
    </w:p>
    <w:p w14:paraId="593E84CE" w14:textId="17249FB0" w:rsidR="60589CA8" w:rsidRDefault="3220C020" w:rsidP="00E021EF">
      <w:pPr>
        <w:tabs>
          <w:tab w:val="right" w:pos="9356"/>
        </w:tabs>
        <w:ind w:firstLine="0"/>
        <w:rPr>
          <w:i/>
          <w:iCs/>
        </w:rPr>
      </w:pPr>
      <w:r w:rsidRPr="3220C020">
        <w:rPr>
          <w:i/>
          <w:iCs/>
        </w:rPr>
        <w:t>A. Extraterritoriality under the CRPD</w:t>
      </w:r>
      <w:r w:rsidR="00E021EF">
        <w:rPr>
          <w:i/>
          <w:iCs/>
        </w:rPr>
        <w:tab/>
      </w:r>
      <w:r w:rsidR="00E021EF" w:rsidRPr="00E021EF">
        <w:t>13</w:t>
      </w:r>
    </w:p>
    <w:p w14:paraId="69B3995D" w14:textId="0A12A5E3" w:rsidR="60589CA8" w:rsidRDefault="3220C020" w:rsidP="00E021EF">
      <w:pPr>
        <w:tabs>
          <w:tab w:val="right" w:pos="9356"/>
        </w:tabs>
        <w:ind w:firstLine="0"/>
        <w:rPr>
          <w:i/>
          <w:iCs/>
        </w:rPr>
      </w:pPr>
      <w:r w:rsidRPr="3220C020">
        <w:rPr>
          <w:i/>
          <w:iCs/>
        </w:rPr>
        <w:t>B. The Obligation to Regulate Corporate Conduct</w:t>
      </w:r>
      <w:r w:rsidR="00E021EF">
        <w:rPr>
          <w:i/>
          <w:iCs/>
        </w:rPr>
        <w:tab/>
      </w:r>
      <w:r w:rsidR="00E021EF" w:rsidRPr="00E021EF">
        <w:t>15</w:t>
      </w:r>
    </w:p>
    <w:p w14:paraId="525B1C30" w14:textId="774ED5D2" w:rsidR="60589CA8" w:rsidRDefault="3220C020" w:rsidP="00E021EF">
      <w:pPr>
        <w:tabs>
          <w:tab w:val="right" w:pos="9356"/>
        </w:tabs>
        <w:ind w:firstLine="0"/>
        <w:rPr>
          <w:i/>
          <w:iCs/>
        </w:rPr>
      </w:pPr>
      <w:r w:rsidRPr="3220C020">
        <w:rPr>
          <w:i/>
          <w:iCs/>
        </w:rPr>
        <w:t>C. Obligations with Respect to Indirect Military Exports to Israel</w:t>
      </w:r>
      <w:r w:rsidR="00E021EF">
        <w:rPr>
          <w:i/>
          <w:iCs/>
        </w:rPr>
        <w:tab/>
      </w:r>
      <w:r w:rsidR="00E021EF" w:rsidRPr="00E021EF">
        <w:t>18</w:t>
      </w:r>
    </w:p>
    <w:p w14:paraId="21EDF3A4" w14:textId="0D8CDDF5" w:rsidR="60589CA8" w:rsidRPr="0056457D" w:rsidRDefault="3220C020" w:rsidP="00E021EF">
      <w:pPr>
        <w:tabs>
          <w:tab w:val="right" w:pos="9356"/>
        </w:tabs>
        <w:rPr>
          <w:b/>
          <w:bCs/>
          <w:lang w:val="fr-FR"/>
        </w:rPr>
      </w:pPr>
      <w:r w:rsidRPr="0056457D">
        <w:rPr>
          <w:b/>
          <w:bCs/>
          <w:lang w:val="fr-FR"/>
        </w:rPr>
        <w:t>IV. RECOMMENDATIONS</w:t>
      </w:r>
      <w:r w:rsidR="00E021EF" w:rsidRPr="0056457D">
        <w:rPr>
          <w:b/>
          <w:bCs/>
          <w:lang w:val="fr-FR"/>
        </w:rPr>
        <w:tab/>
      </w:r>
      <w:r w:rsidR="00E021EF" w:rsidRPr="0056457D">
        <w:rPr>
          <w:lang w:val="fr-FR"/>
        </w:rPr>
        <w:t>2</w:t>
      </w:r>
      <w:r w:rsidR="00CE1855" w:rsidRPr="0056457D">
        <w:rPr>
          <w:lang w:val="fr-FR"/>
        </w:rPr>
        <w:t>0</w:t>
      </w:r>
    </w:p>
    <w:p w14:paraId="7B144D69" w14:textId="45B542F9" w:rsidR="60589CA8" w:rsidRPr="0056457D" w:rsidRDefault="3220C020" w:rsidP="00E021EF">
      <w:pPr>
        <w:tabs>
          <w:tab w:val="right" w:pos="9356"/>
        </w:tabs>
        <w:rPr>
          <w:b/>
          <w:bCs/>
          <w:lang w:val="fr-FR"/>
        </w:rPr>
      </w:pPr>
      <w:r w:rsidRPr="0056457D">
        <w:rPr>
          <w:b/>
          <w:bCs/>
          <w:lang w:val="fr-FR"/>
        </w:rPr>
        <w:t>APPENDIX A</w:t>
      </w:r>
      <w:r w:rsidR="00E021EF" w:rsidRPr="0056457D">
        <w:rPr>
          <w:b/>
          <w:bCs/>
          <w:lang w:val="fr-FR"/>
        </w:rPr>
        <w:tab/>
      </w:r>
      <w:r w:rsidR="00E021EF" w:rsidRPr="0056457D">
        <w:rPr>
          <w:lang w:val="fr-FR"/>
        </w:rPr>
        <w:t>23</w:t>
      </w:r>
    </w:p>
    <w:p w14:paraId="4A9E85E1" w14:textId="7B3D6E69" w:rsidR="60589CA8" w:rsidRPr="0056457D" w:rsidRDefault="3220C020" w:rsidP="00E021EF">
      <w:pPr>
        <w:tabs>
          <w:tab w:val="right" w:pos="9356"/>
        </w:tabs>
        <w:rPr>
          <w:b/>
          <w:bCs/>
          <w:lang w:val="fr-FR"/>
        </w:rPr>
      </w:pPr>
      <w:r w:rsidRPr="0056457D">
        <w:rPr>
          <w:b/>
          <w:bCs/>
          <w:lang w:val="fr-FR"/>
        </w:rPr>
        <w:t>APPENDIX B</w:t>
      </w:r>
      <w:r w:rsidR="00E021EF" w:rsidRPr="0056457D">
        <w:rPr>
          <w:b/>
          <w:bCs/>
          <w:lang w:val="fr-FR"/>
        </w:rPr>
        <w:tab/>
      </w:r>
      <w:r w:rsidR="00E021EF" w:rsidRPr="0056457D">
        <w:rPr>
          <w:lang w:val="fr-FR"/>
        </w:rPr>
        <w:t>24</w:t>
      </w:r>
    </w:p>
    <w:p w14:paraId="73C85759" w14:textId="00EABC0E" w:rsidR="60589CA8" w:rsidRPr="0056457D" w:rsidRDefault="60589CA8">
      <w:pPr>
        <w:rPr>
          <w:lang w:val="fr-FR"/>
        </w:rPr>
      </w:pPr>
      <w:r w:rsidRPr="0056457D">
        <w:rPr>
          <w:lang w:val="fr-FR"/>
        </w:rPr>
        <w:br w:type="page"/>
      </w:r>
    </w:p>
    <w:p w14:paraId="16E66B53" w14:textId="77777777" w:rsidR="00F4688C" w:rsidRPr="0056457D" w:rsidRDefault="00F4688C" w:rsidP="00F4688C">
      <w:pPr>
        <w:pStyle w:val="Heading2"/>
        <w:ind w:hanging="283"/>
        <w:rPr>
          <w:rFonts w:ascii="Arial" w:eastAsia="Arial" w:hAnsi="Arial" w:cs="Arial"/>
          <w:lang w:val="fr-FR"/>
        </w:rPr>
        <w:sectPr w:rsidR="00F4688C" w:rsidRPr="0056457D">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cols w:space="708"/>
          <w:docGrid w:linePitch="360"/>
        </w:sectPr>
      </w:pPr>
      <w:bookmarkStart w:id="0" w:name="_Toc185484267"/>
    </w:p>
    <w:p w14:paraId="2E9FC09A" w14:textId="763AA3F6" w:rsidR="00051E81" w:rsidRPr="00986796" w:rsidRDefault="3220C020" w:rsidP="00F4688C">
      <w:pPr>
        <w:pStyle w:val="Heading2"/>
        <w:ind w:hanging="283"/>
        <w:rPr>
          <w:rFonts w:ascii="Arial" w:eastAsia="Arial" w:hAnsi="Arial" w:cs="Arial"/>
          <w:sz w:val="24"/>
          <w:szCs w:val="24"/>
        </w:rPr>
      </w:pPr>
      <w:r w:rsidRPr="3220C020">
        <w:rPr>
          <w:rFonts w:ascii="Arial" w:eastAsia="Arial" w:hAnsi="Arial" w:cs="Arial"/>
        </w:rPr>
        <w:lastRenderedPageBreak/>
        <w:t>I. INTRODUCTION</w:t>
      </w:r>
    </w:p>
    <w:p w14:paraId="2755ACD7" w14:textId="3ACFF204" w:rsidR="00051E81" w:rsidRPr="00051E81" w:rsidRDefault="00F4688C" w:rsidP="000E06C7">
      <w:pPr>
        <w:ind w:left="426" w:hanging="426"/>
        <w:rPr>
          <w:color w:val="000000" w:themeColor="text1"/>
        </w:rPr>
      </w:pPr>
      <w:r>
        <w:rPr>
          <w:color w:val="000000" w:themeColor="text1"/>
        </w:rPr>
        <w:t>1</w:t>
      </w:r>
      <w:proofErr w:type="gramStart"/>
      <w:r>
        <w:rPr>
          <w:color w:val="000000" w:themeColor="text1"/>
        </w:rPr>
        <w:t xml:space="preserve">. </w:t>
      </w:r>
      <w:r w:rsidR="000E06C7">
        <w:rPr>
          <w:color w:val="000000" w:themeColor="text1"/>
        </w:rPr>
        <w:tab/>
      </w:r>
      <w:r w:rsidR="3220C020" w:rsidRPr="3220C020">
        <w:rPr>
          <w:color w:val="000000" w:themeColor="text1"/>
        </w:rPr>
        <w:t>This</w:t>
      </w:r>
      <w:proofErr w:type="gramEnd"/>
      <w:r w:rsidR="3220C020" w:rsidRPr="3220C020">
        <w:rPr>
          <w:color w:val="000000" w:themeColor="text1"/>
        </w:rPr>
        <w:t xml:space="preserve"> is a submission to the Committee on the Rights of Persons with Disabilities in response to the call for written contributions regarding the implementation of the Convention on the Rights of Persons with Disabilities (the Convention) by States Parties, in preparation for the Committee’s 33rd session. It focuses on arms exports to Israel and their impact on the rights of persons with disabilities in Gaza and the West Bank. This report uses the illustrative examples of </w:t>
      </w:r>
      <w:r w:rsidR="3220C020" w:rsidRPr="3220C020">
        <w:rPr>
          <w:b/>
          <w:bCs/>
          <w:color w:val="000000" w:themeColor="text1"/>
        </w:rPr>
        <w:t>Canada, the Netherlands, and Australia</w:t>
      </w:r>
      <w:r w:rsidR="3220C020" w:rsidRPr="3220C020">
        <w:rPr>
          <w:color w:val="000000" w:themeColor="text1"/>
        </w:rPr>
        <w:t xml:space="preserve">, but similar arguments apply to all States Parties to the Convention that export arms to Israel. </w:t>
      </w:r>
    </w:p>
    <w:p w14:paraId="217E8CC7" w14:textId="0EA3BE80" w:rsidR="00051E81" w:rsidRPr="00051E81" w:rsidRDefault="00F4688C" w:rsidP="000E06C7">
      <w:pPr>
        <w:ind w:left="426" w:hanging="426"/>
        <w:rPr>
          <w:color w:val="000000" w:themeColor="text1"/>
        </w:rPr>
      </w:pPr>
      <w:r>
        <w:rPr>
          <w:color w:val="000000" w:themeColor="text1"/>
        </w:rPr>
        <w:t>2</w:t>
      </w:r>
      <w:proofErr w:type="gramStart"/>
      <w:r>
        <w:rPr>
          <w:color w:val="000000" w:themeColor="text1"/>
        </w:rPr>
        <w:t xml:space="preserve">. </w:t>
      </w:r>
      <w:r w:rsidR="000E06C7">
        <w:rPr>
          <w:color w:val="000000" w:themeColor="text1"/>
        </w:rPr>
        <w:tab/>
      </w:r>
      <w:r w:rsidR="3220C020" w:rsidRPr="3220C020">
        <w:rPr>
          <w:color w:val="000000" w:themeColor="text1"/>
        </w:rPr>
        <w:t>While</w:t>
      </w:r>
      <w:proofErr w:type="gramEnd"/>
      <w:r w:rsidR="3220C020" w:rsidRPr="3220C020">
        <w:rPr>
          <w:color w:val="000000" w:themeColor="text1"/>
        </w:rPr>
        <w:t xml:space="preserve"> these States position themselves as global advocates for disability rights, their foreign policy and export practices contradict this image by contributing to serious, ongoing violations of the rights of </w:t>
      </w:r>
      <w:proofErr w:type="gramStart"/>
      <w:r w:rsidR="3220C020" w:rsidRPr="3220C020">
        <w:rPr>
          <w:color w:val="000000" w:themeColor="text1"/>
        </w:rPr>
        <w:t>persons</w:t>
      </w:r>
      <w:proofErr w:type="gramEnd"/>
      <w:r w:rsidR="3220C020" w:rsidRPr="3220C020">
        <w:rPr>
          <w:color w:val="000000" w:themeColor="text1"/>
        </w:rPr>
        <w:t xml:space="preserve"> with disabilities abroad. Their continued direct and indirect arms exports to Israel have enabled grave human rights abuses which disproportionately impact persons with disabilities. </w:t>
      </w:r>
    </w:p>
    <w:p w14:paraId="3565E06C" w14:textId="37FDD0AC" w:rsidR="00051E81" w:rsidRPr="00986796" w:rsidRDefault="00F4688C" w:rsidP="000E06C7">
      <w:pPr>
        <w:ind w:left="426" w:hanging="426"/>
      </w:pPr>
      <w:r>
        <w:t>3</w:t>
      </w:r>
      <w:proofErr w:type="gramStart"/>
      <w:r>
        <w:t xml:space="preserve">. </w:t>
      </w:r>
      <w:r w:rsidR="000E06C7">
        <w:tab/>
      </w:r>
      <w:r w:rsidR="3220C020" w:rsidRPr="3220C020">
        <w:t>The</w:t>
      </w:r>
      <w:proofErr w:type="gramEnd"/>
      <w:r w:rsidR="3220C020" w:rsidRPr="3220C020">
        <w:t xml:space="preserve"> reality of a globalized world is that the impacts of a </w:t>
      </w:r>
      <w:proofErr w:type="gramStart"/>
      <w:r w:rsidR="3220C020" w:rsidRPr="3220C020">
        <w:t>State’s</w:t>
      </w:r>
      <w:proofErr w:type="gramEnd"/>
      <w:r w:rsidR="3220C020" w:rsidRPr="3220C020">
        <w:t xml:space="preserve"> actions often reverberate beyond its territorial boundaries. Accordingly, a State's international human rights obligations do not end at its borders, either.</w:t>
      </w:r>
    </w:p>
    <w:p w14:paraId="205F68C7" w14:textId="73514876" w:rsidR="00051E81" w:rsidRPr="00986796" w:rsidRDefault="00F4688C" w:rsidP="000E06C7">
      <w:pPr>
        <w:ind w:left="426" w:hanging="426"/>
      </w:pPr>
      <w:r>
        <w:t>4</w:t>
      </w:r>
      <w:proofErr w:type="gramStart"/>
      <w:r>
        <w:t xml:space="preserve">. </w:t>
      </w:r>
      <w:r w:rsidR="000E06C7">
        <w:tab/>
      </w:r>
      <w:r w:rsidR="3220C020" w:rsidRPr="3220C020">
        <w:t>One</w:t>
      </w:r>
      <w:proofErr w:type="gramEnd"/>
      <w:r w:rsidR="3220C020" w:rsidRPr="3220C020">
        <w:t xml:space="preserve"> critical element of a State’s extraterritorial human rights record is its performance in regulating the extraterritorial conduct of its multinational corporations. In a global capitalist economy, transnational business activity is often a leading driver of serious transborder violations of human rights.</w:t>
      </w:r>
    </w:p>
    <w:p w14:paraId="07435018" w14:textId="58540F92" w:rsidR="00051E81" w:rsidRPr="00986796" w:rsidRDefault="00F4688C" w:rsidP="000E06C7">
      <w:pPr>
        <w:ind w:left="426" w:hanging="426"/>
      </w:pPr>
      <w:r>
        <w:t xml:space="preserve">5. </w:t>
      </w:r>
      <w:r w:rsidR="000E06C7">
        <w:tab/>
      </w:r>
      <w:r w:rsidR="3220C020" w:rsidRPr="3220C020">
        <w:t>This submission illustrates how States Parties’ failure to adequately regulate the arms exports that enable Israel’s atrocities in Gaza and the West Bank contributes to serious violations of the rights of people with disabilities.</w:t>
      </w:r>
    </w:p>
    <w:p w14:paraId="3C646C3B" w14:textId="5BF61B8A" w:rsidR="00051E81" w:rsidRPr="00986796" w:rsidRDefault="00F4688C" w:rsidP="000E06C7">
      <w:pPr>
        <w:ind w:left="426" w:hanging="426"/>
      </w:pPr>
      <w:r>
        <w:t xml:space="preserve">6. </w:t>
      </w:r>
      <w:r w:rsidR="000E06C7">
        <w:tab/>
      </w:r>
      <w:r w:rsidR="00051E81" w:rsidRPr="3220C020">
        <w:t>Israel’s brutal campaign of attacks on the civilian population of Gaza</w:t>
      </w:r>
      <w:r w:rsidR="001970B2">
        <w:t>—</w:t>
      </w:r>
      <w:r w:rsidR="00051E81" w:rsidRPr="3220C020">
        <w:t>which both Amnesty International and Human Rights Watch recently concluded met the elements of the legal definition of a genocide</w:t>
      </w:r>
      <w:r w:rsidR="00051E81" w:rsidRPr="3220C020">
        <w:rPr>
          <w:vertAlign w:val="superscript"/>
        </w:rPr>
        <w:footnoteReference w:id="1"/>
      </w:r>
      <w:r w:rsidR="001970B2">
        <w:t>—</w:t>
      </w:r>
      <w:r w:rsidR="00051E81" w:rsidRPr="3220C020">
        <w:t xml:space="preserve">has drawn widespread condemnation from the international human rights community. For instance, in its statement of 20 October 2023, this Committee expressed grave concern over the “senseless killing and maiming of civilians, including many </w:t>
      </w:r>
      <w:r w:rsidR="00051E81" w:rsidRPr="3220C020">
        <w:lastRenderedPageBreak/>
        <w:t>persons with disabilities” occurring in Gaza.</w:t>
      </w:r>
      <w:r w:rsidR="00051E81" w:rsidRPr="3220C020">
        <w:rPr>
          <w:vertAlign w:val="superscript"/>
        </w:rPr>
        <w:footnoteReference w:id="2"/>
      </w:r>
      <w:r w:rsidR="00051E81" w:rsidRPr="3220C020">
        <w:t xml:space="preserve"> The Committee highlighted the heightened risks faced by persons with disabilities, including abandonment, inability to evacuate from bombardment, and lack of access to essential health services and supports due to the destruction of medical infrastructure. The Committee emphasized that “all States parties and all actors [must] comply with international humanitarian law and international human rights law, and </w:t>
      </w:r>
      <w:r w:rsidR="6AFF34AF" w:rsidRPr="3220C020">
        <w:t xml:space="preserve">... </w:t>
      </w:r>
      <w:r w:rsidR="00051E81" w:rsidRPr="3220C020">
        <w:t>take all necessary measures to ensure the protection and safety of persons with disabilities in situations of armed conflict.”</w:t>
      </w:r>
      <w:r w:rsidR="00051E81" w:rsidRPr="3220C020">
        <w:rPr>
          <w:vertAlign w:val="superscript"/>
        </w:rPr>
        <w:footnoteReference w:id="3"/>
      </w:r>
      <w:r w:rsidR="00051E81" w:rsidRPr="3220C020">
        <w:t xml:space="preserve"> Further, in a communication to Israel on 9 October 2024, a group of UN Special Rapporteurs expressed significant concern with the widespread violations against persons with disabilities, and the disproportionate harm they have faced.</w:t>
      </w:r>
      <w:r w:rsidR="00051E81" w:rsidRPr="3220C020">
        <w:rPr>
          <w:rStyle w:val="FootnoteReference"/>
        </w:rPr>
        <w:footnoteReference w:id="4"/>
      </w:r>
      <w:r w:rsidR="00051E81" w:rsidRPr="3220C020">
        <w:t xml:space="preserve"> </w:t>
      </w:r>
    </w:p>
    <w:p w14:paraId="7398E028" w14:textId="5EE794ED" w:rsidR="00051E81" w:rsidRPr="00986796" w:rsidRDefault="00F4688C" w:rsidP="000E06C7">
      <w:pPr>
        <w:ind w:left="426" w:hanging="426"/>
      </w:pPr>
      <w:r>
        <w:t xml:space="preserve">7. </w:t>
      </w:r>
      <w:r w:rsidR="000E06C7">
        <w:tab/>
      </w:r>
      <w:r w:rsidR="00051E81" w:rsidRPr="3220C020">
        <w:t xml:space="preserve">However, responsibility for the atrocities being committed in Gaza extends far beyond Israel. </w:t>
      </w:r>
      <w:r w:rsidR="6AFF34AF" w:rsidRPr="3220C020">
        <w:t>I</w:t>
      </w:r>
      <w:r w:rsidR="00051E81" w:rsidRPr="3220C020">
        <w:t>t is shared by many international actors</w:t>
      </w:r>
      <w:r w:rsidR="00C13A68">
        <w:t>—i</w:t>
      </w:r>
      <w:r w:rsidR="00051E81" w:rsidRPr="3220C020">
        <w:t>ncluding the various States that continue to produce and provide the weapons that enable Israel’s atrocities.</w:t>
      </w:r>
      <w:r w:rsidR="00051E81" w:rsidRPr="3220C020">
        <w:rPr>
          <w:vertAlign w:val="superscript"/>
        </w:rPr>
        <w:footnoteReference w:id="5"/>
      </w:r>
      <w:r w:rsidR="00051E81" w:rsidRPr="3220C020">
        <w:t xml:space="preserve"> Therefore, for the Committee and others calling for an end to these atrocities, it is essential to engage these actors on their human rights responsibilities as well.</w:t>
      </w:r>
    </w:p>
    <w:p w14:paraId="6D890BB4" w14:textId="43901859" w:rsidR="794B237E" w:rsidRDefault="00F4688C" w:rsidP="000E06C7">
      <w:pPr>
        <w:ind w:left="426" w:hanging="426"/>
      </w:pPr>
      <w:r>
        <w:t xml:space="preserve">8. </w:t>
      </w:r>
      <w:r w:rsidR="000E06C7">
        <w:tab/>
      </w:r>
      <w:r w:rsidR="6AFF34AF" w:rsidRPr="3220C020">
        <w:t xml:space="preserve">In its recent review of the combined second and third periodic report of Canada in March 2025, the Committee noted that </w:t>
      </w:r>
      <w:r w:rsidR="6AFF34AF" w:rsidRPr="6AFF34AF">
        <w:rPr>
          <w:color w:val="000000" w:themeColor="text1"/>
        </w:rPr>
        <w:t>Canada has failed to adequately monitor its military exports to ensure that they are not used to facilitate violations of disability rights and block access to humanitarian assistance.</w:t>
      </w:r>
      <w:r w:rsidR="794B237E" w:rsidRPr="6AFF34AF">
        <w:rPr>
          <w:rStyle w:val="FootnoteReference"/>
          <w:color w:val="000000" w:themeColor="text1"/>
        </w:rPr>
        <w:footnoteReference w:id="6"/>
      </w:r>
      <w:r w:rsidR="6AFF34AF" w:rsidRPr="6AFF34AF">
        <w:rPr>
          <w:color w:val="000000" w:themeColor="text1"/>
        </w:rPr>
        <w:t xml:space="preserve"> In particular, the Committee condemned loopholes in Canada’s arms export regime that allow military parts and components to be exported to the United States—where they are integrated into weapons systems and re-exported to other countries such as Israel.</w:t>
      </w:r>
      <w:r w:rsidR="794B237E" w:rsidRPr="3220C020">
        <w:rPr>
          <w:rStyle w:val="FootnoteReference"/>
        </w:rPr>
        <w:footnoteReference w:id="7"/>
      </w:r>
      <w:r w:rsidR="6AFF34AF" w:rsidRPr="3220C020">
        <w:t xml:space="preserve"> It </w:t>
      </w:r>
      <w:r w:rsidR="6AFF34AF" w:rsidRPr="6AFF34AF">
        <w:rPr>
          <w:color w:val="000000" w:themeColor="text1"/>
        </w:rPr>
        <w:t>called on Canada to bring its arms exports into full compliance with the Arms Trade Treaty, international humanitarian law, and the Convention.</w:t>
      </w:r>
      <w:r w:rsidR="794B237E" w:rsidRPr="6AFF34AF">
        <w:rPr>
          <w:rStyle w:val="FootnoteReference"/>
          <w:color w:val="000000" w:themeColor="text1"/>
        </w:rPr>
        <w:footnoteReference w:id="8"/>
      </w:r>
      <w:r w:rsidR="6AFF34AF" w:rsidRPr="6AFF34AF">
        <w:rPr>
          <w:color w:val="000000" w:themeColor="text1"/>
        </w:rPr>
        <w:t xml:space="preserve"> It also urged Canada to implement human rights due diligence legislation and to cease any transfers contributing to grave violations.</w:t>
      </w:r>
      <w:r w:rsidR="794B237E" w:rsidRPr="3220C020">
        <w:rPr>
          <w:rStyle w:val="FootnoteReference"/>
        </w:rPr>
        <w:footnoteReference w:id="9"/>
      </w:r>
      <w:r w:rsidR="6AFF34AF" w:rsidRPr="3220C020">
        <w:t xml:space="preserve"> </w:t>
      </w:r>
    </w:p>
    <w:p w14:paraId="4ADC5EBC" w14:textId="398BCEFA" w:rsidR="00051E81" w:rsidRPr="00986796" w:rsidRDefault="00F4688C" w:rsidP="000E06C7">
      <w:pPr>
        <w:ind w:left="426" w:hanging="426"/>
      </w:pPr>
      <w:r>
        <w:lastRenderedPageBreak/>
        <w:t xml:space="preserve">9. </w:t>
      </w:r>
      <w:r w:rsidR="000E06C7">
        <w:tab/>
      </w:r>
      <w:r w:rsidR="00051E81" w:rsidRPr="3220C020">
        <w:t xml:space="preserve">Other international human rights bodies and experts have </w:t>
      </w:r>
      <w:r w:rsidR="6AFF34AF" w:rsidRPr="3220C020">
        <w:t xml:space="preserve">also </w:t>
      </w:r>
      <w:r w:rsidR="00051E81" w:rsidRPr="3220C020">
        <w:t>affirmed the responsibilities of States to suspend arms exports to Israel. For example, in a statement of 23 February 2024, a group of UN Special Rapporteurs and working groups warned that “any transfer of weapons or ammunition to Israel that would be used in Gaza is likely to violate international humanitarian law and must cease immediately.”</w:t>
      </w:r>
      <w:r w:rsidR="00051E81" w:rsidRPr="3220C020">
        <w:rPr>
          <w:vertAlign w:val="superscript"/>
        </w:rPr>
        <w:footnoteReference w:id="10"/>
      </w:r>
      <w:r w:rsidR="00051E81" w:rsidRPr="3220C020">
        <w:t xml:space="preserve"> Noting that “Israel has repeatedly failed to comply with international law,” they specifically called out Canada for its failure to cease military exports to Israel.</w:t>
      </w:r>
      <w:r w:rsidR="00051E81" w:rsidRPr="3220C020">
        <w:rPr>
          <w:vertAlign w:val="superscript"/>
        </w:rPr>
        <w:footnoteReference w:id="11"/>
      </w:r>
      <w:r w:rsidR="00051E81" w:rsidRPr="3220C020">
        <w:t xml:space="preserve"> </w:t>
      </w:r>
      <w:r w:rsidR="6AFF34AF" w:rsidRPr="3220C020">
        <w:t>In October 2024</w:t>
      </w:r>
      <w:r w:rsidR="00051E81" w:rsidRPr="3220C020">
        <w:t>, the CEDAW Committee expressed concern about the role of Canadian military exports to Israel in facilitating violations of women’s rights in Gaza, and urged it to do more to ensure its military exports do not facilitate violations of women’s rights.</w:t>
      </w:r>
      <w:r w:rsidR="6AFF34AF" w:rsidRPr="3220C020">
        <w:t xml:space="preserve"> More recently, in May 2025, the CERD Committee expressed concern about “significant gaps in Canada’s legal framework”</w:t>
      </w:r>
      <w:r w:rsidR="00051E81" w:rsidRPr="3220C020">
        <w:rPr>
          <w:rStyle w:val="FootnoteReference"/>
        </w:rPr>
        <w:footnoteReference w:id="12"/>
      </w:r>
      <w:r w:rsidR="6AFF34AF" w:rsidRPr="3220C020">
        <w:t xml:space="preserve"> that allow for the indirect export of Canadian arms to Israel via the U.S., which are used to facilitate violations of international human rights and international humanitarian law.</w:t>
      </w:r>
    </w:p>
    <w:p w14:paraId="4127B163" w14:textId="5273A4F3" w:rsidR="00051E81" w:rsidRPr="00986796" w:rsidRDefault="00F4688C" w:rsidP="000E06C7">
      <w:pPr>
        <w:ind w:left="426" w:hanging="426"/>
      </w:pPr>
      <w:r>
        <w:t xml:space="preserve">10. </w:t>
      </w:r>
      <w:r w:rsidR="000E06C7">
        <w:tab/>
      </w:r>
      <w:r w:rsidR="3220C020" w:rsidRPr="3220C020">
        <w:t xml:space="preserve">As such, the authors submit that </w:t>
      </w:r>
      <w:r w:rsidR="3220C020" w:rsidRPr="3220C020">
        <w:rPr>
          <w:b/>
          <w:bCs/>
        </w:rPr>
        <w:t>Canada, the Netherlands, Australia and similarly situated States Parties</w:t>
      </w:r>
      <w:r w:rsidR="3220C020" w:rsidRPr="3220C020">
        <w:t xml:space="preserve"> are in serious breach of their obligations under the </w:t>
      </w:r>
      <w:proofErr w:type="gramStart"/>
      <w:r w:rsidR="3220C020" w:rsidRPr="3220C020">
        <w:t>CRPD, and</w:t>
      </w:r>
      <w:proofErr w:type="gramEnd"/>
      <w:r w:rsidR="3220C020" w:rsidRPr="3220C020">
        <w:t xml:space="preserve"> recommend that they take urgent measures to comply.</w:t>
      </w:r>
    </w:p>
    <w:p w14:paraId="49D9C704" w14:textId="13BD6DF6" w:rsidR="007B3571" w:rsidRPr="007B3571" w:rsidRDefault="3220C020" w:rsidP="3220C020">
      <w:pPr>
        <w:pStyle w:val="Heading2"/>
        <w:ind w:hanging="283"/>
        <w:rPr>
          <w:rFonts w:ascii="Arial" w:eastAsia="Arial" w:hAnsi="Arial" w:cs="Arial"/>
        </w:rPr>
      </w:pPr>
      <w:r w:rsidRPr="3220C020">
        <w:rPr>
          <w:rFonts w:ascii="Arial" w:eastAsia="Arial" w:hAnsi="Arial" w:cs="Arial"/>
        </w:rPr>
        <w:t>II. FACTUAL BACKGROUND</w:t>
      </w:r>
    </w:p>
    <w:p w14:paraId="504C1AAC" w14:textId="6E0860BA" w:rsidR="007B3571" w:rsidRPr="007B3571" w:rsidRDefault="00F4688C" w:rsidP="000E06C7">
      <w:pPr>
        <w:ind w:left="426" w:hanging="426"/>
      </w:pPr>
      <w:r>
        <w:t xml:space="preserve">11. </w:t>
      </w:r>
      <w:r w:rsidR="000E06C7">
        <w:tab/>
      </w:r>
      <w:r w:rsidR="3220C020" w:rsidRPr="3220C020">
        <w:t xml:space="preserve">The current Israeli assault on the civilian population of the unlawfully Occupied Palestinian Territory (OPT), and </w:t>
      </w:r>
      <w:proofErr w:type="spellStart"/>
      <w:r w:rsidR="3220C020" w:rsidRPr="3220C020">
        <w:t>its</w:t>
      </w:r>
      <w:proofErr w:type="spellEnd"/>
      <w:r w:rsidR="3220C020" w:rsidRPr="3220C020">
        <w:t xml:space="preserve"> devastating impacts on persons with disabilities, have been explored at length both in previous submissions to the Committee, as well as in other submissions to the current session. This report will briefly summarize the background of the current conflict as well as its chief impacts on persons with </w:t>
      </w:r>
      <w:proofErr w:type="gramStart"/>
      <w:r w:rsidR="3220C020" w:rsidRPr="3220C020">
        <w:t>disabilities, but</w:t>
      </w:r>
      <w:proofErr w:type="gramEnd"/>
      <w:r w:rsidR="3220C020" w:rsidRPr="3220C020">
        <w:t xml:space="preserve"> focus primarily on the role of arms exports to Israel by other States Parties.</w:t>
      </w:r>
    </w:p>
    <w:p w14:paraId="674D19AF" w14:textId="6D032B5C" w:rsidR="005A39B6" w:rsidRPr="00986796" w:rsidRDefault="3220C020" w:rsidP="00CA342B">
      <w:pPr>
        <w:pStyle w:val="Heading2"/>
        <w:ind w:firstLine="143"/>
        <w:rPr>
          <w:rFonts w:ascii="Arial" w:eastAsia="Arial" w:hAnsi="Arial" w:cs="Arial"/>
          <w:i/>
          <w:iCs/>
        </w:rPr>
      </w:pPr>
      <w:bookmarkStart w:id="1" w:name="_Toc185484253"/>
      <w:r w:rsidRPr="3220C020">
        <w:rPr>
          <w:rFonts w:ascii="Arial" w:eastAsia="Arial" w:hAnsi="Arial" w:cs="Arial"/>
          <w:i/>
          <w:iCs/>
        </w:rPr>
        <w:t>A. Background on the Conflict</w:t>
      </w:r>
      <w:bookmarkEnd w:id="1"/>
    </w:p>
    <w:p w14:paraId="13DF29EA" w14:textId="422433D0" w:rsidR="005A39B6" w:rsidRPr="00986796" w:rsidRDefault="00F4688C" w:rsidP="000E06C7">
      <w:pPr>
        <w:ind w:left="426" w:hanging="426"/>
      </w:pPr>
      <w:r>
        <w:t xml:space="preserve">12. </w:t>
      </w:r>
      <w:r w:rsidR="000E06C7">
        <w:tab/>
      </w:r>
      <w:r w:rsidR="005A39B6" w:rsidRPr="3220C020">
        <w:t xml:space="preserve">The current war on Gaza and violations of the rights of persons with disabilities must be contextualized and understood in relation to Western settler colonialism and a long history of prior systematic human rights violations and denial of self-determination, occupation, and </w:t>
      </w:r>
      <w:r w:rsidR="005A39B6" w:rsidRPr="3220C020">
        <w:lastRenderedPageBreak/>
        <w:t xml:space="preserve">control by Israel, which have had a disproportionate impact on Palestinians with disabilities. Israel’s violations of international law with respect to Palestine predate the current assault, tracing its roots back as far as the 1948 </w:t>
      </w:r>
      <w:r w:rsidR="005A39B6" w:rsidRPr="00F4688C">
        <w:rPr>
          <w:i/>
          <w:iCs/>
        </w:rPr>
        <w:t>N</w:t>
      </w:r>
      <w:r w:rsidR="005A39B6" w:rsidRPr="3220C020">
        <w:rPr>
          <w:i/>
          <w:iCs/>
        </w:rPr>
        <w:t>akba</w:t>
      </w:r>
      <w:r w:rsidR="00C13A68">
        <w:t>—</w:t>
      </w:r>
      <w:r w:rsidR="005A39B6" w:rsidRPr="3220C020">
        <w:t>the mass displacement and dispossession of Palestinians during the establishment of the State of Israel.</w:t>
      </w:r>
      <w:r w:rsidR="005A39B6" w:rsidRPr="3220C020">
        <w:rPr>
          <w:vertAlign w:val="superscript"/>
        </w:rPr>
        <w:footnoteReference w:id="13"/>
      </w:r>
      <w:r w:rsidR="005A39B6" w:rsidRPr="3220C020">
        <w:t xml:space="preserve"> This history includes numerous violations of international law by Israel, including the ongoing occupation of the Gaza Strip and the West Bank (including East Jerusalem) following the Six-Day War of 1967. Despite multiple international rulings on the illegality of the prolonged occupation, settlement</w:t>
      </w:r>
      <w:r w:rsidR="006A0AFD">
        <w:t>,</w:t>
      </w:r>
      <w:r w:rsidR="005A39B6" w:rsidRPr="3220C020">
        <w:t xml:space="preserve"> and annexation of the Palestinian territory in violation of the Palestinian people’s right to self-determination, Israel has been intransigent in its contempt for the international rules-based order. </w:t>
      </w:r>
    </w:p>
    <w:p w14:paraId="7357B997" w14:textId="3CB02F94" w:rsidR="005A39B6" w:rsidRPr="00986796" w:rsidRDefault="00F4688C" w:rsidP="000E06C7">
      <w:pPr>
        <w:ind w:left="426" w:hanging="426"/>
      </w:pPr>
      <w:r>
        <w:t xml:space="preserve">13. </w:t>
      </w:r>
      <w:r w:rsidR="000E06C7">
        <w:tab/>
      </w:r>
      <w:r w:rsidR="005A39B6" w:rsidRPr="3220C020">
        <w:t>In 2024, the International Court of Justice (ICJ) released an Advisory Opinion</w:t>
      </w:r>
      <w:r w:rsidR="005A39B6" w:rsidRPr="3220C020">
        <w:rPr>
          <w:vertAlign w:val="superscript"/>
        </w:rPr>
        <w:footnoteReference w:id="14"/>
      </w:r>
      <w:r w:rsidR="005A39B6" w:rsidRPr="3220C020">
        <w:t xml:space="preserve"> finding that Israel’s policies and practices towards the OPT since 1967 violate the Fourth Geneva Convention and the Hague Regulations, along with the human rights treaties to which Israel is a party.</w:t>
      </w:r>
      <w:r w:rsidR="005A39B6" w:rsidRPr="3220C020">
        <w:rPr>
          <w:vertAlign w:val="superscript"/>
        </w:rPr>
        <w:footnoteReference w:id="15"/>
      </w:r>
      <w:r w:rsidR="005A39B6" w:rsidRPr="3220C020">
        <w:t xml:space="preserve"> Acts ruled illegal by the ICJ include the legalization, entrenchment, and integration of Israeli settlements in Palestinian territory,</w:t>
      </w:r>
      <w:r w:rsidR="005A39B6" w:rsidRPr="3220C020">
        <w:rPr>
          <w:vertAlign w:val="superscript"/>
        </w:rPr>
        <w:footnoteReference w:id="16"/>
      </w:r>
      <w:r w:rsidR="005A39B6" w:rsidRPr="3220C020">
        <w:t xml:space="preserve"> the confiscation of Palestinian land and private property,</w:t>
      </w:r>
      <w:r w:rsidR="005A39B6" w:rsidRPr="3220C020">
        <w:rPr>
          <w:vertAlign w:val="superscript"/>
        </w:rPr>
        <w:footnoteReference w:id="17"/>
      </w:r>
      <w:r w:rsidR="005A39B6" w:rsidRPr="3220C020">
        <w:t xml:space="preserve"> the exploitation and restriction of natural resources including water to the detriment of the Palestinian people,</w:t>
      </w:r>
      <w:r w:rsidR="005A39B6" w:rsidRPr="3220C020">
        <w:rPr>
          <w:vertAlign w:val="superscript"/>
        </w:rPr>
        <w:footnoteReference w:id="18"/>
      </w:r>
      <w:r w:rsidR="005A39B6" w:rsidRPr="3220C020">
        <w:t xml:space="preserve"> the replacement of local laws with Israeli military law,</w:t>
      </w:r>
      <w:r w:rsidR="005A39B6" w:rsidRPr="3220C020">
        <w:rPr>
          <w:vertAlign w:val="superscript"/>
        </w:rPr>
        <w:footnoteReference w:id="19"/>
      </w:r>
      <w:r w:rsidR="005A39B6" w:rsidRPr="3220C020">
        <w:t xml:space="preserve"> the displacement of the Palestinian population by forcible eviction and creation of conditions compelling their departure,</w:t>
      </w:r>
      <w:r w:rsidR="005A39B6" w:rsidRPr="3220C020">
        <w:rPr>
          <w:vertAlign w:val="superscript"/>
        </w:rPr>
        <w:footnoteReference w:id="20"/>
      </w:r>
      <w:r w:rsidR="005A39B6" w:rsidRPr="3220C020">
        <w:t xml:space="preserve"> Israel’s failure to prevent and punish attacks against Palestinian civilians by settlers,</w:t>
      </w:r>
      <w:r w:rsidR="005A39B6" w:rsidRPr="3220C020">
        <w:rPr>
          <w:vertAlign w:val="superscript"/>
        </w:rPr>
        <w:footnoteReference w:id="21"/>
      </w:r>
      <w:r w:rsidR="005A39B6" w:rsidRPr="3220C020">
        <w:t xml:space="preserve"> and the systemic discrimination of Palestinians on the basis of race, religion or ethnic origin.</w:t>
      </w:r>
      <w:r w:rsidR="005A39B6" w:rsidRPr="3220C020">
        <w:rPr>
          <w:vertAlign w:val="superscript"/>
        </w:rPr>
        <w:footnoteReference w:id="22"/>
      </w:r>
      <w:r w:rsidR="005A39B6" w:rsidRPr="3220C020">
        <w:t xml:space="preserve"> The ICJ ruled that Israel must discontinue these acts and provide full reparation for all internationally wrongful acts.</w:t>
      </w:r>
      <w:r w:rsidR="005A39B6" w:rsidRPr="3220C020">
        <w:rPr>
          <w:vertAlign w:val="superscript"/>
        </w:rPr>
        <w:footnoteReference w:id="23"/>
      </w:r>
      <w:r w:rsidR="005A39B6" w:rsidRPr="3220C020">
        <w:t xml:space="preserve"> The ICJ also noted the legal obligation of other States to ensure Israel’s compliance with international law.</w:t>
      </w:r>
      <w:r w:rsidR="005A39B6" w:rsidRPr="3220C020">
        <w:rPr>
          <w:vertAlign w:val="superscript"/>
        </w:rPr>
        <w:footnoteReference w:id="24"/>
      </w:r>
    </w:p>
    <w:p w14:paraId="2F14144C" w14:textId="28F79231" w:rsidR="005A39B6" w:rsidRPr="00986796" w:rsidRDefault="00F4688C" w:rsidP="000E06C7">
      <w:pPr>
        <w:ind w:left="426" w:hanging="426"/>
      </w:pPr>
      <w:r>
        <w:lastRenderedPageBreak/>
        <w:t>14</w:t>
      </w:r>
      <w:proofErr w:type="gramStart"/>
      <w:r>
        <w:t xml:space="preserve">. </w:t>
      </w:r>
      <w:r w:rsidR="000E06C7">
        <w:tab/>
      </w:r>
      <w:r w:rsidR="005A39B6" w:rsidRPr="3220C020">
        <w:t>Long</w:t>
      </w:r>
      <w:proofErr w:type="gramEnd"/>
      <w:r w:rsidR="005A39B6" w:rsidRPr="3220C020">
        <w:t xml:space="preserve"> before </w:t>
      </w:r>
      <w:r w:rsidR="6AFF34AF" w:rsidRPr="3220C020">
        <w:t xml:space="preserve">7 </w:t>
      </w:r>
      <w:r w:rsidR="005A39B6" w:rsidRPr="3220C020">
        <w:t>October 2023 and the ICJ’s 2024 Advisory Opinion, multiple human rights organizations and experts continuously raised serious concerns about the human rights situation in the Gaza Strip. Human Rights Watch reported that the 15-year lockdown of the territory beginning in 2007 effectively created “an open-air prison” for more than 2 million Palestinians.</w:t>
      </w:r>
      <w:r w:rsidR="005A39B6" w:rsidRPr="3220C020">
        <w:rPr>
          <w:vertAlign w:val="superscript"/>
        </w:rPr>
        <w:footnoteReference w:id="25"/>
      </w:r>
      <w:r w:rsidR="005A39B6" w:rsidRPr="3220C020">
        <w:t xml:space="preserve"> The border closures prevented the free movement of the population and severely restricted their access to goods, resulting in the violations of various guaranteed right and freedoms.</w:t>
      </w:r>
      <w:r w:rsidR="005A39B6" w:rsidRPr="3220C020">
        <w:rPr>
          <w:vertAlign w:val="superscript"/>
        </w:rPr>
        <w:footnoteReference w:id="26"/>
      </w:r>
      <w:r w:rsidR="005A39B6" w:rsidRPr="3220C020">
        <w:t xml:space="preserve"> Israel’s military attacks on Gaza and the killings of civilians are also not new, with multiple assaults since Israel’s military withdrawal in 2005, including: a 22-day military offensive in 2008 killing 1,400 Palestinians and 13 Israelis; a 7-week war in 2014 killing 2,100 Palestinians and 73 Israelis (including 67 soldiers); the killing of 170 Palestinians in 2018 as a result of several months of Palestinian protests; the killing of 260 people in Gaza and 13 in Israel in 2021; and the killing of 30 Palestinians by air attacks in 2022.</w:t>
      </w:r>
      <w:r w:rsidR="005A39B6" w:rsidRPr="3220C020">
        <w:rPr>
          <w:vertAlign w:val="superscript"/>
        </w:rPr>
        <w:footnoteReference w:id="27"/>
      </w:r>
      <w:r w:rsidR="005A39B6" w:rsidRPr="3220C020">
        <w:t xml:space="preserve"> Multiple rights groups have also categorized Israel’s conduct in the OPT as the crime against humanity of apartheid.</w:t>
      </w:r>
      <w:r w:rsidR="005A39B6" w:rsidRPr="3220C020">
        <w:rPr>
          <w:vertAlign w:val="superscript"/>
        </w:rPr>
        <w:footnoteReference w:id="28"/>
      </w:r>
      <w:r w:rsidR="005A39B6" w:rsidRPr="3220C020">
        <w:t xml:space="preserve"> </w:t>
      </w:r>
    </w:p>
    <w:p w14:paraId="78AF7C49" w14:textId="6BBAF2C9" w:rsidR="007B3571" w:rsidRPr="0084059A" w:rsidRDefault="3220C020" w:rsidP="00CA342B">
      <w:pPr>
        <w:pStyle w:val="Heading2"/>
        <w:ind w:firstLine="143"/>
        <w:rPr>
          <w:rFonts w:ascii="Arial" w:eastAsia="Arial" w:hAnsi="Arial" w:cs="Arial"/>
          <w:i/>
          <w:iCs/>
        </w:rPr>
      </w:pPr>
      <w:r w:rsidRPr="3220C020">
        <w:rPr>
          <w:rFonts w:ascii="Arial" w:eastAsia="Arial" w:hAnsi="Arial" w:cs="Arial"/>
          <w:i/>
          <w:iCs/>
        </w:rPr>
        <w:t>B. Impacts on Persons with Disabilities</w:t>
      </w:r>
    </w:p>
    <w:p w14:paraId="60E31674" w14:textId="72CD5B47" w:rsidR="007B3571" w:rsidRPr="0084059A" w:rsidRDefault="00F4688C" w:rsidP="000E06C7">
      <w:pPr>
        <w:ind w:left="426" w:hanging="426"/>
      </w:pPr>
      <w:r>
        <w:t>15</w:t>
      </w:r>
      <w:proofErr w:type="gramStart"/>
      <w:r>
        <w:t xml:space="preserve">. </w:t>
      </w:r>
      <w:r w:rsidR="000E06C7">
        <w:tab/>
      </w:r>
      <w:r w:rsidR="3220C020" w:rsidRPr="3220C020">
        <w:t>Human</w:t>
      </w:r>
      <w:proofErr w:type="gramEnd"/>
      <w:r w:rsidR="3220C020" w:rsidRPr="3220C020">
        <w:t xml:space="preserve"> rights organizations and experts have long raised their serious concerns about </w:t>
      </w:r>
      <w:proofErr w:type="gramStart"/>
      <w:r w:rsidR="3220C020" w:rsidRPr="3220C020">
        <w:t>the systemic</w:t>
      </w:r>
      <w:proofErr w:type="gramEnd"/>
      <w:r w:rsidR="3220C020" w:rsidRPr="3220C020">
        <w:t xml:space="preserve"> discrimination denying </w:t>
      </w:r>
      <w:proofErr w:type="gramStart"/>
      <w:r w:rsidR="3220C020" w:rsidRPr="3220C020">
        <w:t>persons</w:t>
      </w:r>
      <w:proofErr w:type="gramEnd"/>
      <w:r w:rsidR="3220C020" w:rsidRPr="3220C020">
        <w:t xml:space="preserve"> with disabilities in Gaza their autonomy, dignity, and independent living. Since 7 October 2023, the war on Gaza has further stripped </w:t>
      </w:r>
      <w:proofErr w:type="gramStart"/>
      <w:r w:rsidR="3220C020" w:rsidRPr="3220C020">
        <w:t>persons</w:t>
      </w:r>
      <w:proofErr w:type="gramEnd"/>
      <w:r w:rsidR="3220C020" w:rsidRPr="3220C020">
        <w:t xml:space="preserve"> with disabilities of choice and control over their lives, escalating into widespread CRPD violations:</w:t>
      </w:r>
    </w:p>
    <w:p w14:paraId="43F71D62" w14:textId="22A627BE" w:rsidR="007B3571" w:rsidRPr="0084059A" w:rsidRDefault="3220C020" w:rsidP="00F4688C">
      <w:pPr>
        <w:pStyle w:val="ListParagraph"/>
        <w:numPr>
          <w:ilvl w:val="0"/>
          <w:numId w:val="16"/>
        </w:numPr>
      </w:pPr>
      <w:proofErr w:type="gramStart"/>
      <w:r w:rsidRPr="3220C020">
        <w:t>Persons</w:t>
      </w:r>
      <w:proofErr w:type="gramEnd"/>
      <w:r w:rsidRPr="3220C020">
        <w:t xml:space="preserve"> with disabilities have suffered from direct military attacks resulting in psychological trauma, loss of life, worsening of existing disabilities, and acquisition of secondary </w:t>
      </w:r>
      <w:proofErr w:type="gramStart"/>
      <w:r w:rsidRPr="3220C020">
        <w:t>disabilities;</w:t>
      </w:r>
      <w:proofErr w:type="gramEnd"/>
    </w:p>
    <w:p w14:paraId="7700ABF0" w14:textId="5B4F78C4" w:rsidR="007B3571" w:rsidRPr="0084059A" w:rsidRDefault="3220C020" w:rsidP="00F4688C">
      <w:pPr>
        <w:pStyle w:val="ListParagraph"/>
        <w:numPr>
          <w:ilvl w:val="0"/>
          <w:numId w:val="16"/>
        </w:numPr>
      </w:pPr>
      <w:r w:rsidRPr="3220C020">
        <w:t xml:space="preserve">Inaccessible and inadequate warning systems and evacuation procedures have left </w:t>
      </w:r>
      <w:proofErr w:type="gramStart"/>
      <w:r w:rsidRPr="3220C020">
        <w:t>persons</w:t>
      </w:r>
      <w:proofErr w:type="gramEnd"/>
      <w:r w:rsidRPr="3220C020">
        <w:t xml:space="preserve"> with disabilities disproportionately vulnerable to harm during forced </w:t>
      </w:r>
      <w:proofErr w:type="gramStart"/>
      <w:r w:rsidRPr="3220C020">
        <w:t>displacement;</w:t>
      </w:r>
      <w:proofErr w:type="gramEnd"/>
    </w:p>
    <w:p w14:paraId="7065EF70" w14:textId="12D8E1C1" w:rsidR="007B3571" w:rsidRPr="0084059A" w:rsidRDefault="3220C020" w:rsidP="00F4688C">
      <w:pPr>
        <w:pStyle w:val="ListParagraph"/>
        <w:numPr>
          <w:ilvl w:val="0"/>
          <w:numId w:val="16"/>
        </w:numPr>
      </w:pPr>
      <w:r w:rsidRPr="3220C020">
        <w:lastRenderedPageBreak/>
        <w:t xml:space="preserve">Restrictions on movement and humanitarian aid have prevented access to essential services, including food, water, shelter, rehabilitation, and medical treatment </w:t>
      </w:r>
      <w:proofErr w:type="gramStart"/>
      <w:r w:rsidRPr="3220C020">
        <w:t>abroad;</w:t>
      </w:r>
      <w:proofErr w:type="gramEnd"/>
    </w:p>
    <w:p w14:paraId="592F5711" w14:textId="255967D5" w:rsidR="007B3571" w:rsidRPr="0084059A" w:rsidRDefault="3220C020" w:rsidP="00F4688C">
      <w:pPr>
        <w:pStyle w:val="ListParagraph"/>
        <w:numPr>
          <w:ilvl w:val="0"/>
          <w:numId w:val="16"/>
        </w:numPr>
      </w:pPr>
      <w:r w:rsidRPr="3220C020">
        <w:t xml:space="preserve">Attacks on medical infrastructure have prevented persons with disabilities access to critical treatments, preventative care, medications, assistive devices, and rehabilitation </w:t>
      </w:r>
      <w:proofErr w:type="gramStart"/>
      <w:r w:rsidRPr="3220C020">
        <w:t>services;</w:t>
      </w:r>
      <w:proofErr w:type="gramEnd"/>
    </w:p>
    <w:p w14:paraId="7267987C" w14:textId="71F10B20" w:rsidR="007B3571" w:rsidRPr="0084059A" w:rsidRDefault="3220C020" w:rsidP="00F4688C">
      <w:pPr>
        <w:pStyle w:val="ListParagraph"/>
        <w:numPr>
          <w:ilvl w:val="0"/>
          <w:numId w:val="16"/>
        </w:numPr>
      </w:pPr>
      <w:r w:rsidRPr="3220C020">
        <w:t xml:space="preserve">The destruction of disability rights organizations and the separation of caregivers have left many </w:t>
      </w:r>
      <w:proofErr w:type="gramStart"/>
      <w:r w:rsidRPr="3220C020">
        <w:t>persons</w:t>
      </w:r>
      <w:proofErr w:type="gramEnd"/>
      <w:r w:rsidRPr="3220C020">
        <w:t xml:space="preserve"> with disabilities without essential </w:t>
      </w:r>
      <w:proofErr w:type="gramStart"/>
      <w:r w:rsidRPr="3220C020">
        <w:t>support;</w:t>
      </w:r>
      <w:proofErr w:type="gramEnd"/>
    </w:p>
    <w:p w14:paraId="118D5CDD" w14:textId="4744C608" w:rsidR="007B3571" w:rsidRPr="0084059A" w:rsidRDefault="3220C020" w:rsidP="00F4688C">
      <w:pPr>
        <w:pStyle w:val="ListParagraph"/>
        <w:numPr>
          <w:ilvl w:val="0"/>
          <w:numId w:val="16"/>
        </w:numPr>
      </w:pPr>
      <w:r w:rsidRPr="3220C020">
        <w:t>Persons with disabilities who have been detained by Israeli forces have experienced inhumane conditions, mistreatment and violence, and unique forms of discrimination; and</w:t>
      </w:r>
    </w:p>
    <w:p w14:paraId="68C556E9" w14:textId="798C9E69" w:rsidR="007B3571" w:rsidRPr="0084059A" w:rsidRDefault="3220C020" w:rsidP="00F4688C">
      <w:pPr>
        <w:pStyle w:val="ListParagraph"/>
        <w:numPr>
          <w:ilvl w:val="0"/>
          <w:numId w:val="16"/>
        </w:numPr>
      </w:pPr>
      <w:r w:rsidRPr="3220C020">
        <w:t>Women and children with disabilities face heightened vulnerabilities including from violence, inadequate healthcare, and collapsing education systems.</w:t>
      </w:r>
    </w:p>
    <w:p w14:paraId="2D2448BB" w14:textId="642E75CC" w:rsidR="7741109F" w:rsidRDefault="3220C020" w:rsidP="00CA342B">
      <w:pPr>
        <w:pStyle w:val="Heading2"/>
        <w:ind w:firstLine="143"/>
        <w:rPr>
          <w:rFonts w:ascii="Arial" w:eastAsia="Arial" w:hAnsi="Arial" w:cs="Arial"/>
          <w:i/>
          <w:iCs/>
          <w:sz w:val="24"/>
          <w:szCs w:val="24"/>
        </w:rPr>
      </w:pPr>
      <w:r w:rsidRPr="3220C020">
        <w:rPr>
          <w:rFonts w:ascii="Arial" w:eastAsia="Arial" w:hAnsi="Arial" w:cs="Arial"/>
          <w:i/>
          <w:iCs/>
        </w:rPr>
        <w:t>C. Arms Exports to Israel by States Parties</w:t>
      </w:r>
      <w:bookmarkEnd w:id="0"/>
    </w:p>
    <w:p w14:paraId="39210788" w14:textId="3EE334E5" w:rsidR="7741109F" w:rsidRDefault="00F4688C" w:rsidP="000E06C7">
      <w:pPr>
        <w:ind w:left="426" w:hanging="426"/>
        <w:rPr>
          <w:color w:val="000000" w:themeColor="text1"/>
          <w:vertAlign w:val="superscript"/>
        </w:rPr>
      </w:pPr>
      <w:r>
        <w:rPr>
          <w:color w:val="000000" w:themeColor="text1"/>
        </w:rPr>
        <w:t xml:space="preserve">16. </w:t>
      </w:r>
      <w:r w:rsidR="000E06C7">
        <w:rPr>
          <w:color w:val="000000" w:themeColor="text1"/>
        </w:rPr>
        <w:tab/>
      </w:r>
      <w:r w:rsidR="3220C020" w:rsidRPr="3220C020">
        <w:rPr>
          <w:color w:val="000000" w:themeColor="text1"/>
        </w:rPr>
        <w:t>The rights violations detailed above are directly enabled by the arms that Israel receives, directly or indirectly, from third States, including many States Parties to the Convention. This report examines the complicity of these States by way of three examples: Canada, the Netherlands, and Australia.</w:t>
      </w:r>
    </w:p>
    <w:p w14:paraId="39103577" w14:textId="3B7DFAB1" w:rsidR="7C5CBD9B" w:rsidRDefault="3220C020" w:rsidP="000E06C7">
      <w:pPr>
        <w:pStyle w:val="Heading2"/>
        <w:ind w:firstLine="437"/>
        <w:rPr>
          <w:rFonts w:ascii="Arial" w:eastAsia="Arial" w:hAnsi="Arial" w:cs="Arial"/>
        </w:rPr>
      </w:pPr>
      <w:r w:rsidRPr="3220C020">
        <w:rPr>
          <w:rFonts w:ascii="Arial" w:eastAsia="Arial" w:hAnsi="Arial" w:cs="Arial"/>
        </w:rPr>
        <w:t>1. Canada</w:t>
      </w:r>
    </w:p>
    <w:p w14:paraId="6320A629" w14:textId="495AEC72" w:rsidR="008A75CF" w:rsidRPr="00051E81" w:rsidRDefault="00F4688C" w:rsidP="000E06C7">
      <w:pPr>
        <w:ind w:left="426" w:hanging="426"/>
        <w:rPr>
          <w:color w:val="000000" w:themeColor="text1"/>
        </w:rPr>
      </w:pPr>
      <w:r>
        <w:rPr>
          <w:color w:val="000000" w:themeColor="text1"/>
        </w:rPr>
        <w:t xml:space="preserve">17. </w:t>
      </w:r>
      <w:r w:rsidR="000E06C7">
        <w:rPr>
          <w:color w:val="000000" w:themeColor="text1"/>
        </w:rPr>
        <w:tab/>
      </w:r>
      <w:r w:rsidR="008A75CF" w:rsidRPr="3220C020">
        <w:rPr>
          <w:color w:val="000000" w:themeColor="text1"/>
        </w:rPr>
        <w:t>In Canada, military exports are governed by a permit-based regime. Generally, Canadian exporters are required to apply for and obtain a permit from the government to export arms.</w:t>
      </w:r>
      <w:r w:rsidR="008A75CF" w:rsidRPr="3220C020">
        <w:rPr>
          <w:color w:val="000000" w:themeColor="text1"/>
          <w:vertAlign w:val="superscript"/>
        </w:rPr>
        <w:footnoteReference w:id="29"/>
      </w:r>
    </w:p>
    <w:p w14:paraId="769361A3" w14:textId="21D37C79" w:rsidR="008A75CF" w:rsidRPr="00051E81" w:rsidRDefault="00F4688C" w:rsidP="000E06C7">
      <w:pPr>
        <w:ind w:left="426" w:hanging="426"/>
        <w:rPr>
          <w:color w:val="000000" w:themeColor="text1"/>
        </w:rPr>
      </w:pPr>
      <w:r>
        <w:rPr>
          <w:color w:val="000000" w:themeColor="text1"/>
        </w:rPr>
        <w:t xml:space="preserve">18. </w:t>
      </w:r>
      <w:r w:rsidR="000E06C7">
        <w:rPr>
          <w:color w:val="000000" w:themeColor="text1"/>
        </w:rPr>
        <w:tab/>
      </w:r>
      <w:r w:rsidR="008A75CF" w:rsidRPr="3220C020">
        <w:rPr>
          <w:color w:val="000000" w:themeColor="text1"/>
        </w:rPr>
        <w:t xml:space="preserve">In the months following </w:t>
      </w:r>
      <w:r w:rsidR="008A75CF" w:rsidRPr="3220C020" w:rsidDel="718C4F82">
        <w:rPr>
          <w:color w:val="000000" w:themeColor="text1"/>
        </w:rPr>
        <w:t xml:space="preserve">7 </w:t>
      </w:r>
      <w:r w:rsidR="008A75CF" w:rsidRPr="3220C020">
        <w:rPr>
          <w:color w:val="000000" w:themeColor="text1"/>
        </w:rPr>
        <w:t xml:space="preserve">October 2023, as Israeli atrocities in Gaza escalated dramatically, so too did Canada’s military support to Israel through arms exports. In the three months between October and December 2023 alone, the Canadian government authorized new permits </w:t>
      </w:r>
      <w:proofErr w:type="spellStart"/>
      <w:r w:rsidR="008A75CF" w:rsidRPr="3220C020">
        <w:rPr>
          <w:color w:val="000000" w:themeColor="text1"/>
        </w:rPr>
        <w:t>total</w:t>
      </w:r>
      <w:r w:rsidR="6AFF34AF" w:rsidRPr="3220C020">
        <w:rPr>
          <w:color w:val="000000" w:themeColor="text1"/>
        </w:rPr>
        <w:t>l</w:t>
      </w:r>
      <w:r w:rsidR="008A75CF" w:rsidRPr="3220C020">
        <w:rPr>
          <w:color w:val="000000" w:themeColor="text1"/>
        </w:rPr>
        <w:t>ing</w:t>
      </w:r>
      <w:proofErr w:type="spellEnd"/>
      <w:r w:rsidR="008A75CF" w:rsidRPr="3220C020">
        <w:rPr>
          <w:color w:val="000000" w:themeColor="text1"/>
        </w:rPr>
        <w:t xml:space="preserve"> at least C$28.5 million (</w:t>
      </w:r>
      <w:r w:rsidR="008A75CF" w:rsidRPr="3220C020" w:rsidDel="6AFF34AF">
        <w:rPr>
          <w:color w:val="000000" w:themeColor="text1"/>
        </w:rPr>
        <w:t>US</w:t>
      </w:r>
      <w:r w:rsidR="008A75CF" w:rsidRPr="3220C020">
        <w:rPr>
          <w:color w:val="000000" w:themeColor="text1"/>
        </w:rPr>
        <w:t>$20.8 million) of military exports to Israel.</w:t>
      </w:r>
      <w:r w:rsidR="008A75CF" w:rsidRPr="3220C020">
        <w:rPr>
          <w:color w:val="000000" w:themeColor="text1"/>
          <w:vertAlign w:val="superscript"/>
        </w:rPr>
        <w:footnoteReference w:id="30"/>
      </w:r>
      <w:r w:rsidR="008A75CF" w:rsidRPr="3220C020">
        <w:rPr>
          <w:color w:val="000000" w:themeColor="text1"/>
        </w:rPr>
        <w:t xml:space="preserve"> In contrast, the total value of such permits issued in </w:t>
      </w:r>
      <w:proofErr w:type="gramStart"/>
      <w:r w:rsidR="008A75CF" w:rsidRPr="3220C020">
        <w:rPr>
          <w:color w:val="000000" w:themeColor="text1"/>
        </w:rPr>
        <w:t>all of</w:t>
      </w:r>
      <w:proofErr w:type="gramEnd"/>
      <w:r w:rsidR="008A75CF" w:rsidRPr="3220C020">
        <w:rPr>
          <w:color w:val="000000" w:themeColor="text1"/>
        </w:rPr>
        <w:t xml:space="preserve"> the previous year amounted to just over C$21 million (</w:t>
      </w:r>
      <w:r w:rsidR="008A75CF" w:rsidRPr="3220C020" w:rsidDel="6AFF34AF">
        <w:rPr>
          <w:color w:val="000000" w:themeColor="text1"/>
        </w:rPr>
        <w:t>US</w:t>
      </w:r>
      <w:r w:rsidR="008A75CF" w:rsidRPr="3220C020">
        <w:rPr>
          <w:color w:val="000000" w:themeColor="text1"/>
        </w:rPr>
        <w:t>$15.3 million).</w:t>
      </w:r>
      <w:r w:rsidR="008A75CF" w:rsidRPr="3220C020">
        <w:rPr>
          <w:color w:val="000000" w:themeColor="text1"/>
          <w:vertAlign w:val="superscript"/>
        </w:rPr>
        <w:footnoteReference w:id="31"/>
      </w:r>
    </w:p>
    <w:p w14:paraId="165DCF16" w14:textId="37FFD71E" w:rsidR="00051E81" w:rsidRPr="00051E81" w:rsidRDefault="00F4688C" w:rsidP="000E06C7">
      <w:pPr>
        <w:ind w:left="426" w:hanging="426"/>
        <w:rPr>
          <w:color w:val="000000" w:themeColor="text1"/>
          <w:sz w:val="23"/>
          <w:szCs w:val="23"/>
          <w:vertAlign w:val="superscript"/>
        </w:rPr>
      </w:pPr>
      <w:r>
        <w:rPr>
          <w:color w:val="000000" w:themeColor="text1"/>
        </w:rPr>
        <w:lastRenderedPageBreak/>
        <w:t xml:space="preserve">19. </w:t>
      </w:r>
      <w:r w:rsidR="000E06C7">
        <w:rPr>
          <w:color w:val="000000" w:themeColor="text1"/>
        </w:rPr>
        <w:tab/>
      </w:r>
      <w:r w:rsidR="008A75CF" w:rsidRPr="3220C020">
        <w:rPr>
          <w:color w:val="000000" w:themeColor="text1"/>
        </w:rPr>
        <w:t>Following sustained public outcry and a non-binding motion in Parliament, the Canadian government agreed in March 2024 to cease issuing new permits for arms exports to Israel. However, the government did not cancel or suspend existing permits that had previously been issued but not utilized.</w:t>
      </w:r>
      <w:r w:rsidR="008A75CF" w:rsidRPr="3220C020">
        <w:rPr>
          <w:color w:val="000000" w:themeColor="text1"/>
          <w:vertAlign w:val="superscript"/>
        </w:rPr>
        <w:footnoteReference w:id="32"/>
      </w:r>
      <w:r w:rsidR="008A75CF" w:rsidRPr="3220C020">
        <w:rPr>
          <w:color w:val="000000" w:themeColor="text1"/>
        </w:rPr>
        <w:t xml:space="preserve"> </w:t>
      </w:r>
      <w:r w:rsidR="00051E81" w:rsidRPr="3220C020">
        <w:rPr>
          <w:color w:val="000000" w:themeColor="text1"/>
        </w:rPr>
        <w:t>In September 2024, the Minister of Foreign Affairs announced that Canada suspended about 30 existing permits for weapons exports to Israel. This represented only a fraction of existing active permits (approximately 200), and the government provided little information on how the decision was made to suspend these 30 permits or what they were meant to export.</w:t>
      </w:r>
      <w:r w:rsidR="00051E81" w:rsidRPr="3220C020">
        <w:rPr>
          <w:color w:val="000000" w:themeColor="text1"/>
          <w:sz w:val="23"/>
          <w:szCs w:val="23"/>
          <w:vertAlign w:val="superscript"/>
        </w:rPr>
        <w:footnoteReference w:id="33"/>
      </w:r>
      <w:r w:rsidR="00051E81" w:rsidRPr="3220C020">
        <w:rPr>
          <w:color w:val="000000" w:themeColor="text1"/>
          <w:sz w:val="23"/>
          <w:szCs w:val="23"/>
          <w:vertAlign w:val="superscript"/>
        </w:rPr>
        <w:t xml:space="preserve"> </w:t>
      </w:r>
      <w:r w:rsidR="00051E81" w:rsidRPr="3220C020">
        <w:rPr>
          <w:color w:val="000000" w:themeColor="text1"/>
        </w:rPr>
        <w:t>The government also chose to suspend these permits rather than cancel them, which means they can be reactivated at any time.</w:t>
      </w:r>
    </w:p>
    <w:p w14:paraId="27DE2EA6" w14:textId="0CB36B56" w:rsidR="00051E81" w:rsidRPr="00051E81" w:rsidRDefault="00F4688C" w:rsidP="000E06C7">
      <w:pPr>
        <w:ind w:left="426" w:hanging="426"/>
        <w:rPr>
          <w:color w:val="000000" w:themeColor="text1"/>
        </w:rPr>
      </w:pPr>
      <w:r>
        <w:rPr>
          <w:color w:val="000000" w:themeColor="text1"/>
        </w:rPr>
        <w:t xml:space="preserve">20. </w:t>
      </w:r>
      <w:r w:rsidR="000E06C7">
        <w:rPr>
          <w:color w:val="000000" w:themeColor="text1"/>
        </w:rPr>
        <w:tab/>
      </w:r>
      <w:r w:rsidR="00051E81" w:rsidRPr="3220C020">
        <w:rPr>
          <w:color w:val="000000" w:themeColor="text1"/>
        </w:rPr>
        <w:t>Notably, Canada also did not freeze or cancel military exports that go to Israel through the U</w:t>
      </w:r>
      <w:r w:rsidR="00494D25">
        <w:rPr>
          <w:color w:val="000000" w:themeColor="text1"/>
        </w:rPr>
        <w:t>.</w:t>
      </w:r>
      <w:r w:rsidR="00051E81" w:rsidRPr="3220C020">
        <w:rPr>
          <w:color w:val="000000" w:themeColor="text1"/>
        </w:rPr>
        <w:t>S</w:t>
      </w:r>
      <w:r w:rsidR="00494D25">
        <w:rPr>
          <w:color w:val="000000" w:themeColor="text1"/>
        </w:rPr>
        <w:t>.</w:t>
      </w:r>
      <w:r w:rsidR="00051E81" w:rsidRPr="3220C020">
        <w:rPr>
          <w:color w:val="000000" w:themeColor="text1"/>
        </w:rPr>
        <w:t>, which are not subject to human rights assessments or controls. Given that Canada’s special arrangements effectively exempt most military exports to the U</w:t>
      </w:r>
      <w:r w:rsidR="00494D25">
        <w:rPr>
          <w:color w:val="000000" w:themeColor="text1"/>
        </w:rPr>
        <w:t>.</w:t>
      </w:r>
      <w:r w:rsidR="00051E81" w:rsidRPr="3220C020">
        <w:rPr>
          <w:color w:val="000000" w:themeColor="text1"/>
        </w:rPr>
        <w:t>S</w:t>
      </w:r>
      <w:r w:rsidR="00494D25">
        <w:rPr>
          <w:color w:val="000000" w:themeColor="text1"/>
        </w:rPr>
        <w:t>.</w:t>
      </w:r>
      <w:r w:rsidR="00051E81" w:rsidRPr="3220C020">
        <w:rPr>
          <w:color w:val="000000" w:themeColor="text1"/>
        </w:rPr>
        <w:t xml:space="preserve"> from permit requirements, the suspension of new export authorization</w:t>
      </w:r>
      <w:r w:rsidR="6AFF34AF" w:rsidRPr="3220C020">
        <w:rPr>
          <w:color w:val="000000" w:themeColor="text1"/>
        </w:rPr>
        <w:t>s</w:t>
      </w:r>
      <w:r w:rsidR="00051E81" w:rsidRPr="3220C020">
        <w:rPr>
          <w:color w:val="000000" w:themeColor="text1"/>
        </w:rPr>
        <w:t xml:space="preserve"> for direct arms to Israel does not impact the export of military goods and technology to Israel through the U</w:t>
      </w:r>
      <w:r w:rsidR="00494D25">
        <w:rPr>
          <w:color w:val="000000" w:themeColor="text1"/>
        </w:rPr>
        <w:t>.</w:t>
      </w:r>
      <w:r w:rsidR="00051E81" w:rsidRPr="3220C020">
        <w:rPr>
          <w:color w:val="000000" w:themeColor="text1"/>
        </w:rPr>
        <w:t>S. The U</w:t>
      </w:r>
      <w:r w:rsidR="00494D25">
        <w:rPr>
          <w:color w:val="000000" w:themeColor="text1"/>
        </w:rPr>
        <w:t>.</w:t>
      </w:r>
      <w:r w:rsidR="00051E81" w:rsidRPr="3220C020">
        <w:rPr>
          <w:color w:val="000000" w:themeColor="text1"/>
        </w:rPr>
        <w:t>S</w:t>
      </w:r>
      <w:r w:rsidR="00494D25">
        <w:rPr>
          <w:color w:val="000000" w:themeColor="text1"/>
        </w:rPr>
        <w:t>.</w:t>
      </w:r>
      <w:r w:rsidR="00051E81" w:rsidRPr="3220C020">
        <w:rPr>
          <w:color w:val="000000" w:themeColor="text1"/>
        </w:rPr>
        <w:t xml:space="preserve"> receives nearly half of all Canadian military exports</w:t>
      </w:r>
      <w:r w:rsidR="00051E81" w:rsidRPr="3220C020">
        <w:rPr>
          <w:color w:val="000000" w:themeColor="text1"/>
          <w:vertAlign w:val="superscript"/>
        </w:rPr>
        <w:footnoteReference w:id="34"/>
      </w:r>
      <w:r w:rsidR="00051E81" w:rsidRPr="3220C020">
        <w:rPr>
          <w:color w:val="000000" w:themeColor="text1"/>
        </w:rPr>
        <w:t xml:space="preserve"> and, as stated above, supplies approximately 70% of Israel’s total arms imports.</w:t>
      </w:r>
      <w:r w:rsidR="00051E81" w:rsidRPr="3220C020">
        <w:rPr>
          <w:color w:val="000000" w:themeColor="text1"/>
          <w:vertAlign w:val="superscript"/>
        </w:rPr>
        <w:footnoteReference w:id="35"/>
      </w:r>
      <w:r w:rsidR="00051E81" w:rsidRPr="3220C020">
        <w:rPr>
          <w:color w:val="000000" w:themeColor="text1"/>
        </w:rPr>
        <w:t xml:space="preserve"> </w:t>
      </w:r>
    </w:p>
    <w:p w14:paraId="6F86BA05" w14:textId="0702AD86" w:rsidR="008A75CF" w:rsidRPr="00051E81" w:rsidRDefault="00F4688C" w:rsidP="000E06C7">
      <w:pPr>
        <w:ind w:left="426" w:hanging="426"/>
        <w:rPr>
          <w:color w:val="000000" w:themeColor="text1"/>
        </w:rPr>
      </w:pPr>
      <w:r>
        <w:rPr>
          <w:color w:val="000000" w:themeColor="text1"/>
        </w:rPr>
        <w:t xml:space="preserve">21. </w:t>
      </w:r>
      <w:r w:rsidR="000E06C7">
        <w:rPr>
          <w:color w:val="000000" w:themeColor="text1"/>
        </w:rPr>
        <w:tab/>
      </w:r>
      <w:r w:rsidR="008A75CF" w:rsidRPr="3220C020">
        <w:rPr>
          <w:color w:val="000000" w:themeColor="text1"/>
        </w:rPr>
        <w:t>Pursuant to diplomatic agreements, Canada has implemented special regulations that exempt most military exports to the U</w:t>
      </w:r>
      <w:r w:rsidR="00494D25">
        <w:rPr>
          <w:color w:val="000000" w:themeColor="text1"/>
        </w:rPr>
        <w:t>.</w:t>
      </w:r>
      <w:r w:rsidR="008A75CF" w:rsidRPr="3220C020">
        <w:rPr>
          <w:color w:val="000000" w:themeColor="text1"/>
        </w:rPr>
        <w:t>S</w:t>
      </w:r>
      <w:r w:rsidR="00494D25">
        <w:rPr>
          <w:color w:val="000000" w:themeColor="text1"/>
        </w:rPr>
        <w:t>.</w:t>
      </w:r>
      <w:r w:rsidR="008A75CF" w:rsidRPr="3220C020">
        <w:rPr>
          <w:color w:val="000000" w:themeColor="text1"/>
        </w:rPr>
        <w:t xml:space="preserve"> from requiring individual permits as they otherwise would.</w:t>
      </w:r>
      <w:r w:rsidR="008A75CF" w:rsidRPr="3220C020">
        <w:rPr>
          <w:color w:val="000000" w:themeColor="text1"/>
          <w:vertAlign w:val="superscript"/>
        </w:rPr>
        <w:footnoteReference w:id="36"/>
      </w:r>
      <w:r w:rsidR="008A75CF" w:rsidRPr="3220C020">
        <w:rPr>
          <w:color w:val="000000" w:themeColor="text1"/>
        </w:rPr>
        <w:t xml:space="preserve"> Thus, the government’s cessation of new permits for direct arms exports to Israel does not affect indirect arms exports to Israel through the U</w:t>
      </w:r>
      <w:r w:rsidR="00494D25">
        <w:rPr>
          <w:color w:val="000000" w:themeColor="text1"/>
        </w:rPr>
        <w:t>.</w:t>
      </w:r>
      <w:r w:rsidR="008A75CF" w:rsidRPr="3220C020">
        <w:rPr>
          <w:color w:val="000000" w:themeColor="text1"/>
        </w:rPr>
        <w:t>S</w:t>
      </w:r>
      <w:r w:rsidR="00494D25">
        <w:rPr>
          <w:color w:val="000000" w:themeColor="text1"/>
        </w:rPr>
        <w:t>.</w:t>
      </w:r>
      <w:r w:rsidR="008A75CF" w:rsidRPr="3220C020">
        <w:rPr>
          <w:color w:val="000000" w:themeColor="text1"/>
        </w:rPr>
        <w:t>, which mostly do not require an individual permit in the first place.</w:t>
      </w:r>
    </w:p>
    <w:p w14:paraId="1E9B4A27" w14:textId="7F11947A" w:rsidR="008A75CF" w:rsidRPr="00051E81" w:rsidRDefault="00F4688C" w:rsidP="000E06C7">
      <w:pPr>
        <w:ind w:left="426" w:hanging="426"/>
        <w:rPr>
          <w:color w:val="000000" w:themeColor="text1"/>
        </w:rPr>
      </w:pPr>
      <w:r>
        <w:rPr>
          <w:color w:val="000000" w:themeColor="text1"/>
        </w:rPr>
        <w:t xml:space="preserve">22. </w:t>
      </w:r>
      <w:r w:rsidR="000E06C7">
        <w:rPr>
          <w:color w:val="000000" w:themeColor="text1"/>
        </w:rPr>
        <w:tab/>
      </w:r>
      <w:r w:rsidR="008A75CF" w:rsidRPr="3220C020">
        <w:rPr>
          <w:color w:val="000000" w:themeColor="text1"/>
        </w:rPr>
        <w:t>Further, Canada has no legal mechanism enabling it to control or restrict the reexport of Canadian military exports onward from the United States to third countries like Israel. In contrast, any reexport of U</w:t>
      </w:r>
      <w:r w:rsidR="00494D25">
        <w:rPr>
          <w:color w:val="000000" w:themeColor="text1"/>
        </w:rPr>
        <w:t>.</w:t>
      </w:r>
      <w:r w:rsidR="008A75CF" w:rsidRPr="3220C020">
        <w:rPr>
          <w:color w:val="000000" w:themeColor="text1"/>
        </w:rPr>
        <w:t>S</w:t>
      </w:r>
      <w:r w:rsidR="00494D25">
        <w:rPr>
          <w:color w:val="000000" w:themeColor="text1"/>
        </w:rPr>
        <w:t>.</w:t>
      </w:r>
      <w:r w:rsidR="008A75CF" w:rsidRPr="3220C020">
        <w:rPr>
          <w:color w:val="000000" w:themeColor="text1"/>
        </w:rPr>
        <w:t xml:space="preserve"> military exports to Canada onward to a third country requires </w:t>
      </w:r>
      <w:r w:rsidR="008A75CF" w:rsidRPr="3220C020">
        <w:rPr>
          <w:color w:val="000000" w:themeColor="text1"/>
        </w:rPr>
        <w:lastRenderedPageBreak/>
        <w:t>prior approval of the U</w:t>
      </w:r>
      <w:r w:rsidR="00494D25">
        <w:rPr>
          <w:color w:val="000000" w:themeColor="text1"/>
        </w:rPr>
        <w:t>.</w:t>
      </w:r>
      <w:r w:rsidR="008A75CF" w:rsidRPr="3220C020">
        <w:rPr>
          <w:color w:val="000000" w:themeColor="text1"/>
        </w:rPr>
        <w:t>S</w:t>
      </w:r>
      <w:r w:rsidR="00494D25">
        <w:rPr>
          <w:color w:val="000000" w:themeColor="text1"/>
        </w:rPr>
        <w:t>.</w:t>
      </w:r>
      <w:r w:rsidR="008A75CF" w:rsidRPr="3220C020">
        <w:rPr>
          <w:color w:val="000000" w:themeColor="text1"/>
        </w:rPr>
        <w:t xml:space="preserve"> Directorate of Defense Trade Controls.</w:t>
      </w:r>
      <w:r w:rsidR="008A75CF" w:rsidRPr="3220C020">
        <w:rPr>
          <w:color w:val="000000" w:themeColor="text1"/>
          <w:vertAlign w:val="superscript"/>
        </w:rPr>
        <w:footnoteReference w:id="37"/>
      </w:r>
      <w:r w:rsidR="008A75CF" w:rsidRPr="3220C020">
        <w:rPr>
          <w:color w:val="000000" w:themeColor="text1"/>
        </w:rPr>
        <w:t xml:space="preserve"> Canada does not impose similar reexport controls reciprocally.</w:t>
      </w:r>
    </w:p>
    <w:p w14:paraId="46788911" w14:textId="425F6389" w:rsidR="008A75CF" w:rsidRPr="00051E81" w:rsidRDefault="00F4688C" w:rsidP="000E06C7">
      <w:pPr>
        <w:ind w:left="426" w:hanging="426"/>
        <w:rPr>
          <w:color w:val="000000" w:themeColor="text1"/>
        </w:rPr>
      </w:pPr>
      <w:r>
        <w:rPr>
          <w:color w:val="000000" w:themeColor="text1"/>
        </w:rPr>
        <w:t xml:space="preserve">23. </w:t>
      </w:r>
      <w:r w:rsidR="000E06C7">
        <w:rPr>
          <w:color w:val="000000" w:themeColor="text1"/>
        </w:rPr>
        <w:tab/>
      </w:r>
      <w:r w:rsidR="008A75CF" w:rsidRPr="3220C020">
        <w:rPr>
          <w:color w:val="000000" w:themeColor="text1"/>
        </w:rPr>
        <w:t>Although there is scant publicly available information on Canadian arms exports to Israel routed through the U</w:t>
      </w:r>
      <w:r w:rsidR="00494D25">
        <w:rPr>
          <w:color w:val="000000" w:themeColor="text1"/>
        </w:rPr>
        <w:t>.</w:t>
      </w:r>
      <w:r w:rsidR="008A75CF" w:rsidRPr="3220C020">
        <w:rPr>
          <w:color w:val="000000" w:themeColor="text1"/>
        </w:rPr>
        <w:t>S</w:t>
      </w:r>
      <w:r w:rsidR="00494D25">
        <w:rPr>
          <w:color w:val="000000" w:themeColor="text1"/>
        </w:rPr>
        <w:t>.</w:t>
      </w:r>
      <w:r w:rsidR="008A75CF" w:rsidRPr="3220C020">
        <w:rPr>
          <w:color w:val="000000" w:themeColor="text1"/>
        </w:rPr>
        <w:t>,</w:t>
      </w:r>
      <w:r w:rsidR="008A75CF" w:rsidRPr="3220C020" w:rsidDel="6AFF34AF">
        <w:rPr>
          <w:color w:val="000000" w:themeColor="text1"/>
        </w:rPr>
        <w:t xml:space="preserve"> it is</w:t>
      </w:r>
      <w:r w:rsidR="008A75CF" w:rsidRPr="3220C020">
        <w:rPr>
          <w:color w:val="000000" w:themeColor="text1"/>
        </w:rPr>
        <w:t xml:space="preserve"> likely</w:t>
      </w:r>
      <w:r w:rsidR="008A75CF" w:rsidRPr="3220C020" w:rsidDel="6AFF34AF">
        <w:rPr>
          <w:color w:val="000000" w:themeColor="text1"/>
        </w:rPr>
        <w:t xml:space="preserve"> that they are</w:t>
      </w:r>
      <w:r w:rsidR="008A75CF" w:rsidRPr="3220C020">
        <w:rPr>
          <w:color w:val="000000" w:themeColor="text1"/>
        </w:rPr>
        <w:t xml:space="preserve"> far more significant than direct exports. For instance, in just one transaction announced August </w:t>
      </w:r>
      <w:r w:rsidR="008A75CF" w:rsidRPr="3220C020" w:rsidDel="6AFF34AF">
        <w:rPr>
          <w:color w:val="000000" w:themeColor="text1"/>
        </w:rPr>
        <w:t xml:space="preserve">13, </w:t>
      </w:r>
      <w:r w:rsidR="008A75CF" w:rsidRPr="3220C020">
        <w:rPr>
          <w:color w:val="000000" w:themeColor="text1"/>
        </w:rPr>
        <w:t xml:space="preserve">2024, the Secretary of State approved the sale to Israel of over 50,000 120mm high-explosive mortar cartridges worth </w:t>
      </w:r>
      <w:r w:rsidR="008A75CF" w:rsidRPr="3220C020" w:rsidDel="6AFF34AF">
        <w:rPr>
          <w:color w:val="000000" w:themeColor="text1"/>
        </w:rPr>
        <w:t>US</w:t>
      </w:r>
      <w:r w:rsidR="008A75CF" w:rsidRPr="3220C020">
        <w:rPr>
          <w:color w:val="000000" w:themeColor="text1"/>
        </w:rPr>
        <w:t>$61.1 million, to be purchased from a Canadian manufacturer.</w:t>
      </w:r>
      <w:r w:rsidR="008A75CF" w:rsidRPr="3220C020">
        <w:rPr>
          <w:color w:val="000000" w:themeColor="text1"/>
          <w:vertAlign w:val="superscript"/>
        </w:rPr>
        <w:footnoteReference w:id="38"/>
      </w:r>
      <w:r w:rsidR="008A75CF" w:rsidRPr="3220C020">
        <w:rPr>
          <w:color w:val="000000" w:themeColor="text1"/>
        </w:rPr>
        <w:t xml:space="preserve"> The Israeli military has deployed 120mm mortars during their operations in Gaza since 2009 and is using them in Gaza currently.</w:t>
      </w:r>
      <w:r w:rsidR="008A75CF" w:rsidRPr="3220C020">
        <w:rPr>
          <w:color w:val="000000" w:themeColor="text1"/>
          <w:vertAlign w:val="superscript"/>
        </w:rPr>
        <w:footnoteReference w:id="39"/>
      </w:r>
    </w:p>
    <w:p w14:paraId="192F3548" w14:textId="4EC06033" w:rsidR="008A75CF" w:rsidRPr="00051E81" w:rsidRDefault="00F4688C" w:rsidP="000E06C7">
      <w:pPr>
        <w:ind w:left="426" w:hanging="426"/>
        <w:rPr>
          <w:color w:val="000000" w:themeColor="text1"/>
        </w:rPr>
      </w:pPr>
      <w:r>
        <w:rPr>
          <w:color w:val="000000" w:themeColor="text1"/>
        </w:rPr>
        <w:t xml:space="preserve">24. </w:t>
      </w:r>
      <w:r w:rsidR="000E06C7">
        <w:rPr>
          <w:color w:val="000000" w:themeColor="text1"/>
        </w:rPr>
        <w:tab/>
      </w:r>
      <w:r w:rsidR="008A75CF" w:rsidRPr="3220C020">
        <w:rPr>
          <w:color w:val="000000" w:themeColor="text1"/>
        </w:rPr>
        <w:t>Reports suggest that the Canadian government reacted to this announcement by writing a letter to the Canadian manufacturer, to “request” that it “temporarily refrain” from exporting the items.</w:t>
      </w:r>
      <w:r w:rsidR="008A75CF" w:rsidRPr="3220C020">
        <w:rPr>
          <w:color w:val="000000" w:themeColor="text1"/>
          <w:vertAlign w:val="superscript"/>
        </w:rPr>
        <w:footnoteReference w:id="40"/>
      </w:r>
      <w:r w:rsidR="008A75CF" w:rsidRPr="3220C020">
        <w:rPr>
          <w:color w:val="000000" w:themeColor="text1"/>
        </w:rPr>
        <w:t xml:space="preserve"> However</w:t>
      </w:r>
      <w:r w:rsidR="3220C020" w:rsidRPr="3220C020">
        <w:rPr>
          <w:color w:val="000000" w:themeColor="text1"/>
        </w:rPr>
        <w:t>,</w:t>
      </w:r>
      <w:r w:rsidR="008A75CF" w:rsidRPr="3220C020">
        <w:rPr>
          <w:color w:val="000000" w:themeColor="text1"/>
        </w:rPr>
        <w:t xml:space="preserve"> there is no indication that it made any move to affirmatively block the transaction. </w:t>
      </w:r>
      <w:r w:rsidR="6AFF34AF" w:rsidRPr="3220C020">
        <w:rPr>
          <w:color w:val="000000" w:themeColor="text1"/>
        </w:rPr>
        <w:t>In fact, the Canadian government’s reactions have been opaque and inadequate. In approving another sale of 155mm artillery shells to the U</w:t>
      </w:r>
      <w:r w:rsidR="00494D25">
        <w:rPr>
          <w:color w:val="000000" w:themeColor="text1"/>
        </w:rPr>
        <w:t>.</w:t>
      </w:r>
      <w:r w:rsidR="6AFF34AF" w:rsidRPr="3220C020">
        <w:rPr>
          <w:color w:val="000000" w:themeColor="text1"/>
        </w:rPr>
        <w:t>S</w:t>
      </w:r>
      <w:r w:rsidR="00494D25">
        <w:rPr>
          <w:color w:val="000000" w:themeColor="text1"/>
        </w:rPr>
        <w:t>.</w:t>
      </w:r>
      <w:r w:rsidR="6AFF34AF" w:rsidRPr="3220C020">
        <w:rPr>
          <w:color w:val="000000" w:themeColor="text1"/>
        </w:rPr>
        <w:t xml:space="preserve"> for onward transmission to Israel, a Canadian </w:t>
      </w:r>
      <w:r w:rsidR="0EBCB2DF" w:rsidRPr="3220C020">
        <w:rPr>
          <w:color w:val="000000" w:themeColor="text1"/>
        </w:rPr>
        <w:t xml:space="preserve">government agency summarily </w:t>
      </w:r>
      <w:r w:rsidR="6AFF34AF" w:rsidRPr="3220C020">
        <w:rPr>
          <w:color w:val="000000" w:themeColor="text1"/>
        </w:rPr>
        <w:t>stated without further explanation in March 2025 that all risks had been “appropriately mitigated,” despite identifying 99 cases of Israel’s alleged human rights abuses.</w:t>
      </w:r>
      <w:r w:rsidR="008A75CF" w:rsidRPr="3220C020">
        <w:rPr>
          <w:rStyle w:val="FootnoteReference"/>
          <w:color w:val="000000" w:themeColor="text1"/>
        </w:rPr>
        <w:footnoteReference w:id="41"/>
      </w:r>
    </w:p>
    <w:p w14:paraId="431BD868" w14:textId="737BFA0C" w:rsidR="008A75CF" w:rsidRPr="00051E81" w:rsidRDefault="00F4688C" w:rsidP="000E06C7">
      <w:pPr>
        <w:ind w:left="426" w:hanging="426"/>
        <w:rPr>
          <w:color w:val="000000" w:themeColor="text1"/>
        </w:rPr>
      </w:pPr>
      <w:r>
        <w:rPr>
          <w:color w:val="000000" w:themeColor="text1"/>
        </w:rPr>
        <w:t xml:space="preserve">25. </w:t>
      </w:r>
      <w:r w:rsidR="000E06C7">
        <w:rPr>
          <w:color w:val="000000" w:themeColor="text1"/>
        </w:rPr>
        <w:tab/>
      </w:r>
      <w:r w:rsidR="3220C020" w:rsidRPr="3220C020">
        <w:rPr>
          <w:color w:val="000000" w:themeColor="text1"/>
        </w:rPr>
        <w:t>Similarly, there is evidence that Canadian-made parts and components have gone into some of the key U.S.-supplied military equipment used by Israel to commit atrocities in Gaza. For instance:</w:t>
      </w:r>
    </w:p>
    <w:p w14:paraId="1E49F20A" w14:textId="3AC65E94" w:rsidR="008A75CF" w:rsidRPr="00051E81" w:rsidRDefault="008A75CF" w:rsidP="000E06C7">
      <w:pPr>
        <w:numPr>
          <w:ilvl w:val="0"/>
          <w:numId w:val="12"/>
        </w:numPr>
        <w:pBdr>
          <w:top w:val="nil"/>
          <w:left w:val="nil"/>
          <w:bottom w:val="nil"/>
          <w:right w:val="nil"/>
          <w:between w:val="nil"/>
        </w:pBdr>
        <w:ind w:left="1134" w:hanging="425"/>
        <w:rPr>
          <w:color w:val="000000" w:themeColor="text1"/>
        </w:rPr>
      </w:pPr>
      <w:r w:rsidRPr="3220C020">
        <w:rPr>
          <w:color w:val="000000" w:themeColor="text1"/>
        </w:rPr>
        <w:t>The F-35 Joint Strike Fighter is a multirole fighter aircraft that Israeli forces have used in the ongoing bombardment of Gaza.</w:t>
      </w:r>
      <w:r w:rsidRPr="3220C020">
        <w:rPr>
          <w:color w:val="000000" w:themeColor="text1"/>
          <w:vertAlign w:val="superscript"/>
        </w:rPr>
        <w:footnoteReference w:id="42"/>
      </w:r>
      <w:r w:rsidRPr="3220C020">
        <w:rPr>
          <w:color w:val="000000" w:themeColor="text1"/>
        </w:rPr>
        <w:t xml:space="preserve"> Since the late 1990s, Canadian-based suppliers have been awarded contracts for the F-35 program valued </w:t>
      </w:r>
      <w:proofErr w:type="gramStart"/>
      <w:r w:rsidRPr="3220C020">
        <w:rPr>
          <w:color w:val="000000" w:themeColor="text1"/>
        </w:rPr>
        <w:t>in excess of</w:t>
      </w:r>
      <w:proofErr w:type="gramEnd"/>
      <w:r w:rsidRPr="3220C020">
        <w:rPr>
          <w:color w:val="000000" w:themeColor="text1"/>
        </w:rPr>
        <w:t xml:space="preserve"> </w:t>
      </w:r>
      <w:r w:rsidRPr="3220C020" w:rsidDel="6AFF34AF">
        <w:rPr>
          <w:color w:val="000000" w:themeColor="text1"/>
        </w:rPr>
        <w:t>US</w:t>
      </w:r>
      <w:r w:rsidRPr="3220C020">
        <w:rPr>
          <w:color w:val="000000" w:themeColor="text1"/>
        </w:rPr>
        <w:t>$2.8 billion. A number of active F-35 production contracts include subawards to Canadian aerospace manufacturers or Canadian-based subsidiaries.</w:t>
      </w:r>
      <w:r w:rsidRPr="3220C020">
        <w:rPr>
          <w:color w:val="000000" w:themeColor="text1"/>
          <w:vertAlign w:val="superscript"/>
        </w:rPr>
        <w:footnoteReference w:id="43"/>
      </w:r>
      <w:r w:rsidRPr="3220C020">
        <w:rPr>
          <w:color w:val="000000" w:themeColor="text1"/>
        </w:rPr>
        <w:t xml:space="preserve"> An April 2018 </w:t>
      </w:r>
      <w:r w:rsidRPr="3220C020">
        <w:rPr>
          <w:color w:val="000000" w:themeColor="text1"/>
        </w:rPr>
        <w:lastRenderedPageBreak/>
        <w:t>study commissioned by Lockheed Martin stated that “there is $2.3 million USD [approximately C$3.1</w:t>
      </w:r>
      <w:r w:rsidR="00494D25">
        <w:rPr>
          <w:color w:val="000000" w:themeColor="text1"/>
        </w:rPr>
        <w:t xml:space="preserve"> </w:t>
      </w:r>
      <w:r w:rsidRPr="3220C020">
        <w:rPr>
          <w:color w:val="000000" w:themeColor="text1"/>
        </w:rPr>
        <w:t>million] worth of Canadian components on every F-35 jet manufactured.”</w:t>
      </w:r>
      <w:r w:rsidRPr="3220C020">
        <w:rPr>
          <w:color w:val="000000" w:themeColor="text1"/>
          <w:vertAlign w:val="superscript"/>
        </w:rPr>
        <w:footnoteReference w:id="44"/>
      </w:r>
      <w:r w:rsidRPr="3220C020">
        <w:rPr>
          <w:color w:val="000000" w:themeColor="text1"/>
        </w:rPr>
        <w:t xml:space="preserve"> In January 2023, the Canadian Minister of National Defense confirmed that every F-35 contains Canadian components.</w:t>
      </w:r>
      <w:r w:rsidRPr="3220C020">
        <w:rPr>
          <w:color w:val="000000" w:themeColor="text1"/>
          <w:vertAlign w:val="superscript"/>
        </w:rPr>
        <w:footnoteReference w:id="45"/>
      </w:r>
      <w:r w:rsidRPr="3220C020">
        <w:rPr>
          <w:color w:val="000000" w:themeColor="text1"/>
        </w:rPr>
        <w:t xml:space="preserve"> In June 2024, Israel announced an order for 25 more F-35s in a deal valued at </w:t>
      </w:r>
      <w:r w:rsidRPr="3220C020" w:rsidDel="6AFF34AF">
        <w:rPr>
          <w:color w:val="000000" w:themeColor="text1"/>
        </w:rPr>
        <w:t>US</w:t>
      </w:r>
      <w:r w:rsidRPr="3220C020">
        <w:rPr>
          <w:color w:val="000000" w:themeColor="text1"/>
        </w:rPr>
        <w:t>$3</w:t>
      </w:r>
      <w:r w:rsidRPr="3220C020" w:rsidDel="6AFF34AF">
        <w:rPr>
          <w:color w:val="000000" w:themeColor="text1"/>
        </w:rPr>
        <w:t>-</w:t>
      </w:r>
      <w:r w:rsidRPr="3220C020">
        <w:rPr>
          <w:color w:val="000000" w:themeColor="text1"/>
        </w:rPr>
        <w:t xml:space="preserve">billion. </w:t>
      </w:r>
    </w:p>
    <w:p w14:paraId="15D71E76" w14:textId="79410B1A" w:rsidR="008A75CF" w:rsidRPr="00051E81" w:rsidRDefault="008A75CF" w:rsidP="000E06C7">
      <w:pPr>
        <w:numPr>
          <w:ilvl w:val="0"/>
          <w:numId w:val="12"/>
        </w:numPr>
        <w:pBdr>
          <w:top w:val="nil"/>
          <w:left w:val="nil"/>
          <w:bottom w:val="nil"/>
          <w:right w:val="nil"/>
          <w:between w:val="nil"/>
        </w:pBdr>
        <w:ind w:left="1134" w:hanging="425"/>
        <w:rPr>
          <w:color w:val="000000" w:themeColor="text1"/>
        </w:rPr>
      </w:pPr>
      <w:r w:rsidRPr="3220C020">
        <w:rPr>
          <w:color w:val="000000" w:themeColor="text1"/>
        </w:rPr>
        <w:t>Canadian companies also provide aerospace parts for Boeing’s F-15 fighter</w:t>
      </w:r>
      <w:r w:rsidRPr="3220C020">
        <w:rPr>
          <w:color w:val="000000" w:themeColor="text1"/>
          <w:vertAlign w:val="superscript"/>
        </w:rPr>
        <w:footnoteReference w:id="46"/>
      </w:r>
      <w:r w:rsidRPr="3220C020">
        <w:rPr>
          <w:color w:val="000000" w:themeColor="text1"/>
        </w:rPr>
        <w:t>, which Israel has used to bombard Gaza.</w:t>
      </w:r>
      <w:r w:rsidRPr="3220C020">
        <w:rPr>
          <w:color w:val="000000" w:themeColor="text1"/>
          <w:vertAlign w:val="superscript"/>
        </w:rPr>
        <w:footnoteReference w:id="47"/>
      </w:r>
      <w:r w:rsidRPr="3220C020">
        <w:rPr>
          <w:color w:val="000000" w:themeColor="text1"/>
        </w:rPr>
        <w:t xml:space="preserve"> Canadian companies provide various </w:t>
      </w:r>
      <w:r w:rsidRPr="3220C020">
        <w:rPr>
          <w:color w:val="000000" w:themeColor="text1"/>
          <w:sz w:val="24"/>
          <w:szCs w:val="24"/>
        </w:rPr>
        <w:t>components</w:t>
      </w:r>
      <w:r w:rsidRPr="3220C020">
        <w:rPr>
          <w:color w:val="000000" w:themeColor="text1"/>
        </w:rPr>
        <w:t xml:space="preserve"> for its manufacture. The Biden administration has approved the sale of 50 F-15s</w:t>
      </w:r>
      <w:r w:rsidRPr="3220C020">
        <w:rPr>
          <w:color w:val="000000" w:themeColor="text1"/>
          <w:vertAlign w:val="superscript"/>
        </w:rPr>
        <w:footnoteReference w:id="48"/>
      </w:r>
      <w:r w:rsidRPr="3220C020">
        <w:rPr>
          <w:color w:val="000000" w:themeColor="text1"/>
        </w:rPr>
        <w:t xml:space="preserve"> to Israel for more than </w:t>
      </w:r>
      <w:r w:rsidR="00494D25">
        <w:rPr>
          <w:color w:val="000000" w:themeColor="text1"/>
        </w:rPr>
        <w:t>US</w:t>
      </w:r>
      <w:r w:rsidRPr="3220C020">
        <w:rPr>
          <w:color w:val="000000" w:themeColor="text1"/>
        </w:rPr>
        <w:t>$18 billion for its manufacture.</w:t>
      </w:r>
      <w:r w:rsidRPr="3220C020">
        <w:rPr>
          <w:color w:val="000000" w:themeColor="text1"/>
          <w:vertAlign w:val="superscript"/>
        </w:rPr>
        <w:footnoteReference w:id="49"/>
      </w:r>
      <w:r w:rsidRPr="3220C020">
        <w:rPr>
          <w:color w:val="000000" w:themeColor="text1"/>
        </w:rPr>
        <w:t xml:space="preserve"> </w:t>
      </w:r>
    </w:p>
    <w:p w14:paraId="238C364E" w14:textId="61747AAB" w:rsidR="008A75CF" w:rsidRDefault="008A75CF" w:rsidP="000E06C7">
      <w:pPr>
        <w:numPr>
          <w:ilvl w:val="0"/>
          <w:numId w:val="12"/>
        </w:numPr>
        <w:ind w:left="1134" w:hanging="425"/>
      </w:pPr>
      <w:r w:rsidRPr="3220C020">
        <w:rPr>
          <w:color w:val="000000" w:themeColor="text1"/>
        </w:rPr>
        <w:t>Boeing also manufactures the AH-64 Apache attack helicopter, which Israel has used in its air assault on Gaza.</w:t>
      </w:r>
      <w:r w:rsidRPr="3220C020">
        <w:rPr>
          <w:color w:val="000000" w:themeColor="text1"/>
          <w:vertAlign w:val="superscript"/>
        </w:rPr>
        <w:footnoteReference w:id="50"/>
      </w:r>
      <w:r w:rsidRPr="3220C020">
        <w:rPr>
          <w:color w:val="000000" w:themeColor="text1"/>
        </w:rPr>
        <w:t xml:space="preserve"> Canadian companies provide aerospace parts for the aircraft.</w:t>
      </w:r>
      <w:r w:rsidRPr="3220C020">
        <w:rPr>
          <w:color w:val="000000" w:themeColor="text1"/>
          <w:vertAlign w:val="superscript"/>
        </w:rPr>
        <w:footnoteReference w:id="51"/>
      </w:r>
      <w:r w:rsidRPr="3220C020">
        <w:rPr>
          <w:color w:val="000000" w:themeColor="text1"/>
        </w:rPr>
        <w:t xml:space="preserve"> Israel has requested 12 new AH-64 </w:t>
      </w:r>
      <w:proofErr w:type="spellStart"/>
      <w:r w:rsidRPr="3220C020">
        <w:rPr>
          <w:color w:val="000000" w:themeColor="text1"/>
        </w:rPr>
        <w:t>Apaches</w:t>
      </w:r>
      <w:proofErr w:type="spellEnd"/>
      <w:r w:rsidRPr="3220C020">
        <w:rPr>
          <w:color w:val="000000" w:themeColor="text1"/>
        </w:rPr>
        <w:t xml:space="preserve"> from the U</w:t>
      </w:r>
      <w:r w:rsidR="00494D25">
        <w:rPr>
          <w:color w:val="000000" w:themeColor="text1"/>
        </w:rPr>
        <w:t>.</w:t>
      </w:r>
      <w:r w:rsidRPr="3220C020">
        <w:rPr>
          <w:color w:val="000000" w:themeColor="text1"/>
        </w:rPr>
        <w:t>S</w:t>
      </w:r>
      <w:r w:rsidR="00494D25">
        <w:rPr>
          <w:color w:val="000000" w:themeColor="text1"/>
        </w:rPr>
        <w:t>.</w:t>
      </w:r>
      <w:r w:rsidRPr="3220C020">
        <w:rPr>
          <w:color w:val="000000" w:themeColor="text1"/>
        </w:rPr>
        <w:t>, a request that has reportedly been “advanced and given priority.”</w:t>
      </w:r>
      <w:r w:rsidRPr="3220C020">
        <w:rPr>
          <w:color w:val="000000" w:themeColor="text1"/>
          <w:vertAlign w:val="superscript"/>
        </w:rPr>
        <w:footnoteReference w:id="52"/>
      </w:r>
    </w:p>
    <w:p w14:paraId="789DFE66" w14:textId="445831B1" w:rsidR="008A75CF" w:rsidRDefault="00F4688C" w:rsidP="000E06C7">
      <w:pPr>
        <w:pStyle w:val="ListParagraph"/>
        <w:pBdr>
          <w:top w:val="nil"/>
          <w:left w:val="nil"/>
          <w:bottom w:val="nil"/>
          <w:right w:val="nil"/>
          <w:between w:val="nil"/>
        </w:pBdr>
        <w:ind w:left="426" w:hanging="426"/>
        <w:rPr>
          <w:color w:val="000000" w:themeColor="text1"/>
        </w:rPr>
      </w:pPr>
      <w:r>
        <w:rPr>
          <w:color w:val="000000" w:themeColor="text1"/>
        </w:rPr>
        <w:t xml:space="preserve">26. </w:t>
      </w:r>
      <w:r w:rsidR="000E06C7">
        <w:rPr>
          <w:color w:val="000000" w:themeColor="text1"/>
        </w:rPr>
        <w:tab/>
      </w:r>
      <w:r w:rsidR="6AFF34AF" w:rsidRPr="3220C020">
        <w:rPr>
          <w:color w:val="000000" w:themeColor="text1"/>
        </w:rPr>
        <w:t xml:space="preserve">Recent reports also suggest that despite its claim to have stopped the direct export of arms to </w:t>
      </w:r>
      <w:proofErr w:type="gramStart"/>
      <w:r w:rsidR="6AFF34AF" w:rsidRPr="3220C020">
        <w:rPr>
          <w:color w:val="000000" w:themeColor="text1"/>
        </w:rPr>
        <w:t>Israel,</w:t>
      </w:r>
      <w:proofErr w:type="gramEnd"/>
      <w:r w:rsidR="6AFF34AF" w:rsidRPr="3220C020">
        <w:rPr>
          <w:color w:val="000000" w:themeColor="text1"/>
        </w:rPr>
        <w:t xml:space="preserve"> these continue as well. In 2024, Canadian companies sold $18.9 million-worth of military goods to Israel, using 164 export permits.</w:t>
      </w:r>
      <w:r w:rsidR="008A75CF" w:rsidRPr="3220C020">
        <w:rPr>
          <w:rStyle w:val="FootnoteReference"/>
          <w:color w:val="000000" w:themeColor="text1"/>
        </w:rPr>
        <w:footnoteReference w:id="53"/>
      </w:r>
      <w:r w:rsidR="6AFF34AF" w:rsidRPr="3220C020">
        <w:rPr>
          <w:color w:val="000000" w:themeColor="text1"/>
        </w:rPr>
        <w:t xml:space="preserve"> $12.5 million-worth of these goods were part of an export category that includes electronic equipment.</w:t>
      </w:r>
      <w:r w:rsidR="008A75CF" w:rsidRPr="3220C020">
        <w:rPr>
          <w:rStyle w:val="FootnoteReference"/>
          <w:color w:val="000000" w:themeColor="text1"/>
        </w:rPr>
        <w:footnoteReference w:id="54"/>
      </w:r>
      <w:r w:rsidR="6AFF34AF" w:rsidRPr="3220C020">
        <w:rPr>
          <w:color w:val="000000" w:themeColor="text1"/>
        </w:rPr>
        <w:t xml:space="preserve"> Lesser quantities of exports fell under categories including aircraft and aerial drones; bombs, torpedoes, rockets, missiles other explosive devices and charges and related equipment and accessories; and fire control and warning equipment, ground vehicles, naval vessels, imaging equipment, military </w:t>
      </w:r>
      <w:r w:rsidR="6AFF34AF" w:rsidRPr="3220C020">
        <w:rPr>
          <w:color w:val="000000" w:themeColor="text1"/>
        </w:rPr>
        <w:lastRenderedPageBreak/>
        <w:t>forgings, and technology.</w:t>
      </w:r>
      <w:r w:rsidR="008A75CF" w:rsidRPr="3220C020">
        <w:rPr>
          <w:rStyle w:val="FootnoteReference"/>
          <w:color w:val="000000" w:themeColor="text1"/>
        </w:rPr>
        <w:footnoteReference w:id="55"/>
      </w:r>
      <w:r w:rsidR="6AFF34AF" w:rsidRPr="3220C020">
        <w:rPr>
          <w:color w:val="000000" w:themeColor="text1"/>
        </w:rPr>
        <w:t xml:space="preserve"> The Canadian government has not disclosed further information about the goods, or the manufacturers that made them.</w:t>
      </w:r>
      <w:r w:rsidR="008A75CF" w:rsidRPr="3220C020">
        <w:rPr>
          <w:rStyle w:val="FootnoteReference"/>
          <w:color w:val="000000" w:themeColor="text1"/>
        </w:rPr>
        <w:footnoteReference w:id="56"/>
      </w:r>
      <w:r w:rsidR="6AFF34AF" w:rsidRPr="3220C020">
        <w:rPr>
          <w:color w:val="000000" w:themeColor="text1"/>
        </w:rPr>
        <w:t xml:space="preserve"> </w:t>
      </w:r>
    </w:p>
    <w:p w14:paraId="7AA29028" w14:textId="7CA726CB" w:rsidR="008A75CF" w:rsidRDefault="3220C020" w:rsidP="000E06C7">
      <w:pPr>
        <w:pStyle w:val="Heading2"/>
        <w:ind w:firstLine="437"/>
        <w:rPr>
          <w:rFonts w:ascii="Arial" w:eastAsia="Arial" w:hAnsi="Arial" w:cs="Arial"/>
        </w:rPr>
      </w:pPr>
      <w:r w:rsidRPr="3220C020">
        <w:rPr>
          <w:rFonts w:ascii="Arial" w:eastAsia="Arial" w:hAnsi="Arial" w:cs="Arial"/>
        </w:rPr>
        <w:t>2. Netherlands</w:t>
      </w:r>
    </w:p>
    <w:p w14:paraId="4D4EE2BE" w14:textId="23E1084D" w:rsidR="008A75CF" w:rsidRDefault="00F4688C" w:rsidP="000E06C7">
      <w:pPr>
        <w:ind w:left="426" w:hanging="426"/>
        <w:rPr>
          <w:color w:val="000000" w:themeColor="text1"/>
          <w:lang w:val="en-GB"/>
        </w:rPr>
      </w:pPr>
      <w:r>
        <w:rPr>
          <w:color w:val="000000" w:themeColor="text1"/>
          <w:lang w:val="en-GB"/>
        </w:rPr>
        <w:t xml:space="preserve">27. </w:t>
      </w:r>
      <w:r w:rsidR="000E06C7">
        <w:rPr>
          <w:color w:val="000000" w:themeColor="text1"/>
          <w:lang w:val="en-GB"/>
        </w:rPr>
        <w:tab/>
      </w:r>
      <w:r w:rsidR="3220C020" w:rsidRPr="3220C020">
        <w:rPr>
          <w:color w:val="000000" w:themeColor="text1"/>
          <w:lang w:val="en-GB"/>
        </w:rPr>
        <w:t xml:space="preserve">For many years, Dutch arms exports to Israel were extremely modest, with values of individual arms exports licences totalling around EUR 1 or 2 million annually (out of an average EUR 1 billion). However, from 2022 these ballooned to over EUR 10 million. </w:t>
      </w:r>
    </w:p>
    <w:p w14:paraId="3DF63E14" w14:textId="762F5695" w:rsidR="008A75CF" w:rsidRDefault="00F4688C" w:rsidP="000E06C7">
      <w:pPr>
        <w:ind w:left="426" w:hanging="426"/>
        <w:rPr>
          <w:color w:val="000000" w:themeColor="text1"/>
          <w:lang w:val="en-GB"/>
        </w:rPr>
      </w:pPr>
      <w:r>
        <w:rPr>
          <w:color w:val="000000" w:themeColor="text1"/>
          <w:lang w:val="en-GB"/>
        </w:rPr>
        <w:t xml:space="preserve">28. </w:t>
      </w:r>
      <w:r w:rsidR="000E06C7">
        <w:rPr>
          <w:color w:val="000000" w:themeColor="text1"/>
          <w:lang w:val="en-GB"/>
        </w:rPr>
        <w:tab/>
      </w:r>
      <w:r w:rsidR="3220C020" w:rsidRPr="3220C020">
        <w:rPr>
          <w:color w:val="000000" w:themeColor="text1"/>
          <w:lang w:val="en-GB"/>
        </w:rPr>
        <w:t>Far more significant, however, is the indirect flow of Dutch arms exports to Israel. For decades, transfers of Dutch-made parts and components for (mostly) U</w:t>
      </w:r>
      <w:r w:rsidR="00B07E0B">
        <w:rPr>
          <w:color w:val="000000" w:themeColor="text1"/>
          <w:lang w:val="en-GB"/>
        </w:rPr>
        <w:t>.</w:t>
      </w:r>
      <w:r w:rsidR="3220C020" w:rsidRPr="3220C020">
        <w:rPr>
          <w:color w:val="000000" w:themeColor="text1"/>
          <w:lang w:val="en-GB"/>
        </w:rPr>
        <w:t>S</w:t>
      </w:r>
      <w:r w:rsidR="00B07E0B">
        <w:rPr>
          <w:color w:val="000000" w:themeColor="text1"/>
          <w:lang w:val="en-GB"/>
        </w:rPr>
        <w:t>.</w:t>
      </w:r>
      <w:r w:rsidR="3220C020" w:rsidRPr="3220C020">
        <w:rPr>
          <w:color w:val="000000" w:themeColor="text1"/>
          <w:lang w:val="en-GB"/>
        </w:rPr>
        <w:t>-produced weapons systems, such as the F-16 fighter jet and Apache attack helicopters, and more recently F-35 jets, have contributed to increasing Israel’s military capabilities. Such exports have principally gone through the U</w:t>
      </w:r>
      <w:r w:rsidR="00B07E0B">
        <w:rPr>
          <w:color w:val="000000" w:themeColor="text1"/>
          <w:lang w:val="en-GB"/>
        </w:rPr>
        <w:t>.</w:t>
      </w:r>
      <w:r w:rsidR="3220C020" w:rsidRPr="3220C020">
        <w:rPr>
          <w:color w:val="000000" w:themeColor="text1"/>
          <w:lang w:val="en-GB"/>
        </w:rPr>
        <w:t>S</w:t>
      </w:r>
      <w:r w:rsidR="00B07E0B">
        <w:rPr>
          <w:color w:val="000000" w:themeColor="text1"/>
          <w:lang w:val="en-GB"/>
        </w:rPr>
        <w:t>.</w:t>
      </w:r>
      <w:r w:rsidR="3220C020" w:rsidRPr="3220C020">
        <w:rPr>
          <w:color w:val="000000" w:themeColor="text1"/>
          <w:lang w:val="en-GB"/>
        </w:rPr>
        <w:t xml:space="preserve"> (especially for new-built equipment) and have largely been labelled as U</w:t>
      </w:r>
      <w:r w:rsidR="00B07E0B">
        <w:rPr>
          <w:color w:val="000000" w:themeColor="text1"/>
          <w:lang w:val="en-GB"/>
        </w:rPr>
        <w:t>.</w:t>
      </w:r>
      <w:r w:rsidR="3220C020" w:rsidRPr="3220C020">
        <w:rPr>
          <w:color w:val="000000" w:themeColor="text1"/>
          <w:lang w:val="en-GB"/>
        </w:rPr>
        <w:t>S</w:t>
      </w:r>
      <w:r w:rsidR="00B07E0B">
        <w:rPr>
          <w:color w:val="000000" w:themeColor="text1"/>
          <w:lang w:val="en-GB"/>
        </w:rPr>
        <w:t>.</w:t>
      </w:r>
      <w:r w:rsidR="3220C020" w:rsidRPr="3220C020">
        <w:rPr>
          <w:color w:val="000000" w:themeColor="text1"/>
          <w:lang w:val="en-GB"/>
        </w:rPr>
        <w:t xml:space="preserve"> exports without identifying final destinations. However, it has been clear that Israeli F-16s, </w:t>
      </w:r>
      <w:proofErr w:type="spellStart"/>
      <w:r w:rsidR="3220C020" w:rsidRPr="3220C020">
        <w:rPr>
          <w:color w:val="000000" w:themeColor="text1"/>
          <w:lang w:val="en-GB"/>
        </w:rPr>
        <w:t>Apaches</w:t>
      </w:r>
      <w:proofErr w:type="spellEnd"/>
      <w:r w:rsidR="3220C020" w:rsidRPr="3220C020">
        <w:rPr>
          <w:color w:val="000000" w:themeColor="text1"/>
          <w:lang w:val="en-GB"/>
        </w:rPr>
        <w:t xml:space="preserve"> and F-35s contain Dutch-made components.</w:t>
      </w:r>
    </w:p>
    <w:p w14:paraId="2D1051DF" w14:textId="69C9FAE1" w:rsidR="008A75CF" w:rsidRPr="000E06C7" w:rsidRDefault="3220C020" w:rsidP="000E06C7">
      <w:pPr>
        <w:ind w:left="426" w:hanging="503"/>
        <w:rPr>
          <w:color w:val="000000" w:themeColor="text1"/>
          <w:lang w:val="en-GB"/>
        </w:rPr>
      </w:pPr>
      <w:r w:rsidRPr="3220C020">
        <w:rPr>
          <w:color w:val="000000" w:themeColor="text1"/>
          <w:lang w:val="en-GB"/>
        </w:rPr>
        <w:t xml:space="preserve"> </w:t>
      </w:r>
      <w:r w:rsidR="00F4688C">
        <w:rPr>
          <w:color w:val="000000" w:themeColor="text1"/>
          <w:lang w:val="en-GB"/>
        </w:rPr>
        <w:t xml:space="preserve">29. </w:t>
      </w:r>
      <w:r w:rsidR="000E06C7">
        <w:rPr>
          <w:color w:val="000000" w:themeColor="text1"/>
          <w:lang w:val="en-GB"/>
        </w:rPr>
        <w:tab/>
      </w:r>
      <w:r w:rsidR="6AFF34AF" w:rsidRPr="3220C020">
        <w:rPr>
          <w:color w:val="000000" w:themeColor="text1"/>
          <w:lang w:val="en-GB"/>
        </w:rPr>
        <w:t>In November 2023, news broke that significant quantities of F-35 parts and components had been sent from the Netherlands to Israel since 7 October 2023.</w:t>
      </w:r>
      <w:r w:rsidR="008A75CF" w:rsidRPr="3220C020">
        <w:rPr>
          <w:rStyle w:val="FootnoteReference"/>
          <w:color w:val="000000" w:themeColor="text1"/>
          <w:lang w:val="en-GB"/>
        </w:rPr>
        <w:footnoteReference w:id="57"/>
      </w:r>
      <w:r w:rsidR="6AFF34AF" w:rsidRPr="3220C020">
        <w:rPr>
          <w:color w:val="000000" w:themeColor="text1"/>
          <w:lang w:val="en-GB"/>
        </w:rPr>
        <w:t xml:space="preserve"> </w:t>
      </w:r>
      <w:r w:rsidR="6AFF34AF" w:rsidRPr="3220C020">
        <w:rPr>
          <w:color w:val="000000" w:themeColor="text1"/>
        </w:rPr>
        <w:t>In a subsequent court case against the State of the Netherlands, Oxfam-Novib, PAX and The Rights Forum, claimed that the Netherlands should halt such transfers since there was a clear and overriding risk that these would contribute to war crimes committed by Israel in Gaza. The</w:t>
      </w:r>
      <w:r w:rsidR="60589CA8" w:rsidRPr="3220C020">
        <w:rPr>
          <w:color w:val="000000" w:themeColor="text1"/>
        </w:rPr>
        <w:t xml:space="preserve"> appeals court in February 2024</w:t>
      </w:r>
      <w:r w:rsidR="008A75CF" w:rsidRPr="3220C020">
        <w:rPr>
          <w:rStyle w:val="FootnoteReference"/>
          <w:color w:val="000000" w:themeColor="text1"/>
        </w:rPr>
        <w:footnoteReference w:id="58"/>
      </w:r>
      <w:r w:rsidR="6AFF34AF" w:rsidRPr="3220C020">
        <w:rPr>
          <w:color w:val="000000" w:themeColor="text1"/>
        </w:rPr>
        <w:t xml:space="preserve"> agreed with the claimants that the</w:t>
      </w:r>
      <w:r w:rsidR="60589CA8" w:rsidRPr="3220C020">
        <w:rPr>
          <w:color w:val="000000" w:themeColor="text1"/>
        </w:rPr>
        <w:t xml:space="preserve"> Netherlands should stop</w:t>
      </w:r>
      <w:r w:rsidR="008A75CF" w:rsidRPr="3220C020">
        <w:rPr>
          <w:rStyle w:val="FootnoteReference"/>
          <w:color w:val="000000" w:themeColor="text1"/>
        </w:rPr>
        <w:footnoteReference w:id="59"/>
      </w:r>
      <w:r w:rsidR="60589CA8" w:rsidRPr="3220C020">
        <w:rPr>
          <w:color w:val="000000" w:themeColor="text1"/>
        </w:rPr>
        <w:t xml:space="preserve"> </w:t>
      </w:r>
      <w:r w:rsidR="6AFF34AF" w:rsidRPr="3220C020">
        <w:rPr>
          <w:color w:val="000000" w:themeColor="text1"/>
        </w:rPr>
        <w:t>allowing transfers of F-35 fighter jet related equipment to Israel from or via the Netherlands, including those transferred from a F-35 warehouse</w:t>
      </w:r>
      <w:r w:rsidR="008A75CF" w:rsidRPr="3220C020">
        <w:rPr>
          <w:rStyle w:val="FootnoteReference"/>
          <w:color w:val="000000" w:themeColor="text1"/>
        </w:rPr>
        <w:footnoteReference w:id="60"/>
      </w:r>
      <w:r w:rsidR="60589CA8" w:rsidRPr="3220C020">
        <w:rPr>
          <w:color w:val="000000" w:themeColor="text1"/>
        </w:rPr>
        <w:t xml:space="preserve"> </w:t>
      </w:r>
      <w:r w:rsidR="6AFF34AF" w:rsidRPr="3220C020">
        <w:rPr>
          <w:color w:val="000000" w:themeColor="text1"/>
        </w:rPr>
        <w:t xml:space="preserve">based at a Dutch air force base. </w:t>
      </w:r>
    </w:p>
    <w:p w14:paraId="286D28E2" w14:textId="7E5829B1" w:rsidR="000E06C7" w:rsidRDefault="00F4688C" w:rsidP="000E06C7">
      <w:pPr>
        <w:ind w:left="426" w:hanging="426"/>
        <w:rPr>
          <w:color w:val="000000" w:themeColor="text1"/>
        </w:rPr>
      </w:pPr>
      <w:r>
        <w:rPr>
          <w:color w:val="000000" w:themeColor="text1"/>
        </w:rPr>
        <w:t xml:space="preserve">30. </w:t>
      </w:r>
      <w:r w:rsidR="000E06C7">
        <w:rPr>
          <w:color w:val="000000" w:themeColor="text1"/>
        </w:rPr>
        <w:tab/>
      </w:r>
      <w:r w:rsidR="3220C020" w:rsidRPr="3220C020">
        <w:rPr>
          <w:color w:val="000000" w:themeColor="text1"/>
        </w:rPr>
        <w:t>Despite the court’s ruling, the government of the Netherlands continued to allow sending F-35 equipment to the U</w:t>
      </w:r>
      <w:r w:rsidR="00B07E0B">
        <w:rPr>
          <w:color w:val="000000" w:themeColor="text1"/>
        </w:rPr>
        <w:t>.</w:t>
      </w:r>
      <w:r w:rsidR="3220C020" w:rsidRPr="3220C020">
        <w:rPr>
          <w:color w:val="000000" w:themeColor="text1"/>
        </w:rPr>
        <w:t>S</w:t>
      </w:r>
      <w:r w:rsidR="00B07E0B">
        <w:rPr>
          <w:color w:val="000000" w:themeColor="text1"/>
        </w:rPr>
        <w:t>.</w:t>
      </w:r>
      <w:r w:rsidR="3220C020" w:rsidRPr="3220C020">
        <w:rPr>
          <w:color w:val="000000" w:themeColor="text1"/>
        </w:rPr>
        <w:t xml:space="preserve">, Israel’s primary arms supplier, without any restrictions that the equipment not be sent on to Israel. In a follow-up legal proceeding, the three organizations argued that the appeals court’s conclusion should extend to encompass any F-35 transfers </w:t>
      </w:r>
      <w:r w:rsidR="3220C020" w:rsidRPr="3220C020">
        <w:rPr>
          <w:color w:val="000000" w:themeColor="text1"/>
        </w:rPr>
        <w:lastRenderedPageBreak/>
        <w:t>from the Netherlands to Israel via third countries (such as the U</w:t>
      </w:r>
      <w:r w:rsidR="00B07E0B">
        <w:rPr>
          <w:color w:val="000000" w:themeColor="text1"/>
        </w:rPr>
        <w:t>.</w:t>
      </w:r>
      <w:r w:rsidR="3220C020" w:rsidRPr="3220C020">
        <w:rPr>
          <w:color w:val="000000" w:themeColor="text1"/>
        </w:rPr>
        <w:t>S</w:t>
      </w:r>
      <w:r w:rsidR="00B07E0B">
        <w:rPr>
          <w:color w:val="000000" w:themeColor="text1"/>
        </w:rPr>
        <w:t>.</w:t>
      </w:r>
      <w:r w:rsidR="3220C020" w:rsidRPr="3220C020">
        <w:rPr>
          <w:color w:val="000000" w:themeColor="text1"/>
        </w:rPr>
        <w:t xml:space="preserve">). The court disagreed, and that decision is currently under appeal. </w:t>
      </w:r>
    </w:p>
    <w:p w14:paraId="0E1BAE09" w14:textId="6A03C549" w:rsidR="008A75CF" w:rsidRPr="000E06C7" w:rsidRDefault="00F4688C" w:rsidP="000E06C7">
      <w:pPr>
        <w:spacing w:after="0"/>
        <w:ind w:left="426" w:hanging="426"/>
        <w:rPr>
          <w:color w:val="000000" w:themeColor="text1"/>
        </w:rPr>
      </w:pPr>
      <w:r>
        <w:rPr>
          <w:color w:val="000000" w:themeColor="text1"/>
        </w:rPr>
        <w:t>31</w:t>
      </w:r>
      <w:proofErr w:type="gramStart"/>
      <w:r>
        <w:rPr>
          <w:color w:val="000000" w:themeColor="text1"/>
        </w:rPr>
        <w:t xml:space="preserve">. </w:t>
      </w:r>
      <w:r w:rsidR="000E06C7">
        <w:rPr>
          <w:color w:val="000000" w:themeColor="text1"/>
        </w:rPr>
        <w:tab/>
      </w:r>
      <w:r w:rsidR="6AFF34AF" w:rsidRPr="3220C020">
        <w:rPr>
          <w:color w:val="000000" w:themeColor="text1"/>
        </w:rPr>
        <w:t>While</w:t>
      </w:r>
      <w:proofErr w:type="gramEnd"/>
      <w:r w:rsidR="6AFF34AF" w:rsidRPr="3220C020">
        <w:rPr>
          <w:color w:val="000000" w:themeColor="text1"/>
        </w:rPr>
        <w:t xml:space="preserve"> also still awaiting the Supreme Court's final ruling on the original case, the advocate-general on 29 November 2024 advised</w:t>
      </w:r>
      <w:r w:rsidR="008A75CF" w:rsidRPr="3220C020">
        <w:rPr>
          <w:rStyle w:val="FootnoteReference"/>
          <w:color w:val="000000" w:themeColor="text1"/>
        </w:rPr>
        <w:footnoteReference w:id="61"/>
      </w:r>
      <w:r w:rsidR="6AFF34AF" w:rsidRPr="3220C020">
        <w:rPr>
          <w:color w:val="000000" w:themeColor="text1"/>
        </w:rPr>
        <w:t xml:space="preserve"> the Supreme Court to uphold the appeals court's decision of February 2024, rejecting all the government's objections to that ruling. </w:t>
      </w:r>
    </w:p>
    <w:p w14:paraId="10B54079" w14:textId="7DAA56BD" w:rsidR="008A75CF" w:rsidRDefault="3220C020" w:rsidP="000E06C7">
      <w:pPr>
        <w:pStyle w:val="Heading2"/>
        <w:ind w:firstLine="437"/>
        <w:rPr>
          <w:rFonts w:ascii="Arial" w:eastAsia="Arial" w:hAnsi="Arial" w:cs="Arial"/>
        </w:rPr>
      </w:pPr>
      <w:r w:rsidRPr="3220C020">
        <w:rPr>
          <w:rFonts w:ascii="Arial" w:eastAsia="Arial" w:hAnsi="Arial" w:cs="Arial"/>
        </w:rPr>
        <w:t>3. Australia</w:t>
      </w:r>
    </w:p>
    <w:p w14:paraId="235B7CB8" w14:textId="3C0AC548" w:rsidR="008A75CF" w:rsidRDefault="00F4688C" w:rsidP="000E06C7">
      <w:pPr>
        <w:ind w:left="426" w:hanging="426"/>
      </w:pPr>
      <w:r>
        <w:t xml:space="preserve">32. </w:t>
      </w:r>
      <w:r w:rsidR="000E06C7">
        <w:tab/>
      </w:r>
      <w:r w:rsidR="3220C020" w:rsidRPr="3220C020">
        <w:t>Australia’s arms export regime is governed by a combination of domestic legislation and international treaty obligations aimed at ensuring that military and dual-use items are not exported in ways that undermine international peace, security, or human rights.</w:t>
      </w:r>
    </w:p>
    <w:p w14:paraId="577C4F38" w14:textId="7F081EA7" w:rsidR="008A75CF" w:rsidRDefault="00F4688C" w:rsidP="000E06C7">
      <w:pPr>
        <w:ind w:left="426" w:hanging="426"/>
      </w:pPr>
      <w:r>
        <w:t>33</w:t>
      </w:r>
      <w:proofErr w:type="gramStart"/>
      <w:r>
        <w:t xml:space="preserve">. </w:t>
      </w:r>
      <w:r w:rsidR="000E06C7">
        <w:tab/>
      </w:r>
      <w:r w:rsidR="6AFF34AF" w:rsidRPr="3220C020">
        <w:t>The</w:t>
      </w:r>
      <w:proofErr w:type="gramEnd"/>
      <w:r w:rsidR="6AFF34AF" w:rsidRPr="3220C020">
        <w:t xml:space="preserve"> primary legislation is the </w:t>
      </w:r>
      <w:proofErr w:type="spellStart"/>
      <w:r w:rsidR="6AFF34AF" w:rsidRPr="3220C020">
        <w:rPr>
          <w:i/>
          <w:iCs/>
        </w:rPr>
        <w:t>Defence</w:t>
      </w:r>
      <w:proofErr w:type="spellEnd"/>
      <w:r w:rsidR="6AFF34AF" w:rsidRPr="3220C020">
        <w:rPr>
          <w:i/>
          <w:iCs/>
        </w:rPr>
        <w:t xml:space="preserve"> Export Control Act 2012 </w:t>
      </w:r>
      <w:r w:rsidR="6AFF34AF" w:rsidRPr="3220C020">
        <w:t>(</w:t>
      </w:r>
      <w:proofErr w:type="spellStart"/>
      <w:r w:rsidR="6AFF34AF" w:rsidRPr="3220C020">
        <w:t>Cth</w:t>
      </w:r>
      <w:proofErr w:type="spellEnd"/>
      <w:r w:rsidR="6AFF34AF" w:rsidRPr="3220C020">
        <w:t>),</w:t>
      </w:r>
      <w:r w:rsidR="008A75CF" w:rsidRPr="3220C020">
        <w:rPr>
          <w:rStyle w:val="FootnoteReference"/>
        </w:rPr>
        <w:footnoteReference w:id="62"/>
      </w:r>
      <w:r w:rsidR="6AFF34AF" w:rsidRPr="3220C020">
        <w:t xml:space="preserve"> which regulates the export of controlled goods, technology, and services. This legislation is supplemented by the </w:t>
      </w:r>
      <w:r w:rsidR="6AFF34AF" w:rsidRPr="3220C020">
        <w:rPr>
          <w:i/>
          <w:iCs/>
        </w:rPr>
        <w:t xml:space="preserve">Customs (Prohibited Exports) Regulations 1958 </w:t>
      </w:r>
      <w:r w:rsidR="6AFF34AF" w:rsidRPr="3220C020">
        <w:t>(</w:t>
      </w:r>
      <w:proofErr w:type="spellStart"/>
      <w:r w:rsidR="6AFF34AF" w:rsidRPr="3220C020">
        <w:t>Cth</w:t>
      </w:r>
      <w:proofErr w:type="spellEnd"/>
      <w:r w:rsidR="6AFF34AF" w:rsidRPr="3220C020">
        <w:t>),</w:t>
      </w:r>
      <w:r w:rsidR="008A75CF" w:rsidRPr="3220C020">
        <w:rPr>
          <w:rStyle w:val="FootnoteReference"/>
        </w:rPr>
        <w:footnoteReference w:id="63"/>
      </w:r>
      <w:r w:rsidR="6AFF34AF" w:rsidRPr="3220C020">
        <w:t xml:space="preserve"> which requires exporters to obtain a permit from the Minister for </w:t>
      </w:r>
      <w:proofErr w:type="spellStart"/>
      <w:r w:rsidR="6AFF34AF" w:rsidRPr="3220C020">
        <w:t>Defence</w:t>
      </w:r>
      <w:proofErr w:type="spellEnd"/>
      <w:r w:rsidR="6AFF34AF" w:rsidRPr="3220C020">
        <w:t xml:space="preserve"> (or their delegate within </w:t>
      </w:r>
      <w:proofErr w:type="spellStart"/>
      <w:r w:rsidR="6AFF34AF" w:rsidRPr="3220C020">
        <w:t>Defence</w:t>
      </w:r>
      <w:proofErr w:type="spellEnd"/>
      <w:r w:rsidR="6AFF34AF" w:rsidRPr="3220C020">
        <w:t xml:space="preserve"> Export Controls, or DEC) to export items listed in the </w:t>
      </w:r>
      <w:proofErr w:type="spellStart"/>
      <w:r w:rsidR="6AFF34AF" w:rsidRPr="3220C020">
        <w:t>Defence</w:t>
      </w:r>
      <w:proofErr w:type="spellEnd"/>
      <w:r w:rsidR="6AFF34AF" w:rsidRPr="3220C020">
        <w:t xml:space="preserve"> and Strategic Goods List (DSGL). The DSGL classifies both military (Part 1) and dual-use (Part 2) goods and technologies.</w:t>
      </w:r>
    </w:p>
    <w:p w14:paraId="0D8A8C57" w14:textId="3C46B12F" w:rsidR="008A75CF" w:rsidRDefault="00F4688C" w:rsidP="000E06C7">
      <w:pPr>
        <w:ind w:left="426" w:hanging="426"/>
      </w:pPr>
      <w:r>
        <w:t xml:space="preserve">34. </w:t>
      </w:r>
      <w:r w:rsidR="000E06C7">
        <w:tab/>
      </w:r>
      <w:r w:rsidR="6AFF34AF" w:rsidRPr="3220C020">
        <w:t xml:space="preserve">The export control regime is regulated with regard to mandatory criteria found in </w:t>
      </w:r>
      <w:proofErr w:type="spellStart"/>
      <w:r w:rsidR="6AFF34AF" w:rsidRPr="3220C020">
        <w:rPr>
          <w:i/>
          <w:iCs/>
        </w:rPr>
        <w:t>Defence</w:t>
      </w:r>
      <w:proofErr w:type="spellEnd"/>
      <w:r w:rsidR="6AFF34AF" w:rsidRPr="3220C020">
        <w:rPr>
          <w:i/>
          <w:iCs/>
        </w:rPr>
        <w:t xml:space="preserve"> Trade Controls Regulation 2013 </w:t>
      </w:r>
      <w:r w:rsidR="6AFF34AF" w:rsidRPr="3220C020">
        <w:t>(</w:t>
      </w:r>
      <w:proofErr w:type="spellStart"/>
      <w:r w:rsidR="6AFF34AF" w:rsidRPr="3220C020">
        <w:t>Cth</w:t>
      </w:r>
      <w:proofErr w:type="spellEnd"/>
      <w:r w:rsidR="6AFF34AF" w:rsidRPr="3220C020">
        <w:t>).</w:t>
      </w:r>
      <w:r w:rsidR="008A75CF" w:rsidRPr="3220C020">
        <w:rPr>
          <w:rStyle w:val="FootnoteReference"/>
        </w:rPr>
        <w:footnoteReference w:id="64"/>
      </w:r>
      <w:r w:rsidR="6AFF34AF" w:rsidRPr="3220C020">
        <w:t xml:space="preserve"> This includes consideration of the risk that the goods being licensed, “may be used to commit or facilitate serious abuses of human rights” or “may go to or become available to a country where it may be used in a way contrary to Australia’s international obligations or commitments” amongst a number of other relevant criteria.</w:t>
      </w:r>
    </w:p>
    <w:p w14:paraId="06BFF1D7" w14:textId="17447060" w:rsidR="008A75CF" w:rsidRDefault="00F4688C" w:rsidP="000E06C7">
      <w:pPr>
        <w:ind w:left="426" w:hanging="426"/>
      </w:pPr>
      <w:r>
        <w:t xml:space="preserve">35. </w:t>
      </w:r>
      <w:r w:rsidR="000E06C7">
        <w:tab/>
      </w:r>
      <w:r w:rsidR="3220C020" w:rsidRPr="3220C020">
        <w:t xml:space="preserve">In November 2023, on behalf of leading Palestinian human rights organizations, the Australian Centre for International Justice (ACIJ) filed for preliminary discovery of all export permits issued since 7 October 2023 to Israel in the Federal Court of Australia. In response, the Australian Government revealed that no permits had been issued other than for Australia’s own </w:t>
      </w:r>
      <w:proofErr w:type="spellStart"/>
      <w:r w:rsidR="3220C020" w:rsidRPr="3220C020">
        <w:t>defence</w:t>
      </w:r>
      <w:proofErr w:type="spellEnd"/>
      <w:r w:rsidR="3220C020" w:rsidRPr="3220C020">
        <w:t xml:space="preserve"> capability during the period in question.  </w:t>
      </w:r>
    </w:p>
    <w:p w14:paraId="6CCC5891" w14:textId="580B150D" w:rsidR="008A75CF" w:rsidRDefault="00F4688C" w:rsidP="008E24D2">
      <w:pPr>
        <w:ind w:left="426" w:hanging="426"/>
      </w:pPr>
      <w:r>
        <w:lastRenderedPageBreak/>
        <w:t xml:space="preserve">36. </w:t>
      </w:r>
      <w:r w:rsidR="008E24D2">
        <w:tab/>
      </w:r>
      <w:r w:rsidR="3220C020" w:rsidRPr="3220C020">
        <w:t xml:space="preserve">Since then, in April to June 2024, ACIJ expanded the scope of its legal submissions on behalf of its clients in an application requesting the Minister for </w:t>
      </w:r>
      <w:proofErr w:type="spellStart"/>
      <w:r w:rsidR="3220C020" w:rsidRPr="3220C020">
        <w:t>Defence</w:t>
      </w:r>
      <w:proofErr w:type="spellEnd"/>
      <w:r w:rsidR="3220C020" w:rsidRPr="3220C020">
        <w:t xml:space="preserve"> revoke all current or extant export permits that may go to or become available to Israel and revoke any permits issued to companies that operate on a </w:t>
      </w:r>
      <w:proofErr w:type="spellStart"/>
      <w:r w:rsidR="3220C020" w:rsidRPr="3220C020">
        <w:t>licence</w:t>
      </w:r>
      <w:proofErr w:type="spellEnd"/>
      <w:r w:rsidR="3220C020" w:rsidRPr="3220C020">
        <w:t>-free basis to the U</w:t>
      </w:r>
      <w:r w:rsidR="00B07E0B">
        <w:t>.</w:t>
      </w:r>
      <w:r w:rsidR="3220C020" w:rsidRPr="3220C020">
        <w:t>S</w:t>
      </w:r>
      <w:r w:rsidR="00B07E0B">
        <w:t>.</w:t>
      </w:r>
      <w:r w:rsidR="3220C020" w:rsidRPr="3220C020">
        <w:t xml:space="preserve">, due to existing treaties. </w:t>
      </w:r>
    </w:p>
    <w:p w14:paraId="09004C5B" w14:textId="73BCDAB2" w:rsidR="008A75CF" w:rsidRDefault="00F4688C" w:rsidP="008E24D2">
      <w:pPr>
        <w:ind w:left="426" w:hanging="426"/>
      </w:pPr>
      <w:r>
        <w:t xml:space="preserve">37. </w:t>
      </w:r>
      <w:r w:rsidR="008E24D2">
        <w:tab/>
      </w:r>
      <w:r w:rsidR="6AFF34AF" w:rsidRPr="3220C020">
        <w:t>This application prompted the Australian Government to announce in June 2024 that it was undertaking a review of 66 current or extant permits to Israel. In November 2024 it was revealed that Australia had “lapsed” or “amended” 16 export licenses to Israel,</w:t>
      </w:r>
      <w:r w:rsidR="008A75CF" w:rsidRPr="3220C020">
        <w:rPr>
          <w:rStyle w:val="FootnoteReference"/>
        </w:rPr>
        <w:footnoteReference w:id="65"/>
      </w:r>
      <w:r w:rsidR="6AFF34AF" w:rsidRPr="3220C020">
        <w:t xml:space="preserve"> with the review to conclude in December 2024. The Australian Government asserted that the “very high number of civilian deaths” imposed a tougher test on the granting of permits. It is concerning that no transparency exists in relation to this review, including whether F-35 parts were in consideration, and whether the reassessments have been undertaken according to law.</w:t>
      </w:r>
    </w:p>
    <w:p w14:paraId="1DEDF173" w14:textId="147A6A5E" w:rsidR="008A75CF" w:rsidRDefault="00F4688C" w:rsidP="008E24D2">
      <w:pPr>
        <w:ind w:left="426" w:hanging="426"/>
      </w:pPr>
      <w:r>
        <w:t>38.</w:t>
      </w:r>
      <w:r w:rsidR="008E24D2">
        <w:t xml:space="preserve"> </w:t>
      </w:r>
      <w:r w:rsidR="008E24D2">
        <w:tab/>
      </w:r>
      <w:r w:rsidR="3220C020" w:rsidRPr="3220C020">
        <w:t>It remains the case that there is credible, public information that suggests Israel is using F-35s and other parts and components in such a way as might constitute the commission, or attempted commission, of genocide (and other international crimes) in the OPT, and specifically against the Palestinian people in Gaza.</w:t>
      </w:r>
    </w:p>
    <w:p w14:paraId="31084039" w14:textId="537EB48C" w:rsidR="008A75CF" w:rsidRDefault="00F4688C" w:rsidP="008E24D2">
      <w:pPr>
        <w:ind w:left="426" w:hanging="426"/>
      </w:pPr>
      <w:r>
        <w:t>39</w:t>
      </w:r>
      <w:proofErr w:type="gramStart"/>
      <w:r>
        <w:t xml:space="preserve">. </w:t>
      </w:r>
      <w:r w:rsidR="008E24D2">
        <w:tab/>
      </w:r>
      <w:r w:rsidR="6AFF34AF" w:rsidRPr="3220C020">
        <w:t>In</w:t>
      </w:r>
      <w:proofErr w:type="gramEnd"/>
      <w:r w:rsidR="6AFF34AF" w:rsidRPr="3220C020">
        <w:t xml:space="preserve"> February 2025, the Department of </w:t>
      </w:r>
      <w:proofErr w:type="spellStart"/>
      <w:r w:rsidR="6AFF34AF" w:rsidRPr="3220C020">
        <w:t>Defence</w:t>
      </w:r>
      <w:proofErr w:type="spellEnd"/>
      <w:r w:rsidR="6AFF34AF" w:rsidRPr="3220C020">
        <w:t xml:space="preserve"> (</w:t>
      </w:r>
      <w:proofErr w:type="spellStart"/>
      <w:r w:rsidR="6AFF34AF" w:rsidRPr="3220C020">
        <w:t>Defence</w:t>
      </w:r>
      <w:proofErr w:type="spellEnd"/>
      <w:r w:rsidR="6AFF34AF" w:rsidRPr="3220C020">
        <w:t xml:space="preserve">) </w:t>
      </w:r>
      <w:r w:rsidR="0EBCB2DF" w:rsidRPr="3220C020">
        <w:t xml:space="preserve">revealed the following in relation to the </w:t>
      </w:r>
      <w:r w:rsidR="6AFF34AF" w:rsidRPr="3220C020">
        <w:t>review:</w:t>
      </w:r>
      <w:r w:rsidR="008A75CF" w:rsidRPr="3220C020">
        <w:rPr>
          <w:rStyle w:val="FootnoteReference"/>
        </w:rPr>
        <w:footnoteReference w:id="66"/>
      </w:r>
    </w:p>
    <w:p w14:paraId="3B83A5BB" w14:textId="6A9A73AA" w:rsidR="008A75CF" w:rsidRDefault="3220C020" w:rsidP="008E24D2">
      <w:pPr>
        <w:pStyle w:val="ListParagraph"/>
        <w:numPr>
          <w:ilvl w:val="0"/>
          <w:numId w:val="6"/>
        </w:numPr>
        <w:ind w:left="1080"/>
      </w:pPr>
      <w:r w:rsidRPr="3220C020">
        <w:rPr>
          <w:b/>
          <w:bCs/>
        </w:rPr>
        <w:t>Since 7 October 2023</w:t>
      </w:r>
      <w:r w:rsidRPr="3220C020">
        <w:t xml:space="preserve">, </w:t>
      </w:r>
      <w:proofErr w:type="spellStart"/>
      <w:r w:rsidRPr="3220C020">
        <w:t>Defence</w:t>
      </w:r>
      <w:proofErr w:type="spellEnd"/>
      <w:r w:rsidRPr="3220C020">
        <w:t xml:space="preserve"> issued 22 export permits to Israel. Of these, four have since expired. The remaining 18 permits relate to items that “support the Australian </w:t>
      </w:r>
      <w:proofErr w:type="spellStart"/>
      <w:r w:rsidRPr="3220C020">
        <w:t>Defence</w:t>
      </w:r>
      <w:proofErr w:type="spellEnd"/>
      <w:r w:rsidRPr="3220C020">
        <w:t xml:space="preserve"> Force capability.”</w:t>
      </w:r>
    </w:p>
    <w:p w14:paraId="3992D7E5" w14:textId="7399FEB9" w:rsidR="008A75CF" w:rsidRDefault="3220C020" w:rsidP="008E24D2">
      <w:pPr>
        <w:pStyle w:val="ListParagraph"/>
        <w:numPr>
          <w:ilvl w:val="0"/>
          <w:numId w:val="6"/>
        </w:numPr>
        <w:ind w:left="1080"/>
      </w:pPr>
      <w:r w:rsidRPr="3220C020">
        <w:rPr>
          <w:b/>
          <w:bCs/>
        </w:rPr>
        <w:t>In relation to extant permits issued prior to the current conflict in Gaza</w:t>
      </w:r>
      <w:r w:rsidRPr="3220C020">
        <w:t xml:space="preserve">, </w:t>
      </w:r>
      <w:proofErr w:type="spellStart"/>
      <w:r w:rsidRPr="3220C020">
        <w:t>Defence</w:t>
      </w:r>
      <w:proofErr w:type="spellEnd"/>
      <w:r w:rsidRPr="3220C020">
        <w:t xml:space="preserve"> initially identified a total of 66 active export permits to Israel.</w:t>
      </w:r>
    </w:p>
    <w:p w14:paraId="5169C795" w14:textId="6FA4698C" w:rsidR="008A75CF" w:rsidRDefault="3220C020" w:rsidP="008E24D2">
      <w:pPr>
        <w:pStyle w:val="ListParagraph"/>
        <w:numPr>
          <w:ilvl w:val="0"/>
          <w:numId w:val="6"/>
        </w:numPr>
        <w:ind w:left="1080"/>
      </w:pPr>
      <w:r w:rsidRPr="3220C020">
        <w:t xml:space="preserve">Following a </w:t>
      </w:r>
      <w:r w:rsidRPr="3220C020">
        <w:rPr>
          <w:b/>
          <w:bCs/>
        </w:rPr>
        <w:t>review process</w:t>
      </w:r>
      <w:r w:rsidRPr="3220C020">
        <w:t xml:space="preserve"> conducted by </w:t>
      </w:r>
      <w:proofErr w:type="spellStart"/>
      <w:r w:rsidRPr="3220C020">
        <w:t>Defence</w:t>
      </w:r>
      <w:proofErr w:type="spellEnd"/>
      <w:r w:rsidRPr="3220C020">
        <w:t>, it was indicated that:</w:t>
      </w:r>
    </w:p>
    <w:p w14:paraId="1EC3B76E" w14:textId="6A16E7D3" w:rsidR="008A75CF" w:rsidRDefault="3220C020" w:rsidP="008E24D2">
      <w:pPr>
        <w:pStyle w:val="ListParagraph"/>
        <w:numPr>
          <w:ilvl w:val="0"/>
          <w:numId w:val="5"/>
        </w:numPr>
        <w:ind w:left="1800"/>
      </w:pPr>
      <w:r w:rsidRPr="3220C020">
        <w:t xml:space="preserve">two of the 66 permits had already </w:t>
      </w:r>
      <w:proofErr w:type="gramStart"/>
      <w:r w:rsidRPr="3220C020">
        <w:t>expired;</w:t>
      </w:r>
      <w:proofErr w:type="gramEnd"/>
    </w:p>
    <w:p w14:paraId="335116A8" w14:textId="23620DC4" w:rsidR="008A75CF" w:rsidRDefault="3220C020" w:rsidP="008E24D2">
      <w:pPr>
        <w:pStyle w:val="ListParagraph"/>
        <w:numPr>
          <w:ilvl w:val="0"/>
          <w:numId w:val="5"/>
        </w:numPr>
        <w:ind w:left="1800"/>
      </w:pPr>
      <w:r w:rsidRPr="3220C020">
        <w:t xml:space="preserve">35 were assessed as requiring no further action, and were stated to relate to the support of Australian </w:t>
      </w:r>
      <w:proofErr w:type="spellStart"/>
      <w:r w:rsidRPr="3220C020">
        <w:t>Defence</w:t>
      </w:r>
      <w:proofErr w:type="spellEnd"/>
      <w:r w:rsidRPr="3220C020">
        <w:t xml:space="preserve"> Force </w:t>
      </w:r>
      <w:proofErr w:type="gramStart"/>
      <w:r w:rsidRPr="3220C020">
        <w:t>capability;</w:t>
      </w:r>
      <w:proofErr w:type="gramEnd"/>
    </w:p>
    <w:p w14:paraId="0721E071" w14:textId="41DEF8AF" w:rsidR="008A75CF" w:rsidRDefault="3220C020" w:rsidP="008E24D2">
      <w:pPr>
        <w:pStyle w:val="ListParagraph"/>
        <w:numPr>
          <w:ilvl w:val="0"/>
          <w:numId w:val="5"/>
        </w:numPr>
        <w:ind w:left="1800"/>
      </w:pPr>
      <w:r w:rsidRPr="3220C020">
        <w:t xml:space="preserve">16 permits either lapsed due to their temporary nature or were amended to remove Israel as the end-user destination. The rationale for amendment was </w:t>
      </w:r>
      <w:r w:rsidRPr="3220C020">
        <w:lastRenderedPageBreak/>
        <w:t xml:space="preserve">described as ensuring confidence that any export authorized under the permit would not contribute to a breach of Australia’s obligations under the Arms Trade Treaty, </w:t>
      </w:r>
      <w:proofErr w:type="gramStart"/>
      <w:r w:rsidRPr="3220C020">
        <w:t>in light of</w:t>
      </w:r>
      <w:proofErr w:type="gramEnd"/>
      <w:r w:rsidRPr="3220C020">
        <w:t xml:space="preserve"> the ongoing conflict in Gaza; and</w:t>
      </w:r>
    </w:p>
    <w:p w14:paraId="233CF518" w14:textId="6517D3F0" w:rsidR="008A75CF" w:rsidRDefault="3220C020" w:rsidP="008E24D2">
      <w:pPr>
        <w:pStyle w:val="ListParagraph"/>
        <w:numPr>
          <w:ilvl w:val="0"/>
          <w:numId w:val="5"/>
        </w:numPr>
        <w:ind w:left="1800"/>
      </w:pPr>
      <w:proofErr w:type="gramStart"/>
      <w:r w:rsidRPr="3220C020">
        <w:t>there</w:t>
      </w:r>
      <w:proofErr w:type="gramEnd"/>
      <w:r w:rsidRPr="3220C020">
        <w:t xml:space="preserve"> were 13 extant export permits that remained subject to scrutiny.</w:t>
      </w:r>
    </w:p>
    <w:p w14:paraId="07AED963" w14:textId="03A18039" w:rsidR="007B3571" w:rsidRPr="00986796" w:rsidRDefault="3220C020" w:rsidP="3220C020">
      <w:pPr>
        <w:pStyle w:val="Heading2"/>
        <w:ind w:left="0" w:firstLine="0"/>
        <w:rPr>
          <w:rFonts w:ascii="Arial" w:eastAsia="Arial" w:hAnsi="Arial" w:cs="Arial"/>
        </w:rPr>
      </w:pPr>
      <w:bookmarkStart w:id="2" w:name="_Toc185484273"/>
      <w:r w:rsidRPr="3220C020">
        <w:rPr>
          <w:rFonts w:ascii="Arial" w:eastAsia="Arial" w:hAnsi="Arial" w:cs="Arial"/>
        </w:rPr>
        <w:t>III. VIOLATIONS OF EXTRATERRITORIAL OBLIGATIONS BY STATES PARTIES</w:t>
      </w:r>
      <w:bookmarkEnd w:id="2"/>
    </w:p>
    <w:p w14:paraId="59D6603D" w14:textId="558E67ED" w:rsidR="007B3571" w:rsidRPr="00986796" w:rsidRDefault="3220C020" w:rsidP="3220C020">
      <w:pPr>
        <w:pStyle w:val="Heading3"/>
        <w:ind w:left="990" w:hanging="540"/>
        <w:rPr>
          <w:rFonts w:eastAsia="Arial" w:cs="Arial"/>
          <w:i/>
          <w:iCs/>
        </w:rPr>
      </w:pPr>
      <w:bookmarkStart w:id="3" w:name="_heading=h.sjv2m2tt4kqf"/>
      <w:bookmarkStart w:id="4" w:name="_Toc185484274"/>
      <w:bookmarkEnd w:id="3"/>
      <w:r w:rsidRPr="3220C020">
        <w:rPr>
          <w:rFonts w:eastAsia="Arial" w:cs="Arial"/>
          <w:i/>
          <w:iCs/>
        </w:rPr>
        <w:t>A. Extraterritoriality under the CRPD</w:t>
      </w:r>
      <w:bookmarkEnd w:id="4"/>
      <w:r w:rsidRPr="3220C020">
        <w:rPr>
          <w:rFonts w:eastAsia="Arial" w:cs="Arial"/>
          <w:i/>
          <w:iCs/>
        </w:rPr>
        <w:t xml:space="preserve"> </w:t>
      </w:r>
    </w:p>
    <w:p w14:paraId="1036E39F" w14:textId="4882B525" w:rsidR="007B3571" w:rsidRPr="00986796" w:rsidRDefault="00F4688C" w:rsidP="008E24D2">
      <w:pPr>
        <w:ind w:left="426" w:hanging="426"/>
      </w:pPr>
      <w:r>
        <w:t>40</w:t>
      </w:r>
      <w:proofErr w:type="gramStart"/>
      <w:r>
        <w:t xml:space="preserve">. </w:t>
      </w:r>
      <w:r w:rsidR="008E24D2">
        <w:tab/>
      </w:r>
      <w:r w:rsidR="3220C020" w:rsidRPr="3220C020">
        <w:t>The</w:t>
      </w:r>
      <w:proofErr w:type="gramEnd"/>
      <w:r w:rsidR="3220C020" w:rsidRPr="3220C020">
        <w:t xml:space="preserve"> obligations undertaken by States Parties under the CRPD apply extraterritorially. When read together, Articles 4, 11, and 32 of the Convention establish that the States Parties’ obligations under the Convention apply beyond their borders:</w:t>
      </w:r>
    </w:p>
    <w:p w14:paraId="24C70DF9" w14:textId="1D15C9A3" w:rsidR="007B3571" w:rsidRPr="00986796" w:rsidRDefault="007B3571" w:rsidP="008E24D2">
      <w:pPr>
        <w:numPr>
          <w:ilvl w:val="0"/>
          <w:numId w:val="12"/>
        </w:numPr>
        <w:pBdr>
          <w:top w:val="nil"/>
          <w:left w:val="nil"/>
          <w:bottom w:val="nil"/>
          <w:right w:val="nil"/>
          <w:between w:val="nil"/>
        </w:pBdr>
        <w:spacing w:before="240"/>
        <w:ind w:left="1134" w:hanging="425"/>
        <w:rPr>
          <w:color w:val="000000"/>
        </w:rPr>
      </w:pPr>
      <w:r w:rsidRPr="3220C020">
        <w:rPr>
          <w:color w:val="000000"/>
        </w:rPr>
        <w:t>Article 4 affirms the States Parties</w:t>
      </w:r>
      <w:r w:rsidR="6AFF34AF" w:rsidRPr="3220C020">
        <w:rPr>
          <w:color w:val="000000" w:themeColor="text1"/>
        </w:rPr>
        <w:t>’</w:t>
      </w:r>
      <w:r w:rsidRPr="3220C020">
        <w:rPr>
          <w:color w:val="000000"/>
        </w:rPr>
        <w:t xml:space="preserve"> responsibility to adopt measures that align their laws, regulations, and practices with the Convention’s objectives, including the prevention of discrimination against </w:t>
      </w:r>
      <w:proofErr w:type="gramStart"/>
      <w:r w:rsidRPr="3220C020">
        <w:rPr>
          <w:color w:val="000000"/>
        </w:rPr>
        <w:t>persons</w:t>
      </w:r>
      <w:proofErr w:type="gramEnd"/>
      <w:r w:rsidRPr="3220C020">
        <w:rPr>
          <w:color w:val="000000"/>
        </w:rPr>
        <w:t xml:space="preserve"> with disabilities.</w:t>
      </w:r>
      <w:r w:rsidRPr="3220C020">
        <w:rPr>
          <w:color w:val="000000"/>
          <w:sz w:val="24"/>
          <w:szCs w:val="24"/>
        </w:rPr>
        <w:t xml:space="preserve"> </w:t>
      </w:r>
      <w:r w:rsidRPr="3220C020">
        <w:rPr>
          <w:color w:val="000000"/>
        </w:rPr>
        <w:t>This obligation extends to refraining from conduct with foreseeable extraterritorial impacts.</w:t>
      </w:r>
      <w:r w:rsidRPr="3220C020">
        <w:rPr>
          <w:color w:val="000000"/>
          <w:vertAlign w:val="superscript"/>
        </w:rPr>
        <w:footnoteReference w:id="67"/>
      </w:r>
    </w:p>
    <w:p w14:paraId="036FE0AD" w14:textId="4C466616" w:rsidR="007B3571" w:rsidRPr="00986796" w:rsidRDefault="007B3571" w:rsidP="008E24D2">
      <w:pPr>
        <w:numPr>
          <w:ilvl w:val="0"/>
          <w:numId w:val="12"/>
        </w:numPr>
        <w:pBdr>
          <w:top w:val="nil"/>
          <w:left w:val="nil"/>
          <w:bottom w:val="nil"/>
          <w:right w:val="nil"/>
          <w:between w:val="nil"/>
        </w:pBdr>
        <w:ind w:left="1134" w:hanging="425"/>
        <w:rPr>
          <w:color w:val="000000"/>
        </w:rPr>
      </w:pPr>
      <w:r w:rsidRPr="3220C020">
        <w:rPr>
          <w:color w:val="000000"/>
        </w:rPr>
        <w:t xml:space="preserve">Article 11 further compels the States Parties to protect the rights of </w:t>
      </w:r>
      <w:proofErr w:type="gramStart"/>
      <w:r w:rsidRPr="3220C020">
        <w:rPr>
          <w:color w:val="000000"/>
        </w:rPr>
        <w:t>persons</w:t>
      </w:r>
      <w:proofErr w:type="gramEnd"/>
      <w:r w:rsidRPr="3220C020">
        <w:rPr>
          <w:color w:val="000000"/>
        </w:rPr>
        <w:t xml:space="preserve"> with disabilities in situations of risk, such as wars or humanitarian crises, including in territories like Gaza, where State actions or policies may indirectly or directly impact these rights.</w:t>
      </w:r>
      <w:r w:rsidRPr="3220C020">
        <w:rPr>
          <w:color w:val="000000"/>
          <w:vertAlign w:val="superscript"/>
        </w:rPr>
        <w:footnoteReference w:id="68"/>
      </w:r>
    </w:p>
    <w:p w14:paraId="760B10CE" w14:textId="4B86A6EB" w:rsidR="007B3571" w:rsidRPr="00986796" w:rsidRDefault="007B3571" w:rsidP="008E24D2">
      <w:pPr>
        <w:numPr>
          <w:ilvl w:val="0"/>
          <w:numId w:val="12"/>
        </w:numPr>
        <w:pBdr>
          <w:top w:val="nil"/>
          <w:left w:val="nil"/>
          <w:bottom w:val="nil"/>
          <w:right w:val="nil"/>
          <w:between w:val="nil"/>
        </w:pBdr>
        <w:ind w:left="1134" w:hanging="425"/>
        <w:rPr>
          <w:color w:val="000000"/>
        </w:rPr>
      </w:pPr>
      <w:r w:rsidRPr="3220C020">
        <w:rPr>
          <w:color w:val="000000"/>
        </w:rPr>
        <w:t xml:space="preserve">Article 32 underscores the importance of international cooperation, obligating the States Parties to ensure their global engagements, including development programs and humanitarian aid, </w:t>
      </w:r>
      <w:r w:rsidR="6AFF34AF" w:rsidRPr="3220C020">
        <w:rPr>
          <w:color w:val="000000" w:themeColor="text1"/>
        </w:rPr>
        <w:t xml:space="preserve">and </w:t>
      </w:r>
      <w:r w:rsidRPr="3220C020">
        <w:rPr>
          <w:color w:val="000000"/>
        </w:rPr>
        <w:t>promote and respect the Convention’s objectives</w:t>
      </w:r>
      <w:r w:rsidRPr="3220C020">
        <w:rPr>
          <w:color w:val="000000"/>
          <w:vertAlign w:val="superscript"/>
        </w:rPr>
        <w:footnoteReference w:id="69"/>
      </w:r>
      <w:r w:rsidRPr="3220C020">
        <w:rPr>
          <w:color w:val="000000"/>
        </w:rPr>
        <w:t>.</w:t>
      </w:r>
    </w:p>
    <w:p w14:paraId="3AA301D5" w14:textId="2EC77690" w:rsidR="007B3571" w:rsidRPr="00986796" w:rsidRDefault="00F4688C" w:rsidP="008E24D2">
      <w:pPr>
        <w:ind w:left="426" w:hanging="426"/>
      </w:pPr>
      <w:r>
        <w:t>41</w:t>
      </w:r>
      <w:proofErr w:type="gramStart"/>
      <w:r>
        <w:t xml:space="preserve">. </w:t>
      </w:r>
      <w:r w:rsidR="008E24D2">
        <w:tab/>
      </w:r>
      <w:r w:rsidR="3220C020" w:rsidRPr="3220C020">
        <w:t>Together</w:t>
      </w:r>
      <w:proofErr w:type="gramEnd"/>
      <w:r w:rsidR="3220C020" w:rsidRPr="3220C020">
        <w:t>, these provisions impose a duty on States Parties to ensure that their actions, policies, and practices on military exports are consistent with the rights and principles enshrined in the Convention.</w:t>
      </w:r>
    </w:p>
    <w:p w14:paraId="1A8A0CA4" w14:textId="45642AB7" w:rsidR="007B3571" w:rsidRPr="00986796" w:rsidRDefault="00F4688C" w:rsidP="008E24D2">
      <w:pPr>
        <w:ind w:left="426" w:hanging="426"/>
      </w:pPr>
      <w:r>
        <w:lastRenderedPageBreak/>
        <w:t>42</w:t>
      </w:r>
      <w:proofErr w:type="gramStart"/>
      <w:r>
        <w:t xml:space="preserve">. </w:t>
      </w:r>
      <w:r w:rsidR="008E24D2">
        <w:tab/>
      </w:r>
      <w:r w:rsidR="007B3571" w:rsidRPr="3220C020">
        <w:t>Other</w:t>
      </w:r>
      <w:proofErr w:type="gramEnd"/>
      <w:r w:rsidR="007B3571" w:rsidRPr="3220C020">
        <w:t xml:space="preserve"> UN treaty bodies have also affirmed the extraterritorial obligations of States under international human rights law. The CEDAW Committee has noted that </w:t>
      </w:r>
      <w:r w:rsidR="6AFF34AF" w:rsidRPr="3220C020">
        <w:t>S</w:t>
      </w:r>
      <w:r w:rsidR="007B3571" w:rsidRPr="3220C020">
        <w:t xml:space="preserve">tates </w:t>
      </w:r>
      <w:r w:rsidR="6AFF34AF" w:rsidRPr="3220C020">
        <w:t>P</w:t>
      </w:r>
      <w:r w:rsidR="007B3571" w:rsidRPr="3220C020">
        <w:t>arties to CEDAW “are responsible for all their actions affecting human rights, regardless of whether the affected persons are in their territory.”</w:t>
      </w:r>
      <w:r w:rsidR="007B3571" w:rsidRPr="3220C020">
        <w:rPr>
          <w:vertAlign w:val="superscript"/>
        </w:rPr>
        <w:footnoteReference w:id="70"/>
      </w:r>
      <w:r w:rsidR="007B3571" w:rsidRPr="3220C020">
        <w:t xml:space="preserve"> The UN Human Rights Committee has concluded that jurisdiction in human rights law refers to the “relationship between the individual and the State in relation to a violation of any of the rights set forth in the Covenant, wherever they occurred.”</w:t>
      </w:r>
      <w:r w:rsidR="007B3571" w:rsidRPr="3220C020">
        <w:rPr>
          <w:vertAlign w:val="superscript"/>
        </w:rPr>
        <w:footnoteReference w:id="71"/>
      </w:r>
      <w:r w:rsidR="007B3571" w:rsidRPr="3220C020">
        <w:t xml:space="preserve"> </w:t>
      </w:r>
    </w:p>
    <w:p w14:paraId="3D13B543" w14:textId="17194F33" w:rsidR="007B3571" w:rsidRPr="00986796" w:rsidRDefault="00F4688C" w:rsidP="008E24D2">
      <w:pPr>
        <w:ind w:left="426" w:hanging="426"/>
      </w:pPr>
      <w:r>
        <w:t xml:space="preserve">43. </w:t>
      </w:r>
      <w:r w:rsidR="008E24D2">
        <w:tab/>
      </w:r>
      <w:r w:rsidR="007B3571" w:rsidRPr="3220C020">
        <w:t>Regional human rights bodies have also commented on situations where States may have extraterritorial obligations. For example, the Inter-American system takes an expansive and “impact-based” approach to jurisdiction in that a State may be responsible for human rights violations outside its territory where such violations are attributable</w:t>
      </w:r>
      <w:r w:rsidR="007B3571" w:rsidRPr="3220C020">
        <w:rPr>
          <w:i/>
          <w:iCs/>
        </w:rPr>
        <w:t xml:space="preserve"> </w:t>
      </w:r>
      <w:r w:rsidR="007B3571" w:rsidRPr="3220C020">
        <w:t>to the State.</w:t>
      </w:r>
      <w:r w:rsidR="007B3571" w:rsidRPr="3220C020">
        <w:rPr>
          <w:vertAlign w:val="superscript"/>
        </w:rPr>
        <w:footnoteReference w:id="72"/>
      </w:r>
      <w:r w:rsidR="007B3571" w:rsidRPr="3220C020">
        <w:rPr>
          <w:vertAlign w:val="superscript"/>
        </w:rPr>
        <w:t xml:space="preserve"> </w:t>
      </w:r>
      <w:r w:rsidR="007B3571" w:rsidRPr="3220C020">
        <w:t xml:space="preserve">The Inter-American Court of Human Rights stated in its Advisory Opinion on </w:t>
      </w:r>
      <w:r w:rsidR="007B3571" w:rsidRPr="3220C020">
        <w:rPr>
          <w:i/>
          <w:iCs/>
        </w:rPr>
        <w:t>The Environment and Human Rights</w:t>
      </w:r>
      <w:r w:rsidR="007B3571" w:rsidRPr="3220C020">
        <w:t xml:space="preserve"> that “if there is a causal link between the action that occurred within [a State’s] territory and the negative impact on human rights of persons outside its territory, the individuals whose rights have been violated come within the jurisdiction of that State.”</w:t>
      </w:r>
      <w:r w:rsidR="007B3571" w:rsidRPr="3220C020">
        <w:rPr>
          <w:vertAlign w:val="superscript"/>
        </w:rPr>
        <w:footnoteReference w:id="73"/>
      </w:r>
      <w:r w:rsidR="007B3571" w:rsidRPr="3220C020">
        <w:t xml:space="preserve"> </w:t>
      </w:r>
    </w:p>
    <w:p w14:paraId="381DA255" w14:textId="3C337A4D" w:rsidR="007B3571" w:rsidRPr="00986796" w:rsidRDefault="00F4688C" w:rsidP="008E24D2">
      <w:pPr>
        <w:ind w:left="426" w:hanging="426"/>
      </w:pPr>
      <w:r>
        <w:t xml:space="preserve">44. </w:t>
      </w:r>
      <w:r w:rsidR="008E24D2">
        <w:tab/>
      </w:r>
      <w:r w:rsidR="007B3571" w:rsidRPr="3220C020">
        <w:t>This Committee has previously stated that States have a positive obligation to ensure they respect the rights conferred in the Convention,</w:t>
      </w:r>
      <w:r w:rsidR="007B3571" w:rsidRPr="3220C020">
        <w:rPr>
          <w:vertAlign w:val="superscript"/>
        </w:rPr>
        <w:footnoteReference w:id="74"/>
      </w:r>
      <w:r w:rsidR="007B3571" w:rsidRPr="3220C020">
        <w:t xml:space="preserve"> and further that States must respect international humanitarian law and international human rights law to protect persons with disabilities in situations of wars and armed conflict.</w:t>
      </w:r>
      <w:r w:rsidR="007B3571" w:rsidRPr="3220C020">
        <w:rPr>
          <w:vertAlign w:val="superscript"/>
        </w:rPr>
        <w:footnoteReference w:id="75"/>
      </w:r>
      <w:r w:rsidR="007B3571" w:rsidRPr="3220C020">
        <w:t xml:space="preserve"> By continuing to export arms and technology to Israel, Canada</w:t>
      </w:r>
      <w:r w:rsidR="6AFF34AF" w:rsidRPr="3220C020">
        <w:t>, the Netherlands</w:t>
      </w:r>
      <w:r w:rsidR="00B07E0B">
        <w:t>,</w:t>
      </w:r>
      <w:r w:rsidR="6AFF34AF" w:rsidRPr="3220C020">
        <w:t xml:space="preserve"> Australia, and similarly-positioned States Parties</w:t>
      </w:r>
      <w:r w:rsidR="007B3571" w:rsidRPr="3220C020">
        <w:t xml:space="preserve"> </w:t>
      </w:r>
      <w:r w:rsidR="6AFF34AF" w:rsidRPr="3220C020">
        <w:t>are</w:t>
      </w:r>
      <w:r w:rsidR="007B3571" w:rsidRPr="3220C020">
        <w:t xml:space="preserve"> directly contributing to the violation of the rights of persons with disabilities in Gaza</w:t>
      </w:r>
      <w:r w:rsidR="6AFF34AF" w:rsidRPr="3220C020">
        <w:t xml:space="preserve"> and the West Bank</w:t>
      </w:r>
      <w:r w:rsidR="007B3571" w:rsidRPr="3220C020">
        <w:t>.</w:t>
      </w:r>
    </w:p>
    <w:p w14:paraId="63E96C4C" w14:textId="2D369524" w:rsidR="007B3571" w:rsidRPr="00986796" w:rsidRDefault="3220C020" w:rsidP="00CA342B">
      <w:pPr>
        <w:pStyle w:val="Heading3"/>
        <w:ind w:firstLine="143"/>
        <w:rPr>
          <w:rFonts w:eastAsia="Arial" w:cs="Arial"/>
          <w:i/>
          <w:iCs/>
        </w:rPr>
      </w:pPr>
      <w:bookmarkStart w:id="5" w:name="_Toc185484275"/>
      <w:r w:rsidRPr="3220C020">
        <w:rPr>
          <w:rFonts w:eastAsia="Arial" w:cs="Arial"/>
          <w:i/>
          <w:iCs/>
        </w:rPr>
        <w:lastRenderedPageBreak/>
        <w:t>B. The Obligation to Regulate Corporate Conduct</w:t>
      </w:r>
      <w:bookmarkEnd w:id="5"/>
    </w:p>
    <w:p w14:paraId="0CEC7C26" w14:textId="75A504FB" w:rsidR="007B3571" w:rsidRPr="00986796" w:rsidRDefault="00F4688C" w:rsidP="008E24D2">
      <w:pPr>
        <w:ind w:left="426" w:hanging="426"/>
      </w:pPr>
      <w:r>
        <w:t xml:space="preserve">45. </w:t>
      </w:r>
      <w:r w:rsidR="008E24D2">
        <w:tab/>
      </w:r>
      <w:r w:rsidR="007B3571" w:rsidRPr="3220C020">
        <w:t>This Committee has also observed that States have a duty to actively prevent non-State actors and private persons, including businesses, from impeding persons with disabilities</w:t>
      </w:r>
      <w:r w:rsidR="6AFF34AF" w:rsidRPr="3220C020">
        <w:t>’</w:t>
      </w:r>
      <w:r w:rsidR="007B3571" w:rsidRPr="3220C020">
        <w:t xml:space="preserve"> ability to enjoy and exercise their human rights, including their right to legal capacity.</w:t>
      </w:r>
      <w:r w:rsidR="007B3571" w:rsidRPr="3220C020">
        <w:rPr>
          <w:vertAlign w:val="superscript"/>
        </w:rPr>
        <w:footnoteReference w:id="76"/>
      </w:r>
    </w:p>
    <w:p w14:paraId="67637DCB" w14:textId="6511C44F" w:rsidR="007B3571" w:rsidRPr="00986796" w:rsidRDefault="00F4688C" w:rsidP="008E24D2">
      <w:pPr>
        <w:ind w:left="426" w:hanging="426"/>
      </w:pPr>
      <w:r>
        <w:t>46</w:t>
      </w:r>
      <w:proofErr w:type="gramStart"/>
      <w:r>
        <w:t xml:space="preserve">. </w:t>
      </w:r>
      <w:r w:rsidR="008E24D2">
        <w:tab/>
      </w:r>
      <w:r w:rsidR="007B3571" w:rsidRPr="3220C020">
        <w:t>Other</w:t>
      </w:r>
      <w:proofErr w:type="gramEnd"/>
      <w:r w:rsidR="007B3571" w:rsidRPr="3220C020">
        <w:t xml:space="preserve"> UN treaty bodies have further recognized that IHRL compels States to regulate the extraterritorial conduct of corporations within their jurisdiction. As the Human Rights Committee has stated (in a case involving Canada), “there are situations where a State party has an obligation to ensure that rights under the Covenant are not impaired by extraterritorial activities conducted by enterprises under its jurisdiction.”</w:t>
      </w:r>
      <w:r w:rsidR="007B3571" w:rsidRPr="3220C020">
        <w:rPr>
          <w:vertAlign w:val="superscript"/>
        </w:rPr>
        <w:footnoteReference w:id="77"/>
      </w:r>
      <w:r w:rsidR="007B3571" w:rsidRPr="3220C020">
        <w:t xml:space="preserve"> The CEDAW Committee has similarly stated that Canada’s obligations under CEDAW require it to protect women from discrimination by non-State actors, including corporations.</w:t>
      </w:r>
      <w:r w:rsidR="007B3571" w:rsidRPr="3220C020">
        <w:rPr>
          <w:vertAlign w:val="superscript"/>
        </w:rPr>
        <w:footnoteReference w:id="78"/>
      </w:r>
    </w:p>
    <w:p w14:paraId="6EDDB33A" w14:textId="036216CF" w:rsidR="007B3571" w:rsidRPr="00986796" w:rsidRDefault="00F4688C" w:rsidP="008E24D2">
      <w:pPr>
        <w:ind w:left="426" w:hanging="426"/>
      </w:pPr>
      <w:r>
        <w:t>47</w:t>
      </w:r>
      <w:proofErr w:type="gramStart"/>
      <w:r>
        <w:t xml:space="preserve">. </w:t>
      </w:r>
      <w:r w:rsidR="008E24D2">
        <w:tab/>
      </w:r>
      <w:r w:rsidR="007B3571" w:rsidRPr="3220C020">
        <w:t>The</w:t>
      </w:r>
      <w:proofErr w:type="gramEnd"/>
      <w:r w:rsidR="007B3571" w:rsidRPr="3220C020">
        <w:t xml:space="preserve"> Committee on Economic, Social, and Cultural Rights</w:t>
      </w:r>
      <w:r w:rsidR="007B3571" w:rsidRPr="3220C020">
        <w:rPr>
          <w:vertAlign w:val="superscript"/>
        </w:rPr>
        <w:footnoteReference w:id="79"/>
      </w:r>
      <w:r w:rsidR="007B3571" w:rsidRPr="3220C020">
        <w:t xml:space="preserve"> and the Committee on the Rights of the Child</w:t>
      </w:r>
      <w:r w:rsidR="007B3571" w:rsidRPr="3220C020">
        <w:rPr>
          <w:vertAlign w:val="superscript"/>
        </w:rPr>
        <w:footnoteReference w:id="80"/>
      </w:r>
      <w:r w:rsidR="007B3571" w:rsidRPr="3220C020">
        <w:t xml:space="preserve"> have also both recognized the responsibility of States to regulate the actions of corporations that may negatively impact human rights in any part of the world.</w:t>
      </w:r>
    </w:p>
    <w:p w14:paraId="4A31BA25" w14:textId="11F8730B" w:rsidR="007B3571" w:rsidRPr="00986796" w:rsidRDefault="00F4688C" w:rsidP="008E24D2">
      <w:pPr>
        <w:ind w:left="426" w:hanging="426"/>
      </w:pPr>
      <w:r>
        <w:t>48</w:t>
      </w:r>
      <w:proofErr w:type="gramStart"/>
      <w:r>
        <w:t xml:space="preserve">. </w:t>
      </w:r>
      <w:r w:rsidR="008E24D2">
        <w:tab/>
      </w:r>
      <w:r w:rsidR="007B3571" w:rsidRPr="3220C020">
        <w:t>According</w:t>
      </w:r>
      <w:proofErr w:type="gramEnd"/>
      <w:r w:rsidR="007B3571" w:rsidRPr="3220C020">
        <w:t xml:space="preserve"> to the UN Guiding Principles on Business and Human Rights (UNGPs), States can be held accountable for human rights violations committed by private sector entities when such violations can be attributed to the State or when the State fails to implement adequate measures to prevent and remedy violations.</w:t>
      </w:r>
      <w:r w:rsidR="007B3571" w:rsidRPr="3220C020">
        <w:rPr>
          <w:vertAlign w:val="superscript"/>
        </w:rPr>
        <w:footnoteReference w:id="81"/>
      </w:r>
    </w:p>
    <w:p w14:paraId="70BF03DE" w14:textId="2246D224" w:rsidR="007B3571" w:rsidRPr="00986796" w:rsidRDefault="00F4688C" w:rsidP="008E24D2">
      <w:pPr>
        <w:ind w:left="426" w:hanging="426"/>
      </w:pPr>
      <w:r>
        <w:t xml:space="preserve">49. </w:t>
      </w:r>
      <w:r w:rsidR="008E24D2">
        <w:tab/>
      </w:r>
      <w:r w:rsidR="007B3571" w:rsidRPr="3220C020">
        <w:t>The Inter-American Commission on Human Rights took a similar approach in its thematic report</w:t>
      </w:r>
      <w:r w:rsidR="6AFF34AF" w:rsidRPr="3220C020">
        <w:t>,</w:t>
      </w:r>
      <w:r w:rsidR="007B3571" w:rsidRPr="3220C020">
        <w:t xml:space="preserve"> </w:t>
      </w:r>
      <w:r w:rsidR="007B3571" w:rsidRPr="3220C020">
        <w:rPr>
          <w:i/>
          <w:iCs/>
        </w:rPr>
        <w:t>Business and Human Rights: Inter-American Standards</w:t>
      </w:r>
      <w:r w:rsidR="007B3571" w:rsidRPr="3220C020">
        <w:t xml:space="preserve">, explaining that when the State has knowledge of specific facts attributable to some business under its jurisdiction that </w:t>
      </w:r>
      <w:r w:rsidR="007B3571" w:rsidRPr="3220C020">
        <w:lastRenderedPageBreak/>
        <w:t>threatens or violates human rights and the State tolerates or acquiesces to such conduct, this may result in the State’s indirect responsibility for violations of human rights law.</w:t>
      </w:r>
      <w:r w:rsidR="007B3571" w:rsidRPr="3220C020">
        <w:rPr>
          <w:vertAlign w:val="superscript"/>
        </w:rPr>
        <w:footnoteReference w:id="82"/>
      </w:r>
    </w:p>
    <w:p w14:paraId="6B044119" w14:textId="291AD28D" w:rsidR="007B3571" w:rsidRPr="00986796" w:rsidRDefault="00F4688C" w:rsidP="008E24D2">
      <w:pPr>
        <w:ind w:left="426" w:hanging="426"/>
      </w:pPr>
      <w:r>
        <w:t xml:space="preserve">50. </w:t>
      </w:r>
      <w:r w:rsidR="008E24D2">
        <w:tab/>
      </w:r>
      <w:r w:rsidR="007B3571" w:rsidRPr="3220C020">
        <w:t>Canada</w:t>
      </w:r>
      <w:proofErr w:type="gramStart"/>
      <w:r w:rsidR="007B3571" w:rsidRPr="3220C020">
        <w:t xml:space="preserve">, </w:t>
      </w:r>
      <w:r w:rsidR="6AFF34AF" w:rsidRPr="3220C020">
        <w:t xml:space="preserve">in particular, </w:t>
      </w:r>
      <w:r w:rsidR="007B3571" w:rsidRPr="3220C020">
        <w:t>has</w:t>
      </w:r>
      <w:proofErr w:type="gramEnd"/>
      <w:r w:rsidR="007B3571" w:rsidRPr="3220C020">
        <w:t xml:space="preserve"> consistently demonstrated inadequate oversight of its companies' international human rights impacts. Multiple UN monitoring bodies have expressed significant concerns about Canadian corporations' activities abroad and criticized Canada's lack of effective response. These include the CEDAW Committee</w:t>
      </w:r>
      <w:r w:rsidR="007B3571" w:rsidRPr="3220C020">
        <w:rPr>
          <w:vertAlign w:val="superscript"/>
        </w:rPr>
        <w:footnoteReference w:id="83"/>
      </w:r>
      <w:r w:rsidR="007B3571" w:rsidRPr="3220C020">
        <w:t>, the CESCR, the CERD Committee, and the</w:t>
      </w:r>
      <w:hyperlink r:id="rId13">
        <w:r w:rsidR="007B3571" w:rsidRPr="3220C020">
          <w:t xml:space="preserve"> </w:t>
        </w:r>
      </w:hyperlink>
      <w:r w:rsidR="007B3571" w:rsidRPr="3220C020">
        <w:t>Committee on the Rights of the Child (CRC Committee).</w:t>
      </w:r>
      <w:r w:rsidR="007B3571" w:rsidRPr="3220C020">
        <w:rPr>
          <w:vertAlign w:val="superscript"/>
        </w:rPr>
        <w:footnoteReference w:id="84"/>
      </w:r>
    </w:p>
    <w:p w14:paraId="1D425A0A" w14:textId="10A8719A" w:rsidR="007B3571" w:rsidRPr="00986796" w:rsidRDefault="00F4688C" w:rsidP="008E24D2">
      <w:pPr>
        <w:ind w:left="426" w:hanging="426"/>
      </w:pPr>
      <w:r>
        <w:t xml:space="preserve">51. </w:t>
      </w:r>
      <w:r w:rsidR="008E24D2">
        <w:tab/>
      </w:r>
      <w:r w:rsidR="007B3571" w:rsidRPr="3220C020">
        <w:t>For example, in its 2017 concluding observations,</w:t>
      </w:r>
      <w:r w:rsidR="007B3571" w:rsidRPr="3220C020">
        <w:rPr>
          <w:vertAlign w:val="superscript"/>
        </w:rPr>
        <w:footnoteReference w:id="85"/>
      </w:r>
      <w:r w:rsidR="007B3571" w:rsidRPr="3220C020">
        <w:t xml:space="preserve"> the CERD Committee urged Canada to enhance the accountability mechanisms for corporations operating overseas to prevent human rights violations. Similarly, in its 2016 concluding observations, the CESCR recommended that Canada adopt a legal framework to hold corporations accountable for violations of economic, social, and cultural rights in their operations abroad.</w:t>
      </w:r>
      <w:r w:rsidR="007B3571" w:rsidRPr="3220C020">
        <w:rPr>
          <w:vertAlign w:val="superscript"/>
        </w:rPr>
        <w:footnoteReference w:id="86"/>
      </w:r>
    </w:p>
    <w:p w14:paraId="1584F226" w14:textId="312FC515" w:rsidR="007B3571" w:rsidRPr="00986796" w:rsidRDefault="00F4688C" w:rsidP="008E24D2">
      <w:pPr>
        <w:ind w:left="426" w:hanging="426"/>
      </w:pPr>
      <w:r>
        <w:t xml:space="preserve">52. </w:t>
      </w:r>
      <w:r w:rsidR="008E24D2">
        <w:tab/>
      </w:r>
      <w:r w:rsidR="007B3571" w:rsidRPr="3220C020">
        <w:t>Finally,</w:t>
      </w:r>
      <w:hyperlink r:id="rId14">
        <w:r w:rsidR="007B3571" w:rsidRPr="3220C020">
          <w:t xml:space="preserve"> </w:t>
        </w:r>
      </w:hyperlink>
      <w:r w:rsidR="007B3571" w:rsidRPr="3220C020">
        <w:t>numerous UN mandate holders have also highlighted Canada's ongoing regulatory deficiencies.</w:t>
      </w:r>
      <w:r w:rsidR="007B3571" w:rsidRPr="3220C020">
        <w:rPr>
          <w:vertAlign w:val="superscript"/>
        </w:rPr>
        <w:footnoteReference w:id="87"/>
      </w:r>
      <w:r w:rsidR="007B3571" w:rsidRPr="3220C020">
        <w:t xml:space="preserve"> As the Special Rapporteur on the rights of Indigenous Peoples has noted:</w:t>
      </w:r>
    </w:p>
    <w:p w14:paraId="34D15844" w14:textId="77777777" w:rsidR="007B3571" w:rsidRPr="00986796" w:rsidRDefault="007B3571" w:rsidP="3220C020">
      <w:pPr>
        <w:ind w:left="1133" w:right="839" w:firstLine="0"/>
      </w:pPr>
      <w:r w:rsidRPr="3220C020">
        <w:lastRenderedPageBreak/>
        <w:t>“The responsibility to respect human rights is a global standard of expected conduct for all business enterprises wherever they operate, and the State has extraterritorial obligations to take steps to prevent and redress infringements of these rights committed abroad by business entities over which it exercises control.”</w:t>
      </w:r>
      <w:r w:rsidRPr="3220C020">
        <w:rPr>
          <w:vertAlign w:val="superscript"/>
        </w:rPr>
        <w:footnoteReference w:id="88"/>
      </w:r>
    </w:p>
    <w:p w14:paraId="64E0FD37" w14:textId="5D9403DE" w:rsidR="007B3571" w:rsidRPr="00986796" w:rsidRDefault="00F4688C" w:rsidP="008E24D2">
      <w:pPr>
        <w:ind w:left="426" w:hanging="426"/>
        <w:rPr>
          <w:color w:val="000000" w:themeColor="text1"/>
        </w:rPr>
      </w:pPr>
      <w:r>
        <w:rPr>
          <w:color w:val="000000" w:themeColor="text1"/>
        </w:rPr>
        <w:t xml:space="preserve">53. </w:t>
      </w:r>
      <w:r w:rsidR="008E24D2">
        <w:rPr>
          <w:color w:val="000000" w:themeColor="text1"/>
        </w:rPr>
        <w:tab/>
      </w:r>
      <w:r w:rsidR="6AFF34AF" w:rsidRPr="3220C020">
        <w:rPr>
          <w:color w:val="000000" w:themeColor="text1"/>
        </w:rPr>
        <w:t>Similarly, UN treaty bodies have also expressed concern regarding Australia’s oversight of businesses linked to human rights violations. In 2017, during its fifth periodic review of Australia, the CESR recommended that Australia ensure the country’s compliance with the UNGPs by developing a regulatory framework for ensuring compliance of businesses; taking steps to ensure legal liability of businesses in violation of human rights; enforcing investigative mechanisms; and considering the committee’s general comment on State obligations in the context of business activities under the International Covenant on Economic, Social, and Cultural Rights.</w:t>
      </w:r>
      <w:r w:rsidR="007B3571" w:rsidRPr="3220C020">
        <w:rPr>
          <w:rStyle w:val="FootnoteReference"/>
          <w:color w:val="000000" w:themeColor="text1"/>
        </w:rPr>
        <w:footnoteReference w:id="89"/>
      </w:r>
      <w:r w:rsidR="6AFF34AF" w:rsidRPr="3220C020">
        <w:rPr>
          <w:color w:val="000000" w:themeColor="text1"/>
        </w:rPr>
        <w:t xml:space="preserve"> During its eighth period review of Australia in 2018, the CEDAW Committee recommended that Australia develop a “national action plan” in relation to business and human rights and establish an investigation mechanism for alleged human rights violations by corporations. </w:t>
      </w:r>
      <w:r w:rsidR="007B3571" w:rsidRPr="3220C020">
        <w:rPr>
          <w:rStyle w:val="FootnoteReference"/>
          <w:color w:val="000000" w:themeColor="text1"/>
        </w:rPr>
        <w:footnoteReference w:id="90"/>
      </w:r>
    </w:p>
    <w:p w14:paraId="0BB2B1A1" w14:textId="181B72FA" w:rsidR="007B3571" w:rsidRPr="00986796" w:rsidRDefault="00F4688C" w:rsidP="008E24D2">
      <w:pPr>
        <w:ind w:left="426" w:hanging="426"/>
      </w:pPr>
      <w:r>
        <w:t xml:space="preserve">54. </w:t>
      </w:r>
      <w:r w:rsidR="008E24D2">
        <w:tab/>
      </w:r>
      <w:r w:rsidR="6AFF34AF" w:rsidRPr="3220C020">
        <w:t xml:space="preserve">The Netherlands has been urged by multiple UN treaty bodies to </w:t>
      </w:r>
      <w:r w:rsidR="0EBCB2DF" w:rsidRPr="3220C020">
        <w:t>regulate corporate conduct more effectively</w:t>
      </w:r>
      <w:r w:rsidR="6AFF34AF" w:rsidRPr="3220C020">
        <w:t>. In 2015, t</w:t>
      </w:r>
      <w:r w:rsidR="6AFF34AF" w:rsidRPr="6AFF34AF">
        <w:rPr>
          <w:color w:val="000000" w:themeColor="text1"/>
        </w:rPr>
        <w:t>he CERD Committee expressed concerns about Dutch businesses in the extractive sector and recommended that the Netherlands “take the measures necessary” to ensure the compliance of Dutch companies and transnational companies with the UNGPs.</w:t>
      </w:r>
      <w:r w:rsidR="007B3571" w:rsidRPr="6AFF34AF">
        <w:rPr>
          <w:rStyle w:val="FootnoteReference"/>
          <w:color w:val="000000" w:themeColor="text1"/>
        </w:rPr>
        <w:footnoteReference w:id="91"/>
      </w:r>
      <w:r w:rsidR="6AFF34AF" w:rsidRPr="6AFF34AF">
        <w:rPr>
          <w:color w:val="000000" w:themeColor="text1"/>
        </w:rPr>
        <w:t xml:space="preserve"> In 2017, following its sixth periodic review of the State, the CESCR made recommendations to the Netherlands to adopt a monitoring mechanism in the national plan on business and human rights and take steps to ensure human rights compliance by companies.</w:t>
      </w:r>
      <w:r w:rsidR="007B3571" w:rsidRPr="6AFF34AF">
        <w:rPr>
          <w:rStyle w:val="FootnoteReference"/>
          <w:color w:val="000000" w:themeColor="text1"/>
        </w:rPr>
        <w:footnoteReference w:id="92"/>
      </w:r>
      <w:r w:rsidR="6AFF34AF" w:rsidRPr="6AFF34AF">
        <w:rPr>
          <w:color w:val="000000" w:themeColor="text1"/>
        </w:rPr>
        <w:t xml:space="preserve"> In 2022, the CRC Committee recommended that the Netherlands examine and </w:t>
      </w:r>
      <w:r w:rsidR="6AFF34AF" w:rsidRPr="6AFF34AF">
        <w:rPr>
          <w:color w:val="000000" w:themeColor="text1"/>
        </w:rPr>
        <w:lastRenderedPageBreak/>
        <w:t xml:space="preserve">adapt its legislative framework to ensure the legal accountability of business enterprises and their subsidiaries operating in or managed from the </w:t>
      </w:r>
      <w:r w:rsidR="00730BA3">
        <w:rPr>
          <w:color w:val="000000" w:themeColor="text1"/>
        </w:rPr>
        <w:t>S</w:t>
      </w:r>
      <w:r w:rsidR="6AFF34AF" w:rsidRPr="6AFF34AF">
        <w:rPr>
          <w:color w:val="000000" w:themeColor="text1"/>
        </w:rPr>
        <w:t>tate’s territory. Among other things, the Netherlands was urged to establish monitoring mechanisms to improve accountability and transparency.</w:t>
      </w:r>
      <w:r w:rsidR="007B3571" w:rsidRPr="3220C020">
        <w:rPr>
          <w:rStyle w:val="FootnoteReference"/>
          <w:color w:val="000000" w:themeColor="text1"/>
        </w:rPr>
        <w:footnoteReference w:id="93"/>
      </w:r>
    </w:p>
    <w:p w14:paraId="711B9AA5" w14:textId="759413EE" w:rsidR="6AFF34AF" w:rsidRDefault="00F4688C" w:rsidP="008E24D2">
      <w:pPr>
        <w:ind w:left="426" w:hanging="426"/>
      </w:pPr>
      <w:r>
        <w:t xml:space="preserve">55. </w:t>
      </w:r>
      <w:r w:rsidR="008E24D2">
        <w:tab/>
      </w:r>
      <w:r w:rsidR="3220C020" w:rsidRPr="3220C020">
        <w:t xml:space="preserve">The Convention requires States Parties to exercise due diligence in preventing and addressing violations by non-State actors against persons with disabilities. This requires States Parties to implement appropriate measures to ensure that their military exports are not being used to violate the rights of </w:t>
      </w:r>
      <w:proofErr w:type="gramStart"/>
      <w:r w:rsidR="3220C020" w:rsidRPr="3220C020">
        <w:t>persons</w:t>
      </w:r>
      <w:proofErr w:type="gramEnd"/>
      <w:r w:rsidR="3220C020" w:rsidRPr="3220C020">
        <w:t xml:space="preserve"> with disabilities elsewhere.</w:t>
      </w:r>
    </w:p>
    <w:p w14:paraId="78B6186D" w14:textId="6C1E3B2A" w:rsidR="007B3571" w:rsidRPr="00986796" w:rsidRDefault="3220C020" w:rsidP="00CA342B">
      <w:pPr>
        <w:pStyle w:val="Heading3"/>
        <w:ind w:firstLine="143"/>
        <w:rPr>
          <w:rFonts w:eastAsia="Arial" w:cs="Arial"/>
          <w:i/>
          <w:iCs/>
        </w:rPr>
      </w:pPr>
      <w:bookmarkStart w:id="6" w:name="_Toc185484276"/>
      <w:r w:rsidRPr="3220C020">
        <w:rPr>
          <w:rFonts w:eastAsia="Arial" w:cs="Arial"/>
          <w:i/>
          <w:iCs/>
        </w:rPr>
        <w:t>C. Obligations with Respect to Indirect Military Exports to Israel</w:t>
      </w:r>
      <w:bookmarkEnd w:id="6"/>
    </w:p>
    <w:p w14:paraId="7CD400C2" w14:textId="7AB54184" w:rsidR="007B3571" w:rsidRPr="00986796" w:rsidRDefault="00F4688C" w:rsidP="008E24D2">
      <w:pPr>
        <w:ind w:left="426" w:hanging="426"/>
      </w:pPr>
      <w:r>
        <w:t xml:space="preserve">56. </w:t>
      </w:r>
      <w:r w:rsidR="008E24D2">
        <w:tab/>
      </w:r>
      <w:r w:rsidR="007B3571" w:rsidRPr="3220C020">
        <w:t>As the CERD Committee recently noted, States’ “international obligations, in particular those arising from the [ICERD], the Convention on the Prevention and Punishment of the Crime of Genocide and common article 1 of the four Geneva Conventions” require them to “</w:t>
      </w:r>
      <w:proofErr w:type="spellStart"/>
      <w:r w:rsidR="007B3571" w:rsidRPr="3220C020">
        <w:t>ceas</w:t>
      </w:r>
      <w:proofErr w:type="spellEnd"/>
      <w:r w:rsidR="007B3571" w:rsidRPr="3220C020">
        <w:t>[e] any military assistance [to Israel] if there is a clear risk that such assistance could be used in violation of international law.”</w:t>
      </w:r>
      <w:r w:rsidR="007B3571" w:rsidRPr="3220C020">
        <w:rPr>
          <w:vertAlign w:val="superscript"/>
        </w:rPr>
        <w:footnoteReference w:id="94"/>
      </w:r>
    </w:p>
    <w:p w14:paraId="6C2E19B8" w14:textId="6C1EF54B" w:rsidR="007B3571" w:rsidRPr="00986796" w:rsidRDefault="00F4688C" w:rsidP="008E24D2">
      <w:pPr>
        <w:ind w:left="426" w:hanging="426"/>
      </w:pPr>
      <w:r>
        <w:t>57</w:t>
      </w:r>
      <w:proofErr w:type="gramStart"/>
      <w:r>
        <w:t xml:space="preserve">. </w:t>
      </w:r>
      <w:r w:rsidR="008E24D2">
        <w:tab/>
      </w:r>
      <w:r w:rsidR="3220C020" w:rsidRPr="3220C020">
        <w:t>Such</w:t>
      </w:r>
      <w:proofErr w:type="gramEnd"/>
      <w:r w:rsidR="3220C020" w:rsidRPr="3220C020">
        <w:t xml:space="preserve"> military assistance could create a clear risk of international law violations whether it is direct or indirect. Thus, States Parties’ obligations under the Convention with respect to military exports apply regardless of whether such exports arrive at their ultimate destination directly or indirectly.</w:t>
      </w:r>
    </w:p>
    <w:p w14:paraId="3F9DA2CD" w14:textId="635BE8D4" w:rsidR="007B3571" w:rsidRPr="00986796" w:rsidRDefault="00F4688C" w:rsidP="008E24D2">
      <w:pPr>
        <w:ind w:left="426" w:hanging="426"/>
      </w:pPr>
      <w:r>
        <w:t xml:space="preserve">58. </w:t>
      </w:r>
      <w:r w:rsidR="008E24D2">
        <w:tab/>
      </w:r>
      <w:proofErr w:type="gramStart"/>
      <w:r w:rsidR="007B3571" w:rsidRPr="3220C020">
        <w:t>A number of</w:t>
      </w:r>
      <w:proofErr w:type="gramEnd"/>
      <w:r w:rsidR="007B3571" w:rsidRPr="3220C020">
        <w:t xml:space="preserve"> other UN international human rights bodies have affirmed this. For example, in a statement of 20 June 2024, a group of several UN Special Rapporteurs, Independent Experts, and Working Groups, emphasized that the obligation to cease military exports to Israel extends to “indirect transfers through intermediary countries that could ultimately be used by Israeli forces, particularly in the ongoing attacks on Gaza.”</w:t>
      </w:r>
      <w:r w:rsidR="007B3571" w:rsidRPr="3220C020">
        <w:rPr>
          <w:vertAlign w:val="superscript"/>
        </w:rPr>
        <w:footnoteReference w:id="95"/>
      </w:r>
    </w:p>
    <w:p w14:paraId="1D7B6F29" w14:textId="2C5CAD1E" w:rsidR="007B3571" w:rsidRPr="00986796" w:rsidRDefault="00F4688C" w:rsidP="008E24D2">
      <w:pPr>
        <w:ind w:left="426" w:hanging="426"/>
      </w:pPr>
      <w:r>
        <w:t xml:space="preserve">59. </w:t>
      </w:r>
      <w:r w:rsidR="008E24D2">
        <w:tab/>
      </w:r>
      <w:r w:rsidR="007B3571" w:rsidRPr="3220C020">
        <w:t xml:space="preserve">Canada recently underwent its period reviews under the CEDAW and CRPD in October 2024 and March 2025, respectively, during which both committees raised concerns regarding the State’s continued direct and indirect transfer of arms to Israel. The CEDAW Committee </w:t>
      </w:r>
      <w:r w:rsidR="007B3571" w:rsidRPr="3220C020">
        <w:lastRenderedPageBreak/>
        <w:t>seized on concerns raised by nearly 50 Canadian civil society organizations</w:t>
      </w:r>
      <w:r w:rsidR="007B3571" w:rsidRPr="3220C020">
        <w:rPr>
          <w:vertAlign w:val="superscript"/>
        </w:rPr>
        <w:footnoteReference w:id="96"/>
      </w:r>
      <w:r w:rsidR="007B3571" w:rsidRPr="3220C020">
        <w:t xml:space="preserve"> and questioned Canada about Canadian military exports to Israel. During the Constructive Dialogue, the Committee acknowledged Canada’s assertion that it had stopped direct arms exports to Israel, but pressed Canada specifically on the issue of indirect exports. Noting that Canada “engages in the indirect flow of military exports to Israel through the USA,” the Committee asked what steps Canada was taking “to ensure that arms sold to the US or other countries are not transferred to Israel and used in the violation of the rights of women and girls in Gaza.”</w:t>
      </w:r>
      <w:r w:rsidR="007B3571" w:rsidRPr="3220C020">
        <w:rPr>
          <w:vertAlign w:val="superscript"/>
        </w:rPr>
        <w:footnoteReference w:id="97"/>
      </w:r>
    </w:p>
    <w:p w14:paraId="236445D2" w14:textId="736094D4" w:rsidR="007B3571" w:rsidRPr="00986796" w:rsidRDefault="00F4688C" w:rsidP="008E24D2">
      <w:pPr>
        <w:ind w:left="426" w:hanging="426"/>
      </w:pPr>
      <w:r>
        <w:t xml:space="preserve">60. </w:t>
      </w:r>
      <w:r w:rsidR="008E24D2">
        <w:tab/>
      </w:r>
      <w:r w:rsidR="007B3571" w:rsidRPr="3220C020">
        <w:t>Canada responded evasively by stating that all export permit applications are reviewed even if they are through the U</w:t>
      </w:r>
      <w:r w:rsidR="00AB645C">
        <w:t>.</w:t>
      </w:r>
      <w:r w:rsidR="007B3571" w:rsidRPr="3220C020">
        <w:t>S</w:t>
      </w:r>
      <w:r w:rsidR="00AB645C">
        <w:t>.</w:t>
      </w:r>
      <w:r w:rsidR="007B3571" w:rsidRPr="3220C020">
        <w:t>, and an application is denied if the review reveals a substantial risk that the item could be used to commit or facilitate serious violations of international humanitarian law, international human rights law, or serious acts of gender-based violence or violence against women and children. While this is strictly true, it conceals the fact that most military exports from Canada to the U</w:t>
      </w:r>
      <w:r w:rsidR="00AB645C">
        <w:t>.</w:t>
      </w:r>
      <w:r w:rsidR="007B3571" w:rsidRPr="3220C020">
        <w:t>S</w:t>
      </w:r>
      <w:r w:rsidR="00AB645C">
        <w:t>.</w:t>
      </w:r>
      <w:r w:rsidR="007B3571" w:rsidRPr="3220C020">
        <w:t xml:space="preserve"> do not require an export permit application in the first place.</w:t>
      </w:r>
      <w:r w:rsidR="007B3571" w:rsidRPr="3220C020">
        <w:rPr>
          <w:vertAlign w:val="superscript"/>
        </w:rPr>
        <w:footnoteReference w:id="98"/>
      </w:r>
    </w:p>
    <w:p w14:paraId="58D75F88" w14:textId="1C9B3CEF" w:rsidR="007B3571" w:rsidRPr="00986796" w:rsidRDefault="00F4688C" w:rsidP="008E24D2">
      <w:pPr>
        <w:ind w:left="426" w:hanging="426"/>
      </w:pPr>
      <w:r>
        <w:t xml:space="preserve">61. </w:t>
      </w:r>
      <w:r w:rsidR="008E24D2">
        <w:tab/>
      </w:r>
      <w:r w:rsidR="007B3571" w:rsidRPr="3220C020">
        <w:t>In its Concluding Observations, the CEDAW Committee expressed concern over “direct or indirect arms transfers by the State party or by private companies under its jurisdiction to third countries, including Israel, for use in conflict zones where they may facilitate violations of women’s and girls’ human rights as well as of international humanitarian law, notably in Gaza.”</w:t>
      </w:r>
      <w:r w:rsidR="007B3571" w:rsidRPr="3220C020">
        <w:rPr>
          <w:vertAlign w:val="superscript"/>
        </w:rPr>
        <w:footnoteReference w:id="99"/>
      </w:r>
      <w:r w:rsidR="007B3571" w:rsidRPr="3220C020">
        <w:t xml:space="preserve"> It urged Canada to implement a transparent accountability mechanism to assess such transfers.</w:t>
      </w:r>
    </w:p>
    <w:p w14:paraId="532140AA" w14:textId="065B1EBD" w:rsidR="60589CA8" w:rsidRDefault="00F4688C" w:rsidP="008E24D2">
      <w:pPr>
        <w:ind w:left="426" w:hanging="426"/>
      </w:pPr>
      <w:r>
        <w:t xml:space="preserve">62. </w:t>
      </w:r>
      <w:r w:rsidR="008E24D2">
        <w:tab/>
      </w:r>
      <w:r w:rsidR="6AFF34AF" w:rsidRPr="3220C020">
        <w:t xml:space="preserve">More recently, in its March 2025 Concluding Observations on the combined second and third periodic reports of Canada, this Committee remained “concerned that despite assurances by [Canada] that its arms exports and control regime policies are compliant with international and humanitarian law, the exemption of certain export permits for items, parts and components shipped to the United States of America to integrate into larger weapons systems, which are then exported to other countries, may facilitate the violation of the rights </w:t>
      </w:r>
      <w:r w:rsidR="6AFF34AF" w:rsidRPr="3220C020">
        <w:lastRenderedPageBreak/>
        <w:t>of persons with disabilities and jeopardize their access to humanitarian assistance.”</w:t>
      </w:r>
      <w:r w:rsidR="60589CA8" w:rsidRPr="3220C020">
        <w:rPr>
          <w:rStyle w:val="FootnoteReference"/>
        </w:rPr>
        <w:footnoteReference w:id="100"/>
      </w:r>
      <w:r w:rsidR="6AFF34AF" w:rsidRPr="3220C020">
        <w:t xml:space="preserve"> This Committee recommended that Canada conduct a comprehensive analysis to identify and cease its “export</w:t>
      </w:r>
      <w:r w:rsidR="0EBCB2DF" w:rsidRPr="3220C020">
        <w:t xml:space="preserve"> of items to other countries, including to the United States, for their integration into larger weapons systems, indirect exports</w:t>
      </w:r>
      <w:r w:rsidR="6AFF34AF" w:rsidRPr="3220C020">
        <w:t xml:space="preserve"> or re‑exports”</w:t>
      </w:r>
      <w:r w:rsidR="60589CA8" w:rsidRPr="3220C020">
        <w:rPr>
          <w:rStyle w:val="FootnoteReference"/>
        </w:rPr>
        <w:footnoteReference w:id="101"/>
      </w:r>
      <w:r w:rsidR="6AFF34AF" w:rsidRPr="3220C020">
        <w:t xml:space="preserve"> used to facilitate or commit grave human rights violations against persons with disabilities.</w:t>
      </w:r>
    </w:p>
    <w:p w14:paraId="6DDB6589" w14:textId="5B3A7031" w:rsidR="60589CA8" w:rsidRDefault="00F4688C" w:rsidP="008E24D2">
      <w:pPr>
        <w:ind w:left="426" w:hanging="426"/>
      </w:pPr>
      <w:r>
        <w:t xml:space="preserve">63. </w:t>
      </w:r>
      <w:r w:rsidR="008E24D2">
        <w:tab/>
      </w:r>
      <w:r w:rsidR="6AFF34AF" w:rsidRPr="3220C020">
        <w:t>Similarly, under its early warning and urgent action procedure, the CERD Committee in May 2025 sent a letter to Canada raising concerns about “significant gaps in Canada’s legal framework”</w:t>
      </w:r>
      <w:r w:rsidR="60589CA8" w:rsidRPr="3220C020">
        <w:rPr>
          <w:rStyle w:val="FootnoteReference"/>
        </w:rPr>
        <w:footnoteReference w:id="102"/>
      </w:r>
      <w:r w:rsidR="6AFF34AF" w:rsidRPr="3220C020">
        <w:t xml:space="preserve"> that allow for the indirect export of Canadian arms to Israel via the U</w:t>
      </w:r>
      <w:r w:rsidR="00AB645C">
        <w:t>.</w:t>
      </w:r>
      <w:r w:rsidR="6AFF34AF" w:rsidRPr="3220C020">
        <w:t xml:space="preserve">S. The Committee noted that such indirect arms </w:t>
      </w:r>
      <w:r w:rsidR="0EBCB2DF" w:rsidRPr="3220C020">
        <w:t>exports “</w:t>
      </w:r>
      <w:r w:rsidR="6AFF34AF" w:rsidRPr="3220C020">
        <w:t>would amount to breaches of the State party’s obligations under the ICERD,” and requested that Canada provide a response by 1 August 2025, including information on measures Canada has adopted to prevent direct or indirect arms transfers to Israel by Canada or by private companies under Canadian jurisdiction.</w:t>
      </w:r>
      <w:r w:rsidR="60589CA8" w:rsidRPr="3220C020">
        <w:rPr>
          <w:rStyle w:val="FootnoteReference"/>
        </w:rPr>
        <w:footnoteReference w:id="103"/>
      </w:r>
    </w:p>
    <w:p w14:paraId="7B9D9710" w14:textId="08C73061" w:rsidR="60589CA8" w:rsidRDefault="00F4688C" w:rsidP="008E24D2">
      <w:pPr>
        <w:ind w:left="426" w:hanging="426"/>
      </w:pPr>
      <w:r>
        <w:t xml:space="preserve">64. </w:t>
      </w:r>
      <w:proofErr w:type="gramStart"/>
      <w:r w:rsidR="008E24D2">
        <w:tab/>
      </w:r>
      <w:r w:rsidR="6AFF34AF" w:rsidRPr="3220C020">
        <w:t>The February</w:t>
      </w:r>
      <w:proofErr w:type="gramEnd"/>
      <w:r w:rsidR="6AFF34AF" w:rsidRPr="3220C020">
        <w:t xml:space="preserve"> 2024 Netherlands appeals court decision</w:t>
      </w:r>
      <w:r w:rsidR="60589CA8" w:rsidRPr="3220C020">
        <w:rPr>
          <w:rStyle w:val="FootnoteReference"/>
        </w:rPr>
        <w:footnoteReference w:id="104"/>
      </w:r>
      <w:r w:rsidR="6AFF34AF" w:rsidRPr="3220C020">
        <w:t xml:space="preserve"> affirms that exporting States have an individual responsibility under the Arms Trade Treaty and (in the case of EU states) the EU Common Position on arms exports, to assess transfers of military equipment, including parts and components, from their territory. They cannot leave that to the lead producing country (in this case the U</w:t>
      </w:r>
      <w:r w:rsidR="00AB645C">
        <w:t>.</w:t>
      </w:r>
      <w:r w:rsidR="6AFF34AF" w:rsidRPr="3220C020">
        <w:t>S</w:t>
      </w:r>
      <w:r w:rsidR="00AB645C">
        <w:t>.</w:t>
      </w:r>
      <w:r w:rsidR="6AFF34AF" w:rsidRPr="3220C020">
        <w:t>), even more so since the U</w:t>
      </w:r>
      <w:r w:rsidR="00AB645C">
        <w:t>.</w:t>
      </w:r>
      <w:r w:rsidR="6AFF34AF" w:rsidRPr="3220C020">
        <w:t>S</w:t>
      </w:r>
      <w:r w:rsidR="00AB645C">
        <w:t>.</w:t>
      </w:r>
      <w:r w:rsidR="6AFF34AF" w:rsidRPr="3220C020">
        <w:t xml:space="preserve"> is not party to those export control frameworks.</w:t>
      </w:r>
    </w:p>
    <w:p w14:paraId="0EAEA5DE" w14:textId="46F25C39" w:rsidR="007B3571" w:rsidRPr="00986796" w:rsidRDefault="3220C020" w:rsidP="3220C020">
      <w:pPr>
        <w:pStyle w:val="Heading2"/>
        <w:ind w:hanging="283"/>
        <w:rPr>
          <w:rFonts w:ascii="Arial" w:eastAsia="Arial" w:hAnsi="Arial" w:cs="Arial"/>
          <w:sz w:val="24"/>
          <w:szCs w:val="24"/>
        </w:rPr>
      </w:pPr>
      <w:r w:rsidRPr="3220C020">
        <w:rPr>
          <w:rFonts w:ascii="Arial" w:eastAsia="Arial" w:hAnsi="Arial" w:cs="Arial"/>
        </w:rPr>
        <w:t>IV. RECOMMENDATIONS</w:t>
      </w:r>
    </w:p>
    <w:p w14:paraId="0E3CCF96" w14:textId="261639B9" w:rsidR="7C5CBD9B" w:rsidRDefault="00F4688C" w:rsidP="008E24D2">
      <w:pPr>
        <w:ind w:left="426" w:hanging="426"/>
      </w:pPr>
      <w:r>
        <w:t xml:space="preserve">65. </w:t>
      </w:r>
      <w:r w:rsidR="008E24D2">
        <w:tab/>
      </w:r>
      <w:r w:rsidR="3220C020" w:rsidRPr="3220C020">
        <w:t>In light of the foregoing, the authors request that the Committee issue the following recommendations to all States Parties:</w:t>
      </w:r>
    </w:p>
    <w:p w14:paraId="1F8621EE" w14:textId="36A36D17" w:rsidR="007B3571" w:rsidRPr="00986796" w:rsidRDefault="3220C020" w:rsidP="008E24D2">
      <w:pPr>
        <w:numPr>
          <w:ilvl w:val="0"/>
          <w:numId w:val="14"/>
        </w:numPr>
        <w:ind w:left="851" w:hanging="425"/>
        <w:rPr>
          <w:color w:val="000000"/>
        </w:rPr>
      </w:pPr>
      <w:r w:rsidRPr="3220C020">
        <w:rPr>
          <w:color w:val="000000" w:themeColor="text1"/>
        </w:rPr>
        <w:t>Ensure compliance with their obligations under the Convention and other international human rights law by:</w:t>
      </w:r>
    </w:p>
    <w:p w14:paraId="77D06B1E" w14:textId="770941C7" w:rsidR="007B3571" w:rsidRPr="00986796" w:rsidRDefault="00732C70" w:rsidP="008E24D2">
      <w:pPr>
        <w:numPr>
          <w:ilvl w:val="0"/>
          <w:numId w:val="15"/>
        </w:numPr>
        <w:ind w:left="1441"/>
        <w:rPr>
          <w:color w:val="000000"/>
        </w:rPr>
      </w:pPr>
      <w:r>
        <w:rPr>
          <w:color w:val="000000"/>
        </w:rPr>
        <w:lastRenderedPageBreak/>
        <w:t xml:space="preserve">Suspending or continuing the suspension of the issuance of new permits for arms exports directly to </w:t>
      </w:r>
      <w:proofErr w:type="gramStart"/>
      <w:r>
        <w:rPr>
          <w:color w:val="000000"/>
        </w:rPr>
        <w:t>Israel;</w:t>
      </w:r>
      <w:proofErr w:type="gramEnd"/>
    </w:p>
    <w:p w14:paraId="11AA5EEE" w14:textId="225F93BC" w:rsidR="007B3571" w:rsidRPr="00986796" w:rsidRDefault="3220C020" w:rsidP="008E24D2">
      <w:pPr>
        <w:numPr>
          <w:ilvl w:val="0"/>
          <w:numId w:val="15"/>
        </w:numPr>
        <w:ind w:left="1441"/>
        <w:rPr>
          <w:color w:val="000000"/>
        </w:rPr>
      </w:pPr>
      <w:r w:rsidRPr="3220C020">
        <w:rPr>
          <w:color w:val="000000" w:themeColor="text1"/>
        </w:rPr>
        <w:t xml:space="preserve">Cancelling all active existing permits to export arms to Israel that have been issued but not yet </w:t>
      </w:r>
      <w:proofErr w:type="gramStart"/>
      <w:r w:rsidRPr="3220C020">
        <w:rPr>
          <w:color w:val="000000" w:themeColor="text1"/>
        </w:rPr>
        <w:t>utilized;</w:t>
      </w:r>
      <w:proofErr w:type="gramEnd"/>
    </w:p>
    <w:p w14:paraId="50087BB2" w14:textId="1F07D39A" w:rsidR="007B3571" w:rsidRPr="00986796" w:rsidRDefault="3220C020" w:rsidP="008E24D2">
      <w:pPr>
        <w:numPr>
          <w:ilvl w:val="0"/>
          <w:numId w:val="15"/>
        </w:numPr>
        <w:ind w:left="1441"/>
        <w:rPr>
          <w:color w:val="000000"/>
        </w:rPr>
      </w:pPr>
      <w:r w:rsidRPr="3220C020">
        <w:t xml:space="preserve">Applying the same measures and scrutiny for indirect arms exports to Israel as for direct </w:t>
      </w:r>
      <w:proofErr w:type="gramStart"/>
      <w:r w:rsidRPr="3220C020">
        <w:t>exports</w:t>
      </w:r>
      <w:r w:rsidRPr="3220C020">
        <w:rPr>
          <w:color w:val="000000" w:themeColor="text1"/>
        </w:rPr>
        <w:t>;</w:t>
      </w:r>
      <w:proofErr w:type="gramEnd"/>
    </w:p>
    <w:p w14:paraId="707E2E15" w14:textId="77777777" w:rsidR="007B3571" w:rsidRPr="00986796" w:rsidRDefault="3220C020" w:rsidP="008E24D2">
      <w:pPr>
        <w:numPr>
          <w:ilvl w:val="0"/>
          <w:numId w:val="15"/>
        </w:numPr>
        <w:ind w:left="1441"/>
      </w:pPr>
      <w:r w:rsidRPr="3220C020">
        <w:t xml:space="preserve">Enhancing transparency by publicly communicating information about risk assessments in export permit approval </w:t>
      </w:r>
      <w:proofErr w:type="gramStart"/>
      <w:r w:rsidRPr="3220C020">
        <w:t>decisions;</w:t>
      </w:r>
      <w:proofErr w:type="gramEnd"/>
    </w:p>
    <w:p w14:paraId="33BAD457" w14:textId="3E75288E" w:rsidR="007B3571" w:rsidRPr="00986796" w:rsidRDefault="3220C020" w:rsidP="008E24D2">
      <w:pPr>
        <w:numPr>
          <w:ilvl w:val="0"/>
          <w:numId w:val="15"/>
        </w:numPr>
        <w:ind w:left="1441"/>
      </w:pPr>
      <w:r w:rsidRPr="3220C020">
        <w:t>Introducing mandatory human rights due diligence (HRDD) legislation for the arms sector; and</w:t>
      </w:r>
    </w:p>
    <w:p w14:paraId="1F0DBA1D" w14:textId="62799C33" w:rsidR="7C5CBD9B" w:rsidRDefault="3220C020" w:rsidP="008E24D2">
      <w:pPr>
        <w:numPr>
          <w:ilvl w:val="0"/>
          <w:numId w:val="15"/>
        </w:numPr>
        <w:ind w:left="1441"/>
        <w:rPr>
          <w:color w:val="000000" w:themeColor="text1"/>
        </w:rPr>
      </w:pPr>
      <w:r w:rsidRPr="3220C020">
        <w:rPr>
          <w:color w:val="000000" w:themeColor="text1"/>
        </w:rPr>
        <w:t xml:space="preserve">Conducting a review of laws, regulations, and policies for arms exports to prohibit the transfer of arms to all other places where they may be used to commit human rights violations against </w:t>
      </w:r>
      <w:r w:rsidRPr="3220C020">
        <w:t>persons with disabilities</w:t>
      </w:r>
      <w:r w:rsidRPr="3220C020">
        <w:rPr>
          <w:color w:val="000000" w:themeColor="text1"/>
        </w:rPr>
        <w:t>.</w:t>
      </w:r>
    </w:p>
    <w:p w14:paraId="0143EAEC" w14:textId="64A9EB14" w:rsidR="007B3571" w:rsidRPr="00986796" w:rsidRDefault="3220C020" w:rsidP="3220C020">
      <w:pPr>
        <w:numPr>
          <w:ilvl w:val="0"/>
          <w:numId w:val="14"/>
        </w:numPr>
        <w:pBdr>
          <w:top w:val="nil"/>
          <w:left w:val="nil"/>
          <w:bottom w:val="nil"/>
          <w:right w:val="nil"/>
          <w:between w:val="nil"/>
        </w:pBdr>
        <w:ind w:left="850" w:hanging="425"/>
        <w:rPr>
          <w:color w:val="000000"/>
        </w:rPr>
      </w:pPr>
      <w:r w:rsidRPr="3220C020">
        <w:rPr>
          <w:color w:val="000000" w:themeColor="text1"/>
        </w:rPr>
        <w:t xml:space="preserve">Engage in international cooperation to provide disability-inclusive humanitarian aid to Gaza, ensuring that </w:t>
      </w:r>
      <w:proofErr w:type="gramStart"/>
      <w:r w:rsidRPr="3220C020">
        <w:rPr>
          <w:color w:val="000000" w:themeColor="text1"/>
        </w:rPr>
        <w:t>persons</w:t>
      </w:r>
      <w:proofErr w:type="gramEnd"/>
      <w:r w:rsidRPr="3220C020">
        <w:rPr>
          <w:color w:val="000000" w:themeColor="text1"/>
        </w:rPr>
        <w:t xml:space="preserve"> with disabilities have equal access to emergency relief, assistive devices, medical care, and accessible communication systems, in accordance with CRPD principles.</w:t>
      </w:r>
    </w:p>
    <w:p w14:paraId="25980460" w14:textId="7C27C94B" w:rsidR="007B3571" w:rsidRPr="00986796" w:rsidRDefault="3220C020" w:rsidP="3220C020">
      <w:pPr>
        <w:numPr>
          <w:ilvl w:val="0"/>
          <w:numId w:val="14"/>
        </w:numPr>
        <w:pBdr>
          <w:top w:val="nil"/>
          <w:left w:val="nil"/>
          <w:bottom w:val="nil"/>
          <w:right w:val="nil"/>
          <w:between w:val="nil"/>
        </w:pBdr>
        <w:ind w:left="850" w:hanging="425"/>
        <w:rPr>
          <w:color w:val="000000" w:themeColor="text1"/>
        </w:rPr>
      </w:pPr>
      <w:r w:rsidRPr="3220C020">
        <w:rPr>
          <w:color w:val="000000" w:themeColor="text1"/>
        </w:rPr>
        <w:t xml:space="preserve">Engage in international efforts to rebuild Gaza’s health systems and infrastructure in compliance with its obligations under the CRPD. These efforts should prioritize the reconstruction of accessible healthcare facilities, including specialized centers for rehabilitation, assistive technology, and mental health services tailored to the needs of </w:t>
      </w:r>
      <w:proofErr w:type="gramStart"/>
      <w:r w:rsidRPr="3220C020">
        <w:rPr>
          <w:color w:val="000000" w:themeColor="text1"/>
        </w:rPr>
        <w:t>persons</w:t>
      </w:r>
      <w:proofErr w:type="gramEnd"/>
      <w:r w:rsidRPr="3220C020">
        <w:rPr>
          <w:color w:val="000000" w:themeColor="text1"/>
        </w:rPr>
        <w:t xml:space="preserve"> with disabilities. States Parties should also advocate for and fund the rebuilding of schools and community infrastructure using universal design principles to ensure full accessibility for all. </w:t>
      </w:r>
    </w:p>
    <w:p w14:paraId="53ECA9E5" w14:textId="551573A9" w:rsidR="007B3571" w:rsidRPr="00C55CC7" w:rsidRDefault="3220C020" w:rsidP="3220C020">
      <w:pPr>
        <w:numPr>
          <w:ilvl w:val="0"/>
          <w:numId w:val="14"/>
        </w:numPr>
        <w:pBdr>
          <w:top w:val="nil"/>
          <w:left w:val="nil"/>
          <w:bottom w:val="nil"/>
          <w:right w:val="nil"/>
          <w:between w:val="nil"/>
        </w:pBdr>
        <w:ind w:left="850" w:hanging="425"/>
      </w:pPr>
      <w:r w:rsidRPr="3220C020">
        <w:t>Call for an immediate and permanent ceasefire in Gaza and compliance with the International Court of Justice Advisory Opinion of 19 July 2024 on the Legal Consequences arising from the Policies and Practices of Israel in the Occupied Palestinian Territory, including East Jerusalem.</w:t>
      </w:r>
    </w:p>
    <w:p w14:paraId="26BCB894" w14:textId="6E791569" w:rsidR="60589CA8" w:rsidRDefault="3220C020" w:rsidP="3220C020">
      <w:pPr>
        <w:numPr>
          <w:ilvl w:val="0"/>
          <w:numId w:val="14"/>
        </w:numPr>
        <w:ind w:left="850" w:hanging="425"/>
        <w:rPr>
          <w:color w:val="000000" w:themeColor="text1"/>
        </w:rPr>
      </w:pPr>
      <w:r w:rsidRPr="3220C020">
        <w:rPr>
          <w:color w:val="000000" w:themeColor="text1"/>
        </w:rPr>
        <w:lastRenderedPageBreak/>
        <w:t xml:space="preserve">Fully comply with obligations under the Arms Trade Treaty and other relevant arms export control frameworks (such as the EU Common Position), including </w:t>
      </w:r>
      <w:proofErr w:type="gramStart"/>
      <w:r w:rsidRPr="3220C020">
        <w:rPr>
          <w:color w:val="000000" w:themeColor="text1"/>
        </w:rPr>
        <w:t>for</w:t>
      </w:r>
      <w:proofErr w:type="gramEnd"/>
      <w:r w:rsidRPr="3220C020">
        <w:rPr>
          <w:color w:val="000000" w:themeColor="text1"/>
        </w:rPr>
        <w:t xml:space="preserve"> parts and components.</w:t>
      </w:r>
    </w:p>
    <w:p w14:paraId="4F4A3387" w14:textId="47B34799" w:rsidR="60589CA8" w:rsidRDefault="3220C020" w:rsidP="3220C020">
      <w:pPr>
        <w:numPr>
          <w:ilvl w:val="0"/>
          <w:numId w:val="14"/>
        </w:numPr>
        <w:ind w:left="850" w:hanging="425"/>
        <w:rPr>
          <w:color w:val="000000" w:themeColor="text1"/>
        </w:rPr>
      </w:pPr>
      <w:r w:rsidRPr="3220C020">
        <w:t xml:space="preserve">Refrain from </w:t>
      </w:r>
      <w:r w:rsidRPr="3220C020">
        <w:rPr>
          <w:color w:val="000000" w:themeColor="text1"/>
        </w:rPr>
        <w:t xml:space="preserve">buying military equipment or services from Israeli companies, as such business activities </w:t>
      </w:r>
      <w:r w:rsidRPr="3220C020">
        <w:t>drive</w:t>
      </w:r>
      <w:r w:rsidRPr="3220C020">
        <w:rPr>
          <w:color w:val="000000" w:themeColor="text1"/>
        </w:rPr>
        <w:t xml:space="preserve"> Israel's military-industrial capabilities, and large Israeli arms export volumes also ensure affordability (economies of scale) of its products for the Israel Defense Forces, the main customer of Israel's military industry. The sale of Israeli military equipment/services is therefore of key importance for the government of Israel to (financially) sustain its military operations in the OPT.</w:t>
      </w:r>
    </w:p>
    <w:p w14:paraId="315C7D80" w14:textId="652171E3" w:rsidR="009A0484" w:rsidRPr="00051E81" w:rsidRDefault="009A0484" w:rsidP="3220C020"/>
    <w:p w14:paraId="49B3CFA0" w14:textId="77777777" w:rsidR="00F4688C" w:rsidRDefault="00F4688C">
      <w:pPr>
        <w:spacing w:after="160" w:line="278" w:lineRule="auto"/>
        <w:ind w:left="0" w:firstLine="0"/>
        <w:jc w:val="left"/>
        <w:rPr>
          <w:b/>
          <w:bCs/>
          <w:color w:val="0F4761" w:themeColor="accent1" w:themeShade="BF"/>
          <w:sz w:val="32"/>
          <w:szCs w:val="32"/>
        </w:rPr>
      </w:pPr>
      <w:r>
        <w:rPr>
          <w:b/>
          <w:bCs/>
        </w:rPr>
        <w:br w:type="page"/>
      </w:r>
    </w:p>
    <w:p w14:paraId="063F39A2" w14:textId="2F7F823B" w:rsidR="009A0484" w:rsidRPr="00051E81" w:rsidRDefault="3220C020" w:rsidP="3220C020">
      <w:pPr>
        <w:pStyle w:val="Heading2"/>
        <w:ind w:left="-77" w:firstLine="0"/>
        <w:jc w:val="center"/>
      </w:pPr>
      <w:r w:rsidRPr="3220C020">
        <w:rPr>
          <w:rFonts w:ascii="Arial" w:eastAsia="Arial" w:hAnsi="Arial" w:cs="Arial"/>
          <w:b/>
          <w:bCs/>
        </w:rPr>
        <w:lastRenderedPageBreak/>
        <w:t>APPENDIX A</w:t>
      </w:r>
    </w:p>
    <w:p w14:paraId="33BFC33D" w14:textId="765B2C50" w:rsidR="009A0484" w:rsidRPr="00051E81" w:rsidRDefault="3220C020" w:rsidP="00F4688C">
      <w:pPr>
        <w:ind w:left="0" w:firstLine="0"/>
      </w:pPr>
      <w:r>
        <w:t>See PDF attachment for the affidavit of Judy Korecky.</w:t>
      </w:r>
    </w:p>
    <w:p w14:paraId="384C28BA" w14:textId="77777777" w:rsidR="00F4688C" w:rsidRDefault="00F4688C">
      <w:pPr>
        <w:spacing w:after="160" w:line="278" w:lineRule="auto"/>
        <w:ind w:left="0" w:firstLine="0"/>
        <w:jc w:val="left"/>
        <w:rPr>
          <w:b/>
          <w:bCs/>
          <w:color w:val="0F4761" w:themeColor="accent1" w:themeShade="BF"/>
          <w:sz w:val="32"/>
          <w:szCs w:val="32"/>
        </w:rPr>
      </w:pPr>
      <w:r>
        <w:rPr>
          <w:b/>
          <w:bCs/>
        </w:rPr>
        <w:br w:type="page"/>
      </w:r>
    </w:p>
    <w:p w14:paraId="646A4C8D" w14:textId="22BFEF4D" w:rsidR="009A0484" w:rsidRPr="00051E81" w:rsidRDefault="3220C020" w:rsidP="3220C020">
      <w:pPr>
        <w:pStyle w:val="Heading2"/>
        <w:pBdr>
          <w:top w:val="nil"/>
          <w:left w:val="nil"/>
          <w:bottom w:val="nil"/>
          <w:right w:val="nil"/>
          <w:between w:val="nil"/>
        </w:pBdr>
        <w:ind w:left="0" w:firstLine="0"/>
        <w:jc w:val="center"/>
        <w:rPr>
          <w:rFonts w:ascii="Arial" w:eastAsia="Arial" w:hAnsi="Arial" w:cs="Arial"/>
          <w:b/>
          <w:bCs/>
        </w:rPr>
      </w:pPr>
      <w:r w:rsidRPr="3220C020">
        <w:rPr>
          <w:rFonts w:ascii="Arial" w:eastAsia="Arial" w:hAnsi="Arial" w:cs="Arial"/>
          <w:b/>
          <w:bCs/>
        </w:rPr>
        <w:lastRenderedPageBreak/>
        <w:t>APPENDIX B</w:t>
      </w:r>
    </w:p>
    <w:p w14:paraId="3E5FF6CB" w14:textId="0B56F8AC" w:rsidR="3220C020" w:rsidRDefault="3220C020" w:rsidP="3220C020">
      <w:pPr>
        <w:spacing w:after="0" w:line="276" w:lineRule="auto"/>
        <w:ind w:left="0" w:firstLine="0"/>
        <w:jc w:val="center"/>
        <w:rPr>
          <w:rFonts w:ascii="Arial Nova" w:eastAsia="Arial Nova" w:hAnsi="Arial Nova" w:cs="Arial Nova"/>
          <w:sz w:val="28"/>
          <w:szCs w:val="28"/>
        </w:rPr>
      </w:pPr>
      <w:r w:rsidRPr="3220C020">
        <w:rPr>
          <w:rFonts w:ascii="Arial Nova" w:eastAsia="Arial Nova" w:hAnsi="Arial Nova" w:cs="Arial Nova"/>
          <w:b/>
          <w:bCs/>
          <w:sz w:val="28"/>
          <w:szCs w:val="28"/>
        </w:rPr>
        <w:t>CEDAW Review of Canada - Transcript of Country Dialogue (Excerpt)</w:t>
      </w:r>
    </w:p>
    <w:p w14:paraId="654A70A5" w14:textId="6FD7B67F" w:rsidR="3220C020" w:rsidRDefault="3220C020" w:rsidP="3220C020">
      <w:pPr>
        <w:spacing w:after="0" w:line="276" w:lineRule="auto"/>
        <w:ind w:left="0" w:firstLine="0"/>
        <w:jc w:val="center"/>
        <w:rPr>
          <w:rFonts w:ascii="Arial Nova" w:eastAsia="Arial Nova" w:hAnsi="Arial Nova" w:cs="Arial Nova"/>
          <w:sz w:val="28"/>
          <w:szCs w:val="28"/>
        </w:rPr>
      </w:pPr>
    </w:p>
    <w:p w14:paraId="11035D20" w14:textId="571781D0" w:rsidR="3220C020" w:rsidRDefault="3220C020" w:rsidP="3220C020">
      <w:pPr>
        <w:spacing w:after="0" w:line="276" w:lineRule="auto"/>
        <w:ind w:left="0" w:firstLine="0"/>
        <w:jc w:val="center"/>
        <w:rPr>
          <w:rFonts w:ascii="Arial Nova" w:eastAsia="Arial Nova" w:hAnsi="Arial Nova" w:cs="Arial Nova"/>
          <w:sz w:val="28"/>
          <w:szCs w:val="28"/>
        </w:rPr>
      </w:pPr>
      <w:r w:rsidRPr="3220C020">
        <w:rPr>
          <w:rFonts w:ascii="Arial Nova" w:eastAsia="Arial Nova" w:hAnsi="Arial Nova" w:cs="Arial Nova"/>
          <w:sz w:val="28"/>
          <w:szCs w:val="28"/>
        </w:rPr>
        <w:t>89th Session, Committee on the Elimination of Discrimination against Women (CEDAW)</w:t>
      </w:r>
    </w:p>
    <w:p w14:paraId="57FCF0E0" w14:textId="5C3E97BC" w:rsidR="3220C020" w:rsidRDefault="3220C020" w:rsidP="3220C020">
      <w:pPr>
        <w:spacing w:after="0" w:line="276" w:lineRule="auto"/>
        <w:ind w:left="0" w:firstLine="0"/>
        <w:rPr>
          <w:rFonts w:ascii="Arial Nova" w:eastAsia="Arial Nova" w:hAnsi="Arial Nova" w:cs="Arial Nova"/>
          <w:sz w:val="24"/>
          <w:szCs w:val="24"/>
        </w:rPr>
      </w:pPr>
      <w:r w:rsidRPr="3220C020">
        <w:rPr>
          <w:rFonts w:ascii="Arial Nova" w:eastAsia="Arial Nova" w:hAnsi="Arial Nova" w:cs="Arial Nova"/>
          <w:sz w:val="24"/>
          <w:szCs w:val="24"/>
        </w:rPr>
        <w:t xml:space="preserve"> </w:t>
      </w:r>
    </w:p>
    <w:p w14:paraId="5A2B48E4" w14:textId="26D12E7B" w:rsidR="3220C020" w:rsidRDefault="3220C020" w:rsidP="3220C020">
      <w:pPr>
        <w:spacing w:after="0" w:line="276" w:lineRule="auto"/>
        <w:ind w:left="0" w:firstLine="0"/>
        <w:rPr>
          <w:rFonts w:ascii="Arial Nova" w:eastAsia="Arial Nova" w:hAnsi="Arial Nova" w:cs="Arial Nova"/>
          <w:color w:val="0563C1"/>
        </w:rPr>
      </w:pPr>
      <w:r w:rsidRPr="3220C020">
        <w:rPr>
          <w:rFonts w:ascii="Arial Nova" w:eastAsia="Arial Nova" w:hAnsi="Arial Nova" w:cs="Arial Nova"/>
        </w:rPr>
        <w:t>Full video available here:</w:t>
      </w:r>
      <w:hyperlink r:id="rId15">
        <w:r w:rsidRPr="3220C020">
          <w:rPr>
            <w:rStyle w:val="Hyperlink"/>
            <w:rFonts w:ascii="Arial Nova" w:eastAsia="Arial Nova" w:hAnsi="Arial Nova" w:cs="Arial Nova"/>
          </w:rPr>
          <w:t xml:space="preserve"> </w:t>
        </w:r>
      </w:hyperlink>
      <w:hyperlink r:id="rId16">
        <w:r w:rsidRPr="3220C020">
          <w:rPr>
            <w:rStyle w:val="Hyperlink"/>
            <w:rFonts w:ascii="Arial Nova" w:eastAsia="Arial Nova" w:hAnsi="Arial Nova" w:cs="Arial Nova"/>
            <w:color w:val="0563C1"/>
          </w:rPr>
          <w:t>https://webtv.un.org/en/asset/k10/k10pecn9gn</w:t>
        </w:r>
      </w:hyperlink>
    </w:p>
    <w:p w14:paraId="0C22CFB8" w14:textId="7E795D03" w:rsidR="3220C020" w:rsidRDefault="3220C020" w:rsidP="3220C020">
      <w:pPr>
        <w:spacing w:after="0" w:line="276" w:lineRule="auto"/>
        <w:ind w:left="0" w:firstLine="0"/>
        <w:rPr>
          <w:rFonts w:ascii="Arial Nova" w:eastAsia="Arial Nova" w:hAnsi="Arial Nova" w:cs="Arial Nova"/>
        </w:rPr>
      </w:pPr>
      <w:r w:rsidRPr="3220C020">
        <w:rPr>
          <w:rFonts w:ascii="Arial Nova" w:eastAsia="Arial Nova" w:hAnsi="Arial Nova" w:cs="Arial Nova"/>
        </w:rPr>
        <w:t xml:space="preserve"> </w:t>
      </w:r>
    </w:p>
    <w:p w14:paraId="0DF0E27B" w14:textId="60F3FCA6" w:rsidR="3220C020" w:rsidRDefault="3220C020" w:rsidP="3220C020">
      <w:pPr>
        <w:spacing w:after="0" w:line="276" w:lineRule="auto"/>
        <w:ind w:left="0" w:firstLine="0"/>
        <w:rPr>
          <w:rFonts w:ascii="Arial Nova" w:eastAsia="Arial Nova" w:hAnsi="Arial Nova" w:cs="Arial Nova"/>
        </w:rPr>
      </w:pPr>
      <w:r w:rsidRPr="3220C020">
        <w:rPr>
          <w:rFonts w:ascii="Arial Nova" w:eastAsia="Arial Nova" w:hAnsi="Arial Nova" w:cs="Arial Nova"/>
          <w:b/>
          <w:bCs/>
        </w:rPr>
        <w:t>Article 12</w:t>
      </w:r>
    </w:p>
    <w:p w14:paraId="130D6E70" w14:textId="18AA1FA2" w:rsidR="3220C020" w:rsidRDefault="3220C020" w:rsidP="3220C020">
      <w:pPr>
        <w:spacing w:after="0" w:line="276" w:lineRule="auto"/>
        <w:ind w:left="0" w:firstLine="0"/>
        <w:rPr>
          <w:rFonts w:ascii="Arial Nova" w:eastAsia="Arial Nova" w:hAnsi="Arial Nova" w:cs="Arial Nova"/>
        </w:rPr>
      </w:pPr>
      <w:r w:rsidRPr="3220C020">
        <w:rPr>
          <w:rFonts w:ascii="Arial Nova" w:eastAsia="Arial Nova" w:hAnsi="Arial Nova" w:cs="Arial Nova"/>
        </w:rPr>
        <w:t>Rangita Da Silva de Alwis (Sri Lanka):</w:t>
      </w:r>
    </w:p>
    <w:p w14:paraId="1B35839C" w14:textId="49607C9F" w:rsidR="3220C020" w:rsidRDefault="3220C020" w:rsidP="3220C020">
      <w:pPr>
        <w:spacing w:after="0" w:line="276" w:lineRule="auto"/>
        <w:ind w:left="0" w:firstLine="0"/>
        <w:rPr>
          <w:rFonts w:ascii="Arial Nova" w:eastAsia="Arial Nova" w:hAnsi="Arial Nova" w:cs="Arial Nova"/>
        </w:rPr>
      </w:pPr>
      <w:r w:rsidRPr="3220C020">
        <w:rPr>
          <w:rFonts w:ascii="Arial Nova" w:eastAsia="Arial Nova" w:hAnsi="Arial Nova" w:cs="Arial Nova"/>
        </w:rPr>
        <w:t xml:space="preserve"> </w:t>
      </w:r>
    </w:p>
    <w:p w14:paraId="246B6359" w14:textId="5E1589D0" w:rsidR="3220C020" w:rsidRDefault="3220C020" w:rsidP="3220C020">
      <w:pPr>
        <w:spacing w:after="0" w:line="276" w:lineRule="auto"/>
        <w:ind w:left="0" w:firstLine="0"/>
      </w:pPr>
      <w:hyperlink r:id="rId17">
        <w:r w:rsidRPr="3220C020">
          <w:rPr>
            <w:rStyle w:val="Hyperlink"/>
            <w:rFonts w:ascii="Arial" w:hAnsi="Arial"/>
          </w:rPr>
          <w:t>42:00</w:t>
        </w:r>
      </w:hyperlink>
      <w:r w:rsidRPr="3220C020">
        <w:rPr>
          <w:color w:val="1155CC"/>
        </w:rPr>
        <w:t xml:space="preserve">: </w:t>
      </w:r>
      <w:r w:rsidRPr="3220C020">
        <w:t>In closing, your Excellencies, I want to go back to where I started, with the Women, Peace, and Security Agenda and the</w:t>
      </w:r>
      <w:hyperlink r:id="rId18">
        <w:r w:rsidRPr="3220C020">
          <w:rPr>
            <w:rStyle w:val="Hyperlink"/>
            <w:rFonts w:ascii="Arial" w:hAnsi="Arial"/>
          </w:rPr>
          <w:t xml:space="preserve"> CEDAW’s GR 30</w:t>
        </w:r>
      </w:hyperlink>
      <w:r w:rsidRPr="3220C020">
        <w:t>. Minister Joly has made the primacy of reproductive rights and health her priority, and Canada’s moral leadership on global women’s rights makes a difference in the world. We bear witness to conflict-related reproductive rights violations in many conflict-affected regions. This needs Canada’s urgent attention. Pregnant women face food insecurity and other essential objects indispensable for women’s survival. In 2019,</w:t>
      </w:r>
      <w:hyperlink r:id="rId19">
        <w:r w:rsidRPr="3220C020">
          <w:rPr>
            <w:rStyle w:val="Hyperlink"/>
            <w:rFonts w:ascii="Arial" w:hAnsi="Arial"/>
          </w:rPr>
          <w:t xml:space="preserve"> UN Security Council Resolution 2467</w:t>
        </w:r>
      </w:hyperlink>
      <w:r w:rsidRPr="3220C020">
        <w:t xml:space="preserve"> embraced a survivor-centric approach, and you have spoken about that in terms of your work in Canada. How would you include psycho-social support for survivors according to</w:t>
      </w:r>
      <w:hyperlink r:id="rId20">
        <w:r w:rsidRPr="3220C020">
          <w:rPr>
            <w:rStyle w:val="Hyperlink"/>
            <w:rFonts w:ascii="Arial" w:hAnsi="Arial"/>
          </w:rPr>
          <w:t xml:space="preserve"> 2417 on food insecurity</w:t>
        </w:r>
      </w:hyperlink>
      <w:r w:rsidRPr="3220C020">
        <w:rPr>
          <w:color w:val="1155CC"/>
        </w:rPr>
        <w:t>,</w:t>
      </w:r>
      <w:hyperlink r:id="rId21">
        <w:r w:rsidRPr="3220C020">
          <w:rPr>
            <w:rStyle w:val="Hyperlink"/>
            <w:rFonts w:ascii="Arial" w:hAnsi="Arial"/>
          </w:rPr>
          <w:t xml:space="preserve"> 2475 on disability and conflict</w:t>
        </w:r>
      </w:hyperlink>
      <w:r w:rsidRPr="3220C020">
        <w:t xml:space="preserve"> and access to essential services.</w:t>
      </w:r>
    </w:p>
    <w:p w14:paraId="29696BA2" w14:textId="1455F4E2" w:rsidR="3220C020" w:rsidRDefault="3220C020" w:rsidP="3220C020">
      <w:pPr>
        <w:spacing w:after="0" w:line="276" w:lineRule="auto"/>
        <w:ind w:left="0" w:firstLine="0"/>
      </w:pPr>
    </w:p>
    <w:p w14:paraId="16A532E2" w14:textId="43888016" w:rsidR="3220C020" w:rsidRDefault="3220C020" w:rsidP="3220C020">
      <w:pPr>
        <w:spacing w:after="0" w:line="276" w:lineRule="auto"/>
        <w:ind w:left="0" w:firstLine="720"/>
      </w:pPr>
      <w:r w:rsidRPr="3220C020">
        <w:t>*</w:t>
      </w:r>
      <w:r w:rsidR="00730BA3">
        <w:t>N</w:t>
      </w:r>
      <w:r w:rsidRPr="3220C020">
        <w:t xml:space="preserve">ote: this question was not addressed in the immediate follow-up by the </w:t>
      </w:r>
      <w:r w:rsidR="00730BA3">
        <w:t>S</w:t>
      </w:r>
      <w:r w:rsidRPr="3220C020">
        <w:t xml:space="preserve">tate </w:t>
      </w:r>
      <w:r w:rsidR="00730BA3">
        <w:t>P</w:t>
      </w:r>
      <w:r w:rsidRPr="3220C020">
        <w:t>arty</w:t>
      </w:r>
      <w:r w:rsidR="00730BA3">
        <w:t>.</w:t>
      </w:r>
    </w:p>
    <w:p w14:paraId="6B43E2E9" w14:textId="0D1AC25D" w:rsidR="3220C020" w:rsidRDefault="3220C020" w:rsidP="3220C020">
      <w:pPr>
        <w:spacing w:after="0" w:line="276" w:lineRule="auto"/>
        <w:ind w:left="0" w:firstLine="0"/>
      </w:pPr>
      <w:r w:rsidRPr="3220C020">
        <w:t> </w:t>
      </w:r>
    </w:p>
    <w:p w14:paraId="353BBD9A" w14:textId="4657A442" w:rsidR="3220C020" w:rsidRDefault="3220C020" w:rsidP="3220C020">
      <w:pPr>
        <w:spacing w:after="0" w:line="276" w:lineRule="auto"/>
        <w:ind w:left="0" w:firstLine="0"/>
      </w:pPr>
      <w:r w:rsidRPr="3220C020">
        <w:rPr>
          <w:u w:val="single"/>
        </w:rPr>
        <w:t xml:space="preserve">Ms. Genoveva </w:t>
      </w:r>
      <w:proofErr w:type="spellStart"/>
      <w:r w:rsidRPr="3220C020">
        <w:rPr>
          <w:u w:val="single"/>
        </w:rPr>
        <w:t>Tisheva</w:t>
      </w:r>
      <w:proofErr w:type="spellEnd"/>
      <w:r w:rsidRPr="3220C020">
        <w:rPr>
          <w:u w:val="single"/>
        </w:rPr>
        <w:t xml:space="preserve"> (Bulgaria)</w:t>
      </w:r>
      <w:r w:rsidRPr="3220C020">
        <w:t>:</w:t>
      </w:r>
    </w:p>
    <w:p w14:paraId="03796238" w14:textId="4DBD6FC9" w:rsidR="3220C020" w:rsidRDefault="3220C020" w:rsidP="3220C020">
      <w:pPr>
        <w:spacing w:after="0" w:line="276" w:lineRule="auto"/>
        <w:ind w:left="0" w:firstLine="0"/>
      </w:pPr>
      <w:r w:rsidRPr="3220C020">
        <w:t> </w:t>
      </w:r>
    </w:p>
    <w:p w14:paraId="05176DBF" w14:textId="31F16985" w:rsidR="3220C020" w:rsidRDefault="3220C020" w:rsidP="3220C020">
      <w:pPr>
        <w:spacing w:after="0" w:line="276" w:lineRule="auto"/>
        <w:ind w:left="0" w:firstLine="0"/>
      </w:pPr>
      <w:hyperlink r:id="rId22">
        <w:r w:rsidRPr="3220C020">
          <w:rPr>
            <w:rStyle w:val="Hyperlink"/>
            <w:rFonts w:ascii="Arial" w:hAnsi="Arial"/>
          </w:rPr>
          <w:t>51:14:</w:t>
        </w:r>
      </w:hyperlink>
      <w:r w:rsidRPr="3220C020">
        <w:t xml:space="preserve"> Thank you very much, Madam Chair. I would like to go further of the question of Mrs. Da Silva de Alwis </w:t>
      </w:r>
      <w:proofErr w:type="gramStart"/>
      <w:r w:rsidRPr="3220C020">
        <w:t>and also</w:t>
      </w:r>
      <w:proofErr w:type="gramEnd"/>
      <w:r w:rsidRPr="3220C020">
        <w:t xml:space="preserve"> to congratulate first the </w:t>
      </w:r>
      <w:r w:rsidR="00730BA3">
        <w:t>S</w:t>
      </w:r>
      <w:r w:rsidRPr="3220C020">
        <w:t xml:space="preserve">tate </w:t>
      </w:r>
      <w:r w:rsidR="00730BA3">
        <w:t>P</w:t>
      </w:r>
      <w:r w:rsidRPr="3220C020">
        <w:t xml:space="preserve">arty, the Government of Canada, for the progress made on this issue, for the example that it set, </w:t>
      </w:r>
      <w:proofErr w:type="gramStart"/>
      <w:r w:rsidRPr="3220C020">
        <w:t>and also</w:t>
      </w:r>
      <w:proofErr w:type="gramEnd"/>
      <w:r w:rsidRPr="3220C020">
        <w:t xml:space="preserve"> for the contribution to international law and justice concerning women’s rights. My questions will be </w:t>
      </w:r>
      <w:proofErr w:type="gramStart"/>
      <w:r w:rsidRPr="3220C020">
        <w:t>in light of</w:t>
      </w:r>
      <w:proofErr w:type="gramEnd"/>
      <w:r w:rsidRPr="3220C020">
        <w:t xml:space="preserve"> the principles and objectives of the CEDAW convention, which are from the very beginning strengthening international peace and security, cooperation between </w:t>
      </w:r>
      <w:r w:rsidR="00730BA3">
        <w:t>S</w:t>
      </w:r>
      <w:r w:rsidRPr="3220C020">
        <w:t>tates, but also general and complete disarmament, in particular nuclear disarmament and the strict and effective international control. And also it is affirmed as we all know by the</w:t>
      </w:r>
      <w:hyperlink r:id="rId23">
        <w:r w:rsidRPr="3220C020">
          <w:rPr>
            <w:rStyle w:val="Hyperlink"/>
            <w:rFonts w:ascii="Arial" w:hAnsi="Arial"/>
          </w:rPr>
          <w:t xml:space="preserve"> Beijing Platform for Action</w:t>
        </w:r>
      </w:hyperlink>
      <w:r w:rsidRPr="3220C020">
        <w:rPr>
          <w:color w:val="1155CC"/>
        </w:rPr>
        <w:t xml:space="preserve"> </w:t>
      </w:r>
      <w:r w:rsidRPr="3220C020">
        <w:t xml:space="preserve">section E, but also </w:t>
      </w:r>
      <w:hyperlink r:id="rId24">
        <w:r w:rsidRPr="3220C020">
          <w:rPr>
            <w:rStyle w:val="Hyperlink"/>
            <w:rFonts w:ascii="Arial" w:hAnsi="Arial"/>
          </w:rPr>
          <w:t>Beijing Declaration</w:t>
        </w:r>
      </w:hyperlink>
      <w:r w:rsidRPr="3220C020">
        <w:t xml:space="preserve">, which is a resolution. </w:t>
      </w:r>
      <w:proofErr w:type="gramStart"/>
      <w:r w:rsidRPr="3220C020">
        <w:t>So</w:t>
      </w:r>
      <w:proofErr w:type="gramEnd"/>
      <w:r w:rsidRPr="3220C020">
        <w:t xml:space="preserve"> in that respect, </w:t>
      </w:r>
      <w:r w:rsidRPr="3220C020">
        <w:rPr>
          <w:b/>
          <w:bCs/>
        </w:rPr>
        <w:t xml:space="preserve">I would like that in parallel of the successes, of the achievements, that there is extensive information on the role of the </w:t>
      </w:r>
      <w:r w:rsidR="00730BA3">
        <w:rPr>
          <w:b/>
          <w:bCs/>
        </w:rPr>
        <w:t>S</w:t>
      </w:r>
      <w:r w:rsidRPr="3220C020">
        <w:rPr>
          <w:b/>
          <w:bCs/>
        </w:rPr>
        <w:t xml:space="preserve">tate </w:t>
      </w:r>
      <w:r w:rsidR="00730BA3">
        <w:rPr>
          <w:b/>
          <w:bCs/>
        </w:rPr>
        <w:t>P</w:t>
      </w:r>
      <w:r w:rsidRPr="3220C020">
        <w:rPr>
          <w:b/>
          <w:bCs/>
        </w:rPr>
        <w:t xml:space="preserve">arty for acts affecting human rights of women in Gaza, specifically their health and reproductive rights </w:t>
      </w:r>
      <w:proofErr w:type="gramStart"/>
      <w:r w:rsidRPr="3220C020">
        <w:rPr>
          <w:b/>
          <w:bCs/>
        </w:rPr>
        <w:t>as a result of</w:t>
      </w:r>
      <w:proofErr w:type="gramEnd"/>
      <w:r w:rsidRPr="3220C020">
        <w:rPr>
          <w:b/>
          <w:bCs/>
        </w:rPr>
        <w:t xml:space="preserve"> the arm trade and support of Canada to Israeli military forces since the end of 2023. Such actions include, in addition to random killing of pregnant women, but also violations of their reproductive rights, maternal, obstetric, and neonatal care they have the right to. Also attacks and displacement of pregnant women, </w:t>
      </w:r>
      <w:r w:rsidRPr="3220C020">
        <w:rPr>
          <w:b/>
          <w:bCs/>
        </w:rPr>
        <w:lastRenderedPageBreak/>
        <w:t xml:space="preserve">destruction of infrastructure and health facilities, malnutrition of women and the newborn, lack of access to healthcare, violations of pregnant women’s rights at all stages, including giving birth, neonatal care, premature birth, </w:t>
      </w:r>
      <w:proofErr w:type="gramStart"/>
      <w:r w:rsidRPr="3220C020">
        <w:rPr>
          <w:b/>
          <w:bCs/>
        </w:rPr>
        <w:t>and also</w:t>
      </w:r>
      <w:proofErr w:type="gramEnd"/>
      <w:r w:rsidRPr="3220C020">
        <w:rPr>
          <w:b/>
          <w:bCs/>
        </w:rPr>
        <w:t xml:space="preserve"> deaths of newborns. </w:t>
      </w:r>
      <w:proofErr w:type="gramStart"/>
      <w:r w:rsidRPr="3220C020">
        <w:rPr>
          <w:b/>
          <w:bCs/>
        </w:rPr>
        <w:t>So</w:t>
      </w:r>
      <w:proofErr w:type="gramEnd"/>
      <w:r w:rsidRPr="3220C020">
        <w:rPr>
          <w:b/>
          <w:bCs/>
        </w:rPr>
        <w:t xml:space="preserve"> my questions are how does Canada regulate corporations in its jurisdiction which contribute to human rights violation of women in Gaza through the arms trade, which makes the </w:t>
      </w:r>
      <w:r w:rsidR="00730BA3">
        <w:rPr>
          <w:b/>
          <w:bCs/>
        </w:rPr>
        <w:t>S</w:t>
      </w:r>
      <w:r w:rsidRPr="3220C020">
        <w:rPr>
          <w:b/>
          <w:bCs/>
        </w:rPr>
        <w:t xml:space="preserve">tate </w:t>
      </w:r>
      <w:r w:rsidR="00730BA3">
        <w:rPr>
          <w:b/>
          <w:bCs/>
        </w:rPr>
        <w:t>P</w:t>
      </w:r>
      <w:r w:rsidRPr="3220C020">
        <w:rPr>
          <w:b/>
          <w:bCs/>
        </w:rPr>
        <w:t xml:space="preserve">arty complicit to what has happened, to the actions that are made in Gaza to women? And </w:t>
      </w:r>
      <w:proofErr w:type="gramStart"/>
      <w:r w:rsidRPr="3220C020">
        <w:rPr>
          <w:b/>
          <w:bCs/>
        </w:rPr>
        <w:t>also</w:t>
      </w:r>
      <w:proofErr w:type="gramEnd"/>
      <w:r w:rsidRPr="3220C020">
        <w:rPr>
          <w:b/>
          <w:bCs/>
        </w:rPr>
        <w:t xml:space="preserve"> what are the steps for the country to refrain from continuing providing arms to the Israeli forces in the immediate future?</w:t>
      </w:r>
    </w:p>
    <w:p w14:paraId="2AFE716E" w14:textId="3BB79F57" w:rsidR="3220C020" w:rsidRDefault="3220C020" w:rsidP="3220C020">
      <w:pPr>
        <w:spacing w:after="0" w:line="276" w:lineRule="auto"/>
        <w:ind w:left="0" w:firstLine="0"/>
      </w:pPr>
      <w:r w:rsidRPr="3220C020">
        <w:t> </w:t>
      </w:r>
    </w:p>
    <w:p w14:paraId="227BAFEE" w14:textId="349EAEA1" w:rsidR="3220C020" w:rsidRDefault="3220C020" w:rsidP="3220C020">
      <w:pPr>
        <w:spacing w:after="0" w:line="276" w:lineRule="auto"/>
        <w:ind w:left="0" w:firstLine="0"/>
      </w:pPr>
      <w:r w:rsidRPr="3220C020">
        <w:rPr>
          <w:u w:val="single"/>
        </w:rPr>
        <w:t>Government of Canada (Jennifer Keeling, Deputy Director, Human Rights and Freedoms Division, International Security and Political Affairs Branch, Global Affairs Canada)</w:t>
      </w:r>
      <w:r w:rsidRPr="3220C020">
        <w:t>:</w:t>
      </w:r>
    </w:p>
    <w:p w14:paraId="2F9E9A7F" w14:textId="5184C048" w:rsidR="3220C020" w:rsidRDefault="3220C020" w:rsidP="3220C020">
      <w:pPr>
        <w:spacing w:after="0" w:line="276" w:lineRule="auto"/>
        <w:ind w:left="0" w:firstLine="0"/>
      </w:pPr>
      <w:r w:rsidRPr="3220C020">
        <w:t> </w:t>
      </w:r>
    </w:p>
    <w:p w14:paraId="1F5F2AD2" w14:textId="34D7DEBA" w:rsidR="3220C020" w:rsidRDefault="3220C020" w:rsidP="3220C020">
      <w:pPr>
        <w:spacing w:after="0" w:line="276" w:lineRule="auto"/>
        <w:ind w:left="0" w:firstLine="0"/>
      </w:pPr>
      <w:hyperlink r:id="rId25">
        <w:r w:rsidRPr="3220C020">
          <w:rPr>
            <w:rStyle w:val="Hyperlink"/>
            <w:rFonts w:ascii="Arial" w:hAnsi="Arial"/>
          </w:rPr>
          <w:t>1:03:08</w:t>
        </w:r>
      </w:hyperlink>
      <w:r w:rsidRPr="3220C020">
        <w:rPr>
          <w:color w:val="1155CC"/>
        </w:rPr>
        <w:t xml:space="preserve">: </w:t>
      </w:r>
      <w:r w:rsidRPr="3220C020">
        <w:t xml:space="preserve">Thank you very much. </w:t>
      </w:r>
      <w:proofErr w:type="gramStart"/>
      <w:r w:rsidRPr="3220C020">
        <w:t>So</w:t>
      </w:r>
      <w:proofErr w:type="gramEnd"/>
      <w:r w:rsidRPr="3220C020">
        <w:t xml:space="preserve"> you’ve mentioned the feminist foreign policy and the feminist international assistance policy a few times, so I’ll kind of skip over that, but to note that regarding sexual and reproductive health and rights, in June of 2019, Canada made a </w:t>
      </w:r>
      <w:proofErr w:type="gramStart"/>
      <w:r w:rsidRPr="3220C020">
        <w:t>10 year</w:t>
      </w:r>
      <w:proofErr w:type="gramEnd"/>
      <w:r w:rsidRPr="3220C020">
        <w:t xml:space="preserve"> commitment to global health and rights. And this commitment was announced by the Prime Minister at the</w:t>
      </w:r>
      <w:hyperlink r:id="rId26">
        <w:r w:rsidRPr="3220C020">
          <w:rPr>
            <w:rStyle w:val="Hyperlink"/>
            <w:rFonts w:ascii="Arial" w:hAnsi="Arial"/>
          </w:rPr>
          <w:t xml:space="preserve"> Women Deliver Conference</w:t>
        </w:r>
      </w:hyperlink>
      <w:r w:rsidRPr="3220C020">
        <w:t xml:space="preserve"> which Canada hosted in Vancouver, BC. Through that 10-year commitment, Canada is providing an average of $1.4 billion annually to support women’s, children’s, and adolescent’s health around the world, of which $700 million is allocated to comprehensive sexual and reproductive health and rights. Canada’s sexual and reproductive health and right investment make a comprehensive approach with a specific focus on five key neglected or underfunded areas including family planning and contraception, safe abortion services and post abortion care, comprehensive sexuality education, advocacy, and the prevention and response to sexual and gender-based violence.</w:t>
      </w:r>
    </w:p>
    <w:p w14:paraId="2E2B9E4A" w14:textId="63D1733F" w:rsidR="3220C020" w:rsidRDefault="3220C020" w:rsidP="3220C020">
      <w:pPr>
        <w:spacing w:after="0" w:line="276" w:lineRule="auto"/>
        <w:ind w:left="0" w:firstLine="0"/>
      </w:pPr>
      <w:r w:rsidRPr="3220C020">
        <w:t> </w:t>
      </w:r>
    </w:p>
    <w:p w14:paraId="6F3B1106" w14:textId="761E7407" w:rsidR="3220C020" w:rsidRDefault="3220C020" w:rsidP="3220C020">
      <w:pPr>
        <w:spacing w:after="0" w:line="276" w:lineRule="auto"/>
        <w:ind w:left="0" w:firstLine="0"/>
      </w:pPr>
      <w:r w:rsidRPr="3220C020">
        <w:t xml:space="preserve">With respect to humanitarian assistance in conflict situations, in 2022 and 2023, Canada provided $1.3 billion Canadian dollars in humanitarian assistance in line with Canada’s gender equality and humanitarian action sub-policy. And gender equality considerations were integrated into approximately 99% of these humanitarian assistance projects, </w:t>
      </w:r>
      <w:proofErr w:type="gramStart"/>
      <w:r w:rsidRPr="3220C020">
        <w:t>with the exception of</w:t>
      </w:r>
      <w:proofErr w:type="gramEnd"/>
      <w:r w:rsidRPr="3220C020">
        <w:t xml:space="preserve"> funding for humanitarian logistics operations. This level of gender equality integration continues to be a priority for Canada in 2024. Under </w:t>
      </w:r>
      <w:hyperlink r:id="rId27">
        <w:r w:rsidRPr="3220C020">
          <w:rPr>
            <w:rStyle w:val="Hyperlink"/>
            <w:rFonts w:ascii="Arial" w:hAnsi="Arial"/>
          </w:rPr>
          <w:t>Foundations for Peace, Canada’s National Action Plan on Women, Peace and Security - 2023 to 2029</w:t>
        </w:r>
      </w:hyperlink>
      <w:r w:rsidRPr="3220C020">
        <w:t>, the Government of Canada is committed to promoting and supporting women’s participation in decision making and ensuring that women are meaningfully included throughout humanitarian action.</w:t>
      </w:r>
    </w:p>
    <w:p w14:paraId="79243F73" w14:textId="17C00AAD" w:rsidR="3220C020" w:rsidRDefault="3220C020" w:rsidP="3220C020">
      <w:pPr>
        <w:spacing w:after="0" w:line="276" w:lineRule="auto"/>
        <w:ind w:left="0" w:firstLine="0"/>
      </w:pPr>
      <w:r w:rsidRPr="3220C020">
        <w:t> </w:t>
      </w:r>
    </w:p>
    <w:p w14:paraId="4F656BEC" w14:textId="7D80B9CA" w:rsidR="3220C020" w:rsidRDefault="3220C020" w:rsidP="3220C020">
      <w:pPr>
        <w:spacing w:after="0" w:line="276" w:lineRule="auto"/>
        <w:ind w:left="0" w:firstLine="0"/>
      </w:pPr>
      <w:hyperlink r:id="rId28">
        <w:r w:rsidRPr="3220C020">
          <w:rPr>
            <w:rStyle w:val="Hyperlink"/>
            <w:rFonts w:ascii="Arial" w:hAnsi="Arial"/>
          </w:rPr>
          <w:t>1:05.03</w:t>
        </w:r>
      </w:hyperlink>
      <w:r w:rsidRPr="3220C020">
        <w:rPr>
          <w:color w:val="1155CC"/>
        </w:rPr>
        <w:t xml:space="preserve">: </w:t>
      </w:r>
      <w:r w:rsidRPr="3220C020">
        <w:t xml:space="preserve">I’ll turn quickly to the points about Israel and Gaza. And </w:t>
      </w:r>
      <w:proofErr w:type="gramStart"/>
      <w:r w:rsidRPr="3220C020">
        <w:t>so</w:t>
      </w:r>
      <w:proofErr w:type="gramEnd"/>
      <w:r w:rsidRPr="3220C020">
        <w:t xml:space="preserve"> </w:t>
      </w:r>
      <w:r w:rsidRPr="3220C020">
        <w:rPr>
          <w:b/>
          <w:bCs/>
        </w:rPr>
        <w:t>Canada has one of the strongest export control systems in the world. And the respect for human rights is enshrined in our legislation and it is a cornerstone of Canada’s export controls regime. All export permits application for controlled items are reviewed on a case-by-case basis under Canada’s robust risk assessment framework, including against the Arms Trade Treaty criteria, which are enshrined in Canada’s Export and Import Permits Act. The Minister of Foreign Affairs will deny export permit applications if she determines that there is a substantial risk that the item could be used to commit or facilitate serious violations of international humanitarian law, international human rights law, or serious acts of gender-</w:t>
      </w:r>
      <w:r w:rsidRPr="3220C020">
        <w:rPr>
          <w:b/>
          <w:bCs/>
        </w:rPr>
        <w:lastRenderedPageBreak/>
        <w:t xml:space="preserve">based violence or violence against women and children. Since January 8, 2024, the Government of Canada has not approved new export arms permits to Israel and this remains the government’s approach. </w:t>
      </w:r>
      <w:proofErr w:type="gramStart"/>
      <w:r w:rsidRPr="3220C020">
        <w:rPr>
          <w:b/>
          <w:bCs/>
        </w:rPr>
        <w:t>Taking into account</w:t>
      </w:r>
      <w:proofErr w:type="gramEnd"/>
      <w:r w:rsidRPr="3220C020">
        <w:rPr>
          <w:b/>
          <w:bCs/>
        </w:rPr>
        <w:t xml:space="preserve"> the rapidly evolving situation on the ground, Canada suspended </w:t>
      </w:r>
      <w:proofErr w:type="gramStart"/>
      <w:r w:rsidRPr="3220C020">
        <w:rPr>
          <w:b/>
          <w:bCs/>
        </w:rPr>
        <w:t>a number of</w:t>
      </w:r>
      <w:proofErr w:type="gramEnd"/>
      <w:r w:rsidRPr="3220C020">
        <w:rPr>
          <w:b/>
          <w:bCs/>
        </w:rPr>
        <w:t xml:space="preserve"> export permits for military items destined to Israel during the summer.</w:t>
      </w:r>
    </w:p>
    <w:p w14:paraId="53120915" w14:textId="2C393746" w:rsidR="3220C020" w:rsidRDefault="3220C020" w:rsidP="3220C020">
      <w:pPr>
        <w:spacing w:after="0" w:line="276" w:lineRule="auto"/>
        <w:ind w:left="0" w:firstLine="0"/>
      </w:pPr>
      <w:r w:rsidRPr="3220C020">
        <w:t> </w:t>
      </w:r>
    </w:p>
    <w:p w14:paraId="5043E9E9" w14:textId="5F5F5145" w:rsidR="3220C020" w:rsidRDefault="3220C020" w:rsidP="3220C020">
      <w:pPr>
        <w:spacing w:after="0" w:line="276" w:lineRule="auto"/>
        <w:ind w:left="0" w:firstLine="0"/>
      </w:pPr>
      <w:r w:rsidRPr="3220C020">
        <w:rPr>
          <w:b/>
          <w:bCs/>
        </w:rPr>
        <w:t>Article 13</w:t>
      </w:r>
    </w:p>
    <w:p w14:paraId="32D0BC1F" w14:textId="18CF797E" w:rsidR="3220C020" w:rsidRDefault="3220C020" w:rsidP="3220C020">
      <w:pPr>
        <w:spacing w:after="0" w:line="276" w:lineRule="auto"/>
        <w:ind w:left="0" w:firstLine="0"/>
      </w:pPr>
      <w:r w:rsidRPr="3220C020">
        <w:rPr>
          <w:u w:val="single"/>
        </w:rPr>
        <w:t>Marion Bethel (Bahamas)</w:t>
      </w:r>
      <w:r w:rsidRPr="3220C020">
        <w:t>:</w:t>
      </w:r>
    </w:p>
    <w:p w14:paraId="0D43BA15" w14:textId="4A96B8EF" w:rsidR="3220C020" w:rsidRDefault="3220C020" w:rsidP="3220C020">
      <w:pPr>
        <w:spacing w:after="0" w:line="276" w:lineRule="auto"/>
        <w:ind w:left="0" w:firstLine="0"/>
      </w:pPr>
      <w:r w:rsidRPr="3220C020">
        <w:t> </w:t>
      </w:r>
    </w:p>
    <w:p w14:paraId="334DC789" w14:textId="60D6A5FA" w:rsidR="3220C020" w:rsidRDefault="3220C020" w:rsidP="3220C020">
      <w:pPr>
        <w:spacing w:after="0" w:line="276" w:lineRule="auto"/>
        <w:ind w:left="0" w:firstLine="0"/>
      </w:pPr>
      <w:hyperlink r:id="rId29">
        <w:r w:rsidRPr="3220C020">
          <w:rPr>
            <w:rStyle w:val="Hyperlink"/>
            <w:rFonts w:ascii="Arial" w:hAnsi="Arial"/>
          </w:rPr>
          <w:t>1:11:51</w:t>
        </w:r>
      </w:hyperlink>
      <w:r w:rsidRPr="3220C020">
        <w:rPr>
          <w:color w:val="1155CC"/>
        </w:rPr>
        <w:t xml:space="preserve">: </w:t>
      </w:r>
      <w:r w:rsidRPr="3220C020">
        <w:t xml:space="preserve">And finally, I want to just look at two extraterritorial obligations of Canada that have been briefly mentioned. One is </w:t>
      </w:r>
      <w:proofErr w:type="gramStart"/>
      <w:r w:rsidRPr="3220C020">
        <w:t>in regard to</w:t>
      </w:r>
      <w:proofErr w:type="gramEnd"/>
      <w:r w:rsidRPr="3220C020">
        <w:t xml:space="preserve"> the deep </w:t>
      </w:r>
      <w:proofErr w:type="gramStart"/>
      <w:r w:rsidRPr="3220C020">
        <w:t>sea bed</w:t>
      </w:r>
      <w:proofErr w:type="gramEnd"/>
      <w:r w:rsidRPr="3220C020">
        <w:t xml:space="preserve"> mining and ask how does Canada hold deep </w:t>
      </w:r>
      <w:proofErr w:type="gramStart"/>
      <w:r w:rsidRPr="3220C020">
        <w:t>sea bed</w:t>
      </w:r>
      <w:proofErr w:type="gramEnd"/>
      <w:r w:rsidRPr="3220C020">
        <w:t xml:space="preserve"> mining companies accountable for environmental damage to oceans, marine life, which inevitably impacts negatively the lives and livelihoods of women in the Pacific region and violates their human rights under the Convention? And the issue of Gaza has already been mentioned and what </w:t>
      </w:r>
      <w:proofErr w:type="gramStart"/>
      <w:r w:rsidRPr="3220C020">
        <w:t>I‘</w:t>
      </w:r>
      <w:proofErr w:type="gramEnd"/>
      <w:r w:rsidRPr="3220C020">
        <w:t xml:space="preserve">d like to put forward here is that </w:t>
      </w:r>
      <w:r w:rsidRPr="3220C020">
        <w:rPr>
          <w:b/>
          <w:bCs/>
        </w:rPr>
        <w:t>alternate reports indicate that Canada engages in the indirect flow of military exports to Israel through the USA, even though it has suspended many of the permits and licenses to do so. But there is an indirect flow of military exports. What measures is Canada taking to ensure that arms sold to the US or other countries are not transferred to Israel and used in the violation of the rights of women and girls in Gaza?</w:t>
      </w:r>
    </w:p>
    <w:p w14:paraId="63ACA8AA" w14:textId="1F6CC2C4" w:rsidR="3220C020" w:rsidRDefault="3220C020" w:rsidP="3220C020">
      <w:pPr>
        <w:spacing w:after="0" w:line="276" w:lineRule="auto"/>
        <w:ind w:left="0" w:firstLine="0"/>
      </w:pPr>
      <w:r w:rsidRPr="3220C020">
        <w:t> </w:t>
      </w:r>
    </w:p>
    <w:p w14:paraId="5CFDC0F0" w14:textId="6E11C437" w:rsidR="3220C020" w:rsidRDefault="3220C020" w:rsidP="3220C020">
      <w:pPr>
        <w:spacing w:after="0" w:line="276" w:lineRule="auto"/>
        <w:ind w:left="0" w:firstLine="0"/>
      </w:pPr>
      <w:r w:rsidRPr="3220C020">
        <w:rPr>
          <w:u w:val="single"/>
        </w:rPr>
        <w:t>Government of Canada (GAC - Daniel Loutfi, First Secretary, Permanent Mission of Canada to the United Nations, Geneva)</w:t>
      </w:r>
      <w:r w:rsidRPr="3220C020">
        <w:t>:</w:t>
      </w:r>
    </w:p>
    <w:p w14:paraId="453DC6EC" w14:textId="42B32123" w:rsidR="3220C020" w:rsidRDefault="3220C020" w:rsidP="3220C020">
      <w:pPr>
        <w:spacing w:after="0" w:line="276" w:lineRule="auto"/>
        <w:ind w:left="0" w:firstLine="0"/>
      </w:pPr>
      <w:r w:rsidRPr="3220C020">
        <w:t> </w:t>
      </w:r>
    </w:p>
    <w:p w14:paraId="522B5CD3" w14:textId="7AF44ECD" w:rsidR="3220C020" w:rsidRDefault="3220C020" w:rsidP="3220C020">
      <w:pPr>
        <w:spacing w:after="0" w:line="276" w:lineRule="auto"/>
        <w:ind w:left="0" w:firstLine="0"/>
      </w:pPr>
      <w:hyperlink r:id="rId30">
        <w:r w:rsidRPr="3220C020">
          <w:rPr>
            <w:rStyle w:val="Hyperlink"/>
            <w:rFonts w:ascii="Arial" w:hAnsi="Arial"/>
          </w:rPr>
          <w:t>1:25:02</w:t>
        </w:r>
      </w:hyperlink>
      <w:r w:rsidRPr="3220C020">
        <w:rPr>
          <w:color w:val="1155CC"/>
        </w:rPr>
        <w:t xml:space="preserve">: </w:t>
      </w:r>
      <w:r w:rsidRPr="3220C020">
        <w:t xml:space="preserve">Thank you. </w:t>
      </w:r>
      <w:proofErr w:type="gramStart"/>
      <w:r w:rsidRPr="3220C020">
        <w:t>So</w:t>
      </w:r>
      <w:proofErr w:type="gramEnd"/>
      <w:r w:rsidRPr="3220C020">
        <w:t xml:space="preserve"> with respect to responsible business practice, I believe the question was specific to one sector, but I’m going to answer more generally because these issues arise in </w:t>
      </w:r>
      <w:proofErr w:type="gramStart"/>
      <w:r w:rsidRPr="3220C020">
        <w:t>a number of</w:t>
      </w:r>
      <w:proofErr w:type="gramEnd"/>
      <w:r w:rsidRPr="3220C020">
        <w:t xml:space="preserve"> sectors and Canada’s approach is not sector </w:t>
      </w:r>
      <w:proofErr w:type="gramStart"/>
      <w:r w:rsidRPr="3220C020">
        <w:t>specific, but</w:t>
      </w:r>
      <w:proofErr w:type="gramEnd"/>
      <w:r w:rsidRPr="3220C020">
        <w:t xml:space="preserve"> takes a broader approach. Canada takes a balanced approach to responsible business conduct, which includes preventative measures, legislation in select areas, and access to remedy in the form of non-judicial dispute settlement mechanisms. Canada’s approach to dispute resolution is founded on two mechanisms that reflect the objectives of both the </w:t>
      </w:r>
      <w:hyperlink r:id="rId31">
        <w:r w:rsidRPr="3220C020">
          <w:rPr>
            <w:rStyle w:val="Hyperlink"/>
            <w:rFonts w:ascii="Arial" w:hAnsi="Arial"/>
          </w:rPr>
          <w:t>UN Guiding Principles on Business and Human Rights</w:t>
        </w:r>
      </w:hyperlink>
      <w:r w:rsidRPr="3220C020">
        <w:t xml:space="preserve"> and also the </w:t>
      </w:r>
      <w:hyperlink r:id="rId32">
        <w:r w:rsidRPr="3220C020">
          <w:rPr>
            <w:rStyle w:val="Hyperlink"/>
            <w:rFonts w:ascii="Arial" w:hAnsi="Arial"/>
          </w:rPr>
          <w:t>OECD Guidelines for Multinational Enterprises on Responsible Business Conduct</w:t>
        </w:r>
      </w:hyperlink>
      <w:r w:rsidRPr="3220C020">
        <w:rPr>
          <w:color w:val="1155CC"/>
        </w:rPr>
        <w:t xml:space="preserve">. </w:t>
      </w:r>
      <w:r w:rsidRPr="3220C020">
        <w:t>Canada’s approach aims in part at reducing barriers and providing victims of alleged business-related abuses, include women and historically marginalized groups, access to remedy mechanisms to address grievances. Canada has two non-judicial dispute resolution mechanisms. We have a</w:t>
      </w:r>
      <w:hyperlink r:id="rId33">
        <w:r w:rsidRPr="3220C020">
          <w:rPr>
            <w:rStyle w:val="Hyperlink"/>
            <w:rFonts w:ascii="Arial" w:hAnsi="Arial"/>
          </w:rPr>
          <w:t xml:space="preserve"> National Contact Point for Responsible Business Conduct</w:t>
        </w:r>
      </w:hyperlink>
      <w:r w:rsidRPr="3220C020">
        <w:t xml:space="preserve"> and there’s an </w:t>
      </w:r>
      <w:hyperlink r:id="rId34">
        <w:r w:rsidRPr="3220C020">
          <w:rPr>
            <w:rStyle w:val="Hyperlink"/>
            <w:rFonts w:ascii="Arial" w:hAnsi="Arial"/>
          </w:rPr>
          <w:t>Ombudsperson for Responsible Enterprise</w:t>
        </w:r>
      </w:hyperlink>
      <w:r w:rsidRPr="3220C020">
        <w:t xml:space="preserve">. So briefly the National Contact Point offers dispute resolution for a wide range of issues covered by the OECD Guidelines that includes employment-industrial relations, human rights, environment and bribery and the national contact point can facilitate dialogue or mediation to help resolve complaints involving multinational enterprises either operating in or from Canada. And that’s in any sector. The Ombudsperson for Responsible Enterprises is mandated to review complaints regarding alleged human rights abuses arising from a Canadian company’s operation abroad. And this is more specific to </w:t>
      </w:r>
      <w:proofErr w:type="gramStart"/>
      <w:r w:rsidRPr="3220C020">
        <w:t>sector</w:t>
      </w:r>
      <w:proofErr w:type="gramEnd"/>
      <w:r w:rsidRPr="3220C020">
        <w:t xml:space="preserve">, so this is in the </w:t>
      </w:r>
      <w:r w:rsidRPr="3220C020">
        <w:lastRenderedPageBreak/>
        <w:t>garment, mining, and oil and gas sectors. The Ombudsperson can also undertake a review on their own initiative.</w:t>
      </w:r>
    </w:p>
    <w:p w14:paraId="431B1A2C" w14:textId="5974A3E9" w:rsidR="3220C020" w:rsidRDefault="3220C020" w:rsidP="3220C020">
      <w:pPr>
        <w:spacing w:after="0" w:line="276" w:lineRule="auto"/>
        <w:ind w:left="0" w:firstLine="0"/>
      </w:pPr>
      <w:r w:rsidRPr="3220C020">
        <w:t> </w:t>
      </w:r>
    </w:p>
    <w:p w14:paraId="74518963" w14:textId="32CDFAF8" w:rsidR="3220C020" w:rsidRDefault="3220C020" w:rsidP="3220C020">
      <w:pPr>
        <w:spacing w:after="0" w:line="276" w:lineRule="auto"/>
        <w:ind w:left="0" w:firstLine="0"/>
      </w:pPr>
      <w:r w:rsidRPr="3220C020">
        <w:t xml:space="preserve">Canadian companies who are involved in a dispute resolution process are expected to participate in good faith. If a company has not acted in good faith, the National Contact Point or the Ombudsperson can recommend implementing trade measures. And </w:t>
      </w:r>
      <w:proofErr w:type="gramStart"/>
      <w:r w:rsidRPr="3220C020">
        <w:t>so</w:t>
      </w:r>
      <w:proofErr w:type="gramEnd"/>
      <w:r w:rsidRPr="3220C020">
        <w:t xml:space="preserve"> these can include recommending the withdrawal of certain forms of trade promotion support that are otherwise offered by the Government of Canada, as well as the denial of future support from trade entities, such as Export and Development Canada, so that involves specific support that supports Canadian companies with exports abroad.</w:t>
      </w:r>
    </w:p>
    <w:p w14:paraId="0999BFC7" w14:textId="467FE1EB" w:rsidR="3220C020" w:rsidRDefault="3220C020" w:rsidP="3220C020">
      <w:pPr>
        <w:spacing w:after="0" w:line="276" w:lineRule="auto"/>
        <w:ind w:left="0" w:firstLine="0"/>
      </w:pPr>
      <w:r w:rsidRPr="3220C020">
        <w:t> </w:t>
      </w:r>
    </w:p>
    <w:p w14:paraId="521A861D" w14:textId="3926E349" w:rsidR="3220C020" w:rsidRDefault="3220C020" w:rsidP="3220C020">
      <w:pPr>
        <w:spacing w:after="0" w:line="276" w:lineRule="auto"/>
        <w:ind w:left="0" w:firstLine="0"/>
      </w:pPr>
      <w:hyperlink r:id="rId35">
        <w:r w:rsidRPr="3220C020">
          <w:rPr>
            <w:rStyle w:val="Hyperlink"/>
            <w:rFonts w:ascii="Arial" w:hAnsi="Arial"/>
          </w:rPr>
          <w:t>1:27:18</w:t>
        </w:r>
      </w:hyperlink>
      <w:r w:rsidRPr="3220C020">
        <w:rPr>
          <w:color w:val="1155CC"/>
        </w:rPr>
        <w:t xml:space="preserve">: </w:t>
      </w:r>
      <w:r w:rsidRPr="3220C020">
        <w:rPr>
          <w:b/>
          <w:bCs/>
        </w:rPr>
        <w:t xml:space="preserve">With respect um to the follow-up question on Israel, um, you know, there uh… the…  I believe that the… the aspects of our response that emphasized that no new arms export permits to Israel um have been um… focused on. I also want to reiterate that wherever the export permits </w:t>
      </w:r>
      <w:proofErr w:type="gramStart"/>
      <w:r w:rsidRPr="3220C020">
        <w:rPr>
          <w:b/>
          <w:bCs/>
        </w:rPr>
        <w:t>are happen</w:t>
      </w:r>
      <w:proofErr w:type="gramEnd"/>
      <w:r w:rsidRPr="3220C020">
        <w:rPr>
          <w:b/>
          <w:bCs/>
        </w:rPr>
        <w:t xml:space="preserve">- … wherever the exports are happening, even if they are through the US, all export permit applications of controlled items are reviewed on a case-by-case basis, including against Arms Trade Treaty criteria, which are enshrined in Canadian legislation. And </w:t>
      </w:r>
      <w:proofErr w:type="gramStart"/>
      <w:r w:rsidRPr="3220C020">
        <w:rPr>
          <w:b/>
          <w:bCs/>
        </w:rPr>
        <w:t>again</w:t>
      </w:r>
      <w:proofErr w:type="gramEnd"/>
      <w:r w:rsidRPr="3220C020">
        <w:rPr>
          <w:b/>
          <w:bCs/>
        </w:rPr>
        <w:t xml:space="preserve"> I’ll just reiterate that the Minister of Foreign Affairs will deny export permit applications if she determines that there is a substantial risk that the item could be used to commit or facilitate serious violations of international humanitarian law, international human rights law, or serious acts of gender-based violence or violence against women and children.</w:t>
      </w:r>
    </w:p>
    <w:p w14:paraId="31DBFF4C" w14:textId="423359F9" w:rsidR="3220C020" w:rsidRDefault="3220C020" w:rsidP="3220C020">
      <w:pPr>
        <w:ind w:hanging="283"/>
        <w:jc w:val="left"/>
        <w:rPr>
          <w:rFonts w:ascii="Arial Nova" w:eastAsia="Arial Nova" w:hAnsi="Arial Nova" w:cs="Arial Nova"/>
        </w:rPr>
      </w:pPr>
    </w:p>
    <w:p w14:paraId="21A17EE6" w14:textId="213D8BE6" w:rsidR="3220C020" w:rsidRDefault="3220C020" w:rsidP="3220C020"/>
    <w:sectPr w:rsidR="3220C020" w:rsidSect="00F4688C">
      <w:footerReference w:type="default" r:id="rId36"/>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55C2BC" w14:textId="77777777" w:rsidR="008C189E" w:rsidRDefault="008C189E" w:rsidP="008A75CF">
      <w:pPr>
        <w:spacing w:after="0" w:line="240" w:lineRule="auto"/>
      </w:pPr>
      <w:r>
        <w:separator/>
      </w:r>
    </w:p>
  </w:endnote>
  <w:endnote w:type="continuationSeparator" w:id="0">
    <w:p w14:paraId="6DE54AF4" w14:textId="77777777" w:rsidR="008C189E" w:rsidRDefault="008C189E" w:rsidP="008A75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Arial Nova">
    <w:charset w:val="00"/>
    <w:family w:val="swiss"/>
    <w:pitch w:val="variable"/>
    <w:sig w:usb0="0000028F"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06994478"/>
      <w:docPartObj>
        <w:docPartGallery w:val="Page Numbers (Bottom of Page)"/>
        <w:docPartUnique/>
      </w:docPartObj>
    </w:sdtPr>
    <w:sdtEndPr>
      <w:rPr>
        <w:rStyle w:val="PageNumber"/>
      </w:rPr>
    </w:sdtEndPr>
    <w:sdtContent>
      <w:p w14:paraId="6AC08B76" w14:textId="2C52245F" w:rsidR="00F4688C" w:rsidRDefault="00F4688C" w:rsidP="001D3BC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455441D" w14:textId="77777777" w:rsidR="00F4688C" w:rsidRDefault="00F4688C" w:rsidP="00F4688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38361" w14:textId="277C094A" w:rsidR="3220C020" w:rsidRDefault="3220C020" w:rsidP="3220C020">
    <w:pPr>
      <w:pStyle w:val="Footer"/>
      <w:jc w:val="right"/>
    </w:pPr>
  </w:p>
  <w:p w14:paraId="36452BFF" w14:textId="410B739D" w:rsidR="3220C020" w:rsidRDefault="3220C020" w:rsidP="3220C020">
    <w:pPr>
      <w:pStyle w:val="Footer"/>
      <w:jc w:val="right"/>
    </w:pPr>
  </w:p>
  <w:p w14:paraId="701567AD" w14:textId="77777777" w:rsidR="007B3571" w:rsidRDefault="007B357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CF85E" w14:textId="77777777" w:rsidR="001F7813" w:rsidRDefault="001F781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EE451" w14:textId="5DD1FE11" w:rsidR="00F4688C" w:rsidRDefault="00F4688C" w:rsidP="001D3BC8">
    <w:pPr>
      <w:pStyle w:val="Footer"/>
      <w:framePr w:wrap="none" w:vAnchor="text" w:hAnchor="margin" w:xAlign="right" w:y="1"/>
      <w:rPr>
        <w:rStyle w:val="PageNumber"/>
      </w:rPr>
    </w:pPr>
    <w:r>
      <w:rPr>
        <w:rStyle w:val="PageNumber"/>
      </w:rPr>
      <w:t xml:space="preserve">  </w:t>
    </w:r>
    <w:sdt>
      <w:sdtPr>
        <w:rPr>
          <w:rStyle w:val="PageNumber"/>
        </w:rPr>
        <w:id w:val="110864258"/>
        <w:docPartObj>
          <w:docPartGallery w:val="Page Numbers (Bottom of Page)"/>
          <w:docPartUnique/>
        </w:docPartObj>
      </w:sdtPr>
      <w:sdtEndPr>
        <w:rPr>
          <w:rStyle w:val="PageNumber"/>
        </w:rPr>
      </w:sdtEndPr>
      <w:sdtContent>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sdtContent>
    </w:sdt>
  </w:p>
  <w:p w14:paraId="4029DF10" w14:textId="77777777" w:rsidR="00F4688C" w:rsidRDefault="00F4688C" w:rsidP="00F4688C">
    <w:pPr>
      <w:pStyle w:val="Footer"/>
      <w:ind w:right="360"/>
      <w:jc w:val="right"/>
    </w:pPr>
  </w:p>
  <w:p w14:paraId="215F4F04" w14:textId="77777777" w:rsidR="00F4688C" w:rsidRDefault="00F4688C" w:rsidP="3220C020">
    <w:pPr>
      <w:pStyle w:val="Footer"/>
      <w:jc w:val="right"/>
    </w:pPr>
  </w:p>
  <w:p w14:paraId="60671D00" w14:textId="77777777" w:rsidR="00F4688C" w:rsidRDefault="00F468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44EC4C" w14:textId="77777777" w:rsidR="008C189E" w:rsidRDefault="008C189E" w:rsidP="008A75CF">
      <w:pPr>
        <w:spacing w:after="0" w:line="240" w:lineRule="auto"/>
      </w:pPr>
      <w:r>
        <w:separator/>
      </w:r>
    </w:p>
  </w:footnote>
  <w:footnote w:type="continuationSeparator" w:id="0">
    <w:p w14:paraId="41AD20F8" w14:textId="77777777" w:rsidR="008C189E" w:rsidRDefault="008C189E" w:rsidP="008A75CF">
      <w:pPr>
        <w:spacing w:after="0" w:line="240" w:lineRule="auto"/>
      </w:pPr>
      <w:r>
        <w:continuationSeparator/>
      </w:r>
    </w:p>
  </w:footnote>
  <w:footnote w:id="1">
    <w:p w14:paraId="16D447F3" w14:textId="63CC8FE8" w:rsidR="00051E81" w:rsidRPr="005A702E" w:rsidRDefault="00051E81" w:rsidP="0045244F">
      <w:pPr>
        <w:pStyle w:val="NoSpacing"/>
        <w:ind w:left="0" w:firstLine="0"/>
        <w:jc w:val="left"/>
        <w:rPr>
          <w:sz w:val="18"/>
          <w:szCs w:val="18"/>
        </w:rPr>
      </w:pPr>
      <w:r w:rsidRPr="005A702E">
        <w:rPr>
          <w:sz w:val="18"/>
          <w:szCs w:val="18"/>
          <w:vertAlign w:val="superscript"/>
        </w:rPr>
        <w:footnoteRef/>
      </w:r>
      <w:r w:rsidRPr="005A702E">
        <w:rPr>
          <w:sz w:val="18"/>
          <w:szCs w:val="18"/>
        </w:rPr>
        <w:t xml:space="preserve"> Amnesty International, </w:t>
      </w:r>
      <w:hyperlink r:id="rId1">
        <w:r w:rsidRPr="005A702E">
          <w:rPr>
            <w:i/>
            <w:iCs/>
            <w:color w:val="1155CC"/>
            <w:sz w:val="18"/>
            <w:szCs w:val="18"/>
            <w:u w:val="single"/>
          </w:rPr>
          <w:t>‘You Feel Like You Are Subhuman’: Israel’s Genocide Against Palestinians in Gaza</w:t>
        </w:r>
      </w:hyperlink>
      <w:r w:rsidRPr="005A702E">
        <w:rPr>
          <w:sz w:val="18"/>
          <w:szCs w:val="18"/>
        </w:rPr>
        <w:t xml:space="preserve"> (December 5, 2024); Human Rights Watch, </w:t>
      </w:r>
      <w:hyperlink r:id="rId2" w:history="1">
        <w:r w:rsidRPr="005A702E">
          <w:rPr>
            <w:rStyle w:val="Hyperlink"/>
            <w:rFonts w:ascii="Arial" w:hAnsi="Arial"/>
            <w:iCs/>
            <w:color w:val="1155CC"/>
            <w:sz w:val="18"/>
            <w:szCs w:val="18"/>
          </w:rPr>
          <w:t>Israel’s Crime of Extermination, Acts of Genocide in Gaza</w:t>
        </w:r>
      </w:hyperlink>
      <w:r w:rsidRPr="005A702E">
        <w:rPr>
          <w:i/>
          <w:iCs/>
          <w:sz w:val="18"/>
          <w:szCs w:val="18"/>
        </w:rPr>
        <w:t xml:space="preserve"> </w:t>
      </w:r>
      <w:r w:rsidRPr="005A702E">
        <w:rPr>
          <w:sz w:val="18"/>
          <w:szCs w:val="18"/>
        </w:rPr>
        <w:t>(December 19, 2024).</w:t>
      </w:r>
    </w:p>
  </w:footnote>
  <w:footnote w:id="2">
    <w:p w14:paraId="68D8E53B" w14:textId="77777777" w:rsidR="00051E81" w:rsidRPr="005A702E" w:rsidRDefault="00051E81" w:rsidP="0045244F">
      <w:pPr>
        <w:pBdr>
          <w:top w:val="nil"/>
          <w:left w:val="nil"/>
          <w:bottom w:val="nil"/>
          <w:right w:val="nil"/>
          <w:between w:val="nil"/>
        </w:pBdr>
        <w:spacing w:after="0" w:line="240" w:lineRule="auto"/>
        <w:ind w:left="0" w:firstLine="0"/>
        <w:jc w:val="left"/>
        <w:rPr>
          <w:rFonts w:eastAsia="Cambria"/>
          <w:color w:val="000000"/>
          <w:sz w:val="18"/>
          <w:szCs w:val="18"/>
        </w:rPr>
      </w:pPr>
      <w:r w:rsidRPr="005A702E">
        <w:rPr>
          <w:sz w:val="18"/>
          <w:szCs w:val="18"/>
          <w:vertAlign w:val="superscript"/>
        </w:rPr>
        <w:footnoteRef/>
      </w:r>
      <w:r w:rsidRPr="005A702E">
        <w:rPr>
          <w:color w:val="000000"/>
          <w:sz w:val="18"/>
          <w:szCs w:val="18"/>
        </w:rPr>
        <w:t xml:space="preserve"> United Nations, Committee on the Rights of Persons with Disabilities, </w:t>
      </w:r>
      <w:hyperlink r:id="rId3">
        <w:r w:rsidRPr="005A702E">
          <w:rPr>
            <w:i/>
            <w:iCs/>
            <w:color w:val="1155CC"/>
            <w:sz w:val="18"/>
            <w:szCs w:val="18"/>
            <w:u w:val="single"/>
          </w:rPr>
          <w:t>CRPD Statement on the Situation of Persons with Disabilities in the Armed Conflict in Israel and Gaza</w:t>
        </w:r>
      </w:hyperlink>
      <w:r w:rsidRPr="005A702E">
        <w:rPr>
          <w:color w:val="000000"/>
          <w:sz w:val="18"/>
          <w:szCs w:val="18"/>
        </w:rPr>
        <w:t xml:space="preserve"> (20 October 202</w:t>
      </w:r>
      <w:r w:rsidRPr="005A702E">
        <w:rPr>
          <w:sz w:val="18"/>
          <w:szCs w:val="18"/>
        </w:rPr>
        <w:t>3</w:t>
      </w:r>
      <w:r w:rsidRPr="005A702E">
        <w:rPr>
          <w:color w:val="000000"/>
          <w:sz w:val="18"/>
          <w:szCs w:val="18"/>
        </w:rPr>
        <w:t>)</w:t>
      </w:r>
      <w:r w:rsidRPr="005A702E">
        <w:rPr>
          <w:sz w:val="18"/>
          <w:szCs w:val="18"/>
        </w:rPr>
        <w:t>.</w:t>
      </w:r>
    </w:p>
  </w:footnote>
  <w:footnote w:id="3">
    <w:p w14:paraId="63DEEBDD" w14:textId="77777777" w:rsidR="00051E81" w:rsidRPr="005A702E" w:rsidRDefault="00051E81" w:rsidP="0045244F">
      <w:pPr>
        <w:pStyle w:val="NoSpacing"/>
        <w:ind w:left="-77" w:firstLine="77"/>
        <w:jc w:val="left"/>
        <w:rPr>
          <w:color w:val="000000"/>
          <w:sz w:val="18"/>
          <w:szCs w:val="18"/>
        </w:rPr>
      </w:pPr>
      <w:r w:rsidRPr="005A702E">
        <w:rPr>
          <w:sz w:val="18"/>
          <w:szCs w:val="18"/>
          <w:vertAlign w:val="superscript"/>
        </w:rPr>
        <w:footnoteRef/>
      </w:r>
      <w:r w:rsidRPr="005A702E">
        <w:rPr>
          <w:color w:val="000000"/>
          <w:sz w:val="18"/>
          <w:szCs w:val="18"/>
        </w:rPr>
        <w:t xml:space="preserve"> </w:t>
      </w:r>
      <w:r w:rsidRPr="005A702E">
        <w:rPr>
          <w:sz w:val="18"/>
          <w:szCs w:val="18"/>
        </w:rPr>
        <w:t>Ibid.</w:t>
      </w:r>
    </w:p>
  </w:footnote>
  <w:footnote w:id="4">
    <w:p w14:paraId="7A0B588B" w14:textId="77777777" w:rsidR="00051E81" w:rsidRPr="005A702E" w:rsidRDefault="00051E81" w:rsidP="0045244F">
      <w:pPr>
        <w:pStyle w:val="NoSpacing"/>
        <w:ind w:left="-77" w:firstLine="77"/>
        <w:jc w:val="left"/>
        <w:rPr>
          <w:sz w:val="18"/>
          <w:szCs w:val="18"/>
        </w:rPr>
      </w:pPr>
      <w:r w:rsidRPr="005A702E">
        <w:rPr>
          <w:rStyle w:val="FootnoteReference"/>
          <w:sz w:val="18"/>
          <w:szCs w:val="18"/>
        </w:rPr>
        <w:footnoteRef/>
      </w:r>
      <w:r w:rsidRPr="005A702E">
        <w:rPr>
          <w:sz w:val="18"/>
          <w:szCs w:val="18"/>
        </w:rPr>
        <w:t xml:space="preserve"> Communication by UN Special Procedures to Israel, </w:t>
      </w:r>
      <w:hyperlink r:id="rId4" w:history="1">
        <w:r w:rsidRPr="005A702E">
          <w:rPr>
            <w:rStyle w:val="Hyperlink"/>
            <w:rFonts w:ascii="Arial" w:hAnsi="Arial"/>
            <w:color w:val="1155CC"/>
            <w:sz w:val="18"/>
            <w:szCs w:val="18"/>
          </w:rPr>
          <w:t>AL ISR 18/2024</w:t>
        </w:r>
      </w:hyperlink>
      <w:r w:rsidRPr="005A702E">
        <w:rPr>
          <w:sz w:val="18"/>
          <w:szCs w:val="18"/>
        </w:rPr>
        <w:t xml:space="preserve"> (9 October 2024). </w:t>
      </w:r>
    </w:p>
  </w:footnote>
  <w:footnote w:id="5">
    <w:p w14:paraId="2050D5D8" w14:textId="77777777" w:rsidR="00051E81" w:rsidRPr="005A702E" w:rsidRDefault="00051E81" w:rsidP="0045244F">
      <w:pPr>
        <w:spacing w:after="0" w:line="240" w:lineRule="auto"/>
        <w:ind w:left="0" w:firstLine="0"/>
        <w:jc w:val="left"/>
        <w:rPr>
          <w:rFonts w:eastAsia="Cambria"/>
          <w:sz w:val="18"/>
          <w:szCs w:val="18"/>
        </w:rPr>
      </w:pPr>
      <w:r w:rsidRPr="005A702E">
        <w:rPr>
          <w:sz w:val="18"/>
          <w:szCs w:val="18"/>
          <w:vertAlign w:val="superscript"/>
        </w:rPr>
        <w:footnoteRef/>
      </w:r>
      <w:r w:rsidRPr="005A702E">
        <w:rPr>
          <w:sz w:val="18"/>
          <w:szCs w:val="18"/>
        </w:rPr>
        <w:t xml:space="preserve"> David Gritten, </w:t>
      </w:r>
      <w:hyperlink r:id="rId5">
        <w:r w:rsidRPr="005A702E">
          <w:rPr>
            <w:i/>
            <w:iCs/>
            <w:color w:val="1155CC"/>
            <w:sz w:val="18"/>
            <w:szCs w:val="18"/>
            <w:u w:val="single"/>
          </w:rPr>
          <w:t>Gaza war: Where does Israel get its weapons?</w:t>
        </w:r>
      </w:hyperlink>
      <w:r w:rsidRPr="005A702E">
        <w:rPr>
          <w:i/>
          <w:iCs/>
          <w:sz w:val="18"/>
          <w:szCs w:val="18"/>
        </w:rPr>
        <w:t xml:space="preserve">, </w:t>
      </w:r>
      <w:r w:rsidRPr="005A702E">
        <w:rPr>
          <w:sz w:val="18"/>
          <w:szCs w:val="18"/>
        </w:rPr>
        <w:t xml:space="preserve">BBC (3 September 2024); Jillian Kestler-D’Amours, </w:t>
      </w:r>
      <w:hyperlink r:id="rId6">
        <w:r w:rsidRPr="005A702E">
          <w:rPr>
            <w:i/>
            <w:iCs/>
            <w:color w:val="1155CC"/>
            <w:sz w:val="18"/>
            <w:szCs w:val="18"/>
            <w:u w:val="single"/>
          </w:rPr>
          <w:t>How Canada’s ‘off-the-record’ arms exports end up in Israel</w:t>
        </w:r>
      </w:hyperlink>
      <w:r w:rsidRPr="005A702E">
        <w:rPr>
          <w:sz w:val="18"/>
          <w:szCs w:val="18"/>
        </w:rPr>
        <w:t>, Al-Jazeera (15 August 2024).</w:t>
      </w:r>
    </w:p>
  </w:footnote>
  <w:footnote w:id="6">
    <w:p w14:paraId="4851E68A" w14:textId="72BAD056" w:rsidR="6AFF34AF" w:rsidRPr="005A702E" w:rsidRDefault="6AFF34AF" w:rsidP="0045244F">
      <w:pPr>
        <w:pStyle w:val="FootnoteText"/>
        <w:spacing w:line="240" w:lineRule="auto"/>
        <w:ind w:left="0" w:firstLine="0"/>
        <w:jc w:val="left"/>
        <w:rPr>
          <w:rFonts w:eastAsia="Arial Nova"/>
          <w:sz w:val="18"/>
          <w:szCs w:val="18"/>
        </w:rPr>
      </w:pPr>
      <w:r w:rsidRPr="005A702E">
        <w:rPr>
          <w:rStyle w:val="FootnoteReference"/>
          <w:sz w:val="18"/>
          <w:szCs w:val="18"/>
        </w:rPr>
        <w:footnoteRef/>
      </w:r>
      <w:r w:rsidRPr="005A702E">
        <w:rPr>
          <w:sz w:val="18"/>
          <w:szCs w:val="18"/>
        </w:rPr>
        <w:t xml:space="preserve"> United Nations, Committee on the Rights of Persons with Disabilities, </w:t>
      </w:r>
      <w:hyperlink r:id="rId7">
        <w:r w:rsidRPr="005A702E">
          <w:rPr>
            <w:rStyle w:val="Hyperlink"/>
            <w:rFonts w:ascii="Arial" w:hAnsi="Arial"/>
            <w:sz w:val="18"/>
            <w:szCs w:val="18"/>
          </w:rPr>
          <w:t>Concluding observations on the combined second and third periodic reports of Canada</w:t>
        </w:r>
      </w:hyperlink>
      <w:r w:rsidRPr="005A702E">
        <w:rPr>
          <w:sz w:val="18"/>
          <w:szCs w:val="18"/>
        </w:rPr>
        <w:t xml:space="preserve"> (15 April 2025); International Human Rights Program at the University of Toronto Faculty of Law, </w:t>
      </w:r>
      <w:hyperlink r:id="rId8">
        <w:r w:rsidRPr="005A702E">
          <w:rPr>
            <w:rStyle w:val="Hyperlink"/>
            <w:rFonts w:ascii="Arial" w:hAnsi="Arial"/>
            <w:sz w:val="18"/>
            <w:szCs w:val="18"/>
          </w:rPr>
          <w:t>UN Disability Rights Committee Slams ‘Deceptive’ Canada for Continued Arms Exports to Israel</w:t>
        </w:r>
      </w:hyperlink>
      <w:r w:rsidRPr="005A702E">
        <w:rPr>
          <w:sz w:val="18"/>
          <w:szCs w:val="18"/>
        </w:rPr>
        <w:t xml:space="preserve"> (3 April 2025).</w:t>
      </w:r>
    </w:p>
  </w:footnote>
  <w:footnote w:id="7">
    <w:p w14:paraId="0D6BD897" w14:textId="3BCF5CAF" w:rsidR="6AFF34AF" w:rsidRPr="005A702E" w:rsidRDefault="6AFF34AF" w:rsidP="0045244F">
      <w:pPr>
        <w:pStyle w:val="FootnoteText"/>
        <w:spacing w:line="240" w:lineRule="auto"/>
        <w:ind w:left="-77" w:firstLine="77"/>
        <w:jc w:val="left"/>
        <w:rPr>
          <w:sz w:val="18"/>
          <w:szCs w:val="18"/>
        </w:rPr>
      </w:pPr>
      <w:r w:rsidRPr="005A702E">
        <w:rPr>
          <w:rStyle w:val="FootnoteReference"/>
          <w:sz w:val="18"/>
          <w:szCs w:val="18"/>
        </w:rPr>
        <w:footnoteRef/>
      </w:r>
      <w:r w:rsidRPr="005A702E">
        <w:rPr>
          <w:sz w:val="18"/>
          <w:szCs w:val="18"/>
        </w:rPr>
        <w:t xml:space="preserve"> Ibid.</w:t>
      </w:r>
    </w:p>
  </w:footnote>
  <w:footnote w:id="8">
    <w:p w14:paraId="6AFFFF55" w14:textId="15492093" w:rsidR="6AFF34AF" w:rsidRPr="005A702E" w:rsidRDefault="6AFF34AF" w:rsidP="0045244F">
      <w:pPr>
        <w:pStyle w:val="FootnoteText"/>
        <w:spacing w:line="240" w:lineRule="auto"/>
        <w:ind w:left="-77" w:firstLine="77"/>
        <w:jc w:val="left"/>
        <w:rPr>
          <w:sz w:val="18"/>
          <w:szCs w:val="18"/>
        </w:rPr>
      </w:pPr>
      <w:r w:rsidRPr="005A702E">
        <w:rPr>
          <w:rStyle w:val="FootnoteReference"/>
          <w:sz w:val="18"/>
          <w:szCs w:val="18"/>
        </w:rPr>
        <w:footnoteRef/>
      </w:r>
      <w:r w:rsidRPr="005A702E">
        <w:rPr>
          <w:sz w:val="18"/>
          <w:szCs w:val="18"/>
        </w:rPr>
        <w:t xml:space="preserve"> Ibid.</w:t>
      </w:r>
    </w:p>
  </w:footnote>
  <w:footnote w:id="9">
    <w:p w14:paraId="2B4793F2" w14:textId="6D874258" w:rsidR="6AFF34AF" w:rsidRPr="005A702E" w:rsidRDefault="6AFF34AF" w:rsidP="0045244F">
      <w:pPr>
        <w:pStyle w:val="FootnoteText"/>
        <w:spacing w:line="240" w:lineRule="auto"/>
        <w:ind w:left="-77" w:firstLine="77"/>
        <w:jc w:val="left"/>
        <w:rPr>
          <w:sz w:val="18"/>
          <w:szCs w:val="18"/>
        </w:rPr>
      </w:pPr>
      <w:r w:rsidRPr="005A702E">
        <w:rPr>
          <w:rStyle w:val="FootnoteReference"/>
          <w:sz w:val="18"/>
          <w:szCs w:val="18"/>
        </w:rPr>
        <w:footnoteRef/>
      </w:r>
      <w:r w:rsidRPr="005A702E">
        <w:rPr>
          <w:sz w:val="18"/>
          <w:szCs w:val="18"/>
        </w:rPr>
        <w:t xml:space="preserve"> Ibid.</w:t>
      </w:r>
    </w:p>
  </w:footnote>
  <w:footnote w:id="10">
    <w:p w14:paraId="582870FF" w14:textId="77777777" w:rsidR="00051E81" w:rsidRPr="005A702E" w:rsidRDefault="00051E81" w:rsidP="0045244F">
      <w:pPr>
        <w:pBdr>
          <w:top w:val="nil"/>
          <w:left w:val="nil"/>
          <w:bottom w:val="nil"/>
          <w:right w:val="nil"/>
          <w:between w:val="nil"/>
        </w:pBdr>
        <w:spacing w:after="0" w:line="240" w:lineRule="auto"/>
        <w:ind w:left="0" w:firstLine="0"/>
        <w:jc w:val="left"/>
        <w:rPr>
          <w:color w:val="000000"/>
          <w:sz w:val="18"/>
          <w:szCs w:val="18"/>
        </w:rPr>
      </w:pPr>
      <w:r w:rsidRPr="005A702E">
        <w:rPr>
          <w:sz w:val="18"/>
          <w:szCs w:val="18"/>
          <w:vertAlign w:val="superscript"/>
        </w:rPr>
        <w:footnoteRef/>
      </w:r>
      <w:r w:rsidRPr="005A702E">
        <w:rPr>
          <w:color w:val="000000"/>
          <w:sz w:val="18"/>
          <w:szCs w:val="18"/>
        </w:rPr>
        <w:t xml:space="preserve"> United Nations, Office of the High Commissioner for Human Rights, </w:t>
      </w:r>
      <w:hyperlink r:id="rId9">
        <w:r w:rsidRPr="005A702E">
          <w:rPr>
            <w:i/>
            <w:iCs/>
            <w:color w:val="1155CC"/>
            <w:sz w:val="18"/>
            <w:szCs w:val="18"/>
            <w:u w:val="single"/>
          </w:rPr>
          <w:t>Arms Exports to Israel Must Stop Immediately – UN Experts</w:t>
        </w:r>
      </w:hyperlink>
      <w:r w:rsidRPr="005A702E">
        <w:rPr>
          <w:color w:val="000000"/>
          <w:sz w:val="18"/>
          <w:szCs w:val="18"/>
        </w:rPr>
        <w:t xml:space="preserve"> (23 February 2024)</w:t>
      </w:r>
      <w:r w:rsidRPr="005A702E">
        <w:rPr>
          <w:sz w:val="18"/>
          <w:szCs w:val="18"/>
        </w:rPr>
        <w:t>.</w:t>
      </w:r>
    </w:p>
  </w:footnote>
  <w:footnote w:id="11">
    <w:p w14:paraId="2283C2F3" w14:textId="77777777" w:rsidR="00051E81" w:rsidRPr="005A702E" w:rsidRDefault="00051E81" w:rsidP="0045244F">
      <w:pPr>
        <w:pBdr>
          <w:top w:val="nil"/>
          <w:left w:val="nil"/>
          <w:bottom w:val="nil"/>
          <w:right w:val="nil"/>
          <w:between w:val="nil"/>
        </w:pBdr>
        <w:spacing w:after="0" w:line="240" w:lineRule="auto"/>
        <w:ind w:left="0" w:firstLine="0"/>
        <w:jc w:val="left"/>
        <w:rPr>
          <w:rFonts w:eastAsia="Cambria"/>
          <w:color w:val="000000"/>
          <w:sz w:val="18"/>
          <w:szCs w:val="18"/>
        </w:rPr>
      </w:pPr>
      <w:r w:rsidRPr="005A702E">
        <w:rPr>
          <w:sz w:val="18"/>
          <w:szCs w:val="18"/>
          <w:vertAlign w:val="superscript"/>
        </w:rPr>
        <w:footnoteRef/>
      </w:r>
      <w:r w:rsidRPr="005A702E">
        <w:rPr>
          <w:color w:val="000000"/>
          <w:sz w:val="18"/>
          <w:szCs w:val="18"/>
        </w:rPr>
        <w:t xml:space="preserve"> </w:t>
      </w:r>
      <w:r w:rsidRPr="005A702E">
        <w:rPr>
          <w:sz w:val="18"/>
          <w:szCs w:val="18"/>
        </w:rPr>
        <w:t>Ibid.</w:t>
      </w:r>
    </w:p>
  </w:footnote>
  <w:footnote w:id="12">
    <w:p w14:paraId="315D28B5" w14:textId="1BD2A835" w:rsidR="6AFF34AF" w:rsidRPr="005A702E" w:rsidRDefault="6AFF34AF" w:rsidP="0045244F">
      <w:pPr>
        <w:pStyle w:val="FootnoteText"/>
        <w:spacing w:line="240" w:lineRule="auto"/>
        <w:ind w:left="0" w:firstLine="0"/>
        <w:jc w:val="left"/>
        <w:rPr>
          <w:rFonts w:eastAsia="Arial Nova"/>
          <w:sz w:val="18"/>
          <w:szCs w:val="18"/>
        </w:rPr>
      </w:pPr>
      <w:r w:rsidRPr="005A702E">
        <w:rPr>
          <w:rStyle w:val="FootnoteReference"/>
          <w:sz w:val="18"/>
          <w:szCs w:val="18"/>
        </w:rPr>
        <w:footnoteRef/>
      </w:r>
      <w:r w:rsidRPr="005A702E">
        <w:rPr>
          <w:sz w:val="18"/>
          <w:szCs w:val="18"/>
        </w:rPr>
        <w:t xml:space="preserve"> United Nations, Committee on the Elimination of Racial Discrimination, </w:t>
      </w:r>
      <w:hyperlink r:id="rId10">
        <w:r w:rsidRPr="005A702E">
          <w:rPr>
            <w:rStyle w:val="Hyperlink"/>
            <w:rFonts w:ascii="Arial" w:hAnsi="Arial"/>
            <w:sz w:val="18"/>
            <w:szCs w:val="18"/>
          </w:rPr>
          <w:t>Letter from the Chair of the Committee on the Elimination of Racial Discrimination to the Ambassador and Permanent Representative of Canada to the United Nations</w:t>
        </w:r>
      </w:hyperlink>
      <w:r w:rsidRPr="005A702E">
        <w:rPr>
          <w:sz w:val="18"/>
          <w:szCs w:val="18"/>
        </w:rPr>
        <w:t xml:space="preserve"> (12 May 2025).</w:t>
      </w:r>
    </w:p>
  </w:footnote>
  <w:footnote w:id="13">
    <w:p w14:paraId="1CF1DB29" w14:textId="77777777" w:rsidR="005A39B6" w:rsidRPr="005A702E" w:rsidRDefault="005A39B6" w:rsidP="0045244F">
      <w:pPr>
        <w:spacing w:after="0" w:line="240" w:lineRule="auto"/>
        <w:ind w:left="-77" w:firstLine="77"/>
        <w:jc w:val="left"/>
        <w:rPr>
          <w:rFonts w:eastAsia="Cambria"/>
          <w:sz w:val="18"/>
          <w:szCs w:val="18"/>
        </w:rPr>
      </w:pPr>
      <w:r w:rsidRPr="005A702E">
        <w:rPr>
          <w:sz w:val="18"/>
          <w:szCs w:val="18"/>
          <w:vertAlign w:val="superscript"/>
        </w:rPr>
        <w:footnoteRef/>
      </w:r>
      <w:r w:rsidRPr="005A702E">
        <w:rPr>
          <w:sz w:val="18"/>
          <w:szCs w:val="18"/>
        </w:rPr>
        <w:t xml:space="preserve"> United Nations, </w:t>
      </w:r>
      <w:hyperlink r:id="rId11">
        <w:r w:rsidRPr="005A702E">
          <w:rPr>
            <w:i/>
            <w:iCs/>
            <w:color w:val="1155CC"/>
            <w:sz w:val="18"/>
            <w:szCs w:val="18"/>
            <w:u w:val="single"/>
          </w:rPr>
          <w:t>The Question of Palestine:</w:t>
        </w:r>
      </w:hyperlink>
      <w:hyperlink r:id="rId12">
        <w:r w:rsidRPr="005A702E">
          <w:rPr>
            <w:color w:val="1155CC"/>
            <w:sz w:val="18"/>
            <w:szCs w:val="18"/>
            <w:u w:val="single"/>
          </w:rPr>
          <w:t xml:space="preserve"> </w:t>
        </w:r>
      </w:hyperlink>
      <w:hyperlink r:id="rId13">
        <w:r w:rsidRPr="005A702E">
          <w:rPr>
            <w:i/>
            <w:iCs/>
            <w:color w:val="1155CC"/>
            <w:sz w:val="18"/>
            <w:szCs w:val="18"/>
            <w:u w:val="single"/>
          </w:rPr>
          <w:t>About the Nakba</w:t>
        </w:r>
      </w:hyperlink>
      <w:r w:rsidRPr="005A702E">
        <w:rPr>
          <w:i/>
          <w:iCs/>
          <w:sz w:val="18"/>
          <w:szCs w:val="18"/>
        </w:rPr>
        <w:t>.</w:t>
      </w:r>
    </w:p>
  </w:footnote>
  <w:footnote w:id="14">
    <w:p w14:paraId="05716DE5" w14:textId="77777777" w:rsidR="005A39B6" w:rsidRPr="005A702E" w:rsidRDefault="005A39B6" w:rsidP="0045244F">
      <w:pPr>
        <w:spacing w:after="0" w:line="240" w:lineRule="auto"/>
        <w:ind w:left="0" w:firstLine="0"/>
        <w:jc w:val="left"/>
        <w:rPr>
          <w:rFonts w:eastAsia="Cambria"/>
          <w:color w:val="0000FF"/>
          <w:sz w:val="18"/>
          <w:szCs w:val="18"/>
          <w:u w:val="single"/>
        </w:rPr>
      </w:pPr>
      <w:r w:rsidRPr="005A702E">
        <w:rPr>
          <w:sz w:val="18"/>
          <w:szCs w:val="18"/>
          <w:vertAlign w:val="superscript"/>
        </w:rPr>
        <w:footnoteRef/>
      </w:r>
      <w:r w:rsidRPr="005A702E">
        <w:rPr>
          <w:sz w:val="18"/>
          <w:szCs w:val="18"/>
        </w:rPr>
        <w:t xml:space="preserve"> </w:t>
      </w:r>
      <w:r w:rsidRPr="005A702E">
        <w:rPr>
          <w:color w:val="000000"/>
          <w:sz w:val="18"/>
          <w:szCs w:val="18"/>
        </w:rPr>
        <w:t>I</w:t>
      </w:r>
      <w:r w:rsidRPr="005A702E">
        <w:rPr>
          <w:sz w:val="18"/>
          <w:szCs w:val="18"/>
        </w:rPr>
        <w:t>nternational Court of Justice</w:t>
      </w:r>
      <w:r w:rsidRPr="005A702E">
        <w:rPr>
          <w:color w:val="000000"/>
          <w:sz w:val="18"/>
          <w:szCs w:val="18"/>
        </w:rPr>
        <w:t xml:space="preserve">, </w:t>
      </w:r>
      <w:hyperlink r:id="rId14">
        <w:r w:rsidRPr="005A702E">
          <w:rPr>
            <w:i/>
            <w:iCs/>
            <w:color w:val="1155CC"/>
            <w:sz w:val="18"/>
            <w:szCs w:val="18"/>
            <w:u w:val="single"/>
          </w:rPr>
          <w:t>Advisory Opinion: Legal Consequences arising from the Policies and Practices of Israel in the Occupied Palestinian Territory, including East Jerusalem</w:t>
        </w:r>
      </w:hyperlink>
      <w:r w:rsidRPr="005A702E">
        <w:rPr>
          <w:sz w:val="18"/>
          <w:szCs w:val="18"/>
        </w:rPr>
        <w:t xml:space="preserve"> (</w:t>
      </w:r>
      <w:r w:rsidRPr="005A702E">
        <w:rPr>
          <w:color w:val="000000"/>
          <w:sz w:val="18"/>
          <w:szCs w:val="18"/>
        </w:rPr>
        <w:t>19 July 2024</w:t>
      </w:r>
      <w:r w:rsidRPr="005A702E">
        <w:rPr>
          <w:sz w:val="18"/>
          <w:szCs w:val="18"/>
        </w:rPr>
        <w:t>).</w:t>
      </w:r>
    </w:p>
  </w:footnote>
  <w:footnote w:id="15">
    <w:p w14:paraId="6B918DEE" w14:textId="77777777" w:rsidR="005A39B6" w:rsidRPr="005A702E" w:rsidRDefault="005A39B6" w:rsidP="0045244F">
      <w:pPr>
        <w:spacing w:after="0" w:line="240" w:lineRule="auto"/>
        <w:ind w:left="-77" w:firstLine="77"/>
        <w:jc w:val="left"/>
        <w:rPr>
          <w:rFonts w:eastAsia="Cambria"/>
          <w:color w:val="000000"/>
          <w:sz w:val="18"/>
          <w:szCs w:val="18"/>
        </w:rPr>
      </w:pPr>
      <w:r w:rsidRPr="005A702E">
        <w:rPr>
          <w:sz w:val="18"/>
          <w:szCs w:val="18"/>
          <w:vertAlign w:val="superscript"/>
        </w:rPr>
        <w:footnoteRef/>
      </w:r>
      <w:r w:rsidRPr="005A702E">
        <w:rPr>
          <w:sz w:val="18"/>
          <w:szCs w:val="18"/>
        </w:rPr>
        <w:t xml:space="preserve"> </w:t>
      </w:r>
      <w:r w:rsidRPr="005A702E">
        <w:rPr>
          <w:color w:val="000000"/>
          <w:sz w:val="18"/>
          <w:szCs w:val="18"/>
        </w:rPr>
        <w:t>Specifically, the ICCPR , ICESCR, and CERD.</w:t>
      </w:r>
    </w:p>
  </w:footnote>
  <w:footnote w:id="16">
    <w:p w14:paraId="49FED5F3" w14:textId="77777777" w:rsidR="005A39B6" w:rsidRPr="005A702E" w:rsidRDefault="005A39B6" w:rsidP="0045244F">
      <w:pPr>
        <w:spacing w:after="0" w:line="240" w:lineRule="auto"/>
        <w:ind w:left="0" w:firstLine="0"/>
        <w:jc w:val="left"/>
        <w:rPr>
          <w:rFonts w:eastAsia="Cambria"/>
          <w:color w:val="000000"/>
          <w:sz w:val="18"/>
          <w:szCs w:val="18"/>
        </w:rPr>
      </w:pPr>
      <w:r w:rsidRPr="005A702E">
        <w:rPr>
          <w:sz w:val="18"/>
          <w:szCs w:val="18"/>
          <w:vertAlign w:val="superscript"/>
        </w:rPr>
        <w:footnoteRef/>
      </w:r>
      <w:r w:rsidRPr="005A702E">
        <w:rPr>
          <w:sz w:val="18"/>
          <w:szCs w:val="18"/>
        </w:rPr>
        <w:t xml:space="preserve"> International Court of Justice, </w:t>
      </w:r>
      <w:hyperlink r:id="rId15">
        <w:r w:rsidRPr="005A702E">
          <w:rPr>
            <w:i/>
            <w:iCs/>
            <w:color w:val="1155CC"/>
            <w:sz w:val="18"/>
            <w:szCs w:val="18"/>
            <w:u w:val="single"/>
          </w:rPr>
          <w:t>Advisory Opinion: Legal Consequences arising from the Policies and Practices of Israel in the Occupied Palestinian Territory, including East Jerusalem</w:t>
        </w:r>
      </w:hyperlink>
      <w:r w:rsidRPr="005A702E">
        <w:rPr>
          <w:sz w:val="18"/>
          <w:szCs w:val="18"/>
        </w:rPr>
        <w:t xml:space="preserve"> (19 July 2024) </w:t>
      </w:r>
      <w:r w:rsidRPr="005A702E">
        <w:rPr>
          <w:color w:val="000000"/>
          <w:sz w:val="18"/>
          <w:szCs w:val="18"/>
        </w:rPr>
        <w:t>at paras 116-117.</w:t>
      </w:r>
    </w:p>
  </w:footnote>
  <w:footnote w:id="17">
    <w:p w14:paraId="5062BA18" w14:textId="77777777" w:rsidR="005A39B6" w:rsidRPr="005A702E" w:rsidRDefault="005A39B6" w:rsidP="0045244F">
      <w:pPr>
        <w:spacing w:after="0" w:line="240" w:lineRule="auto"/>
        <w:ind w:left="-77" w:firstLine="77"/>
        <w:jc w:val="left"/>
        <w:rPr>
          <w:rFonts w:eastAsia="Cambria"/>
          <w:color w:val="000000"/>
          <w:sz w:val="18"/>
          <w:szCs w:val="18"/>
        </w:rPr>
      </w:pPr>
      <w:r w:rsidRPr="005A702E">
        <w:rPr>
          <w:sz w:val="18"/>
          <w:szCs w:val="18"/>
          <w:vertAlign w:val="superscript"/>
        </w:rPr>
        <w:footnoteRef/>
      </w:r>
      <w:r w:rsidRPr="005A702E">
        <w:rPr>
          <w:sz w:val="18"/>
          <w:szCs w:val="18"/>
        </w:rPr>
        <w:t xml:space="preserve"> Ibid </w:t>
      </w:r>
      <w:r w:rsidRPr="005A702E">
        <w:rPr>
          <w:color w:val="000000"/>
          <w:sz w:val="18"/>
          <w:szCs w:val="18"/>
        </w:rPr>
        <w:t>at paras 120, 122.</w:t>
      </w:r>
    </w:p>
  </w:footnote>
  <w:footnote w:id="18">
    <w:p w14:paraId="768A1D5B" w14:textId="77777777" w:rsidR="005A39B6" w:rsidRPr="005A702E" w:rsidRDefault="005A39B6" w:rsidP="0045244F">
      <w:pPr>
        <w:spacing w:after="0" w:line="240" w:lineRule="auto"/>
        <w:ind w:left="-77" w:firstLine="77"/>
        <w:jc w:val="left"/>
        <w:rPr>
          <w:rFonts w:eastAsia="Cambria"/>
          <w:color w:val="000000"/>
          <w:sz w:val="18"/>
          <w:szCs w:val="18"/>
        </w:rPr>
      </w:pPr>
      <w:r w:rsidRPr="005A702E">
        <w:rPr>
          <w:sz w:val="18"/>
          <w:szCs w:val="18"/>
          <w:vertAlign w:val="superscript"/>
        </w:rPr>
        <w:footnoteRef/>
      </w:r>
      <w:r w:rsidRPr="005A702E">
        <w:rPr>
          <w:sz w:val="18"/>
          <w:szCs w:val="18"/>
        </w:rPr>
        <w:t xml:space="preserve"> Ibid </w:t>
      </w:r>
      <w:r w:rsidRPr="005A702E">
        <w:rPr>
          <w:color w:val="000000"/>
          <w:sz w:val="18"/>
          <w:szCs w:val="18"/>
        </w:rPr>
        <w:t>at paras 126-128.</w:t>
      </w:r>
    </w:p>
  </w:footnote>
  <w:footnote w:id="19">
    <w:p w14:paraId="2B9528D1" w14:textId="77777777" w:rsidR="005A39B6" w:rsidRPr="005A702E" w:rsidRDefault="005A39B6" w:rsidP="0045244F">
      <w:pPr>
        <w:spacing w:after="0" w:line="240" w:lineRule="auto"/>
        <w:ind w:left="-77" w:firstLine="77"/>
        <w:jc w:val="left"/>
        <w:rPr>
          <w:rFonts w:eastAsia="Cambria"/>
          <w:color w:val="000000"/>
          <w:sz w:val="18"/>
          <w:szCs w:val="18"/>
        </w:rPr>
      </w:pPr>
      <w:r w:rsidRPr="005A702E">
        <w:rPr>
          <w:sz w:val="18"/>
          <w:szCs w:val="18"/>
          <w:vertAlign w:val="superscript"/>
        </w:rPr>
        <w:footnoteRef/>
      </w:r>
      <w:r w:rsidRPr="005A702E">
        <w:rPr>
          <w:sz w:val="18"/>
          <w:szCs w:val="18"/>
        </w:rPr>
        <w:t xml:space="preserve"> Ibid </w:t>
      </w:r>
      <w:r w:rsidRPr="005A702E">
        <w:rPr>
          <w:color w:val="000000"/>
          <w:sz w:val="18"/>
          <w:szCs w:val="18"/>
        </w:rPr>
        <w:t>at para 136.</w:t>
      </w:r>
    </w:p>
  </w:footnote>
  <w:footnote w:id="20">
    <w:p w14:paraId="144B9E0A" w14:textId="77777777" w:rsidR="005A39B6" w:rsidRPr="005A702E" w:rsidRDefault="005A39B6" w:rsidP="0045244F">
      <w:pPr>
        <w:spacing w:after="0" w:line="240" w:lineRule="auto"/>
        <w:ind w:left="-77" w:firstLine="77"/>
        <w:jc w:val="left"/>
        <w:rPr>
          <w:rFonts w:eastAsia="Cambria"/>
          <w:color w:val="000000"/>
          <w:sz w:val="18"/>
          <w:szCs w:val="18"/>
        </w:rPr>
      </w:pPr>
      <w:r w:rsidRPr="005A702E">
        <w:rPr>
          <w:sz w:val="18"/>
          <w:szCs w:val="18"/>
          <w:vertAlign w:val="superscript"/>
        </w:rPr>
        <w:footnoteRef/>
      </w:r>
      <w:r w:rsidRPr="005A702E">
        <w:rPr>
          <w:sz w:val="18"/>
          <w:szCs w:val="18"/>
        </w:rPr>
        <w:t xml:space="preserve"> Ibid </w:t>
      </w:r>
      <w:r w:rsidRPr="005A702E">
        <w:rPr>
          <w:color w:val="000000"/>
          <w:sz w:val="18"/>
          <w:szCs w:val="18"/>
        </w:rPr>
        <w:t>at paras 143, 147.</w:t>
      </w:r>
    </w:p>
  </w:footnote>
  <w:footnote w:id="21">
    <w:p w14:paraId="33FA9D61" w14:textId="77777777" w:rsidR="005A39B6" w:rsidRPr="005A702E" w:rsidRDefault="005A39B6" w:rsidP="0045244F">
      <w:pPr>
        <w:spacing w:after="0" w:line="240" w:lineRule="auto"/>
        <w:ind w:left="-77" w:firstLine="77"/>
        <w:jc w:val="left"/>
        <w:rPr>
          <w:rFonts w:eastAsia="Cambria"/>
          <w:color w:val="000000"/>
          <w:sz w:val="18"/>
          <w:szCs w:val="18"/>
        </w:rPr>
      </w:pPr>
      <w:r w:rsidRPr="005A702E">
        <w:rPr>
          <w:sz w:val="18"/>
          <w:szCs w:val="18"/>
          <w:vertAlign w:val="superscript"/>
        </w:rPr>
        <w:footnoteRef/>
      </w:r>
      <w:r w:rsidRPr="005A702E">
        <w:rPr>
          <w:sz w:val="18"/>
          <w:szCs w:val="18"/>
        </w:rPr>
        <w:t xml:space="preserve"> Ibid </w:t>
      </w:r>
      <w:r w:rsidRPr="005A702E">
        <w:rPr>
          <w:color w:val="000000"/>
          <w:sz w:val="18"/>
          <w:szCs w:val="18"/>
        </w:rPr>
        <w:t>at para 154.</w:t>
      </w:r>
    </w:p>
  </w:footnote>
  <w:footnote w:id="22">
    <w:p w14:paraId="30747179" w14:textId="77777777" w:rsidR="005A39B6" w:rsidRPr="005A702E" w:rsidRDefault="005A39B6" w:rsidP="0045244F">
      <w:pPr>
        <w:spacing w:after="0" w:line="240" w:lineRule="auto"/>
        <w:ind w:left="-77" w:firstLine="77"/>
        <w:jc w:val="left"/>
        <w:rPr>
          <w:rFonts w:eastAsia="Cambria"/>
          <w:color w:val="000000"/>
          <w:sz w:val="18"/>
          <w:szCs w:val="18"/>
        </w:rPr>
      </w:pPr>
      <w:r w:rsidRPr="005A702E">
        <w:rPr>
          <w:sz w:val="18"/>
          <w:szCs w:val="18"/>
          <w:vertAlign w:val="superscript"/>
        </w:rPr>
        <w:footnoteRef/>
      </w:r>
      <w:r w:rsidRPr="005A702E">
        <w:rPr>
          <w:sz w:val="18"/>
          <w:szCs w:val="18"/>
        </w:rPr>
        <w:t xml:space="preserve"> Ibid </w:t>
      </w:r>
      <w:r w:rsidRPr="005A702E">
        <w:rPr>
          <w:color w:val="000000"/>
          <w:sz w:val="18"/>
          <w:szCs w:val="18"/>
        </w:rPr>
        <w:t>at para 223.</w:t>
      </w:r>
    </w:p>
  </w:footnote>
  <w:footnote w:id="23">
    <w:p w14:paraId="7E32039F" w14:textId="77777777" w:rsidR="005A39B6" w:rsidRPr="005A702E" w:rsidRDefault="005A39B6" w:rsidP="0045244F">
      <w:pPr>
        <w:spacing w:after="0" w:line="240" w:lineRule="auto"/>
        <w:ind w:left="-77" w:firstLine="77"/>
        <w:jc w:val="left"/>
        <w:rPr>
          <w:rFonts w:eastAsia="Cambria"/>
          <w:color w:val="000000"/>
          <w:sz w:val="18"/>
          <w:szCs w:val="18"/>
        </w:rPr>
      </w:pPr>
      <w:r w:rsidRPr="005A702E">
        <w:rPr>
          <w:sz w:val="18"/>
          <w:szCs w:val="18"/>
          <w:vertAlign w:val="superscript"/>
        </w:rPr>
        <w:footnoteRef/>
      </w:r>
      <w:r w:rsidRPr="005A702E">
        <w:rPr>
          <w:sz w:val="18"/>
          <w:szCs w:val="18"/>
        </w:rPr>
        <w:t xml:space="preserve"> Ibid </w:t>
      </w:r>
      <w:r w:rsidRPr="005A702E">
        <w:rPr>
          <w:color w:val="000000"/>
          <w:sz w:val="18"/>
          <w:szCs w:val="18"/>
        </w:rPr>
        <w:t>at para 268-289.</w:t>
      </w:r>
    </w:p>
  </w:footnote>
  <w:footnote w:id="24">
    <w:p w14:paraId="5FC1F4B4" w14:textId="77777777" w:rsidR="005A39B6" w:rsidRPr="005A702E" w:rsidRDefault="005A39B6" w:rsidP="0045244F">
      <w:pPr>
        <w:pBdr>
          <w:top w:val="nil"/>
          <w:left w:val="nil"/>
          <w:bottom w:val="nil"/>
          <w:right w:val="nil"/>
          <w:between w:val="nil"/>
        </w:pBdr>
        <w:spacing w:after="0" w:line="240" w:lineRule="auto"/>
        <w:ind w:left="0" w:firstLine="0"/>
        <w:jc w:val="left"/>
        <w:rPr>
          <w:rFonts w:eastAsia="Cambria"/>
          <w:color w:val="000000"/>
          <w:sz w:val="18"/>
          <w:szCs w:val="18"/>
        </w:rPr>
      </w:pPr>
      <w:r w:rsidRPr="005A702E">
        <w:rPr>
          <w:sz w:val="18"/>
          <w:szCs w:val="18"/>
          <w:vertAlign w:val="superscript"/>
        </w:rPr>
        <w:footnoteRef/>
      </w:r>
      <w:r w:rsidRPr="005A702E">
        <w:rPr>
          <w:color w:val="000000"/>
          <w:sz w:val="18"/>
          <w:szCs w:val="18"/>
        </w:rPr>
        <w:t xml:space="preserve"> </w:t>
      </w:r>
      <w:r w:rsidRPr="005A702E">
        <w:rPr>
          <w:sz w:val="18"/>
          <w:szCs w:val="18"/>
        </w:rPr>
        <w:t xml:space="preserve">Ibid </w:t>
      </w:r>
      <w:r w:rsidRPr="005A702E">
        <w:rPr>
          <w:color w:val="000000"/>
          <w:sz w:val="18"/>
          <w:szCs w:val="18"/>
        </w:rPr>
        <w:t>at para 287-289.</w:t>
      </w:r>
    </w:p>
  </w:footnote>
  <w:footnote w:id="25">
    <w:p w14:paraId="2ED586AB" w14:textId="77777777" w:rsidR="005A39B6" w:rsidRPr="005A702E" w:rsidRDefault="005A39B6" w:rsidP="0045244F">
      <w:pPr>
        <w:spacing w:after="0" w:line="240" w:lineRule="auto"/>
        <w:ind w:left="0" w:firstLine="0"/>
        <w:jc w:val="left"/>
        <w:rPr>
          <w:rFonts w:eastAsia="Cambria"/>
          <w:color w:val="0000FF"/>
          <w:sz w:val="18"/>
          <w:szCs w:val="18"/>
          <w:u w:val="single"/>
        </w:rPr>
      </w:pPr>
      <w:r w:rsidRPr="005A702E">
        <w:rPr>
          <w:sz w:val="18"/>
          <w:szCs w:val="18"/>
          <w:vertAlign w:val="superscript"/>
        </w:rPr>
        <w:footnoteRef/>
      </w:r>
      <w:r w:rsidRPr="005A702E">
        <w:rPr>
          <w:sz w:val="18"/>
          <w:szCs w:val="18"/>
        </w:rPr>
        <w:t xml:space="preserve"> </w:t>
      </w:r>
      <w:r w:rsidRPr="005A702E">
        <w:rPr>
          <w:color w:val="000000"/>
          <w:sz w:val="18"/>
          <w:szCs w:val="18"/>
        </w:rPr>
        <w:t xml:space="preserve">Human Rights Watch, </w:t>
      </w:r>
      <w:hyperlink r:id="rId16">
        <w:r w:rsidRPr="005A702E">
          <w:rPr>
            <w:i/>
            <w:iCs/>
            <w:color w:val="1155CC"/>
            <w:sz w:val="18"/>
            <w:szCs w:val="18"/>
            <w:u w:val="single"/>
          </w:rPr>
          <w:t>Gaza: Israel’s ‘Open-Air Prison’ at 15: Israel, Egypt Movement Restrictions Wreak Havoc on Palestinian Lives</w:t>
        </w:r>
      </w:hyperlink>
      <w:r w:rsidRPr="005A702E">
        <w:rPr>
          <w:sz w:val="18"/>
          <w:szCs w:val="18"/>
        </w:rPr>
        <w:t xml:space="preserve"> (14 </w:t>
      </w:r>
      <w:r w:rsidRPr="005A702E">
        <w:rPr>
          <w:color w:val="000000"/>
          <w:sz w:val="18"/>
          <w:szCs w:val="18"/>
        </w:rPr>
        <w:t>June 2022</w:t>
      </w:r>
      <w:r w:rsidRPr="005A702E">
        <w:rPr>
          <w:sz w:val="18"/>
          <w:szCs w:val="18"/>
        </w:rPr>
        <w:t>).</w:t>
      </w:r>
    </w:p>
  </w:footnote>
  <w:footnote w:id="26">
    <w:p w14:paraId="509C0977" w14:textId="77777777" w:rsidR="005A39B6" w:rsidRPr="005A702E" w:rsidRDefault="005A39B6" w:rsidP="0045244F">
      <w:pPr>
        <w:pBdr>
          <w:top w:val="nil"/>
          <w:left w:val="nil"/>
          <w:bottom w:val="nil"/>
          <w:right w:val="nil"/>
          <w:between w:val="nil"/>
        </w:pBdr>
        <w:spacing w:after="0" w:line="240" w:lineRule="auto"/>
        <w:ind w:left="0" w:firstLine="0"/>
        <w:jc w:val="left"/>
        <w:rPr>
          <w:rFonts w:eastAsia="Cambria"/>
          <w:color w:val="000000"/>
          <w:sz w:val="18"/>
          <w:szCs w:val="18"/>
        </w:rPr>
      </w:pPr>
      <w:r w:rsidRPr="005A702E">
        <w:rPr>
          <w:sz w:val="18"/>
          <w:szCs w:val="18"/>
          <w:vertAlign w:val="superscript"/>
        </w:rPr>
        <w:footnoteRef/>
      </w:r>
      <w:r w:rsidRPr="005A702E">
        <w:rPr>
          <w:color w:val="000000"/>
          <w:sz w:val="18"/>
          <w:szCs w:val="18"/>
        </w:rPr>
        <w:t xml:space="preserve"> </w:t>
      </w:r>
      <w:r w:rsidRPr="005A702E">
        <w:rPr>
          <w:sz w:val="18"/>
          <w:szCs w:val="18"/>
        </w:rPr>
        <w:t>Ibid.</w:t>
      </w:r>
    </w:p>
  </w:footnote>
  <w:footnote w:id="27">
    <w:p w14:paraId="0D23EEAE" w14:textId="77777777" w:rsidR="005A39B6" w:rsidRPr="005A702E" w:rsidRDefault="005A39B6" w:rsidP="0045244F">
      <w:pPr>
        <w:spacing w:after="0" w:line="240" w:lineRule="auto"/>
        <w:ind w:left="-77" w:firstLine="77"/>
        <w:jc w:val="left"/>
        <w:rPr>
          <w:rFonts w:eastAsia="Cambria"/>
          <w:i/>
          <w:iCs/>
          <w:sz w:val="18"/>
          <w:szCs w:val="18"/>
        </w:rPr>
      </w:pPr>
      <w:r w:rsidRPr="005A702E">
        <w:rPr>
          <w:sz w:val="18"/>
          <w:szCs w:val="18"/>
          <w:vertAlign w:val="superscript"/>
        </w:rPr>
        <w:footnoteRef/>
      </w:r>
      <w:r w:rsidRPr="005A702E">
        <w:rPr>
          <w:sz w:val="18"/>
          <w:szCs w:val="18"/>
        </w:rPr>
        <w:t xml:space="preserve"> Al Jazeera, </w:t>
      </w:r>
      <w:hyperlink r:id="rId17">
        <w:r w:rsidRPr="005A702E">
          <w:rPr>
            <w:i/>
            <w:iCs/>
            <w:color w:val="1155CC"/>
            <w:sz w:val="18"/>
            <w:szCs w:val="18"/>
            <w:u w:val="single"/>
          </w:rPr>
          <w:t>Timeline: Israel’s attacks on Gaza since 2005</w:t>
        </w:r>
      </w:hyperlink>
      <w:r w:rsidRPr="005A702E">
        <w:rPr>
          <w:i/>
          <w:iCs/>
          <w:sz w:val="18"/>
          <w:szCs w:val="18"/>
        </w:rPr>
        <w:t xml:space="preserve"> </w:t>
      </w:r>
      <w:r w:rsidRPr="005A702E">
        <w:rPr>
          <w:sz w:val="18"/>
          <w:szCs w:val="18"/>
        </w:rPr>
        <w:t xml:space="preserve">(7 August 2022). </w:t>
      </w:r>
    </w:p>
  </w:footnote>
  <w:footnote w:id="28">
    <w:p w14:paraId="36883186" w14:textId="603B0CFC" w:rsidR="005A39B6" w:rsidRPr="005A702E" w:rsidRDefault="005A39B6" w:rsidP="0045244F">
      <w:pPr>
        <w:spacing w:after="0" w:line="240" w:lineRule="auto"/>
        <w:ind w:left="0" w:firstLine="0"/>
        <w:jc w:val="left"/>
        <w:rPr>
          <w:rFonts w:eastAsia="Cambria"/>
          <w:sz w:val="18"/>
          <w:szCs w:val="18"/>
        </w:rPr>
      </w:pPr>
      <w:r w:rsidRPr="005A702E">
        <w:rPr>
          <w:sz w:val="18"/>
          <w:szCs w:val="18"/>
          <w:vertAlign w:val="superscript"/>
        </w:rPr>
        <w:footnoteRef/>
      </w:r>
      <w:r w:rsidRPr="005A702E">
        <w:rPr>
          <w:sz w:val="18"/>
          <w:szCs w:val="18"/>
        </w:rPr>
        <w:t xml:space="preserve"> Human Rights Watch, </w:t>
      </w:r>
      <w:r w:rsidRPr="005A702E">
        <w:rPr>
          <w:i/>
          <w:iCs/>
          <w:color w:val="1155CC"/>
          <w:sz w:val="18"/>
          <w:szCs w:val="18"/>
          <w:u w:val="single"/>
        </w:rPr>
        <w:t>A Threshold Crossed: Israeli Authorities and the Crimes of Apartheid and Persecution</w:t>
      </w:r>
      <w:r w:rsidRPr="000E2606">
        <w:rPr>
          <w:i/>
          <w:iCs/>
          <w:color w:val="1155CC"/>
          <w:sz w:val="18"/>
          <w:szCs w:val="18"/>
        </w:rPr>
        <w:t xml:space="preserve"> </w:t>
      </w:r>
      <w:r w:rsidRPr="005A702E">
        <w:rPr>
          <w:sz w:val="18"/>
          <w:szCs w:val="18"/>
        </w:rPr>
        <w:t>(27 April 2021); Amnesty International,</w:t>
      </w:r>
      <w:hyperlink r:id="rId18">
        <w:r w:rsidRPr="005A702E">
          <w:rPr>
            <w:color w:val="1155CC"/>
            <w:sz w:val="18"/>
            <w:szCs w:val="18"/>
            <w:u w:val="single"/>
          </w:rPr>
          <w:t xml:space="preserve"> </w:t>
        </w:r>
        <w:r w:rsidRPr="005A702E">
          <w:rPr>
            <w:i/>
            <w:iCs/>
            <w:color w:val="1155CC"/>
            <w:sz w:val="18"/>
            <w:szCs w:val="18"/>
            <w:u w:val="single"/>
          </w:rPr>
          <w:t>Israel’s apartheid against Palestinians: Cruel system of domination and crime against humanity</w:t>
        </w:r>
      </w:hyperlink>
      <w:r w:rsidRPr="005A702E">
        <w:rPr>
          <w:sz w:val="18"/>
          <w:szCs w:val="18"/>
        </w:rPr>
        <w:t xml:space="preserve"> (1 February 2022); B’Tselem, </w:t>
      </w:r>
      <w:hyperlink r:id="rId19">
        <w:r w:rsidRPr="005A702E">
          <w:rPr>
            <w:i/>
            <w:iCs/>
            <w:color w:val="1155CC"/>
            <w:sz w:val="18"/>
            <w:szCs w:val="18"/>
            <w:u w:val="single"/>
          </w:rPr>
          <w:t>A regime of Jewish supremacy from the Jordan River to the Mediterranean Sea: This is apartheid</w:t>
        </w:r>
      </w:hyperlink>
      <w:r w:rsidRPr="005A702E">
        <w:rPr>
          <w:color w:val="1E1E1E"/>
          <w:sz w:val="18"/>
          <w:szCs w:val="18"/>
        </w:rPr>
        <w:t xml:space="preserve"> </w:t>
      </w:r>
      <w:r w:rsidRPr="005A702E">
        <w:rPr>
          <w:sz w:val="18"/>
          <w:szCs w:val="18"/>
        </w:rPr>
        <w:t xml:space="preserve">(12 January 2021); Yesh Din, </w:t>
      </w:r>
      <w:hyperlink r:id="rId20">
        <w:r w:rsidRPr="005A702E">
          <w:rPr>
            <w:i/>
            <w:iCs/>
            <w:color w:val="1155CC"/>
            <w:sz w:val="18"/>
            <w:szCs w:val="18"/>
            <w:u w:val="single"/>
          </w:rPr>
          <w:t>The Occupation of the West Bank and the Crime of Apartheid: Legal Opinion</w:t>
        </w:r>
      </w:hyperlink>
      <w:r w:rsidRPr="005A702E">
        <w:rPr>
          <w:color w:val="343434"/>
          <w:sz w:val="18"/>
          <w:szCs w:val="18"/>
        </w:rPr>
        <w:t xml:space="preserve"> </w:t>
      </w:r>
      <w:r w:rsidRPr="005A702E">
        <w:rPr>
          <w:sz w:val="18"/>
          <w:szCs w:val="18"/>
        </w:rPr>
        <w:t>(7 September 2020).</w:t>
      </w:r>
    </w:p>
  </w:footnote>
  <w:footnote w:id="29">
    <w:p w14:paraId="2FC972F7" w14:textId="77777777" w:rsidR="008A75CF" w:rsidRPr="005A702E" w:rsidRDefault="008A75CF" w:rsidP="0045244F">
      <w:pPr>
        <w:pBdr>
          <w:top w:val="nil"/>
          <w:left w:val="nil"/>
          <w:bottom w:val="nil"/>
          <w:right w:val="nil"/>
          <w:between w:val="nil"/>
        </w:pBdr>
        <w:spacing w:after="0" w:line="240" w:lineRule="auto"/>
        <w:ind w:left="0" w:firstLine="0"/>
        <w:jc w:val="left"/>
        <w:rPr>
          <w:rFonts w:eastAsia="Cambria"/>
          <w:color w:val="000000"/>
          <w:sz w:val="18"/>
          <w:szCs w:val="18"/>
        </w:rPr>
      </w:pPr>
      <w:r w:rsidRPr="005A702E">
        <w:rPr>
          <w:sz w:val="18"/>
          <w:szCs w:val="18"/>
          <w:vertAlign w:val="superscript"/>
        </w:rPr>
        <w:footnoteRef/>
      </w:r>
      <w:r w:rsidRPr="005A702E">
        <w:rPr>
          <w:color w:val="000000"/>
          <w:sz w:val="18"/>
          <w:szCs w:val="18"/>
        </w:rPr>
        <w:t xml:space="preserve"> </w:t>
      </w:r>
      <w:hyperlink r:id="rId21">
        <w:r w:rsidRPr="005A702E">
          <w:rPr>
            <w:i/>
            <w:iCs/>
            <w:color w:val="1155CC"/>
            <w:sz w:val="18"/>
            <w:szCs w:val="18"/>
            <w:u w:val="single"/>
          </w:rPr>
          <w:t>Expropriation Act</w:t>
        </w:r>
      </w:hyperlink>
      <w:r w:rsidRPr="005A702E">
        <w:rPr>
          <w:color w:val="000000"/>
          <w:sz w:val="18"/>
          <w:szCs w:val="18"/>
        </w:rPr>
        <w:t>, RSC 1985, c E-19</w:t>
      </w:r>
      <w:r w:rsidRPr="005A702E">
        <w:rPr>
          <w:sz w:val="18"/>
          <w:szCs w:val="18"/>
        </w:rPr>
        <w:t>.</w:t>
      </w:r>
    </w:p>
  </w:footnote>
  <w:footnote w:id="30">
    <w:p w14:paraId="5E4C34B0" w14:textId="0E35E3DD" w:rsidR="008A75CF" w:rsidRPr="005A702E" w:rsidRDefault="008A75CF" w:rsidP="0045244F">
      <w:pPr>
        <w:pBdr>
          <w:top w:val="nil"/>
          <w:left w:val="nil"/>
          <w:bottom w:val="nil"/>
          <w:right w:val="nil"/>
          <w:between w:val="nil"/>
        </w:pBdr>
        <w:spacing w:after="0" w:line="240" w:lineRule="auto"/>
        <w:ind w:left="0" w:firstLine="0"/>
        <w:jc w:val="left"/>
        <w:rPr>
          <w:rFonts w:eastAsia="Cambria"/>
          <w:color w:val="000000"/>
          <w:sz w:val="18"/>
          <w:szCs w:val="18"/>
        </w:rPr>
      </w:pPr>
      <w:r w:rsidRPr="005A702E">
        <w:rPr>
          <w:sz w:val="18"/>
          <w:szCs w:val="18"/>
          <w:vertAlign w:val="superscript"/>
        </w:rPr>
        <w:footnoteRef/>
      </w:r>
      <w:r w:rsidRPr="005A702E">
        <w:rPr>
          <w:color w:val="000000"/>
          <w:sz w:val="18"/>
          <w:szCs w:val="18"/>
        </w:rPr>
        <w:t xml:space="preserve"> Alex Cosh, </w:t>
      </w:r>
      <w:hyperlink r:id="rId22">
        <w:r w:rsidR="000E2606" w:rsidRPr="000E2606">
          <w:rPr>
            <w:i/>
            <w:iCs/>
            <w:color w:val="1155CC"/>
            <w:sz w:val="18"/>
            <w:szCs w:val="18"/>
            <w:u w:val="single"/>
          </w:rPr>
          <w:t>Trudeau Government Authorized $28.5 Million of New Military Exports to Israel Since October</w:t>
        </w:r>
      </w:hyperlink>
      <w:r w:rsidR="000E2606">
        <w:rPr>
          <w:color w:val="000000"/>
          <w:sz w:val="18"/>
          <w:szCs w:val="18"/>
        </w:rPr>
        <w:t xml:space="preserve">, </w:t>
      </w:r>
      <w:r w:rsidRPr="000E2606">
        <w:rPr>
          <w:color w:val="000000"/>
          <w:sz w:val="18"/>
          <w:szCs w:val="18"/>
        </w:rPr>
        <w:t>The Maple</w:t>
      </w:r>
      <w:r w:rsidRPr="005A702E">
        <w:rPr>
          <w:color w:val="000000"/>
          <w:sz w:val="18"/>
          <w:szCs w:val="18"/>
        </w:rPr>
        <w:t xml:space="preserve"> (10 February 2024)</w:t>
      </w:r>
      <w:r w:rsidRPr="005A702E">
        <w:rPr>
          <w:sz w:val="18"/>
          <w:szCs w:val="18"/>
        </w:rPr>
        <w:t>.</w:t>
      </w:r>
    </w:p>
  </w:footnote>
  <w:footnote w:id="31">
    <w:p w14:paraId="2C8E1E4D" w14:textId="77777777" w:rsidR="008A75CF" w:rsidRPr="005A702E" w:rsidRDefault="008A75CF" w:rsidP="0045244F">
      <w:pPr>
        <w:pBdr>
          <w:top w:val="nil"/>
          <w:left w:val="nil"/>
          <w:bottom w:val="nil"/>
          <w:right w:val="nil"/>
          <w:between w:val="nil"/>
        </w:pBdr>
        <w:spacing w:after="0" w:line="240" w:lineRule="auto"/>
        <w:ind w:left="0" w:firstLine="0"/>
        <w:jc w:val="left"/>
        <w:rPr>
          <w:rFonts w:eastAsia="Cambria"/>
          <w:color w:val="000000"/>
          <w:sz w:val="18"/>
          <w:szCs w:val="18"/>
        </w:rPr>
      </w:pPr>
      <w:r w:rsidRPr="005A702E">
        <w:rPr>
          <w:sz w:val="18"/>
          <w:szCs w:val="18"/>
          <w:vertAlign w:val="superscript"/>
        </w:rPr>
        <w:footnoteRef/>
      </w:r>
      <w:r w:rsidRPr="005A702E">
        <w:rPr>
          <w:color w:val="000000"/>
          <w:sz w:val="18"/>
          <w:szCs w:val="18"/>
        </w:rPr>
        <w:t xml:space="preserve"> Global Affairs Canada, </w:t>
      </w:r>
      <w:hyperlink r:id="rId23">
        <w:r w:rsidRPr="005A702E">
          <w:rPr>
            <w:i/>
            <w:iCs/>
            <w:color w:val="1155CC"/>
            <w:sz w:val="18"/>
            <w:szCs w:val="18"/>
            <w:u w:val="single"/>
          </w:rPr>
          <w:t>Report on Exports of Military Goods from Canada 2022</w:t>
        </w:r>
      </w:hyperlink>
      <w:r w:rsidRPr="005A702E">
        <w:rPr>
          <w:color w:val="000000"/>
          <w:sz w:val="18"/>
          <w:szCs w:val="18"/>
        </w:rPr>
        <w:t xml:space="preserve"> (2023)</w:t>
      </w:r>
      <w:r w:rsidRPr="005A702E">
        <w:rPr>
          <w:sz w:val="18"/>
          <w:szCs w:val="18"/>
        </w:rPr>
        <w:t>.</w:t>
      </w:r>
    </w:p>
  </w:footnote>
  <w:footnote w:id="32">
    <w:p w14:paraId="632D4C0F" w14:textId="442499FF" w:rsidR="008A75CF" w:rsidRPr="005A702E" w:rsidRDefault="008A75CF" w:rsidP="0045244F">
      <w:pPr>
        <w:pBdr>
          <w:top w:val="nil"/>
          <w:left w:val="nil"/>
          <w:bottom w:val="nil"/>
          <w:right w:val="nil"/>
          <w:between w:val="nil"/>
        </w:pBdr>
        <w:spacing w:after="0" w:line="240" w:lineRule="auto"/>
        <w:ind w:left="0" w:firstLine="0"/>
        <w:jc w:val="left"/>
        <w:rPr>
          <w:rFonts w:eastAsia="Cambria"/>
          <w:color w:val="000000"/>
          <w:sz w:val="18"/>
          <w:szCs w:val="18"/>
        </w:rPr>
      </w:pPr>
      <w:r w:rsidRPr="005A702E">
        <w:rPr>
          <w:sz w:val="18"/>
          <w:szCs w:val="18"/>
          <w:vertAlign w:val="superscript"/>
        </w:rPr>
        <w:footnoteRef/>
      </w:r>
      <w:r w:rsidRPr="005A702E">
        <w:rPr>
          <w:color w:val="000000"/>
          <w:sz w:val="18"/>
          <w:szCs w:val="18"/>
        </w:rPr>
        <w:t xml:space="preserve"> Catharine Tunney, </w:t>
      </w:r>
      <w:hyperlink r:id="rId24">
        <w:r w:rsidR="000E2606" w:rsidRPr="000E2606">
          <w:rPr>
            <w:i/>
            <w:iCs/>
            <w:color w:val="1155CC"/>
            <w:sz w:val="18"/>
            <w:szCs w:val="18"/>
            <w:u w:val="single"/>
          </w:rPr>
          <w:t>Netanyahu Invokes 'None is Too Many' as MPs Back Israel in Hamas War</w:t>
        </w:r>
      </w:hyperlink>
      <w:r w:rsidR="000E2606">
        <w:rPr>
          <w:color w:val="000000"/>
          <w:sz w:val="18"/>
          <w:szCs w:val="18"/>
        </w:rPr>
        <w:t xml:space="preserve">, </w:t>
      </w:r>
      <w:r w:rsidRPr="000E2606">
        <w:rPr>
          <w:color w:val="000000"/>
          <w:sz w:val="18"/>
          <w:szCs w:val="18"/>
        </w:rPr>
        <w:t>CBC News</w:t>
      </w:r>
      <w:r w:rsidRPr="005A702E">
        <w:rPr>
          <w:i/>
          <w:iCs/>
          <w:color w:val="000000"/>
          <w:sz w:val="18"/>
          <w:szCs w:val="18"/>
        </w:rPr>
        <w:t xml:space="preserve"> </w:t>
      </w:r>
      <w:r w:rsidRPr="005A702E">
        <w:rPr>
          <w:color w:val="000000"/>
          <w:sz w:val="18"/>
          <w:szCs w:val="18"/>
        </w:rPr>
        <w:t>(21 March 2024)</w:t>
      </w:r>
      <w:r w:rsidRPr="005A702E">
        <w:rPr>
          <w:sz w:val="18"/>
          <w:szCs w:val="18"/>
        </w:rPr>
        <w:t>.</w:t>
      </w:r>
    </w:p>
  </w:footnote>
  <w:footnote w:id="33">
    <w:p w14:paraId="360DACAB" w14:textId="5CD37017" w:rsidR="00051E81" w:rsidRPr="005A702E" w:rsidRDefault="00051E81" w:rsidP="0045244F">
      <w:pPr>
        <w:pBdr>
          <w:top w:val="nil"/>
          <w:left w:val="nil"/>
          <w:bottom w:val="nil"/>
          <w:right w:val="nil"/>
          <w:between w:val="nil"/>
        </w:pBdr>
        <w:spacing w:after="60" w:line="240" w:lineRule="auto"/>
        <w:ind w:left="0" w:firstLine="0"/>
        <w:jc w:val="left"/>
        <w:rPr>
          <w:color w:val="000000"/>
          <w:sz w:val="18"/>
          <w:szCs w:val="18"/>
        </w:rPr>
      </w:pPr>
      <w:r w:rsidRPr="005A702E">
        <w:rPr>
          <w:rStyle w:val="FootnoteReference"/>
          <w:sz w:val="18"/>
          <w:szCs w:val="18"/>
        </w:rPr>
        <w:footnoteRef/>
      </w:r>
      <w:r w:rsidRPr="005A702E">
        <w:rPr>
          <w:color w:val="000000"/>
          <w:sz w:val="18"/>
          <w:szCs w:val="18"/>
        </w:rPr>
        <w:t xml:space="preserve"> Canadians for Justice and Peace in the Middle East</w:t>
      </w:r>
      <w:r w:rsidRPr="005A702E">
        <w:rPr>
          <w:sz w:val="18"/>
          <w:szCs w:val="18"/>
        </w:rPr>
        <w:t>,</w:t>
      </w:r>
      <w:r w:rsidRPr="005A702E">
        <w:rPr>
          <w:color w:val="000000"/>
          <w:sz w:val="18"/>
          <w:szCs w:val="18"/>
        </w:rPr>
        <w:t xml:space="preserve"> </w:t>
      </w:r>
      <w:hyperlink r:id="rId25">
        <w:r w:rsidRPr="005A702E">
          <w:rPr>
            <w:rStyle w:val="Hyperlink"/>
            <w:rFonts w:ascii="Arial" w:hAnsi="Arial"/>
            <w:sz w:val="18"/>
            <w:szCs w:val="18"/>
          </w:rPr>
          <w:t>Big Win: Canada Suspends Arms Deals Following Pressure from CJPME and Allies</w:t>
        </w:r>
      </w:hyperlink>
      <w:r w:rsidRPr="000E2606">
        <w:rPr>
          <w:rStyle w:val="Hyperlink"/>
          <w:rFonts w:ascii="Arial" w:hAnsi="Arial"/>
          <w:sz w:val="18"/>
          <w:szCs w:val="18"/>
          <w:u w:val="none"/>
        </w:rPr>
        <w:t xml:space="preserve"> </w:t>
      </w:r>
      <w:r w:rsidRPr="005A702E">
        <w:rPr>
          <w:color w:val="000000"/>
          <w:sz w:val="18"/>
          <w:szCs w:val="18"/>
        </w:rPr>
        <w:t>(12 September 2024).</w:t>
      </w:r>
    </w:p>
  </w:footnote>
  <w:footnote w:id="34">
    <w:p w14:paraId="45A5FD9A" w14:textId="2CAB99B1" w:rsidR="00051E81" w:rsidRPr="005A702E" w:rsidRDefault="00051E81" w:rsidP="0045244F">
      <w:pPr>
        <w:pBdr>
          <w:top w:val="nil"/>
          <w:left w:val="nil"/>
          <w:bottom w:val="nil"/>
          <w:right w:val="nil"/>
          <w:between w:val="nil"/>
        </w:pBdr>
        <w:spacing w:after="60" w:line="240" w:lineRule="auto"/>
        <w:ind w:left="0" w:firstLine="0"/>
        <w:jc w:val="left"/>
        <w:rPr>
          <w:rFonts w:eastAsia="Calibri"/>
          <w:color w:val="000000"/>
          <w:sz w:val="18"/>
          <w:szCs w:val="18"/>
        </w:rPr>
      </w:pPr>
      <w:r w:rsidRPr="005A702E">
        <w:rPr>
          <w:rStyle w:val="FootnoteReference"/>
          <w:sz w:val="18"/>
          <w:szCs w:val="18"/>
        </w:rPr>
        <w:footnoteRef/>
      </w:r>
      <w:r w:rsidRPr="005A702E">
        <w:rPr>
          <w:color w:val="000000"/>
          <w:sz w:val="18"/>
          <w:szCs w:val="18"/>
        </w:rPr>
        <w:t xml:space="preserve"> United States of America International Trade Administration,</w:t>
      </w:r>
      <w:r w:rsidRPr="005A702E">
        <w:rPr>
          <w:i/>
          <w:iCs/>
          <w:color w:val="000000"/>
          <w:sz w:val="18"/>
          <w:szCs w:val="18"/>
        </w:rPr>
        <w:t xml:space="preserve"> </w:t>
      </w:r>
      <w:hyperlink r:id="rId26">
        <w:r w:rsidRPr="005A702E">
          <w:rPr>
            <w:rStyle w:val="Hyperlink"/>
            <w:rFonts w:ascii="Arial" w:hAnsi="Arial"/>
            <w:sz w:val="18"/>
            <w:szCs w:val="18"/>
          </w:rPr>
          <w:t>Canada – Country Commercial Guide: Defense Equipment</w:t>
        </w:r>
      </w:hyperlink>
      <w:r w:rsidRPr="005A702E">
        <w:rPr>
          <w:color w:val="000000"/>
          <w:sz w:val="18"/>
          <w:szCs w:val="18"/>
        </w:rPr>
        <w:t xml:space="preserve"> </w:t>
      </w:r>
      <w:r w:rsidR="000E2606">
        <w:rPr>
          <w:color w:val="000000"/>
          <w:sz w:val="18"/>
          <w:szCs w:val="18"/>
        </w:rPr>
        <w:t xml:space="preserve">(3 </w:t>
      </w:r>
      <w:r w:rsidRPr="005A702E">
        <w:rPr>
          <w:color w:val="000000"/>
          <w:sz w:val="18"/>
          <w:szCs w:val="18"/>
        </w:rPr>
        <w:t>November 2023</w:t>
      </w:r>
      <w:r w:rsidRPr="005A702E">
        <w:rPr>
          <w:sz w:val="18"/>
          <w:szCs w:val="18"/>
        </w:rPr>
        <w:t>).</w:t>
      </w:r>
    </w:p>
  </w:footnote>
  <w:footnote w:id="35">
    <w:p w14:paraId="0BFEE2DA" w14:textId="6B149F16" w:rsidR="00051E81" w:rsidRPr="005A702E" w:rsidRDefault="00051E81" w:rsidP="0045244F">
      <w:pPr>
        <w:spacing w:after="60" w:line="240" w:lineRule="auto"/>
        <w:ind w:left="0" w:firstLine="0"/>
        <w:jc w:val="left"/>
        <w:rPr>
          <w:rFonts w:eastAsia="Calibri"/>
          <w:color w:val="000000"/>
          <w:sz w:val="18"/>
          <w:szCs w:val="18"/>
        </w:rPr>
      </w:pPr>
      <w:r w:rsidRPr="005A702E">
        <w:rPr>
          <w:rStyle w:val="FootnoteReference"/>
          <w:sz w:val="18"/>
          <w:szCs w:val="18"/>
        </w:rPr>
        <w:footnoteRef/>
      </w:r>
      <w:r w:rsidRPr="005A702E">
        <w:rPr>
          <w:sz w:val="18"/>
          <w:szCs w:val="18"/>
        </w:rPr>
        <w:t xml:space="preserve"> Antoinette Radford, </w:t>
      </w:r>
      <w:hyperlink r:id="rId27">
        <w:r w:rsidRPr="005A702E">
          <w:rPr>
            <w:rStyle w:val="Hyperlink"/>
            <w:rFonts w:ascii="Arial" w:hAnsi="Arial"/>
            <w:sz w:val="18"/>
            <w:szCs w:val="18"/>
          </w:rPr>
          <w:t>Who Supplies Israel with Weapons?</w:t>
        </w:r>
      </w:hyperlink>
      <w:r w:rsidR="000E2606">
        <w:rPr>
          <w:sz w:val="18"/>
          <w:szCs w:val="18"/>
        </w:rPr>
        <w:t xml:space="preserve">, </w:t>
      </w:r>
      <w:r w:rsidRPr="000E2606">
        <w:rPr>
          <w:sz w:val="18"/>
          <w:szCs w:val="18"/>
        </w:rPr>
        <w:t>CNN</w:t>
      </w:r>
      <w:r w:rsidRPr="005A702E">
        <w:rPr>
          <w:sz w:val="18"/>
          <w:szCs w:val="18"/>
        </w:rPr>
        <w:t xml:space="preserve"> (16 October 2024); </w:t>
      </w:r>
      <w:r w:rsidRPr="005A702E">
        <w:rPr>
          <w:color w:val="000000"/>
          <w:sz w:val="18"/>
          <w:szCs w:val="18"/>
        </w:rPr>
        <w:t xml:space="preserve">Robert Tait, </w:t>
      </w:r>
      <w:hyperlink r:id="rId28">
        <w:r w:rsidRPr="005A702E">
          <w:rPr>
            <w:rStyle w:val="Hyperlink"/>
            <w:rFonts w:ascii="Arial" w:hAnsi="Arial"/>
            <w:sz w:val="18"/>
            <w:szCs w:val="18"/>
          </w:rPr>
          <w:t>Which Countries Supply Israel with Arms and Why is Biden Reluctant to Stop?</w:t>
        </w:r>
      </w:hyperlink>
      <w:r w:rsidR="000E2606">
        <w:rPr>
          <w:sz w:val="18"/>
          <w:szCs w:val="18"/>
        </w:rPr>
        <w:t xml:space="preserve">, </w:t>
      </w:r>
      <w:r w:rsidRPr="000E2606">
        <w:rPr>
          <w:sz w:val="18"/>
          <w:szCs w:val="18"/>
        </w:rPr>
        <w:t>The Guardian</w:t>
      </w:r>
      <w:r w:rsidRPr="005A702E">
        <w:rPr>
          <w:color w:val="000000"/>
          <w:sz w:val="18"/>
          <w:szCs w:val="18"/>
        </w:rPr>
        <w:t xml:space="preserve"> (9 April 2024). </w:t>
      </w:r>
    </w:p>
  </w:footnote>
  <w:footnote w:id="36">
    <w:p w14:paraId="39D97E95" w14:textId="322BBC74" w:rsidR="008A75CF" w:rsidRPr="005A702E" w:rsidRDefault="008A75CF" w:rsidP="0045244F">
      <w:pPr>
        <w:pBdr>
          <w:top w:val="nil"/>
          <w:left w:val="nil"/>
          <w:bottom w:val="nil"/>
          <w:right w:val="nil"/>
          <w:between w:val="nil"/>
        </w:pBdr>
        <w:spacing w:after="0" w:line="240" w:lineRule="auto"/>
        <w:ind w:left="0" w:firstLine="0"/>
        <w:jc w:val="left"/>
        <w:rPr>
          <w:rFonts w:eastAsia="Cambria"/>
          <w:color w:val="000000"/>
          <w:sz w:val="18"/>
          <w:szCs w:val="18"/>
        </w:rPr>
      </w:pPr>
      <w:r w:rsidRPr="005A702E">
        <w:rPr>
          <w:sz w:val="18"/>
          <w:szCs w:val="18"/>
          <w:vertAlign w:val="superscript"/>
        </w:rPr>
        <w:footnoteRef/>
      </w:r>
      <w:r w:rsidRPr="005A702E">
        <w:rPr>
          <w:color w:val="000000"/>
          <w:sz w:val="18"/>
          <w:szCs w:val="18"/>
        </w:rPr>
        <w:t xml:space="preserve"> Affidavit of Judy Koreck</w:t>
      </w:r>
      <w:r w:rsidRPr="005A702E">
        <w:rPr>
          <w:sz w:val="18"/>
          <w:szCs w:val="18"/>
        </w:rPr>
        <w:t xml:space="preserve">y, attached as Appendix A; See also </w:t>
      </w:r>
      <w:r w:rsidRPr="005A702E">
        <w:rPr>
          <w:color w:val="000000"/>
          <w:sz w:val="18"/>
          <w:szCs w:val="18"/>
        </w:rPr>
        <w:t>Jillian Kestler-D'Amours,</w:t>
      </w:r>
      <w:r w:rsidR="000E2606">
        <w:rPr>
          <w:color w:val="000000"/>
          <w:sz w:val="18"/>
          <w:szCs w:val="18"/>
        </w:rPr>
        <w:t xml:space="preserve"> </w:t>
      </w:r>
      <w:hyperlink r:id="rId29">
        <w:r w:rsidR="000E2606" w:rsidRPr="000E2606">
          <w:rPr>
            <w:i/>
            <w:iCs/>
            <w:color w:val="1155CC"/>
            <w:sz w:val="18"/>
            <w:szCs w:val="18"/>
            <w:u w:val="single"/>
          </w:rPr>
          <w:t>How Canada’s ‘Off-the-Record’ Arms Exports End Up in Israel</w:t>
        </w:r>
      </w:hyperlink>
      <w:r w:rsidR="000E2606">
        <w:rPr>
          <w:color w:val="000000"/>
          <w:sz w:val="18"/>
          <w:szCs w:val="18"/>
        </w:rPr>
        <w:t xml:space="preserve">, </w:t>
      </w:r>
      <w:r w:rsidRPr="000E2606">
        <w:rPr>
          <w:color w:val="000000"/>
          <w:sz w:val="18"/>
          <w:szCs w:val="18"/>
        </w:rPr>
        <w:t>Al Jazeera</w:t>
      </w:r>
      <w:r w:rsidRPr="005A702E">
        <w:rPr>
          <w:color w:val="000000"/>
          <w:sz w:val="18"/>
          <w:szCs w:val="18"/>
        </w:rPr>
        <w:t xml:space="preserve"> (15 August 2024)</w:t>
      </w:r>
      <w:r w:rsidRPr="005A702E">
        <w:rPr>
          <w:sz w:val="18"/>
          <w:szCs w:val="18"/>
        </w:rPr>
        <w:t>.</w:t>
      </w:r>
    </w:p>
  </w:footnote>
  <w:footnote w:id="37">
    <w:p w14:paraId="67D9E1C2" w14:textId="77777777" w:rsidR="008A75CF" w:rsidRPr="005A702E" w:rsidRDefault="008A75CF" w:rsidP="0045244F">
      <w:pPr>
        <w:pBdr>
          <w:top w:val="nil"/>
          <w:left w:val="nil"/>
          <w:bottom w:val="nil"/>
          <w:right w:val="nil"/>
          <w:between w:val="nil"/>
        </w:pBdr>
        <w:spacing w:after="0" w:line="240" w:lineRule="auto"/>
        <w:ind w:left="0" w:firstLine="0"/>
        <w:jc w:val="left"/>
        <w:rPr>
          <w:rFonts w:eastAsia="Cambria"/>
          <w:color w:val="000000"/>
          <w:sz w:val="18"/>
          <w:szCs w:val="18"/>
        </w:rPr>
      </w:pPr>
      <w:r w:rsidRPr="005A702E">
        <w:rPr>
          <w:sz w:val="18"/>
          <w:szCs w:val="18"/>
          <w:vertAlign w:val="superscript"/>
        </w:rPr>
        <w:footnoteRef/>
      </w:r>
      <w:r w:rsidRPr="005A702E">
        <w:rPr>
          <w:color w:val="000000"/>
          <w:sz w:val="18"/>
          <w:szCs w:val="18"/>
        </w:rPr>
        <w:t xml:space="preserve"> Code of Federal Regulations, </w:t>
      </w:r>
      <w:hyperlink r:id="rId30">
        <w:r w:rsidRPr="005A702E">
          <w:rPr>
            <w:i/>
            <w:iCs/>
            <w:color w:val="1155CC"/>
            <w:sz w:val="18"/>
            <w:szCs w:val="18"/>
            <w:u w:val="single"/>
          </w:rPr>
          <w:t>126.5 Canadian exemptions</w:t>
        </w:r>
      </w:hyperlink>
      <w:r w:rsidRPr="005A702E">
        <w:rPr>
          <w:color w:val="000000"/>
          <w:sz w:val="18"/>
          <w:szCs w:val="18"/>
        </w:rPr>
        <w:t>, 22 CFR</w:t>
      </w:r>
      <w:r w:rsidRPr="005A702E">
        <w:rPr>
          <w:sz w:val="18"/>
          <w:szCs w:val="18"/>
        </w:rPr>
        <w:t>.</w:t>
      </w:r>
    </w:p>
  </w:footnote>
  <w:footnote w:id="38">
    <w:p w14:paraId="2CB6C231" w14:textId="77777777" w:rsidR="008A75CF" w:rsidRPr="005A702E" w:rsidRDefault="008A75CF" w:rsidP="0045244F">
      <w:pPr>
        <w:pBdr>
          <w:top w:val="nil"/>
          <w:left w:val="nil"/>
          <w:bottom w:val="nil"/>
          <w:right w:val="nil"/>
          <w:between w:val="nil"/>
        </w:pBdr>
        <w:spacing w:after="0" w:line="240" w:lineRule="auto"/>
        <w:ind w:left="0" w:firstLine="0"/>
        <w:jc w:val="left"/>
        <w:rPr>
          <w:rFonts w:eastAsia="Cambria"/>
          <w:color w:val="000000"/>
          <w:sz w:val="18"/>
          <w:szCs w:val="18"/>
        </w:rPr>
      </w:pPr>
      <w:r w:rsidRPr="005A702E">
        <w:rPr>
          <w:sz w:val="18"/>
          <w:szCs w:val="18"/>
          <w:vertAlign w:val="superscript"/>
        </w:rPr>
        <w:footnoteRef/>
      </w:r>
      <w:r w:rsidRPr="005A702E">
        <w:rPr>
          <w:color w:val="000000"/>
          <w:sz w:val="18"/>
          <w:szCs w:val="18"/>
        </w:rPr>
        <w:t xml:space="preserve"> Defense Security Cooperation Agency, </w:t>
      </w:r>
      <w:hyperlink r:id="rId31">
        <w:r w:rsidRPr="005A702E">
          <w:rPr>
            <w:i/>
            <w:iCs/>
            <w:color w:val="1155CC"/>
            <w:sz w:val="18"/>
            <w:szCs w:val="18"/>
            <w:u w:val="single"/>
          </w:rPr>
          <w:t>Israel – M933A1 120mm High Explosive Mortar Cartridges</w:t>
        </w:r>
      </w:hyperlink>
      <w:r w:rsidRPr="005A702E">
        <w:rPr>
          <w:i/>
          <w:iCs/>
          <w:color w:val="000000"/>
          <w:sz w:val="18"/>
          <w:szCs w:val="18"/>
        </w:rPr>
        <w:t xml:space="preserve"> </w:t>
      </w:r>
      <w:r w:rsidRPr="005A702E">
        <w:rPr>
          <w:color w:val="000000"/>
          <w:sz w:val="18"/>
          <w:szCs w:val="18"/>
        </w:rPr>
        <w:t>(13 August 2024)</w:t>
      </w:r>
      <w:r w:rsidRPr="005A702E">
        <w:rPr>
          <w:sz w:val="18"/>
          <w:szCs w:val="18"/>
        </w:rPr>
        <w:t>.</w:t>
      </w:r>
    </w:p>
  </w:footnote>
  <w:footnote w:id="39">
    <w:p w14:paraId="7A44AF28" w14:textId="7E080F9E" w:rsidR="008A75CF" w:rsidRPr="005A702E" w:rsidRDefault="008A75CF" w:rsidP="0045244F">
      <w:pPr>
        <w:pBdr>
          <w:top w:val="nil"/>
          <w:left w:val="nil"/>
          <w:bottom w:val="nil"/>
          <w:right w:val="nil"/>
          <w:between w:val="nil"/>
        </w:pBdr>
        <w:spacing w:after="0" w:line="240" w:lineRule="auto"/>
        <w:ind w:left="0" w:firstLine="0"/>
        <w:jc w:val="left"/>
        <w:rPr>
          <w:rFonts w:eastAsia="Cambria"/>
          <w:color w:val="000000"/>
          <w:sz w:val="18"/>
          <w:szCs w:val="18"/>
        </w:rPr>
      </w:pPr>
      <w:r w:rsidRPr="005A702E">
        <w:rPr>
          <w:sz w:val="18"/>
          <w:szCs w:val="18"/>
          <w:vertAlign w:val="superscript"/>
        </w:rPr>
        <w:footnoteRef/>
      </w:r>
      <w:r w:rsidRPr="005A702E">
        <w:rPr>
          <w:color w:val="000000"/>
          <w:sz w:val="18"/>
          <w:szCs w:val="18"/>
        </w:rPr>
        <w:t xml:space="preserve"> Breaking the Silence, </w:t>
      </w:r>
      <w:hyperlink r:id="rId32">
        <w:r w:rsidRPr="005A702E">
          <w:rPr>
            <w:i/>
            <w:iCs/>
            <w:color w:val="1155CC"/>
            <w:sz w:val="18"/>
            <w:szCs w:val="18"/>
            <w:u w:val="single"/>
          </w:rPr>
          <w:t>Operation Cast Lead: Soldiers’ Testimonies from Gaza, 2009</w:t>
        </w:r>
      </w:hyperlink>
      <w:hyperlink r:id="rId33">
        <w:r w:rsidRPr="000E2606">
          <w:rPr>
            <w:color w:val="1155CC"/>
            <w:sz w:val="18"/>
            <w:szCs w:val="18"/>
          </w:rPr>
          <w:t xml:space="preserve"> </w:t>
        </w:r>
      </w:hyperlink>
      <w:r w:rsidRPr="005A702E">
        <w:rPr>
          <w:color w:val="000000"/>
          <w:sz w:val="18"/>
          <w:szCs w:val="18"/>
        </w:rPr>
        <w:t>(June 2009)</w:t>
      </w:r>
      <w:r w:rsidRPr="005A702E">
        <w:rPr>
          <w:sz w:val="18"/>
          <w:szCs w:val="18"/>
        </w:rPr>
        <w:t>;</w:t>
      </w:r>
      <w:r w:rsidRPr="005A702E">
        <w:rPr>
          <w:color w:val="000000"/>
          <w:sz w:val="18"/>
          <w:szCs w:val="18"/>
        </w:rPr>
        <w:t xml:space="preserve"> Jerusalem Post Staff, </w:t>
      </w:r>
      <w:hyperlink r:id="rId34">
        <w:r w:rsidR="000E2606" w:rsidRPr="000E2606">
          <w:rPr>
            <w:i/>
            <w:iCs/>
            <w:color w:val="1155CC"/>
            <w:sz w:val="18"/>
            <w:szCs w:val="18"/>
            <w:u w:val="single"/>
          </w:rPr>
          <w:t>IDF Uses Iron Sting Precision Mortars for First Time Against Hamas</w:t>
        </w:r>
      </w:hyperlink>
      <w:r w:rsidR="000E2606">
        <w:rPr>
          <w:color w:val="000000"/>
          <w:sz w:val="18"/>
          <w:szCs w:val="18"/>
        </w:rPr>
        <w:t xml:space="preserve">, </w:t>
      </w:r>
      <w:r w:rsidRPr="000E2606">
        <w:rPr>
          <w:color w:val="000000"/>
          <w:sz w:val="18"/>
          <w:szCs w:val="18"/>
        </w:rPr>
        <w:t>The Jerusalem Post</w:t>
      </w:r>
      <w:r w:rsidRPr="005A702E">
        <w:rPr>
          <w:color w:val="000000"/>
          <w:sz w:val="18"/>
          <w:szCs w:val="18"/>
        </w:rPr>
        <w:t xml:space="preserve"> (22 October 2023)</w:t>
      </w:r>
      <w:r w:rsidRPr="005A702E">
        <w:rPr>
          <w:sz w:val="18"/>
          <w:szCs w:val="18"/>
        </w:rPr>
        <w:t>.</w:t>
      </w:r>
    </w:p>
  </w:footnote>
  <w:footnote w:id="40">
    <w:p w14:paraId="38009E2C" w14:textId="1BB9E08B" w:rsidR="008A75CF" w:rsidRPr="005A702E" w:rsidRDefault="008A75CF" w:rsidP="0045244F">
      <w:pPr>
        <w:pBdr>
          <w:top w:val="nil"/>
          <w:left w:val="nil"/>
          <w:bottom w:val="nil"/>
          <w:right w:val="nil"/>
          <w:between w:val="nil"/>
        </w:pBdr>
        <w:spacing w:after="0" w:line="240" w:lineRule="auto"/>
        <w:ind w:left="0" w:firstLine="0"/>
        <w:jc w:val="left"/>
        <w:rPr>
          <w:rFonts w:eastAsia="Cambria"/>
          <w:color w:val="000000"/>
          <w:sz w:val="18"/>
          <w:szCs w:val="18"/>
        </w:rPr>
      </w:pPr>
      <w:r w:rsidRPr="005A702E">
        <w:rPr>
          <w:sz w:val="18"/>
          <w:szCs w:val="18"/>
          <w:vertAlign w:val="superscript"/>
        </w:rPr>
        <w:footnoteRef/>
      </w:r>
      <w:r w:rsidRPr="005A702E">
        <w:rPr>
          <w:color w:val="000000"/>
          <w:sz w:val="18"/>
          <w:szCs w:val="18"/>
        </w:rPr>
        <w:t xml:space="preserve"> Steven Chase,</w:t>
      </w:r>
      <w:hyperlink r:id="rId35">
        <w:r w:rsidR="000E2606" w:rsidRPr="000E2606">
          <w:rPr>
            <w:color w:val="1155CC"/>
            <w:sz w:val="18"/>
            <w:szCs w:val="18"/>
          </w:rPr>
          <w:t xml:space="preserve"> </w:t>
        </w:r>
        <w:r w:rsidR="000E2606" w:rsidRPr="000E2606">
          <w:rPr>
            <w:i/>
            <w:iCs/>
            <w:color w:val="1155CC"/>
            <w:sz w:val="18"/>
            <w:szCs w:val="18"/>
            <w:u w:val="single"/>
          </w:rPr>
          <w:t>Federal government puts roadblock in front of ammo-supply deal for Israel</w:t>
        </w:r>
      </w:hyperlink>
      <w:r w:rsidR="000E2606">
        <w:rPr>
          <w:color w:val="000000"/>
          <w:sz w:val="18"/>
          <w:szCs w:val="18"/>
        </w:rPr>
        <w:t xml:space="preserve">, </w:t>
      </w:r>
      <w:r w:rsidRPr="000E2606">
        <w:rPr>
          <w:color w:val="000000"/>
          <w:sz w:val="18"/>
          <w:szCs w:val="18"/>
        </w:rPr>
        <w:t>The Globe and Mail</w:t>
      </w:r>
      <w:r w:rsidRPr="005A702E">
        <w:rPr>
          <w:i/>
          <w:iCs/>
          <w:color w:val="000000"/>
          <w:sz w:val="18"/>
          <w:szCs w:val="18"/>
        </w:rPr>
        <w:t xml:space="preserve"> </w:t>
      </w:r>
      <w:r w:rsidRPr="005A702E">
        <w:rPr>
          <w:color w:val="000000"/>
          <w:sz w:val="18"/>
          <w:szCs w:val="18"/>
        </w:rPr>
        <w:t>(12 September 2024)</w:t>
      </w:r>
      <w:r w:rsidRPr="005A702E">
        <w:rPr>
          <w:sz w:val="18"/>
          <w:szCs w:val="18"/>
        </w:rPr>
        <w:t>.</w:t>
      </w:r>
    </w:p>
  </w:footnote>
  <w:footnote w:id="41">
    <w:p w14:paraId="7653F4DB" w14:textId="25A71951" w:rsidR="6AFF34AF" w:rsidRPr="005A702E" w:rsidRDefault="6AFF34AF" w:rsidP="0045244F">
      <w:pPr>
        <w:spacing w:after="0" w:line="240" w:lineRule="auto"/>
        <w:ind w:left="-77" w:firstLine="77"/>
        <w:jc w:val="left"/>
        <w:rPr>
          <w:color w:val="000000" w:themeColor="text1"/>
          <w:sz w:val="18"/>
          <w:szCs w:val="18"/>
        </w:rPr>
      </w:pPr>
      <w:r w:rsidRPr="005A702E">
        <w:rPr>
          <w:rStyle w:val="FootnoteReference"/>
          <w:sz w:val="18"/>
          <w:szCs w:val="18"/>
        </w:rPr>
        <w:footnoteRef/>
      </w:r>
      <w:r w:rsidRPr="005A702E">
        <w:rPr>
          <w:sz w:val="18"/>
          <w:szCs w:val="18"/>
        </w:rPr>
        <w:t xml:space="preserve"> </w:t>
      </w:r>
      <w:r w:rsidRPr="005A702E">
        <w:rPr>
          <w:color w:val="000000" w:themeColor="text1"/>
          <w:sz w:val="18"/>
          <w:szCs w:val="18"/>
        </w:rPr>
        <w:t xml:space="preserve">Alex Cosh, </w:t>
      </w:r>
      <w:hyperlink r:id="rId36">
        <w:r w:rsidRPr="000E2606">
          <w:rPr>
            <w:rStyle w:val="Hyperlink"/>
            <w:rFonts w:ascii="Arial" w:hAnsi="Arial"/>
            <w:sz w:val="18"/>
            <w:szCs w:val="18"/>
          </w:rPr>
          <w:t>Government Export Agency Noted 99 Israeli Crimes, But OK’d Arms Sale</w:t>
        </w:r>
      </w:hyperlink>
      <w:r w:rsidR="000E2606">
        <w:rPr>
          <w:color w:val="000000" w:themeColor="text1"/>
          <w:sz w:val="18"/>
          <w:szCs w:val="18"/>
        </w:rPr>
        <w:t>,</w:t>
      </w:r>
      <w:r w:rsidRPr="005A702E">
        <w:rPr>
          <w:color w:val="000000" w:themeColor="text1"/>
          <w:sz w:val="18"/>
          <w:szCs w:val="18"/>
        </w:rPr>
        <w:t xml:space="preserve"> </w:t>
      </w:r>
      <w:r w:rsidRPr="000E2606">
        <w:rPr>
          <w:color w:val="000000" w:themeColor="text1"/>
          <w:sz w:val="18"/>
          <w:szCs w:val="18"/>
        </w:rPr>
        <w:t>The Maple</w:t>
      </w:r>
      <w:r w:rsidRPr="005A702E">
        <w:rPr>
          <w:i/>
          <w:iCs/>
          <w:color w:val="000000" w:themeColor="text1"/>
          <w:sz w:val="18"/>
          <w:szCs w:val="18"/>
        </w:rPr>
        <w:t xml:space="preserve"> </w:t>
      </w:r>
      <w:r w:rsidRPr="005A702E">
        <w:rPr>
          <w:color w:val="000000" w:themeColor="text1"/>
          <w:sz w:val="18"/>
          <w:szCs w:val="18"/>
        </w:rPr>
        <w:t>(29 May 2025)</w:t>
      </w:r>
      <w:r w:rsidRPr="005A702E">
        <w:rPr>
          <w:sz w:val="18"/>
          <w:szCs w:val="18"/>
        </w:rPr>
        <w:t>.</w:t>
      </w:r>
    </w:p>
  </w:footnote>
  <w:footnote w:id="42">
    <w:p w14:paraId="0AC0D594" w14:textId="0D18085D" w:rsidR="008A75CF" w:rsidRPr="005A702E" w:rsidRDefault="008A75CF" w:rsidP="0045244F">
      <w:pPr>
        <w:pBdr>
          <w:top w:val="nil"/>
          <w:left w:val="nil"/>
          <w:bottom w:val="nil"/>
          <w:right w:val="nil"/>
          <w:between w:val="nil"/>
        </w:pBdr>
        <w:spacing w:after="0" w:line="240" w:lineRule="auto"/>
        <w:ind w:left="0" w:firstLine="0"/>
        <w:jc w:val="left"/>
        <w:rPr>
          <w:rFonts w:eastAsia="Cambria"/>
          <w:color w:val="000000"/>
          <w:sz w:val="18"/>
          <w:szCs w:val="18"/>
        </w:rPr>
      </w:pPr>
      <w:r w:rsidRPr="005A702E">
        <w:rPr>
          <w:sz w:val="18"/>
          <w:szCs w:val="18"/>
          <w:vertAlign w:val="superscript"/>
        </w:rPr>
        <w:footnoteRef/>
      </w:r>
      <w:r w:rsidRPr="005A702E">
        <w:rPr>
          <w:color w:val="000000"/>
          <w:sz w:val="18"/>
          <w:szCs w:val="18"/>
        </w:rPr>
        <w:t xml:space="preserve"> Emanuel Fabian, </w:t>
      </w:r>
      <w:hyperlink r:id="rId37">
        <w:r w:rsidR="000E2606" w:rsidRPr="000E2606">
          <w:rPr>
            <w:i/>
            <w:iCs/>
            <w:color w:val="1155CC"/>
            <w:sz w:val="18"/>
            <w:szCs w:val="18"/>
            <w:u w:val="single"/>
          </w:rPr>
          <w:t>IDF Chief Says Israel ‘Knows How to Reach Anywhere in the Middle East</w:t>
        </w:r>
      </w:hyperlink>
      <w:r w:rsidR="000E2606">
        <w:rPr>
          <w:color w:val="000000"/>
          <w:sz w:val="18"/>
          <w:szCs w:val="18"/>
        </w:rPr>
        <w:t xml:space="preserve">, </w:t>
      </w:r>
      <w:r w:rsidRPr="000E2606">
        <w:rPr>
          <w:color w:val="000000"/>
          <w:sz w:val="18"/>
          <w:szCs w:val="18"/>
        </w:rPr>
        <w:t>The Times of Israel</w:t>
      </w:r>
      <w:r w:rsidRPr="005A702E">
        <w:rPr>
          <w:color w:val="000000"/>
          <w:sz w:val="18"/>
          <w:szCs w:val="18"/>
        </w:rPr>
        <w:t xml:space="preserve"> (6 November 2023)</w:t>
      </w:r>
      <w:r w:rsidRPr="005A702E">
        <w:rPr>
          <w:sz w:val="18"/>
          <w:szCs w:val="18"/>
        </w:rPr>
        <w:t>.</w:t>
      </w:r>
    </w:p>
  </w:footnote>
  <w:footnote w:id="43">
    <w:p w14:paraId="22CE4F35" w14:textId="665F907D" w:rsidR="008A75CF" w:rsidRPr="005A702E" w:rsidRDefault="008A75CF" w:rsidP="0045244F">
      <w:pPr>
        <w:pBdr>
          <w:top w:val="nil"/>
          <w:left w:val="nil"/>
          <w:bottom w:val="nil"/>
          <w:right w:val="nil"/>
          <w:between w:val="nil"/>
        </w:pBdr>
        <w:spacing w:after="0" w:line="240" w:lineRule="auto"/>
        <w:ind w:left="0" w:firstLine="0"/>
        <w:jc w:val="left"/>
        <w:rPr>
          <w:color w:val="000000"/>
          <w:sz w:val="18"/>
          <w:szCs w:val="18"/>
        </w:rPr>
      </w:pPr>
      <w:r w:rsidRPr="005A702E">
        <w:rPr>
          <w:sz w:val="18"/>
          <w:szCs w:val="18"/>
          <w:vertAlign w:val="superscript"/>
        </w:rPr>
        <w:footnoteRef/>
      </w:r>
      <w:r w:rsidRPr="005A702E">
        <w:rPr>
          <w:color w:val="000000"/>
          <w:sz w:val="18"/>
          <w:szCs w:val="18"/>
        </w:rPr>
        <w:t xml:space="preserve"> Project Ploughshares</w:t>
      </w:r>
      <w:r w:rsidRPr="005A702E">
        <w:rPr>
          <w:sz w:val="18"/>
          <w:szCs w:val="18"/>
        </w:rPr>
        <w:t xml:space="preserve">, </w:t>
      </w:r>
      <w:hyperlink r:id="rId38">
        <w:r w:rsidR="60589CA8" w:rsidRPr="005A702E">
          <w:rPr>
            <w:rStyle w:val="Hyperlink"/>
            <w:rFonts w:ascii="Arial" w:hAnsi="Arial"/>
            <w:sz w:val="18"/>
            <w:szCs w:val="18"/>
          </w:rPr>
          <w:t>Fanning the Flames: The grave risk of Canada’s arms exports to Israel</w:t>
        </w:r>
      </w:hyperlink>
      <w:r w:rsidRPr="005A702E">
        <w:rPr>
          <w:sz w:val="18"/>
          <w:szCs w:val="18"/>
        </w:rPr>
        <w:t xml:space="preserve"> (December 2023).</w:t>
      </w:r>
    </w:p>
  </w:footnote>
  <w:footnote w:id="44">
    <w:p w14:paraId="5FC15FD2" w14:textId="77777777" w:rsidR="008A75CF" w:rsidRPr="005A702E" w:rsidRDefault="008A75CF" w:rsidP="0045244F">
      <w:pPr>
        <w:pBdr>
          <w:top w:val="nil"/>
          <w:left w:val="nil"/>
          <w:bottom w:val="nil"/>
          <w:right w:val="nil"/>
          <w:between w:val="nil"/>
        </w:pBdr>
        <w:spacing w:after="0" w:line="240" w:lineRule="auto"/>
        <w:ind w:left="0" w:firstLine="0"/>
        <w:jc w:val="left"/>
        <w:rPr>
          <w:rFonts w:eastAsia="Cambria"/>
          <w:color w:val="000000"/>
          <w:sz w:val="18"/>
          <w:szCs w:val="18"/>
        </w:rPr>
      </w:pPr>
      <w:r w:rsidRPr="005A702E">
        <w:rPr>
          <w:sz w:val="18"/>
          <w:szCs w:val="18"/>
          <w:vertAlign w:val="superscript"/>
        </w:rPr>
        <w:footnoteRef/>
      </w:r>
      <w:r w:rsidRPr="005A702E">
        <w:rPr>
          <w:color w:val="000000"/>
          <w:sz w:val="18"/>
          <w:szCs w:val="18"/>
        </w:rPr>
        <w:t xml:space="preserve"> </w:t>
      </w:r>
      <w:r w:rsidRPr="005A702E">
        <w:rPr>
          <w:sz w:val="18"/>
          <w:szCs w:val="18"/>
        </w:rPr>
        <w:t>Ibid.</w:t>
      </w:r>
    </w:p>
  </w:footnote>
  <w:footnote w:id="45">
    <w:p w14:paraId="1885E4A4" w14:textId="77777777" w:rsidR="008A75CF" w:rsidRPr="005A702E" w:rsidRDefault="008A75CF" w:rsidP="0045244F">
      <w:pPr>
        <w:pBdr>
          <w:top w:val="nil"/>
          <w:left w:val="nil"/>
          <w:bottom w:val="nil"/>
          <w:right w:val="nil"/>
          <w:between w:val="nil"/>
        </w:pBdr>
        <w:spacing w:after="0" w:line="240" w:lineRule="auto"/>
        <w:ind w:left="0" w:firstLine="0"/>
        <w:jc w:val="left"/>
        <w:rPr>
          <w:rFonts w:eastAsia="Cambria"/>
          <w:color w:val="000000"/>
          <w:sz w:val="18"/>
          <w:szCs w:val="18"/>
        </w:rPr>
      </w:pPr>
      <w:r w:rsidRPr="005A702E">
        <w:rPr>
          <w:sz w:val="18"/>
          <w:szCs w:val="18"/>
          <w:vertAlign w:val="superscript"/>
        </w:rPr>
        <w:footnoteRef/>
      </w:r>
      <w:r w:rsidRPr="005A702E">
        <w:rPr>
          <w:color w:val="000000"/>
          <w:sz w:val="18"/>
          <w:szCs w:val="18"/>
        </w:rPr>
        <w:t xml:space="preserve"> </w:t>
      </w:r>
      <w:r w:rsidRPr="005A702E">
        <w:rPr>
          <w:sz w:val="18"/>
          <w:szCs w:val="18"/>
        </w:rPr>
        <w:t>Ibid.</w:t>
      </w:r>
    </w:p>
  </w:footnote>
  <w:footnote w:id="46">
    <w:p w14:paraId="63A129E3" w14:textId="77777777" w:rsidR="008A75CF" w:rsidRPr="005A702E" w:rsidRDefault="008A75CF" w:rsidP="0045244F">
      <w:pPr>
        <w:pBdr>
          <w:top w:val="nil"/>
          <w:left w:val="nil"/>
          <w:bottom w:val="nil"/>
          <w:right w:val="nil"/>
          <w:between w:val="nil"/>
        </w:pBdr>
        <w:spacing w:after="0" w:line="240" w:lineRule="auto"/>
        <w:ind w:left="0" w:firstLine="0"/>
        <w:jc w:val="left"/>
        <w:rPr>
          <w:rFonts w:eastAsia="Cambria"/>
          <w:color w:val="000000"/>
          <w:sz w:val="18"/>
          <w:szCs w:val="18"/>
        </w:rPr>
      </w:pPr>
      <w:r w:rsidRPr="005A702E">
        <w:rPr>
          <w:sz w:val="18"/>
          <w:szCs w:val="18"/>
          <w:vertAlign w:val="superscript"/>
        </w:rPr>
        <w:footnoteRef/>
      </w:r>
      <w:r w:rsidRPr="005A702E">
        <w:rPr>
          <w:color w:val="000000"/>
          <w:sz w:val="18"/>
          <w:szCs w:val="18"/>
        </w:rPr>
        <w:t xml:space="preserve"> Boeing Canada,</w:t>
      </w:r>
      <w:hyperlink r:id="rId39" w:anchor="backgrounder">
        <w:r w:rsidRPr="005A702E">
          <w:rPr>
            <w:color w:val="1155CC"/>
            <w:sz w:val="18"/>
            <w:szCs w:val="18"/>
          </w:rPr>
          <w:t xml:space="preserve"> </w:t>
        </w:r>
      </w:hyperlink>
      <w:hyperlink r:id="rId40" w:anchor="backgrounder">
        <w:r w:rsidRPr="005A702E">
          <w:rPr>
            <w:i/>
            <w:iCs/>
            <w:color w:val="1155CC"/>
            <w:sz w:val="18"/>
            <w:szCs w:val="18"/>
            <w:u w:val="single"/>
          </w:rPr>
          <w:t>Boeing in Canada</w:t>
        </w:r>
      </w:hyperlink>
      <w:r w:rsidRPr="005A702E">
        <w:rPr>
          <w:sz w:val="18"/>
          <w:szCs w:val="18"/>
        </w:rPr>
        <w:t>.</w:t>
      </w:r>
    </w:p>
  </w:footnote>
  <w:footnote w:id="47">
    <w:p w14:paraId="38D0E027" w14:textId="4A7BDCE0" w:rsidR="008A75CF" w:rsidRPr="005A702E" w:rsidRDefault="008A75CF" w:rsidP="0045244F">
      <w:pPr>
        <w:pBdr>
          <w:top w:val="nil"/>
          <w:left w:val="nil"/>
          <w:bottom w:val="nil"/>
          <w:right w:val="nil"/>
          <w:between w:val="nil"/>
        </w:pBdr>
        <w:spacing w:after="0" w:line="240" w:lineRule="auto"/>
        <w:ind w:left="0" w:firstLine="0"/>
        <w:jc w:val="left"/>
        <w:rPr>
          <w:rFonts w:eastAsia="Cambria"/>
          <w:color w:val="000000"/>
          <w:sz w:val="18"/>
          <w:szCs w:val="18"/>
        </w:rPr>
      </w:pPr>
      <w:r w:rsidRPr="005A702E">
        <w:rPr>
          <w:sz w:val="18"/>
          <w:szCs w:val="18"/>
          <w:vertAlign w:val="superscript"/>
        </w:rPr>
        <w:footnoteRef/>
      </w:r>
      <w:r w:rsidRPr="005A702E">
        <w:rPr>
          <w:color w:val="000000"/>
          <w:sz w:val="18"/>
          <w:szCs w:val="18"/>
        </w:rPr>
        <w:t xml:space="preserve"> Michael D. Shear, </w:t>
      </w:r>
      <w:hyperlink r:id="rId41">
        <w:r w:rsidR="000E2606" w:rsidRPr="000E2606">
          <w:rPr>
            <w:i/>
            <w:iCs/>
            <w:color w:val="1155CC"/>
            <w:sz w:val="18"/>
            <w:szCs w:val="18"/>
            <w:u w:val="single"/>
          </w:rPr>
          <w:t>Biden Administration Plans $680 Million Arms Sale to Israel</w:t>
        </w:r>
      </w:hyperlink>
      <w:r w:rsidR="000E2606">
        <w:rPr>
          <w:color w:val="000000"/>
          <w:sz w:val="18"/>
          <w:szCs w:val="18"/>
        </w:rPr>
        <w:t xml:space="preserve">, </w:t>
      </w:r>
      <w:r w:rsidRPr="000E2606">
        <w:rPr>
          <w:color w:val="000000"/>
          <w:sz w:val="18"/>
          <w:szCs w:val="18"/>
        </w:rPr>
        <w:t>The New York Times</w:t>
      </w:r>
      <w:r w:rsidRPr="005A702E">
        <w:rPr>
          <w:i/>
          <w:iCs/>
          <w:color w:val="000000"/>
          <w:sz w:val="18"/>
          <w:szCs w:val="18"/>
        </w:rPr>
        <w:t xml:space="preserve"> </w:t>
      </w:r>
      <w:r w:rsidRPr="005A702E">
        <w:rPr>
          <w:color w:val="000000"/>
          <w:sz w:val="18"/>
          <w:szCs w:val="18"/>
        </w:rPr>
        <w:t xml:space="preserve">(2 April 2024); Israel National News, </w:t>
      </w:r>
      <w:hyperlink r:id="rId42">
        <w:r w:rsidR="000E2606" w:rsidRPr="000E2606">
          <w:rPr>
            <w:i/>
            <w:iCs/>
            <w:color w:val="1155CC"/>
            <w:sz w:val="18"/>
            <w:szCs w:val="18"/>
            <w:u w:val="single"/>
          </w:rPr>
          <w:t>IDF Fighter Jet Makes Emergency Landing After Technical Malfunction</w:t>
        </w:r>
      </w:hyperlink>
      <w:r w:rsidR="000E2606">
        <w:rPr>
          <w:color w:val="000000"/>
          <w:sz w:val="18"/>
          <w:szCs w:val="18"/>
        </w:rPr>
        <w:t xml:space="preserve">, </w:t>
      </w:r>
      <w:r w:rsidRPr="000E2606">
        <w:rPr>
          <w:color w:val="000000"/>
          <w:sz w:val="18"/>
          <w:szCs w:val="18"/>
        </w:rPr>
        <w:t>Israel National News</w:t>
      </w:r>
      <w:r w:rsidRPr="005A702E">
        <w:rPr>
          <w:color w:val="000000"/>
          <w:sz w:val="18"/>
          <w:szCs w:val="18"/>
        </w:rPr>
        <w:t xml:space="preserve"> (11 April 2024)</w:t>
      </w:r>
      <w:r w:rsidRPr="005A702E">
        <w:rPr>
          <w:sz w:val="18"/>
          <w:szCs w:val="18"/>
        </w:rPr>
        <w:t>.</w:t>
      </w:r>
    </w:p>
  </w:footnote>
  <w:footnote w:id="48">
    <w:p w14:paraId="40340738" w14:textId="7410F091" w:rsidR="008A75CF" w:rsidRPr="005A702E" w:rsidRDefault="008A75CF" w:rsidP="0045244F">
      <w:pPr>
        <w:spacing w:after="0" w:line="240" w:lineRule="auto"/>
        <w:ind w:left="0" w:firstLine="0"/>
        <w:jc w:val="left"/>
        <w:rPr>
          <w:rFonts w:eastAsia="Cambria"/>
          <w:sz w:val="18"/>
          <w:szCs w:val="18"/>
        </w:rPr>
      </w:pPr>
      <w:r w:rsidRPr="005A702E">
        <w:rPr>
          <w:sz w:val="18"/>
          <w:szCs w:val="18"/>
          <w:vertAlign w:val="superscript"/>
        </w:rPr>
        <w:footnoteRef/>
      </w:r>
      <w:r w:rsidRPr="005A702E">
        <w:rPr>
          <w:sz w:val="18"/>
          <w:szCs w:val="18"/>
        </w:rPr>
        <w:t xml:space="preserve"> Defense Security Cooperation Agency, </w:t>
      </w:r>
      <w:hyperlink r:id="rId43">
        <w:r w:rsidRPr="005A702E">
          <w:rPr>
            <w:i/>
            <w:iCs/>
            <w:color w:val="1155CC"/>
            <w:sz w:val="18"/>
            <w:szCs w:val="18"/>
            <w:u w:val="single"/>
          </w:rPr>
          <w:t>Israel F-15IA and F-15I+ Aircraft</w:t>
        </w:r>
      </w:hyperlink>
      <w:hyperlink r:id="rId44">
        <w:r w:rsidRPr="005A702E">
          <w:rPr>
            <w:i/>
            <w:iCs/>
            <w:sz w:val="18"/>
            <w:szCs w:val="18"/>
            <w:u w:val="single"/>
          </w:rPr>
          <w:t xml:space="preserve"> </w:t>
        </w:r>
      </w:hyperlink>
      <w:r w:rsidRPr="005A702E">
        <w:rPr>
          <w:sz w:val="18"/>
          <w:szCs w:val="18"/>
        </w:rPr>
        <w:t>(13 August 2024); Nick Wadhams,</w:t>
      </w:r>
      <w:r w:rsidR="000E2606">
        <w:rPr>
          <w:sz w:val="18"/>
          <w:szCs w:val="18"/>
        </w:rPr>
        <w:t xml:space="preserve"> </w:t>
      </w:r>
      <w:hyperlink r:id="rId45">
        <w:r w:rsidRPr="000E2606">
          <w:rPr>
            <w:i/>
            <w:iCs/>
            <w:color w:val="1155CC"/>
            <w:sz w:val="18"/>
            <w:szCs w:val="18"/>
            <w:u w:val="single"/>
          </w:rPr>
          <w:t>US Approves Sale of Fighter Jets to Israel in $18.8 Billion Deal</w:t>
        </w:r>
      </w:hyperlink>
      <w:r w:rsidR="000E2606">
        <w:rPr>
          <w:sz w:val="18"/>
          <w:szCs w:val="18"/>
        </w:rPr>
        <w:t xml:space="preserve">, </w:t>
      </w:r>
      <w:r w:rsidRPr="000E2606">
        <w:rPr>
          <w:sz w:val="18"/>
          <w:szCs w:val="18"/>
        </w:rPr>
        <w:t>BNN Bloomberg</w:t>
      </w:r>
      <w:r w:rsidRPr="005A702E">
        <w:rPr>
          <w:sz w:val="18"/>
          <w:szCs w:val="18"/>
        </w:rPr>
        <w:t xml:space="preserve"> (13 August 2024).</w:t>
      </w:r>
    </w:p>
  </w:footnote>
  <w:footnote w:id="49">
    <w:p w14:paraId="2705BB06" w14:textId="77777777" w:rsidR="008A75CF" w:rsidRPr="005A702E" w:rsidRDefault="008A75CF" w:rsidP="0045244F">
      <w:pPr>
        <w:pBdr>
          <w:top w:val="nil"/>
          <w:left w:val="nil"/>
          <w:bottom w:val="nil"/>
          <w:right w:val="nil"/>
          <w:between w:val="nil"/>
        </w:pBdr>
        <w:spacing w:after="0" w:line="240" w:lineRule="auto"/>
        <w:ind w:left="0" w:firstLine="0"/>
        <w:jc w:val="left"/>
        <w:rPr>
          <w:rFonts w:eastAsia="Cambria"/>
          <w:color w:val="000000"/>
          <w:sz w:val="18"/>
          <w:szCs w:val="18"/>
        </w:rPr>
      </w:pPr>
      <w:r w:rsidRPr="005A702E">
        <w:rPr>
          <w:sz w:val="18"/>
          <w:szCs w:val="18"/>
          <w:vertAlign w:val="superscript"/>
        </w:rPr>
        <w:footnoteRef/>
      </w:r>
      <w:r w:rsidRPr="005A702E">
        <w:rPr>
          <w:color w:val="000000"/>
          <w:sz w:val="18"/>
          <w:szCs w:val="18"/>
        </w:rPr>
        <w:t xml:space="preserve"> Magellan Aerospace Corporation, </w:t>
      </w:r>
      <w:hyperlink r:id="rId46">
        <w:r w:rsidRPr="005A702E">
          <w:rPr>
            <w:i/>
            <w:iCs/>
            <w:color w:val="1155CC"/>
            <w:sz w:val="18"/>
            <w:szCs w:val="18"/>
            <w:u w:val="single"/>
          </w:rPr>
          <w:t>Magellan Aerospace Signs Agreement with Collins Aerospace for Complex Castings</w:t>
        </w:r>
      </w:hyperlink>
      <w:r w:rsidRPr="005A702E">
        <w:rPr>
          <w:color w:val="000000"/>
          <w:sz w:val="18"/>
          <w:szCs w:val="18"/>
        </w:rPr>
        <w:t xml:space="preserve"> (6 March 2023); Héroux-Devtek Inc, </w:t>
      </w:r>
      <w:hyperlink r:id="rId47">
        <w:r w:rsidRPr="005A702E">
          <w:rPr>
            <w:i/>
            <w:iCs/>
            <w:color w:val="1155CC"/>
            <w:sz w:val="18"/>
            <w:szCs w:val="18"/>
            <w:u w:val="single"/>
          </w:rPr>
          <w:t>Annual Report 2021</w:t>
        </w:r>
      </w:hyperlink>
      <w:hyperlink r:id="rId48">
        <w:r w:rsidRPr="005A702E">
          <w:rPr>
            <w:color w:val="0000FF"/>
            <w:sz w:val="18"/>
            <w:szCs w:val="18"/>
            <w:u w:val="single"/>
          </w:rPr>
          <w:t>;</w:t>
        </w:r>
      </w:hyperlink>
      <w:r w:rsidRPr="005A702E">
        <w:rPr>
          <w:color w:val="000000"/>
          <w:sz w:val="18"/>
          <w:szCs w:val="18"/>
        </w:rPr>
        <w:t xml:space="preserve"> Héroux-Devtek Inc, </w:t>
      </w:r>
      <w:hyperlink r:id="rId49">
        <w:r w:rsidRPr="005A702E">
          <w:rPr>
            <w:i/>
            <w:iCs/>
            <w:color w:val="1155CC"/>
            <w:sz w:val="18"/>
            <w:szCs w:val="18"/>
            <w:u w:val="single"/>
          </w:rPr>
          <w:t>Héroux-Devtek Firms Up Landing Gear Supply Agreement for Boeing’s F/A-18 Program and Expands Scope to Boeing’s Advanced F-15 Program, Spare Parts, and Services</w:t>
        </w:r>
      </w:hyperlink>
      <w:r w:rsidRPr="005A702E">
        <w:rPr>
          <w:color w:val="000000"/>
          <w:sz w:val="18"/>
          <w:szCs w:val="18"/>
        </w:rPr>
        <w:t xml:space="preserve"> (21 May 2019).</w:t>
      </w:r>
    </w:p>
  </w:footnote>
  <w:footnote w:id="50">
    <w:p w14:paraId="59FC0871" w14:textId="7541171E" w:rsidR="008A75CF" w:rsidRPr="005A702E" w:rsidRDefault="008A75CF" w:rsidP="0045244F">
      <w:pPr>
        <w:pBdr>
          <w:top w:val="nil"/>
          <w:left w:val="nil"/>
          <w:bottom w:val="nil"/>
          <w:right w:val="nil"/>
          <w:between w:val="nil"/>
        </w:pBdr>
        <w:spacing w:after="0" w:line="240" w:lineRule="auto"/>
        <w:ind w:left="0" w:firstLine="0"/>
        <w:jc w:val="left"/>
        <w:rPr>
          <w:rFonts w:eastAsia="Cambria"/>
          <w:color w:val="000000"/>
          <w:sz w:val="18"/>
          <w:szCs w:val="18"/>
        </w:rPr>
      </w:pPr>
      <w:r w:rsidRPr="005A702E">
        <w:rPr>
          <w:sz w:val="18"/>
          <w:szCs w:val="18"/>
          <w:vertAlign w:val="superscript"/>
        </w:rPr>
        <w:footnoteRef/>
      </w:r>
      <w:r w:rsidRPr="005A702E">
        <w:rPr>
          <w:color w:val="000000"/>
          <w:sz w:val="18"/>
          <w:szCs w:val="18"/>
        </w:rPr>
        <w:t xml:space="preserve"> Yoav Zitun, </w:t>
      </w:r>
      <w:hyperlink r:id="rId50">
        <w:r w:rsidR="000E2606" w:rsidRPr="000E2606">
          <w:rPr>
            <w:i/>
            <w:iCs/>
            <w:color w:val="1155CC"/>
            <w:sz w:val="18"/>
            <w:szCs w:val="18"/>
            <w:u w:val="single"/>
          </w:rPr>
          <w:t>Israel Secures Top Priority for US Attack Helicopter Deliveries</w:t>
        </w:r>
      </w:hyperlink>
      <w:r w:rsidR="000E2606">
        <w:rPr>
          <w:sz w:val="18"/>
          <w:szCs w:val="18"/>
        </w:rPr>
        <w:t xml:space="preserve">, </w:t>
      </w:r>
      <w:r w:rsidRPr="000E2606">
        <w:rPr>
          <w:color w:val="000000"/>
          <w:sz w:val="18"/>
          <w:szCs w:val="18"/>
        </w:rPr>
        <w:t>Ynetnews</w:t>
      </w:r>
      <w:r w:rsidRPr="005A702E">
        <w:rPr>
          <w:color w:val="000000"/>
          <w:sz w:val="18"/>
          <w:szCs w:val="18"/>
        </w:rPr>
        <w:t xml:space="preserve"> (25 January 2024)</w:t>
      </w:r>
      <w:r w:rsidR="000E2606">
        <w:rPr>
          <w:sz w:val="18"/>
          <w:szCs w:val="18"/>
        </w:rPr>
        <w:t>;</w:t>
      </w:r>
      <w:r w:rsidRPr="005A702E">
        <w:rPr>
          <w:color w:val="000000"/>
          <w:sz w:val="18"/>
          <w:szCs w:val="18"/>
        </w:rPr>
        <w:t xml:space="preserve"> France 24, </w:t>
      </w:r>
      <w:hyperlink r:id="rId51">
        <w:r w:rsidRPr="00705968">
          <w:rPr>
            <w:i/>
            <w:iCs/>
            <w:color w:val="1155CC"/>
            <w:sz w:val="18"/>
            <w:szCs w:val="18"/>
            <w:u w:val="single"/>
          </w:rPr>
          <w:t>Israel Hits Gaza from Land, Sea, and Air as Hamas Halts Talks</w:t>
        </w:r>
      </w:hyperlink>
      <w:r w:rsidRPr="005A702E">
        <w:rPr>
          <w:sz w:val="18"/>
          <w:szCs w:val="18"/>
        </w:rPr>
        <w:t xml:space="preserve">, </w:t>
      </w:r>
      <w:r w:rsidRPr="00705968">
        <w:rPr>
          <w:sz w:val="18"/>
          <w:szCs w:val="18"/>
        </w:rPr>
        <w:t>France 24</w:t>
      </w:r>
      <w:r w:rsidRPr="005A702E">
        <w:rPr>
          <w:color w:val="000000"/>
          <w:sz w:val="18"/>
          <w:szCs w:val="18"/>
        </w:rPr>
        <w:t xml:space="preserve"> (15 July 2024)</w:t>
      </w:r>
      <w:r w:rsidRPr="005A702E">
        <w:rPr>
          <w:sz w:val="18"/>
          <w:szCs w:val="18"/>
        </w:rPr>
        <w:t>.</w:t>
      </w:r>
    </w:p>
  </w:footnote>
  <w:footnote w:id="51">
    <w:p w14:paraId="34DCAB32" w14:textId="77777777" w:rsidR="008A75CF" w:rsidRPr="005A702E" w:rsidRDefault="008A75CF" w:rsidP="0045244F">
      <w:pPr>
        <w:pBdr>
          <w:top w:val="nil"/>
          <w:left w:val="nil"/>
          <w:bottom w:val="nil"/>
          <w:right w:val="nil"/>
          <w:between w:val="nil"/>
        </w:pBdr>
        <w:spacing w:after="0" w:line="240" w:lineRule="auto"/>
        <w:ind w:left="0" w:firstLine="0"/>
        <w:jc w:val="left"/>
        <w:rPr>
          <w:rFonts w:eastAsia="Cambria"/>
          <w:color w:val="000000"/>
          <w:sz w:val="18"/>
          <w:szCs w:val="18"/>
        </w:rPr>
      </w:pPr>
      <w:r w:rsidRPr="005A702E">
        <w:rPr>
          <w:sz w:val="18"/>
          <w:szCs w:val="18"/>
          <w:vertAlign w:val="superscript"/>
        </w:rPr>
        <w:footnoteRef/>
      </w:r>
      <w:r w:rsidRPr="005A702E">
        <w:rPr>
          <w:color w:val="000000"/>
          <w:sz w:val="18"/>
          <w:szCs w:val="18"/>
        </w:rPr>
        <w:t xml:space="preserve"> Boeing Canada, </w:t>
      </w:r>
      <w:hyperlink r:id="rId52" w:anchor="backgrounder">
        <w:r w:rsidRPr="005A702E">
          <w:rPr>
            <w:i/>
            <w:iCs/>
            <w:color w:val="1155CC"/>
            <w:sz w:val="18"/>
            <w:szCs w:val="18"/>
            <w:u w:val="single"/>
          </w:rPr>
          <w:t>Boeing in Canada</w:t>
        </w:r>
      </w:hyperlink>
      <w:r w:rsidRPr="005A702E">
        <w:rPr>
          <w:sz w:val="18"/>
          <w:szCs w:val="18"/>
        </w:rPr>
        <w:t>.</w:t>
      </w:r>
    </w:p>
  </w:footnote>
  <w:footnote w:id="52">
    <w:p w14:paraId="10A07655" w14:textId="738A3608" w:rsidR="008A75CF" w:rsidRPr="005A702E" w:rsidRDefault="008A75CF" w:rsidP="0045244F">
      <w:pPr>
        <w:pBdr>
          <w:top w:val="nil"/>
          <w:left w:val="nil"/>
          <w:bottom w:val="nil"/>
          <w:right w:val="nil"/>
          <w:between w:val="nil"/>
        </w:pBdr>
        <w:spacing w:after="0" w:line="240" w:lineRule="auto"/>
        <w:ind w:left="0" w:firstLine="0"/>
        <w:jc w:val="left"/>
        <w:rPr>
          <w:rFonts w:eastAsia="Cambria"/>
          <w:color w:val="000000"/>
          <w:sz w:val="18"/>
          <w:szCs w:val="18"/>
        </w:rPr>
      </w:pPr>
      <w:r w:rsidRPr="005A702E">
        <w:rPr>
          <w:sz w:val="18"/>
          <w:szCs w:val="18"/>
          <w:vertAlign w:val="superscript"/>
        </w:rPr>
        <w:footnoteRef/>
      </w:r>
      <w:r w:rsidRPr="005A702E">
        <w:rPr>
          <w:color w:val="000000"/>
          <w:sz w:val="18"/>
          <w:szCs w:val="18"/>
        </w:rPr>
        <w:t xml:space="preserve"> Emanuel Fabian, </w:t>
      </w:r>
      <w:hyperlink r:id="rId53">
        <w:r w:rsidR="00705968" w:rsidRPr="00705968">
          <w:rPr>
            <w:i/>
            <w:iCs/>
            <w:color w:val="1155CC"/>
            <w:sz w:val="18"/>
            <w:szCs w:val="18"/>
            <w:u w:val="single"/>
          </w:rPr>
          <w:t>Israel Advancing Deals with US to Purchase Fighter Jets, Helicopters, and Munitions</w:t>
        </w:r>
      </w:hyperlink>
      <w:r w:rsidR="00705968">
        <w:rPr>
          <w:color w:val="000000"/>
          <w:sz w:val="18"/>
          <w:szCs w:val="18"/>
        </w:rPr>
        <w:t xml:space="preserve">, </w:t>
      </w:r>
      <w:r w:rsidRPr="00705968">
        <w:rPr>
          <w:color w:val="000000"/>
          <w:sz w:val="18"/>
          <w:szCs w:val="18"/>
        </w:rPr>
        <w:t>The Times of Israel</w:t>
      </w:r>
      <w:r w:rsidRPr="005A702E">
        <w:rPr>
          <w:color w:val="000000"/>
          <w:sz w:val="18"/>
          <w:szCs w:val="18"/>
        </w:rPr>
        <w:t xml:space="preserve"> (26 January 2024)</w:t>
      </w:r>
      <w:r w:rsidR="00705968">
        <w:rPr>
          <w:color w:val="000000"/>
          <w:sz w:val="18"/>
          <w:szCs w:val="18"/>
        </w:rPr>
        <w:t xml:space="preserve">; </w:t>
      </w:r>
      <w:r w:rsidRPr="005A702E">
        <w:rPr>
          <w:color w:val="000000"/>
          <w:sz w:val="18"/>
          <w:szCs w:val="18"/>
        </w:rPr>
        <w:t xml:space="preserve">Yoav Zitun, </w:t>
      </w:r>
      <w:hyperlink r:id="rId54">
        <w:r w:rsidR="00705968" w:rsidRPr="00705968">
          <w:rPr>
            <w:i/>
            <w:iCs/>
            <w:color w:val="1155CC"/>
            <w:sz w:val="18"/>
            <w:szCs w:val="18"/>
            <w:u w:val="single"/>
          </w:rPr>
          <w:t>IDF Secures Top Priority for US Attack Helicopter Deliveries</w:t>
        </w:r>
      </w:hyperlink>
      <w:r w:rsidR="00705968">
        <w:rPr>
          <w:color w:val="000000"/>
          <w:sz w:val="18"/>
          <w:szCs w:val="18"/>
        </w:rPr>
        <w:t xml:space="preserve">, </w:t>
      </w:r>
      <w:r w:rsidRPr="00705968">
        <w:rPr>
          <w:color w:val="000000"/>
          <w:sz w:val="18"/>
          <w:szCs w:val="18"/>
        </w:rPr>
        <w:t>Ynetnews</w:t>
      </w:r>
      <w:r w:rsidRPr="005A702E">
        <w:rPr>
          <w:color w:val="000000"/>
          <w:sz w:val="18"/>
          <w:szCs w:val="18"/>
        </w:rPr>
        <w:t xml:space="preserve"> (25 January 2024)</w:t>
      </w:r>
      <w:r w:rsidRPr="005A702E">
        <w:rPr>
          <w:sz w:val="18"/>
          <w:szCs w:val="18"/>
        </w:rPr>
        <w:t>.</w:t>
      </w:r>
    </w:p>
  </w:footnote>
  <w:footnote w:id="53">
    <w:p w14:paraId="7CA13910" w14:textId="40326072" w:rsidR="6AFF34AF" w:rsidRPr="005A702E" w:rsidRDefault="6AFF34AF" w:rsidP="0045244F">
      <w:pPr>
        <w:pStyle w:val="FootnoteText"/>
        <w:spacing w:line="240" w:lineRule="auto"/>
        <w:ind w:left="-77" w:firstLine="77"/>
        <w:jc w:val="left"/>
        <w:rPr>
          <w:color w:val="000000" w:themeColor="text1"/>
          <w:sz w:val="18"/>
          <w:szCs w:val="18"/>
        </w:rPr>
      </w:pPr>
      <w:r w:rsidRPr="005A702E">
        <w:rPr>
          <w:rStyle w:val="FootnoteReference"/>
          <w:sz w:val="18"/>
          <w:szCs w:val="18"/>
        </w:rPr>
        <w:footnoteRef/>
      </w:r>
      <w:r w:rsidRPr="005A702E">
        <w:rPr>
          <w:sz w:val="18"/>
          <w:szCs w:val="18"/>
        </w:rPr>
        <w:t xml:space="preserve"> </w:t>
      </w:r>
      <w:r w:rsidRPr="005A702E">
        <w:rPr>
          <w:color w:val="000000" w:themeColor="text1"/>
          <w:sz w:val="18"/>
          <w:szCs w:val="18"/>
        </w:rPr>
        <w:t xml:space="preserve">Alex Cosh, </w:t>
      </w:r>
      <w:hyperlink r:id="rId55">
        <w:r w:rsidRPr="00705968">
          <w:rPr>
            <w:rStyle w:val="Hyperlink"/>
            <w:rFonts w:ascii="Arial" w:hAnsi="Arial"/>
            <w:sz w:val="18"/>
            <w:szCs w:val="18"/>
          </w:rPr>
          <w:t>Canada Sold $18.9 Million Of Military Goods To Israel, Despite ‘Pause’</w:t>
        </w:r>
      </w:hyperlink>
      <w:r w:rsidR="00705968">
        <w:rPr>
          <w:color w:val="000000" w:themeColor="text1"/>
          <w:sz w:val="18"/>
          <w:szCs w:val="18"/>
        </w:rPr>
        <w:t xml:space="preserve">, </w:t>
      </w:r>
      <w:r w:rsidRPr="00705968">
        <w:rPr>
          <w:color w:val="000000" w:themeColor="text1"/>
          <w:sz w:val="18"/>
          <w:szCs w:val="18"/>
        </w:rPr>
        <w:t xml:space="preserve">The Maple </w:t>
      </w:r>
      <w:r w:rsidRPr="005A702E">
        <w:rPr>
          <w:i/>
          <w:iCs/>
          <w:color w:val="000000" w:themeColor="text1"/>
          <w:sz w:val="18"/>
          <w:szCs w:val="18"/>
        </w:rPr>
        <w:t>(</w:t>
      </w:r>
      <w:r w:rsidRPr="005A702E">
        <w:rPr>
          <w:color w:val="000000" w:themeColor="text1"/>
          <w:sz w:val="18"/>
          <w:szCs w:val="18"/>
        </w:rPr>
        <w:t>7 June 2025)</w:t>
      </w:r>
      <w:r w:rsidRPr="005A702E">
        <w:rPr>
          <w:sz w:val="18"/>
          <w:szCs w:val="18"/>
        </w:rPr>
        <w:t>.</w:t>
      </w:r>
    </w:p>
  </w:footnote>
  <w:footnote w:id="54">
    <w:p w14:paraId="02D58CEA" w14:textId="5832FF43" w:rsidR="6AFF34AF" w:rsidRPr="005A702E" w:rsidRDefault="6AFF34AF" w:rsidP="0045244F">
      <w:pPr>
        <w:pStyle w:val="FootnoteText"/>
        <w:spacing w:line="240" w:lineRule="auto"/>
        <w:ind w:left="-77" w:firstLine="77"/>
        <w:jc w:val="left"/>
        <w:rPr>
          <w:sz w:val="18"/>
          <w:szCs w:val="18"/>
        </w:rPr>
      </w:pPr>
      <w:r w:rsidRPr="005A702E">
        <w:rPr>
          <w:rStyle w:val="FootnoteReference"/>
          <w:sz w:val="18"/>
          <w:szCs w:val="18"/>
        </w:rPr>
        <w:footnoteRef/>
      </w:r>
      <w:r w:rsidRPr="005A702E">
        <w:rPr>
          <w:sz w:val="18"/>
          <w:szCs w:val="18"/>
        </w:rPr>
        <w:t xml:space="preserve"> </w:t>
      </w:r>
      <w:r w:rsidR="3220C020" w:rsidRPr="005A702E">
        <w:rPr>
          <w:sz w:val="18"/>
          <w:szCs w:val="18"/>
        </w:rPr>
        <w:t>Ibid.</w:t>
      </w:r>
    </w:p>
  </w:footnote>
  <w:footnote w:id="55">
    <w:p w14:paraId="239CB0B2" w14:textId="76F4D844" w:rsidR="6AFF34AF" w:rsidRPr="005A702E" w:rsidRDefault="6AFF34AF" w:rsidP="0045244F">
      <w:pPr>
        <w:pStyle w:val="FootnoteText"/>
        <w:spacing w:line="240" w:lineRule="auto"/>
        <w:ind w:left="-77" w:firstLine="77"/>
        <w:jc w:val="left"/>
        <w:rPr>
          <w:sz w:val="18"/>
          <w:szCs w:val="18"/>
        </w:rPr>
      </w:pPr>
      <w:r w:rsidRPr="005A702E">
        <w:rPr>
          <w:rStyle w:val="FootnoteReference"/>
          <w:sz w:val="18"/>
          <w:szCs w:val="18"/>
        </w:rPr>
        <w:footnoteRef/>
      </w:r>
      <w:r w:rsidRPr="005A702E">
        <w:rPr>
          <w:sz w:val="18"/>
          <w:szCs w:val="18"/>
        </w:rPr>
        <w:t xml:space="preserve"> </w:t>
      </w:r>
      <w:r w:rsidR="3220C020" w:rsidRPr="005A702E">
        <w:rPr>
          <w:sz w:val="18"/>
          <w:szCs w:val="18"/>
        </w:rPr>
        <w:t>Ibid.</w:t>
      </w:r>
    </w:p>
  </w:footnote>
  <w:footnote w:id="56">
    <w:p w14:paraId="673FD5B1" w14:textId="04DF5762" w:rsidR="6AFF34AF" w:rsidRPr="005A702E" w:rsidRDefault="6AFF34AF" w:rsidP="0045244F">
      <w:pPr>
        <w:pStyle w:val="FootnoteText"/>
        <w:spacing w:line="240" w:lineRule="auto"/>
        <w:ind w:left="-77" w:firstLine="77"/>
        <w:jc w:val="left"/>
        <w:rPr>
          <w:sz w:val="18"/>
          <w:szCs w:val="18"/>
        </w:rPr>
      </w:pPr>
      <w:r w:rsidRPr="005A702E">
        <w:rPr>
          <w:rStyle w:val="FootnoteReference"/>
          <w:sz w:val="18"/>
          <w:szCs w:val="18"/>
        </w:rPr>
        <w:footnoteRef/>
      </w:r>
      <w:r w:rsidRPr="005A702E">
        <w:rPr>
          <w:sz w:val="18"/>
          <w:szCs w:val="18"/>
        </w:rPr>
        <w:t xml:space="preserve"> Ibid.</w:t>
      </w:r>
    </w:p>
  </w:footnote>
  <w:footnote w:id="57">
    <w:p w14:paraId="7E569E16" w14:textId="3989F500" w:rsidR="60589CA8" w:rsidRPr="005A702E" w:rsidRDefault="60589CA8" w:rsidP="0045244F">
      <w:pPr>
        <w:pStyle w:val="FootnoteText"/>
        <w:spacing w:line="240" w:lineRule="auto"/>
        <w:ind w:left="0" w:firstLine="0"/>
        <w:jc w:val="left"/>
        <w:rPr>
          <w:color w:val="000000" w:themeColor="text1"/>
          <w:sz w:val="18"/>
          <w:szCs w:val="18"/>
          <w:lang w:val="en-GB"/>
        </w:rPr>
      </w:pPr>
      <w:r w:rsidRPr="005A702E">
        <w:rPr>
          <w:rStyle w:val="FootnoteReference"/>
          <w:sz w:val="18"/>
          <w:szCs w:val="18"/>
        </w:rPr>
        <w:footnoteRef/>
      </w:r>
      <w:r w:rsidRPr="005A702E">
        <w:rPr>
          <w:color w:val="000000" w:themeColor="text1"/>
          <w:sz w:val="18"/>
          <w:szCs w:val="18"/>
          <w:lang w:val="en-GB"/>
        </w:rPr>
        <w:t xml:space="preserve"> In 2023, and most of it likely since October 7, 2023, F-35 related transfers of parts and components from and via the Netherlands to Israel (under a separate F-35 general licence) spiked to EUR 35 million, from EUR 3 million in total for 2021-2022.</w:t>
      </w:r>
    </w:p>
  </w:footnote>
  <w:footnote w:id="58">
    <w:p w14:paraId="66966DFD" w14:textId="2D6C6B6B" w:rsidR="60589CA8" w:rsidRPr="005A702E" w:rsidRDefault="60589CA8" w:rsidP="0045244F">
      <w:pPr>
        <w:pStyle w:val="FootnoteText"/>
        <w:spacing w:line="240" w:lineRule="auto"/>
        <w:ind w:left="0" w:firstLine="0"/>
        <w:jc w:val="left"/>
        <w:rPr>
          <w:sz w:val="18"/>
          <w:szCs w:val="18"/>
        </w:rPr>
      </w:pPr>
      <w:r w:rsidRPr="005A702E">
        <w:rPr>
          <w:rStyle w:val="FootnoteReference"/>
          <w:sz w:val="18"/>
          <w:szCs w:val="18"/>
        </w:rPr>
        <w:footnoteRef/>
      </w:r>
      <w:r w:rsidRPr="005A702E">
        <w:rPr>
          <w:sz w:val="18"/>
          <w:szCs w:val="18"/>
        </w:rPr>
        <w:t xml:space="preserve"> Prakken d’Oliveira, </w:t>
      </w:r>
      <w:hyperlink r:id="rId56">
        <w:r w:rsidRPr="005A702E">
          <w:rPr>
            <w:rStyle w:val="Hyperlink"/>
            <w:rFonts w:ascii="Arial" w:hAnsi="Arial"/>
            <w:sz w:val="18"/>
            <w:szCs w:val="18"/>
          </w:rPr>
          <w:t>Judgment Court of Appeals The Hague: (re: Gaza) The Netherlands must stop exporting F-35 fighter jet parts to Israel</w:t>
        </w:r>
      </w:hyperlink>
      <w:r w:rsidRPr="005A702E">
        <w:rPr>
          <w:sz w:val="18"/>
          <w:szCs w:val="18"/>
        </w:rPr>
        <w:t xml:space="preserve"> (12 February 2024).</w:t>
      </w:r>
    </w:p>
  </w:footnote>
  <w:footnote w:id="59">
    <w:p w14:paraId="1842CA57" w14:textId="5D683FD2" w:rsidR="60589CA8" w:rsidRPr="005A702E" w:rsidRDefault="60589CA8" w:rsidP="0045244F">
      <w:pPr>
        <w:pStyle w:val="FootnoteText"/>
        <w:spacing w:line="240" w:lineRule="auto"/>
        <w:ind w:left="-77" w:firstLine="77"/>
        <w:jc w:val="left"/>
        <w:rPr>
          <w:sz w:val="18"/>
          <w:szCs w:val="18"/>
        </w:rPr>
      </w:pPr>
      <w:r w:rsidRPr="005A702E">
        <w:rPr>
          <w:rStyle w:val="FootnoteReference"/>
          <w:sz w:val="18"/>
          <w:szCs w:val="18"/>
        </w:rPr>
        <w:footnoteRef/>
      </w:r>
      <w:r w:rsidRPr="005A702E">
        <w:rPr>
          <w:sz w:val="18"/>
          <w:szCs w:val="18"/>
        </w:rPr>
        <w:t xml:space="preserve"> de Rechtspraak, </w:t>
      </w:r>
      <w:hyperlink r:id="rId57">
        <w:r w:rsidRPr="005A702E">
          <w:rPr>
            <w:rStyle w:val="Hyperlink"/>
            <w:rFonts w:ascii="Arial" w:hAnsi="Arial"/>
            <w:sz w:val="18"/>
            <w:szCs w:val="18"/>
          </w:rPr>
          <w:t>The Netherlands has to stop the export of F-35 fighter jet parts to Israel</w:t>
        </w:r>
      </w:hyperlink>
      <w:r w:rsidRPr="005A702E">
        <w:rPr>
          <w:sz w:val="18"/>
          <w:szCs w:val="18"/>
        </w:rPr>
        <w:t xml:space="preserve"> (12 February 2024).</w:t>
      </w:r>
    </w:p>
  </w:footnote>
  <w:footnote w:id="60">
    <w:p w14:paraId="53CDA9C8" w14:textId="3F6DAD71" w:rsidR="60589CA8" w:rsidRPr="005A702E" w:rsidRDefault="60589CA8" w:rsidP="0045244F">
      <w:pPr>
        <w:pStyle w:val="FootnoteText"/>
        <w:spacing w:line="240" w:lineRule="auto"/>
        <w:ind w:left="-77" w:firstLine="77"/>
        <w:jc w:val="left"/>
        <w:rPr>
          <w:rFonts w:eastAsia="Arial Nova"/>
          <w:sz w:val="18"/>
          <w:szCs w:val="18"/>
        </w:rPr>
      </w:pPr>
      <w:r w:rsidRPr="005A702E">
        <w:rPr>
          <w:rStyle w:val="FootnoteReference"/>
          <w:sz w:val="18"/>
          <w:szCs w:val="18"/>
        </w:rPr>
        <w:footnoteRef/>
      </w:r>
      <w:r w:rsidRPr="005A702E">
        <w:rPr>
          <w:sz w:val="18"/>
          <w:szCs w:val="18"/>
        </w:rPr>
        <w:t xml:space="preserve"> </w:t>
      </w:r>
      <w:r w:rsidR="3220C020" w:rsidRPr="005A702E">
        <w:rPr>
          <w:sz w:val="18"/>
          <w:szCs w:val="18"/>
        </w:rPr>
        <w:t xml:space="preserve">Brabant is Bright, </w:t>
      </w:r>
      <w:hyperlink r:id="rId58">
        <w:r w:rsidRPr="005A702E">
          <w:rPr>
            <w:rStyle w:val="Hyperlink"/>
            <w:rFonts w:ascii="Arial" w:hAnsi="Arial"/>
            <w:sz w:val="18"/>
            <w:szCs w:val="18"/>
          </w:rPr>
          <w:t>European spare parts center F-35 officially opened</w:t>
        </w:r>
      </w:hyperlink>
      <w:r w:rsidRPr="005A702E">
        <w:rPr>
          <w:sz w:val="18"/>
          <w:szCs w:val="18"/>
        </w:rPr>
        <w:t xml:space="preserve"> (4 November 2019).</w:t>
      </w:r>
    </w:p>
  </w:footnote>
  <w:footnote w:id="61">
    <w:p w14:paraId="675471C5" w14:textId="5BEA67D8" w:rsidR="60589CA8" w:rsidRPr="005A702E" w:rsidRDefault="60589CA8" w:rsidP="0045244F">
      <w:pPr>
        <w:pStyle w:val="FootnoteText"/>
        <w:spacing w:line="240" w:lineRule="auto"/>
        <w:ind w:left="0" w:firstLine="0"/>
        <w:jc w:val="left"/>
        <w:rPr>
          <w:sz w:val="18"/>
          <w:szCs w:val="18"/>
        </w:rPr>
      </w:pPr>
      <w:r w:rsidRPr="005A702E">
        <w:rPr>
          <w:rStyle w:val="FootnoteReference"/>
          <w:sz w:val="18"/>
          <w:szCs w:val="18"/>
        </w:rPr>
        <w:footnoteRef/>
      </w:r>
      <w:r w:rsidRPr="005A702E">
        <w:rPr>
          <w:sz w:val="18"/>
          <w:szCs w:val="18"/>
        </w:rPr>
        <w:t xml:space="preserve"> Hoge Raad Der Nederlanden, </w:t>
      </w:r>
      <w:hyperlink r:id="rId59">
        <w:r w:rsidRPr="005A702E">
          <w:rPr>
            <w:rStyle w:val="Hyperlink"/>
            <w:rFonts w:ascii="Arial" w:hAnsi="Arial"/>
            <w:sz w:val="18"/>
            <w:szCs w:val="18"/>
          </w:rPr>
          <w:t>Advies AG aan Hoge Raad: uitspraak hof dat Nederlandse Staat de uitvoer van F-35-onderdelen naar Israël moet stoppen kan in stand blijven</w:t>
        </w:r>
      </w:hyperlink>
      <w:r w:rsidRPr="005A702E">
        <w:rPr>
          <w:sz w:val="18"/>
          <w:szCs w:val="18"/>
        </w:rPr>
        <w:t xml:space="preserve"> (29 November 2024).</w:t>
      </w:r>
    </w:p>
  </w:footnote>
  <w:footnote w:id="62">
    <w:p w14:paraId="49420C29" w14:textId="1CB7B0F8" w:rsidR="60589CA8" w:rsidRPr="005A702E" w:rsidRDefault="60589CA8" w:rsidP="0045244F">
      <w:pPr>
        <w:pStyle w:val="FootnoteText"/>
        <w:spacing w:line="240" w:lineRule="auto"/>
        <w:ind w:left="0" w:firstLine="0"/>
        <w:jc w:val="left"/>
        <w:rPr>
          <w:sz w:val="18"/>
          <w:szCs w:val="18"/>
        </w:rPr>
      </w:pPr>
      <w:r w:rsidRPr="005A702E">
        <w:rPr>
          <w:rStyle w:val="FootnoteReference"/>
          <w:sz w:val="18"/>
          <w:szCs w:val="18"/>
        </w:rPr>
        <w:footnoteRef/>
      </w:r>
      <w:r w:rsidRPr="005A702E">
        <w:rPr>
          <w:sz w:val="18"/>
          <w:szCs w:val="18"/>
        </w:rPr>
        <w:t xml:space="preserve"> Federal Register of Legislation, </w:t>
      </w:r>
      <w:hyperlink r:id="rId60">
        <w:r w:rsidRPr="005A702E">
          <w:rPr>
            <w:rStyle w:val="Hyperlink"/>
            <w:rFonts w:ascii="Arial" w:hAnsi="Arial"/>
            <w:sz w:val="18"/>
            <w:szCs w:val="18"/>
          </w:rPr>
          <w:t>Defence Trade Controls Act 2012</w:t>
        </w:r>
      </w:hyperlink>
      <w:r w:rsidRPr="005A702E">
        <w:rPr>
          <w:sz w:val="18"/>
          <w:szCs w:val="18"/>
        </w:rPr>
        <w:t xml:space="preserve"> (14 October 2024).</w:t>
      </w:r>
    </w:p>
  </w:footnote>
  <w:footnote w:id="63">
    <w:p w14:paraId="6D027CBA" w14:textId="0692094D" w:rsidR="60589CA8" w:rsidRPr="005A702E" w:rsidRDefault="60589CA8" w:rsidP="0045244F">
      <w:pPr>
        <w:pStyle w:val="FootnoteText"/>
        <w:spacing w:line="240" w:lineRule="auto"/>
        <w:ind w:left="-77" w:firstLine="77"/>
        <w:jc w:val="left"/>
        <w:rPr>
          <w:sz w:val="18"/>
          <w:szCs w:val="18"/>
        </w:rPr>
      </w:pPr>
      <w:r w:rsidRPr="005A702E">
        <w:rPr>
          <w:rStyle w:val="FootnoteReference"/>
          <w:sz w:val="18"/>
          <w:szCs w:val="18"/>
        </w:rPr>
        <w:footnoteRef/>
      </w:r>
      <w:r w:rsidRPr="005A702E">
        <w:rPr>
          <w:sz w:val="18"/>
          <w:szCs w:val="18"/>
        </w:rPr>
        <w:t xml:space="preserve"> AustLII, </w:t>
      </w:r>
      <w:hyperlink r:id="rId61">
        <w:r w:rsidRPr="005A702E">
          <w:rPr>
            <w:rStyle w:val="Hyperlink"/>
            <w:rFonts w:ascii="Arial" w:hAnsi="Arial"/>
            <w:sz w:val="18"/>
            <w:szCs w:val="18"/>
          </w:rPr>
          <w:t>Customs (Prohibited Exports) Regulations 1958</w:t>
        </w:r>
      </w:hyperlink>
      <w:r w:rsidRPr="005A702E">
        <w:rPr>
          <w:sz w:val="18"/>
          <w:szCs w:val="18"/>
        </w:rPr>
        <w:t>.</w:t>
      </w:r>
    </w:p>
  </w:footnote>
  <w:footnote w:id="64">
    <w:p w14:paraId="1474A03A" w14:textId="246E4E02" w:rsidR="60589CA8" w:rsidRPr="005A702E" w:rsidRDefault="60589CA8" w:rsidP="0045244F">
      <w:pPr>
        <w:pStyle w:val="FootnoteText"/>
        <w:spacing w:line="240" w:lineRule="auto"/>
        <w:ind w:left="-77" w:firstLine="77"/>
        <w:jc w:val="left"/>
        <w:rPr>
          <w:sz w:val="18"/>
          <w:szCs w:val="18"/>
        </w:rPr>
      </w:pPr>
      <w:r w:rsidRPr="005A702E">
        <w:rPr>
          <w:rStyle w:val="FootnoteReference"/>
          <w:sz w:val="18"/>
          <w:szCs w:val="18"/>
        </w:rPr>
        <w:footnoteRef/>
      </w:r>
      <w:r w:rsidRPr="005A702E">
        <w:rPr>
          <w:sz w:val="18"/>
          <w:szCs w:val="18"/>
        </w:rPr>
        <w:t xml:space="preserve"> Federal Register of Legislation, </w:t>
      </w:r>
      <w:hyperlink r:id="rId62">
        <w:r w:rsidRPr="005A702E">
          <w:rPr>
            <w:rStyle w:val="Hyperlink"/>
            <w:rFonts w:ascii="Arial" w:hAnsi="Arial"/>
            <w:sz w:val="18"/>
            <w:szCs w:val="18"/>
          </w:rPr>
          <w:t>Defence Trade Controls Regulation 2013</w:t>
        </w:r>
      </w:hyperlink>
      <w:r w:rsidRPr="005A702E">
        <w:rPr>
          <w:sz w:val="18"/>
          <w:szCs w:val="18"/>
        </w:rPr>
        <w:t xml:space="preserve"> (14 October 2024).</w:t>
      </w:r>
    </w:p>
  </w:footnote>
  <w:footnote w:id="65">
    <w:p w14:paraId="009DDCAD" w14:textId="0F02975B" w:rsidR="60589CA8" w:rsidRPr="005A702E" w:rsidRDefault="60589CA8" w:rsidP="0045244F">
      <w:pPr>
        <w:pStyle w:val="FootnoteText"/>
        <w:spacing w:line="240" w:lineRule="auto"/>
        <w:ind w:left="-77" w:firstLine="77"/>
        <w:jc w:val="left"/>
        <w:rPr>
          <w:sz w:val="18"/>
          <w:szCs w:val="18"/>
        </w:rPr>
      </w:pPr>
      <w:r w:rsidRPr="005A702E">
        <w:rPr>
          <w:rStyle w:val="FootnoteReference"/>
          <w:sz w:val="18"/>
          <w:szCs w:val="18"/>
        </w:rPr>
        <w:footnoteRef/>
      </w:r>
      <w:r w:rsidRPr="005A702E">
        <w:rPr>
          <w:sz w:val="18"/>
          <w:szCs w:val="18"/>
        </w:rPr>
        <w:t xml:space="preserve"> The Guardian, </w:t>
      </w:r>
      <w:hyperlink r:id="rId63">
        <w:r w:rsidRPr="005A702E">
          <w:rPr>
            <w:rStyle w:val="Hyperlink"/>
            <w:rFonts w:ascii="Arial" w:hAnsi="Arial"/>
            <w:sz w:val="18"/>
            <w:szCs w:val="18"/>
          </w:rPr>
          <w:t>Australia amends or ends 16 defence export permits to Israel amid review</w:t>
        </w:r>
      </w:hyperlink>
      <w:r w:rsidRPr="005A702E">
        <w:rPr>
          <w:sz w:val="18"/>
          <w:szCs w:val="18"/>
        </w:rPr>
        <w:t xml:space="preserve"> (12 November 2024).</w:t>
      </w:r>
    </w:p>
  </w:footnote>
  <w:footnote w:id="66">
    <w:p w14:paraId="3FD77373" w14:textId="41C7840D" w:rsidR="60589CA8" w:rsidRPr="005A702E" w:rsidRDefault="60589CA8" w:rsidP="0045244F">
      <w:pPr>
        <w:pStyle w:val="FootnoteText"/>
        <w:spacing w:line="240" w:lineRule="auto"/>
        <w:ind w:left="0" w:firstLine="0"/>
        <w:jc w:val="left"/>
        <w:rPr>
          <w:sz w:val="18"/>
          <w:szCs w:val="18"/>
        </w:rPr>
      </w:pPr>
      <w:r w:rsidRPr="005A702E">
        <w:rPr>
          <w:rStyle w:val="FootnoteReference"/>
          <w:sz w:val="18"/>
          <w:szCs w:val="18"/>
        </w:rPr>
        <w:footnoteRef/>
      </w:r>
      <w:r w:rsidRPr="005A702E">
        <w:rPr>
          <w:sz w:val="18"/>
          <w:szCs w:val="18"/>
        </w:rPr>
        <w:t xml:space="preserve"> Commonwealth of Australia, </w:t>
      </w:r>
      <w:hyperlink r:id="rId64" w:anchor="search=%22committees/estimate/28742/0000%22">
        <w:r w:rsidRPr="005A702E">
          <w:rPr>
            <w:rStyle w:val="Hyperlink"/>
            <w:rFonts w:ascii="Arial" w:hAnsi="Arial"/>
            <w:sz w:val="18"/>
            <w:szCs w:val="18"/>
          </w:rPr>
          <w:t>Official Committee Hansard of the Senate Foreign Affairs, Defence and Trade Legislation Committee</w:t>
        </w:r>
      </w:hyperlink>
      <w:r w:rsidRPr="005A702E">
        <w:rPr>
          <w:sz w:val="18"/>
          <w:szCs w:val="18"/>
        </w:rPr>
        <w:t xml:space="preserve"> (26 February 2025).</w:t>
      </w:r>
    </w:p>
  </w:footnote>
  <w:footnote w:id="67">
    <w:p w14:paraId="335CFFB2" w14:textId="612883CD" w:rsidR="007B3571" w:rsidRPr="005A702E" w:rsidRDefault="007B3571" w:rsidP="0045244F">
      <w:pPr>
        <w:spacing w:after="0" w:line="240" w:lineRule="auto"/>
        <w:ind w:left="0" w:firstLine="0"/>
        <w:jc w:val="left"/>
        <w:rPr>
          <w:rFonts w:eastAsia="Cambria"/>
          <w:color w:val="20124D"/>
          <w:sz w:val="18"/>
          <w:szCs w:val="18"/>
        </w:rPr>
      </w:pPr>
      <w:r w:rsidRPr="005A702E">
        <w:rPr>
          <w:sz w:val="18"/>
          <w:szCs w:val="18"/>
          <w:vertAlign w:val="superscript"/>
        </w:rPr>
        <w:footnoteRef/>
      </w:r>
      <w:r w:rsidRPr="005A702E">
        <w:rPr>
          <w:sz w:val="18"/>
          <w:szCs w:val="18"/>
        </w:rPr>
        <w:t xml:space="preserve"> United Nations, Committee on the Rights of Persons with Disabilities</w:t>
      </w:r>
      <w:r w:rsidRPr="005A702E">
        <w:rPr>
          <w:i/>
          <w:iCs/>
          <w:color w:val="000000"/>
          <w:sz w:val="18"/>
          <w:szCs w:val="18"/>
        </w:rPr>
        <w:t xml:space="preserve">, </w:t>
      </w:r>
      <w:hyperlink r:id="rId65">
        <w:r w:rsidRPr="005A702E">
          <w:rPr>
            <w:i/>
            <w:iCs/>
            <w:color w:val="1155CC"/>
            <w:sz w:val="18"/>
            <w:szCs w:val="18"/>
            <w:u w:val="single"/>
          </w:rPr>
          <w:t>General comment No. 6  (2018) on equality and non-discrimination</w:t>
        </w:r>
      </w:hyperlink>
      <w:r w:rsidRPr="005A702E">
        <w:rPr>
          <w:i/>
          <w:iCs/>
          <w:color w:val="000000"/>
          <w:sz w:val="18"/>
          <w:szCs w:val="18"/>
        </w:rPr>
        <w:t>,</w:t>
      </w:r>
      <w:r w:rsidRPr="005A702E">
        <w:rPr>
          <w:sz w:val="18"/>
          <w:szCs w:val="18"/>
        </w:rPr>
        <w:t xml:space="preserve"> CRPD/C/GC/</w:t>
      </w:r>
      <w:r w:rsidRPr="005A702E">
        <w:rPr>
          <w:i/>
          <w:iCs/>
          <w:color w:val="000000"/>
          <w:sz w:val="18"/>
          <w:szCs w:val="18"/>
        </w:rPr>
        <w:t xml:space="preserve"> </w:t>
      </w:r>
      <w:r w:rsidRPr="005A702E">
        <w:rPr>
          <w:color w:val="000000"/>
          <w:sz w:val="18"/>
          <w:szCs w:val="18"/>
        </w:rPr>
        <w:t>(April 2018) at p 3-4</w:t>
      </w:r>
      <w:r w:rsidRPr="005A702E">
        <w:rPr>
          <w:sz w:val="18"/>
          <w:szCs w:val="18"/>
        </w:rPr>
        <w:t>.</w:t>
      </w:r>
    </w:p>
  </w:footnote>
  <w:footnote w:id="68">
    <w:p w14:paraId="11CA12E1" w14:textId="6A5536B9" w:rsidR="007B3571" w:rsidRPr="005A702E" w:rsidRDefault="007B3571" w:rsidP="0045244F">
      <w:pPr>
        <w:pBdr>
          <w:top w:val="nil"/>
          <w:left w:val="nil"/>
          <w:bottom w:val="nil"/>
          <w:right w:val="nil"/>
          <w:between w:val="nil"/>
        </w:pBdr>
        <w:spacing w:after="0" w:line="240" w:lineRule="auto"/>
        <w:ind w:left="0" w:firstLine="0"/>
        <w:jc w:val="left"/>
        <w:rPr>
          <w:color w:val="000000"/>
          <w:sz w:val="18"/>
          <w:szCs w:val="18"/>
        </w:rPr>
      </w:pPr>
      <w:r w:rsidRPr="005A702E">
        <w:rPr>
          <w:sz w:val="18"/>
          <w:szCs w:val="18"/>
          <w:vertAlign w:val="superscript"/>
        </w:rPr>
        <w:footnoteRef/>
      </w:r>
      <w:r w:rsidRPr="005A702E">
        <w:rPr>
          <w:i/>
          <w:iCs/>
          <w:color w:val="000000"/>
          <w:sz w:val="18"/>
          <w:szCs w:val="18"/>
        </w:rPr>
        <w:t xml:space="preserve"> </w:t>
      </w:r>
      <w:r w:rsidRPr="005A702E">
        <w:rPr>
          <w:color w:val="000000"/>
          <w:sz w:val="18"/>
          <w:szCs w:val="18"/>
        </w:rPr>
        <w:t xml:space="preserve">UN General Assembly, </w:t>
      </w:r>
      <w:hyperlink r:id="rId66">
        <w:r w:rsidRPr="005A702E">
          <w:rPr>
            <w:i/>
            <w:iCs/>
            <w:color w:val="1155CC"/>
            <w:sz w:val="18"/>
            <w:szCs w:val="18"/>
            <w:u w:val="single"/>
          </w:rPr>
          <w:t>Convention on the Rights of Persons with Disabilities : resolution / adopted by the General Assembly</w:t>
        </w:r>
      </w:hyperlink>
      <w:r w:rsidRPr="005A702E">
        <w:rPr>
          <w:color w:val="000000"/>
          <w:sz w:val="18"/>
          <w:szCs w:val="18"/>
        </w:rPr>
        <w:t>, A/RES/61/106 (January 2007), Article 11</w:t>
      </w:r>
      <w:r w:rsidRPr="005A702E">
        <w:rPr>
          <w:sz w:val="18"/>
          <w:szCs w:val="18"/>
        </w:rPr>
        <w:t>.</w:t>
      </w:r>
    </w:p>
  </w:footnote>
  <w:footnote w:id="69">
    <w:p w14:paraId="1042F298" w14:textId="77777777" w:rsidR="007B3571" w:rsidRPr="005A702E" w:rsidRDefault="007B3571" w:rsidP="0045244F">
      <w:pPr>
        <w:pBdr>
          <w:top w:val="nil"/>
          <w:left w:val="nil"/>
          <w:bottom w:val="nil"/>
          <w:right w:val="nil"/>
          <w:between w:val="nil"/>
        </w:pBdr>
        <w:spacing w:after="0" w:line="240" w:lineRule="auto"/>
        <w:ind w:left="0" w:firstLine="0"/>
        <w:jc w:val="left"/>
        <w:rPr>
          <w:rFonts w:eastAsia="Cambria"/>
          <w:color w:val="000000"/>
          <w:sz w:val="18"/>
          <w:szCs w:val="18"/>
        </w:rPr>
      </w:pPr>
      <w:r w:rsidRPr="005A702E">
        <w:rPr>
          <w:sz w:val="18"/>
          <w:szCs w:val="18"/>
          <w:vertAlign w:val="superscript"/>
        </w:rPr>
        <w:footnoteRef/>
      </w:r>
      <w:r w:rsidRPr="005A702E">
        <w:rPr>
          <w:color w:val="000000"/>
          <w:sz w:val="18"/>
          <w:szCs w:val="18"/>
        </w:rPr>
        <w:t xml:space="preserve"> </w:t>
      </w:r>
      <w:r w:rsidRPr="005A702E">
        <w:rPr>
          <w:sz w:val="18"/>
          <w:szCs w:val="18"/>
        </w:rPr>
        <w:t xml:space="preserve">Ibid, </w:t>
      </w:r>
      <w:r w:rsidRPr="005A702E">
        <w:rPr>
          <w:color w:val="000000"/>
          <w:sz w:val="18"/>
          <w:szCs w:val="18"/>
        </w:rPr>
        <w:t>Article 32</w:t>
      </w:r>
      <w:r w:rsidRPr="005A702E">
        <w:rPr>
          <w:sz w:val="18"/>
          <w:szCs w:val="18"/>
        </w:rPr>
        <w:t>.</w:t>
      </w:r>
    </w:p>
  </w:footnote>
  <w:footnote w:id="70">
    <w:p w14:paraId="7CD935E1" w14:textId="77777777" w:rsidR="007B3571" w:rsidRPr="005A702E" w:rsidRDefault="007B3571" w:rsidP="0045244F">
      <w:pPr>
        <w:pBdr>
          <w:top w:val="nil"/>
          <w:left w:val="nil"/>
          <w:bottom w:val="nil"/>
          <w:right w:val="nil"/>
          <w:between w:val="nil"/>
        </w:pBdr>
        <w:spacing w:after="0" w:line="240" w:lineRule="auto"/>
        <w:ind w:left="0" w:firstLine="0"/>
        <w:jc w:val="left"/>
        <w:rPr>
          <w:rFonts w:eastAsia="Cambria"/>
          <w:color w:val="000000"/>
          <w:sz w:val="18"/>
          <w:szCs w:val="18"/>
        </w:rPr>
      </w:pPr>
      <w:r w:rsidRPr="005A702E">
        <w:rPr>
          <w:sz w:val="18"/>
          <w:szCs w:val="18"/>
          <w:vertAlign w:val="superscript"/>
        </w:rPr>
        <w:footnoteRef/>
      </w:r>
      <w:r w:rsidRPr="005A702E">
        <w:rPr>
          <w:color w:val="000000"/>
          <w:sz w:val="18"/>
          <w:szCs w:val="18"/>
        </w:rPr>
        <w:t xml:space="preserve">  United Nations, </w:t>
      </w:r>
      <w:r w:rsidRPr="005A702E">
        <w:rPr>
          <w:color w:val="111827"/>
          <w:sz w:val="18"/>
          <w:szCs w:val="18"/>
        </w:rPr>
        <w:t xml:space="preserve">Committee on the Elimination of All Forms of Discrimination against Women, </w:t>
      </w:r>
      <w:hyperlink r:id="rId67">
        <w:r w:rsidRPr="005A702E">
          <w:rPr>
            <w:i/>
            <w:iCs/>
            <w:color w:val="1155CC"/>
            <w:sz w:val="18"/>
            <w:szCs w:val="18"/>
            <w:u w:val="single"/>
          </w:rPr>
          <w:t>General recommendation No. 28 on the core obligations of States parties under article 2 of the Convention on the Elimination of All Forms of Discrimination against Women</w:t>
        </w:r>
      </w:hyperlink>
      <w:hyperlink r:id="rId68">
        <w:r w:rsidRPr="005A702E">
          <w:rPr>
            <w:color w:val="1155CC"/>
            <w:sz w:val="18"/>
            <w:szCs w:val="18"/>
            <w:u w:val="single"/>
          </w:rPr>
          <w:t>, CEDAW/C/GC/28</w:t>
        </w:r>
      </w:hyperlink>
      <w:r w:rsidRPr="005A702E">
        <w:rPr>
          <w:sz w:val="18"/>
          <w:szCs w:val="18"/>
        </w:rPr>
        <w:t xml:space="preserve"> (December 2010).</w:t>
      </w:r>
    </w:p>
  </w:footnote>
  <w:footnote w:id="71">
    <w:p w14:paraId="33F50694" w14:textId="77777777" w:rsidR="007B3571" w:rsidRPr="005A702E" w:rsidRDefault="007B3571" w:rsidP="0045244F">
      <w:pPr>
        <w:pBdr>
          <w:top w:val="nil"/>
          <w:left w:val="nil"/>
          <w:bottom w:val="nil"/>
          <w:right w:val="nil"/>
          <w:between w:val="nil"/>
        </w:pBdr>
        <w:spacing w:after="0" w:line="240" w:lineRule="auto"/>
        <w:ind w:left="0" w:firstLine="0"/>
        <w:jc w:val="left"/>
        <w:rPr>
          <w:rFonts w:eastAsia="Cambria"/>
          <w:color w:val="000000"/>
          <w:sz w:val="18"/>
          <w:szCs w:val="18"/>
        </w:rPr>
      </w:pPr>
      <w:r w:rsidRPr="005A702E">
        <w:rPr>
          <w:sz w:val="18"/>
          <w:szCs w:val="18"/>
          <w:vertAlign w:val="superscript"/>
        </w:rPr>
        <w:footnoteRef/>
      </w:r>
      <w:r w:rsidRPr="005A702E">
        <w:rPr>
          <w:color w:val="000000"/>
          <w:sz w:val="18"/>
          <w:szCs w:val="18"/>
        </w:rPr>
        <w:t xml:space="preserve"> United Nations, Human Rights Council, </w:t>
      </w:r>
      <w:hyperlink r:id="rId69">
        <w:r w:rsidRPr="005A702E">
          <w:rPr>
            <w:i/>
            <w:iCs/>
            <w:color w:val="1155CC"/>
            <w:sz w:val="18"/>
            <w:szCs w:val="18"/>
            <w:u w:val="single"/>
          </w:rPr>
          <w:t>Delia Saldias de Lopez (on behalf of Lopez Burgos) v. Uruguay</w:t>
        </w:r>
      </w:hyperlink>
      <w:hyperlink r:id="rId70">
        <w:r w:rsidRPr="005A702E">
          <w:rPr>
            <w:color w:val="1155CC"/>
            <w:sz w:val="18"/>
            <w:szCs w:val="18"/>
            <w:u w:val="single"/>
          </w:rPr>
          <w:t>, CCPR/C/13/D/52/1979</w:t>
        </w:r>
      </w:hyperlink>
      <w:r w:rsidRPr="005A702E">
        <w:rPr>
          <w:color w:val="000000"/>
          <w:sz w:val="18"/>
          <w:szCs w:val="18"/>
        </w:rPr>
        <w:t>, at para 12.2</w:t>
      </w:r>
      <w:r w:rsidRPr="005A702E">
        <w:rPr>
          <w:sz w:val="18"/>
          <w:szCs w:val="18"/>
        </w:rPr>
        <w:t>.</w:t>
      </w:r>
    </w:p>
  </w:footnote>
  <w:footnote w:id="72">
    <w:p w14:paraId="5A0A2FC2" w14:textId="77777777" w:rsidR="007B3571" w:rsidRPr="005A702E" w:rsidRDefault="007B3571" w:rsidP="0045244F">
      <w:pPr>
        <w:pBdr>
          <w:top w:val="nil"/>
          <w:left w:val="nil"/>
          <w:bottom w:val="nil"/>
          <w:right w:val="nil"/>
          <w:between w:val="nil"/>
        </w:pBdr>
        <w:spacing w:after="0" w:line="240" w:lineRule="auto"/>
        <w:ind w:left="0" w:firstLine="0"/>
        <w:jc w:val="left"/>
        <w:rPr>
          <w:rFonts w:eastAsia="Cambria"/>
          <w:color w:val="000000"/>
          <w:sz w:val="18"/>
          <w:szCs w:val="18"/>
        </w:rPr>
      </w:pPr>
      <w:r w:rsidRPr="005A702E">
        <w:rPr>
          <w:sz w:val="18"/>
          <w:szCs w:val="18"/>
          <w:vertAlign w:val="superscript"/>
        </w:rPr>
        <w:footnoteRef/>
      </w:r>
      <w:r w:rsidRPr="005A702E">
        <w:rPr>
          <w:color w:val="000000"/>
          <w:sz w:val="18"/>
          <w:szCs w:val="18"/>
        </w:rPr>
        <w:t xml:space="preserve"> Nicolas Carrillo Santarelli et al.,</w:t>
      </w:r>
      <w:r w:rsidRPr="005A702E">
        <w:rPr>
          <w:color w:val="1155CC"/>
          <w:sz w:val="18"/>
          <w:szCs w:val="18"/>
        </w:rPr>
        <w:t>”</w:t>
      </w:r>
      <w:hyperlink r:id="rId71">
        <w:r w:rsidRPr="005A702E">
          <w:rPr>
            <w:i/>
            <w:iCs/>
            <w:color w:val="1155CC"/>
            <w:sz w:val="18"/>
            <w:szCs w:val="18"/>
            <w:u w:val="single"/>
          </w:rPr>
          <w:t>The Scope of the Extraterritorial Obligation to Respect in the Inter-American Human Rights System: An Approach Fully Consistent with the Demands of the Recognition of the Dignity of All Human Beings,</w:t>
        </w:r>
      </w:hyperlink>
      <w:r w:rsidRPr="005A702E">
        <w:rPr>
          <w:color w:val="1155CC"/>
          <w:sz w:val="18"/>
          <w:szCs w:val="18"/>
        </w:rPr>
        <w:t xml:space="preserve">” </w:t>
      </w:r>
      <w:r w:rsidRPr="005A702E">
        <w:rPr>
          <w:i/>
          <w:iCs/>
          <w:color w:val="000000"/>
          <w:sz w:val="18"/>
          <w:szCs w:val="18"/>
        </w:rPr>
        <w:t xml:space="preserve">Spanish Yearbook of International Law, </w:t>
      </w:r>
      <w:r w:rsidRPr="005A702E">
        <w:rPr>
          <w:color w:val="000000"/>
          <w:sz w:val="18"/>
          <w:szCs w:val="18"/>
        </w:rPr>
        <w:t>27 (2023), p. 81.</w:t>
      </w:r>
    </w:p>
  </w:footnote>
  <w:footnote w:id="73">
    <w:p w14:paraId="53D71711" w14:textId="77777777" w:rsidR="007B3571" w:rsidRPr="005A702E" w:rsidRDefault="007B3571" w:rsidP="0045244F">
      <w:pPr>
        <w:pBdr>
          <w:top w:val="nil"/>
          <w:left w:val="nil"/>
          <w:bottom w:val="nil"/>
          <w:right w:val="nil"/>
          <w:between w:val="nil"/>
        </w:pBdr>
        <w:spacing w:after="0" w:line="240" w:lineRule="auto"/>
        <w:ind w:left="0" w:firstLine="0"/>
        <w:jc w:val="left"/>
        <w:rPr>
          <w:rFonts w:eastAsia="Cambria"/>
          <w:color w:val="1155CC"/>
          <w:sz w:val="18"/>
          <w:szCs w:val="18"/>
        </w:rPr>
      </w:pPr>
      <w:r w:rsidRPr="005A702E">
        <w:rPr>
          <w:sz w:val="18"/>
          <w:szCs w:val="18"/>
          <w:vertAlign w:val="superscript"/>
        </w:rPr>
        <w:footnoteRef/>
      </w:r>
      <w:r w:rsidRPr="005A702E">
        <w:rPr>
          <w:color w:val="000000"/>
          <w:sz w:val="18"/>
          <w:szCs w:val="18"/>
        </w:rPr>
        <w:t xml:space="preserve"> Inter-American Court of Human Rights (IACtHR), Advisory Opinion of 15 November 2017, OC-23/17, </w:t>
      </w:r>
      <w:hyperlink r:id="rId72">
        <w:r w:rsidRPr="005A702E">
          <w:rPr>
            <w:i/>
            <w:iCs/>
            <w:color w:val="1155CC"/>
            <w:sz w:val="18"/>
            <w:szCs w:val="18"/>
            <w:u w:val="single"/>
          </w:rPr>
          <w:t>The Environment and Human Rights</w:t>
        </w:r>
      </w:hyperlink>
      <w:r w:rsidRPr="005A702E">
        <w:rPr>
          <w:i/>
          <w:iCs/>
          <w:color w:val="1155CC"/>
          <w:sz w:val="18"/>
          <w:szCs w:val="18"/>
          <w:u w:val="single"/>
        </w:rPr>
        <w:t>.</w:t>
      </w:r>
    </w:p>
  </w:footnote>
  <w:footnote w:id="74">
    <w:p w14:paraId="7D9CCF19" w14:textId="77777777" w:rsidR="007B3571" w:rsidRPr="005A702E" w:rsidRDefault="007B3571" w:rsidP="0045244F">
      <w:pPr>
        <w:pBdr>
          <w:top w:val="nil"/>
          <w:left w:val="nil"/>
          <w:bottom w:val="nil"/>
          <w:right w:val="nil"/>
          <w:between w:val="nil"/>
        </w:pBdr>
        <w:spacing w:after="0" w:line="240" w:lineRule="auto"/>
        <w:ind w:left="0" w:firstLine="0"/>
        <w:jc w:val="left"/>
        <w:rPr>
          <w:rFonts w:eastAsia="Cambria"/>
          <w:color w:val="000000"/>
          <w:sz w:val="18"/>
          <w:szCs w:val="18"/>
        </w:rPr>
      </w:pPr>
      <w:r w:rsidRPr="005A702E">
        <w:rPr>
          <w:sz w:val="18"/>
          <w:szCs w:val="18"/>
          <w:vertAlign w:val="superscript"/>
        </w:rPr>
        <w:footnoteRef/>
      </w:r>
      <w:r w:rsidRPr="005A702E">
        <w:rPr>
          <w:color w:val="000000"/>
          <w:sz w:val="18"/>
          <w:szCs w:val="18"/>
        </w:rPr>
        <w:t xml:space="preserve"> </w:t>
      </w:r>
      <w:r w:rsidRPr="005A702E">
        <w:rPr>
          <w:sz w:val="18"/>
          <w:szCs w:val="18"/>
        </w:rPr>
        <w:t>United Nations, Committee on the Rights of Persons with Disabilities</w:t>
      </w:r>
      <w:r w:rsidRPr="005A702E">
        <w:rPr>
          <w:i/>
          <w:iCs/>
          <w:color w:val="000000"/>
          <w:sz w:val="18"/>
          <w:szCs w:val="18"/>
        </w:rPr>
        <w:t xml:space="preserve">, </w:t>
      </w:r>
      <w:hyperlink r:id="rId73">
        <w:r w:rsidRPr="005A702E">
          <w:rPr>
            <w:i/>
            <w:iCs/>
            <w:color w:val="1155CC"/>
            <w:sz w:val="18"/>
            <w:szCs w:val="18"/>
            <w:u w:val="single"/>
          </w:rPr>
          <w:t>General comment No. 6  (2018) on equality and non-discrimination,</w:t>
        </w:r>
      </w:hyperlink>
      <w:hyperlink r:id="rId74">
        <w:r w:rsidRPr="005A702E">
          <w:rPr>
            <w:color w:val="1155CC"/>
            <w:sz w:val="18"/>
            <w:szCs w:val="18"/>
            <w:u w:val="single"/>
          </w:rPr>
          <w:t xml:space="preserve"> CRPD/C/GC/</w:t>
        </w:r>
      </w:hyperlink>
      <w:r w:rsidRPr="005A702E">
        <w:rPr>
          <w:i/>
          <w:iCs/>
          <w:color w:val="000000"/>
          <w:sz w:val="18"/>
          <w:szCs w:val="18"/>
        </w:rPr>
        <w:t xml:space="preserve">, </w:t>
      </w:r>
      <w:r w:rsidRPr="005A702E">
        <w:rPr>
          <w:color w:val="000000"/>
          <w:sz w:val="18"/>
          <w:szCs w:val="18"/>
        </w:rPr>
        <w:t>(April 2018) at p 4</w:t>
      </w:r>
      <w:r w:rsidRPr="005A702E">
        <w:rPr>
          <w:sz w:val="18"/>
          <w:szCs w:val="18"/>
        </w:rPr>
        <w:t>.</w:t>
      </w:r>
    </w:p>
  </w:footnote>
  <w:footnote w:id="75">
    <w:p w14:paraId="03C1EFD1" w14:textId="77777777" w:rsidR="007B3571" w:rsidRPr="005A702E" w:rsidRDefault="007B3571" w:rsidP="0045244F">
      <w:pPr>
        <w:pBdr>
          <w:top w:val="nil"/>
          <w:left w:val="nil"/>
          <w:bottom w:val="nil"/>
          <w:right w:val="nil"/>
          <w:between w:val="nil"/>
        </w:pBdr>
        <w:spacing w:after="0" w:line="240" w:lineRule="auto"/>
        <w:ind w:left="0" w:firstLine="0"/>
        <w:jc w:val="left"/>
        <w:rPr>
          <w:rFonts w:eastAsia="Cambria"/>
          <w:color w:val="0000FF"/>
          <w:sz w:val="18"/>
          <w:szCs w:val="18"/>
          <w:u w:val="single"/>
        </w:rPr>
      </w:pPr>
      <w:r w:rsidRPr="005A702E">
        <w:rPr>
          <w:sz w:val="18"/>
          <w:szCs w:val="18"/>
          <w:vertAlign w:val="superscript"/>
        </w:rPr>
        <w:footnoteRef/>
      </w:r>
      <w:r w:rsidRPr="005A702E">
        <w:rPr>
          <w:color w:val="000000"/>
          <w:sz w:val="18"/>
          <w:szCs w:val="18"/>
        </w:rPr>
        <w:t xml:space="preserve"> </w:t>
      </w:r>
      <w:r w:rsidRPr="005A702E">
        <w:rPr>
          <w:sz w:val="18"/>
          <w:szCs w:val="18"/>
        </w:rPr>
        <w:t>United Nations, Committee on the Rights of Persons with Disabilities</w:t>
      </w:r>
      <w:r w:rsidRPr="005A702E">
        <w:rPr>
          <w:i/>
          <w:iCs/>
          <w:color w:val="000000"/>
          <w:sz w:val="18"/>
          <w:szCs w:val="18"/>
        </w:rPr>
        <w:t xml:space="preserve">, </w:t>
      </w:r>
      <w:hyperlink r:id="rId75">
        <w:r w:rsidRPr="005A702E">
          <w:rPr>
            <w:i/>
            <w:iCs/>
            <w:color w:val="1155CC"/>
            <w:sz w:val="18"/>
            <w:szCs w:val="18"/>
            <w:u w:val="single"/>
          </w:rPr>
          <w:t xml:space="preserve">Statement on situation of persons with disabilities in the armed conflict in Israel and Gaza, </w:t>
        </w:r>
      </w:hyperlink>
      <w:r w:rsidRPr="005A702E">
        <w:rPr>
          <w:color w:val="000000"/>
          <w:sz w:val="18"/>
          <w:szCs w:val="18"/>
        </w:rPr>
        <w:t>(October 2023)</w:t>
      </w:r>
      <w:r w:rsidRPr="005A702E">
        <w:rPr>
          <w:sz w:val="18"/>
          <w:szCs w:val="18"/>
        </w:rPr>
        <w:t xml:space="preserve">. </w:t>
      </w:r>
    </w:p>
  </w:footnote>
  <w:footnote w:id="76">
    <w:p w14:paraId="4219D076" w14:textId="65D257B4" w:rsidR="007B3571" w:rsidRPr="005A702E" w:rsidRDefault="007B3571" w:rsidP="0045244F">
      <w:pPr>
        <w:pBdr>
          <w:top w:val="nil"/>
          <w:left w:val="nil"/>
          <w:bottom w:val="nil"/>
          <w:right w:val="nil"/>
          <w:between w:val="nil"/>
        </w:pBdr>
        <w:spacing w:after="0" w:line="240" w:lineRule="auto"/>
        <w:ind w:left="0" w:firstLine="0"/>
        <w:jc w:val="left"/>
        <w:rPr>
          <w:rFonts w:eastAsia="Cambria"/>
          <w:color w:val="000000"/>
          <w:sz w:val="18"/>
          <w:szCs w:val="18"/>
        </w:rPr>
      </w:pPr>
      <w:r w:rsidRPr="005A702E">
        <w:rPr>
          <w:sz w:val="18"/>
          <w:szCs w:val="18"/>
          <w:vertAlign w:val="superscript"/>
        </w:rPr>
        <w:footnoteRef/>
      </w:r>
      <w:r w:rsidRPr="005A702E">
        <w:rPr>
          <w:color w:val="000000"/>
          <w:sz w:val="18"/>
          <w:szCs w:val="18"/>
        </w:rPr>
        <w:t xml:space="preserve"> </w:t>
      </w:r>
      <w:r w:rsidRPr="005A702E">
        <w:rPr>
          <w:sz w:val="18"/>
          <w:szCs w:val="18"/>
        </w:rPr>
        <w:t>United Nations, Committee on the Rights of Persons with Disabilities</w:t>
      </w:r>
      <w:r w:rsidRPr="005A702E">
        <w:rPr>
          <w:color w:val="000000"/>
          <w:sz w:val="18"/>
          <w:szCs w:val="18"/>
        </w:rPr>
        <w:t xml:space="preserve">, </w:t>
      </w:r>
      <w:hyperlink r:id="rId76">
        <w:r w:rsidRPr="005A702E">
          <w:rPr>
            <w:i/>
            <w:iCs/>
            <w:color w:val="1155CC"/>
            <w:sz w:val="18"/>
            <w:szCs w:val="18"/>
            <w:u w:val="single"/>
          </w:rPr>
          <w:t>General comment no. 1 (2014), Article 12, Equal recognition before the law</w:t>
        </w:r>
      </w:hyperlink>
      <w:r w:rsidRPr="005A702E">
        <w:rPr>
          <w:color w:val="000000"/>
          <w:sz w:val="18"/>
          <w:szCs w:val="18"/>
        </w:rPr>
        <w:t xml:space="preserve"> (May 2014)</w:t>
      </w:r>
      <w:r w:rsidRPr="005A702E">
        <w:rPr>
          <w:sz w:val="18"/>
          <w:szCs w:val="18"/>
        </w:rPr>
        <w:t>.</w:t>
      </w:r>
    </w:p>
  </w:footnote>
  <w:footnote w:id="77">
    <w:p w14:paraId="735F06CC" w14:textId="517B7905" w:rsidR="007B3571" w:rsidRPr="005A702E" w:rsidRDefault="007B3571" w:rsidP="0045244F">
      <w:pPr>
        <w:pBdr>
          <w:top w:val="nil"/>
          <w:left w:val="nil"/>
          <w:bottom w:val="nil"/>
          <w:right w:val="nil"/>
          <w:between w:val="nil"/>
        </w:pBdr>
        <w:spacing w:after="0" w:line="240" w:lineRule="auto"/>
        <w:ind w:left="0" w:firstLine="0"/>
        <w:jc w:val="left"/>
        <w:rPr>
          <w:rFonts w:eastAsia="Cambria"/>
          <w:color w:val="000000"/>
          <w:sz w:val="18"/>
          <w:szCs w:val="18"/>
        </w:rPr>
      </w:pPr>
      <w:r w:rsidRPr="005A702E">
        <w:rPr>
          <w:sz w:val="18"/>
          <w:szCs w:val="18"/>
          <w:vertAlign w:val="superscript"/>
        </w:rPr>
        <w:footnoteRef/>
      </w:r>
      <w:r w:rsidRPr="005A702E">
        <w:rPr>
          <w:color w:val="000000"/>
          <w:sz w:val="18"/>
          <w:szCs w:val="18"/>
        </w:rPr>
        <w:t xml:space="preserve"> United Nations, Human Rights Committee, </w:t>
      </w:r>
      <w:hyperlink r:id="rId77">
        <w:r w:rsidRPr="005A702E">
          <w:rPr>
            <w:i/>
            <w:iCs/>
            <w:color w:val="1155CC"/>
            <w:sz w:val="18"/>
            <w:szCs w:val="18"/>
            <w:u w:val="single"/>
          </w:rPr>
          <w:t>Basem Ahmed Issa Yassin et. al. v. Canada</w:t>
        </w:r>
      </w:hyperlink>
      <w:hyperlink r:id="rId78">
        <w:r w:rsidRPr="005A702E">
          <w:rPr>
            <w:color w:val="1155CC"/>
            <w:sz w:val="18"/>
            <w:szCs w:val="18"/>
            <w:u w:val="single"/>
          </w:rPr>
          <w:t>, CCPR/C/120/D/2285/2013</w:t>
        </w:r>
      </w:hyperlink>
      <w:r w:rsidRPr="005A702E">
        <w:rPr>
          <w:color w:val="000000"/>
          <w:sz w:val="18"/>
          <w:szCs w:val="18"/>
        </w:rPr>
        <w:t xml:space="preserve"> (February 2013)</w:t>
      </w:r>
      <w:r w:rsidRPr="005A702E">
        <w:rPr>
          <w:sz w:val="18"/>
          <w:szCs w:val="18"/>
        </w:rPr>
        <w:t>.</w:t>
      </w:r>
    </w:p>
  </w:footnote>
  <w:footnote w:id="78">
    <w:p w14:paraId="1F94A856" w14:textId="08DE8C7C" w:rsidR="007B3571" w:rsidRPr="005A702E" w:rsidRDefault="007B3571" w:rsidP="0045244F">
      <w:pPr>
        <w:pBdr>
          <w:top w:val="nil"/>
          <w:left w:val="nil"/>
          <w:bottom w:val="nil"/>
          <w:right w:val="nil"/>
          <w:between w:val="nil"/>
        </w:pBdr>
        <w:spacing w:after="0" w:line="240" w:lineRule="auto"/>
        <w:ind w:left="0" w:firstLine="0"/>
        <w:jc w:val="left"/>
        <w:rPr>
          <w:rFonts w:eastAsia="Cambria"/>
          <w:color w:val="000000"/>
          <w:sz w:val="18"/>
          <w:szCs w:val="18"/>
        </w:rPr>
      </w:pPr>
      <w:r w:rsidRPr="005A702E">
        <w:rPr>
          <w:sz w:val="18"/>
          <w:szCs w:val="18"/>
          <w:vertAlign w:val="superscript"/>
        </w:rPr>
        <w:footnoteRef/>
      </w:r>
      <w:r w:rsidRPr="005A702E">
        <w:rPr>
          <w:color w:val="000000"/>
          <w:sz w:val="18"/>
          <w:szCs w:val="18"/>
        </w:rPr>
        <w:t xml:space="preserve"> United Nations, Committee on the Elimination of Discrimination Against Women, </w:t>
      </w:r>
      <w:hyperlink r:id="rId79">
        <w:r w:rsidRPr="005A702E">
          <w:rPr>
            <w:i/>
            <w:iCs/>
            <w:color w:val="1155CC"/>
            <w:sz w:val="18"/>
            <w:szCs w:val="18"/>
            <w:u w:val="single"/>
          </w:rPr>
          <w:t>General recommendation No. 28 on the core obligations of States parties under article 2 of the Convention on the Elimination of All Forms of Discrimination against Women</w:t>
        </w:r>
      </w:hyperlink>
      <w:r w:rsidRPr="005A702E">
        <w:rPr>
          <w:color w:val="000000"/>
          <w:sz w:val="18"/>
          <w:szCs w:val="18"/>
        </w:rPr>
        <w:t xml:space="preserve"> (December 2010)</w:t>
      </w:r>
      <w:r w:rsidRPr="005A702E">
        <w:rPr>
          <w:sz w:val="18"/>
          <w:szCs w:val="18"/>
        </w:rPr>
        <w:t>.</w:t>
      </w:r>
    </w:p>
  </w:footnote>
  <w:footnote w:id="79">
    <w:p w14:paraId="250AB832" w14:textId="4C044BF6" w:rsidR="007B3571" w:rsidRPr="005A702E" w:rsidRDefault="007B3571" w:rsidP="0045244F">
      <w:pPr>
        <w:pBdr>
          <w:top w:val="nil"/>
          <w:left w:val="nil"/>
          <w:bottom w:val="nil"/>
          <w:right w:val="nil"/>
          <w:between w:val="nil"/>
        </w:pBdr>
        <w:spacing w:after="0" w:line="240" w:lineRule="auto"/>
        <w:ind w:left="0" w:firstLine="0"/>
        <w:jc w:val="left"/>
        <w:rPr>
          <w:rFonts w:eastAsia="Cambria"/>
          <w:color w:val="000000"/>
          <w:sz w:val="18"/>
          <w:szCs w:val="18"/>
        </w:rPr>
      </w:pPr>
      <w:r w:rsidRPr="005A702E">
        <w:rPr>
          <w:sz w:val="18"/>
          <w:szCs w:val="18"/>
          <w:vertAlign w:val="superscript"/>
        </w:rPr>
        <w:footnoteRef/>
      </w:r>
      <w:r w:rsidRPr="005A702E">
        <w:rPr>
          <w:color w:val="000000"/>
          <w:sz w:val="18"/>
          <w:szCs w:val="18"/>
        </w:rPr>
        <w:t xml:space="preserve"> United Nations, Committee on Economic, Social and Cultural Rights, </w:t>
      </w:r>
      <w:hyperlink r:id="rId80">
        <w:r w:rsidRPr="005A702E">
          <w:rPr>
            <w:i/>
            <w:iCs/>
            <w:color w:val="1155CC"/>
            <w:sz w:val="18"/>
            <w:szCs w:val="18"/>
            <w:u w:val="single"/>
          </w:rPr>
          <w:t>GC 24 on State obligations under the International Covenant on Economic, Social and Cultural Rights in the context of business activities</w:t>
        </w:r>
      </w:hyperlink>
      <w:hyperlink r:id="rId81">
        <w:r w:rsidRPr="005A702E">
          <w:rPr>
            <w:color w:val="1155CC"/>
            <w:sz w:val="18"/>
            <w:szCs w:val="18"/>
            <w:u w:val="single"/>
          </w:rPr>
          <w:t>, E/C.12/GC/24</w:t>
        </w:r>
      </w:hyperlink>
      <w:r w:rsidRPr="005A702E">
        <w:rPr>
          <w:color w:val="000000"/>
          <w:sz w:val="18"/>
          <w:szCs w:val="18"/>
        </w:rPr>
        <w:t xml:space="preserve"> (June 2017)</w:t>
      </w:r>
      <w:r w:rsidRPr="005A702E">
        <w:rPr>
          <w:sz w:val="18"/>
          <w:szCs w:val="18"/>
        </w:rPr>
        <w:t>.</w:t>
      </w:r>
    </w:p>
  </w:footnote>
  <w:footnote w:id="80">
    <w:p w14:paraId="27491E8C" w14:textId="77777777" w:rsidR="007B3571" w:rsidRPr="005A702E" w:rsidRDefault="007B3571" w:rsidP="0045244F">
      <w:pPr>
        <w:pBdr>
          <w:top w:val="nil"/>
          <w:left w:val="nil"/>
          <w:bottom w:val="nil"/>
          <w:right w:val="nil"/>
          <w:between w:val="nil"/>
        </w:pBdr>
        <w:spacing w:after="0" w:line="240" w:lineRule="auto"/>
        <w:ind w:left="0" w:firstLine="0"/>
        <w:jc w:val="left"/>
        <w:rPr>
          <w:rFonts w:eastAsia="Cambria"/>
          <w:color w:val="000000"/>
          <w:sz w:val="18"/>
          <w:szCs w:val="18"/>
        </w:rPr>
      </w:pPr>
      <w:r w:rsidRPr="005A702E">
        <w:rPr>
          <w:sz w:val="18"/>
          <w:szCs w:val="18"/>
          <w:vertAlign w:val="superscript"/>
        </w:rPr>
        <w:footnoteRef/>
      </w:r>
      <w:r w:rsidRPr="005A702E">
        <w:rPr>
          <w:color w:val="000000"/>
          <w:sz w:val="18"/>
          <w:szCs w:val="18"/>
        </w:rPr>
        <w:t xml:space="preserve"> United Nations, Committee on the Rights of the Child,</w:t>
      </w:r>
      <w:hyperlink r:id="rId82">
        <w:r w:rsidRPr="005A702E">
          <w:rPr>
            <w:color w:val="1155CC"/>
            <w:sz w:val="18"/>
            <w:szCs w:val="18"/>
            <w:u w:val="single"/>
          </w:rPr>
          <w:t xml:space="preserve"> </w:t>
        </w:r>
      </w:hyperlink>
      <w:hyperlink r:id="rId83">
        <w:r w:rsidRPr="005A702E">
          <w:rPr>
            <w:i/>
            <w:iCs/>
            <w:color w:val="1155CC"/>
            <w:sz w:val="18"/>
            <w:szCs w:val="18"/>
            <w:u w:val="single"/>
          </w:rPr>
          <w:t>General comment No. 16 (2013) on State obligations regarding the impact of the business sector on children's rights</w:t>
        </w:r>
      </w:hyperlink>
      <w:hyperlink r:id="rId84">
        <w:r w:rsidRPr="005A702E">
          <w:rPr>
            <w:color w:val="1155CC"/>
            <w:sz w:val="18"/>
            <w:szCs w:val="18"/>
            <w:u w:val="single"/>
          </w:rPr>
          <w:t>, CRC/C/GC/16, 17</w:t>
        </w:r>
      </w:hyperlink>
      <w:r w:rsidRPr="005A702E">
        <w:rPr>
          <w:color w:val="000000"/>
          <w:sz w:val="18"/>
          <w:szCs w:val="18"/>
        </w:rPr>
        <w:t xml:space="preserve"> (April 2013)</w:t>
      </w:r>
      <w:r w:rsidRPr="005A702E">
        <w:rPr>
          <w:sz w:val="18"/>
          <w:szCs w:val="18"/>
        </w:rPr>
        <w:t>.</w:t>
      </w:r>
    </w:p>
  </w:footnote>
  <w:footnote w:id="81">
    <w:p w14:paraId="3B25A62B" w14:textId="77777777" w:rsidR="007B3571" w:rsidRPr="005A702E" w:rsidRDefault="007B3571" w:rsidP="0045244F">
      <w:pPr>
        <w:pBdr>
          <w:top w:val="nil"/>
          <w:left w:val="nil"/>
          <w:bottom w:val="nil"/>
          <w:right w:val="nil"/>
          <w:between w:val="nil"/>
        </w:pBdr>
        <w:spacing w:after="0" w:line="240" w:lineRule="auto"/>
        <w:ind w:left="0" w:firstLine="0"/>
        <w:jc w:val="left"/>
        <w:rPr>
          <w:rFonts w:eastAsia="Cambria"/>
          <w:color w:val="000000"/>
          <w:sz w:val="18"/>
          <w:szCs w:val="18"/>
        </w:rPr>
      </w:pPr>
      <w:r w:rsidRPr="005A702E">
        <w:rPr>
          <w:sz w:val="18"/>
          <w:szCs w:val="18"/>
          <w:vertAlign w:val="superscript"/>
        </w:rPr>
        <w:footnoteRef/>
      </w:r>
      <w:r w:rsidRPr="005A702E">
        <w:rPr>
          <w:color w:val="000000"/>
          <w:sz w:val="18"/>
          <w:szCs w:val="18"/>
        </w:rPr>
        <w:t xml:space="preserve"> </w:t>
      </w:r>
      <w:r w:rsidRPr="005A702E">
        <w:rPr>
          <w:sz w:val="18"/>
          <w:szCs w:val="18"/>
        </w:rPr>
        <w:t>United Nations, Office of the High Commissioner for Human Rights</w:t>
      </w:r>
      <w:r w:rsidRPr="005A702E">
        <w:rPr>
          <w:color w:val="000000"/>
          <w:sz w:val="18"/>
          <w:szCs w:val="18"/>
        </w:rPr>
        <w:t xml:space="preserve">, </w:t>
      </w:r>
      <w:hyperlink r:id="rId85">
        <w:r w:rsidRPr="005A702E">
          <w:rPr>
            <w:i/>
            <w:iCs/>
            <w:color w:val="1155CC"/>
            <w:sz w:val="18"/>
            <w:szCs w:val="18"/>
            <w:u w:val="single"/>
          </w:rPr>
          <w:t>United Nations Guiding Principles on Business and Human Rights</w:t>
        </w:r>
      </w:hyperlink>
      <w:r w:rsidRPr="005A702E">
        <w:rPr>
          <w:color w:val="000000"/>
          <w:sz w:val="18"/>
          <w:szCs w:val="18"/>
        </w:rPr>
        <w:t xml:space="preserve">, (June 2011) at </w:t>
      </w:r>
      <w:r w:rsidRPr="005A702E">
        <w:rPr>
          <w:color w:val="20124D"/>
          <w:sz w:val="18"/>
          <w:szCs w:val="18"/>
        </w:rPr>
        <w:t>p 3.</w:t>
      </w:r>
    </w:p>
  </w:footnote>
  <w:footnote w:id="82">
    <w:p w14:paraId="2E649A23" w14:textId="77777777" w:rsidR="007B3571" w:rsidRPr="005A702E" w:rsidRDefault="007B3571" w:rsidP="0045244F">
      <w:pPr>
        <w:pBdr>
          <w:top w:val="nil"/>
          <w:left w:val="nil"/>
          <w:bottom w:val="nil"/>
          <w:right w:val="nil"/>
          <w:between w:val="nil"/>
        </w:pBdr>
        <w:spacing w:after="0" w:line="240" w:lineRule="auto"/>
        <w:ind w:left="0" w:firstLine="0"/>
        <w:jc w:val="left"/>
        <w:rPr>
          <w:rFonts w:eastAsia="Cambria"/>
          <w:color w:val="000000"/>
          <w:sz w:val="18"/>
          <w:szCs w:val="18"/>
        </w:rPr>
      </w:pPr>
      <w:r w:rsidRPr="005A702E">
        <w:rPr>
          <w:sz w:val="18"/>
          <w:szCs w:val="18"/>
          <w:vertAlign w:val="superscript"/>
        </w:rPr>
        <w:footnoteRef/>
      </w:r>
      <w:r w:rsidRPr="005A702E">
        <w:rPr>
          <w:color w:val="000000"/>
          <w:sz w:val="18"/>
          <w:szCs w:val="18"/>
        </w:rPr>
        <w:t xml:space="preserve"> Inter-American Commission of Human Rights, </w:t>
      </w:r>
      <w:hyperlink r:id="rId86">
        <w:r w:rsidRPr="005A702E">
          <w:rPr>
            <w:i/>
            <w:iCs/>
            <w:color w:val="1155CC"/>
            <w:sz w:val="18"/>
            <w:szCs w:val="18"/>
            <w:u w:val="single"/>
          </w:rPr>
          <w:t>Business and Human Rights: Inter-American Standards</w:t>
        </w:r>
      </w:hyperlink>
      <w:r w:rsidRPr="005A702E">
        <w:rPr>
          <w:i/>
          <w:iCs/>
          <w:color w:val="0000FF"/>
          <w:sz w:val="18"/>
          <w:szCs w:val="18"/>
          <w:u w:val="single"/>
        </w:rPr>
        <w:t>,</w:t>
      </w:r>
      <w:r w:rsidRPr="005A702E">
        <w:rPr>
          <w:color w:val="000000"/>
          <w:sz w:val="18"/>
          <w:szCs w:val="18"/>
        </w:rPr>
        <w:t xml:space="preserve"> Special Rapporteurship on Economic, Social, Cultural and Environmental Rights, 2019, para 79.</w:t>
      </w:r>
    </w:p>
  </w:footnote>
  <w:footnote w:id="83">
    <w:p w14:paraId="6479F460" w14:textId="5BE304E4" w:rsidR="007B3571" w:rsidRPr="005A702E" w:rsidRDefault="007B3571" w:rsidP="0045244F">
      <w:pPr>
        <w:pBdr>
          <w:top w:val="nil"/>
          <w:left w:val="nil"/>
          <w:bottom w:val="nil"/>
          <w:right w:val="nil"/>
          <w:between w:val="nil"/>
        </w:pBdr>
        <w:spacing w:after="0" w:line="240" w:lineRule="auto"/>
        <w:ind w:left="0" w:firstLine="0"/>
        <w:jc w:val="left"/>
        <w:rPr>
          <w:rFonts w:eastAsia="Cambria"/>
          <w:color w:val="000000"/>
          <w:sz w:val="18"/>
          <w:szCs w:val="18"/>
        </w:rPr>
      </w:pPr>
      <w:r w:rsidRPr="005A702E">
        <w:rPr>
          <w:sz w:val="18"/>
          <w:szCs w:val="18"/>
          <w:vertAlign w:val="superscript"/>
        </w:rPr>
        <w:footnoteRef/>
      </w:r>
      <w:r w:rsidRPr="005A702E">
        <w:rPr>
          <w:color w:val="000000"/>
          <w:sz w:val="18"/>
          <w:szCs w:val="18"/>
        </w:rPr>
        <w:t xml:space="preserve"> </w:t>
      </w:r>
      <w:r w:rsidRPr="005A702E">
        <w:rPr>
          <w:sz w:val="18"/>
          <w:szCs w:val="18"/>
        </w:rPr>
        <w:t>United Nations, Committee on the Elimination of Discrimination Against Women</w:t>
      </w:r>
      <w:r w:rsidRPr="005A702E">
        <w:rPr>
          <w:color w:val="000000"/>
          <w:sz w:val="18"/>
          <w:szCs w:val="18"/>
        </w:rPr>
        <w:t>,</w:t>
      </w:r>
      <w:r w:rsidRPr="005A702E">
        <w:rPr>
          <w:i/>
          <w:iCs/>
          <w:color w:val="000000"/>
          <w:sz w:val="18"/>
          <w:szCs w:val="18"/>
        </w:rPr>
        <w:t xml:space="preserve"> </w:t>
      </w:r>
      <w:hyperlink r:id="rId87">
        <w:r w:rsidRPr="005A702E">
          <w:rPr>
            <w:i/>
            <w:iCs/>
            <w:color w:val="1155CC"/>
            <w:sz w:val="18"/>
            <w:szCs w:val="18"/>
            <w:u w:val="single"/>
          </w:rPr>
          <w:t>Concluding observations on the combined eighth and ninth periodic reports of Canada</w:t>
        </w:r>
      </w:hyperlink>
      <w:hyperlink r:id="rId88">
        <w:r w:rsidRPr="005A702E">
          <w:rPr>
            <w:color w:val="1155CC"/>
            <w:sz w:val="18"/>
            <w:szCs w:val="18"/>
            <w:u w:val="single"/>
          </w:rPr>
          <w:t>, CEDAW/C/CAN/CO/8-9</w:t>
        </w:r>
      </w:hyperlink>
      <w:r w:rsidRPr="005A702E">
        <w:rPr>
          <w:color w:val="000000"/>
          <w:sz w:val="18"/>
          <w:szCs w:val="18"/>
        </w:rPr>
        <w:t xml:space="preserve"> (November 2016)</w:t>
      </w:r>
      <w:r w:rsidRPr="005A702E">
        <w:rPr>
          <w:sz w:val="18"/>
          <w:szCs w:val="18"/>
        </w:rPr>
        <w:t>.</w:t>
      </w:r>
    </w:p>
  </w:footnote>
  <w:footnote w:id="84">
    <w:p w14:paraId="35A0E18A" w14:textId="6211DA60" w:rsidR="007B3571" w:rsidRPr="005A702E" w:rsidRDefault="007B3571" w:rsidP="0045244F">
      <w:pPr>
        <w:spacing w:after="0" w:line="240" w:lineRule="auto"/>
        <w:ind w:left="0" w:firstLine="0"/>
        <w:jc w:val="left"/>
        <w:rPr>
          <w:rFonts w:eastAsia="Cambria"/>
          <w:sz w:val="18"/>
          <w:szCs w:val="18"/>
        </w:rPr>
      </w:pPr>
      <w:r w:rsidRPr="005A702E">
        <w:rPr>
          <w:sz w:val="18"/>
          <w:szCs w:val="18"/>
          <w:vertAlign w:val="superscript"/>
        </w:rPr>
        <w:footnoteRef/>
      </w:r>
      <w:r w:rsidRPr="005A702E">
        <w:rPr>
          <w:sz w:val="18"/>
          <w:szCs w:val="18"/>
        </w:rPr>
        <w:t xml:space="preserve"> United Nations, Committee on the Elimination of Racial Discrimination (CERD), </w:t>
      </w:r>
      <w:hyperlink r:id="rId89">
        <w:r w:rsidRPr="005A702E">
          <w:rPr>
            <w:i/>
            <w:iCs/>
            <w:color w:val="1155CC"/>
            <w:sz w:val="18"/>
            <w:szCs w:val="18"/>
            <w:u w:val="single"/>
          </w:rPr>
          <w:t>Concluding observations on the combined 21st to 23rd periodic reports of Canada : Committee on the Elimination of Racial Discrimination, CERD/C/CAN/CO/21-23</w:t>
        </w:r>
      </w:hyperlink>
      <w:r w:rsidRPr="005A702E">
        <w:rPr>
          <w:i/>
          <w:iCs/>
          <w:sz w:val="18"/>
          <w:szCs w:val="18"/>
        </w:rPr>
        <w:t xml:space="preserve"> </w:t>
      </w:r>
      <w:r w:rsidRPr="005A702E">
        <w:rPr>
          <w:sz w:val="18"/>
          <w:szCs w:val="18"/>
        </w:rPr>
        <w:t xml:space="preserve">(September 2017); CERD, </w:t>
      </w:r>
      <w:hyperlink r:id="rId90">
        <w:r w:rsidRPr="005A702E">
          <w:rPr>
            <w:i/>
            <w:iCs/>
            <w:color w:val="1155CC"/>
            <w:sz w:val="18"/>
            <w:szCs w:val="18"/>
            <w:u w:val="single"/>
          </w:rPr>
          <w:t>Consideration of reports submitted by States parties under article 9 of the convention</w:t>
        </w:r>
      </w:hyperlink>
      <w:hyperlink r:id="rId91">
        <w:r w:rsidRPr="005A702E">
          <w:rPr>
            <w:color w:val="1155CC"/>
            <w:sz w:val="18"/>
            <w:szCs w:val="18"/>
            <w:u w:val="single"/>
          </w:rPr>
          <w:t>, CERD/C/CAN/CO/19-20</w:t>
        </w:r>
      </w:hyperlink>
      <w:r w:rsidRPr="005A702E">
        <w:rPr>
          <w:sz w:val="18"/>
          <w:szCs w:val="18"/>
        </w:rPr>
        <w:t xml:space="preserve"> (April 2012); CERD, </w:t>
      </w:r>
      <w:hyperlink r:id="rId92">
        <w:r w:rsidRPr="005A702E">
          <w:rPr>
            <w:i/>
            <w:iCs/>
            <w:color w:val="1155CC"/>
            <w:sz w:val="18"/>
            <w:szCs w:val="18"/>
            <w:u w:val="single"/>
          </w:rPr>
          <w:t>Consideration of reports submitted by States parties under article 9 of the convention</w:t>
        </w:r>
      </w:hyperlink>
      <w:hyperlink r:id="rId93">
        <w:r w:rsidRPr="005A702E">
          <w:rPr>
            <w:color w:val="1155CC"/>
            <w:sz w:val="18"/>
            <w:szCs w:val="18"/>
            <w:u w:val="single"/>
          </w:rPr>
          <w:t>, CERD/C/CAN/CO/18</w:t>
        </w:r>
      </w:hyperlink>
      <w:r w:rsidRPr="005A702E">
        <w:rPr>
          <w:sz w:val="18"/>
          <w:szCs w:val="18"/>
        </w:rPr>
        <w:t xml:space="preserve"> (May 2007); United Nations, Committee on the Rights of the Child, </w:t>
      </w:r>
      <w:hyperlink r:id="rId94">
        <w:r w:rsidRPr="005A702E">
          <w:rPr>
            <w:i/>
            <w:iCs/>
            <w:color w:val="1155CC"/>
            <w:sz w:val="18"/>
            <w:szCs w:val="18"/>
            <w:u w:val="single"/>
          </w:rPr>
          <w:t>Concluding observations on the combined third and fourth periodic report of Canada, adopted by the Committee at its sixty-first session (17 September – 5 October 2012)</w:t>
        </w:r>
      </w:hyperlink>
      <w:hyperlink r:id="rId95">
        <w:r w:rsidR="60589CA8" w:rsidRPr="005A702E">
          <w:rPr>
            <w:rStyle w:val="Hyperlink"/>
            <w:rFonts w:ascii="Arial" w:hAnsi="Arial"/>
            <w:sz w:val="18"/>
            <w:szCs w:val="18"/>
          </w:rPr>
          <w:t>, CRC/C/CAN/CO/3-4</w:t>
        </w:r>
      </w:hyperlink>
      <w:r w:rsidRPr="005A702E">
        <w:rPr>
          <w:sz w:val="18"/>
          <w:szCs w:val="18"/>
        </w:rPr>
        <w:t xml:space="preserve"> (December 2012).</w:t>
      </w:r>
    </w:p>
  </w:footnote>
  <w:footnote w:id="85">
    <w:p w14:paraId="77F93CBA" w14:textId="77777777" w:rsidR="007B3571" w:rsidRPr="005A702E" w:rsidRDefault="007B3571" w:rsidP="0045244F">
      <w:pPr>
        <w:pBdr>
          <w:top w:val="nil"/>
          <w:left w:val="nil"/>
          <w:bottom w:val="nil"/>
          <w:right w:val="nil"/>
          <w:between w:val="nil"/>
        </w:pBdr>
        <w:spacing w:after="0" w:line="240" w:lineRule="auto"/>
        <w:ind w:left="0" w:firstLine="0"/>
        <w:jc w:val="left"/>
        <w:rPr>
          <w:rFonts w:eastAsia="Cambria"/>
          <w:color w:val="000000"/>
          <w:sz w:val="18"/>
          <w:szCs w:val="18"/>
        </w:rPr>
      </w:pPr>
      <w:r w:rsidRPr="005A702E">
        <w:rPr>
          <w:sz w:val="18"/>
          <w:szCs w:val="18"/>
          <w:vertAlign w:val="superscript"/>
        </w:rPr>
        <w:footnoteRef/>
      </w:r>
      <w:r w:rsidRPr="005A702E">
        <w:rPr>
          <w:color w:val="000000"/>
          <w:sz w:val="18"/>
          <w:szCs w:val="18"/>
        </w:rPr>
        <w:t xml:space="preserve"> United Nations, Committee on the Elimination of Discrimination Against Women, </w:t>
      </w:r>
      <w:hyperlink r:id="rId96">
        <w:r w:rsidRPr="005A702E">
          <w:rPr>
            <w:i/>
            <w:iCs/>
            <w:color w:val="1155CC"/>
            <w:sz w:val="18"/>
            <w:szCs w:val="18"/>
            <w:u w:val="single"/>
          </w:rPr>
          <w:t>Concluding Observations on the Combined Eighth and Ninth Periodic Reports of Canada</w:t>
        </w:r>
      </w:hyperlink>
      <w:hyperlink r:id="rId97">
        <w:r w:rsidRPr="005A702E">
          <w:rPr>
            <w:color w:val="1155CC"/>
            <w:sz w:val="18"/>
            <w:szCs w:val="18"/>
            <w:u w:val="single"/>
          </w:rPr>
          <w:t>, UN Doc CEDAW/C/CAN/CO/8-9</w:t>
        </w:r>
      </w:hyperlink>
      <w:r w:rsidRPr="005A702E">
        <w:rPr>
          <w:color w:val="000000"/>
          <w:sz w:val="18"/>
          <w:szCs w:val="18"/>
        </w:rPr>
        <w:t xml:space="preserve"> (18 November 2016)</w:t>
      </w:r>
      <w:r w:rsidRPr="005A702E">
        <w:rPr>
          <w:sz w:val="18"/>
          <w:szCs w:val="18"/>
        </w:rPr>
        <w:t>.</w:t>
      </w:r>
    </w:p>
  </w:footnote>
  <w:footnote w:id="86">
    <w:p w14:paraId="2F9BA45B" w14:textId="77777777" w:rsidR="007B3571" w:rsidRPr="005A702E" w:rsidRDefault="007B3571" w:rsidP="0045244F">
      <w:pPr>
        <w:pBdr>
          <w:top w:val="nil"/>
          <w:left w:val="nil"/>
          <w:bottom w:val="nil"/>
          <w:right w:val="nil"/>
          <w:between w:val="nil"/>
        </w:pBdr>
        <w:spacing w:after="0" w:line="240" w:lineRule="auto"/>
        <w:ind w:left="0" w:firstLine="0"/>
        <w:jc w:val="left"/>
        <w:rPr>
          <w:rFonts w:eastAsia="Cambria"/>
          <w:color w:val="000000"/>
          <w:sz w:val="18"/>
          <w:szCs w:val="18"/>
        </w:rPr>
      </w:pPr>
      <w:r w:rsidRPr="005A702E">
        <w:rPr>
          <w:sz w:val="18"/>
          <w:szCs w:val="18"/>
          <w:vertAlign w:val="superscript"/>
        </w:rPr>
        <w:footnoteRef/>
      </w:r>
      <w:r w:rsidRPr="005A702E">
        <w:rPr>
          <w:color w:val="000000"/>
          <w:sz w:val="18"/>
          <w:szCs w:val="18"/>
        </w:rPr>
        <w:t xml:space="preserve"> United Nations, Committee on Economic, Social and Cultural Rights, </w:t>
      </w:r>
      <w:hyperlink r:id="rId98">
        <w:r w:rsidRPr="005A702E">
          <w:rPr>
            <w:i/>
            <w:iCs/>
            <w:color w:val="1155CC"/>
            <w:sz w:val="18"/>
            <w:szCs w:val="18"/>
            <w:u w:val="single"/>
          </w:rPr>
          <w:t>Concluding Observations on the Sixth Periodic Report of Canada</w:t>
        </w:r>
      </w:hyperlink>
      <w:hyperlink r:id="rId99">
        <w:r w:rsidRPr="005A702E">
          <w:rPr>
            <w:color w:val="1155CC"/>
            <w:sz w:val="18"/>
            <w:szCs w:val="18"/>
            <w:u w:val="single"/>
          </w:rPr>
          <w:t>, UN Doc E/C.12/CAN/CO/6</w:t>
        </w:r>
      </w:hyperlink>
      <w:r w:rsidRPr="005A702E">
        <w:rPr>
          <w:color w:val="000000"/>
          <w:sz w:val="18"/>
          <w:szCs w:val="18"/>
        </w:rPr>
        <w:t xml:space="preserve"> (23 March 2016). </w:t>
      </w:r>
    </w:p>
  </w:footnote>
  <w:footnote w:id="87">
    <w:p w14:paraId="00FD0969" w14:textId="77777777" w:rsidR="007B3571" w:rsidRPr="005A702E" w:rsidRDefault="007B3571" w:rsidP="0045244F">
      <w:pPr>
        <w:pBdr>
          <w:top w:val="nil"/>
          <w:left w:val="nil"/>
          <w:bottom w:val="nil"/>
          <w:right w:val="nil"/>
          <w:between w:val="nil"/>
        </w:pBdr>
        <w:spacing w:after="0" w:line="240" w:lineRule="auto"/>
        <w:ind w:left="0" w:firstLine="0"/>
        <w:jc w:val="left"/>
        <w:rPr>
          <w:rFonts w:eastAsia="Cambria"/>
          <w:i/>
          <w:iCs/>
          <w:color w:val="000000"/>
          <w:sz w:val="18"/>
          <w:szCs w:val="18"/>
        </w:rPr>
      </w:pPr>
      <w:r w:rsidRPr="005A702E">
        <w:rPr>
          <w:sz w:val="18"/>
          <w:szCs w:val="18"/>
          <w:vertAlign w:val="superscript"/>
        </w:rPr>
        <w:footnoteRef/>
      </w:r>
      <w:r w:rsidRPr="005A702E">
        <w:rPr>
          <w:color w:val="000000"/>
          <w:sz w:val="18"/>
          <w:szCs w:val="18"/>
        </w:rPr>
        <w:t xml:space="preserve"> </w:t>
      </w:r>
      <w:r w:rsidRPr="005A702E">
        <w:rPr>
          <w:i/>
          <w:iCs/>
          <w:sz w:val="18"/>
          <w:szCs w:val="18"/>
        </w:rPr>
        <w:t>Mandates of Working Group on the issue of human rights and transnational corporations and other business enterprises; the Special Rapporteur on obligations relating to enjoyment of a safe, clean, healthy, sustainable environment, and the Special Rapporteur of  the rights of indigenous peoples</w:t>
      </w:r>
      <w:r w:rsidRPr="005A702E">
        <w:rPr>
          <w:sz w:val="18"/>
          <w:szCs w:val="18"/>
        </w:rPr>
        <w:t xml:space="preserve">, </w:t>
      </w:r>
      <w:hyperlink r:id="rId100">
        <w:r w:rsidRPr="005A702E">
          <w:rPr>
            <w:color w:val="1155CC"/>
            <w:sz w:val="18"/>
            <w:szCs w:val="18"/>
            <w:u w:val="single"/>
          </w:rPr>
          <w:t>AL CAN 7/2021</w:t>
        </w:r>
      </w:hyperlink>
      <w:r w:rsidRPr="005A702E">
        <w:rPr>
          <w:color w:val="000000"/>
          <w:sz w:val="18"/>
          <w:szCs w:val="18"/>
        </w:rPr>
        <w:t xml:space="preserve"> (November 2021); </w:t>
      </w:r>
      <w:r w:rsidRPr="005A702E">
        <w:rPr>
          <w:i/>
          <w:iCs/>
          <w:color w:val="000000"/>
          <w:sz w:val="18"/>
          <w:szCs w:val="18"/>
        </w:rPr>
        <w:t>Mandates of the Special Rapporteur on the implications for human rights of the environmentally</w:t>
      </w:r>
      <w:r w:rsidRPr="005A702E">
        <w:rPr>
          <w:i/>
          <w:iCs/>
          <w:sz w:val="18"/>
          <w:szCs w:val="18"/>
        </w:rPr>
        <w:t xml:space="preserve"> </w:t>
      </w:r>
      <w:r w:rsidRPr="005A702E">
        <w:rPr>
          <w:i/>
          <w:iCs/>
          <w:color w:val="000000"/>
          <w:sz w:val="18"/>
          <w:szCs w:val="18"/>
        </w:rPr>
        <w:t>sound management and disposa</w:t>
      </w:r>
      <w:r w:rsidRPr="005A702E">
        <w:rPr>
          <w:i/>
          <w:iCs/>
          <w:sz w:val="18"/>
          <w:szCs w:val="18"/>
        </w:rPr>
        <w:t>l</w:t>
      </w:r>
      <w:r w:rsidRPr="005A702E">
        <w:rPr>
          <w:i/>
          <w:iCs/>
          <w:color w:val="000000"/>
          <w:sz w:val="18"/>
          <w:szCs w:val="18"/>
        </w:rPr>
        <w:t xml:space="preserve"> of hazardous substances and wastes; the Working Group on the</w:t>
      </w:r>
      <w:r w:rsidRPr="005A702E">
        <w:rPr>
          <w:i/>
          <w:iCs/>
          <w:sz w:val="18"/>
          <w:szCs w:val="18"/>
        </w:rPr>
        <w:t xml:space="preserve"> </w:t>
      </w:r>
      <w:r w:rsidRPr="005A702E">
        <w:rPr>
          <w:i/>
          <w:iCs/>
          <w:color w:val="000000"/>
          <w:sz w:val="18"/>
          <w:szCs w:val="18"/>
        </w:rPr>
        <w:t xml:space="preserve">issue of human rights and transnational </w:t>
      </w:r>
      <w:r w:rsidRPr="005A702E">
        <w:rPr>
          <w:i/>
          <w:iCs/>
          <w:sz w:val="18"/>
          <w:szCs w:val="18"/>
        </w:rPr>
        <w:t>corporations</w:t>
      </w:r>
      <w:r w:rsidRPr="005A702E">
        <w:rPr>
          <w:i/>
          <w:iCs/>
          <w:color w:val="000000"/>
          <w:sz w:val="18"/>
          <w:szCs w:val="18"/>
        </w:rPr>
        <w:t xml:space="preserve"> and other business enterprises; the Special Rapporteur on the right to development; the Special Rapporteur on the issue of human rights obligations relating to the enjoyment of a safe, clean, healthy and sustainable environment; the Special Rapporteur on the right to food; the Special Rapporteur on the promotion and protection of the right to freedom of opinion and expression; the Special Rapporteur on the rights to freedom of peaceful assembly and of association; the Special Rapporteur on the right of everyone to the enjoyment of the highest attainable standard of </w:t>
      </w:r>
      <w:r w:rsidRPr="005A702E">
        <w:rPr>
          <w:i/>
          <w:iCs/>
          <w:sz w:val="18"/>
          <w:szCs w:val="18"/>
        </w:rPr>
        <w:t>physical</w:t>
      </w:r>
      <w:r w:rsidRPr="005A702E">
        <w:rPr>
          <w:i/>
          <w:iCs/>
          <w:color w:val="000000"/>
          <w:sz w:val="18"/>
          <w:szCs w:val="18"/>
        </w:rPr>
        <w:t xml:space="preserve"> and mental health; the Special Rapporteur on the situation of human rights defenders; the Special Rapporteur on the rights of indigenous peoples and the Special Rapporteur on the human rights to safe drinking water and sanitation, </w:t>
      </w:r>
      <w:hyperlink r:id="rId101">
        <w:r w:rsidRPr="005A702E">
          <w:rPr>
            <w:color w:val="1155CC"/>
            <w:sz w:val="18"/>
            <w:szCs w:val="18"/>
            <w:u w:val="single"/>
          </w:rPr>
          <w:t>AL CAN 5/2020</w:t>
        </w:r>
      </w:hyperlink>
      <w:r w:rsidRPr="005A702E">
        <w:rPr>
          <w:color w:val="000000"/>
          <w:sz w:val="18"/>
          <w:szCs w:val="18"/>
        </w:rPr>
        <w:t xml:space="preserve">, (July 2020); </w:t>
      </w:r>
      <w:r w:rsidRPr="005A702E">
        <w:rPr>
          <w:i/>
          <w:iCs/>
          <w:color w:val="000000"/>
          <w:sz w:val="18"/>
          <w:szCs w:val="18"/>
        </w:rPr>
        <w:t>Mandates of the Special Rapporteur on the rights of indigenous peoples; the Working Group on the issue of human rights and transnational corporations and other business enterprises; the Special Rapporteur on the right of everyone to the enjoyment of the highest attainable standard of physical and mental health and the Special Rapporteur on the implications for human rights of the environmentally sound management and disposal of hazardous substances and wastes</w:t>
      </w:r>
      <w:r w:rsidRPr="005A702E">
        <w:rPr>
          <w:color w:val="000000"/>
          <w:sz w:val="18"/>
          <w:szCs w:val="18"/>
        </w:rPr>
        <w:t xml:space="preserve">, </w:t>
      </w:r>
      <w:hyperlink r:id="rId102">
        <w:r w:rsidRPr="005A702E">
          <w:rPr>
            <w:color w:val="1155CC"/>
            <w:sz w:val="18"/>
            <w:szCs w:val="18"/>
            <w:u w:val="single"/>
          </w:rPr>
          <w:t>AL CAN 1/2022</w:t>
        </w:r>
      </w:hyperlink>
      <w:r w:rsidRPr="005A702E">
        <w:rPr>
          <w:color w:val="000000"/>
          <w:sz w:val="18"/>
          <w:szCs w:val="18"/>
        </w:rPr>
        <w:t xml:space="preserve"> (June 2022)</w:t>
      </w:r>
      <w:r w:rsidRPr="005A702E">
        <w:rPr>
          <w:sz w:val="18"/>
          <w:szCs w:val="18"/>
        </w:rPr>
        <w:t>.</w:t>
      </w:r>
    </w:p>
  </w:footnote>
  <w:footnote w:id="88">
    <w:p w14:paraId="065EA62A" w14:textId="77777777" w:rsidR="007B3571" w:rsidRPr="005A702E" w:rsidRDefault="007B3571" w:rsidP="0045244F">
      <w:pPr>
        <w:spacing w:after="0" w:line="240" w:lineRule="auto"/>
        <w:ind w:left="0" w:firstLine="0"/>
        <w:jc w:val="left"/>
        <w:rPr>
          <w:i/>
          <w:iCs/>
          <w:sz w:val="18"/>
          <w:szCs w:val="18"/>
        </w:rPr>
      </w:pPr>
      <w:r w:rsidRPr="005A702E">
        <w:rPr>
          <w:sz w:val="18"/>
          <w:szCs w:val="18"/>
          <w:vertAlign w:val="superscript"/>
        </w:rPr>
        <w:footnoteRef/>
      </w:r>
      <w:r w:rsidRPr="005A702E">
        <w:rPr>
          <w:sz w:val="18"/>
          <w:szCs w:val="18"/>
        </w:rPr>
        <w:t xml:space="preserve"> </w:t>
      </w:r>
      <w:r w:rsidRPr="005A702E">
        <w:rPr>
          <w:i/>
          <w:iCs/>
          <w:sz w:val="18"/>
          <w:szCs w:val="18"/>
        </w:rPr>
        <w:t>Mandates of the Special Rapporteur on the rights of indigenous peoples; the Working Group on the issue of human rights and transnational corporations and other business enterprises; the Special Rapporteur on the right of everyone to the enjoyment of the highest attainable standard of physical and mental health and the Special Rapporteur on the implications for human rights of the environmentally sound management and disposal of hazardous substances and wastes</w:t>
      </w:r>
      <w:r w:rsidRPr="005A702E">
        <w:rPr>
          <w:sz w:val="18"/>
          <w:szCs w:val="18"/>
        </w:rPr>
        <w:t xml:space="preserve">, </w:t>
      </w:r>
      <w:hyperlink r:id="rId103">
        <w:r w:rsidRPr="005A702E">
          <w:rPr>
            <w:color w:val="1155CC"/>
            <w:sz w:val="18"/>
            <w:szCs w:val="18"/>
            <w:u w:val="single"/>
          </w:rPr>
          <w:t>AL CAN 1/2022</w:t>
        </w:r>
      </w:hyperlink>
      <w:r w:rsidRPr="005A702E">
        <w:rPr>
          <w:sz w:val="18"/>
          <w:szCs w:val="18"/>
        </w:rPr>
        <w:t xml:space="preserve"> (June 2022).</w:t>
      </w:r>
    </w:p>
  </w:footnote>
  <w:footnote w:id="89">
    <w:p w14:paraId="02260690" w14:textId="63591172" w:rsidR="6AFF34AF" w:rsidRPr="005A702E" w:rsidRDefault="6AFF34AF" w:rsidP="0045244F">
      <w:pPr>
        <w:pStyle w:val="FootnoteText"/>
        <w:spacing w:line="240" w:lineRule="auto"/>
        <w:ind w:left="0" w:firstLine="0"/>
        <w:jc w:val="left"/>
        <w:rPr>
          <w:sz w:val="18"/>
          <w:szCs w:val="18"/>
        </w:rPr>
      </w:pPr>
      <w:r w:rsidRPr="005A702E">
        <w:rPr>
          <w:rStyle w:val="FootnoteReference"/>
          <w:sz w:val="18"/>
          <w:szCs w:val="18"/>
        </w:rPr>
        <w:footnoteRef/>
      </w:r>
      <w:r w:rsidRPr="005A702E">
        <w:rPr>
          <w:sz w:val="18"/>
          <w:szCs w:val="18"/>
        </w:rPr>
        <w:t xml:space="preserve"> United Nations Economic and Social Council, </w:t>
      </w:r>
      <w:hyperlink r:id="rId104" w:history="1">
        <w:r w:rsidRPr="005917A9">
          <w:rPr>
            <w:rStyle w:val="Hyperlink"/>
            <w:rFonts w:ascii="Arial" w:hAnsi="Arial"/>
            <w:sz w:val="18"/>
            <w:szCs w:val="18"/>
          </w:rPr>
          <w:t>Concluding observations on the fifth periodic report of Australia</w:t>
        </w:r>
      </w:hyperlink>
      <w:r w:rsidR="005917A9">
        <w:rPr>
          <w:sz w:val="18"/>
          <w:szCs w:val="18"/>
        </w:rPr>
        <w:t xml:space="preserve"> (11</w:t>
      </w:r>
      <w:r w:rsidRPr="005A702E">
        <w:rPr>
          <w:sz w:val="18"/>
          <w:szCs w:val="18"/>
        </w:rPr>
        <w:t xml:space="preserve"> July 2017</w:t>
      </w:r>
      <w:r w:rsidR="005917A9">
        <w:rPr>
          <w:sz w:val="18"/>
          <w:szCs w:val="18"/>
        </w:rPr>
        <w:t>).</w:t>
      </w:r>
      <w:r w:rsidRPr="005A702E">
        <w:rPr>
          <w:sz w:val="18"/>
          <w:szCs w:val="18"/>
        </w:rPr>
        <w:t xml:space="preserve"> </w:t>
      </w:r>
    </w:p>
  </w:footnote>
  <w:footnote w:id="90">
    <w:p w14:paraId="2226F5C6" w14:textId="5A4655D2" w:rsidR="6AFF34AF" w:rsidRPr="005A702E" w:rsidRDefault="6AFF34AF" w:rsidP="0045244F">
      <w:pPr>
        <w:pStyle w:val="FootnoteText"/>
        <w:spacing w:line="240" w:lineRule="auto"/>
        <w:ind w:left="0" w:firstLine="0"/>
        <w:jc w:val="left"/>
        <w:rPr>
          <w:sz w:val="18"/>
          <w:szCs w:val="18"/>
        </w:rPr>
      </w:pPr>
      <w:r w:rsidRPr="005A702E">
        <w:rPr>
          <w:rStyle w:val="FootnoteReference"/>
          <w:sz w:val="18"/>
          <w:szCs w:val="18"/>
        </w:rPr>
        <w:footnoteRef/>
      </w:r>
      <w:r w:rsidRPr="005A702E">
        <w:rPr>
          <w:sz w:val="18"/>
          <w:szCs w:val="18"/>
        </w:rPr>
        <w:t xml:space="preserve"> UN Convention on the Elimination of All Forms of Discrimination Against Women, </w:t>
      </w:r>
      <w:hyperlink r:id="rId105" w:history="1">
        <w:r w:rsidRPr="005917A9">
          <w:rPr>
            <w:rStyle w:val="Hyperlink"/>
            <w:rFonts w:ascii="Arial" w:hAnsi="Arial"/>
            <w:sz w:val="18"/>
            <w:szCs w:val="18"/>
          </w:rPr>
          <w:t>Concluding observations on the Eighth Periodic Report of Australia</w:t>
        </w:r>
      </w:hyperlink>
      <w:r w:rsidRPr="005A702E">
        <w:rPr>
          <w:sz w:val="18"/>
          <w:szCs w:val="18"/>
        </w:rPr>
        <w:t xml:space="preserve"> </w:t>
      </w:r>
      <w:r w:rsidR="005917A9">
        <w:rPr>
          <w:sz w:val="18"/>
          <w:szCs w:val="18"/>
        </w:rPr>
        <w:t xml:space="preserve">(25 </w:t>
      </w:r>
      <w:r w:rsidRPr="005A702E">
        <w:rPr>
          <w:sz w:val="18"/>
          <w:szCs w:val="18"/>
        </w:rPr>
        <w:t>July 2018</w:t>
      </w:r>
      <w:r w:rsidR="005917A9">
        <w:rPr>
          <w:sz w:val="18"/>
          <w:szCs w:val="18"/>
        </w:rPr>
        <w:t xml:space="preserve">). </w:t>
      </w:r>
    </w:p>
  </w:footnote>
  <w:footnote w:id="91">
    <w:p w14:paraId="3C78293D" w14:textId="3B0DD807" w:rsidR="6AFF34AF" w:rsidRPr="005A702E" w:rsidRDefault="6AFF34AF" w:rsidP="0045244F">
      <w:pPr>
        <w:pStyle w:val="FootnoteText"/>
        <w:spacing w:line="240" w:lineRule="auto"/>
        <w:ind w:left="0" w:firstLine="0"/>
        <w:jc w:val="left"/>
        <w:rPr>
          <w:sz w:val="18"/>
          <w:szCs w:val="18"/>
        </w:rPr>
      </w:pPr>
      <w:r w:rsidRPr="005A702E">
        <w:rPr>
          <w:rStyle w:val="FootnoteReference"/>
          <w:sz w:val="18"/>
          <w:szCs w:val="18"/>
        </w:rPr>
        <w:footnoteRef/>
      </w:r>
      <w:r w:rsidRPr="005A702E">
        <w:rPr>
          <w:sz w:val="18"/>
          <w:szCs w:val="18"/>
        </w:rPr>
        <w:t xml:space="preserve"> Committee on the Elimination of Racial Discrimination, </w:t>
      </w:r>
      <w:hyperlink r:id="rId106" w:history="1">
        <w:r w:rsidRPr="005917A9">
          <w:rPr>
            <w:rStyle w:val="Hyperlink"/>
            <w:rFonts w:ascii="Arial" w:hAnsi="Arial"/>
            <w:sz w:val="18"/>
            <w:szCs w:val="18"/>
          </w:rPr>
          <w:t>Concluding observations on the combined nineteenth to twenty-first periodic report of the Netherlands</w:t>
        </w:r>
      </w:hyperlink>
      <w:r w:rsidR="005917A9">
        <w:rPr>
          <w:sz w:val="18"/>
          <w:szCs w:val="18"/>
        </w:rPr>
        <w:t xml:space="preserve"> (24 </w:t>
      </w:r>
      <w:r w:rsidRPr="005A702E">
        <w:rPr>
          <w:sz w:val="18"/>
          <w:szCs w:val="18"/>
        </w:rPr>
        <w:t>Sept</w:t>
      </w:r>
      <w:r w:rsidR="005917A9">
        <w:rPr>
          <w:sz w:val="18"/>
          <w:szCs w:val="18"/>
        </w:rPr>
        <w:t>ember</w:t>
      </w:r>
      <w:r w:rsidRPr="005A702E">
        <w:rPr>
          <w:sz w:val="18"/>
          <w:szCs w:val="18"/>
        </w:rPr>
        <w:t xml:space="preserve"> 2015</w:t>
      </w:r>
      <w:r w:rsidR="005917A9">
        <w:rPr>
          <w:sz w:val="18"/>
          <w:szCs w:val="18"/>
        </w:rPr>
        <w:t xml:space="preserve">). </w:t>
      </w:r>
    </w:p>
  </w:footnote>
  <w:footnote w:id="92">
    <w:p w14:paraId="43E680BF" w14:textId="7430B004" w:rsidR="6AFF34AF" w:rsidRPr="005A702E" w:rsidRDefault="6AFF34AF" w:rsidP="0045244F">
      <w:pPr>
        <w:pStyle w:val="FootnoteText"/>
        <w:spacing w:line="240" w:lineRule="auto"/>
        <w:ind w:left="0" w:firstLine="0"/>
        <w:jc w:val="left"/>
        <w:rPr>
          <w:sz w:val="18"/>
          <w:szCs w:val="18"/>
        </w:rPr>
      </w:pPr>
      <w:r w:rsidRPr="005A702E">
        <w:rPr>
          <w:rStyle w:val="FootnoteReference"/>
          <w:sz w:val="18"/>
          <w:szCs w:val="18"/>
        </w:rPr>
        <w:footnoteRef/>
      </w:r>
      <w:r w:rsidRPr="005A702E">
        <w:rPr>
          <w:sz w:val="18"/>
          <w:szCs w:val="18"/>
        </w:rPr>
        <w:t xml:space="preserve"> UN Committee on Economic, Social and Cultural Rights, </w:t>
      </w:r>
      <w:hyperlink r:id="rId107" w:history="1">
        <w:r w:rsidRPr="005917A9">
          <w:rPr>
            <w:rStyle w:val="Hyperlink"/>
            <w:rFonts w:ascii="Arial" w:hAnsi="Arial"/>
            <w:sz w:val="18"/>
            <w:szCs w:val="18"/>
          </w:rPr>
          <w:t>Concluding observations on the sixth periodic report of the Netherlands</w:t>
        </w:r>
      </w:hyperlink>
      <w:r w:rsidRPr="005A702E">
        <w:rPr>
          <w:sz w:val="18"/>
          <w:szCs w:val="18"/>
        </w:rPr>
        <w:t xml:space="preserve"> </w:t>
      </w:r>
      <w:r w:rsidR="005917A9">
        <w:rPr>
          <w:sz w:val="18"/>
          <w:szCs w:val="18"/>
        </w:rPr>
        <w:t xml:space="preserve">(6 </w:t>
      </w:r>
      <w:r w:rsidRPr="005A702E">
        <w:rPr>
          <w:sz w:val="18"/>
          <w:szCs w:val="18"/>
        </w:rPr>
        <w:t>July 2017</w:t>
      </w:r>
      <w:r w:rsidR="005917A9">
        <w:rPr>
          <w:sz w:val="18"/>
          <w:szCs w:val="18"/>
        </w:rPr>
        <w:t xml:space="preserve">). </w:t>
      </w:r>
    </w:p>
  </w:footnote>
  <w:footnote w:id="93">
    <w:p w14:paraId="4FD8B1ED" w14:textId="30034D34" w:rsidR="6AFF34AF" w:rsidRPr="005A702E" w:rsidRDefault="6AFF34AF" w:rsidP="0045244F">
      <w:pPr>
        <w:pStyle w:val="FootnoteText"/>
        <w:spacing w:line="240" w:lineRule="auto"/>
        <w:ind w:left="0" w:firstLine="0"/>
        <w:jc w:val="left"/>
        <w:rPr>
          <w:sz w:val="18"/>
          <w:szCs w:val="18"/>
        </w:rPr>
      </w:pPr>
      <w:r w:rsidRPr="005A702E">
        <w:rPr>
          <w:rStyle w:val="FootnoteReference"/>
          <w:sz w:val="18"/>
          <w:szCs w:val="18"/>
        </w:rPr>
        <w:footnoteRef/>
      </w:r>
      <w:r w:rsidRPr="005A702E">
        <w:rPr>
          <w:sz w:val="18"/>
          <w:szCs w:val="18"/>
        </w:rPr>
        <w:t xml:space="preserve"> UN Convention on the Rights of the Child, </w:t>
      </w:r>
      <w:hyperlink r:id="rId108" w:history="1">
        <w:r w:rsidRPr="008964BA">
          <w:rPr>
            <w:rStyle w:val="Hyperlink"/>
            <w:rFonts w:ascii="Arial" w:hAnsi="Arial"/>
            <w:sz w:val="18"/>
            <w:szCs w:val="18"/>
          </w:rPr>
          <w:t>Concluding observations on the fifth and sixth reports of the Kingdom of the Netherlands</w:t>
        </w:r>
      </w:hyperlink>
      <w:r w:rsidRPr="005A702E">
        <w:rPr>
          <w:sz w:val="18"/>
          <w:szCs w:val="18"/>
        </w:rPr>
        <w:t xml:space="preserve"> </w:t>
      </w:r>
      <w:r w:rsidR="008964BA">
        <w:rPr>
          <w:sz w:val="18"/>
          <w:szCs w:val="18"/>
        </w:rPr>
        <w:t xml:space="preserve">(9 </w:t>
      </w:r>
      <w:r w:rsidRPr="005A702E">
        <w:rPr>
          <w:sz w:val="18"/>
          <w:szCs w:val="18"/>
        </w:rPr>
        <w:t>March 2022</w:t>
      </w:r>
      <w:r w:rsidR="008964BA">
        <w:rPr>
          <w:sz w:val="18"/>
          <w:szCs w:val="18"/>
        </w:rPr>
        <w:t xml:space="preserve">). </w:t>
      </w:r>
    </w:p>
  </w:footnote>
  <w:footnote w:id="94">
    <w:p w14:paraId="78194264" w14:textId="77777777" w:rsidR="007B3571" w:rsidRPr="005A702E" w:rsidRDefault="007B3571" w:rsidP="0045244F">
      <w:pPr>
        <w:spacing w:after="0" w:line="240" w:lineRule="auto"/>
        <w:ind w:left="0" w:firstLine="0"/>
        <w:jc w:val="left"/>
        <w:rPr>
          <w:sz w:val="18"/>
          <w:szCs w:val="18"/>
        </w:rPr>
      </w:pPr>
      <w:r w:rsidRPr="005A702E">
        <w:rPr>
          <w:sz w:val="18"/>
          <w:szCs w:val="18"/>
          <w:vertAlign w:val="superscript"/>
        </w:rPr>
        <w:footnoteRef/>
      </w:r>
      <w:r w:rsidRPr="005A702E">
        <w:rPr>
          <w:sz w:val="18"/>
          <w:szCs w:val="18"/>
        </w:rPr>
        <w:t xml:space="preserve"> United Nations, Committee on the Elimination of Racial Discrimination, </w:t>
      </w:r>
      <w:hyperlink r:id="rId109">
        <w:r w:rsidRPr="005A702E">
          <w:rPr>
            <w:i/>
            <w:iCs/>
            <w:color w:val="1155CC"/>
            <w:sz w:val="18"/>
            <w:szCs w:val="18"/>
            <w:u w:val="single"/>
          </w:rPr>
          <w:t>Decision 2 (2024) on Israel and the State of Palestine</w:t>
        </w:r>
      </w:hyperlink>
      <w:r w:rsidRPr="005A702E">
        <w:rPr>
          <w:sz w:val="18"/>
          <w:szCs w:val="18"/>
        </w:rPr>
        <w:t xml:space="preserve"> (December 2024).</w:t>
      </w:r>
    </w:p>
  </w:footnote>
  <w:footnote w:id="95">
    <w:p w14:paraId="7C14F750" w14:textId="77777777" w:rsidR="007B3571" w:rsidRPr="005A702E" w:rsidRDefault="007B3571" w:rsidP="0045244F">
      <w:pPr>
        <w:spacing w:after="0" w:line="240" w:lineRule="auto"/>
        <w:ind w:left="0" w:firstLine="0"/>
        <w:jc w:val="left"/>
        <w:rPr>
          <w:rFonts w:eastAsia="Cambria"/>
          <w:sz w:val="18"/>
          <w:szCs w:val="18"/>
        </w:rPr>
      </w:pPr>
      <w:r w:rsidRPr="005A702E">
        <w:rPr>
          <w:sz w:val="18"/>
          <w:szCs w:val="18"/>
          <w:vertAlign w:val="superscript"/>
        </w:rPr>
        <w:footnoteRef/>
      </w:r>
      <w:r w:rsidRPr="005A702E">
        <w:rPr>
          <w:sz w:val="18"/>
          <w:szCs w:val="18"/>
        </w:rPr>
        <w:t xml:space="preserve"> United Nations, Office of the High Commissioner for Human Rights, </w:t>
      </w:r>
      <w:hyperlink r:id="rId110">
        <w:r w:rsidRPr="005A702E">
          <w:rPr>
            <w:i/>
            <w:iCs/>
            <w:color w:val="1155CC"/>
            <w:sz w:val="18"/>
            <w:szCs w:val="18"/>
            <w:u w:val="single"/>
          </w:rPr>
          <w:t>States and Companies Must End Arms Transfers to Israel Immediately or Risk Complicity</w:t>
        </w:r>
      </w:hyperlink>
      <w:r w:rsidRPr="005A702E">
        <w:rPr>
          <w:i/>
          <w:iCs/>
          <w:sz w:val="18"/>
          <w:szCs w:val="18"/>
        </w:rPr>
        <w:t xml:space="preserve"> </w:t>
      </w:r>
      <w:r w:rsidRPr="005A702E">
        <w:rPr>
          <w:sz w:val="18"/>
          <w:szCs w:val="18"/>
        </w:rPr>
        <w:t>(20 June 2024).</w:t>
      </w:r>
    </w:p>
  </w:footnote>
  <w:footnote w:id="96">
    <w:p w14:paraId="4B60BFC2" w14:textId="0257E948" w:rsidR="007B3571" w:rsidRPr="005A702E" w:rsidRDefault="007B3571" w:rsidP="0045244F">
      <w:pPr>
        <w:spacing w:after="0" w:line="240" w:lineRule="auto"/>
        <w:ind w:left="0" w:firstLine="0"/>
        <w:jc w:val="left"/>
        <w:rPr>
          <w:rFonts w:eastAsia="Cambria"/>
          <w:sz w:val="18"/>
          <w:szCs w:val="18"/>
        </w:rPr>
      </w:pPr>
      <w:r w:rsidRPr="005A702E">
        <w:rPr>
          <w:sz w:val="18"/>
          <w:szCs w:val="18"/>
          <w:vertAlign w:val="superscript"/>
        </w:rPr>
        <w:footnoteRef/>
      </w:r>
      <w:r w:rsidRPr="005A702E">
        <w:rPr>
          <w:sz w:val="18"/>
          <w:szCs w:val="18"/>
        </w:rPr>
        <w:t xml:space="preserve"> International Human Rights Program, University of Toronto and Global Human Rights Clinic, University of Chicago, </w:t>
      </w:r>
      <w:hyperlink r:id="rId111">
        <w:r w:rsidRPr="005A702E">
          <w:rPr>
            <w:i/>
            <w:iCs/>
            <w:color w:val="1155CC"/>
            <w:sz w:val="18"/>
            <w:szCs w:val="18"/>
            <w:u w:val="single"/>
          </w:rPr>
          <w:t>Feminist Foreign Policy Fail? Assessing Canada’s Human Rights Obligations in Gaza</w:t>
        </w:r>
      </w:hyperlink>
      <w:r w:rsidRPr="005A702E">
        <w:rPr>
          <w:sz w:val="18"/>
          <w:szCs w:val="18"/>
        </w:rPr>
        <w:t xml:space="preserve"> (October 2024). </w:t>
      </w:r>
    </w:p>
  </w:footnote>
  <w:footnote w:id="97">
    <w:p w14:paraId="59A94D84" w14:textId="77777777" w:rsidR="007B3571" w:rsidRPr="005A702E" w:rsidRDefault="007B3571" w:rsidP="0045244F">
      <w:pPr>
        <w:spacing w:after="0" w:line="240" w:lineRule="auto"/>
        <w:ind w:left="0" w:firstLine="0"/>
        <w:jc w:val="left"/>
        <w:rPr>
          <w:rFonts w:eastAsia="Cambria"/>
          <w:sz w:val="18"/>
          <w:szCs w:val="18"/>
        </w:rPr>
      </w:pPr>
      <w:r w:rsidRPr="005A702E">
        <w:rPr>
          <w:sz w:val="18"/>
          <w:szCs w:val="18"/>
          <w:vertAlign w:val="superscript"/>
        </w:rPr>
        <w:footnoteRef/>
      </w:r>
      <w:r w:rsidRPr="005A702E">
        <w:rPr>
          <w:sz w:val="18"/>
          <w:szCs w:val="18"/>
        </w:rPr>
        <w:t xml:space="preserve"> UN Web TV, </w:t>
      </w:r>
      <w:hyperlink r:id="rId112">
        <w:r w:rsidRPr="005A702E">
          <w:rPr>
            <w:i/>
            <w:iCs/>
            <w:color w:val="1155CC"/>
            <w:sz w:val="18"/>
            <w:szCs w:val="18"/>
            <w:u w:val="single"/>
          </w:rPr>
          <w:t>2103rd Meeting, 89th Session, Committee on the Elimination of Discrimination Against Women</w:t>
        </w:r>
      </w:hyperlink>
      <w:r w:rsidRPr="005A702E">
        <w:rPr>
          <w:i/>
          <w:iCs/>
          <w:sz w:val="18"/>
          <w:szCs w:val="18"/>
        </w:rPr>
        <w:t xml:space="preserve"> </w:t>
      </w:r>
      <w:r w:rsidRPr="005A702E">
        <w:rPr>
          <w:sz w:val="18"/>
          <w:szCs w:val="18"/>
        </w:rPr>
        <w:t>(16 October 2024).</w:t>
      </w:r>
    </w:p>
  </w:footnote>
  <w:footnote w:id="98">
    <w:p w14:paraId="4F0FAB33" w14:textId="28E7F7C1" w:rsidR="007B3571" w:rsidRPr="005A702E" w:rsidRDefault="007B3571" w:rsidP="0045244F">
      <w:pPr>
        <w:spacing w:after="0" w:line="240" w:lineRule="auto"/>
        <w:ind w:left="0" w:firstLine="0"/>
        <w:jc w:val="left"/>
        <w:rPr>
          <w:rFonts w:eastAsia="Cambria"/>
          <w:sz w:val="18"/>
          <w:szCs w:val="18"/>
        </w:rPr>
      </w:pPr>
      <w:r w:rsidRPr="005A702E">
        <w:rPr>
          <w:sz w:val="18"/>
          <w:szCs w:val="18"/>
          <w:vertAlign w:val="superscript"/>
        </w:rPr>
        <w:footnoteRef/>
      </w:r>
      <w:r w:rsidRPr="005A702E">
        <w:rPr>
          <w:sz w:val="18"/>
          <w:szCs w:val="18"/>
        </w:rPr>
        <w:t xml:space="preserve"> Transcript of the relevant portions of the dialogue are attached as Appendix B.</w:t>
      </w:r>
    </w:p>
  </w:footnote>
  <w:footnote w:id="99">
    <w:p w14:paraId="2727B319" w14:textId="77777777" w:rsidR="007B3571" w:rsidRPr="005A702E" w:rsidRDefault="007B3571" w:rsidP="0045244F">
      <w:pPr>
        <w:spacing w:after="0" w:line="240" w:lineRule="auto"/>
        <w:ind w:left="0" w:firstLine="0"/>
        <w:jc w:val="left"/>
        <w:rPr>
          <w:rFonts w:eastAsia="Cambria"/>
          <w:sz w:val="18"/>
          <w:szCs w:val="18"/>
        </w:rPr>
      </w:pPr>
      <w:r w:rsidRPr="005A702E">
        <w:rPr>
          <w:sz w:val="18"/>
          <w:szCs w:val="18"/>
          <w:vertAlign w:val="superscript"/>
        </w:rPr>
        <w:footnoteRef/>
      </w:r>
      <w:r w:rsidRPr="005A702E">
        <w:rPr>
          <w:sz w:val="18"/>
          <w:szCs w:val="18"/>
        </w:rPr>
        <w:t xml:space="preserve"> United Nations, Committee on the Elimination of Discrimination Against Women, </w:t>
      </w:r>
      <w:hyperlink r:id="rId113">
        <w:r w:rsidRPr="005A702E">
          <w:rPr>
            <w:i/>
            <w:iCs/>
            <w:color w:val="1155CC"/>
            <w:sz w:val="18"/>
            <w:szCs w:val="18"/>
            <w:u w:val="single"/>
          </w:rPr>
          <w:t>Concluding observations on the tenth periodic report of Canada</w:t>
        </w:r>
      </w:hyperlink>
      <w:hyperlink r:id="rId114">
        <w:r w:rsidRPr="005A702E">
          <w:rPr>
            <w:color w:val="1155CC"/>
            <w:sz w:val="18"/>
            <w:szCs w:val="18"/>
            <w:u w:val="single"/>
          </w:rPr>
          <w:t>, CEDAW/C/CAN/CO/10</w:t>
        </w:r>
      </w:hyperlink>
      <w:r w:rsidRPr="005A702E">
        <w:rPr>
          <w:sz w:val="18"/>
          <w:szCs w:val="18"/>
        </w:rPr>
        <w:t xml:space="preserve"> (30 October 2024). </w:t>
      </w:r>
    </w:p>
  </w:footnote>
  <w:footnote w:id="100">
    <w:p w14:paraId="3DEE8901" w14:textId="595D68C1" w:rsidR="60589CA8" w:rsidRPr="005A702E" w:rsidRDefault="60589CA8" w:rsidP="0045244F">
      <w:pPr>
        <w:pStyle w:val="FootnoteText"/>
        <w:spacing w:line="240" w:lineRule="auto"/>
        <w:ind w:left="0" w:firstLine="0"/>
        <w:jc w:val="left"/>
        <w:rPr>
          <w:sz w:val="18"/>
          <w:szCs w:val="18"/>
        </w:rPr>
      </w:pPr>
      <w:r w:rsidRPr="005A702E">
        <w:rPr>
          <w:rStyle w:val="FootnoteReference"/>
          <w:sz w:val="18"/>
          <w:szCs w:val="18"/>
        </w:rPr>
        <w:footnoteRef/>
      </w:r>
      <w:r w:rsidRPr="005A702E">
        <w:rPr>
          <w:sz w:val="18"/>
          <w:szCs w:val="18"/>
        </w:rPr>
        <w:t xml:space="preserve"> United Nations, Committee on the Rights of Persons with Disabilities, </w:t>
      </w:r>
      <w:hyperlink r:id="rId115">
        <w:r w:rsidRPr="005A702E">
          <w:rPr>
            <w:rStyle w:val="Hyperlink"/>
            <w:rFonts w:ascii="Arial" w:hAnsi="Arial"/>
            <w:sz w:val="18"/>
            <w:szCs w:val="18"/>
          </w:rPr>
          <w:t>Concluding observations on the combined second and third periodic reports of Canada</w:t>
        </w:r>
      </w:hyperlink>
      <w:r w:rsidRPr="005A702E">
        <w:rPr>
          <w:sz w:val="18"/>
          <w:szCs w:val="18"/>
        </w:rPr>
        <w:t xml:space="preserve"> (15 April 2025).</w:t>
      </w:r>
    </w:p>
  </w:footnote>
  <w:footnote w:id="101">
    <w:p w14:paraId="1B9D13A4" w14:textId="58940CFB" w:rsidR="60589CA8" w:rsidRPr="005A702E" w:rsidRDefault="60589CA8" w:rsidP="0045244F">
      <w:pPr>
        <w:pStyle w:val="FootnoteText"/>
        <w:spacing w:line="240" w:lineRule="auto"/>
        <w:ind w:left="-77" w:firstLine="77"/>
        <w:jc w:val="left"/>
        <w:rPr>
          <w:sz w:val="18"/>
          <w:szCs w:val="18"/>
        </w:rPr>
      </w:pPr>
      <w:r w:rsidRPr="005A702E">
        <w:rPr>
          <w:rStyle w:val="FootnoteReference"/>
          <w:sz w:val="18"/>
          <w:szCs w:val="18"/>
        </w:rPr>
        <w:footnoteRef/>
      </w:r>
      <w:r w:rsidRPr="005A702E">
        <w:rPr>
          <w:sz w:val="18"/>
          <w:szCs w:val="18"/>
        </w:rPr>
        <w:t xml:space="preserve"> Ibid.</w:t>
      </w:r>
    </w:p>
  </w:footnote>
  <w:footnote w:id="102">
    <w:p w14:paraId="0168D399" w14:textId="1BD2A835" w:rsidR="6AFF34AF" w:rsidRPr="005A702E" w:rsidRDefault="6AFF34AF" w:rsidP="0045244F">
      <w:pPr>
        <w:pStyle w:val="FootnoteText"/>
        <w:spacing w:line="240" w:lineRule="auto"/>
        <w:ind w:left="0" w:firstLine="0"/>
        <w:jc w:val="left"/>
        <w:rPr>
          <w:sz w:val="18"/>
          <w:szCs w:val="18"/>
        </w:rPr>
      </w:pPr>
      <w:r w:rsidRPr="005A702E">
        <w:rPr>
          <w:rStyle w:val="FootnoteReference"/>
          <w:sz w:val="18"/>
          <w:szCs w:val="18"/>
        </w:rPr>
        <w:footnoteRef/>
      </w:r>
      <w:r w:rsidRPr="005A702E">
        <w:rPr>
          <w:sz w:val="18"/>
          <w:szCs w:val="18"/>
        </w:rPr>
        <w:t xml:space="preserve"> </w:t>
      </w:r>
      <w:r w:rsidR="3220C020" w:rsidRPr="005A702E">
        <w:rPr>
          <w:sz w:val="18"/>
          <w:szCs w:val="18"/>
        </w:rPr>
        <w:t xml:space="preserve">United Nations, Committee on the Elimination of Racial Discrimination, </w:t>
      </w:r>
      <w:hyperlink r:id="rId116">
        <w:r w:rsidRPr="005A702E">
          <w:rPr>
            <w:rStyle w:val="Hyperlink"/>
            <w:rFonts w:ascii="Arial" w:hAnsi="Arial"/>
            <w:sz w:val="18"/>
            <w:szCs w:val="18"/>
          </w:rPr>
          <w:t>Letter from the Chair of the Committee on the Elimination of Racial Discrimination to the Ambassador and Permanent Representative of Canada to the United Nations</w:t>
        </w:r>
      </w:hyperlink>
      <w:r w:rsidRPr="005A702E">
        <w:rPr>
          <w:sz w:val="18"/>
          <w:szCs w:val="18"/>
        </w:rPr>
        <w:t xml:space="preserve"> (12 May 2025).</w:t>
      </w:r>
    </w:p>
  </w:footnote>
  <w:footnote w:id="103">
    <w:p w14:paraId="03AA8A12" w14:textId="2659FE91" w:rsidR="6AFF34AF" w:rsidRPr="005A702E" w:rsidRDefault="6AFF34AF" w:rsidP="0045244F">
      <w:pPr>
        <w:pStyle w:val="FootnoteText"/>
        <w:spacing w:line="240" w:lineRule="auto"/>
        <w:ind w:left="-77" w:firstLine="77"/>
        <w:jc w:val="left"/>
        <w:rPr>
          <w:sz w:val="18"/>
          <w:szCs w:val="18"/>
        </w:rPr>
      </w:pPr>
      <w:r w:rsidRPr="005A702E">
        <w:rPr>
          <w:rStyle w:val="FootnoteReference"/>
          <w:sz w:val="18"/>
          <w:szCs w:val="18"/>
        </w:rPr>
        <w:footnoteRef/>
      </w:r>
      <w:r w:rsidRPr="005A702E">
        <w:rPr>
          <w:sz w:val="18"/>
          <w:szCs w:val="18"/>
        </w:rPr>
        <w:t xml:space="preserve"> </w:t>
      </w:r>
      <w:r w:rsidR="3220C020" w:rsidRPr="005A702E">
        <w:rPr>
          <w:sz w:val="18"/>
          <w:szCs w:val="18"/>
        </w:rPr>
        <w:t>Ibid.</w:t>
      </w:r>
    </w:p>
  </w:footnote>
  <w:footnote w:id="104">
    <w:p w14:paraId="582D259D" w14:textId="4A2045FF" w:rsidR="60589CA8" w:rsidRDefault="60589CA8" w:rsidP="0045244F">
      <w:pPr>
        <w:spacing w:line="240" w:lineRule="auto"/>
        <w:ind w:left="0" w:firstLine="0"/>
        <w:jc w:val="left"/>
      </w:pPr>
      <w:r w:rsidRPr="005A702E">
        <w:rPr>
          <w:rStyle w:val="FootnoteReference"/>
          <w:sz w:val="18"/>
          <w:szCs w:val="18"/>
        </w:rPr>
        <w:footnoteRef/>
      </w:r>
      <w:r w:rsidRPr="005A702E">
        <w:rPr>
          <w:sz w:val="18"/>
          <w:szCs w:val="18"/>
        </w:rPr>
        <w:t xml:space="preserve"> Prakken d’Oliveira, </w:t>
      </w:r>
      <w:hyperlink r:id="rId117">
        <w:r w:rsidRPr="005A702E">
          <w:rPr>
            <w:rStyle w:val="Hyperlink"/>
            <w:rFonts w:ascii="Arial" w:hAnsi="Arial"/>
            <w:sz w:val="18"/>
            <w:szCs w:val="18"/>
          </w:rPr>
          <w:t>Judgment Court of Appeals The Hague: (re: Gaza) The Netherlands must stop exporting F-35 fighter jet parts to Israel</w:t>
        </w:r>
      </w:hyperlink>
      <w:r w:rsidRPr="005A702E">
        <w:rPr>
          <w:sz w:val="18"/>
          <w:szCs w:val="18"/>
        </w:rPr>
        <w:t xml:space="preserve"> (12 February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9E9F9" w14:textId="77777777" w:rsidR="001F7813" w:rsidRDefault="001F78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D4ABB" w14:textId="6A247E4D" w:rsidR="008A75CF" w:rsidRDefault="3220C020" w:rsidP="60589CA8">
    <w:pPr>
      <w:pStyle w:val="Header"/>
      <w:rPr>
        <w:highlight w:val="yellow"/>
      </w:rPr>
    </w:pPr>
    <w:r>
      <w:t xml:space="preserve">           </w:t>
    </w:r>
    <w:r w:rsidR="60589CA8">
      <w:t xml:space="preserve">           </w:t>
    </w:r>
  </w:p>
  <w:p w14:paraId="6031FFDB" w14:textId="32656973" w:rsidR="3220C020" w:rsidRDefault="3220C020" w:rsidP="3220C02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99F4A" w14:textId="77777777" w:rsidR="001F7813" w:rsidRDefault="001F78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3596B"/>
    <w:multiLevelType w:val="hybridMultilevel"/>
    <w:tmpl w:val="66AE97AA"/>
    <w:lvl w:ilvl="0" w:tplc="CED8A8B6">
      <w:start w:val="1"/>
      <w:numFmt w:val="lowerLetter"/>
      <w:lvlText w:val="%1."/>
      <w:lvlJc w:val="left"/>
      <w:pPr>
        <w:ind w:left="720" w:hanging="360"/>
      </w:pPr>
    </w:lvl>
    <w:lvl w:ilvl="1" w:tplc="CF4C0E78">
      <w:start w:val="1"/>
      <w:numFmt w:val="lowerLetter"/>
      <w:lvlText w:val="%2."/>
      <w:lvlJc w:val="left"/>
      <w:pPr>
        <w:ind w:left="1440" w:hanging="360"/>
      </w:pPr>
    </w:lvl>
    <w:lvl w:ilvl="2" w:tplc="69B858F4">
      <w:start w:val="1"/>
      <w:numFmt w:val="lowerRoman"/>
      <w:lvlText w:val="%3."/>
      <w:lvlJc w:val="right"/>
      <w:pPr>
        <w:ind w:left="2160" w:hanging="180"/>
      </w:pPr>
    </w:lvl>
    <w:lvl w:ilvl="3" w:tplc="DB34DDD4">
      <w:start w:val="1"/>
      <w:numFmt w:val="decimal"/>
      <w:lvlText w:val="%4."/>
      <w:lvlJc w:val="left"/>
      <w:pPr>
        <w:ind w:left="2880" w:hanging="360"/>
      </w:pPr>
    </w:lvl>
    <w:lvl w:ilvl="4" w:tplc="C572450A">
      <w:start w:val="1"/>
      <w:numFmt w:val="lowerLetter"/>
      <w:lvlText w:val="%5."/>
      <w:lvlJc w:val="left"/>
      <w:pPr>
        <w:ind w:left="3600" w:hanging="360"/>
      </w:pPr>
    </w:lvl>
    <w:lvl w:ilvl="5" w:tplc="E44A9C3C">
      <w:start w:val="1"/>
      <w:numFmt w:val="lowerRoman"/>
      <w:lvlText w:val="%6."/>
      <w:lvlJc w:val="right"/>
      <w:pPr>
        <w:ind w:left="4320" w:hanging="180"/>
      </w:pPr>
    </w:lvl>
    <w:lvl w:ilvl="6" w:tplc="1B5AA620">
      <w:start w:val="1"/>
      <w:numFmt w:val="decimal"/>
      <w:lvlText w:val="%7."/>
      <w:lvlJc w:val="left"/>
      <w:pPr>
        <w:ind w:left="5040" w:hanging="360"/>
      </w:pPr>
    </w:lvl>
    <w:lvl w:ilvl="7" w:tplc="9A3C5A56">
      <w:start w:val="1"/>
      <w:numFmt w:val="lowerLetter"/>
      <w:lvlText w:val="%8."/>
      <w:lvlJc w:val="left"/>
      <w:pPr>
        <w:ind w:left="5760" w:hanging="360"/>
      </w:pPr>
    </w:lvl>
    <w:lvl w:ilvl="8" w:tplc="E768281C">
      <w:start w:val="1"/>
      <w:numFmt w:val="lowerRoman"/>
      <w:lvlText w:val="%9."/>
      <w:lvlJc w:val="right"/>
      <w:pPr>
        <w:ind w:left="6480" w:hanging="180"/>
      </w:pPr>
    </w:lvl>
  </w:abstractNum>
  <w:abstractNum w:abstractNumId="1" w15:restartNumberingAfterBreak="0">
    <w:nsid w:val="11A5148F"/>
    <w:multiLevelType w:val="hybridMultilevel"/>
    <w:tmpl w:val="840099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BD22B1"/>
    <w:multiLevelType w:val="multilevel"/>
    <w:tmpl w:val="29587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7DD158E"/>
    <w:multiLevelType w:val="multilevel"/>
    <w:tmpl w:val="157ED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E1DFF9C"/>
    <w:multiLevelType w:val="hybridMultilevel"/>
    <w:tmpl w:val="0A942F60"/>
    <w:lvl w:ilvl="0" w:tplc="F6747A84">
      <w:start w:val="1"/>
      <w:numFmt w:val="upperRoman"/>
      <w:lvlText w:val="%1."/>
      <w:lvlJc w:val="left"/>
      <w:pPr>
        <w:ind w:left="720" w:hanging="360"/>
      </w:pPr>
    </w:lvl>
    <w:lvl w:ilvl="1" w:tplc="B7886F3A">
      <w:start w:val="1"/>
      <w:numFmt w:val="lowerLetter"/>
      <w:lvlText w:val="%2."/>
      <w:lvlJc w:val="left"/>
      <w:pPr>
        <w:ind w:left="1440" w:hanging="360"/>
      </w:pPr>
    </w:lvl>
    <w:lvl w:ilvl="2" w:tplc="848427FC">
      <w:start w:val="1"/>
      <w:numFmt w:val="lowerRoman"/>
      <w:lvlText w:val="%3."/>
      <w:lvlJc w:val="right"/>
      <w:pPr>
        <w:ind w:left="2160" w:hanging="180"/>
      </w:pPr>
    </w:lvl>
    <w:lvl w:ilvl="3" w:tplc="642ECFB2">
      <w:start w:val="1"/>
      <w:numFmt w:val="decimal"/>
      <w:lvlText w:val="%4."/>
      <w:lvlJc w:val="left"/>
      <w:pPr>
        <w:ind w:left="2880" w:hanging="360"/>
      </w:pPr>
    </w:lvl>
    <w:lvl w:ilvl="4" w:tplc="805CA792">
      <w:start w:val="1"/>
      <w:numFmt w:val="lowerLetter"/>
      <w:lvlText w:val="%5."/>
      <w:lvlJc w:val="left"/>
      <w:pPr>
        <w:ind w:left="3600" w:hanging="360"/>
      </w:pPr>
    </w:lvl>
    <w:lvl w:ilvl="5" w:tplc="FA4820BA">
      <w:start w:val="1"/>
      <w:numFmt w:val="lowerRoman"/>
      <w:lvlText w:val="%6."/>
      <w:lvlJc w:val="right"/>
      <w:pPr>
        <w:ind w:left="4320" w:hanging="180"/>
      </w:pPr>
    </w:lvl>
    <w:lvl w:ilvl="6" w:tplc="09B25D84">
      <w:start w:val="1"/>
      <w:numFmt w:val="decimal"/>
      <w:lvlText w:val="%7."/>
      <w:lvlJc w:val="left"/>
      <w:pPr>
        <w:ind w:left="5040" w:hanging="360"/>
      </w:pPr>
    </w:lvl>
    <w:lvl w:ilvl="7" w:tplc="2CA08102">
      <w:start w:val="1"/>
      <w:numFmt w:val="lowerLetter"/>
      <w:lvlText w:val="%8."/>
      <w:lvlJc w:val="left"/>
      <w:pPr>
        <w:ind w:left="5760" w:hanging="360"/>
      </w:pPr>
    </w:lvl>
    <w:lvl w:ilvl="8" w:tplc="9C7833CE">
      <w:start w:val="1"/>
      <w:numFmt w:val="lowerRoman"/>
      <w:lvlText w:val="%9."/>
      <w:lvlJc w:val="right"/>
      <w:pPr>
        <w:ind w:left="6480" w:hanging="180"/>
      </w:pPr>
    </w:lvl>
  </w:abstractNum>
  <w:abstractNum w:abstractNumId="5" w15:restartNumberingAfterBreak="0">
    <w:nsid w:val="30C70CB7"/>
    <w:multiLevelType w:val="multilevel"/>
    <w:tmpl w:val="F2AC324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31A4BBC6"/>
    <w:multiLevelType w:val="hybridMultilevel"/>
    <w:tmpl w:val="130AE872"/>
    <w:lvl w:ilvl="0" w:tplc="F60A7F32">
      <w:start w:val="1"/>
      <w:numFmt w:val="bullet"/>
      <w:lvlText w:val="●"/>
      <w:lvlJc w:val="left"/>
      <w:pPr>
        <w:ind w:left="720" w:hanging="360"/>
      </w:pPr>
      <w:rPr>
        <w:rFonts w:ascii="Noto Sans Symbols" w:hAnsi="Noto Sans Symbols" w:hint="default"/>
      </w:rPr>
    </w:lvl>
    <w:lvl w:ilvl="1" w:tplc="441C370C">
      <w:start w:val="1"/>
      <w:numFmt w:val="bullet"/>
      <w:lvlText w:val="o"/>
      <w:lvlJc w:val="left"/>
      <w:pPr>
        <w:ind w:left="1440" w:hanging="360"/>
      </w:pPr>
      <w:rPr>
        <w:rFonts w:ascii="Courier New" w:hAnsi="Courier New" w:hint="default"/>
      </w:rPr>
    </w:lvl>
    <w:lvl w:ilvl="2" w:tplc="590A52FC">
      <w:start w:val="1"/>
      <w:numFmt w:val="bullet"/>
      <w:lvlText w:val=""/>
      <w:lvlJc w:val="left"/>
      <w:pPr>
        <w:ind w:left="2160" w:hanging="360"/>
      </w:pPr>
      <w:rPr>
        <w:rFonts w:ascii="Wingdings" w:hAnsi="Wingdings" w:hint="default"/>
      </w:rPr>
    </w:lvl>
    <w:lvl w:ilvl="3" w:tplc="E0104FD6">
      <w:start w:val="1"/>
      <w:numFmt w:val="bullet"/>
      <w:lvlText w:val=""/>
      <w:lvlJc w:val="left"/>
      <w:pPr>
        <w:ind w:left="2880" w:hanging="360"/>
      </w:pPr>
      <w:rPr>
        <w:rFonts w:ascii="Symbol" w:hAnsi="Symbol" w:hint="default"/>
      </w:rPr>
    </w:lvl>
    <w:lvl w:ilvl="4" w:tplc="23806310">
      <w:start w:val="1"/>
      <w:numFmt w:val="bullet"/>
      <w:lvlText w:val="o"/>
      <w:lvlJc w:val="left"/>
      <w:pPr>
        <w:ind w:left="3600" w:hanging="360"/>
      </w:pPr>
      <w:rPr>
        <w:rFonts w:ascii="Courier New" w:hAnsi="Courier New" w:hint="default"/>
      </w:rPr>
    </w:lvl>
    <w:lvl w:ilvl="5" w:tplc="D9ECB294">
      <w:start w:val="1"/>
      <w:numFmt w:val="bullet"/>
      <w:lvlText w:val=""/>
      <w:lvlJc w:val="left"/>
      <w:pPr>
        <w:ind w:left="4320" w:hanging="360"/>
      </w:pPr>
      <w:rPr>
        <w:rFonts w:ascii="Wingdings" w:hAnsi="Wingdings" w:hint="default"/>
      </w:rPr>
    </w:lvl>
    <w:lvl w:ilvl="6" w:tplc="64BE6BBE">
      <w:start w:val="1"/>
      <w:numFmt w:val="bullet"/>
      <w:lvlText w:val=""/>
      <w:lvlJc w:val="left"/>
      <w:pPr>
        <w:ind w:left="5040" w:hanging="360"/>
      </w:pPr>
      <w:rPr>
        <w:rFonts w:ascii="Symbol" w:hAnsi="Symbol" w:hint="default"/>
      </w:rPr>
    </w:lvl>
    <w:lvl w:ilvl="7" w:tplc="C32ADDF2">
      <w:start w:val="1"/>
      <w:numFmt w:val="bullet"/>
      <w:lvlText w:val="o"/>
      <w:lvlJc w:val="left"/>
      <w:pPr>
        <w:ind w:left="5760" w:hanging="360"/>
      </w:pPr>
      <w:rPr>
        <w:rFonts w:ascii="Courier New" w:hAnsi="Courier New" w:hint="default"/>
      </w:rPr>
    </w:lvl>
    <w:lvl w:ilvl="8" w:tplc="15862C0E">
      <w:start w:val="1"/>
      <w:numFmt w:val="bullet"/>
      <w:lvlText w:val=""/>
      <w:lvlJc w:val="left"/>
      <w:pPr>
        <w:ind w:left="6480" w:hanging="360"/>
      </w:pPr>
      <w:rPr>
        <w:rFonts w:ascii="Wingdings" w:hAnsi="Wingdings" w:hint="default"/>
      </w:rPr>
    </w:lvl>
  </w:abstractNum>
  <w:abstractNum w:abstractNumId="7" w15:restartNumberingAfterBreak="0">
    <w:nsid w:val="398687B1"/>
    <w:multiLevelType w:val="hybridMultilevel"/>
    <w:tmpl w:val="43903A86"/>
    <w:lvl w:ilvl="0" w:tplc="A82ADB4A">
      <w:start w:val="1"/>
      <w:numFmt w:val="upperRoman"/>
      <w:lvlText w:val="%1."/>
      <w:lvlJc w:val="left"/>
      <w:pPr>
        <w:ind w:left="720" w:hanging="360"/>
      </w:pPr>
    </w:lvl>
    <w:lvl w:ilvl="1" w:tplc="6374F328">
      <w:start w:val="1"/>
      <w:numFmt w:val="lowerLetter"/>
      <w:lvlText w:val="%2."/>
      <w:lvlJc w:val="left"/>
      <w:pPr>
        <w:ind w:left="1440" w:hanging="360"/>
      </w:pPr>
    </w:lvl>
    <w:lvl w:ilvl="2" w:tplc="ED463070">
      <w:start w:val="1"/>
      <w:numFmt w:val="lowerRoman"/>
      <w:lvlText w:val="%3."/>
      <w:lvlJc w:val="right"/>
      <w:pPr>
        <w:ind w:left="2160" w:hanging="180"/>
      </w:pPr>
    </w:lvl>
    <w:lvl w:ilvl="3" w:tplc="A1A8284C">
      <w:start w:val="1"/>
      <w:numFmt w:val="decimal"/>
      <w:lvlText w:val="%4."/>
      <w:lvlJc w:val="left"/>
      <w:pPr>
        <w:ind w:left="2880" w:hanging="360"/>
      </w:pPr>
    </w:lvl>
    <w:lvl w:ilvl="4" w:tplc="7106975A">
      <w:start w:val="1"/>
      <w:numFmt w:val="lowerLetter"/>
      <w:lvlText w:val="%5."/>
      <w:lvlJc w:val="left"/>
      <w:pPr>
        <w:ind w:left="3600" w:hanging="360"/>
      </w:pPr>
    </w:lvl>
    <w:lvl w:ilvl="5" w:tplc="072EDC38">
      <w:start w:val="1"/>
      <w:numFmt w:val="lowerRoman"/>
      <w:lvlText w:val="%6."/>
      <w:lvlJc w:val="right"/>
      <w:pPr>
        <w:ind w:left="4320" w:hanging="180"/>
      </w:pPr>
    </w:lvl>
    <w:lvl w:ilvl="6" w:tplc="DACE9452">
      <w:start w:val="1"/>
      <w:numFmt w:val="decimal"/>
      <w:lvlText w:val="%7."/>
      <w:lvlJc w:val="left"/>
      <w:pPr>
        <w:ind w:left="5040" w:hanging="360"/>
      </w:pPr>
    </w:lvl>
    <w:lvl w:ilvl="7" w:tplc="832CAE6A">
      <w:start w:val="1"/>
      <w:numFmt w:val="lowerLetter"/>
      <w:lvlText w:val="%8."/>
      <w:lvlJc w:val="left"/>
      <w:pPr>
        <w:ind w:left="5760" w:hanging="360"/>
      </w:pPr>
    </w:lvl>
    <w:lvl w:ilvl="8" w:tplc="CD469B7C">
      <w:start w:val="1"/>
      <w:numFmt w:val="lowerRoman"/>
      <w:lvlText w:val="%9."/>
      <w:lvlJc w:val="right"/>
      <w:pPr>
        <w:ind w:left="6480" w:hanging="180"/>
      </w:pPr>
    </w:lvl>
  </w:abstractNum>
  <w:abstractNum w:abstractNumId="8" w15:restartNumberingAfterBreak="0">
    <w:nsid w:val="3F73FF9E"/>
    <w:multiLevelType w:val="hybridMultilevel"/>
    <w:tmpl w:val="7EEA3B16"/>
    <w:lvl w:ilvl="0" w:tplc="1AA6B42C">
      <w:start w:val="1"/>
      <w:numFmt w:val="upperLetter"/>
      <w:lvlText w:val="%1."/>
      <w:lvlJc w:val="left"/>
      <w:pPr>
        <w:ind w:left="720" w:hanging="360"/>
      </w:pPr>
    </w:lvl>
    <w:lvl w:ilvl="1" w:tplc="A9B2961E">
      <w:start w:val="1"/>
      <w:numFmt w:val="lowerLetter"/>
      <w:lvlText w:val="%2."/>
      <w:lvlJc w:val="left"/>
      <w:pPr>
        <w:ind w:left="1440" w:hanging="360"/>
      </w:pPr>
    </w:lvl>
    <w:lvl w:ilvl="2" w:tplc="884E798A">
      <w:start w:val="1"/>
      <w:numFmt w:val="lowerRoman"/>
      <w:lvlText w:val="%3."/>
      <w:lvlJc w:val="right"/>
      <w:pPr>
        <w:ind w:left="2160" w:hanging="180"/>
      </w:pPr>
    </w:lvl>
    <w:lvl w:ilvl="3" w:tplc="FF9ED7AC">
      <w:start w:val="1"/>
      <w:numFmt w:val="decimal"/>
      <w:lvlText w:val="%4."/>
      <w:lvlJc w:val="left"/>
      <w:pPr>
        <w:ind w:left="2880" w:hanging="360"/>
      </w:pPr>
    </w:lvl>
    <w:lvl w:ilvl="4" w:tplc="9BAC928E">
      <w:start w:val="1"/>
      <w:numFmt w:val="lowerLetter"/>
      <w:lvlText w:val="%5."/>
      <w:lvlJc w:val="left"/>
      <w:pPr>
        <w:ind w:left="3600" w:hanging="360"/>
      </w:pPr>
    </w:lvl>
    <w:lvl w:ilvl="5" w:tplc="DD20D0EC">
      <w:start w:val="1"/>
      <w:numFmt w:val="lowerRoman"/>
      <w:lvlText w:val="%6."/>
      <w:lvlJc w:val="right"/>
      <w:pPr>
        <w:ind w:left="4320" w:hanging="180"/>
      </w:pPr>
    </w:lvl>
    <w:lvl w:ilvl="6" w:tplc="A8E01844">
      <w:start w:val="1"/>
      <w:numFmt w:val="decimal"/>
      <w:lvlText w:val="%7."/>
      <w:lvlJc w:val="left"/>
      <w:pPr>
        <w:ind w:left="5040" w:hanging="360"/>
      </w:pPr>
    </w:lvl>
    <w:lvl w:ilvl="7" w:tplc="32125BFC">
      <w:start w:val="1"/>
      <w:numFmt w:val="lowerLetter"/>
      <w:lvlText w:val="%8."/>
      <w:lvlJc w:val="left"/>
      <w:pPr>
        <w:ind w:left="5760" w:hanging="360"/>
      </w:pPr>
    </w:lvl>
    <w:lvl w:ilvl="8" w:tplc="3B2A1374">
      <w:start w:val="1"/>
      <w:numFmt w:val="lowerRoman"/>
      <w:lvlText w:val="%9."/>
      <w:lvlJc w:val="right"/>
      <w:pPr>
        <w:ind w:left="6480" w:hanging="180"/>
      </w:pPr>
    </w:lvl>
  </w:abstractNum>
  <w:abstractNum w:abstractNumId="9" w15:restartNumberingAfterBreak="0">
    <w:nsid w:val="44FC3232"/>
    <w:multiLevelType w:val="hybridMultilevel"/>
    <w:tmpl w:val="AC7A2E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FE418B1"/>
    <w:multiLevelType w:val="multilevel"/>
    <w:tmpl w:val="F880D5B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15:restartNumberingAfterBreak="0">
    <w:nsid w:val="58A878CD"/>
    <w:multiLevelType w:val="multilevel"/>
    <w:tmpl w:val="5896EB78"/>
    <w:lvl w:ilvl="0">
      <w:start w:val="1"/>
      <w:numFmt w:val="decimal"/>
      <w:lvlText w:val="%1."/>
      <w:lvlJc w:val="left"/>
      <w:pPr>
        <w:ind w:left="720" w:hanging="861"/>
      </w:pPr>
      <w:rPr>
        <w:color w:val="00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64D16197"/>
    <w:multiLevelType w:val="multilevel"/>
    <w:tmpl w:val="4E740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8C90421"/>
    <w:multiLevelType w:val="hybridMultilevel"/>
    <w:tmpl w:val="41F49DDE"/>
    <w:lvl w:ilvl="0" w:tplc="DA3A5D3E">
      <w:start w:val="1"/>
      <w:numFmt w:val="lowerRoman"/>
      <w:lvlText w:val="%1)"/>
      <w:lvlJc w:val="left"/>
      <w:pPr>
        <w:ind w:left="1440" w:hanging="360"/>
      </w:pPr>
    </w:lvl>
    <w:lvl w:ilvl="1" w:tplc="862E17B6">
      <w:start w:val="1"/>
      <w:numFmt w:val="lowerLetter"/>
      <w:lvlText w:val="%2."/>
      <w:lvlJc w:val="left"/>
      <w:pPr>
        <w:ind w:left="2160" w:hanging="360"/>
      </w:pPr>
    </w:lvl>
    <w:lvl w:ilvl="2" w:tplc="E2964996">
      <w:start w:val="1"/>
      <w:numFmt w:val="lowerRoman"/>
      <w:lvlText w:val="%3."/>
      <w:lvlJc w:val="right"/>
      <w:pPr>
        <w:ind w:left="2880" w:hanging="180"/>
      </w:pPr>
    </w:lvl>
    <w:lvl w:ilvl="3" w:tplc="69FA323E">
      <w:start w:val="1"/>
      <w:numFmt w:val="decimal"/>
      <w:lvlText w:val="%4."/>
      <w:lvlJc w:val="left"/>
      <w:pPr>
        <w:ind w:left="3600" w:hanging="360"/>
      </w:pPr>
    </w:lvl>
    <w:lvl w:ilvl="4" w:tplc="DC4A9E94">
      <w:start w:val="1"/>
      <w:numFmt w:val="lowerLetter"/>
      <w:lvlText w:val="%5."/>
      <w:lvlJc w:val="left"/>
      <w:pPr>
        <w:ind w:left="4320" w:hanging="360"/>
      </w:pPr>
    </w:lvl>
    <w:lvl w:ilvl="5" w:tplc="10D88E9C">
      <w:start w:val="1"/>
      <w:numFmt w:val="lowerRoman"/>
      <w:lvlText w:val="%6."/>
      <w:lvlJc w:val="right"/>
      <w:pPr>
        <w:ind w:left="5040" w:hanging="180"/>
      </w:pPr>
    </w:lvl>
    <w:lvl w:ilvl="6" w:tplc="9FD09D0A">
      <w:start w:val="1"/>
      <w:numFmt w:val="decimal"/>
      <w:lvlText w:val="%7."/>
      <w:lvlJc w:val="left"/>
      <w:pPr>
        <w:ind w:left="5760" w:hanging="360"/>
      </w:pPr>
    </w:lvl>
    <w:lvl w:ilvl="7" w:tplc="01C67FC4">
      <w:start w:val="1"/>
      <w:numFmt w:val="lowerLetter"/>
      <w:lvlText w:val="%8."/>
      <w:lvlJc w:val="left"/>
      <w:pPr>
        <w:ind w:left="6480" w:hanging="360"/>
      </w:pPr>
    </w:lvl>
    <w:lvl w:ilvl="8" w:tplc="2300FF8C">
      <w:start w:val="1"/>
      <w:numFmt w:val="lowerRoman"/>
      <w:lvlText w:val="%9."/>
      <w:lvlJc w:val="right"/>
      <w:pPr>
        <w:ind w:left="7200" w:hanging="180"/>
      </w:pPr>
    </w:lvl>
  </w:abstractNum>
  <w:abstractNum w:abstractNumId="14" w15:restartNumberingAfterBreak="0">
    <w:nsid w:val="77322DE7"/>
    <w:multiLevelType w:val="hybridMultilevel"/>
    <w:tmpl w:val="489879F4"/>
    <w:lvl w:ilvl="0" w:tplc="F4E82438">
      <w:start w:val="1"/>
      <w:numFmt w:val="lowerLetter"/>
      <w:lvlText w:val="%1."/>
      <w:lvlJc w:val="left"/>
      <w:pPr>
        <w:ind w:left="720" w:hanging="360"/>
      </w:pPr>
    </w:lvl>
    <w:lvl w:ilvl="1" w:tplc="E78C764A">
      <w:start w:val="1"/>
      <w:numFmt w:val="lowerLetter"/>
      <w:lvlText w:val="%2."/>
      <w:lvlJc w:val="left"/>
      <w:pPr>
        <w:ind w:left="1440" w:hanging="360"/>
      </w:pPr>
    </w:lvl>
    <w:lvl w:ilvl="2" w:tplc="8D42A526">
      <w:start w:val="1"/>
      <w:numFmt w:val="lowerRoman"/>
      <w:lvlText w:val="%3."/>
      <w:lvlJc w:val="right"/>
      <w:pPr>
        <w:ind w:left="2160" w:hanging="180"/>
      </w:pPr>
    </w:lvl>
    <w:lvl w:ilvl="3" w:tplc="2370DAA4">
      <w:start w:val="1"/>
      <w:numFmt w:val="decimal"/>
      <w:lvlText w:val="%4."/>
      <w:lvlJc w:val="left"/>
      <w:pPr>
        <w:ind w:left="2880" w:hanging="360"/>
      </w:pPr>
    </w:lvl>
    <w:lvl w:ilvl="4" w:tplc="4B58FF44">
      <w:start w:val="1"/>
      <w:numFmt w:val="lowerLetter"/>
      <w:lvlText w:val="%5."/>
      <w:lvlJc w:val="left"/>
      <w:pPr>
        <w:ind w:left="3600" w:hanging="360"/>
      </w:pPr>
    </w:lvl>
    <w:lvl w:ilvl="5" w:tplc="854E6E92">
      <w:start w:val="1"/>
      <w:numFmt w:val="lowerRoman"/>
      <w:lvlText w:val="%6."/>
      <w:lvlJc w:val="right"/>
      <w:pPr>
        <w:ind w:left="4320" w:hanging="180"/>
      </w:pPr>
    </w:lvl>
    <w:lvl w:ilvl="6" w:tplc="571C314C">
      <w:start w:val="1"/>
      <w:numFmt w:val="decimal"/>
      <w:lvlText w:val="%7."/>
      <w:lvlJc w:val="left"/>
      <w:pPr>
        <w:ind w:left="5040" w:hanging="360"/>
      </w:pPr>
    </w:lvl>
    <w:lvl w:ilvl="7" w:tplc="8B720012">
      <w:start w:val="1"/>
      <w:numFmt w:val="lowerLetter"/>
      <w:lvlText w:val="%8."/>
      <w:lvlJc w:val="left"/>
      <w:pPr>
        <w:ind w:left="5760" w:hanging="360"/>
      </w:pPr>
    </w:lvl>
    <w:lvl w:ilvl="8" w:tplc="F462E1FA">
      <w:start w:val="1"/>
      <w:numFmt w:val="lowerRoman"/>
      <w:lvlText w:val="%9."/>
      <w:lvlJc w:val="right"/>
      <w:pPr>
        <w:ind w:left="6480" w:hanging="180"/>
      </w:pPr>
    </w:lvl>
  </w:abstractNum>
  <w:abstractNum w:abstractNumId="15" w15:restartNumberingAfterBreak="0">
    <w:nsid w:val="78692AFA"/>
    <w:multiLevelType w:val="multilevel"/>
    <w:tmpl w:val="F5404A02"/>
    <w:lvl w:ilvl="0">
      <w:start w:val="1"/>
      <w:numFmt w:val="bullet"/>
      <w:lvlText w:val="●"/>
      <w:lvlJc w:val="left"/>
      <w:pPr>
        <w:ind w:left="1605" w:hanging="360"/>
      </w:pPr>
      <w:rPr>
        <w:rFonts w:ascii="Noto Sans Symbols" w:eastAsia="Noto Sans Symbols" w:hAnsi="Noto Sans Symbols" w:cs="Noto Sans Symbols"/>
      </w:rPr>
    </w:lvl>
    <w:lvl w:ilvl="1">
      <w:start w:val="1"/>
      <w:numFmt w:val="bullet"/>
      <w:lvlText w:val="o"/>
      <w:lvlJc w:val="left"/>
      <w:pPr>
        <w:ind w:left="2325" w:hanging="360"/>
      </w:pPr>
      <w:rPr>
        <w:rFonts w:ascii="Courier New" w:eastAsia="Courier New" w:hAnsi="Courier New" w:cs="Courier New"/>
      </w:rPr>
    </w:lvl>
    <w:lvl w:ilvl="2">
      <w:start w:val="1"/>
      <w:numFmt w:val="bullet"/>
      <w:lvlText w:val="▪"/>
      <w:lvlJc w:val="left"/>
      <w:pPr>
        <w:ind w:left="3045" w:hanging="360"/>
      </w:pPr>
      <w:rPr>
        <w:rFonts w:ascii="Noto Sans Symbols" w:eastAsia="Noto Sans Symbols" w:hAnsi="Noto Sans Symbols" w:cs="Noto Sans Symbols"/>
      </w:rPr>
    </w:lvl>
    <w:lvl w:ilvl="3">
      <w:start w:val="1"/>
      <w:numFmt w:val="bullet"/>
      <w:lvlText w:val="●"/>
      <w:lvlJc w:val="left"/>
      <w:pPr>
        <w:ind w:left="3765" w:hanging="360"/>
      </w:pPr>
      <w:rPr>
        <w:rFonts w:ascii="Noto Sans Symbols" w:eastAsia="Noto Sans Symbols" w:hAnsi="Noto Sans Symbols" w:cs="Noto Sans Symbols"/>
      </w:rPr>
    </w:lvl>
    <w:lvl w:ilvl="4">
      <w:start w:val="1"/>
      <w:numFmt w:val="bullet"/>
      <w:lvlText w:val="o"/>
      <w:lvlJc w:val="left"/>
      <w:pPr>
        <w:ind w:left="4485" w:hanging="360"/>
      </w:pPr>
      <w:rPr>
        <w:rFonts w:ascii="Courier New" w:eastAsia="Courier New" w:hAnsi="Courier New" w:cs="Courier New"/>
      </w:rPr>
    </w:lvl>
    <w:lvl w:ilvl="5">
      <w:start w:val="1"/>
      <w:numFmt w:val="bullet"/>
      <w:lvlText w:val="▪"/>
      <w:lvlJc w:val="left"/>
      <w:pPr>
        <w:ind w:left="5205" w:hanging="360"/>
      </w:pPr>
      <w:rPr>
        <w:rFonts w:ascii="Noto Sans Symbols" w:eastAsia="Noto Sans Symbols" w:hAnsi="Noto Sans Symbols" w:cs="Noto Sans Symbols"/>
      </w:rPr>
    </w:lvl>
    <w:lvl w:ilvl="6">
      <w:start w:val="1"/>
      <w:numFmt w:val="bullet"/>
      <w:lvlText w:val="●"/>
      <w:lvlJc w:val="left"/>
      <w:pPr>
        <w:ind w:left="5925" w:hanging="360"/>
      </w:pPr>
      <w:rPr>
        <w:rFonts w:ascii="Noto Sans Symbols" w:eastAsia="Noto Sans Symbols" w:hAnsi="Noto Sans Symbols" w:cs="Noto Sans Symbols"/>
      </w:rPr>
    </w:lvl>
    <w:lvl w:ilvl="7">
      <w:start w:val="1"/>
      <w:numFmt w:val="bullet"/>
      <w:lvlText w:val="o"/>
      <w:lvlJc w:val="left"/>
      <w:pPr>
        <w:ind w:left="6645" w:hanging="360"/>
      </w:pPr>
      <w:rPr>
        <w:rFonts w:ascii="Courier New" w:eastAsia="Courier New" w:hAnsi="Courier New" w:cs="Courier New"/>
      </w:rPr>
    </w:lvl>
    <w:lvl w:ilvl="8">
      <w:start w:val="1"/>
      <w:numFmt w:val="bullet"/>
      <w:lvlText w:val="▪"/>
      <w:lvlJc w:val="left"/>
      <w:pPr>
        <w:ind w:left="7365" w:hanging="360"/>
      </w:pPr>
      <w:rPr>
        <w:rFonts w:ascii="Noto Sans Symbols" w:eastAsia="Noto Sans Symbols" w:hAnsi="Noto Sans Symbols" w:cs="Noto Sans Symbols"/>
      </w:rPr>
    </w:lvl>
  </w:abstractNum>
  <w:num w:numId="1" w16cid:durableId="996835023">
    <w:abstractNumId w:val="6"/>
  </w:num>
  <w:num w:numId="2" w16cid:durableId="357783438">
    <w:abstractNumId w:val="4"/>
  </w:num>
  <w:num w:numId="3" w16cid:durableId="1352141497">
    <w:abstractNumId w:val="7"/>
  </w:num>
  <w:num w:numId="4" w16cid:durableId="2128431377">
    <w:abstractNumId w:val="14"/>
  </w:num>
  <w:num w:numId="5" w16cid:durableId="1156383568">
    <w:abstractNumId w:val="13"/>
  </w:num>
  <w:num w:numId="6" w16cid:durableId="702486958">
    <w:abstractNumId w:val="0"/>
  </w:num>
  <w:num w:numId="7" w16cid:durableId="279531922">
    <w:abstractNumId w:val="8"/>
  </w:num>
  <w:num w:numId="8" w16cid:durableId="1723863151">
    <w:abstractNumId w:val="12"/>
  </w:num>
  <w:num w:numId="9" w16cid:durableId="1413045995">
    <w:abstractNumId w:val="2"/>
  </w:num>
  <w:num w:numId="10" w16cid:durableId="603611711">
    <w:abstractNumId w:val="3"/>
  </w:num>
  <w:num w:numId="11" w16cid:durableId="560406199">
    <w:abstractNumId w:val="11"/>
  </w:num>
  <w:num w:numId="12" w16cid:durableId="978806836">
    <w:abstractNumId w:val="15"/>
  </w:num>
  <w:num w:numId="13" w16cid:durableId="1115365676">
    <w:abstractNumId w:val="1"/>
  </w:num>
  <w:num w:numId="14" w16cid:durableId="124085731">
    <w:abstractNumId w:val="5"/>
  </w:num>
  <w:num w:numId="15" w16cid:durableId="654726083">
    <w:abstractNumId w:val="10"/>
  </w:num>
  <w:num w:numId="16" w16cid:durableId="29013575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5CF"/>
    <w:rsid w:val="00051E81"/>
    <w:rsid w:val="000A7A3D"/>
    <w:rsid w:val="000E06C7"/>
    <w:rsid w:val="000E2606"/>
    <w:rsid w:val="00159A51"/>
    <w:rsid w:val="001970B2"/>
    <w:rsid w:val="001978BD"/>
    <w:rsid w:val="001F7813"/>
    <w:rsid w:val="00290C58"/>
    <w:rsid w:val="002F0B54"/>
    <w:rsid w:val="00315666"/>
    <w:rsid w:val="00367D34"/>
    <w:rsid w:val="0045244F"/>
    <w:rsid w:val="00494D25"/>
    <w:rsid w:val="005373EE"/>
    <w:rsid w:val="0056457D"/>
    <w:rsid w:val="005917A9"/>
    <w:rsid w:val="005A39B6"/>
    <w:rsid w:val="005A702E"/>
    <w:rsid w:val="00665F5F"/>
    <w:rsid w:val="006A0AFD"/>
    <w:rsid w:val="00705968"/>
    <w:rsid w:val="00730BA3"/>
    <w:rsid w:val="00732C70"/>
    <w:rsid w:val="007B3571"/>
    <w:rsid w:val="0084059A"/>
    <w:rsid w:val="00880627"/>
    <w:rsid w:val="008964BA"/>
    <w:rsid w:val="008A75CF"/>
    <w:rsid w:val="008C189E"/>
    <w:rsid w:val="008E24D2"/>
    <w:rsid w:val="00943AC3"/>
    <w:rsid w:val="009A0484"/>
    <w:rsid w:val="009D76EB"/>
    <w:rsid w:val="00A7372C"/>
    <w:rsid w:val="00AB645C"/>
    <w:rsid w:val="00B07E0B"/>
    <w:rsid w:val="00BD63DC"/>
    <w:rsid w:val="00BF0715"/>
    <w:rsid w:val="00C13A68"/>
    <w:rsid w:val="00CA342B"/>
    <w:rsid w:val="00CE1855"/>
    <w:rsid w:val="00D20CE4"/>
    <w:rsid w:val="00D645FB"/>
    <w:rsid w:val="00D651B7"/>
    <w:rsid w:val="00E021EF"/>
    <w:rsid w:val="00E900FD"/>
    <w:rsid w:val="00EC2C80"/>
    <w:rsid w:val="00F4688C"/>
    <w:rsid w:val="0EBCB2DF"/>
    <w:rsid w:val="1CE67667"/>
    <w:rsid w:val="1FE18A4A"/>
    <w:rsid w:val="3220C020"/>
    <w:rsid w:val="3561629C"/>
    <w:rsid w:val="38E68FC9"/>
    <w:rsid w:val="49ED9E2A"/>
    <w:rsid w:val="60589CA8"/>
    <w:rsid w:val="6AFF34AF"/>
    <w:rsid w:val="718C4F82"/>
    <w:rsid w:val="7741109F"/>
    <w:rsid w:val="794B237E"/>
    <w:rsid w:val="7C5CBD9B"/>
    <w:rsid w:val="7DEE9A16"/>
  </w:rsids>
  <m:mathPr>
    <m:mathFont m:val="Cambria Math"/>
    <m:brkBin m:val="before"/>
    <m:brkBinSub m:val="--"/>
    <m:smallFrac m:val="0"/>
    <m:dispDef/>
    <m:lMargin m:val="0"/>
    <m:rMargin m:val="0"/>
    <m:defJc m:val="centerGroup"/>
    <m:wrapIndent m:val="1440"/>
    <m:intLim m:val="subSup"/>
    <m:naryLim m:val="undOvr"/>
  </m:mathPr>
  <w:themeFontLang w:val="en-C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8931F"/>
  <w15:chartTrackingRefBased/>
  <w15:docId w15:val="{66445DBC-9D73-1B45-BB48-A979926D9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75CF"/>
    <w:pPr>
      <w:spacing w:after="200" w:line="360" w:lineRule="auto"/>
      <w:ind w:left="283" w:hanging="360"/>
      <w:jc w:val="both"/>
    </w:pPr>
    <w:rPr>
      <w:rFonts w:ascii="Arial" w:eastAsia="Arial" w:hAnsi="Arial" w:cs="Arial"/>
      <w:kern w:val="0"/>
      <w:sz w:val="22"/>
      <w:szCs w:val="22"/>
      <w:lang w:val="en-US"/>
      <w14:ligatures w14:val="none"/>
    </w:rPr>
  </w:style>
  <w:style w:type="paragraph" w:styleId="Heading1">
    <w:name w:val="heading 1"/>
    <w:basedOn w:val="Normal"/>
    <w:next w:val="Normal"/>
    <w:link w:val="Heading1Char"/>
    <w:uiPriority w:val="9"/>
    <w:qFormat/>
    <w:rsid w:val="008A75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A75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75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75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75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75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75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75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75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75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75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75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75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75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75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75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75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75CF"/>
    <w:rPr>
      <w:rFonts w:eastAsiaTheme="majorEastAsia" w:cstheme="majorBidi"/>
      <w:color w:val="272727" w:themeColor="text1" w:themeTint="D8"/>
    </w:rPr>
  </w:style>
  <w:style w:type="paragraph" w:styleId="Title">
    <w:name w:val="Title"/>
    <w:basedOn w:val="Normal"/>
    <w:next w:val="Normal"/>
    <w:link w:val="TitleChar"/>
    <w:uiPriority w:val="10"/>
    <w:qFormat/>
    <w:rsid w:val="008A75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75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75CF"/>
    <w:pPr>
      <w:numPr>
        <w:ilvl w:val="1"/>
      </w:numPr>
      <w:ind w:left="283" w:hanging="3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75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75CF"/>
    <w:pPr>
      <w:spacing w:before="160"/>
      <w:jc w:val="center"/>
    </w:pPr>
    <w:rPr>
      <w:i/>
      <w:iCs/>
      <w:color w:val="404040" w:themeColor="text1" w:themeTint="BF"/>
    </w:rPr>
  </w:style>
  <w:style w:type="character" w:customStyle="1" w:styleId="QuoteChar">
    <w:name w:val="Quote Char"/>
    <w:basedOn w:val="DefaultParagraphFont"/>
    <w:link w:val="Quote"/>
    <w:uiPriority w:val="29"/>
    <w:rsid w:val="008A75CF"/>
    <w:rPr>
      <w:i/>
      <w:iCs/>
      <w:color w:val="404040" w:themeColor="text1" w:themeTint="BF"/>
    </w:rPr>
  </w:style>
  <w:style w:type="paragraph" w:styleId="ListParagraph">
    <w:name w:val="List Paragraph"/>
    <w:basedOn w:val="Normal"/>
    <w:uiPriority w:val="34"/>
    <w:qFormat/>
    <w:rsid w:val="008A75CF"/>
    <w:pPr>
      <w:ind w:left="720"/>
      <w:contextualSpacing/>
    </w:pPr>
  </w:style>
  <w:style w:type="character" w:styleId="IntenseEmphasis">
    <w:name w:val="Intense Emphasis"/>
    <w:basedOn w:val="DefaultParagraphFont"/>
    <w:uiPriority w:val="21"/>
    <w:qFormat/>
    <w:rsid w:val="008A75CF"/>
    <w:rPr>
      <w:i/>
      <w:iCs/>
      <w:color w:val="0F4761" w:themeColor="accent1" w:themeShade="BF"/>
    </w:rPr>
  </w:style>
  <w:style w:type="paragraph" w:styleId="IntenseQuote">
    <w:name w:val="Intense Quote"/>
    <w:basedOn w:val="Normal"/>
    <w:next w:val="Normal"/>
    <w:link w:val="IntenseQuoteChar"/>
    <w:uiPriority w:val="30"/>
    <w:qFormat/>
    <w:rsid w:val="008A75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75CF"/>
    <w:rPr>
      <w:i/>
      <w:iCs/>
      <w:color w:val="0F4761" w:themeColor="accent1" w:themeShade="BF"/>
    </w:rPr>
  </w:style>
  <w:style w:type="character" w:styleId="IntenseReference">
    <w:name w:val="Intense Reference"/>
    <w:basedOn w:val="DefaultParagraphFont"/>
    <w:uiPriority w:val="32"/>
    <w:qFormat/>
    <w:rsid w:val="008A75CF"/>
    <w:rPr>
      <w:b/>
      <w:bCs/>
      <w:smallCaps/>
      <w:color w:val="0F4761" w:themeColor="accent1" w:themeShade="BF"/>
      <w:spacing w:val="5"/>
    </w:rPr>
  </w:style>
  <w:style w:type="paragraph" w:customStyle="1" w:styleId="paragraph">
    <w:name w:val="paragraph"/>
    <w:basedOn w:val="Normal"/>
    <w:rsid w:val="008A75CF"/>
    <w:pPr>
      <w:spacing w:before="100" w:beforeAutospacing="1" w:after="100" w:afterAutospacing="1" w:line="240" w:lineRule="auto"/>
    </w:pPr>
    <w:rPr>
      <w:rFonts w:ascii="Times New Roman" w:eastAsia="Times New Roman" w:hAnsi="Times New Roman" w:cs="Times New Roman"/>
    </w:rPr>
  </w:style>
  <w:style w:type="character" w:customStyle="1" w:styleId="normaltextrun">
    <w:name w:val="normaltextrun"/>
    <w:basedOn w:val="DefaultParagraphFont"/>
    <w:rsid w:val="008A75CF"/>
  </w:style>
  <w:style w:type="character" w:customStyle="1" w:styleId="eop">
    <w:name w:val="eop"/>
    <w:basedOn w:val="DefaultParagraphFont"/>
    <w:rsid w:val="008A75CF"/>
  </w:style>
  <w:style w:type="character" w:customStyle="1" w:styleId="superscript">
    <w:name w:val="superscript"/>
    <w:basedOn w:val="DefaultParagraphFont"/>
    <w:rsid w:val="008A75CF"/>
  </w:style>
  <w:style w:type="paragraph" w:styleId="Header">
    <w:name w:val="header"/>
    <w:basedOn w:val="Normal"/>
    <w:link w:val="HeaderChar"/>
    <w:uiPriority w:val="99"/>
    <w:unhideWhenUsed/>
    <w:rsid w:val="008A75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75CF"/>
  </w:style>
  <w:style w:type="paragraph" w:styleId="Footer">
    <w:name w:val="footer"/>
    <w:basedOn w:val="Normal"/>
    <w:link w:val="FooterChar"/>
    <w:uiPriority w:val="99"/>
    <w:unhideWhenUsed/>
    <w:rsid w:val="008A75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75CF"/>
  </w:style>
  <w:style w:type="character" w:styleId="FootnoteReference">
    <w:name w:val="footnote reference"/>
    <w:basedOn w:val="DefaultParagraphFont"/>
    <w:uiPriority w:val="99"/>
    <w:semiHidden/>
    <w:unhideWhenUsed/>
    <w:rsid w:val="00051E81"/>
    <w:rPr>
      <w:vertAlign w:val="superscript"/>
    </w:rPr>
  </w:style>
  <w:style w:type="character" w:styleId="Hyperlink">
    <w:name w:val="Hyperlink"/>
    <w:basedOn w:val="DefaultParagraphFont"/>
    <w:uiPriority w:val="99"/>
    <w:unhideWhenUsed/>
    <w:rsid w:val="00051E81"/>
    <w:rPr>
      <w:rFonts w:ascii="Calibri" w:hAnsi="Calibri"/>
      <w:b w:val="0"/>
      <w:i/>
      <w:color w:val="1453CC"/>
      <w:sz w:val="22"/>
      <w:u w:val="single"/>
    </w:rPr>
  </w:style>
  <w:style w:type="paragraph" w:styleId="NoSpacing">
    <w:name w:val="No Spacing"/>
    <w:uiPriority w:val="1"/>
    <w:qFormat/>
    <w:rsid w:val="00051E81"/>
    <w:pPr>
      <w:spacing w:after="0" w:line="240" w:lineRule="auto"/>
      <w:ind w:left="283" w:hanging="360"/>
      <w:jc w:val="both"/>
    </w:pPr>
    <w:rPr>
      <w:rFonts w:ascii="Arial" w:eastAsia="Arial" w:hAnsi="Arial" w:cs="Arial"/>
      <w:kern w:val="0"/>
      <w:sz w:val="22"/>
      <w:szCs w:val="22"/>
      <w:lang w:val="en-US"/>
      <w14:ligatures w14:val="none"/>
    </w:rPr>
  </w:style>
  <w:style w:type="paragraph" w:styleId="NormalWeb">
    <w:name w:val="Normal (Web)"/>
    <w:basedOn w:val="Normal"/>
    <w:uiPriority w:val="99"/>
    <w:semiHidden/>
    <w:unhideWhenUsed/>
    <w:rsid w:val="00051E81"/>
    <w:pPr>
      <w:spacing w:before="100" w:beforeAutospacing="1" w:after="100" w:afterAutospacing="1" w:line="240" w:lineRule="auto"/>
      <w:ind w:left="0" w:firstLine="0"/>
      <w:jc w:val="left"/>
    </w:pPr>
    <w:rPr>
      <w:rFonts w:ascii="Times New Roman" w:eastAsia="Times New Roman" w:hAnsi="Times New Roman" w:cs="Times New Roman"/>
      <w:sz w:val="24"/>
      <w:szCs w:val="24"/>
      <w:lang w:val="en-CA"/>
    </w:rPr>
  </w:style>
  <w:style w:type="character" w:styleId="PageNumber">
    <w:name w:val="page number"/>
    <w:basedOn w:val="DefaultParagraphFont"/>
    <w:uiPriority w:val="99"/>
    <w:semiHidden/>
    <w:unhideWhenUsed/>
    <w:rsid w:val="007B3571"/>
  </w:style>
  <w:style w:type="paragraph" w:styleId="FootnoteText">
    <w:name w:val="footnote text"/>
    <w:basedOn w:val="Normal"/>
    <w:uiPriority w:val="99"/>
    <w:semiHidden/>
    <w:unhideWhenUsed/>
    <w:rsid w:val="718C4F82"/>
    <w:pPr>
      <w:spacing w:after="0"/>
    </w:pPr>
    <w:rPr>
      <w:sz w:val="20"/>
      <w:szCs w:val="2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Arial" w:eastAsia="Arial" w:hAnsi="Arial" w:cs="Arial"/>
      <w:kern w:val="0"/>
      <w:sz w:val="20"/>
      <w:szCs w:val="20"/>
      <w:lang w:val="en-US"/>
      <w14:ligatures w14:val="none"/>
    </w:rPr>
  </w:style>
  <w:style w:type="character" w:styleId="CommentReference">
    <w:name w:val="annotation reference"/>
    <w:basedOn w:val="DefaultParagraphFont"/>
    <w:uiPriority w:val="99"/>
    <w:semiHidden/>
    <w:unhideWhenUsed/>
    <w:rPr>
      <w:sz w:val="16"/>
      <w:szCs w:val="16"/>
    </w:rPr>
  </w:style>
  <w:style w:type="character" w:styleId="FollowedHyperlink">
    <w:name w:val="FollowedHyperlink"/>
    <w:basedOn w:val="DefaultParagraphFont"/>
    <w:uiPriority w:val="99"/>
    <w:semiHidden/>
    <w:unhideWhenUsed/>
    <w:rsid w:val="005917A9"/>
    <w:rPr>
      <w:color w:val="96607D" w:themeColor="followedHyperlink"/>
      <w:u w:val="single"/>
    </w:rPr>
  </w:style>
  <w:style w:type="character" w:styleId="UnresolvedMention">
    <w:name w:val="Unresolved Mention"/>
    <w:basedOn w:val="DefaultParagraphFont"/>
    <w:uiPriority w:val="99"/>
    <w:semiHidden/>
    <w:unhideWhenUsed/>
    <w:rsid w:val="005917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959075">
      <w:bodyDiv w:val="1"/>
      <w:marLeft w:val="0"/>
      <w:marRight w:val="0"/>
      <w:marTop w:val="0"/>
      <w:marBottom w:val="0"/>
      <w:divBdr>
        <w:top w:val="none" w:sz="0" w:space="0" w:color="auto"/>
        <w:left w:val="none" w:sz="0" w:space="0" w:color="auto"/>
        <w:bottom w:val="none" w:sz="0" w:space="0" w:color="auto"/>
        <w:right w:val="none" w:sz="0" w:space="0" w:color="auto"/>
      </w:divBdr>
    </w:div>
    <w:div w:id="1333677645">
      <w:bodyDiv w:val="1"/>
      <w:marLeft w:val="0"/>
      <w:marRight w:val="0"/>
      <w:marTop w:val="0"/>
      <w:marBottom w:val="0"/>
      <w:divBdr>
        <w:top w:val="none" w:sz="0" w:space="0" w:color="auto"/>
        <w:left w:val="none" w:sz="0" w:space="0" w:color="auto"/>
        <w:bottom w:val="none" w:sz="0" w:space="0" w:color="auto"/>
        <w:right w:val="none" w:sz="0" w:space="0" w:color="auto"/>
      </w:divBdr>
    </w:div>
    <w:div w:id="1395741650">
      <w:bodyDiv w:val="1"/>
      <w:marLeft w:val="0"/>
      <w:marRight w:val="0"/>
      <w:marTop w:val="0"/>
      <w:marBottom w:val="0"/>
      <w:divBdr>
        <w:top w:val="none" w:sz="0" w:space="0" w:color="auto"/>
        <w:left w:val="none" w:sz="0" w:space="0" w:color="auto"/>
        <w:bottom w:val="none" w:sz="0" w:space="0" w:color="auto"/>
        <w:right w:val="none" w:sz="0" w:space="0" w:color="auto"/>
      </w:divBdr>
    </w:div>
    <w:div w:id="1592811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cuments.un.org/doc/undoc/gen/g12/484/87/pdf/g1248487.pdf" TargetMode="External"/><Relationship Id="rId18" Type="http://schemas.openxmlformats.org/officeDocument/2006/relationships/hyperlink" Target="https://www.ohchr.org/sites/default/files/Documents/HRBodies/CEDAW/GComments/CEDAW.C.CG.30.pdf" TargetMode="External"/><Relationship Id="rId26" Type="http://schemas.openxmlformats.org/officeDocument/2006/relationships/hyperlink" Target="https://womendeliver.org/conference/" TargetMode="External"/><Relationship Id="rId39" Type="http://schemas.openxmlformats.org/officeDocument/2006/relationships/customXml" Target="../customXml/item1.xml"/><Relationship Id="rId21" Type="http://schemas.openxmlformats.org/officeDocument/2006/relationships/hyperlink" Target="https://digitallibrary.un.org/record/3810148?ln=en&amp;v=pdf" TargetMode="External"/><Relationship Id="rId34" Type="http://schemas.openxmlformats.org/officeDocument/2006/relationships/hyperlink" Target="https://core-ombuds.canada.ca/index.aspx?lang=eng" TargetMode="Externa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ebtv.un.org/en/asset/k10/k10pecn9gn" TargetMode="External"/><Relationship Id="rId20" Type="http://schemas.openxmlformats.org/officeDocument/2006/relationships/hyperlink" Target="https://webtv.un.org/en/asset/k10/k10pecn9gn" TargetMode="External"/><Relationship Id="rId29" Type="http://schemas.openxmlformats.org/officeDocument/2006/relationships/hyperlink" Target="https://www.international.gc.ca/trade-commerce/ncp-pcn/index.aspx?kalturaStartTime=4311" TargetMode="External"/><Relationship Id="rId41"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webtv.un.org/en/asset/k10/k10pecn9gn" TargetMode="External"/><Relationship Id="rId32" Type="http://schemas.openxmlformats.org/officeDocument/2006/relationships/hyperlink" Target="https://press.un.org/en/2018/sc13354.doc.htm" TargetMode="External"/><Relationship Id="rId37" Type="http://schemas.openxmlformats.org/officeDocument/2006/relationships/fontTable" Target="fontTable.xml"/><Relationship Id="rId40" Type="http://schemas.openxmlformats.org/officeDocument/2006/relationships/customXml" Target="../customXml/item2.xml"/><Relationship Id="rId5" Type="http://schemas.openxmlformats.org/officeDocument/2006/relationships/footnotes" Target="footnotes.xml"/><Relationship Id="rId15" Type="http://schemas.openxmlformats.org/officeDocument/2006/relationships/hyperlink" Target="https://webtv.un.org/en/asset/k10/k10pecn9gn" TargetMode="External"/><Relationship Id="rId23" Type="http://schemas.openxmlformats.org/officeDocument/2006/relationships/hyperlink" Target="https://www.unwomen.org/sites/default/files/Headquarters/Attachments/Sections/CSW/PFA_E_Final_WEB.pdf" TargetMode="External"/><Relationship Id="rId28" Type="http://schemas.openxmlformats.org/officeDocument/2006/relationships/hyperlink" Target="https://www.oecd.org/en/publications/oecd-guidelines-for-multinational-enterprises-on-responsible-business-conduct_81f92357-en.html?kalturaStartTime=3903" TargetMode="External"/><Relationship Id="rId36" Type="http://schemas.openxmlformats.org/officeDocument/2006/relationships/footer" Target="footer4.xml"/><Relationship Id="rId10" Type="http://schemas.openxmlformats.org/officeDocument/2006/relationships/footer" Target="footer2.xml"/><Relationship Id="rId19" Type="http://schemas.openxmlformats.org/officeDocument/2006/relationships/hyperlink" Target="https://webtv.un.org/en/asset/k10/k10pecn9gn" TargetMode="External"/><Relationship Id="rId31" Type="http://schemas.openxmlformats.org/officeDocument/2006/relationships/hyperlink" Target="https://www.unwomen.org/sites/default/files/Headquarters/Attachments/Sections/CSW/PFA_E_Final_WEB.pdf"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ebtv.un.org/en/asset/k10/k10pecn9gn?gId=25425" TargetMode="External"/><Relationship Id="rId22" Type="http://schemas.openxmlformats.org/officeDocument/2006/relationships/hyperlink" Target="https://www.un.org/shestandsforpeace/content/united-nations-security-council-resolution-2467-2019-sres24672019?kalturaStartTime=3074" TargetMode="External"/><Relationship Id="rId27" Type="http://schemas.openxmlformats.org/officeDocument/2006/relationships/hyperlink" Target="https://www.ohchr.org/sites/default/files/documents/publications/guidingprinciplesbusinesshr_en.pdf?lang=eng" TargetMode="External"/><Relationship Id="rId30" Type="http://schemas.openxmlformats.org/officeDocument/2006/relationships/hyperlink" Target="https://spcommreports.ohchr.org/TMResultsBase/DownLoadPublicCommunicationFile?kalturaStartTime=5102" TargetMode="External"/><Relationship Id="rId35" Type="http://schemas.openxmlformats.org/officeDocument/2006/relationships/hyperlink" Target="https://webtv.un.org/en/asset/k10/k10pecn9gn?kalturaStartTime=5238" TargetMode="External"/><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www.international.gc.ca/transparency-transparence/women-peace-security-femmes-paix-securite/2023-2029-foundation-peace-fondation-paix.aspx?kalturaStartTime=2520" TargetMode="External"/><Relationship Id="rId25" Type="http://schemas.openxmlformats.org/officeDocument/2006/relationships/hyperlink" Target="https://webtv.un.org/en/asset/k10/k10pecn9gn?kalturaStartTime=3788" TargetMode="External"/><Relationship Id="rId33" Type="http://schemas.openxmlformats.org/officeDocument/2006/relationships/hyperlink" Target="https://webtv.un.org/en/asset/k10/k10pecn9gn?lang=eng" TargetMode="External"/><Relationship Id="rId38" Type="http://schemas.openxmlformats.org/officeDocument/2006/relationships/theme" Target="theme/theme1.xml"/></Relationships>
</file>

<file path=word/_rels/footnotes.xml.rels><?xml version="1.0" encoding="UTF-8" standalone="yes"?>
<Relationships xmlns="http://schemas.openxmlformats.org/package/2006/relationships"><Relationship Id="rId26" Type="http://schemas.openxmlformats.org/officeDocument/2006/relationships/hyperlink" Target="https://www.trade.gov/country-commercial-guides/canada-defense-equipment" TargetMode="External"/><Relationship Id="rId117" Type="http://schemas.openxmlformats.org/officeDocument/2006/relationships/hyperlink" Target="https://www.prakkendoliveira.nl/en/news/2024/judgment-court-of-appeals-the-hague-re-gaza-the-netherlands-must-stop-exporting-f-35-fighter-jet-parts-to-israel" TargetMode="External"/><Relationship Id="rId21" Type="http://schemas.openxmlformats.org/officeDocument/2006/relationships/hyperlink" Target="https://www.canlii.org/en/ca/laws/stat/rsc-1985-c-e-19/latest/rsc-1985-c-e-19.html" TargetMode="External"/><Relationship Id="rId42" Type="http://schemas.openxmlformats.org/officeDocument/2006/relationships/hyperlink" Target="https://www.israelnationalnews.com/news/388328" TargetMode="External"/><Relationship Id="rId47" Type="http://schemas.openxmlformats.org/officeDocument/2006/relationships/hyperlink" Target="https://www.herouxdevtek.com/images/files/HDX_Rapport%20Annuel%202021%2BMD%26A-EN_WEB(1).pdf" TargetMode="External"/><Relationship Id="rId63" Type="http://schemas.openxmlformats.org/officeDocument/2006/relationships/hyperlink" Target="https://www.theguardian.com/australia-news/2024/nov/13/australia-amends-or-ends-16-defence-export-permits-to-israel-amid-review-ntwnfb" TargetMode="External"/><Relationship Id="rId68" Type="http://schemas.openxmlformats.org/officeDocument/2006/relationships/hyperlink" Target="https://digitallibrary.un.org/record/711350?v=pdf" TargetMode="External"/><Relationship Id="rId84" Type="http://schemas.openxmlformats.org/officeDocument/2006/relationships/hyperlink" Target="https://www.refworld.org/legal/general/crc/2013/en/102811" TargetMode="External"/><Relationship Id="rId89" Type="http://schemas.openxmlformats.org/officeDocument/2006/relationships/hyperlink" Target="https://digitallibrary.un.org/record/1311173?ln=en&amp;v=pdf" TargetMode="External"/><Relationship Id="rId112" Type="http://schemas.openxmlformats.org/officeDocument/2006/relationships/hyperlink" Target="https://webtv.un.org/en/asset/k10/k10pecn9gn" TargetMode="External"/><Relationship Id="rId16" Type="http://schemas.openxmlformats.org/officeDocument/2006/relationships/hyperlink" Target="https://www.hrw.org/news/2022/06/14/gaza-israels-open-air-prison-15" TargetMode="External"/><Relationship Id="rId107" Type="http://schemas.openxmlformats.org/officeDocument/2006/relationships/hyperlink" Target="https://docstore.ohchr.org/SelfServices/FilesHandler.ashx?enc=eNcAUKsh0Xh4%2BcQNGBJ8guPAcpOAVyA8xgiw8PsQIl2DgpQkqqwyCcp62hksdlQX%2FoIElx5a2ORa%2FT7qSNmOjg%3D%3D" TargetMode="External"/><Relationship Id="rId11" Type="http://schemas.openxmlformats.org/officeDocument/2006/relationships/hyperlink" Target="https://www.un.org/unispal/about-the-nakba/" TargetMode="External"/><Relationship Id="rId32" Type="http://schemas.openxmlformats.org/officeDocument/2006/relationships/hyperlink" Target="https://www.breakingthesilence.org.il/wp-content/uploads/2011/02/Operation_Cast_Lead_Gaza_2009_Eng.pdf" TargetMode="External"/><Relationship Id="rId37" Type="http://schemas.openxmlformats.org/officeDocument/2006/relationships/hyperlink" Target="https://www.timesofisrael.com/liveblog_entry/idf-chief-says-israel-knows-how-to-reach-anywhere-in-the-middle-east/" TargetMode="External"/><Relationship Id="rId53" Type="http://schemas.openxmlformats.org/officeDocument/2006/relationships/hyperlink" Target="https://www.timesofisrael.com/israel-advancing-deals-with-us-to-purchase-fighter-jets-helicopters-and-munitions/" TargetMode="External"/><Relationship Id="rId58" Type="http://schemas.openxmlformats.org/officeDocument/2006/relationships/hyperlink" Target="https://brabantisbright.nl/european-spare-parts-center-f-35-officially-opened/" TargetMode="External"/><Relationship Id="rId74" Type="http://schemas.openxmlformats.org/officeDocument/2006/relationships/hyperlink" Target="https://documents.un.org/doc/undoc/gen/g18/119/05/pdf/g1811905.pdf" TargetMode="External"/><Relationship Id="rId79" Type="http://schemas.openxmlformats.org/officeDocument/2006/relationships/hyperlink" Target="http://cedaw/C/GC/28,%20Online:%20%20https://digitallibrary.un.org/record/711350?v=pdf" TargetMode="External"/><Relationship Id="rId102" Type="http://schemas.openxmlformats.org/officeDocument/2006/relationships/hyperlink" Target="https://spcommreports.ohchr.org/TMResultsBase/DownLoadPublicCommunicationFile?gId=27216" TargetMode="External"/><Relationship Id="rId5" Type="http://schemas.openxmlformats.org/officeDocument/2006/relationships/hyperlink" Target="https://www.bbc.com/news/world-middle-east-68737412" TargetMode="External"/><Relationship Id="rId90" Type="http://schemas.openxmlformats.org/officeDocument/2006/relationships/hyperlink" Target="https://documents.un.org/doc/undoc/gen/g12/416/49/pdf/g1241649.pdf" TargetMode="External"/><Relationship Id="rId95" Type="http://schemas.openxmlformats.org/officeDocument/2006/relationships/hyperlink" Target="https://documents.un.org/doc/undoc/gen/g12/484/87/pdf/g1248487.pdf" TargetMode="External"/><Relationship Id="rId22" Type="http://schemas.openxmlformats.org/officeDocument/2006/relationships/hyperlink" Target="https://www.readthemaple.com/trudeau-government-authorized-28-million-of-new-military-exports-to-israel-since-october/" TargetMode="External"/><Relationship Id="rId27" Type="http://schemas.openxmlformats.org/officeDocument/2006/relationships/hyperlink" Target="https://www.cnn.com/2024/10/16/middleeast/where-israel-get-its-weapons/index.html" TargetMode="External"/><Relationship Id="rId43" Type="http://schemas.openxmlformats.org/officeDocument/2006/relationships/hyperlink" Target="https://www.dsca.mil/press-media/major-arms-sales/israel-f-15ia-and-f-15i-aircraft" TargetMode="External"/><Relationship Id="rId48" Type="http://schemas.openxmlformats.org/officeDocument/2006/relationships/hyperlink" Target="https://www.herouxdevtek.com/images/files/HDX_Rapport%20Annuel%202021%2BMD%26A-EN_WEB(1).pdf;" TargetMode="External"/><Relationship Id="rId64" Type="http://schemas.openxmlformats.org/officeDocument/2006/relationships/hyperlink" Target="https://parlinfo.aph.gov.au/parlInfo/download/committees/estimate/28742/toc_pdf/Foreign%20Affairs,%20Defence%20and%20Trade%20Legislation%20Committee_2025_02_26_Official.pdf;fileType=application%2Fpdf?afd_azwaf_tok=eyJhbGciOiJSUzI1NiJ9.eyJhdWQiOiJwYXJsaW5mby5hcGguZ292LmF1IiwiZXhwIjoxNzUwODg2MjExLCJpYXQiOjE3NTA4ODYyMDEsImlzcyI6InRpZXIxLTc3ZGI2NjQ4NzgtajhjbGgiLCJzdWIiOiIxMzguNTEuNzguNCIsImRhdGEiOnsidHlwZSI6Imlzc3VlZCIsInJlZiI6IjIwMjUwNjI1VDIxMTY0MVotMTc3ZGI2NjQ4NzhqOGNsaGhDMVlUT2Z4encwMDAwMDAwcWswMDAwMDAwMDA2cXp1IiwiYiI6ImJBZzdVWEhGTXh1dWZQTS1fZTQwRWdFMHdvOXM0ZkMwUEtlOWFyQ2padlkiLCJoIjoibjFacDFMRWlOMmFFSHlWT3BVNkJaSzFmRU1idWxJamJlUjhsdUlxVmV6YyJ9fQ.tk2_GkEDm5XWhVjiJKiQFQCCzoia3hi2BcIjW9uyVzGGLs0b0sHhtt5vUusb3EiyRSqXdWCAayjWmSDgASFtp3Xz7I6nXz1nO0sSqVxuLlilZQjb_bRcZVteH2T8WFOLYVwNChR6nNgQ13MCPjTzk2E9TEMPm2qrQ18McgjagL_fApeLea-3XvaVkKMcq9NFPLde8rFDlfPnO62oVR3XdZzsRfkRXPZP7zrMzMEDv4H1ngRrkE8kVuDGkSPXdwBYmHqOTelKMi88DNIruXS-jtWGSBYcuPZQDRemAkxI4AE8Glnyf38kypT6K-L8HgJd6QZCvlEm5wzeWuxW5lqUgw.WF3obl2IDtqgvMFRqVdYkD5s" TargetMode="External"/><Relationship Id="rId69" Type="http://schemas.openxmlformats.org/officeDocument/2006/relationships/hyperlink" Target="https://www.refworld.org/jurisprudence/caselaw/hrc/1981/en/34545." TargetMode="External"/><Relationship Id="rId113" Type="http://schemas.openxmlformats.org/officeDocument/2006/relationships/hyperlink" Target="https://tbinternet.ohchr.org/_layouts/15/treatybodyexternal/Download.aspx?symbolno=CEDAW%2FC%2FCAN%2FCO%2F10&amp;Lang=en" TargetMode="External"/><Relationship Id="rId80" Type="http://schemas.openxmlformats.org/officeDocument/2006/relationships/hyperlink" Target="https://www.ohchr.org/en/documents/general-comments-and-recommendations/general-comment-no-24-2017-state-obligations-context" TargetMode="External"/><Relationship Id="rId85" Type="http://schemas.openxmlformats.org/officeDocument/2006/relationships/hyperlink" Target="https://www.ohchr.org/sites/default/files/documents/publications/guidingprinciplesbusinesshr_en.pdf" TargetMode="External"/><Relationship Id="rId12" Type="http://schemas.openxmlformats.org/officeDocument/2006/relationships/hyperlink" Target="https://www.un.org/unispal/about-the-nakba/" TargetMode="External"/><Relationship Id="rId17" Type="http://schemas.openxmlformats.org/officeDocument/2006/relationships/hyperlink" Target="https://www.aljazeera.com/news/2022/8/7/timeline-israels-attacks-on-gaza-since-2005" TargetMode="External"/><Relationship Id="rId33" Type="http://schemas.openxmlformats.org/officeDocument/2006/relationships/hyperlink" Target="https://www.breakingthesilence.org.il/wp-content/uploads/2011/02/Operation_Cast_Lead_Gaza_2009_Eng.pdf" TargetMode="External"/><Relationship Id="rId38" Type="http://schemas.openxmlformats.org/officeDocument/2006/relationships/hyperlink" Target="https://cdn.prod.website-files.com/63e066081ef50cb16a3f4157/65a93fceedd2a489c326fa7b_Fanning%20the%20Flames%20Report_Updated_Jan.18.24.pdf" TargetMode="External"/><Relationship Id="rId59" Type="http://schemas.openxmlformats.org/officeDocument/2006/relationships/hyperlink" Target="https://www.hogeraad.nl/actueel/nieuwsoverzicht/2024/november/advies-ag-hoge-raad-uitspraak-hof-nederlandse-staat-uitvoer-35/" TargetMode="External"/><Relationship Id="rId103" Type="http://schemas.openxmlformats.org/officeDocument/2006/relationships/hyperlink" Target="https://spcommreports.ohchr.org/TMResultsBase/DownLoadPublicCommunicationFile?gId=27216" TargetMode="External"/><Relationship Id="rId108" Type="http://schemas.openxmlformats.org/officeDocument/2006/relationships/hyperlink" Target="https://docstore.ohchr.org/SelfServices/FilesHandler.ashx?enc=YPbszBM5PapxEtA%2B7j%2Bi%2BQnk2A%2FYYZrLMPOew6YnO13KN4spZjfMYDqyPTv4sHGGP2ya%2BlBYi8qVUagxrmQ7Nw%3D%3D" TargetMode="External"/><Relationship Id="rId54" Type="http://schemas.openxmlformats.org/officeDocument/2006/relationships/hyperlink" Target="https://web.archive.org/web/20240719221629/https:/www.ynetnews.com/article/rkrfvilqp%5d" TargetMode="External"/><Relationship Id="rId70" Type="http://schemas.openxmlformats.org/officeDocument/2006/relationships/hyperlink" Target="https://www.refworld.org/jurisprudence/caselaw/hrc/1981/en/34545." TargetMode="External"/><Relationship Id="rId75" Type="http://schemas.openxmlformats.org/officeDocument/2006/relationships/hyperlink" Target="https://www.ohchr.org/sites/default/files/documents/hrbodies/crpd/statements/CRPD-Statement-Situation-persons-disabilities-armed-conflict-Israel-Gaza-20-10-2023.docx" TargetMode="External"/><Relationship Id="rId91" Type="http://schemas.openxmlformats.org/officeDocument/2006/relationships/hyperlink" Target="https://documents.un.org/doc/undoc/gen/g12/416/49/pdf/g1241649.pdf" TargetMode="External"/><Relationship Id="rId96" Type="http://schemas.openxmlformats.org/officeDocument/2006/relationships/hyperlink" Target="https://www.ohchr.org/en/documents/concluding-observations/cedawccanco8-9-concluding-observations-combined-eighth-and-ninth" TargetMode="External"/><Relationship Id="rId1" Type="http://schemas.openxmlformats.org/officeDocument/2006/relationships/hyperlink" Target="https://www.amnesty.org/en/documents/mde15/8668/2024/en/" TargetMode="External"/><Relationship Id="rId6" Type="http://schemas.openxmlformats.org/officeDocument/2006/relationships/hyperlink" Target="https://www.aljazeera.com/news/2024/8/15/how-canadas-off-the-record-arms-exports-end-up-in-israel" TargetMode="External"/><Relationship Id="rId23" Type="http://schemas.openxmlformats.org/officeDocument/2006/relationships/hyperlink" Target="https://www.international.gc.ca/transparency-transparence/controls-controles/military-goods-2022-marchandises-militaires.aspx?lang=eng" TargetMode="External"/><Relationship Id="rId28" Type="http://schemas.openxmlformats.org/officeDocument/2006/relationships/hyperlink" Target="https://www.theguardian.com/world/2024/apr/09/us-israel-weapons" TargetMode="External"/><Relationship Id="rId49" Type="http://schemas.openxmlformats.org/officeDocument/2006/relationships/hyperlink" Target="https://investors.herouxdevtek.com/2019-05-21-Heroux-Devtek-firms-up-landing-gear-supply-agreement-for-Boeing-apos-s-F-A-18-program-and-expands-scope-to-Boeing-apos-s-Advanced-F-15-program,-spare-parts-and-services" TargetMode="External"/><Relationship Id="rId114" Type="http://schemas.openxmlformats.org/officeDocument/2006/relationships/hyperlink" Target="https://tbinternet.ohchr.org/_layouts/15/treatybodyexternal/Download.aspx?symbolno=CEDAW%2FC%2FCAN%2FCO%2F10&amp;Lang=en" TargetMode="External"/><Relationship Id="rId10" Type="http://schemas.openxmlformats.org/officeDocument/2006/relationships/hyperlink" Target="https://www.ohchr.org/sites/default/files/documents/hrbodies/cerd/earlywarning/letters/cerd-ewuap-letter-115-canada.pdf" TargetMode="External"/><Relationship Id="rId31" Type="http://schemas.openxmlformats.org/officeDocument/2006/relationships/hyperlink" Target="https://www.dsca.mil/press-media/major-arms-sales/israel-m933a1-120mm-high-explosive-mortar-cartridges" TargetMode="External"/><Relationship Id="rId44" Type="http://schemas.openxmlformats.org/officeDocument/2006/relationships/hyperlink" Target="https://www.dsca.mil/press-media/major-arms-sales/israel-f-15ia-and-f-15i-aircraft" TargetMode="External"/><Relationship Id="rId52" Type="http://schemas.openxmlformats.org/officeDocument/2006/relationships/hyperlink" Target="https://www.boeing.ca/boeing-in-canada" TargetMode="External"/><Relationship Id="rId60" Type="http://schemas.openxmlformats.org/officeDocument/2006/relationships/hyperlink" Target="https://www.legislation.gov.au/C2012A00153/latest/text" TargetMode="External"/><Relationship Id="rId65" Type="http://schemas.openxmlformats.org/officeDocument/2006/relationships/hyperlink" Target="https://documents.un.org/doc/undoc/gen/g18/119/05/pdf/g1811905.pdf" TargetMode="External"/><Relationship Id="rId73" Type="http://schemas.openxmlformats.org/officeDocument/2006/relationships/hyperlink" Target="https://documents.un.org/doc/undoc/gen/g18/119/05/pdf/g1811905.pdf" TargetMode="External"/><Relationship Id="rId78" Type="http://schemas.openxmlformats.org/officeDocument/2006/relationships/hyperlink" Target="https://juris.ohchr.org/casedetails/2316/en-US" TargetMode="External"/><Relationship Id="rId81" Type="http://schemas.openxmlformats.org/officeDocument/2006/relationships/hyperlink" Target="https://www.ohchr.org/en/documents/general-comments-and-recommendations/general-comment-no-24-2017-state-obligations-context" TargetMode="External"/><Relationship Id="rId86" Type="http://schemas.openxmlformats.org/officeDocument/2006/relationships/hyperlink" Target="https://www.oas.org/en/iachr/reports/pdfs/Business_Human_Rights_Inte_American_Standards.pdf" TargetMode="External"/><Relationship Id="rId94" Type="http://schemas.openxmlformats.org/officeDocument/2006/relationships/hyperlink" Target="https://documents.un.org/doc/undoc/gen/g12/484/87/pdf/g1248487.pdf" TargetMode="External"/><Relationship Id="rId99" Type="http://schemas.openxmlformats.org/officeDocument/2006/relationships/hyperlink" Target="https://tbinternet.ohchr.org/_layouts/15/treatybodyexternal/Download.aspx?symbolno=E%2FC.12%2FCAN%2FCO%2F6&amp;Lang=en" TargetMode="External"/><Relationship Id="rId101" Type="http://schemas.openxmlformats.org/officeDocument/2006/relationships/hyperlink" Target="https://spcommreports.ohchr.org/TMResultsBase/DownLoadPublicCommunicationFile?gId=25425" TargetMode="External"/><Relationship Id="rId4" Type="http://schemas.openxmlformats.org/officeDocument/2006/relationships/hyperlink" Target="https://spcommreports.ohchr.org/TMResultsBase/DownLoadPublicCommunicationFile?gId=29381" TargetMode="External"/><Relationship Id="rId9" Type="http://schemas.openxmlformats.org/officeDocument/2006/relationships/hyperlink" Target="https://www.ohchr.org/en/press-releases/2024/02/arms-exports-israel-must-stop-immediately-un-experts" TargetMode="External"/><Relationship Id="rId13" Type="http://schemas.openxmlformats.org/officeDocument/2006/relationships/hyperlink" Target="https://www.un.org/unispal/about-the-nakba/" TargetMode="External"/><Relationship Id="rId18" Type="http://schemas.openxmlformats.org/officeDocument/2006/relationships/hyperlink" Target="https://www.amnesty.org/en/documents/mde15/5141/2022/en/" TargetMode="External"/><Relationship Id="rId39" Type="http://schemas.openxmlformats.org/officeDocument/2006/relationships/hyperlink" Target="https://www.boeing.ca/boeing-in-canada" TargetMode="External"/><Relationship Id="rId109" Type="http://schemas.openxmlformats.org/officeDocument/2006/relationships/hyperlink" Target="https://tbinternet.ohchr.org/_layouts/15/treatybodyexternal/Download.aspx?symbolno=INT%2FCERD%2FEWU%2F10086&amp;Lang=en" TargetMode="External"/><Relationship Id="rId34" Type="http://schemas.openxmlformats.org/officeDocument/2006/relationships/hyperlink" Target="https://www.jpost.com/israel-news/defense-news/article-769625" TargetMode="External"/><Relationship Id="rId50" Type="http://schemas.openxmlformats.org/officeDocument/2006/relationships/hyperlink" Target="https://www.ynetnews.com/article/rkrfvilqp" TargetMode="External"/><Relationship Id="rId55" Type="http://schemas.openxmlformats.org/officeDocument/2006/relationships/hyperlink" Target="https://www.readthemaple.com/canada-sold-18-9-million-of-military-goods-to-israel-despite-pause/" TargetMode="External"/><Relationship Id="rId76" Type="http://schemas.openxmlformats.org/officeDocument/2006/relationships/hyperlink" Target="https://documents.un.org/doc/undoc/gen/g14/031/20/pdf/g1403120.pdf" TargetMode="External"/><Relationship Id="rId97" Type="http://schemas.openxmlformats.org/officeDocument/2006/relationships/hyperlink" Target="https://www.ohchr.org/en/documents/concluding-observations/cedawccanco8-9-concluding-observations-combined-eighth-and-ninth" TargetMode="External"/><Relationship Id="rId104" Type="http://schemas.openxmlformats.org/officeDocument/2006/relationships/hyperlink" Target="https://docstore.ohchr.org/SelfServices/FilesHandler.ashx?enc=Eogk5m57FR8Wbw0M0iv2Dy5RRa02puyHrb8b8UqHVZQ0pp1vqcF09KVTxvczSj7rXv2PhJ9%2FG%2FUgqz8f4bA5Sg%3D%3D" TargetMode="External"/><Relationship Id="rId7" Type="http://schemas.openxmlformats.org/officeDocument/2006/relationships/hyperlink" Target="https://tbinternet.ohchr.org/_layouts/15/treatybodyexternal/Download.aspx?symbolno=CRPD%2FC%2FCAN%2FCO%2F2-3&amp;Lang=en" TargetMode="External"/><Relationship Id="rId71" Type="http://schemas.openxmlformats.org/officeDocument/2006/relationships/hyperlink" Target="https://www.sybil.es/sybil/article/view/2085" TargetMode="External"/><Relationship Id="rId92" Type="http://schemas.openxmlformats.org/officeDocument/2006/relationships/hyperlink" Target="https://tbinternet.ohchr.org/_layouts/15/TreatyBodyExternal/Download.aspx?symbolno=CERD/C/CAN/CO/18&amp;Lang=en" TargetMode="External"/><Relationship Id="rId2" Type="http://schemas.openxmlformats.org/officeDocument/2006/relationships/hyperlink" Target="https://www.hrw.org/news/2024/12/19/israels-crime-extermination-acts-genocide-gaza" TargetMode="External"/><Relationship Id="rId29" Type="http://schemas.openxmlformats.org/officeDocument/2006/relationships/hyperlink" Target="https://www.aljazeera.com/news/2024/8/15/how-canadas-off-the-record-arms-exports-end-up-in-israel" TargetMode="External"/><Relationship Id="rId24" Type="http://schemas.openxmlformats.org/officeDocument/2006/relationships/hyperlink" Target="https://www.cbc.ca/news/politics/netanyahu-israel-hamas-motion-none-is-too-many-canada-1.7151136" TargetMode="External"/><Relationship Id="rId40" Type="http://schemas.openxmlformats.org/officeDocument/2006/relationships/hyperlink" Target="https://www.boeing.ca/boeing-in-canada" TargetMode="External"/><Relationship Id="rId45" Type="http://schemas.openxmlformats.org/officeDocument/2006/relationships/hyperlink" Target="https://www.bnnbloomberg.ca/business/company-news/2024/08/13/us-approves-sale-of-fighter-jets-to-israel-in-188-billion-deal/" TargetMode="External"/><Relationship Id="rId66" Type="http://schemas.openxmlformats.org/officeDocument/2006/relationships/hyperlink" Target="https://www.refworld.org/legal/resolution/unga/2007/en/49751" TargetMode="External"/><Relationship Id="rId87" Type="http://schemas.openxmlformats.org/officeDocument/2006/relationships/hyperlink" Target="https://www.ohchr.org/en/documents/concluding-observations/cedawccanco8-9-concluding-observations-combined-eighth-and-ninth" TargetMode="External"/><Relationship Id="rId110" Type="http://schemas.openxmlformats.org/officeDocument/2006/relationships/hyperlink" Target="https://www.ohchr.org/en/press-releases/2024/06/states-and-companies-must-end-arms-transfers-israel-immediately-or-risk" TargetMode="External"/><Relationship Id="rId115" Type="http://schemas.openxmlformats.org/officeDocument/2006/relationships/hyperlink" Target="https://tbinternet.ohchr.org/_layouts/15/treatybodyexternal/Download.aspx?symbolno=CRPD%2FC%2FCAN%2FCO%2F2-3&amp;Lang=en" TargetMode="External"/><Relationship Id="rId61" Type="http://schemas.openxmlformats.org/officeDocument/2006/relationships/hyperlink" Target="https://www.austlii.edu.au/cgi-bin/viewdb/au/legis/cth/consol_reg/cer1958439/" TargetMode="External"/><Relationship Id="rId82" Type="http://schemas.openxmlformats.org/officeDocument/2006/relationships/hyperlink" Target="https://www.refworld.org/legal/general/crc/2013/en/102811" TargetMode="External"/><Relationship Id="rId19" Type="http://schemas.openxmlformats.org/officeDocument/2006/relationships/hyperlink" Target="https://www.btselem.org/publications/fulltext/202101_this_is_apartheid" TargetMode="External"/><Relationship Id="rId14" Type="http://schemas.openxmlformats.org/officeDocument/2006/relationships/hyperlink" Target="https://www.icj-cij.org/sites/default/files/case-related/186/186-20240719-adv-01-00-en.pdf" TargetMode="External"/><Relationship Id="rId30" Type="http://schemas.openxmlformats.org/officeDocument/2006/relationships/hyperlink" Target="https://www.law.cornell.edu/cfr/text/22/126.5" TargetMode="External"/><Relationship Id="rId35" Type="http://schemas.openxmlformats.org/officeDocument/2006/relationships/hyperlink" Target="https://www.theglobeandmail.com/politics/article-federal-government-puts-roadblock-in-front-of-ammo-supply-deal-for/" TargetMode="External"/><Relationship Id="rId56" Type="http://schemas.openxmlformats.org/officeDocument/2006/relationships/hyperlink" Target="https://www.prakkendoliveira.nl/en/news/2024/judgment-court-of-appeals-the-hague-re-gaza-the-netherlands-must-stop-exporting-f-35-fighter-jet-parts-to-israel" TargetMode="External"/><Relationship Id="rId77" Type="http://schemas.openxmlformats.org/officeDocument/2006/relationships/hyperlink" Target="https://juris.ohchr.org/casedetails/2316/en-US" TargetMode="External"/><Relationship Id="rId100" Type="http://schemas.openxmlformats.org/officeDocument/2006/relationships/hyperlink" Target="https://spcommreports.ohchr.org/TMResultsBase/DownLoadPublicCommunicationFile?gId=26805" TargetMode="External"/><Relationship Id="rId105" Type="http://schemas.openxmlformats.org/officeDocument/2006/relationships/hyperlink" Target="https://docstore.ohchr.org/SelfServices/FilesHandler.ashx?enc=gyaZGMv1WfQad%2Fnh9FHGSSejs8EPQkKAWu7NiIiE3V2%2FMrrPncZKCZyJKANkOujzSgRtG4AJnzZv%2BxVmkaVc7w%3D%3D" TargetMode="External"/><Relationship Id="rId8" Type="http://schemas.openxmlformats.org/officeDocument/2006/relationships/hyperlink" Target="https://ihrp.law.utoronto.ca/news/un-disability-rights-committee-slams-deceptive-canada-continued-arms-exports-israel" TargetMode="External"/><Relationship Id="rId51" Type="http://schemas.openxmlformats.org/officeDocument/2006/relationships/hyperlink" Target="https://www.france24.com/en/live-news/20240715-israel-hits-gaza-from-land-sea-and-air-as-hamas-halts-talks" TargetMode="External"/><Relationship Id="rId72" Type="http://schemas.openxmlformats.org/officeDocument/2006/relationships/hyperlink" Target="https://www.corteidh.or.cr/docs/opiniones/seriea_23_ing.pdf" TargetMode="External"/><Relationship Id="rId93" Type="http://schemas.openxmlformats.org/officeDocument/2006/relationships/hyperlink" Target="https://tbinternet.ohchr.org/_layouts/15/TreatyBodyExternal/Download.aspx?symbolno=CERD/C/CAN/CO/18&amp;Lang=en" TargetMode="External"/><Relationship Id="rId98" Type="http://schemas.openxmlformats.org/officeDocument/2006/relationships/hyperlink" Target="https://tbinternet.ohchr.org/_layouts/15/treatybodyexternal/Download.aspx?symbolno=E%2FC.12%2FCAN%2FCO%2F6&amp;Lang=en" TargetMode="External"/><Relationship Id="rId3" Type="http://schemas.openxmlformats.org/officeDocument/2006/relationships/hyperlink" Target="https://www.ohchr.org/en/treaty-bodies/crpd/statements-declarations-and-observations" TargetMode="External"/><Relationship Id="rId25" Type="http://schemas.openxmlformats.org/officeDocument/2006/relationships/hyperlink" Target="https://www.cjpme.org/joly_statement_arms" TargetMode="External"/><Relationship Id="rId46" Type="http://schemas.openxmlformats.org/officeDocument/2006/relationships/hyperlink" Target="https://magellan.aero/press-release/magellan-aerospace-signs-agreement-with-collins-aerospace-for-complex-castings/" TargetMode="External"/><Relationship Id="rId67" Type="http://schemas.openxmlformats.org/officeDocument/2006/relationships/hyperlink" Target="https://digitallibrary.un.org/record/711350?v=pdf" TargetMode="External"/><Relationship Id="rId116" Type="http://schemas.openxmlformats.org/officeDocument/2006/relationships/hyperlink" Target="https://www.ohchr.org/sites/default/files/documents/hrbodies/cerd/earlywarning/letters/cerd-ewuap-letter-115-canada.pdf" TargetMode="External"/><Relationship Id="rId20" Type="http://schemas.openxmlformats.org/officeDocument/2006/relationships/hyperlink" Target="https://www.yesh-din.org/en/the-occupation-of-the-west-bank-and-the-crime-of-apartheid-legal-opinion/" TargetMode="External"/><Relationship Id="rId41" Type="http://schemas.openxmlformats.org/officeDocument/2006/relationships/hyperlink" Target="https://www.nytimes.com/2024/04/02/us/politics/biden-israel-weapons-deal.html" TargetMode="External"/><Relationship Id="rId62" Type="http://schemas.openxmlformats.org/officeDocument/2006/relationships/hyperlink" Target="https://www.legislation.gov.au/F2013L00902/latest/text" TargetMode="External"/><Relationship Id="rId83" Type="http://schemas.openxmlformats.org/officeDocument/2006/relationships/hyperlink" Target="https://www.refworld.org/legal/general/crc/2013/en/102811" TargetMode="External"/><Relationship Id="rId88" Type="http://schemas.openxmlformats.org/officeDocument/2006/relationships/hyperlink" Target="https://www.ohchr.org/en/documents/concluding-observations/cedawccanco8-9-concluding-observations-combined-eighth-and-ninth" TargetMode="External"/><Relationship Id="rId111" Type="http://schemas.openxmlformats.org/officeDocument/2006/relationships/hyperlink" Target="https://tbinternet.ohchr.org/_layouts/15/treatybodyexternal/Download.aspx?symbolno=INT%2FCEDAW%2FCSS%2FCAN%2F59729&amp;Lang=en" TargetMode="External"/><Relationship Id="rId15" Type="http://schemas.openxmlformats.org/officeDocument/2006/relationships/hyperlink" Target="https://www.icj-cij.org/sites/default/files/case-related/186/186-20240719-adv-01-00-en.pdf" TargetMode="External"/><Relationship Id="rId36" Type="http://schemas.openxmlformats.org/officeDocument/2006/relationships/hyperlink" Target="https://www.readthemaple.com/government-export-agency-noted-99-israeli-crimes-but-okd-arms-sale/" TargetMode="External"/><Relationship Id="rId57" Type="http://schemas.openxmlformats.org/officeDocument/2006/relationships/hyperlink" Target="https://www.rechtspraak.nl/Organisatie-en-contact/Organisatie/Gerechtshoven/Gerechtshof-Den-Haag/Nieuws/Paginas/The-Netherlands-has-to-stop-the-export-of-F-35-fighter-jet-parts-to-Israel.aspx" TargetMode="External"/><Relationship Id="rId106" Type="http://schemas.openxmlformats.org/officeDocument/2006/relationships/hyperlink" Target="https://docstore.ohchr.org/SelfServices/FilesHandler.ashx?enc=KOYLsVF9aWeGorUjvvxXN7lPeVgUYl0H4PBQKr6A28Og27f8KLPnnNfE3AmL0zbzp7%2F0C6mYCWP0I1NI66l7dvovQtnKenjKiEp9yp%2F1qMY%3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2025-07-06T16:19:04+00:00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B397D29-4B79-4F57-8060-9A7D7F24DE4C}"/>
</file>

<file path=customXml/itemProps2.xml><?xml version="1.0" encoding="utf-8"?>
<ds:datastoreItem xmlns:ds="http://schemas.openxmlformats.org/officeDocument/2006/customXml" ds:itemID="{96A48EB7-2EE6-4906-A8B4-3B960DC6F9D8}"/>
</file>

<file path=customXml/itemProps3.xml><?xml version="1.0" encoding="utf-8"?>
<ds:datastoreItem xmlns:ds="http://schemas.openxmlformats.org/officeDocument/2006/customXml" ds:itemID="{EDD2A483-142F-4C85-8C8A-F1151E7C80C7}"/>
</file>

<file path=docProps/app.xml><?xml version="1.0" encoding="utf-8"?>
<Properties xmlns="http://schemas.openxmlformats.org/officeDocument/2006/extended-properties" xmlns:vt="http://schemas.openxmlformats.org/officeDocument/2006/docPropsVTypes">
  <Template>Normal</Template>
  <TotalTime>2</TotalTime>
  <Pages>29</Pages>
  <Words>8389</Words>
  <Characters>47821</Characters>
  <Application>Microsoft Office Word</Application>
  <DocSecurity>4</DocSecurity>
  <Lines>398</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Alysha Mohamed</dc:creator>
  <cp:keywords/>
  <dc:description/>
  <cp:lastModifiedBy>Jorge Araya</cp:lastModifiedBy>
  <cp:revision>2</cp:revision>
  <cp:lastPrinted>2025-07-04T18:14:00Z</cp:lastPrinted>
  <dcterms:created xsi:type="dcterms:W3CDTF">2025-07-06T16:19:00Z</dcterms:created>
  <dcterms:modified xsi:type="dcterms:W3CDTF">2025-07-06T16:19:00Z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