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F67B1C" w14:textId="1519B14F" w:rsidR="00C82EF9" w:rsidRPr="00CA045C" w:rsidRDefault="00C82EF9" w:rsidP="001D3CDD">
      <w:pPr>
        <w:jc w:val="both"/>
        <w:outlineLvl w:val="0"/>
        <w:rPr>
          <w:rFonts w:ascii="Arial" w:hAnsi="Arial" w:cs="Arial"/>
          <w:sz w:val="24"/>
          <w:szCs w:val="24"/>
          <w:lang w:val="es-ES_tradnl"/>
        </w:rPr>
      </w:pPr>
      <w:bookmarkStart w:id="0" w:name="_GoBack"/>
      <w:bookmarkEnd w:id="0"/>
      <w:r w:rsidRPr="00CA045C">
        <w:rPr>
          <w:rFonts w:ascii="Arial" w:hAnsi="Arial" w:cs="Arial"/>
          <w:sz w:val="24"/>
          <w:szCs w:val="24"/>
          <w:lang w:val="es-ES_tradnl"/>
        </w:rPr>
        <w:t>Colectivo TLGB de Bolivia, Akahata, Iniciativa por los Derechos Sexuales y Synergia</w:t>
      </w:r>
    </w:p>
    <w:p w14:paraId="72DD8C41" w14:textId="77777777" w:rsidR="00C82EF9" w:rsidRPr="00CA045C" w:rsidRDefault="00C82EF9" w:rsidP="001D3CDD">
      <w:pPr>
        <w:jc w:val="both"/>
        <w:rPr>
          <w:rFonts w:ascii="Arial" w:hAnsi="Arial" w:cs="Arial"/>
          <w:sz w:val="24"/>
          <w:szCs w:val="24"/>
          <w:lang w:val="es-ES_tradnl"/>
        </w:rPr>
      </w:pPr>
    </w:p>
    <w:p w14:paraId="0C177BE1" w14:textId="0638A427" w:rsidR="00C82EF9" w:rsidRPr="00CA045C" w:rsidRDefault="0047434F" w:rsidP="001D3CDD">
      <w:pPr>
        <w:jc w:val="both"/>
        <w:rPr>
          <w:rFonts w:ascii="Arial" w:hAnsi="Arial" w:cs="Arial"/>
          <w:sz w:val="24"/>
          <w:szCs w:val="24"/>
          <w:lang w:val="es-ES_tradnl"/>
        </w:rPr>
      </w:pPr>
      <w:r>
        <w:rPr>
          <w:rFonts w:ascii="Arial" w:hAnsi="Arial" w:cs="Arial"/>
          <w:noProof/>
          <w:sz w:val="24"/>
          <w:szCs w:val="24"/>
          <w:lang w:val="en-GB" w:eastAsia="en-GB"/>
        </w:rPr>
        <w:drawing>
          <wp:inline distT="0" distB="0" distL="0" distR="0" wp14:anchorId="609C5D02" wp14:editId="5BFCA451">
            <wp:extent cx="5401310" cy="780415"/>
            <wp:effectExtent l="0" t="0" r="889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310" cy="780415"/>
                    </a:xfrm>
                    <a:prstGeom prst="rect">
                      <a:avLst/>
                    </a:prstGeom>
                    <a:noFill/>
                  </pic:spPr>
                </pic:pic>
              </a:graphicData>
            </a:graphic>
          </wp:inline>
        </w:drawing>
      </w:r>
    </w:p>
    <w:p w14:paraId="22A909E6" w14:textId="77777777" w:rsidR="00C82EF9" w:rsidRPr="00CA045C" w:rsidRDefault="00C82EF9" w:rsidP="001D3CDD">
      <w:pPr>
        <w:jc w:val="both"/>
        <w:rPr>
          <w:rFonts w:ascii="Arial" w:hAnsi="Arial" w:cs="Arial"/>
          <w:sz w:val="24"/>
          <w:szCs w:val="24"/>
          <w:lang w:val="es-ES_tradnl"/>
        </w:rPr>
      </w:pPr>
    </w:p>
    <w:p w14:paraId="49ED7786" w14:textId="77777777" w:rsidR="00C82EF9" w:rsidRPr="00CA045C" w:rsidRDefault="00C82EF9" w:rsidP="001D3CDD">
      <w:pPr>
        <w:jc w:val="both"/>
        <w:rPr>
          <w:rFonts w:ascii="Arial" w:hAnsi="Arial" w:cs="Arial"/>
          <w:sz w:val="24"/>
          <w:szCs w:val="24"/>
          <w:lang w:val="es-ES_tradnl"/>
        </w:rPr>
      </w:pPr>
    </w:p>
    <w:p w14:paraId="774C8878" w14:textId="308EEB57" w:rsidR="00C82EF9" w:rsidRPr="00CA045C" w:rsidRDefault="00C82EF9" w:rsidP="00C41F94">
      <w:pPr>
        <w:jc w:val="center"/>
        <w:rPr>
          <w:rFonts w:ascii="Arial" w:hAnsi="Arial" w:cs="Arial"/>
          <w:sz w:val="24"/>
          <w:szCs w:val="24"/>
          <w:lang w:val="es-ES_tradnl"/>
        </w:rPr>
      </w:pPr>
      <w:r w:rsidRPr="00CA045C">
        <w:rPr>
          <w:rFonts w:ascii="Arial" w:hAnsi="Arial" w:cs="Arial"/>
          <w:b/>
          <w:sz w:val="24"/>
          <w:szCs w:val="24"/>
          <w:lang w:val="es-ES_tradnl"/>
        </w:rPr>
        <w:t>Situación de los Derechos Económicos, Sociales y Culturales de la comunidad LGBT en Bolivia</w:t>
      </w:r>
    </w:p>
    <w:p w14:paraId="4E1C625F" w14:textId="77777777" w:rsidR="00C82EF9" w:rsidRPr="00CA045C" w:rsidRDefault="00C82EF9" w:rsidP="00C41F94">
      <w:pPr>
        <w:jc w:val="center"/>
        <w:rPr>
          <w:rFonts w:ascii="Arial" w:hAnsi="Arial" w:cs="Arial"/>
          <w:sz w:val="24"/>
          <w:szCs w:val="24"/>
          <w:lang w:val="es-ES_tradnl"/>
        </w:rPr>
      </w:pPr>
    </w:p>
    <w:p w14:paraId="31F6BD3D" w14:textId="77777777" w:rsidR="00C82EF9" w:rsidRPr="00CA045C" w:rsidRDefault="00C82EF9" w:rsidP="00C41F94">
      <w:pPr>
        <w:jc w:val="center"/>
        <w:rPr>
          <w:rFonts w:ascii="Arial" w:hAnsi="Arial" w:cs="Arial"/>
          <w:sz w:val="24"/>
          <w:szCs w:val="24"/>
          <w:lang w:val="es-ES_tradnl"/>
        </w:rPr>
      </w:pPr>
    </w:p>
    <w:p w14:paraId="61C6A81F" w14:textId="77777777" w:rsidR="00C82EF9" w:rsidRPr="00CA045C" w:rsidRDefault="00C82EF9" w:rsidP="00C41F94">
      <w:pPr>
        <w:jc w:val="center"/>
        <w:rPr>
          <w:rFonts w:ascii="Arial" w:hAnsi="Arial" w:cs="Arial"/>
          <w:sz w:val="24"/>
          <w:szCs w:val="24"/>
          <w:lang w:val="es-ES_tradnl"/>
        </w:rPr>
      </w:pPr>
    </w:p>
    <w:p w14:paraId="1D2C9ABC" w14:textId="77777777" w:rsidR="00C82EF9" w:rsidRPr="00CA045C" w:rsidRDefault="00C82EF9" w:rsidP="00C41F94">
      <w:pPr>
        <w:jc w:val="center"/>
        <w:outlineLvl w:val="0"/>
        <w:rPr>
          <w:rFonts w:ascii="Arial" w:hAnsi="Arial" w:cs="Arial"/>
          <w:sz w:val="24"/>
          <w:szCs w:val="24"/>
          <w:lang w:val="es-ES_tradnl"/>
        </w:rPr>
      </w:pPr>
      <w:r w:rsidRPr="00CA045C">
        <w:rPr>
          <w:rFonts w:ascii="Arial" w:hAnsi="Arial" w:cs="Arial"/>
          <w:sz w:val="24"/>
          <w:szCs w:val="24"/>
          <w:lang w:val="es-ES_tradnl"/>
        </w:rPr>
        <w:t>Informe Sombra presentado ante el</w:t>
      </w:r>
    </w:p>
    <w:p w14:paraId="5338E03C" w14:textId="77777777" w:rsidR="00C82EF9" w:rsidRPr="00CA045C" w:rsidRDefault="00C82EF9" w:rsidP="00C41F94">
      <w:pPr>
        <w:jc w:val="center"/>
        <w:rPr>
          <w:rFonts w:ascii="Arial" w:hAnsi="Arial" w:cs="Arial"/>
          <w:sz w:val="24"/>
          <w:szCs w:val="24"/>
          <w:lang w:val="es-ES_tradnl"/>
        </w:rPr>
      </w:pPr>
    </w:p>
    <w:p w14:paraId="47FF31A4" w14:textId="6C50F478" w:rsidR="00C82EF9" w:rsidRPr="00CA045C" w:rsidRDefault="00C82EF9" w:rsidP="00C41F94">
      <w:pPr>
        <w:jc w:val="center"/>
        <w:outlineLvl w:val="0"/>
        <w:rPr>
          <w:rFonts w:ascii="Arial" w:hAnsi="Arial" w:cs="Arial"/>
          <w:b/>
          <w:sz w:val="24"/>
          <w:szCs w:val="24"/>
          <w:lang w:val="es-ES_tradnl"/>
        </w:rPr>
      </w:pPr>
      <w:r w:rsidRPr="00CA045C">
        <w:rPr>
          <w:rFonts w:ascii="Arial" w:hAnsi="Arial" w:cs="Arial"/>
          <w:b/>
          <w:sz w:val="24"/>
          <w:szCs w:val="24"/>
          <w:lang w:val="es-ES_tradnl"/>
        </w:rPr>
        <w:t>Comité de Derechos Económicos, Sociales y Culturales</w:t>
      </w:r>
    </w:p>
    <w:p w14:paraId="2420443C" w14:textId="77777777" w:rsidR="00C82EF9" w:rsidRPr="00CA045C" w:rsidRDefault="00C82EF9" w:rsidP="00C41F94">
      <w:pPr>
        <w:jc w:val="center"/>
        <w:rPr>
          <w:rFonts w:ascii="Arial" w:hAnsi="Arial" w:cs="Arial"/>
          <w:sz w:val="24"/>
          <w:szCs w:val="24"/>
          <w:lang w:val="es-ES_tradnl"/>
        </w:rPr>
      </w:pPr>
    </w:p>
    <w:p w14:paraId="555499C9" w14:textId="26629785" w:rsidR="00293819" w:rsidRPr="00CA045C" w:rsidRDefault="00293819" w:rsidP="00C41F94">
      <w:pPr>
        <w:jc w:val="center"/>
        <w:outlineLvl w:val="0"/>
        <w:rPr>
          <w:rFonts w:ascii="Arial" w:hAnsi="Arial" w:cs="Arial"/>
          <w:sz w:val="24"/>
          <w:szCs w:val="24"/>
          <w:lang w:val="es-ES_tradnl"/>
        </w:rPr>
      </w:pPr>
      <w:r w:rsidRPr="00CA045C">
        <w:rPr>
          <w:rFonts w:ascii="Arial" w:hAnsi="Arial" w:cs="Arial"/>
          <w:sz w:val="24"/>
          <w:szCs w:val="24"/>
          <w:lang w:val="es-ES_tradnl"/>
        </w:rPr>
        <w:t>Tercer informe periódico del Estado Plurinacional de Bolivia.</w:t>
      </w:r>
    </w:p>
    <w:p w14:paraId="0EBC7C53" w14:textId="77777777" w:rsidR="00293819" w:rsidRPr="00CA045C" w:rsidRDefault="00293819" w:rsidP="00C41F94">
      <w:pPr>
        <w:jc w:val="center"/>
        <w:rPr>
          <w:rFonts w:ascii="Arial" w:hAnsi="Arial" w:cs="Arial"/>
          <w:sz w:val="24"/>
          <w:szCs w:val="24"/>
          <w:lang w:val="es-ES_tradnl"/>
        </w:rPr>
      </w:pPr>
    </w:p>
    <w:p w14:paraId="04E67B9B" w14:textId="5DAE9CA6" w:rsidR="00C82EF9" w:rsidRPr="00CA045C" w:rsidRDefault="00B13624" w:rsidP="00C41F94">
      <w:pPr>
        <w:jc w:val="center"/>
        <w:rPr>
          <w:rFonts w:ascii="Arial" w:hAnsi="Arial" w:cs="Arial"/>
          <w:sz w:val="24"/>
          <w:szCs w:val="24"/>
          <w:lang w:val="es-ES_tradnl"/>
        </w:rPr>
      </w:pPr>
      <w:r w:rsidRPr="00CA045C">
        <w:rPr>
          <w:rFonts w:ascii="Arial" w:hAnsi="Arial" w:cs="Arial"/>
          <w:sz w:val="24"/>
          <w:szCs w:val="24"/>
          <w:lang w:val="es-ES_tradnl"/>
        </w:rPr>
        <w:t>68</w:t>
      </w:r>
      <w:r w:rsidR="00C82EF9" w:rsidRPr="00CA045C">
        <w:rPr>
          <w:rFonts w:ascii="Arial" w:hAnsi="Arial" w:cs="Arial"/>
          <w:sz w:val="24"/>
          <w:szCs w:val="24"/>
          <w:lang w:val="es-ES_tradnl"/>
        </w:rPr>
        <w:t xml:space="preserve">º </w:t>
      </w:r>
      <w:r w:rsidRPr="00CA045C">
        <w:rPr>
          <w:rFonts w:ascii="Arial" w:hAnsi="Arial" w:cs="Arial"/>
          <w:sz w:val="24"/>
          <w:szCs w:val="24"/>
          <w:lang w:val="es-ES_tradnl"/>
        </w:rPr>
        <w:t>Periodo de Sesiones</w:t>
      </w:r>
    </w:p>
    <w:p w14:paraId="19209991" w14:textId="77777777" w:rsidR="00C82EF9" w:rsidRPr="00CA045C" w:rsidRDefault="00C82EF9" w:rsidP="001D3CDD">
      <w:pPr>
        <w:jc w:val="both"/>
        <w:rPr>
          <w:rFonts w:ascii="Arial" w:hAnsi="Arial" w:cs="Arial"/>
          <w:sz w:val="24"/>
          <w:szCs w:val="24"/>
          <w:lang w:val="es-ES_tradnl"/>
        </w:rPr>
      </w:pPr>
    </w:p>
    <w:p w14:paraId="7BA500ED" w14:textId="01D67448" w:rsidR="00C82EF9" w:rsidRPr="00CA045C" w:rsidRDefault="00C82EF9" w:rsidP="001D3CDD">
      <w:pPr>
        <w:jc w:val="both"/>
        <w:rPr>
          <w:rFonts w:ascii="Arial" w:hAnsi="Arial" w:cs="Arial"/>
          <w:sz w:val="24"/>
          <w:szCs w:val="24"/>
          <w:lang w:val="es-ES_tradnl"/>
        </w:rPr>
      </w:pPr>
    </w:p>
    <w:p w14:paraId="04217A1D" w14:textId="77777777" w:rsidR="00C82EF9" w:rsidRPr="00CA045C" w:rsidRDefault="00C82EF9" w:rsidP="001D3CDD">
      <w:pPr>
        <w:jc w:val="both"/>
        <w:rPr>
          <w:rFonts w:ascii="Arial" w:hAnsi="Arial" w:cs="Arial"/>
          <w:sz w:val="24"/>
          <w:szCs w:val="24"/>
          <w:lang w:val="es-ES_tradnl"/>
        </w:rPr>
      </w:pPr>
    </w:p>
    <w:p w14:paraId="13566150" w14:textId="77777777" w:rsidR="00C82EF9" w:rsidRPr="00CA045C" w:rsidRDefault="00C82EF9" w:rsidP="001D3CDD">
      <w:pPr>
        <w:jc w:val="both"/>
        <w:rPr>
          <w:rFonts w:ascii="Arial" w:hAnsi="Arial" w:cs="Arial"/>
          <w:sz w:val="24"/>
          <w:szCs w:val="24"/>
          <w:lang w:val="es-ES_tradnl"/>
        </w:rPr>
      </w:pPr>
      <w:r w:rsidRPr="00CA045C">
        <w:rPr>
          <w:rFonts w:ascii="Arial" w:hAnsi="Arial" w:cs="Arial"/>
          <w:sz w:val="24"/>
          <w:szCs w:val="24"/>
          <w:lang w:val="es-ES_tradnl"/>
        </w:rPr>
        <w:t>Informe Presentado por:</w:t>
      </w:r>
    </w:p>
    <w:p w14:paraId="73DFE512" w14:textId="77777777" w:rsidR="00C82EF9" w:rsidRPr="00CA045C" w:rsidRDefault="00C82EF9" w:rsidP="001D3CDD">
      <w:pPr>
        <w:jc w:val="both"/>
        <w:rPr>
          <w:rFonts w:ascii="Arial" w:hAnsi="Arial" w:cs="Arial"/>
          <w:sz w:val="24"/>
          <w:szCs w:val="24"/>
          <w:lang w:val="es-ES_tradnl"/>
        </w:rPr>
      </w:pPr>
    </w:p>
    <w:p w14:paraId="6F63C76A" w14:textId="404F6D67" w:rsidR="00C82EF9" w:rsidRPr="00CA045C" w:rsidRDefault="00C82EF9" w:rsidP="001D3CDD">
      <w:pPr>
        <w:pStyle w:val="ListParagraph"/>
        <w:numPr>
          <w:ilvl w:val="0"/>
          <w:numId w:val="2"/>
        </w:numPr>
        <w:contextualSpacing w:val="0"/>
        <w:jc w:val="both"/>
        <w:rPr>
          <w:rFonts w:ascii="Arial" w:hAnsi="Arial" w:cs="Arial"/>
          <w:lang w:val="es-ES_tradnl"/>
        </w:rPr>
      </w:pPr>
      <w:r w:rsidRPr="00CA045C">
        <w:rPr>
          <w:rFonts w:ascii="Arial" w:hAnsi="Arial" w:cs="Arial"/>
          <w:lang w:val="es-ES_tradnl"/>
        </w:rPr>
        <w:t>Colectivo TLGB de Bolivia</w:t>
      </w:r>
    </w:p>
    <w:p w14:paraId="61E632A7" w14:textId="77777777" w:rsidR="00C82EF9" w:rsidRPr="00CA045C" w:rsidRDefault="00C82EF9" w:rsidP="001D3CDD">
      <w:pPr>
        <w:pStyle w:val="ListParagraph"/>
        <w:numPr>
          <w:ilvl w:val="0"/>
          <w:numId w:val="2"/>
        </w:numPr>
        <w:contextualSpacing w:val="0"/>
        <w:jc w:val="both"/>
        <w:rPr>
          <w:rFonts w:ascii="Arial" w:hAnsi="Arial" w:cs="Arial"/>
          <w:lang w:val="es-ES_tradnl"/>
        </w:rPr>
      </w:pPr>
      <w:r w:rsidRPr="00CA045C">
        <w:rPr>
          <w:rFonts w:ascii="Arial" w:hAnsi="Arial" w:cs="Arial"/>
          <w:lang w:val="es-ES_tradnl"/>
        </w:rPr>
        <w:t xml:space="preserve">Akahatá – Equipo de trabajo en sexualidades y géneros </w:t>
      </w:r>
    </w:p>
    <w:p w14:paraId="57322854" w14:textId="77777777" w:rsidR="00C82EF9" w:rsidRPr="00CA045C" w:rsidRDefault="00C82EF9" w:rsidP="001D3CDD">
      <w:pPr>
        <w:pStyle w:val="ListParagraph"/>
        <w:numPr>
          <w:ilvl w:val="0"/>
          <w:numId w:val="2"/>
        </w:numPr>
        <w:contextualSpacing w:val="0"/>
        <w:jc w:val="both"/>
        <w:rPr>
          <w:rFonts w:ascii="Arial" w:hAnsi="Arial" w:cs="Arial"/>
          <w:lang w:val="es-ES_tradnl"/>
        </w:rPr>
      </w:pPr>
      <w:r w:rsidRPr="00CA045C">
        <w:rPr>
          <w:rFonts w:ascii="Arial" w:hAnsi="Arial" w:cs="Arial"/>
          <w:lang w:val="es-ES_tradnl"/>
        </w:rPr>
        <w:t xml:space="preserve">Synergia </w:t>
      </w:r>
      <w:r w:rsidRPr="00CA045C">
        <w:rPr>
          <w:rFonts w:ascii="Cambria Math" w:hAnsi="Cambria Math" w:cs="Cambria Math"/>
          <w:lang w:val="es-ES_tradnl"/>
        </w:rPr>
        <w:t>‐</w:t>
      </w:r>
      <w:r w:rsidRPr="00CA045C">
        <w:rPr>
          <w:rFonts w:ascii="Arial" w:hAnsi="Arial" w:cs="Arial"/>
          <w:lang w:val="es-ES_tradnl"/>
        </w:rPr>
        <w:t xml:space="preserve"> Initiatives for Human Rights </w:t>
      </w:r>
    </w:p>
    <w:p w14:paraId="48C096A7" w14:textId="77777777" w:rsidR="009870B1" w:rsidRPr="00CA045C" w:rsidRDefault="00C82EF9" w:rsidP="001D3CDD">
      <w:pPr>
        <w:pStyle w:val="ListParagraph"/>
        <w:numPr>
          <w:ilvl w:val="0"/>
          <w:numId w:val="2"/>
        </w:numPr>
        <w:contextualSpacing w:val="0"/>
        <w:jc w:val="both"/>
        <w:rPr>
          <w:rFonts w:ascii="Arial" w:hAnsi="Arial" w:cs="Arial"/>
          <w:lang w:val="es-ES_tradnl"/>
        </w:rPr>
      </w:pPr>
      <w:r w:rsidRPr="00CA045C">
        <w:rPr>
          <w:rFonts w:ascii="Arial" w:hAnsi="Arial" w:cs="Arial"/>
          <w:lang w:val="es-ES_tradnl"/>
        </w:rPr>
        <w:t>SRI – Sexual Rights Initiative (Iniciativa por los Derechos Sexuales)</w:t>
      </w:r>
    </w:p>
    <w:p w14:paraId="3A41FB6D" w14:textId="0AA3CB72" w:rsidR="00C82EF9" w:rsidRPr="00CA045C" w:rsidRDefault="00C82EF9" w:rsidP="009870B1">
      <w:pPr>
        <w:pStyle w:val="ListParagraph"/>
        <w:contextualSpacing w:val="0"/>
        <w:jc w:val="both"/>
        <w:rPr>
          <w:rFonts w:ascii="Arial" w:hAnsi="Arial" w:cs="Arial"/>
          <w:lang w:val="es-ES_tradnl"/>
        </w:rPr>
      </w:pPr>
      <w:r w:rsidRPr="00CA045C">
        <w:rPr>
          <w:rFonts w:ascii="Arial" w:hAnsi="Arial" w:cs="Arial"/>
          <w:lang w:val="es-ES_tradnl"/>
        </w:rPr>
        <w:t xml:space="preserve"> </w:t>
      </w:r>
    </w:p>
    <w:p w14:paraId="6C307C23" w14:textId="43635771" w:rsidR="00DE20D6" w:rsidRPr="00CA045C" w:rsidRDefault="00C82EF9" w:rsidP="001D3CDD">
      <w:pPr>
        <w:spacing w:line="480" w:lineRule="auto"/>
        <w:jc w:val="both"/>
        <w:rPr>
          <w:rFonts w:ascii="Arial" w:hAnsi="Arial" w:cs="Arial"/>
          <w:sz w:val="24"/>
          <w:szCs w:val="24"/>
          <w:lang w:val="es-ES_tradnl"/>
        </w:rPr>
      </w:pPr>
      <w:r w:rsidRPr="00CA045C">
        <w:rPr>
          <w:rFonts w:ascii="Arial" w:hAnsi="Arial" w:cs="Arial"/>
          <w:sz w:val="24"/>
          <w:szCs w:val="24"/>
          <w:lang w:val="es-ES_tradnl"/>
        </w:rPr>
        <w:lastRenderedPageBreak/>
        <w:t>Colectivo TLGB de Bolivia</w:t>
      </w:r>
      <w:r w:rsidRPr="00CA045C">
        <w:rPr>
          <w:rStyle w:val="FootnoteReference"/>
          <w:rFonts w:ascii="Arial" w:hAnsi="Arial" w:cs="Arial"/>
          <w:sz w:val="24"/>
          <w:szCs w:val="24"/>
          <w:lang w:val="es-ES_tradnl"/>
        </w:rPr>
        <w:footnoteReference w:id="1"/>
      </w:r>
      <w:r w:rsidRPr="00CA045C">
        <w:rPr>
          <w:rFonts w:ascii="Arial" w:hAnsi="Arial" w:cs="Arial"/>
          <w:sz w:val="24"/>
          <w:szCs w:val="24"/>
          <w:lang w:val="es-ES_tradnl"/>
        </w:rPr>
        <w:t>; Akahatá - equipo de trabajo en sexualidades y géneros; Synergia - Initiatives for Human Rigths; y la SRI – Sexual Rights Initiative, presentan la siguiente información ante el Comité de Derechos Económicos, Sociales y Culturales. Este informe tiene el objetivo de realizar aportes relacionados con la revisión de la implementación del Pacto Internacional de Derechos Económicos, Sociales y Culturales con relación a las personas LGBT de Bolivia</w:t>
      </w:r>
      <w:r w:rsidR="00B13624" w:rsidRPr="00CA045C">
        <w:rPr>
          <w:rFonts w:ascii="Arial" w:hAnsi="Arial" w:cs="Arial"/>
          <w:sz w:val="24"/>
          <w:szCs w:val="24"/>
          <w:lang w:val="es-ES_tradnl"/>
        </w:rPr>
        <w:t xml:space="preserve"> para el tercer informe periódico del Estado Plurinacional de Bolivia</w:t>
      </w:r>
      <w:r w:rsidRPr="00CA045C">
        <w:rPr>
          <w:rFonts w:ascii="Arial" w:hAnsi="Arial" w:cs="Arial"/>
          <w:sz w:val="24"/>
          <w:szCs w:val="24"/>
          <w:lang w:val="es-ES_tradnl"/>
        </w:rPr>
        <w:t xml:space="preserve">. </w:t>
      </w:r>
      <w:r w:rsidR="00DE20D6" w:rsidRPr="00CA045C">
        <w:rPr>
          <w:rFonts w:ascii="Arial" w:hAnsi="Arial" w:cs="Arial"/>
          <w:sz w:val="24"/>
          <w:szCs w:val="24"/>
          <w:lang w:val="es-ES_tradnl"/>
        </w:rPr>
        <w:tab/>
      </w:r>
    </w:p>
    <w:p w14:paraId="1B1741EE" w14:textId="07784FB2" w:rsidR="00DE20D6" w:rsidRPr="00CA045C" w:rsidRDefault="00DE20D6"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 xml:space="preserve">Introducción </w:t>
      </w:r>
    </w:p>
    <w:p w14:paraId="1D1A54C3" w14:textId="159F6D92" w:rsidR="00986011" w:rsidRPr="00CA045C" w:rsidRDefault="00D9551C" w:rsidP="00FB0C02">
      <w:pPr>
        <w:pStyle w:val="NoSpacing"/>
        <w:numPr>
          <w:ilvl w:val="0"/>
          <w:numId w:val="3"/>
        </w:numPr>
        <w:spacing w:line="480" w:lineRule="auto"/>
        <w:ind w:left="0" w:firstLine="0"/>
        <w:jc w:val="both"/>
        <w:outlineLvl w:val="0"/>
        <w:rPr>
          <w:rFonts w:ascii="Arial" w:hAnsi="Arial" w:cs="Arial"/>
          <w:b/>
          <w:bCs/>
          <w:sz w:val="24"/>
          <w:szCs w:val="24"/>
          <w:lang w:val="es-ES_tradnl"/>
        </w:rPr>
      </w:pPr>
      <w:r w:rsidRPr="00CA045C">
        <w:rPr>
          <w:rFonts w:ascii="Arial" w:hAnsi="Arial" w:cs="Arial"/>
          <w:sz w:val="24"/>
          <w:szCs w:val="24"/>
          <w:lang w:val="es-ES_tradnl"/>
        </w:rPr>
        <w:t>L</w:t>
      </w:r>
      <w:r w:rsidR="009870B1" w:rsidRPr="00CA045C">
        <w:rPr>
          <w:rFonts w:ascii="Arial" w:hAnsi="Arial" w:cs="Arial"/>
          <w:sz w:val="24"/>
          <w:szCs w:val="24"/>
          <w:lang w:val="es-ES_tradnl"/>
        </w:rPr>
        <w:t>as personas l</w:t>
      </w:r>
      <w:r w:rsidR="00462CCE" w:rsidRPr="00CA045C">
        <w:rPr>
          <w:rFonts w:ascii="Arial" w:hAnsi="Arial" w:cs="Arial"/>
          <w:sz w:val="24"/>
          <w:szCs w:val="24"/>
          <w:lang w:val="es-ES_tradnl"/>
        </w:rPr>
        <w:t>esbianas, gays, bisexuales, transgénero, intersexuales (LGBTI)</w:t>
      </w:r>
      <w:r w:rsidR="00AF6B0C" w:rsidRPr="00CA045C">
        <w:rPr>
          <w:rFonts w:ascii="Arial" w:hAnsi="Arial" w:cs="Arial"/>
          <w:sz w:val="24"/>
          <w:szCs w:val="24"/>
          <w:lang w:val="es-ES_tradnl"/>
        </w:rPr>
        <w:t xml:space="preserve"> </w:t>
      </w:r>
      <w:r w:rsidR="00F2668B" w:rsidRPr="00CA045C">
        <w:rPr>
          <w:rFonts w:ascii="Arial" w:hAnsi="Arial" w:cs="Arial"/>
          <w:sz w:val="24"/>
          <w:szCs w:val="24"/>
          <w:lang w:val="es-ES_tradnl"/>
        </w:rPr>
        <w:t>han sido incluidos en ciertas normas nacionales departamentales y municipales en Bolivia</w:t>
      </w:r>
      <w:r w:rsidR="00462CCE" w:rsidRPr="00CA045C">
        <w:rPr>
          <w:rFonts w:ascii="Arial" w:hAnsi="Arial" w:cs="Arial"/>
          <w:sz w:val="24"/>
          <w:szCs w:val="24"/>
          <w:lang w:val="es-ES_tradnl"/>
        </w:rPr>
        <w:t xml:space="preserve">, </w:t>
      </w:r>
      <w:r w:rsidR="00953B80" w:rsidRPr="00CA045C">
        <w:rPr>
          <w:rFonts w:ascii="Arial" w:hAnsi="Arial" w:cs="Arial"/>
          <w:sz w:val="24"/>
          <w:szCs w:val="24"/>
          <w:lang w:val="es-ES_tradnl"/>
        </w:rPr>
        <w:t xml:space="preserve">sin embargo, </w:t>
      </w:r>
      <w:r w:rsidR="00462CCE" w:rsidRPr="00CA045C">
        <w:rPr>
          <w:rFonts w:ascii="Arial" w:hAnsi="Arial" w:cs="Arial"/>
          <w:sz w:val="24"/>
          <w:szCs w:val="24"/>
          <w:lang w:val="es-ES_tradnl"/>
        </w:rPr>
        <w:t xml:space="preserve">las </w:t>
      </w:r>
      <w:r w:rsidR="00986011" w:rsidRPr="00CA045C">
        <w:rPr>
          <w:rFonts w:ascii="Arial" w:hAnsi="Arial" w:cs="Arial"/>
          <w:sz w:val="24"/>
          <w:szCs w:val="24"/>
          <w:lang w:val="es-ES_tradnl"/>
        </w:rPr>
        <w:t>personas LGBTI</w:t>
      </w:r>
      <w:r w:rsidR="00F2668B" w:rsidRPr="00CA045C">
        <w:rPr>
          <w:rFonts w:ascii="Arial" w:hAnsi="Arial" w:cs="Arial"/>
          <w:sz w:val="24"/>
          <w:szCs w:val="24"/>
          <w:lang w:val="es-ES_tradnl"/>
        </w:rPr>
        <w:t xml:space="preserve"> </w:t>
      </w:r>
      <w:r w:rsidR="00462CCE" w:rsidRPr="00CA045C">
        <w:rPr>
          <w:rFonts w:ascii="Arial" w:hAnsi="Arial" w:cs="Arial"/>
          <w:sz w:val="24"/>
          <w:szCs w:val="24"/>
          <w:lang w:val="es-ES_tradnl"/>
        </w:rPr>
        <w:t xml:space="preserve">se enfrentan a la violencia y la discriminación </w:t>
      </w:r>
      <w:r w:rsidRPr="00CA045C">
        <w:rPr>
          <w:rFonts w:ascii="Arial" w:hAnsi="Arial" w:cs="Arial"/>
          <w:sz w:val="24"/>
          <w:szCs w:val="24"/>
          <w:lang w:val="es-ES_tradnl"/>
        </w:rPr>
        <w:t xml:space="preserve">por </w:t>
      </w:r>
      <w:r w:rsidR="00462CCE" w:rsidRPr="00CA045C">
        <w:rPr>
          <w:rFonts w:ascii="Arial" w:hAnsi="Arial" w:cs="Arial"/>
          <w:sz w:val="24"/>
          <w:szCs w:val="24"/>
          <w:lang w:val="es-ES_tradnl"/>
        </w:rPr>
        <w:t>su orie</w:t>
      </w:r>
      <w:r w:rsidR="00C41F94" w:rsidRPr="00CA045C">
        <w:rPr>
          <w:rFonts w:ascii="Arial" w:hAnsi="Arial" w:cs="Arial"/>
          <w:sz w:val="24"/>
          <w:szCs w:val="24"/>
          <w:lang w:val="es-ES_tradnl"/>
        </w:rPr>
        <w:t>ntación sexual real o percibida y su</w:t>
      </w:r>
      <w:r w:rsidR="00462CCE" w:rsidRPr="00CA045C">
        <w:rPr>
          <w:rFonts w:ascii="Arial" w:hAnsi="Arial" w:cs="Arial"/>
          <w:sz w:val="24"/>
          <w:szCs w:val="24"/>
          <w:lang w:val="es-ES_tradnl"/>
        </w:rPr>
        <w:t xml:space="preserve"> identidad de género. </w:t>
      </w:r>
      <w:r w:rsidR="00AF6B0C" w:rsidRPr="00CA045C">
        <w:rPr>
          <w:rFonts w:ascii="Arial" w:hAnsi="Arial" w:cs="Arial"/>
          <w:sz w:val="24"/>
          <w:szCs w:val="24"/>
          <w:lang w:val="es-ES_tradnl"/>
        </w:rPr>
        <w:t>L</w:t>
      </w:r>
      <w:r w:rsidR="00F2668B" w:rsidRPr="00CA045C">
        <w:rPr>
          <w:rFonts w:ascii="Arial" w:hAnsi="Arial" w:cs="Arial"/>
          <w:sz w:val="24"/>
          <w:szCs w:val="24"/>
          <w:lang w:val="es-ES_tradnl"/>
        </w:rPr>
        <w:t xml:space="preserve">a orientación sexual y la identidad de género </w:t>
      </w:r>
      <w:r w:rsidR="00462CCE" w:rsidRPr="00CA045C">
        <w:rPr>
          <w:rFonts w:ascii="Arial" w:hAnsi="Arial" w:cs="Arial"/>
          <w:sz w:val="24"/>
          <w:szCs w:val="24"/>
          <w:lang w:val="es-ES_tradnl"/>
        </w:rPr>
        <w:t xml:space="preserve">no debería ser de ninguna manera una excusa para marginar las necesidades y para realizar los esfuerzos posibles de inclusión de derechos de </w:t>
      </w:r>
      <w:r w:rsidR="004F4B66" w:rsidRPr="00CA045C">
        <w:rPr>
          <w:rFonts w:ascii="Arial" w:hAnsi="Arial" w:cs="Arial"/>
          <w:sz w:val="24"/>
          <w:szCs w:val="24"/>
          <w:lang w:val="es-ES_tradnl"/>
        </w:rPr>
        <w:t>L</w:t>
      </w:r>
      <w:r w:rsidR="00E43DBE" w:rsidRPr="00CA045C">
        <w:rPr>
          <w:rFonts w:ascii="Arial" w:hAnsi="Arial" w:cs="Arial"/>
          <w:sz w:val="24"/>
          <w:szCs w:val="24"/>
          <w:lang w:val="es-ES_tradnl"/>
        </w:rPr>
        <w:t>G</w:t>
      </w:r>
      <w:r w:rsidR="00462CCE" w:rsidRPr="00CA045C">
        <w:rPr>
          <w:rFonts w:ascii="Arial" w:hAnsi="Arial" w:cs="Arial"/>
          <w:sz w:val="24"/>
          <w:szCs w:val="24"/>
          <w:lang w:val="es-ES_tradnl"/>
        </w:rPr>
        <w:t>BT</w:t>
      </w:r>
      <w:r w:rsidR="00F2668B" w:rsidRPr="00CA045C">
        <w:rPr>
          <w:rFonts w:ascii="Arial" w:hAnsi="Arial" w:cs="Arial"/>
          <w:sz w:val="24"/>
          <w:szCs w:val="24"/>
          <w:lang w:val="es-ES_tradnl"/>
        </w:rPr>
        <w:t>I</w:t>
      </w:r>
      <w:r w:rsidR="00462CCE" w:rsidRPr="00CA045C">
        <w:rPr>
          <w:rFonts w:ascii="Arial" w:hAnsi="Arial" w:cs="Arial"/>
          <w:sz w:val="24"/>
          <w:szCs w:val="24"/>
          <w:lang w:val="es-ES_tradnl"/>
        </w:rPr>
        <w:t xml:space="preserve">. El caso de los Objetivos de Desarrollo Sostenible </w:t>
      </w:r>
      <w:r w:rsidR="009870B1" w:rsidRPr="00CA045C">
        <w:rPr>
          <w:rFonts w:ascii="Arial" w:hAnsi="Arial" w:cs="Arial"/>
          <w:sz w:val="24"/>
          <w:szCs w:val="24"/>
          <w:lang w:val="es-ES_tradnl"/>
        </w:rPr>
        <w:t>(ODS),</w:t>
      </w:r>
      <w:r w:rsidR="00462CCE" w:rsidRPr="00CA045C">
        <w:rPr>
          <w:rFonts w:ascii="Arial" w:hAnsi="Arial" w:cs="Arial"/>
          <w:sz w:val="24"/>
          <w:szCs w:val="24"/>
          <w:lang w:val="es-ES_tradnl"/>
        </w:rPr>
        <w:t xml:space="preserve"> constituye una oportunidad desaprovechada para ampliar el concepto de inclusión e igualdad y luchar contra la</w:t>
      </w:r>
      <w:r w:rsidR="009870B1" w:rsidRPr="00CA045C">
        <w:rPr>
          <w:rFonts w:ascii="Arial" w:hAnsi="Arial" w:cs="Arial"/>
          <w:sz w:val="24"/>
          <w:szCs w:val="24"/>
          <w:lang w:val="es-ES_tradnl"/>
        </w:rPr>
        <w:t xml:space="preserve"> discriminación de la población LGBTI</w:t>
      </w:r>
      <w:r w:rsidR="00462CCE" w:rsidRPr="00CA045C">
        <w:rPr>
          <w:rFonts w:ascii="Arial" w:hAnsi="Arial" w:cs="Arial"/>
          <w:sz w:val="24"/>
          <w:szCs w:val="24"/>
          <w:lang w:val="es-ES_tradnl"/>
        </w:rPr>
        <w:t xml:space="preserve">. En este contexto, </w:t>
      </w:r>
      <w:r w:rsidR="00E43DBE" w:rsidRPr="00CA045C">
        <w:rPr>
          <w:rFonts w:ascii="Arial" w:hAnsi="Arial" w:cs="Arial"/>
          <w:sz w:val="24"/>
          <w:szCs w:val="24"/>
          <w:lang w:val="es-ES_tradnl"/>
        </w:rPr>
        <w:t>se realizaron</w:t>
      </w:r>
      <w:r w:rsidR="004F4B66" w:rsidRPr="00CA045C">
        <w:rPr>
          <w:rFonts w:ascii="Arial" w:hAnsi="Arial" w:cs="Arial"/>
          <w:sz w:val="24"/>
          <w:szCs w:val="24"/>
          <w:lang w:val="es-ES_tradnl"/>
        </w:rPr>
        <w:t xml:space="preserve"> </w:t>
      </w:r>
      <w:r w:rsidR="00953B80" w:rsidRPr="00CA045C">
        <w:rPr>
          <w:rFonts w:ascii="Arial" w:hAnsi="Arial" w:cs="Arial"/>
          <w:sz w:val="24"/>
          <w:szCs w:val="24"/>
          <w:lang w:val="es-ES_tradnl"/>
        </w:rPr>
        <w:t xml:space="preserve">tres </w:t>
      </w:r>
      <w:r w:rsidR="00E43DBE" w:rsidRPr="00CA045C">
        <w:rPr>
          <w:rFonts w:ascii="Arial" w:hAnsi="Arial" w:cs="Arial"/>
          <w:sz w:val="24"/>
          <w:szCs w:val="24"/>
          <w:lang w:val="es-ES_tradnl"/>
        </w:rPr>
        <w:t>estudios</w:t>
      </w:r>
      <w:r w:rsidR="00986011" w:rsidRPr="00CA045C">
        <w:rPr>
          <w:rStyle w:val="FootnoteReference"/>
          <w:rFonts w:ascii="Arial" w:hAnsi="Arial" w:cs="Arial"/>
          <w:szCs w:val="24"/>
          <w:lang w:val="es-ES_tradnl"/>
        </w:rPr>
        <w:footnoteReference w:id="2"/>
      </w:r>
      <w:r w:rsidR="00E43DBE" w:rsidRPr="00CA045C">
        <w:rPr>
          <w:rFonts w:ascii="Arial" w:hAnsi="Arial" w:cs="Arial"/>
          <w:sz w:val="24"/>
          <w:szCs w:val="24"/>
          <w:lang w:val="es-ES_tradnl"/>
        </w:rPr>
        <w:t xml:space="preserve"> para conocer las necesidades de la población de lesbianas, gay, bisexuales y transexuales</w:t>
      </w:r>
      <w:r w:rsidR="00462CCE" w:rsidRPr="00CA045C">
        <w:rPr>
          <w:rFonts w:ascii="Arial" w:hAnsi="Arial" w:cs="Arial"/>
          <w:sz w:val="24"/>
          <w:szCs w:val="24"/>
          <w:lang w:val="es-ES_tradnl"/>
        </w:rPr>
        <w:t>, desde sus espacios y organizaciones</w:t>
      </w:r>
      <w:r w:rsidR="00E43DBE" w:rsidRPr="00CA045C">
        <w:rPr>
          <w:rFonts w:ascii="Arial" w:hAnsi="Arial" w:cs="Arial"/>
          <w:sz w:val="24"/>
          <w:szCs w:val="24"/>
          <w:lang w:val="es-ES_tradnl"/>
        </w:rPr>
        <w:t xml:space="preserve">. </w:t>
      </w:r>
      <w:r w:rsidR="00B14365" w:rsidRPr="00CA045C">
        <w:rPr>
          <w:rFonts w:ascii="Arial" w:hAnsi="Arial" w:cs="Arial"/>
          <w:sz w:val="24"/>
          <w:szCs w:val="24"/>
          <w:lang w:val="es-ES_tradnl"/>
        </w:rPr>
        <w:t xml:space="preserve">Estos estudios son </w:t>
      </w:r>
      <w:r w:rsidR="00462CCE" w:rsidRPr="00CA045C">
        <w:rPr>
          <w:rFonts w:ascii="Arial" w:hAnsi="Arial" w:cs="Arial"/>
          <w:sz w:val="24"/>
          <w:szCs w:val="24"/>
          <w:lang w:val="es-ES_tradnl"/>
        </w:rPr>
        <w:t>esfuerzo</w:t>
      </w:r>
      <w:r w:rsidR="00B14365" w:rsidRPr="00CA045C">
        <w:rPr>
          <w:rFonts w:ascii="Arial" w:hAnsi="Arial" w:cs="Arial"/>
          <w:sz w:val="24"/>
          <w:szCs w:val="24"/>
          <w:lang w:val="es-ES_tradnl"/>
        </w:rPr>
        <w:t>s</w:t>
      </w:r>
      <w:r w:rsidR="009870B1" w:rsidRPr="00CA045C">
        <w:rPr>
          <w:rFonts w:ascii="Arial" w:hAnsi="Arial" w:cs="Arial"/>
          <w:sz w:val="24"/>
          <w:szCs w:val="24"/>
          <w:lang w:val="es-ES_tradnl"/>
        </w:rPr>
        <w:t xml:space="preserve"> para impulsar encuentros, diálogos abiertos,</w:t>
      </w:r>
      <w:r w:rsidR="00462CCE" w:rsidRPr="00CA045C">
        <w:rPr>
          <w:rFonts w:ascii="Arial" w:hAnsi="Arial" w:cs="Arial"/>
          <w:sz w:val="24"/>
          <w:szCs w:val="24"/>
          <w:lang w:val="es-ES_tradnl"/>
        </w:rPr>
        <w:t xml:space="preserve"> </w:t>
      </w:r>
      <w:r w:rsidR="009870B1" w:rsidRPr="00CA045C">
        <w:rPr>
          <w:rFonts w:ascii="Arial" w:hAnsi="Arial" w:cs="Arial"/>
          <w:sz w:val="24"/>
          <w:szCs w:val="24"/>
          <w:lang w:val="es-ES_tradnl"/>
        </w:rPr>
        <w:t xml:space="preserve">la clarificación de </w:t>
      </w:r>
      <w:r w:rsidR="00462CCE" w:rsidRPr="00CA045C">
        <w:rPr>
          <w:rFonts w:ascii="Arial" w:hAnsi="Arial" w:cs="Arial"/>
          <w:sz w:val="24"/>
          <w:szCs w:val="24"/>
          <w:lang w:val="es-ES_tradnl"/>
        </w:rPr>
        <w:lastRenderedPageBreak/>
        <w:t xml:space="preserve">agendas y hacer efectivo el planteamiento de reivindicaciones de la </w:t>
      </w:r>
      <w:r w:rsidR="009870B1" w:rsidRPr="00CA045C">
        <w:rPr>
          <w:rFonts w:ascii="Arial" w:hAnsi="Arial" w:cs="Arial"/>
          <w:sz w:val="24"/>
          <w:szCs w:val="24"/>
          <w:lang w:val="es-ES_tradnl"/>
        </w:rPr>
        <w:t>población</w:t>
      </w:r>
      <w:r w:rsidR="00953B80" w:rsidRPr="00CA045C">
        <w:rPr>
          <w:rFonts w:ascii="Arial" w:hAnsi="Arial" w:cs="Arial"/>
          <w:sz w:val="24"/>
          <w:szCs w:val="24"/>
          <w:lang w:val="es-ES_tradnl"/>
        </w:rPr>
        <w:t xml:space="preserve"> </w:t>
      </w:r>
      <w:r w:rsidR="009870B1" w:rsidRPr="00CA045C">
        <w:rPr>
          <w:rFonts w:ascii="Arial" w:hAnsi="Arial" w:cs="Arial"/>
          <w:sz w:val="24"/>
          <w:szCs w:val="24"/>
          <w:lang w:val="es-ES_tradnl"/>
        </w:rPr>
        <w:t>LGBTI</w:t>
      </w:r>
      <w:r w:rsidR="00953B80" w:rsidRPr="00CA045C">
        <w:rPr>
          <w:rFonts w:ascii="Arial" w:hAnsi="Arial" w:cs="Arial"/>
          <w:sz w:val="24"/>
          <w:szCs w:val="24"/>
          <w:lang w:val="es-ES_tradnl"/>
        </w:rPr>
        <w:t xml:space="preserve"> </w:t>
      </w:r>
      <w:r w:rsidR="00462CCE" w:rsidRPr="00CA045C">
        <w:rPr>
          <w:rFonts w:ascii="Arial" w:hAnsi="Arial" w:cs="Arial"/>
          <w:sz w:val="24"/>
          <w:szCs w:val="24"/>
          <w:lang w:val="es-ES_tradnl"/>
        </w:rPr>
        <w:t xml:space="preserve">en toda su diversidad. </w:t>
      </w:r>
    </w:p>
    <w:p w14:paraId="51A02A09" w14:textId="0E4F8E7F" w:rsidR="00B61989" w:rsidRPr="00CA045C" w:rsidRDefault="00B61989" w:rsidP="00986011">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No discriminación (art. 2, párr. 2)</w:t>
      </w:r>
    </w:p>
    <w:p w14:paraId="12988090" w14:textId="39C5F466" w:rsidR="00A84D62" w:rsidRPr="00CA045C" w:rsidRDefault="00462CCE"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Los derechos de </w:t>
      </w:r>
      <w:r w:rsidR="009870B1" w:rsidRPr="00CA045C">
        <w:rPr>
          <w:rFonts w:ascii="Arial" w:hAnsi="Arial" w:cs="Arial"/>
          <w:sz w:val="24"/>
          <w:szCs w:val="24"/>
          <w:lang w:val="es-ES_tradnl"/>
        </w:rPr>
        <w:t>la población LGBTI</w:t>
      </w:r>
      <w:r w:rsidRPr="00CA045C">
        <w:rPr>
          <w:rFonts w:ascii="Arial" w:hAnsi="Arial" w:cs="Arial"/>
          <w:sz w:val="24"/>
          <w:szCs w:val="24"/>
          <w:lang w:val="es-ES_tradnl"/>
        </w:rPr>
        <w:t xml:space="preserve"> se han instalado en la agenda pública boliviana con fuerza en la última década. Varios casos emblemáticos demostraron la discriminación y las agresiones que se viven.</w:t>
      </w:r>
      <w:r w:rsidR="00B14365" w:rsidRPr="00CA045C">
        <w:rPr>
          <w:rStyle w:val="FootnoteReference"/>
          <w:rFonts w:ascii="Arial" w:hAnsi="Arial" w:cs="Arial"/>
          <w:sz w:val="24"/>
          <w:szCs w:val="24"/>
          <w:lang w:val="es-ES_tradnl"/>
        </w:rPr>
        <w:footnoteReference w:id="3"/>
      </w:r>
      <w:r w:rsidRPr="00CA045C">
        <w:rPr>
          <w:rFonts w:ascii="Arial" w:hAnsi="Arial" w:cs="Arial"/>
          <w:sz w:val="24"/>
          <w:szCs w:val="24"/>
          <w:lang w:val="es-ES_tradnl"/>
        </w:rPr>
        <w:t xml:space="preserve"> A pesar que, en los últimos años, algunos derechos han sido consagrados en varias normas, esto no ha implicado, necesariamente, cambios sociales. Las discriminaciones y agresiones a </w:t>
      </w:r>
      <w:r w:rsidR="009870B1" w:rsidRPr="00CA045C">
        <w:rPr>
          <w:rFonts w:ascii="Arial" w:hAnsi="Arial" w:cs="Arial"/>
          <w:sz w:val="24"/>
          <w:szCs w:val="24"/>
          <w:lang w:val="es-ES_tradnl"/>
        </w:rPr>
        <w:t>personas LGBTI</w:t>
      </w:r>
      <w:r w:rsidRPr="00CA045C">
        <w:rPr>
          <w:rFonts w:ascii="Arial" w:hAnsi="Arial" w:cs="Arial"/>
          <w:sz w:val="24"/>
          <w:szCs w:val="24"/>
          <w:lang w:val="es-ES_tradnl"/>
        </w:rPr>
        <w:t xml:space="preserve"> continúan, así como la falta de garantías para restaurar derechos conculcados.</w:t>
      </w:r>
      <w:r w:rsidR="001576B4" w:rsidRPr="00CA045C">
        <w:rPr>
          <w:rFonts w:ascii="Arial" w:hAnsi="Arial" w:cs="Arial"/>
          <w:sz w:val="24"/>
          <w:szCs w:val="24"/>
          <w:lang w:val="es-ES_tradnl"/>
        </w:rPr>
        <w:t xml:space="preserve"> Tenemos hasta el momento la sentencia por el asesinato cometido contra una mujer transexual en Bolivia.</w:t>
      </w:r>
      <w:r w:rsidR="001576B4" w:rsidRPr="00CA045C">
        <w:rPr>
          <w:rStyle w:val="FootnoteReference"/>
          <w:rFonts w:ascii="Arial" w:hAnsi="Arial" w:cs="Arial"/>
          <w:sz w:val="24"/>
          <w:szCs w:val="24"/>
          <w:lang w:val="es-ES_tradnl"/>
        </w:rPr>
        <w:footnoteReference w:id="4"/>
      </w:r>
      <w:r w:rsidRPr="00CA045C">
        <w:rPr>
          <w:rFonts w:ascii="Arial" w:hAnsi="Arial" w:cs="Arial"/>
          <w:sz w:val="24"/>
          <w:szCs w:val="24"/>
          <w:lang w:val="es-ES_tradnl"/>
        </w:rPr>
        <w:t xml:space="preserve"> </w:t>
      </w:r>
      <w:r w:rsidR="005B5DE9" w:rsidRPr="00CA045C">
        <w:rPr>
          <w:rFonts w:ascii="Arial" w:hAnsi="Arial" w:cs="Arial"/>
          <w:sz w:val="24"/>
          <w:szCs w:val="24"/>
          <w:lang w:val="es-ES_tradnl"/>
        </w:rPr>
        <w:t>N</w:t>
      </w:r>
      <w:r w:rsidRPr="00CA045C">
        <w:rPr>
          <w:rFonts w:ascii="Arial" w:hAnsi="Arial" w:cs="Arial"/>
          <w:sz w:val="24"/>
          <w:szCs w:val="24"/>
          <w:lang w:val="es-ES_tradnl"/>
        </w:rPr>
        <w:t xml:space="preserve">o existen cifras oficiales que reflejen la violencia de la que son víctimas las </w:t>
      </w:r>
      <w:r w:rsidR="009870B1" w:rsidRPr="00CA045C">
        <w:rPr>
          <w:rFonts w:ascii="Arial" w:hAnsi="Arial" w:cs="Arial"/>
          <w:sz w:val="24"/>
          <w:szCs w:val="24"/>
          <w:lang w:val="es-ES_tradnl"/>
        </w:rPr>
        <w:t>personas LGBTI</w:t>
      </w:r>
      <w:r w:rsidR="00CA045C" w:rsidRPr="00CA045C">
        <w:rPr>
          <w:rFonts w:ascii="Arial" w:hAnsi="Arial" w:cs="Arial"/>
          <w:sz w:val="24"/>
          <w:szCs w:val="24"/>
          <w:lang w:val="es-ES_tradnl"/>
        </w:rPr>
        <w:t xml:space="preserve"> en Bolivia, l</w:t>
      </w:r>
      <w:r w:rsidR="00863077" w:rsidRPr="00CA045C">
        <w:rPr>
          <w:rFonts w:ascii="Arial" w:hAnsi="Arial" w:cs="Arial"/>
          <w:sz w:val="24"/>
          <w:szCs w:val="24"/>
          <w:lang w:val="es-ES_tradnl"/>
        </w:rPr>
        <w:t>as organizaciones</w:t>
      </w:r>
      <w:r w:rsidR="00C41F94" w:rsidRPr="00CA045C">
        <w:rPr>
          <w:rFonts w:ascii="Arial" w:hAnsi="Arial" w:cs="Arial"/>
          <w:sz w:val="24"/>
          <w:szCs w:val="24"/>
          <w:lang w:val="es-ES_tradnl"/>
        </w:rPr>
        <w:t xml:space="preserve"> LGBTI tampoco tienen datos que representen la totalidad de casos</w:t>
      </w:r>
      <w:r w:rsidR="00863077" w:rsidRPr="00CA045C">
        <w:rPr>
          <w:rFonts w:ascii="Arial" w:hAnsi="Arial" w:cs="Arial"/>
          <w:sz w:val="24"/>
          <w:szCs w:val="24"/>
          <w:lang w:val="es-ES_tradnl"/>
        </w:rPr>
        <w:t xml:space="preserve">, ya que </w:t>
      </w:r>
      <w:r w:rsidR="009870B1" w:rsidRPr="00CA045C">
        <w:rPr>
          <w:rFonts w:ascii="Arial" w:hAnsi="Arial" w:cs="Arial"/>
          <w:sz w:val="24"/>
          <w:szCs w:val="24"/>
          <w:lang w:val="es-ES_tradnl"/>
        </w:rPr>
        <w:t>éstos</w:t>
      </w:r>
      <w:r w:rsidR="00863077" w:rsidRPr="00CA045C">
        <w:rPr>
          <w:rFonts w:ascii="Arial" w:hAnsi="Arial" w:cs="Arial"/>
          <w:sz w:val="24"/>
          <w:szCs w:val="24"/>
          <w:lang w:val="es-ES_tradnl"/>
        </w:rPr>
        <w:t xml:space="preserve"> no están tipificados como crímenes de odio, por una deficiencia en las leyes bolivianas. </w:t>
      </w:r>
      <w:r w:rsidRPr="00CA045C">
        <w:rPr>
          <w:rFonts w:ascii="Arial" w:hAnsi="Arial" w:cs="Arial"/>
          <w:sz w:val="24"/>
          <w:szCs w:val="24"/>
          <w:lang w:val="es-ES_tradnl"/>
        </w:rPr>
        <w:t xml:space="preserve">A esta realidad se suma la restricción al ejercicio del derecho sobre la autonomía de </w:t>
      </w:r>
      <w:r w:rsidR="009870B1" w:rsidRPr="00CA045C">
        <w:rPr>
          <w:rFonts w:ascii="Arial" w:hAnsi="Arial" w:cs="Arial"/>
          <w:sz w:val="24"/>
          <w:szCs w:val="24"/>
          <w:lang w:val="es-ES_tradnl"/>
        </w:rPr>
        <w:t>los</w:t>
      </w:r>
      <w:r w:rsidRPr="00CA045C">
        <w:rPr>
          <w:rFonts w:ascii="Arial" w:hAnsi="Arial" w:cs="Arial"/>
          <w:sz w:val="24"/>
          <w:szCs w:val="24"/>
          <w:lang w:val="es-ES_tradnl"/>
        </w:rPr>
        <w:t xml:space="preserve"> cuerpos y de</w:t>
      </w:r>
      <w:r w:rsidR="009870B1" w:rsidRPr="00CA045C">
        <w:rPr>
          <w:rFonts w:ascii="Arial" w:hAnsi="Arial" w:cs="Arial"/>
          <w:sz w:val="24"/>
          <w:szCs w:val="24"/>
          <w:lang w:val="es-ES_tradnl"/>
        </w:rPr>
        <w:t>recho a</w:t>
      </w:r>
      <w:r w:rsidRPr="00CA045C">
        <w:rPr>
          <w:rFonts w:ascii="Arial" w:hAnsi="Arial" w:cs="Arial"/>
          <w:sz w:val="24"/>
          <w:szCs w:val="24"/>
          <w:lang w:val="es-ES_tradnl"/>
        </w:rPr>
        <w:t xml:space="preserve"> decidir con quién estar afectivamente, derechos cuestionados, rechazados y violentados por la sociedad en general. </w:t>
      </w:r>
      <w:r w:rsidR="00B14365" w:rsidRPr="00CA045C">
        <w:rPr>
          <w:rFonts w:ascii="Arial" w:hAnsi="Arial" w:cs="Arial"/>
          <w:sz w:val="24"/>
          <w:szCs w:val="24"/>
          <w:lang w:val="es-ES_tradnl"/>
        </w:rPr>
        <w:t>Muchas personas LGBTI</w:t>
      </w:r>
      <w:r w:rsidRPr="00CA045C">
        <w:rPr>
          <w:rFonts w:ascii="Arial" w:hAnsi="Arial" w:cs="Arial"/>
          <w:sz w:val="24"/>
          <w:szCs w:val="24"/>
          <w:lang w:val="es-ES_tradnl"/>
        </w:rPr>
        <w:t xml:space="preserve"> denuncian que son víctimas de odio, de violencia por caminar junto a sus parejas, de violencia sexual como medida </w:t>
      </w:r>
      <w:r w:rsidR="00A10836" w:rsidRPr="00CA045C">
        <w:rPr>
          <w:rFonts w:ascii="Arial" w:hAnsi="Arial" w:cs="Arial"/>
          <w:sz w:val="24"/>
          <w:szCs w:val="24"/>
          <w:lang w:val="es-ES_tradnl"/>
        </w:rPr>
        <w:t>“</w:t>
      </w:r>
      <w:r w:rsidRPr="00CA045C">
        <w:rPr>
          <w:rFonts w:ascii="Arial" w:hAnsi="Arial" w:cs="Arial"/>
          <w:sz w:val="24"/>
          <w:szCs w:val="24"/>
          <w:lang w:val="es-ES_tradnl"/>
        </w:rPr>
        <w:t>correctiva</w:t>
      </w:r>
      <w:r w:rsidR="00A10836" w:rsidRPr="00CA045C">
        <w:rPr>
          <w:rFonts w:ascii="Arial" w:hAnsi="Arial" w:cs="Arial"/>
          <w:sz w:val="24"/>
          <w:szCs w:val="24"/>
          <w:lang w:val="es-ES_tradnl"/>
        </w:rPr>
        <w:t>”</w:t>
      </w:r>
      <w:r w:rsidRPr="00CA045C">
        <w:rPr>
          <w:rFonts w:ascii="Arial" w:hAnsi="Arial" w:cs="Arial"/>
          <w:sz w:val="24"/>
          <w:szCs w:val="24"/>
          <w:lang w:val="es-ES_tradnl"/>
        </w:rPr>
        <w:t>, y denuncian también torturas y asesinatos, sobre todo a mujeres tran</w:t>
      </w:r>
      <w:r w:rsidR="00863077" w:rsidRPr="00CA045C">
        <w:rPr>
          <w:rFonts w:ascii="Arial" w:hAnsi="Arial" w:cs="Arial"/>
          <w:sz w:val="24"/>
          <w:szCs w:val="24"/>
          <w:lang w:val="es-ES_tradnl"/>
        </w:rPr>
        <w:t xml:space="preserve">s. </w:t>
      </w:r>
      <w:r w:rsidR="001576B4" w:rsidRPr="00CA045C">
        <w:rPr>
          <w:rFonts w:ascii="Arial" w:hAnsi="Arial" w:cs="Arial"/>
          <w:sz w:val="24"/>
          <w:szCs w:val="24"/>
          <w:lang w:val="es-ES_tradnl"/>
        </w:rPr>
        <w:t>Se tiene conocimiento de más de 55 casos que no tienen solución hasta el momento.</w:t>
      </w:r>
      <w:r w:rsidR="001576B4" w:rsidRPr="00CA045C">
        <w:rPr>
          <w:rStyle w:val="FootnoteReference"/>
          <w:rFonts w:ascii="Arial" w:hAnsi="Arial" w:cs="Arial"/>
          <w:sz w:val="24"/>
          <w:szCs w:val="24"/>
          <w:lang w:val="es-ES_tradnl"/>
        </w:rPr>
        <w:footnoteReference w:id="5"/>
      </w:r>
      <w:r w:rsidRPr="00CA045C">
        <w:rPr>
          <w:rFonts w:ascii="Arial" w:hAnsi="Arial" w:cs="Arial"/>
          <w:sz w:val="24"/>
          <w:szCs w:val="24"/>
          <w:lang w:val="es-ES_tradnl"/>
        </w:rPr>
        <w:t xml:space="preserve"> </w:t>
      </w:r>
    </w:p>
    <w:p w14:paraId="34EA4D63" w14:textId="5C2B1AD0" w:rsidR="0028480C" w:rsidRPr="00CA045C" w:rsidRDefault="00A10836"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lastRenderedPageBreak/>
        <w:t xml:space="preserve">La </w:t>
      </w:r>
      <w:r w:rsidR="00B14365" w:rsidRPr="00CA045C">
        <w:rPr>
          <w:rFonts w:ascii="Arial" w:hAnsi="Arial" w:cs="Arial"/>
          <w:sz w:val="24"/>
          <w:szCs w:val="24"/>
          <w:lang w:val="es-ES_tradnl"/>
        </w:rPr>
        <w:t>L</w:t>
      </w:r>
      <w:r w:rsidRPr="00CA045C">
        <w:rPr>
          <w:rFonts w:ascii="Arial" w:hAnsi="Arial" w:cs="Arial"/>
          <w:sz w:val="24"/>
          <w:szCs w:val="24"/>
          <w:lang w:val="es-ES_tradnl"/>
        </w:rPr>
        <w:t xml:space="preserve">ey de </w:t>
      </w:r>
      <w:r w:rsidR="00B14365" w:rsidRPr="00CA045C">
        <w:rPr>
          <w:rFonts w:ascii="Arial" w:hAnsi="Arial" w:cs="Arial"/>
          <w:sz w:val="24"/>
          <w:szCs w:val="24"/>
          <w:lang w:val="es-ES_tradnl"/>
        </w:rPr>
        <w:t>I</w:t>
      </w:r>
      <w:r w:rsidRPr="00CA045C">
        <w:rPr>
          <w:rFonts w:ascii="Arial" w:hAnsi="Arial" w:cs="Arial"/>
          <w:sz w:val="24"/>
          <w:szCs w:val="24"/>
          <w:lang w:val="es-ES_tradnl"/>
        </w:rPr>
        <w:t xml:space="preserve">dentidad de </w:t>
      </w:r>
      <w:r w:rsidR="00B14365" w:rsidRPr="00CA045C">
        <w:rPr>
          <w:rFonts w:ascii="Arial" w:hAnsi="Arial" w:cs="Arial"/>
          <w:sz w:val="24"/>
          <w:szCs w:val="24"/>
          <w:lang w:val="es-ES_tradnl"/>
        </w:rPr>
        <w:t>G</w:t>
      </w:r>
      <w:r w:rsidRPr="00CA045C">
        <w:rPr>
          <w:rFonts w:ascii="Arial" w:hAnsi="Arial" w:cs="Arial"/>
          <w:sz w:val="24"/>
          <w:szCs w:val="24"/>
          <w:lang w:val="es-ES_tradnl"/>
        </w:rPr>
        <w:t>énero</w:t>
      </w:r>
      <w:r w:rsidR="002E0E45" w:rsidRPr="00CA045C">
        <w:rPr>
          <w:rStyle w:val="FootnoteReference"/>
          <w:rFonts w:ascii="Arial" w:hAnsi="Arial" w:cs="Arial"/>
          <w:szCs w:val="24"/>
          <w:lang w:val="es-ES_tradnl"/>
        </w:rPr>
        <w:footnoteReference w:id="6"/>
      </w:r>
      <w:r w:rsidRPr="00CA045C">
        <w:rPr>
          <w:rFonts w:ascii="Arial" w:hAnsi="Arial" w:cs="Arial"/>
          <w:sz w:val="24"/>
          <w:szCs w:val="24"/>
          <w:lang w:val="es-ES_tradnl"/>
        </w:rPr>
        <w:t>,</w:t>
      </w:r>
      <w:r w:rsidR="00A84D62" w:rsidRPr="00CA045C">
        <w:rPr>
          <w:rFonts w:ascii="Arial" w:hAnsi="Arial" w:cs="Arial"/>
          <w:sz w:val="24"/>
          <w:szCs w:val="24"/>
          <w:lang w:val="es-ES_tradnl"/>
        </w:rPr>
        <w:t xml:space="preserve"> fue valorada como una de las más avanzadas de la región</w:t>
      </w:r>
      <w:r w:rsidR="008B0FFA" w:rsidRPr="00CA045C">
        <w:rPr>
          <w:rFonts w:ascii="Arial" w:hAnsi="Arial" w:cs="Arial"/>
          <w:sz w:val="24"/>
          <w:szCs w:val="24"/>
          <w:lang w:val="es-ES_tradnl"/>
        </w:rPr>
        <w:t>.</w:t>
      </w:r>
      <w:r w:rsidR="00A84D62" w:rsidRPr="00CA045C">
        <w:rPr>
          <w:rFonts w:ascii="Arial" w:hAnsi="Arial" w:cs="Arial"/>
          <w:sz w:val="24"/>
          <w:szCs w:val="24"/>
          <w:lang w:val="es-ES_tradnl"/>
        </w:rPr>
        <w:t xml:space="preserve"> </w:t>
      </w:r>
      <w:r w:rsidR="008B0FFA" w:rsidRPr="00CA045C">
        <w:rPr>
          <w:rFonts w:ascii="Arial" w:hAnsi="Arial" w:cs="Arial"/>
          <w:sz w:val="24"/>
          <w:szCs w:val="24"/>
          <w:lang w:val="es-ES_tradnl"/>
        </w:rPr>
        <w:t>L</w:t>
      </w:r>
      <w:r w:rsidR="00A84D62" w:rsidRPr="00CA045C">
        <w:rPr>
          <w:rFonts w:ascii="Arial" w:hAnsi="Arial" w:cs="Arial"/>
          <w:sz w:val="24"/>
          <w:szCs w:val="24"/>
          <w:lang w:val="es-ES_tradnl"/>
        </w:rPr>
        <w:t xml:space="preserve">uego de su aprobación fue </w:t>
      </w:r>
      <w:r w:rsidR="002E0E45" w:rsidRPr="00CA045C">
        <w:rPr>
          <w:rFonts w:ascii="Arial" w:hAnsi="Arial" w:cs="Arial"/>
          <w:sz w:val="24"/>
          <w:szCs w:val="24"/>
          <w:lang w:val="es-ES_tradnl"/>
        </w:rPr>
        <w:t>reducida</w:t>
      </w:r>
      <w:r w:rsidR="00A84D62" w:rsidRPr="00CA045C">
        <w:rPr>
          <w:rFonts w:ascii="Arial" w:hAnsi="Arial" w:cs="Arial"/>
          <w:sz w:val="24"/>
          <w:szCs w:val="24"/>
          <w:lang w:val="es-ES_tradnl"/>
        </w:rPr>
        <w:t xml:space="preserve"> en su esencia por el Tribunal Constitucional Plurinacional mediante la Resolución Constitucional Plurinacional 0076/2017, ante un recurso presentado por un grupo de diputados</w:t>
      </w:r>
      <w:r w:rsidR="002E0E45" w:rsidRPr="00CA045C">
        <w:rPr>
          <w:rStyle w:val="FootnoteReference"/>
          <w:rFonts w:ascii="Arial" w:hAnsi="Arial" w:cs="Arial"/>
          <w:szCs w:val="24"/>
          <w:lang w:val="es-ES_tradnl"/>
        </w:rPr>
        <w:footnoteReference w:id="7"/>
      </w:r>
      <w:r w:rsidR="008938F7" w:rsidRPr="00CA045C">
        <w:rPr>
          <w:rFonts w:ascii="Arial" w:hAnsi="Arial" w:cs="Arial"/>
          <w:sz w:val="24"/>
          <w:szCs w:val="24"/>
          <w:lang w:val="es-ES_tradnl"/>
        </w:rPr>
        <w:t xml:space="preserve">. El Tribunal Constitucional Plurinacional de Bolivia declaró inconstitucional </w:t>
      </w:r>
      <w:r w:rsidR="002E0E45" w:rsidRPr="00CA045C">
        <w:rPr>
          <w:rFonts w:ascii="Arial" w:hAnsi="Arial" w:cs="Arial"/>
          <w:sz w:val="24"/>
          <w:szCs w:val="24"/>
          <w:lang w:val="es-ES_tradnl"/>
        </w:rPr>
        <w:t xml:space="preserve">el Artículo 1, párrafo II, que </w:t>
      </w:r>
      <w:r w:rsidR="008938F7" w:rsidRPr="00CA045C">
        <w:rPr>
          <w:rFonts w:ascii="Arial" w:hAnsi="Arial" w:cs="Arial"/>
          <w:sz w:val="24"/>
          <w:szCs w:val="24"/>
          <w:lang w:val="es-ES_tradnl"/>
        </w:rPr>
        <w:t xml:space="preserve">se refiere a los derechos y obligaciones de las personas que cambian sus marcadores de género. </w:t>
      </w:r>
      <w:r w:rsidR="00E76DA7" w:rsidRPr="00CA045C">
        <w:rPr>
          <w:rFonts w:ascii="Arial" w:hAnsi="Arial" w:cs="Arial"/>
          <w:sz w:val="24"/>
          <w:szCs w:val="24"/>
          <w:lang w:val="es-ES_tradnl"/>
        </w:rPr>
        <w:t>Esta decisión</w:t>
      </w:r>
      <w:r w:rsidR="008938F7" w:rsidRPr="00CA045C">
        <w:rPr>
          <w:rFonts w:ascii="Arial" w:hAnsi="Arial" w:cs="Arial"/>
          <w:sz w:val="24"/>
          <w:szCs w:val="24"/>
          <w:lang w:val="es-ES_tradnl"/>
        </w:rPr>
        <w:t>, fue un veto contra la posibilidad que las personas trans se casen o adopten</w:t>
      </w:r>
      <w:r w:rsidR="00E76DA7" w:rsidRPr="00CA045C">
        <w:rPr>
          <w:rFonts w:ascii="Arial" w:hAnsi="Arial" w:cs="Arial"/>
          <w:sz w:val="24"/>
          <w:szCs w:val="24"/>
          <w:lang w:val="es-ES_tradnl"/>
        </w:rPr>
        <w:t>, lo que le quita el sentido a la ley en el respeto a los derechos</w:t>
      </w:r>
      <w:r w:rsidR="00F612FE" w:rsidRPr="00CA045C">
        <w:rPr>
          <w:rStyle w:val="FootnoteReference"/>
          <w:rFonts w:ascii="Arial" w:hAnsi="Arial" w:cs="Arial"/>
          <w:szCs w:val="24"/>
          <w:lang w:val="es-ES_tradnl"/>
        </w:rPr>
        <w:footnoteReference w:id="8"/>
      </w:r>
      <w:r w:rsidR="00E76DA7" w:rsidRPr="00CA045C">
        <w:rPr>
          <w:rFonts w:ascii="Arial" w:hAnsi="Arial" w:cs="Arial"/>
          <w:sz w:val="24"/>
          <w:szCs w:val="24"/>
          <w:lang w:val="es-ES_tradnl"/>
        </w:rPr>
        <w:t xml:space="preserve">. </w:t>
      </w:r>
    </w:p>
    <w:p w14:paraId="412D475F" w14:textId="1A30A184" w:rsidR="002E0E45" w:rsidRPr="00CA045C" w:rsidRDefault="002E0E45" w:rsidP="002E0E45">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Más allá de los obstáculos legales que se impusieron a la Ley de Identidad de Género, cuando se consiguió su promulgación se pusieron en evidencia nuevas realidades y necesidades. Ahora existen algunas iniciativas como la </w:t>
      </w:r>
      <w:r w:rsidRPr="00CA045C">
        <w:rPr>
          <w:rFonts w:ascii="Arial" w:hAnsi="Arial" w:cs="Arial"/>
          <w:sz w:val="24"/>
          <w:szCs w:val="24"/>
          <w:shd w:val="clear" w:color="auto" w:fill="FFFFFF"/>
          <w:lang w:val="es-ES_tradnl"/>
        </w:rPr>
        <w:t xml:space="preserve">del Colectivo TLGB de Bolivia que ha desarrollado los últimos años una agenda política nacional, departamental y por poblaciones, lo que permite determinar las tareas más importantes por subsanar en el tema de derechos. </w:t>
      </w:r>
    </w:p>
    <w:p w14:paraId="4FC07836" w14:textId="527B9EAF" w:rsidR="00764EDB" w:rsidRPr="00CA045C" w:rsidRDefault="001B07AE"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También s</w:t>
      </w:r>
      <w:r w:rsidR="001576B4" w:rsidRPr="00CA045C">
        <w:rPr>
          <w:rFonts w:ascii="Arial" w:hAnsi="Arial" w:cs="Arial"/>
          <w:sz w:val="24"/>
          <w:szCs w:val="24"/>
          <w:lang w:val="es-ES_tradnl"/>
        </w:rPr>
        <w:t>e ven muchos casos de violencia y discriminación dentro del mismo núcleo familiar, donde la persona</w:t>
      </w:r>
      <w:r w:rsidR="002E0E45" w:rsidRPr="00CA045C">
        <w:rPr>
          <w:rFonts w:ascii="Arial" w:hAnsi="Arial" w:cs="Arial"/>
          <w:sz w:val="24"/>
          <w:szCs w:val="24"/>
          <w:lang w:val="es-ES_tradnl"/>
        </w:rPr>
        <w:t xml:space="preserve"> LGBTI</w:t>
      </w:r>
      <w:r w:rsidR="001576B4" w:rsidRPr="00CA045C">
        <w:rPr>
          <w:rFonts w:ascii="Arial" w:hAnsi="Arial" w:cs="Arial"/>
          <w:sz w:val="24"/>
          <w:szCs w:val="24"/>
          <w:lang w:val="es-ES_tradnl"/>
        </w:rPr>
        <w:t xml:space="preserve"> es expulsada del hogar cuando se sabe su orientación sexual o identidad de género, siendo víctima de agresiones físicas y psicológicas, </w:t>
      </w:r>
      <w:r w:rsidR="002E0E45" w:rsidRPr="00CA045C">
        <w:rPr>
          <w:rFonts w:ascii="Arial" w:hAnsi="Arial" w:cs="Arial"/>
          <w:sz w:val="24"/>
          <w:szCs w:val="24"/>
          <w:lang w:val="es-ES_tradnl"/>
        </w:rPr>
        <w:t xml:space="preserve">ya que </w:t>
      </w:r>
      <w:r w:rsidR="001576B4" w:rsidRPr="00CA045C">
        <w:rPr>
          <w:rFonts w:ascii="Arial" w:hAnsi="Arial" w:cs="Arial"/>
          <w:sz w:val="24"/>
          <w:szCs w:val="24"/>
          <w:lang w:val="es-ES_tradnl"/>
        </w:rPr>
        <w:t>no existe una política de educación a la sociedad y por ende a las familias para tratar el tema de la diversidad sexual.</w:t>
      </w:r>
    </w:p>
    <w:p w14:paraId="5BCCAD89" w14:textId="795AD699" w:rsidR="00764EDB" w:rsidRPr="00CA045C" w:rsidRDefault="00764EDB"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Es necesario contextualizar </w:t>
      </w:r>
      <w:r w:rsidR="003071F8" w:rsidRPr="00CA045C">
        <w:rPr>
          <w:rFonts w:ascii="Arial" w:hAnsi="Arial" w:cs="Arial"/>
          <w:sz w:val="24"/>
          <w:szCs w:val="24"/>
          <w:lang w:val="es-ES_tradnl"/>
        </w:rPr>
        <w:t xml:space="preserve">este informe luego del </w:t>
      </w:r>
      <w:r w:rsidRPr="00CA045C">
        <w:rPr>
          <w:rFonts w:ascii="Arial" w:hAnsi="Arial" w:cs="Arial"/>
          <w:sz w:val="24"/>
          <w:szCs w:val="24"/>
          <w:lang w:val="es-ES_tradnl"/>
        </w:rPr>
        <w:t>escenario de convulsión política y social</w:t>
      </w:r>
      <w:r w:rsidR="003071F8" w:rsidRPr="00CA045C">
        <w:rPr>
          <w:rFonts w:ascii="Arial" w:hAnsi="Arial" w:cs="Arial"/>
          <w:sz w:val="24"/>
          <w:szCs w:val="24"/>
          <w:lang w:val="es-ES_tradnl"/>
        </w:rPr>
        <w:t xml:space="preserve"> </w:t>
      </w:r>
      <w:r w:rsidRPr="00CA045C">
        <w:rPr>
          <w:rFonts w:ascii="Arial" w:hAnsi="Arial" w:cs="Arial"/>
          <w:sz w:val="24"/>
          <w:szCs w:val="24"/>
          <w:lang w:val="es-ES_tradnl"/>
        </w:rPr>
        <w:t xml:space="preserve">luego de las elecciones de octubre de 2019, que </w:t>
      </w:r>
      <w:r w:rsidRPr="00CA045C">
        <w:rPr>
          <w:rFonts w:ascii="Arial" w:hAnsi="Arial" w:cs="Arial"/>
          <w:sz w:val="24"/>
          <w:szCs w:val="24"/>
          <w:lang w:val="es-ES_tradnl"/>
        </w:rPr>
        <w:lastRenderedPageBreak/>
        <w:t>resultaron en la paralización del país.</w:t>
      </w:r>
      <w:r w:rsidR="003071F8" w:rsidRPr="00CA045C">
        <w:rPr>
          <w:rStyle w:val="FootnoteReference"/>
          <w:rFonts w:ascii="Arial" w:hAnsi="Arial" w:cs="Arial"/>
          <w:sz w:val="24"/>
          <w:szCs w:val="24"/>
          <w:lang w:val="es-ES_tradnl"/>
        </w:rPr>
        <w:footnoteReference w:id="9"/>
      </w:r>
      <w:r w:rsidRPr="00CA045C">
        <w:rPr>
          <w:rFonts w:ascii="Arial" w:hAnsi="Arial" w:cs="Arial"/>
          <w:sz w:val="24"/>
          <w:szCs w:val="24"/>
          <w:lang w:val="es-ES_tradnl"/>
        </w:rPr>
        <w:t xml:space="preserve"> En estos hechos, además de tener al país paralizado por 21 días</w:t>
      </w:r>
      <w:r w:rsidR="003071F8" w:rsidRPr="00CA045C">
        <w:rPr>
          <w:rStyle w:val="FootnoteReference"/>
          <w:rFonts w:ascii="Arial" w:hAnsi="Arial" w:cs="Arial"/>
          <w:sz w:val="24"/>
          <w:szCs w:val="24"/>
          <w:lang w:val="es-ES_tradnl"/>
        </w:rPr>
        <w:footnoteReference w:id="10"/>
      </w:r>
      <w:r w:rsidRPr="00CA045C">
        <w:rPr>
          <w:rFonts w:ascii="Arial" w:hAnsi="Arial" w:cs="Arial"/>
          <w:sz w:val="24"/>
          <w:szCs w:val="24"/>
          <w:lang w:val="es-ES_tradnl"/>
        </w:rPr>
        <w:t xml:space="preserve">, se generó una importante escalada de violencias, se creó un clima de incertidumbre y de mayor polarización ante la ruptura del orden constitucional. Esta situación afectó de manera particular a las organizaciones de derechos humanos y de activistas </w:t>
      </w:r>
      <w:r w:rsidR="00F612FE" w:rsidRPr="00CA045C">
        <w:rPr>
          <w:rFonts w:ascii="Arial" w:hAnsi="Arial" w:cs="Arial"/>
          <w:sz w:val="24"/>
          <w:szCs w:val="24"/>
          <w:lang w:val="es-ES_tradnl"/>
        </w:rPr>
        <w:t>LGBTI</w:t>
      </w:r>
      <w:r w:rsidR="003071F8" w:rsidRPr="00CA045C">
        <w:rPr>
          <w:rStyle w:val="FootnoteReference"/>
          <w:rFonts w:ascii="Arial" w:hAnsi="Arial" w:cs="Arial"/>
          <w:szCs w:val="24"/>
          <w:lang w:val="es-ES_tradnl"/>
        </w:rPr>
        <w:footnoteReference w:id="11"/>
      </w:r>
      <w:r w:rsidRPr="00CA045C">
        <w:rPr>
          <w:rFonts w:ascii="Arial" w:hAnsi="Arial" w:cs="Arial"/>
          <w:sz w:val="24"/>
          <w:szCs w:val="24"/>
          <w:lang w:val="es-ES_tradnl"/>
        </w:rPr>
        <w:t xml:space="preserve">. En medio de los paros, se expusieron expresiones brutales de acoso y </w:t>
      </w:r>
      <w:r w:rsidR="00F612FE" w:rsidRPr="00CA045C">
        <w:rPr>
          <w:rFonts w:ascii="Arial" w:hAnsi="Arial" w:cs="Arial"/>
          <w:sz w:val="24"/>
          <w:szCs w:val="24"/>
          <w:lang w:val="es-ES_tradnl"/>
        </w:rPr>
        <w:t>discriminación a la población LGBTI</w:t>
      </w:r>
      <w:r w:rsidRPr="00CA045C">
        <w:rPr>
          <w:rFonts w:ascii="Arial" w:hAnsi="Arial" w:cs="Arial"/>
          <w:sz w:val="24"/>
          <w:szCs w:val="24"/>
          <w:lang w:val="es-ES_tradnl"/>
        </w:rPr>
        <w:t xml:space="preserve"> en las calles tomadas por grupos marcados por un fanatismo religioso y conservador y legitimados por la posición de la presidenta</w:t>
      </w:r>
      <w:r w:rsidR="00F612FE" w:rsidRPr="00CA045C">
        <w:rPr>
          <w:rStyle w:val="FootnoteReference"/>
          <w:rFonts w:ascii="Arial" w:hAnsi="Arial" w:cs="Arial"/>
          <w:szCs w:val="18"/>
          <w:lang w:val="es-ES_tradnl"/>
        </w:rPr>
        <w:footnoteReference w:id="12"/>
      </w:r>
      <w:r w:rsidRPr="00CA045C">
        <w:rPr>
          <w:rFonts w:ascii="Arial" w:hAnsi="Arial" w:cs="Arial"/>
          <w:sz w:val="18"/>
          <w:szCs w:val="18"/>
          <w:lang w:val="es-ES_tradnl"/>
        </w:rPr>
        <w:t>.</w:t>
      </w:r>
      <w:r w:rsidRPr="00CA045C">
        <w:rPr>
          <w:rFonts w:ascii="Arial" w:hAnsi="Arial" w:cs="Arial"/>
          <w:sz w:val="24"/>
          <w:szCs w:val="24"/>
          <w:lang w:val="es-ES_tradnl"/>
        </w:rPr>
        <w:t xml:space="preserve"> </w:t>
      </w:r>
    </w:p>
    <w:p w14:paraId="23D4E73B" w14:textId="1D7A0A91" w:rsidR="006B45BE" w:rsidRPr="00CA045C" w:rsidRDefault="00462CCE"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L</w:t>
      </w:r>
      <w:r w:rsidR="00A84D62" w:rsidRPr="00CA045C">
        <w:rPr>
          <w:rFonts w:ascii="Arial" w:hAnsi="Arial" w:cs="Arial"/>
          <w:sz w:val="24"/>
          <w:szCs w:val="24"/>
          <w:lang w:val="es-ES_tradnl"/>
        </w:rPr>
        <w:t>uego de las pausas por los paros cívicos y la desestabilización política, el contexto se agravó aún más por la pandemia COVID19.</w:t>
      </w:r>
      <w:r w:rsidR="00A71A3D" w:rsidRPr="00CA045C">
        <w:rPr>
          <w:rStyle w:val="FootnoteReference"/>
          <w:rFonts w:ascii="Arial" w:hAnsi="Arial" w:cs="Arial"/>
          <w:szCs w:val="24"/>
          <w:lang w:val="es-ES_tradnl"/>
        </w:rPr>
        <w:footnoteReference w:id="13"/>
      </w:r>
      <w:r w:rsidR="00A84D62" w:rsidRPr="00CA045C">
        <w:rPr>
          <w:rFonts w:ascii="Arial" w:hAnsi="Arial" w:cs="Arial"/>
          <w:sz w:val="18"/>
          <w:szCs w:val="24"/>
          <w:lang w:val="es-ES_tradnl"/>
        </w:rPr>
        <w:t xml:space="preserve"> </w:t>
      </w:r>
      <w:r w:rsidR="00A84D62" w:rsidRPr="00CA045C">
        <w:rPr>
          <w:rFonts w:ascii="Arial" w:hAnsi="Arial" w:cs="Arial"/>
          <w:sz w:val="24"/>
          <w:szCs w:val="24"/>
          <w:lang w:val="es-ES_tradnl"/>
        </w:rPr>
        <w:t xml:space="preserve">Aquí es necesario resaltar que </w:t>
      </w:r>
      <w:r w:rsidR="00A71A3D" w:rsidRPr="00CA045C">
        <w:rPr>
          <w:rFonts w:ascii="Arial" w:hAnsi="Arial" w:cs="Arial"/>
          <w:sz w:val="24"/>
          <w:szCs w:val="24"/>
          <w:lang w:val="es-ES_tradnl"/>
        </w:rPr>
        <w:t xml:space="preserve">la población LGBI y en especial </w:t>
      </w:r>
      <w:r w:rsidR="00A84D62" w:rsidRPr="00CA045C">
        <w:rPr>
          <w:rFonts w:ascii="Arial" w:hAnsi="Arial" w:cs="Arial"/>
          <w:sz w:val="24"/>
          <w:szCs w:val="24"/>
          <w:lang w:val="es-ES_tradnl"/>
        </w:rPr>
        <w:t xml:space="preserve">las mujeres trans, tienen economías autogestionadas, en una gran mayoría, por lo que la cuarentena obligatoria ha afectado sus posibilidades de subsistencia. Frente a estas condiciones de precariedad y dificultades que han enfrentado </w:t>
      </w:r>
      <w:r w:rsidR="000D7CC5" w:rsidRPr="00CA045C">
        <w:rPr>
          <w:rFonts w:ascii="Arial" w:hAnsi="Arial" w:cs="Arial"/>
          <w:sz w:val="24"/>
          <w:szCs w:val="24"/>
          <w:lang w:val="es-ES_tradnl"/>
        </w:rPr>
        <w:t xml:space="preserve">las </w:t>
      </w:r>
      <w:r w:rsidR="00A71A3D" w:rsidRPr="00CA045C">
        <w:rPr>
          <w:rFonts w:ascii="Arial" w:hAnsi="Arial" w:cs="Arial"/>
          <w:sz w:val="24"/>
          <w:szCs w:val="24"/>
          <w:lang w:val="es-ES_tradnl"/>
        </w:rPr>
        <w:t>personas</w:t>
      </w:r>
      <w:r w:rsidR="00A84D62" w:rsidRPr="00CA045C">
        <w:rPr>
          <w:rFonts w:ascii="Arial" w:hAnsi="Arial" w:cs="Arial"/>
          <w:sz w:val="24"/>
          <w:szCs w:val="24"/>
          <w:lang w:val="es-ES_tradnl"/>
        </w:rPr>
        <w:t xml:space="preserve"> </w:t>
      </w:r>
      <w:r w:rsidRPr="00CA045C">
        <w:rPr>
          <w:rFonts w:ascii="Arial" w:hAnsi="Arial" w:cs="Arial"/>
          <w:sz w:val="24"/>
          <w:szCs w:val="24"/>
          <w:lang w:val="es-ES_tradnl"/>
        </w:rPr>
        <w:t>L</w:t>
      </w:r>
      <w:r w:rsidR="00A71A3D" w:rsidRPr="00CA045C">
        <w:rPr>
          <w:rFonts w:ascii="Arial" w:hAnsi="Arial" w:cs="Arial"/>
          <w:sz w:val="24"/>
          <w:szCs w:val="24"/>
          <w:lang w:val="es-ES_tradnl"/>
        </w:rPr>
        <w:t>G</w:t>
      </w:r>
      <w:r w:rsidRPr="00CA045C">
        <w:rPr>
          <w:rFonts w:ascii="Arial" w:hAnsi="Arial" w:cs="Arial"/>
          <w:sz w:val="24"/>
          <w:szCs w:val="24"/>
          <w:lang w:val="es-ES_tradnl"/>
        </w:rPr>
        <w:t>BT</w:t>
      </w:r>
      <w:r w:rsidR="00A71A3D" w:rsidRPr="00CA045C">
        <w:rPr>
          <w:rFonts w:ascii="Arial" w:hAnsi="Arial" w:cs="Arial"/>
          <w:sz w:val="24"/>
          <w:szCs w:val="24"/>
          <w:lang w:val="es-ES_tradnl"/>
        </w:rPr>
        <w:t>I</w:t>
      </w:r>
      <w:r w:rsidR="00A84D62" w:rsidRPr="00CA045C">
        <w:rPr>
          <w:rFonts w:ascii="Arial" w:hAnsi="Arial" w:cs="Arial"/>
          <w:sz w:val="24"/>
          <w:szCs w:val="24"/>
          <w:lang w:val="es-ES_tradnl"/>
        </w:rPr>
        <w:t xml:space="preserve">, las redes de solidaridad no han sido suficientes. Es fundamental tomar en cuenta que este contexto tan complejo ha afectado la vida de la sociedad boliviana en su conjunto, pero sin duda ha colocado en situación de mayor vulnerabilidad a </w:t>
      </w:r>
      <w:r w:rsidR="001F0D70" w:rsidRPr="00CA045C">
        <w:rPr>
          <w:rFonts w:ascii="Arial" w:hAnsi="Arial" w:cs="Arial"/>
          <w:sz w:val="24"/>
          <w:szCs w:val="24"/>
          <w:lang w:val="es-ES_tradnl"/>
        </w:rPr>
        <w:t>la población LGBTI</w:t>
      </w:r>
      <w:r w:rsidR="00A84D62" w:rsidRPr="00CA045C">
        <w:rPr>
          <w:rFonts w:ascii="Arial" w:hAnsi="Arial" w:cs="Arial"/>
          <w:sz w:val="24"/>
          <w:szCs w:val="24"/>
          <w:lang w:val="es-ES_tradnl"/>
        </w:rPr>
        <w:t xml:space="preserve">. </w:t>
      </w:r>
      <w:r w:rsidR="00A71A3D" w:rsidRPr="00CA045C">
        <w:rPr>
          <w:rFonts w:ascii="Arial" w:hAnsi="Arial" w:cs="Arial"/>
          <w:sz w:val="24"/>
          <w:szCs w:val="24"/>
          <w:lang w:val="es-ES_tradnl"/>
        </w:rPr>
        <w:t>Las personas LGBTI</w:t>
      </w:r>
      <w:r w:rsidR="00A84D62" w:rsidRPr="00CA045C">
        <w:rPr>
          <w:rFonts w:ascii="Arial" w:hAnsi="Arial" w:cs="Arial"/>
          <w:sz w:val="24"/>
          <w:szCs w:val="24"/>
          <w:lang w:val="es-ES_tradnl"/>
        </w:rPr>
        <w:t xml:space="preserve"> tienen un fuerte sentido de protección y contención en las organizaciones, y al haberse producido, en tan corto tiempo, dos eventos</w:t>
      </w:r>
      <w:r w:rsidR="00A71A3D" w:rsidRPr="00CA045C">
        <w:rPr>
          <w:rFonts w:ascii="Arial" w:hAnsi="Arial" w:cs="Arial"/>
          <w:sz w:val="24"/>
          <w:szCs w:val="24"/>
          <w:lang w:val="es-ES_tradnl"/>
        </w:rPr>
        <w:t xml:space="preserve"> (paralización luego de las elecciones y la pandemia)</w:t>
      </w:r>
      <w:r w:rsidR="00A84D62" w:rsidRPr="00CA045C">
        <w:rPr>
          <w:rFonts w:ascii="Arial" w:hAnsi="Arial" w:cs="Arial"/>
          <w:sz w:val="24"/>
          <w:szCs w:val="24"/>
          <w:lang w:val="es-ES_tradnl"/>
        </w:rPr>
        <w:t xml:space="preserve"> que han </w:t>
      </w:r>
      <w:r w:rsidR="00A84D62" w:rsidRPr="00CA045C">
        <w:rPr>
          <w:rFonts w:ascii="Arial" w:hAnsi="Arial" w:cs="Arial"/>
          <w:sz w:val="24"/>
          <w:szCs w:val="24"/>
          <w:lang w:val="es-ES_tradnl"/>
        </w:rPr>
        <w:lastRenderedPageBreak/>
        <w:t xml:space="preserve">impedido reuniones y encuentros para los afectos y complicidades, </w:t>
      </w:r>
      <w:r w:rsidR="007F6DED" w:rsidRPr="00CA045C">
        <w:rPr>
          <w:rFonts w:ascii="Arial" w:hAnsi="Arial" w:cs="Arial"/>
          <w:sz w:val="24"/>
          <w:szCs w:val="24"/>
          <w:lang w:val="es-ES_tradnl"/>
        </w:rPr>
        <w:t>han</w:t>
      </w:r>
      <w:r w:rsidR="00A84D62" w:rsidRPr="00CA045C">
        <w:rPr>
          <w:rFonts w:ascii="Arial" w:hAnsi="Arial" w:cs="Arial"/>
          <w:sz w:val="24"/>
          <w:szCs w:val="24"/>
          <w:lang w:val="es-ES_tradnl"/>
        </w:rPr>
        <w:t xml:space="preserve"> hecho que se resalte la importancia de este aspecto. Las organizaciones y vínculos colectivos son indispensables en la vida cotidiana de las </w:t>
      </w:r>
      <w:r w:rsidR="001F0D70" w:rsidRPr="00CA045C">
        <w:rPr>
          <w:rFonts w:ascii="Arial" w:hAnsi="Arial" w:cs="Arial"/>
          <w:sz w:val="24"/>
          <w:szCs w:val="24"/>
          <w:lang w:val="es-ES_tradnl"/>
        </w:rPr>
        <w:t>personas L</w:t>
      </w:r>
      <w:r w:rsidR="005A43A7">
        <w:rPr>
          <w:rFonts w:ascii="Arial" w:hAnsi="Arial" w:cs="Arial"/>
          <w:sz w:val="24"/>
          <w:szCs w:val="24"/>
          <w:lang w:val="es-ES_tradnl"/>
        </w:rPr>
        <w:t>G</w:t>
      </w:r>
      <w:r w:rsidR="001F0D70" w:rsidRPr="00CA045C">
        <w:rPr>
          <w:rFonts w:ascii="Arial" w:hAnsi="Arial" w:cs="Arial"/>
          <w:sz w:val="24"/>
          <w:szCs w:val="24"/>
          <w:lang w:val="es-ES_tradnl"/>
        </w:rPr>
        <w:t>BTI</w:t>
      </w:r>
      <w:r w:rsidR="00A84D62" w:rsidRPr="00CA045C">
        <w:rPr>
          <w:rFonts w:ascii="Arial" w:hAnsi="Arial" w:cs="Arial"/>
          <w:sz w:val="24"/>
          <w:szCs w:val="24"/>
          <w:lang w:val="es-ES_tradnl"/>
        </w:rPr>
        <w:t xml:space="preserve">. </w:t>
      </w:r>
    </w:p>
    <w:p w14:paraId="7A73BF4B" w14:textId="57CE49F0" w:rsidR="007F6DED" w:rsidRPr="00CA045C" w:rsidRDefault="007F6DED"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Una población que </w:t>
      </w:r>
      <w:r w:rsidR="00EB0716" w:rsidRPr="00CA045C">
        <w:rPr>
          <w:rFonts w:ascii="Arial" w:hAnsi="Arial" w:cs="Arial"/>
          <w:sz w:val="24"/>
          <w:szCs w:val="24"/>
          <w:lang w:val="es-ES_tradnl"/>
        </w:rPr>
        <w:t>logra visibilizarse</w:t>
      </w:r>
      <w:r w:rsidR="001F0D70" w:rsidRPr="00CA045C">
        <w:rPr>
          <w:rFonts w:ascii="Arial" w:hAnsi="Arial" w:cs="Arial"/>
          <w:sz w:val="24"/>
          <w:szCs w:val="24"/>
          <w:lang w:val="es-ES_tradnl"/>
        </w:rPr>
        <w:t xml:space="preserve"> de</w:t>
      </w:r>
      <w:r w:rsidRPr="00CA045C">
        <w:rPr>
          <w:rFonts w:ascii="Arial" w:hAnsi="Arial" w:cs="Arial"/>
          <w:sz w:val="24"/>
          <w:szCs w:val="24"/>
          <w:lang w:val="es-ES_tradnl"/>
        </w:rPr>
        <w:t xml:space="preserve"> manera importante en los últimos años es la compuesta por hombres trans que también han puesto en evidencia sus propias necesidades y vulnerabilidades que entre las más importantes son: la accesibilidad a un empleo digno y el derecho a la identidad que también se ve afectada por la Resolución Constitucional Plurinacional 0076/2017. </w:t>
      </w:r>
    </w:p>
    <w:p w14:paraId="1C50F39C" w14:textId="79C548D5" w:rsidR="00B42E14" w:rsidRPr="00CA045C" w:rsidRDefault="008832F5"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La violencia contra las mujeres es una de las causas que más moviliza y genera consenso de lucha entre </w:t>
      </w:r>
      <w:r w:rsidR="001F0D70" w:rsidRPr="00CA045C">
        <w:rPr>
          <w:rFonts w:ascii="Arial" w:hAnsi="Arial" w:cs="Arial"/>
          <w:sz w:val="24"/>
          <w:szCs w:val="24"/>
          <w:lang w:val="es-ES_tradnl"/>
        </w:rPr>
        <w:t xml:space="preserve">las </w:t>
      </w:r>
      <w:r w:rsidRPr="00CA045C">
        <w:rPr>
          <w:rFonts w:ascii="Arial" w:hAnsi="Arial" w:cs="Arial"/>
          <w:sz w:val="24"/>
          <w:szCs w:val="24"/>
          <w:lang w:val="es-ES_tradnl"/>
        </w:rPr>
        <w:t xml:space="preserve">mujeres, a nivel organizacional y también desde lo personal, para encontrarse e intercambiar experiencias y las discriminaciones que viven con otras mujeres. </w:t>
      </w:r>
      <w:r w:rsidR="00B42E14" w:rsidRPr="00CA045C">
        <w:rPr>
          <w:rFonts w:ascii="Arial" w:hAnsi="Arial" w:cs="Arial"/>
          <w:sz w:val="24"/>
          <w:szCs w:val="24"/>
          <w:lang w:val="es-ES_tradnl"/>
        </w:rPr>
        <w:t>De acuerdo a la Defensoría del Pueblo, en el periodo 2006 a 2016 se registraron 64 asesinatos de personas LGBTI en Bolivia; de ellos sólo 14 llegaron a un proceso de investigación y ninguno obtuvo sentencia, sin mencionar los casos de discriminación y violencia no denunciados o abandonados por temor a represalias</w:t>
      </w:r>
      <w:r w:rsidR="00B42E14" w:rsidRPr="00CA045C">
        <w:rPr>
          <w:rStyle w:val="FootnoteReference"/>
          <w:rFonts w:ascii="Arial" w:hAnsi="Arial" w:cs="Arial"/>
          <w:sz w:val="24"/>
          <w:szCs w:val="24"/>
          <w:lang w:val="es-ES_tradnl"/>
        </w:rPr>
        <w:footnoteReference w:id="14"/>
      </w:r>
      <w:r w:rsidR="00B42E14" w:rsidRPr="00CA045C">
        <w:rPr>
          <w:rFonts w:ascii="Arial" w:hAnsi="Arial" w:cs="Arial"/>
          <w:sz w:val="24"/>
          <w:szCs w:val="24"/>
          <w:lang w:val="es-ES_tradnl"/>
        </w:rPr>
        <w:t>, o aquellos que no son aceptados para su investigación. El “Informe Anual sobre los derechos humanos de la población LGBTI en el Estado Plurinacional de Bolivia 2015”, da cuenta que el 93% de personas entrevistadas afirma haber sido discriminadas por operadoras/es de justicia, el 75% considera que la Policía y los Jueces son los que violan sus derechos humanos y el 89% no confía en las instituciones públicas para denunciar la vulneración de sus derechos</w:t>
      </w:r>
      <w:r w:rsidR="00B42E14" w:rsidRPr="00CA045C">
        <w:rPr>
          <w:rStyle w:val="FootnoteReference"/>
          <w:rFonts w:ascii="Arial" w:hAnsi="Arial" w:cs="Arial"/>
          <w:sz w:val="24"/>
          <w:szCs w:val="24"/>
          <w:lang w:val="es-ES_tradnl"/>
        </w:rPr>
        <w:footnoteReference w:id="15"/>
      </w:r>
      <w:r w:rsidR="00B42E14" w:rsidRPr="00CA045C">
        <w:rPr>
          <w:rFonts w:ascii="Arial" w:hAnsi="Arial" w:cs="Arial"/>
          <w:sz w:val="24"/>
          <w:szCs w:val="24"/>
          <w:lang w:val="es-ES_tradnl"/>
        </w:rPr>
        <w:t>.</w:t>
      </w:r>
      <w:r w:rsidR="005F2D32" w:rsidRPr="00CA045C">
        <w:rPr>
          <w:rFonts w:ascii="Arial" w:hAnsi="Arial" w:cs="Arial"/>
          <w:sz w:val="24"/>
          <w:szCs w:val="24"/>
          <w:lang w:val="es-ES_tradnl"/>
        </w:rPr>
        <w:t xml:space="preserve"> </w:t>
      </w:r>
    </w:p>
    <w:p w14:paraId="15B8F623" w14:textId="7CFCD32F" w:rsidR="001B07AE" w:rsidRPr="00CA045C" w:rsidRDefault="001B07AE"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Históricamente, uno de los mayores hostigadores de la población LGBTI, ha sido y sigue siendo la policía.</w:t>
      </w:r>
      <w:r w:rsidR="00A3580B" w:rsidRPr="00CA045C">
        <w:rPr>
          <w:rFonts w:ascii="Arial" w:hAnsi="Arial" w:cs="Arial"/>
          <w:sz w:val="24"/>
          <w:szCs w:val="24"/>
          <w:lang w:val="es-ES_tradnl"/>
        </w:rPr>
        <w:t xml:space="preserve"> </w:t>
      </w:r>
      <w:r w:rsidRPr="00CA045C">
        <w:rPr>
          <w:rFonts w:ascii="Arial" w:hAnsi="Arial" w:cs="Arial"/>
          <w:sz w:val="24"/>
          <w:szCs w:val="24"/>
          <w:lang w:val="es-ES_tradnl"/>
        </w:rPr>
        <w:t>Esta afirmación se evidencia con las extorsiones y los maltratos físicos de forma individual, que en algunos casos se han naturalizado y por ende el ejercicio de los derechos queda postergado.</w:t>
      </w:r>
      <w:r w:rsidR="00A3580B" w:rsidRPr="00CA045C">
        <w:rPr>
          <w:rFonts w:ascii="Arial" w:hAnsi="Arial" w:cs="Arial"/>
          <w:sz w:val="24"/>
          <w:szCs w:val="24"/>
          <w:lang w:val="es-ES_tradnl"/>
        </w:rPr>
        <w:t xml:space="preserve"> </w:t>
      </w:r>
      <w:r w:rsidRPr="00CA045C">
        <w:rPr>
          <w:rFonts w:ascii="Arial" w:hAnsi="Arial" w:cs="Arial"/>
          <w:sz w:val="24"/>
          <w:szCs w:val="24"/>
          <w:lang w:val="es-ES_tradnl"/>
        </w:rPr>
        <w:t xml:space="preserve">En el caso específico de las mujeres trans, que en su mayoría </w:t>
      </w:r>
      <w:r w:rsidR="00A3580B" w:rsidRPr="00CA045C">
        <w:rPr>
          <w:rFonts w:ascii="Arial" w:hAnsi="Arial" w:cs="Arial"/>
          <w:sz w:val="24"/>
          <w:szCs w:val="24"/>
          <w:lang w:val="es-ES_tradnl"/>
        </w:rPr>
        <w:t>ejercen el trabajo sexual</w:t>
      </w:r>
      <w:r w:rsidRPr="00CA045C">
        <w:rPr>
          <w:rFonts w:ascii="Arial" w:hAnsi="Arial" w:cs="Arial"/>
          <w:sz w:val="24"/>
          <w:szCs w:val="24"/>
          <w:lang w:val="es-ES_tradnl"/>
        </w:rPr>
        <w:t>, son vulnerables a delitos como: violencia sexual, económica, física y psicológica. La exclusión en la Policía y en las fuerzas armadas que están aferrados a sus reglamentos internos de por sí es discriminatorio para la población LGBTI, llegando a hostigamientos o a ser dados de baja por sus actitudes homoeróticas.</w:t>
      </w:r>
      <w:r w:rsidR="00F35571" w:rsidRPr="00CA045C">
        <w:rPr>
          <w:rFonts w:ascii="Arial" w:hAnsi="Arial" w:cs="Arial"/>
          <w:sz w:val="24"/>
          <w:szCs w:val="24"/>
          <w:lang w:val="es-ES_tradnl"/>
        </w:rPr>
        <w:t xml:space="preserve"> </w:t>
      </w:r>
      <w:r w:rsidRPr="00CA045C">
        <w:rPr>
          <w:rFonts w:ascii="Arial" w:hAnsi="Arial" w:cs="Arial"/>
          <w:sz w:val="24"/>
          <w:szCs w:val="24"/>
          <w:lang w:val="es-ES_tradnl"/>
        </w:rPr>
        <w:t>Otra forma de discriminación es expresada por la violencia social ejercida por las instituciones estatales, la sociedad y la Iglesia, ya que ejercen fuerte violencia física y psicológica a las personas LGBTI.</w:t>
      </w:r>
    </w:p>
    <w:p w14:paraId="14E6DB85" w14:textId="044B3C4F" w:rsidR="00D56C55" w:rsidRPr="00CA045C" w:rsidRDefault="00D56C55"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Recomendaciones:</w:t>
      </w:r>
    </w:p>
    <w:p w14:paraId="77803ECD" w14:textId="77777777" w:rsidR="00D56C55" w:rsidRPr="00CA045C" w:rsidRDefault="00D56C55"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 xml:space="preserve">El Estado Plurinacional de Bolivia debería: </w:t>
      </w:r>
    </w:p>
    <w:p w14:paraId="396514E4" w14:textId="633939C8" w:rsidR="00D56C55" w:rsidRPr="00CA045C" w:rsidRDefault="00F35571" w:rsidP="004C4164">
      <w:pPr>
        <w:pStyle w:val="NoSpacing"/>
        <w:numPr>
          <w:ilvl w:val="0"/>
          <w:numId w:val="3"/>
        </w:numPr>
        <w:spacing w:line="480" w:lineRule="auto"/>
        <w:ind w:left="0" w:firstLine="0"/>
        <w:jc w:val="both"/>
        <w:rPr>
          <w:rFonts w:ascii="Arial" w:hAnsi="Arial" w:cs="Arial"/>
          <w:bCs/>
          <w:sz w:val="24"/>
          <w:szCs w:val="24"/>
          <w:lang w:val="es-ES_tradnl"/>
        </w:rPr>
      </w:pPr>
      <w:r w:rsidRPr="00CA045C">
        <w:rPr>
          <w:rFonts w:ascii="Arial" w:hAnsi="Arial" w:cs="Arial"/>
          <w:bCs/>
          <w:sz w:val="24"/>
          <w:szCs w:val="24"/>
          <w:lang w:val="es-ES_tradnl"/>
        </w:rPr>
        <w:t>Implementar políticas y legislación específica sobre los derechos de la población LGBTI basada</w:t>
      </w:r>
      <w:r w:rsidR="00B72C8F" w:rsidRPr="00CA045C">
        <w:rPr>
          <w:rFonts w:ascii="Arial" w:hAnsi="Arial" w:cs="Arial"/>
          <w:bCs/>
          <w:sz w:val="24"/>
          <w:szCs w:val="24"/>
          <w:lang w:val="es-ES_tradnl"/>
        </w:rPr>
        <w:t xml:space="preserve">s en estándares internacionales, </w:t>
      </w:r>
      <w:r w:rsidRPr="00CA045C">
        <w:rPr>
          <w:rFonts w:ascii="Arial" w:hAnsi="Arial" w:cs="Arial"/>
          <w:bCs/>
          <w:sz w:val="24"/>
          <w:szCs w:val="24"/>
          <w:lang w:val="es-ES_tradnl"/>
        </w:rPr>
        <w:t>además que evidencien claramente la protección reforzada por tratarse de una población en situación de vulnerabilidad y eliminar las trabas legales para el ejercicio de sus derechos en igualdad de condiciones en el sistema judicial así como capacitar a las y los servidores de justicia y policía en el los derechos de la población LGBTI y en su deber de brindarles tutela.</w:t>
      </w:r>
    </w:p>
    <w:p w14:paraId="1F1056F1" w14:textId="30B074FF" w:rsidR="00F35571" w:rsidRPr="00CA045C" w:rsidRDefault="00C41F94" w:rsidP="004C4164">
      <w:pPr>
        <w:pStyle w:val="NoSpacing"/>
        <w:numPr>
          <w:ilvl w:val="0"/>
          <w:numId w:val="3"/>
        </w:numPr>
        <w:spacing w:line="480" w:lineRule="auto"/>
        <w:ind w:left="0" w:firstLine="0"/>
        <w:jc w:val="both"/>
        <w:rPr>
          <w:rFonts w:ascii="Arial" w:hAnsi="Arial" w:cs="Arial"/>
          <w:bCs/>
          <w:sz w:val="24"/>
          <w:szCs w:val="24"/>
          <w:lang w:val="es-ES_tradnl"/>
        </w:rPr>
      </w:pPr>
      <w:r w:rsidRPr="00CA045C">
        <w:rPr>
          <w:rFonts w:ascii="Arial" w:hAnsi="Arial" w:cs="Arial"/>
          <w:bCs/>
          <w:sz w:val="24"/>
          <w:szCs w:val="24"/>
          <w:lang w:val="es-ES_tradnl"/>
        </w:rPr>
        <w:t>Aprobar la l</w:t>
      </w:r>
      <w:r w:rsidR="007C22DB" w:rsidRPr="00CA045C">
        <w:rPr>
          <w:rFonts w:ascii="Arial" w:hAnsi="Arial" w:cs="Arial"/>
          <w:bCs/>
          <w:sz w:val="24"/>
          <w:szCs w:val="24"/>
          <w:lang w:val="es-ES_tradnl"/>
        </w:rPr>
        <w:t>ey específica sobre crímenes de odio contra la población LGBTI, que incluya las tipificaciones de agravante en los delitos contra la vida y la integridad.</w:t>
      </w:r>
    </w:p>
    <w:p w14:paraId="7C44D8B5" w14:textId="77777777" w:rsidR="00C41F94" w:rsidRPr="00CA045C" w:rsidRDefault="007C22DB" w:rsidP="004C4164">
      <w:pPr>
        <w:pStyle w:val="NoSpacing"/>
        <w:numPr>
          <w:ilvl w:val="0"/>
          <w:numId w:val="3"/>
        </w:numPr>
        <w:spacing w:line="480" w:lineRule="auto"/>
        <w:ind w:left="0" w:firstLine="0"/>
        <w:jc w:val="both"/>
        <w:rPr>
          <w:rFonts w:ascii="Arial" w:hAnsi="Arial" w:cs="Arial"/>
          <w:bCs/>
          <w:sz w:val="24"/>
          <w:szCs w:val="24"/>
          <w:lang w:val="es-ES_tradnl"/>
        </w:rPr>
      </w:pPr>
      <w:r w:rsidRPr="00CA045C">
        <w:rPr>
          <w:rFonts w:ascii="Arial" w:hAnsi="Arial" w:cs="Arial"/>
          <w:bCs/>
          <w:sz w:val="24"/>
          <w:szCs w:val="24"/>
          <w:lang w:val="es-ES_tradnl"/>
        </w:rPr>
        <w:t>Implementar un protocolo de actuaciones para la Policía, Fiscalía y operadores de Justicia que incluya capacitación y sensibilización a las y los funcionarios públicos encargados de la promoción, investigación y sanción de delitos, sobre los derechos de la población LGBTI, de manera que los procesos lleguen hasta la sentencia, cumpliendo con el procedimiento de forma adecuada y en tiempo oportuno.</w:t>
      </w:r>
    </w:p>
    <w:p w14:paraId="291C4CA9" w14:textId="7A5DD9E4" w:rsidR="00C41F94" w:rsidRPr="00CA045C" w:rsidRDefault="00C41F94" w:rsidP="004C4164">
      <w:pPr>
        <w:pStyle w:val="NoSpacing"/>
        <w:numPr>
          <w:ilvl w:val="0"/>
          <w:numId w:val="3"/>
        </w:numPr>
        <w:spacing w:line="480" w:lineRule="auto"/>
        <w:ind w:left="0" w:firstLine="0"/>
        <w:jc w:val="both"/>
        <w:rPr>
          <w:rFonts w:ascii="Arial" w:hAnsi="Arial" w:cs="Arial"/>
          <w:bCs/>
          <w:sz w:val="24"/>
          <w:szCs w:val="24"/>
          <w:lang w:val="es-ES_tradnl"/>
        </w:rPr>
      </w:pPr>
      <w:r w:rsidRPr="00CA045C">
        <w:rPr>
          <w:rFonts w:ascii="Arial" w:hAnsi="Arial" w:cs="Arial"/>
          <w:bCs/>
          <w:sz w:val="24"/>
          <w:szCs w:val="24"/>
          <w:lang w:val="es-ES_tradnl"/>
        </w:rPr>
        <w:t>Aprobar</w:t>
      </w:r>
      <w:r w:rsidR="007C22DB" w:rsidRPr="00CA045C">
        <w:rPr>
          <w:rFonts w:ascii="Arial" w:hAnsi="Arial" w:cs="Arial"/>
          <w:bCs/>
          <w:sz w:val="24"/>
          <w:szCs w:val="24"/>
          <w:lang w:val="es-ES_tradnl"/>
        </w:rPr>
        <w:t xml:space="preserve"> normas complementarias a la Ley de Identidad de Género, que establezcan el reconocimiento y respeto de la identidad de género asumida por niñas, niños y adolescentes transexuales y transgénero, considerando que la norma citada establece que sólo las personas mayores de edad pueden cambiar su nombre, dato del sexo e imagen y su implementación en los órganos competentes.</w:t>
      </w:r>
    </w:p>
    <w:p w14:paraId="7D7D0978" w14:textId="7D483747" w:rsidR="00DA656D" w:rsidRPr="00CA045C" w:rsidRDefault="00DA656D" w:rsidP="00DA656D">
      <w:pPr>
        <w:pStyle w:val="NoSpacing"/>
        <w:numPr>
          <w:ilvl w:val="0"/>
          <w:numId w:val="3"/>
        </w:numPr>
        <w:spacing w:line="480" w:lineRule="auto"/>
        <w:ind w:left="0" w:firstLine="0"/>
        <w:jc w:val="both"/>
        <w:rPr>
          <w:rFonts w:ascii="Arial" w:hAnsi="Arial" w:cs="Arial"/>
          <w:bCs/>
          <w:sz w:val="24"/>
          <w:szCs w:val="24"/>
          <w:lang w:val="es-ES_tradnl"/>
        </w:rPr>
      </w:pPr>
      <w:r w:rsidRPr="00CA045C">
        <w:rPr>
          <w:rFonts w:ascii="Arial" w:hAnsi="Arial" w:cs="Arial"/>
          <w:sz w:val="24"/>
          <w:szCs w:val="24"/>
          <w:lang w:val="es-ES_tradnl"/>
        </w:rPr>
        <w:t>Elaborar y promulgar un Decreto Supremo de modificación y complementación al Reglamento de la Ley Integral para Garantizar a las Mujeres una vida libre de violencia, con el fin que las personas LGBTI, en especial mujeres lesbianas, bisexuales y trans, puedan acceder a las garantías, medidas de prevención y protección, derechos, tipificaciones determinadas en estas normativas.</w:t>
      </w:r>
    </w:p>
    <w:p w14:paraId="4D1958B3" w14:textId="0260D70D" w:rsidR="006B45BE" w:rsidRPr="00CA045C" w:rsidRDefault="00B61989"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Derecho a trabajar (art. 6)</w:t>
      </w:r>
    </w:p>
    <w:p w14:paraId="3F18630A" w14:textId="56E4C16D" w:rsidR="00290709" w:rsidRPr="004C4164" w:rsidRDefault="00290709" w:rsidP="004C4164">
      <w:pPr>
        <w:pStyle w:val="ListParagraph"/>
        <w:numPr>
          <w:ilvl w:val="0"/>
          <w:numId w:val="3"/>
        </w:numPr>
        <w:spacing w:line="480" w:lineRule="auto"/>
        <w:ind w:left="0" w:firstLine="0"/>
        <w:jc w:val="both"/>
        <w:rPr>
          <w:rFonts w:ascii="Arial" w:hAnsi="Arial" w:cs="Arial"/>
          <w:lang w:val="es-ES_tradnl"/>
        </w:rPr>
      </w:pPr>
      <w:r w:rsidRPr="004C4164">
        <w:rPr>
          <w:rFonts w:ascii="Arial" w:hAnsi="Arial" w:cs="Arial"/>
          <w:lang w:val="es-ES_tradnl"/>
        </w:rPr>
        <w:t xml:space="preserve">El año 2016, </w:t>
      </w:r>
      <w:r w:rsidR="00670340" w:rsidRPr="004C4164">
        <w:rPr>
          <w:rFonts w:ascii="Arial" w:hAnsi="Arial" w:cs="Arial"/>
          <w:lang w:val="es-ES_tradnl"/>
        </w:rPr>
        <w:t xml:space="preserve">una encuesta realizada por la ONG Capacitación y Derechos Ciudadanos (CDC), </w:t>
      </w:r>
      <w:r w:rsidRPr="004C4164">
        <w:rPr>
          <w:rFonts w:ascii="Arial" w:hAnsi="Arial" w:cs="Arial"/>
          <w:lang w:val="es-ES_tradnl"/>
        </w:rPr>
        <w:t>indagó sobre los derechos laborales de la población LGTBI</w:t>
      </w:r>
      <w:r w:rsidRPr="00CA045C">
        <w:rPr>
          <w:rStyle w:val="FootnoteReference"/>
          <w:rFonts w:ascii="Arial" w:hAnsi="Arial" w:cs="Arial"/>
          <w:sz w:val="24"/>
          <w:lang w:val="es-ES_tradnl"/>
        </w:rPr>
        <w:footnoteReference w:id="16"/>
      </w:r>
      <w:r w:rsidRPr="004C4164">
        <w:rPr>
          <w:rFonts w:ascii="Arial" w:hAnsi="Arial" w:cs="Arial"/>
          <w:lang w:val="es-ES_tradnl"/>
        </w:rPr>
        <w:t xml:space="preserve">, reportándose que, 73% de los encuestados no es abierto sobre su identidad de género en su fuente laboral, 65% cree que es importante que sus compañeros/as de trabajo conozcan su orientación sexual e identidad de género, 59% alguna vez fue discriminado, acosado e intimidado en su trabajo, 53% fue despedido por su orientación sexual, 80% no hizo denuncia por temor a ser despedido, y 90% considera que sus compañeros/as de trabajo deben estar informados sobre sus derechos. </w:t>
      </w:r>
      <w:r w:rsidR="00670340" w:rsidRPr="004C4164">
        <w:rPr>
          <w:rFonts w:ascii="Arial" w:hAnsi="Arial" w:cs="Arial"/>
          <w:lang w:val="es-ES_tradnl"/>
        </w:rPr>
        <w:t xml:space="preserve">De igual manera, </w:t>
      </w:r>
      <w:r w:rsidR="00F35571" w:rsidRPr="004C4164">
        <w:rPr>
          <w:rFonts w:ascii="Arial" w:hAnsi="Arial" w:cs="Arial"/>
          <w:lang w:val="es-ES_tradnl"/>
        </w:rPr>
        <w:t>el 67% de la población entrevistada indicó que hacer conocer su orientación sexual e identidad de género causaba prejuicios y un 63% afirmó que en su lugar de trabajo no existen políticas inclusivas para la población LGBTI. Por su parte, en el relevamiento de información sobre la percepción de las empresas sobre políticas favorables a los derechos laborales de las personas LGBTI, el 58% afirmó que las empresas sí contaban con políticas inclusivas, 25% que no cuentan con normas sobre no discriminación de esta población y 33% que no existen prácticas de monitoreo de cumplimiento. Los prejuicios y estereotipos imperantes en la sociedad boliviana inciden en las limitaciones en el acceso a empleos justos y dignos a la población LGBTI, de acuerdo al “Diagnóstico de la sit</w:t>
      </w:r>
      <w:r w:rsidR="00DA656D" w:rsidRPr="00CA045C">
        <w:rPr>
          <w:rFonts w:ascii="Arial" w:hAnsi="Arial" w:cs="Arial"/>
          <w:lang w:val="es-ES_tradnl"/>
        </w:rPr>
        <w:t>uación de las poblaciones TLGB” (</w:t>
      </w:r>
      <w:r w:rsidR="00F35571" w:rsidRPr="004C4164">
        <w:rPr>
          <w:rFonts w:ascii="Arial" w:hAnsi="Arial" w:cs="Arial"/>
          <w:lang w:val="es-ES_tradnl"/>
        </w:rPr>
        <w:t>2018</w:t>
      </w:r>
      <w:r w:rsidR="00DA656D" w:rsidRPr="00CA045C">
        <w:rPr>
          <w:rFonts w:ascii="Arial" w:hAnsi="Arial" w:cs="Arial"/>
          <w:lang w:val="es-ES_tradnl"/>
        </w:rPr>
        <w:t>)</w:t>
      </w:r>
      <w:r w:rsidR="00F35571" w:rsidRPr="004C4164">
        <w:rPr>
          <w:rFonts w:ascii="Arial" w:hAnsi="Arial" w:cs="Arial"/>
          <w:lang w:val="es-ES_tradnl"/>
        </w:rPr>
        <w:t xml:space="preserve"> , el 28% de las personas encuestadas reportan haber tenido dificultades para encontrar trabajo debido a su identidad de género u orientación sexual, otro 39% declara haber tenido que esconder su orientación sexual o su identidad de género debido al miedo a la discriminación. Al interior de los espacios laborales, el 23% de personas encuestadas señaló haber sufrido algún tipo de discriminación o violencia por parte de sus compañeras o compañeros de trabajo.</w:t>
      </w:r>
    </w:p>
    <w:p w14:paraId="01EAE548" w14:textId="0F329621" w:rsidR="00DD3AED" w:rsidRPr="00CA045C" w:rsidRDefault="000B29BA"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La</w:t>
      </w:r>
      <w:r w:rsidR="00DD3AED" w:rsidRPr="00CA045C">
        <w:rPr>
          <w:rFonts w:ascii="Arial" w:hAnsi="Arial" w:cs="Arial"/>
          <w:sz w:val="24"/>
          <w:szCs w:val="24"/>
          <w:lang w:val="es-ES_tradnl"/>
        </w:rPr>
        <w:t xml:space="preserve"> situación de vulnerablidad </w:t>
      </w:r>
      <w:r w:rsidRPr="00CA045C">
        <w:rPr>
          <w:rFonts w:ascii="Arial" w:hAnsi="Arial" w:cs="Arial"/>
          <w:sz w:val="24"/>
          <w:szCs w:val="24"/>
          <w:lang w:val="es-ES_tradnl"/>
        </w:rPr>
        <w:t>de las personas LGTBI en el ámbito laboral es complej</w:t>
      </w:r>
      <w:r w:rsidR="00DA656D" w:rsidRPr="00CA045C">
        <w:rPr>
          <w:rFonts w:ascii="Arial" w:hAnsi="Arial" w:cs="Arial"/>
          <w:sz w:val="24"/>
          <w:szCs w:val="24"/>
          <w:lang w:val="es-ES_tradnl"/>
        </w:rPr>
        <w:t>a</w:t>
      </w:r>
      <w:r w:rsidRPr="00CA045C">
        <w:rPr>
          <w:rFonts w:ascii="Arial" w:hAnsi="Arial" w:cs="Arial"/>
          <w:sz w:val="24"/>
          <w:szCs w:val="24"/>
          <w:lang w:val="es-ES_tradnl"/>
        </w:rPr>
        <w:t xml:space="preserve"> </w:t>
      </w:r>
      <w:r w:rsidR="00DD3AED" w:rsidRPr="00CA045C">
        <w:rPr>
          <w:rFonts w:ascii="Arial" w:hAnsi="Arial" w:cs="Arial"/>
          <w:sz w:val="24"/>
          <w:szCs w:val="24"/>
          <w:lang w:val="es-ES_tradnl"/>
        </w:rPr>
        <w:t xml:space="preserve">porque si se descubre su orientación sexual o por el simple hecho de expresar su </w:t>
      </w:r>
      <w:r w:rsidRPr="00CA045C">
        <w:rPr>
          <w:rFonts w:ascii="Arial" w:hAnsi="Arial" w:cs="Arial"/>
          <w:sz w:val="24"/>
          <w:szCs w:val="24"/>
          <w:lang w:val="es-ES_tradnl"/>
        </w:rPr>
        <w:t>expresión de género</w:t>
      </w:r>
      <w:r w:rsidR="00DD3AED" w:rsidRPr="00CA045C">
        <w:rPr>
          <w:rFonts w:ascii="Arial" w:hAnsi="Arial" w:cs="Arial"/>
          <w:sz w:val="24"/>
          <w:szCs w:val="24"/>
          <w:lang w:val="es-ES_tradnl"/>
        </w:rPr>
        <w:t xml:space="preserve"> es suficiente para ser sujeto de agresiones físicas, psicológicas y en muchos casos sexuales por parte de empleadores o el entorno laboral, también estas discriminaciones se reflejan en el impedimento de ascensos laborales o hasta la decisión de despido anteponiendo la orientación sexual e identidad de género a la capacidad profesional que tiene la persona.</w:t>
      </w:r>
      <w:r w:rsidRPr="00CA045C">
        <w:rPr>
          <w:rFonts w:ascii="Arial" w:hAnsi="Arial" w:cs="Arial"/>
          <w:sz w:val="24"/>
          <w:szCs w:val="24"/>
          <w:lang w:val="es-ES_tradnl"/>
        </w:rPr>
        <w:t xml:space="preserve"> </w:t>
      </w:r>
      <w:r w:rsidR="00DD3AED" w:rsidRPr="00CA045C">
        <w:rPr>
          <w:rFonts w:ascii="Arial" w:hAnsi="Arial" w:cs="Arial"/>
          <w:sz w:val="24"/>
          <w:szCs w:val="24"/>
          <w:lang w:val="es-ES_tradnl"/>
        </w:rPr>
        <w:t xml:space="preserve">Si bien existe la Ley contra </w:t>
      </w:r>
      <w:r w:rsidR="00AA0322" w:rsidRPr="00CA045C">
        <w:rPr>
          <w:rFonts w:ascii="Arial" w:hAnsi="Arial" w:cs="Arial"/>
          <w:sz w:val="24"/>
          <w:szCs w:val="24"/>
          <w:lang w:val="es-ES_tradnl"/>
        </w:rPr>
        <w:t>el racismo y toda forma de discriminación</w:t>
      </w:r>
      <w:r w:rsidR="00AA0322" w:rsidRPr="00CA045C">
        <w:rPr>
          <w:rStyle w:val="FootnoteReference"/>
          <w:rFonts w:ascii="Arial" w:hAnsi="Arial" w:cs="Arial"/>
          <w:sz w:val="24"/>
          <w:szCs w:val="24"/>
          <w:lang w:val="es-ES_tradnl"/>
        </w:rPr>
        <w:footnoteReference w:id="17"/>
      </w:r>
      <w:r w:rsidR="00AA0322" w:rsidRPr="00CA045C">
        <w:rPr>
          <w:rFonts w:ascii="Arial" w:hAnsi="Arial" w:cs="Arial"/>
          <w:sz w:val="24"/>
          <w:szCs w:val="24"/>
          <w:lang w:val="es-ES_tradnl"/>
        </w:rPr>
        <w:t xml:space="preserve">, que defiende a cualquier persona que sufra discriminación, las personas LGBTI demandantes por el miedo al descubrimiento de su orientación sexual e identidad de género, dejan de lado o aíslan el caso, postergando el ejercicio de este derecho. </w:t>
      </w:r>
    </w:p>
    <w:p w14:paraId="47BC05EF" w14:textId="77777777" w:rsidR="00794D6A" w:rsidRPr="00CA045C" w:rsidRDefault="00794D6A"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Recomendaciones:</w:t>
      </w:r>
    </w:p>
    <w:p w14:paraId="10AEEDF6" w14:textId="77777777" w:rsidR="00794D6A" w:rsidRPr="00CA045C" w:rsidRDefault="00794D6A"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 xml:space="preserve">El Estado Plurinacional de Bolivia debería: </w:t>
      </w:r>
    </w:p>
    <w:p w14:paraId="5F644224" w14:textId="77777777" w:rsidR="002E246B" w:rsidRPr="00CA045C" w:rsidRDefault="00381B61" w:rsidP="004C4164">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Implementar políticas de acción afirmativa para el acceso a fuentes </w:t>
      </w:r>
      <w:r w:rsidR="00A63A38" w:rsidRPr="00CA045C">
        <w:rPr>
          <w:rFonts w:ascii="Arial" w:hAnsi="Arial" w:cs="Arial"/>
          <w:sz w:val="24"/>
          <w:szCs w:val="24"/>
          <w:lang w:val="es-ES_tradnl"/>
        </w:rPr>
        <w:t>laborales de la población LGBTI, que incluyan la regulación específica en los reglamentos internos e incluir a la población LGBTI en la normativa laboral</w:t>
      </w:r>
      <w:r w:rsidR="002E246B" w:rsidRPr="00CA045C">
        <w:rPr>
          <w:rFonts w:ascii="Arial" w:hAnsi="Arial" w:cs="Arial"/>
          <w:sz w:val="24"/>
          <w:szCs w:val="24"/>
          <w:lang w:val="es-ES_tradnl"/>
        </w:rPr>
        <w:t>.</w:t>
      </w:r>
    </w:p>
    <w:p w14:paraId="69BDFB8B" w14:textId="008F268E" w:rsidR="002E246B" w:rsidRPr="00CA045C" w:rsidRDefault="002E246B" w:rsidP="004C4164">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C</w:t>
      </w:r>
      <w:r w:rsidR="00A63A38" w:rsidRPr="00CA045C">
        <w:rPr>
          <w:rFonts w:ascii="Arial" w:hAnsi="Arial" w:cs="Arial"/>
          <w:sz w:val="24"/>
          <w:szCs w:val="24"/>
          <w:lang w:val="es-ES_tradnl"/>
        </w:rPr>
        <w:t xml:space="preserve">rear </w:t>
      </w:r>
      <w:r w:rsidRPr="00CA045C">
        <w:rPr>
          <w:rFonts w:ascii="Arial" w:hAnsi="Arial" w:cs="Arial"/>
          <w:sz w:val="24"/>
          <w:szCs w:val="24"/>
          <w:lang w:val="es-ES_tradnl"/>
        </w:rPr>
        <w:t>un</w:t>
      </w:r>
      <w:r w:rsidR="00A63A38" w:rsidRPr="00CA045C">
        <w:rPr>
          <w:rFonts w:ascii="Arial" w:hAnsi="Arial" w:cs="Arial"/>
          <w:sz w:val="24"/>
          <w:szCs w:val="24"/>
          <w:lang w:val="es-ES_tradnl"/>
        </w:rPr>
        <w:t xml:space="preserve">a Dirección Nacional que trabaje por la inclusión de la población LBGTI a fuentes laborales, además desarrollar procesos de capacitación y sensibilización en entidades públicas y privadas sobre el derecho al trabajo de la población LGBTI. </w:t>
      </w:r>
    </w:p>
    <w:p w14:paraId="1F93FBE4" w14:textId="1679B7D5" w:rsidR="00A63A38" w:rsidRPr="00CA045C" w:rsidRDefault="00A63A38" w:rsidP="004C4164">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Implementar salvaguardas </w:t>
      </w:r>
      <w:r w:rsidR="002E246B" w:rsidRPr="00CA045C">
        <w:rPr>
          <w:rFonts w:ascii="Arial" w:hAnsi="Arial" w:cs="Arial"/>
          <w:sz w:val="24"/>
          <w:szCs w:val="24"/>
          <w:lang w:val="es-ES_tradnl"/>
        </w:rPr>
        <w:t>para evitar</w:t>
      </w:r>
      <w:r w:rsidRPr="00CA045C">
        <w:rPr>
          <w:rFonts w:ascii="Arial" w:hAnsi="Arial" w:cs="Arial"/>
          <w:sz w:val="24"/>
          <w:szCs w:val="24"/>
          <w:lang w:val="es-ES_tradnl"/>
        </w:rPr>
        <w:t xml:space="preserve"> que las personas LGBTI sean discriminadas, acosadas o violentadas en fuentes laborales del sector público y privado</w:t>
      </w:r>
      <w:r w:rsidR="002E246B" w:rsidRPr="00CA045C">
        <w:rPr>
          <w:rFonts w:ascii="Arial" w:hAnsi="Arial" w:cs="Arial"/>
          <w:sz w:val="24"/>
          <w:szCs w:val="24"/>
          <w:lang w:val="es-ES_tradnl"/>
        </w:rPr>
        <w:t xml:space="preserve"> y que establezca</w:t>
      </w:r>
      <w:r w:rsidRPr="00CA045C">
        <w:rPr>
          <w:rFonts w:ascii="Arial" w:hAnsi="Arial" w:cs="Arial"/>
          <w:sz w:val="24"/>
          <w:szCs w:val="24"/>
          <w:lang w:val="es-ES_tradnl"/>
        </w:rPr>
        <w:t xml:space="preserve"> sanc</w:t>
      </w:r>
      <w:r w:rsidR="002E246B" w:rsidRPr="00CA045C">
        <w:rPr>
          <w:rFonts w:ascii="Arial" w:hAnsi="Arial" w:cs="Arial"/>
          <w:sz w:val="24"/>
          <w:szCs w:val="24"/>
          <w:lang w:val="es-ES_tradnl"/>
        </w:rPr>
        <w:t>iones ante el incumplimiento</w:t>
      </w:r>
      <w:r w:rsidRPr="00CA045C">
        <w:rPr>
          <w:rFonts w:ascii="Arial" w:hAnsi="Arial" w:cs="Arial"/>
          <w:sz w:val="24"/>
          <w:szCs w:val="24"/>
          <w:lang w:val="es-ES_tradnl"/>
        </w:rPr>
        <w:t>.</w:t>
      </w:r>
    </w:p>
    <w:p w14:paraId="445F3A6A" w14:textId="683E009A" w:rsidR="009A7CE1" w:rsidRDefault="00794D6A" w:rsidP="001D3CDD">
      <w:pPr>
        <w:pStyle w:val="H23G"/>
        <w:spacing w:line="480" w:lineRule="auto"/>
        <w:jc w:val="both"/>
        <w:outlineLvl w:val="0"/>
        <w:rPr>
          <w:rFonts w:ascii="Arial" w:hAnsi="Arial" w:cs="Arial"/>
          <w:sz w:val="24"/>
          <w:szCs w:val="24"/>
          <w:lang w:val="es-ES_tradnl"/>
        </w:rPr>
      </w:pPr>
      <w:r w:rsidRPr="00CA045C">
        <w:rPr>
          <w:rFonts w:ascii="Arial" w:hAnsi="Arial" w:cs="Arial"/>
          <w:sz w:val="24"/>
          <w:szCs w:val="24"/>
          <w:lang w:val="es-ES_tradnl"/>
        </w:rPr>
        <w:t>Protección de la familia y el niño (art. 10)</w:t>
      </w:r>
    </w:p>
    <w:p w14:paraId="7EDB4B51" w14:textId="6F8FDED6" w:rsidR="00E51F54" w:rsidRPr="007357DB" w:rsidRDefault="00E51F54" w:rsidP="007357DB">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Respecto al matrimonio de personas trans, se observa una contr</w:t>
      </w:r>
      <w:r w:rsidR="00DA656D" w:rsidRPr="00CA045C">
        <w:rPr>
          <w:rFonts w:ascii="Arial" w:hAnsi="Arial" w:cs="Arial"/>
          <w:sz w:val="24"/>
          <w:szCs w:val="24"/>
          <w:lang w:val="es-ES_tradnl"/>
        </w:rPr>
        <w:t>adicción entre la negación del Acuerdo de Vida en F</w:t>
      </w:r>
      <w:r w:rsidRPr="00CA045C">
        <w:rPr>
          <w:rFonts w:ascii="Arial" w:hAnsi="Arial" w:cs="Arial"/>
          <w:sz w:val="24"/>
          <w:szCs w:val="24"/>
          <w:lang w:val="es-ES_tradnl"/>
        </w:rPr>
        <w:t>amilia</w:t>
      </w:r>
      <w:r w:rsidR="00DA656D" w:rsidRPr="00CA045C">
        <w:rPr>
          <w:rFonts w:ascii="Arial" w:hAnsi="Arial" w:cs="Arial"/>
          <w:sz w:val="24"/>
          <w:szCs w:val="24"/>
          <w:lang w:val="es-ES_tradnl"/>
        </w:rPr>
        <w:t xml:space="preserve"> (AVF)</w:t>
      </w:r>
      <w:r w:rsidR="00DA656D" w:rsidRPr="00CA045C">
        <w:rPr>
          <w:rStyle w:val="FootnoteReference"/>
          <w:rFonts w:ascii="Arial" w:hAnsi="Arial" w:cs="Arial"/>
          <w:szCs w:val="24"/>
          <w:lang w:val="es-ES_tradnl"/>
        </w:rPr>
        <w:footnoteReference w:id="18"/>
      </w:r>
      <w:r w:rsidRPr="00CA045C">
        <w:rPr>
          <w:rFonts w:ascii="Arial" w:hAnsi="Arial" w:cs="Arial"/>
          <w:sz w:val="24"/>
          <w:szCs w:val="24"/>
          <w:lang w:val="es-ES_tradnl"/>
        </w:rPr>
        <w:t xml:space="preserve"> que es una propuesta política que enmendaría el déficit de matrimonio igualitario y la propia definición de matrimonio en el texto constitucional que reconoce las diversas formas de familia. </w:t>
      </w:r>
      <w:r w:rsidRPr="007357DB">
        <w:rPr>
          <w:rFonts w:ascii="Arial" w:hAnsi="Arial" w:cs="Arial"/>
          <w:sz w:val="24"/>
          <w:szCs w:val="24"/>
          <w:lang w:val="es-ES_tradnl"/>
        </w:rPr>
        <w:t>No existe posibilidad alguna de obtener beneficios de tipo social entre parejas del mismo sexo (seguridad social, herencia, etc.), menos aún adoptar o tener hijos, la sola mención de estos hechos son considerados inmorales.</w:t>
      </w:r>
    </w:p>
    <w:p w14:paraId="72167B76" w14:textId="77777777" w:rsidR="00794D6A" w:rsidRPr="00CA045C" w:rsidRDefault="00794D6A"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Recomendaciones:</w:t>
      </w:r>
    </w:p>
    <w:p w14:paraId="746E0CAA" w14:textId="77777777" w:rsidR="00794D6A" w:rsidRPr="00CA045C" w:rsidRDefault="00794D6A"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 xml:space="preserve">El Estado Plurinacional de Bolivia debería: </w:t>
      </w:r>
    </w:p>
    <w:p w14:paraId="44760B09" w14:textId="6CE1D3C6" w:rsidR="00794D6A" w:rsidRPr="00CA045C" w:rsidRDefault="00D729C8" w:rsidP="004C4164">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Reconocer por ley a las parejas del mismo sexo y a sus hijos</w:t>
      </w:r>
      <w:r w:rsidR="002E246B" w:rsidRPr="00CA045C">
        <w:rPr>
          <w:rFonts w:ascii="Arial" w:hAnsi="Arial" w:cs="Arial"/>
          <w:sz w:val="24"/>
          <w:szCs w:val="24"/>
          <w:lang w:val="es-ES_tradnl"/>
        </w:rPr>
        <w:t xml:space="preserve"> e hijas</w:t>
      </w:r>
      <w:r w:rsidRPr="00CA045C">
        <w:rPr>
          <w:rFonts w:ascii="Arial" w:hAnsi="Arial" w:cs="Arial"/>
          <w:sz w:val="24"/>
          <w:szCs w:val="24"/>
          <w:lang w:val="es-ES_tradnl"/>
        </w:rPr>
        <w:t>, de modo que las prestaciones tradicionalmente concedidas para las parejas casadas – como las relacionadas con las pensiones, los impuestos y la herencia – se concedan en términos no discriminatorios.</w:t>
      </w:r>
    </w:p>
    <w:p w14:paraId="2CF90C85" w14:textId="77777777" w:rsidR="0053256F" w:rsidRPr="00CA045C" w:rsidRDefault="00D62F3B"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Insertar en la legislación la protección de parejas del mismo sexo, con coberturas sociales y de salud, para el ejercicio de los derechos.</w:t>
      </w:r>
    </w:p>
    <w:p w14:paraId="05F9ED77" w14:textId="3A370825" w:rsidR="006B45BE" w:rsidRPr="00CA045C" w:rsidRDefault="0053256F" w:rsidP="0053256F">
      <w:pPr>
        <w:pStyle w:val="NoSpacing"/>
        <w:spacing w:line="480" w:lineRule="auto"/>
        <w:jc w:val="both"/>
        <w:rPr>
          <w:rFonts w:ascii="Arial" w:hAnsi="Arial" w:cs="Arial"/>
          <w:sz w:val="24"/>
          <w:szCs w:val="24"/>
          <w:lang w:val="es-ES_tradnl"/>
        </w:rPr>
      </w:pPr>
      <w:r w:rsidRPr="00CA045C">
        <w:rPr>
          <w:rFonts w:ascii="Arial" w:hAnsi="Arial" w:cs="Arial"/>
          <w:b/>
          <w:sz w:val="24"/>
          <w:szCs w:val="24"/>
          <w:lang w:val="es-ES_tradnl"/>
        </w:rPr>
        <w:t>D</w:t>
      </w:r>
      <w:r w:rsidR="00A3580B" w:rsidRPr="00CA045C">
        <w:rPr>
          <w:rFonts w:ascii="Arial" w:hAnsi="Arial" w:cs="Arial"/>
          <w:b/>
          <w:sz w:val="24"/>
          <w:szCs w:val="24"/>
          <w:lang w:val="es-ES_tradnl"/>
        </w:rPr>
        <w:t>erecho a la vivienda (art. 11)</w:t>
      </w:r>
    </w:p>
    <w:p w14:paraId="4AA73553" w14:textId="475D1860" w:rsidR="006B45BE" w:rsidRPr="00CA045C" w:rsidRDefault="000B29BA" w:rsidP="001D3CDD">
      <w:pPr>
        <w:pStyle w:val="ListParagraph"/>
        <w:numPr>
          <w:ilvl w:val="0"/>
          <w:numId w:val="3"/>
        </w:numPr>
        <w:spacing w:line="480" w:lineRule="auto"/>
        <w:ind w:left="0" w:firstLine="0"/>
        <w:jc w:val="both"/>
        <w:rPr>
          <w:rFonts w:ascii="Arial" w:hAnsi="Arial" w:cs="Arial"/>
          <w:lang w:val="es-ES_tradnl"/>
        </w:rPr>
      </w:pPr>
      <w:r w:rsidRPr="00CA045C">
        <w:rPr>
          <w:rFonts w:ascii="Arial" w:hAnsi="Arial" w:cs="Arial"/>
          <w:lang w:val="es-ES_tradnl"/>
        </w:rPr>
        <w:t>De acuerdo al</w:t>
      </w:r>
      <w:r w:rsidR="00A3580B" w:rsidRPr="00CA045C">
        <w:rPr>
          <w:rFonts w:ascii="Arial" w:hAnsi="Arial" w:cs="Arial"/>
          <w:lang w:val="es-ES_tradnl"/>
        </w:rPr>
        <w:t xml:space="preserve"> “Diagnóstico de la situación de las poblaciones TLGB con énfasis en mujeres lesbianas, bisexuales, transgéneros y transexuales femeninas en Bolivia”</w:t>
      </w:r>
      <w:r w:rsidR="00DA656D" w:rsidRPr="00CA045C">
        <w:rPr>
          <w:rFonts w:ascii="Arial" w:hAnsi="Arial" w:cs="Arial"/>
          <w:lang w:val="es-ES_tradnl"/>
        </w:rPr>
        <w:t xml:space="preserve"> (201</w:t>
      </w:r>
      <w:r w:rsidR="007357DB">
        <w:rPr>
          <w:rFonts w:ascii="Arial" w:hAnsi="Arial" w:cs="Arial"/>
          <w:lang w:val="es-ES_tradnl"/>
        </w:rPr>
        <w:t>8</w:t>
      </w:r>
      <w:r w:rsidR="00DA656D" w:rsidRPr="00CA045C">
        <w:rPr>
          <w:rFonts w:ascii="Arial" w:hAnsi="Arial" w:cs="Arial"/>
          <w:lang w:val="es-ES_tradnl"/>
        </w:rPr>
        <w:t>)</w:t>
      </w:r>
      <w:r w:rsidR="00DA656D" w:rsidRPr="00CA045C">
        <w:rPr>
          <w:rStyle w:val="FootnoteReference"/>
          <w:rFonts w:ascii="Arial" w:hAnsi="Arial" w:cs="Arial"/>
          <w:lang w:val="es-ES_tradnl"/>
        </w:rPr>
        <w:footnoteReference w:id="19"/>
      </w:r>
      <w:r w:rsidR="00A3580B" w:rsidRPr="00CA045C">
        <w:rPr>
          <w:rFonts w:ascii="Arial" w:hAnsi="Arial" w:cs="Arial"/>
          <w:lang w:val="es-ES_tradnl"/>
        </w:rPr>
        <w:t>, del total de las personas entrevistadas, el porcentaje más alto de personas que viven en un cuarto está ocupado por personas transgénero (63%) y transexual (41%). Esta realidad tiene relación directa con la ocupación de estas personas (Trabajo sexual) pues, en muchos casos, viven en alojamientos ya que se desplaza</w:t>
      </w:r>
      <w:r w:rsidR="002E246B" w:rsidRPr="00CA045C">
        <w:rPr>
          <w:rFonts w:ascii="Arial" w:hAnsi="Arial" w:cs="Arial"/>
          <w:lang w:val="es-ES_tradnl"/>
        </w:rPr>
        <w:t>n a diferentes lugares del país</w:t>
      </w:r>
      <w:r w:rsidR="00A3580B" w:rsidRPr="00CA045C">
        <w:rPr>
          <w:rFonts w:ascii="Arial" w:hAnsi="Arial" w:cs="Arial"/>
          <w:lang w:val="es-ES_tradnl"/>
        </w:rPr>
        <w:t>.</w:t>
      </w:r>
    </w:p>
    <w:p w14:paraId="596C3C81" w14:textId="77777777" w:rsidR="001D3CDD" w:rsidRPr="00CA045C" w:rsidRDefault="001D3CDD"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Recomendaciones:</w:t>
      </w:r>
    </w:p>
    <w:p w14:paraId="285A0100" w14:textId="65F00406" w:rsidR="001D3CDD" w:rsidRPr="00CA045C" w:rsidRDefault="001D3CDD"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 xml:space="preserve">El Estado Plurinacional de Bolivia debería: </w:t>
      </w:r>
    </w:p>
    <w:p w14:paraId="43D73751" w14:textId="24579A2C" w:rsidR="001D3CDD" w:rsidRPr="00CA045C" w:rsidRDefault="001D3CDD" w:rsidP="004C4164">
      <w:pPr>
        <w:pStyle w:val="NoSpacing"/>
        <w:numPr>
          <w:ilvl w:val="0"/>
          <w:numId w:val="3"/>
        </w:numPr>
        <w:spacing w:line="480" w:lineRule="auto"/>
        <w:ind w:left="0" w:firstLine="0"/>
        <w:jc w:val="both"/>
        <w:outlineLvl w:val="0"/>
        <w:rPr>
          <w:rFonts w:ascii="Arial" w:hAnsi="Arial" w:cs="Arial"/>
          <w:bCs/>
          <w:sz w:val="24"/>
          <w:szCs w:val="24"/>
          <w:lang w:val="es-ES_tradnl"/>
        </w:rPr>
      </w:pPr>
      <w:r w:rsidRPr="00CA045C">
        <w:rPr>
          <w:rFonts w:ascii="Arial" w:hAnsi="Arial" w:cs="Arial"/>
          <w:bCs/>
          <w:sz w:val="24"/>
          <w:szCs w:val="24"/>
          <w:lang w:val="es-ES_tradnl"/>
        </w:rPr>
        <w:t xml:space="preserve">Velar porque las políticas sobre la vivienda </w:t>
      </w:r>
      <w:r w:rsidR="002E246B" w:rsidRPr="00CA045C">
        <w:rPr>
          <w:rFonts w:ascii="Arial" w:hAnsi="Arial" w:cs="Arial"/>
          <w:bCs/>
          <w:sz w:val="24"/>
          <w:szCs w:val="24"/>
          <w:lang w:val="es-ES_tradnl"/>
        </w:rPr>
        <w:t>contengan cláusulas que prohíban a discriminación</w:t>
      </w:r>
      <w:r w:rsidRPr="00CA045C">
        <w:rPr>
          <w:rFonts w:ascii="Arial" w:hAnsi="Arial" w:cs="Arial"/>
          <w:bCs/>
          <w:sz w:val="24"/>
          <w:szCs w:val="24"/>
          <w:lang w:val="es-ES_tradnl"/>
        </w:rPr>
        <w:t xml:space="preserve"> por motivos de orientación sexual e identidad de género; además, que puedan acceder como solicitantes a los beneficios de créditos para vivienda de interés social.</w:t>
      </w:r>
    </w:p>
    <w:p w14:paraId="30D2FA16" w14:textId="68908833" w:rsidR="001D3CDD" w:rsidRPr="00CA045C" w:rsidRDefault="001D3CDD" w:rsidP="004C4164">
      <w:pPr>
        <w:pStyle w:val="NoSpacing"/>
        <w:numPr>
          <w:ilvl w:val="0"/>
          <w:numId w:val="3"/>
        </w:numPr>
        <w:spacing w:line="480" w:lineRule="auto"/>
        <w:ind w:left="0" w:firstLine="0"/>
        <w:jc w:val="both"/>
        <w:outlineLvl w:val="0"/>
        <w:rPr>
          <w:rFonts w:ascii="Arial" w:hAnsi="Arial" w:cs="Arial"/>
          <w:bCs/>
          <w:sz w:val="24"/>
          <w:szCs w:val="24"/>
          <w:lang w:val="es-ES_tradnl"/>
        </w:rPr>
      </w:pPr>
      <w:r w:rsidRPr="00CA045C">
        <w:rPr>
          <w:rFonts w:ascii="Arial" w:hAnsi="Arial" w:cs="Arial"/>
          <w:bCs/>
          <w:sz w:val="24"/>
          <w:szCs w:val="24"/>
          <w:lang w:val="es-ES_tradnl"/>
        </w:rPr>
        <w:t>Establecer centros de acogida para las personas LGBT</w:t>
      </w:r>
      <w:r w:rsidR="007357DB">
        <w:rPr>
          <w:rFonts w:ascii="Arial" w:hAnsi="Arial" w:cs="Arial"/>
          <w:bCs/>
          <w:sz w:val="24"/>
          <w:szCs w:val="24"/>
          <w:lang w:val="es-ES_tradnl"/>
        </w:rPr>
        <w:t>I</w:t>
      </w:r>
      <w:r w:rsidRPr="00CA045C">
        <w:rPr>
          <w:rFonts w:ascii="Arial" w:hAnsi="Arial" w:cs="Arial"/>
          <w:bCs/>
          <w:sz w:val="24"/>
          <w:szCs w:val="24"/>
          <w:lang w:val="es-ES_tradnl"/>
        </w:rPr>
        <w:t xml:space="preserve"> sin hogar, prestando una atención específica a personas jóvenes, adultas mayores y a las que se encuentren en situaciones de emergencia.</w:t>
      </w:r>
    </w:p>
    <w:p w14:paraId="0BB5866D" w14:textId="77777777" w:rsidR="00B61989" w:rsidRPr="00CA045C" w:rsidRDefault="00B61989"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Derecho a la salud física y mental (art. 12)</w:t>
      </w:r>
    </w:p>
    <w:p w14:paraId="137A4632" w14:textId="1D538DD1" w:rsidR="00313134" w:rsidRPr="00CA045C" w:rsidRDefault="0063544F"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La salud dentro de la</w:t>
      </w:r>
      <w:r w:rsidR="009F3426" w:rsidRPr="00CA045C">
        <w:rPr>
          <w:rFonts w:ascii="Arial" w:hAnsi="Arial" w:cs="Arial"/>
          <w:sz w:val="24"/>
          <w:szCs w:val="24"/>
          <w:lang w:val="es-ES_tradnl"/>
        </w:rPr>
        <w:t xml:space="preserve"> població</w:t>
      </w:r>
      <w:r w:rsidRPr="00CA045C">
        <w:rPr>
          <w:rFonts w:ascii="Arial" w:hAnsi="Arial" w:cs="Arial"/>
          <w:sz w:val="24"/>
          <w:szCs w:val="24"/>
          <w:lang w:val="es-ES_tradnl"/>
        </w:rPr>
        <w:t>n LGBTI está ligada al resto de la población</w:t>
      </w:r>
      <w:r w:rsidR="009F3426" w:rsidRPr="00CA045C">
        <w:rPr>
          <w:rFonts w:ascii="Arial" w:hAnsi="Arial" w:cs="Arial"/>
          <w:sz w:val="24"/>
          <w:szCs w:val="24"/>
          <w:lang w:val="es-ES_tradnl"/>
        </w:rPr>
        <w:t>, pues no existen políticas diferenciadas,</w:t>
      </w:r>
      <w:r w:rsidRPr="00CA045C">
        <w:rPr>
          <w:rFonts w:ascii="Arial" w:hAnsi="Arial" w:cs="Arial"/>
          <w:sz w:val="24"/>
          <w:szCs w:val="24"/>
          <w:lang w:val="es-ES_tradnl"/>
        </w:rPr>
        <w:t xml:space="preserve"> ya que la precariedad sanitaria del país</w:t>
      </w:r>
      <w:r w:rsidR="00863A9D" w:rsidRPr="00CA045C">
        <w:rPr>
          <w:rFonts w:ascii="Arial" w:hAnsi="Arial" w:cs="Arial"/>
          <w:sz w:val="24"/>
          <w:szCs w:val="24"/>
          <w:lang w:val="es-ES_tradnl"/>
        </w:rPr>
        <w:t xml:space="preserve"> impide un efectivo alcance de los servicios a la población en general y por tanto, la inclusión de políticas públicas destinadas a llegar de maner</w:t>
      </w:r>
      <w:r w:rsidR="009F3426" w:rsidRPr="00CA045C">
        <w:rPr>
          <w:rFonts w:ascii="Arial" w:hAnsi="Arial" w:cs="Arial"/>
          <w:sz w:val="24"/>
          <w:szCs w:val="24"/>
          <w:lang w:val="es-ES_tradnl"/>
        </w:rPr>
        <w:t>a efectiva a las poblaciones LGBTI</w:t>
      </w:r>
      <w:r w:rsidR="00863A9D" w:rsidRPr="00CA045C">
        <w:rPr>
          <w:rFonts w:ascii="Arial" w:hAnsi="Arial" w:cs="Arial"/>
          <w:sz w:val="24"/>
          <w:szCs w:val="24"/>
          <w:lang w:val="es-ES_tradnl"/>
        </w:rPr>
        <w:t xml:space="preserve">, ha hecho que no importe los alcances </w:t>
      </w:r>
      <w:r w:rsidR="00442CF3" w:rsidRPr="00CA045C">
        <w:rPr>
          <w:rFonts w:ascii="Arial" w:hAnsi="Arial" w:cs="Arial"/>
          <w:sz w:val="24"/>
          <w:szCs w:val="24"/>
          <w:lang w:val="es-ES_tradnl"/>
        </w:rPr>
        <w:t>generales</w:t>
      </w:r>
      <w:r w:rsidR="00863A9D" w:rsidRPr="00CA045C">
        <w:rPr>
          <w:rFonts w:ascii="Arial" w:hAnsi="Arial" w:cs="Arial"/>
          <w:sz w:val="24"/>
          <w:szCs w:val="24"/>
          <w:lang w:val="es-ES_tradnl"/>
        </w:rPr>
        <w:t>, éstos no reconocen la importancia de una mirada interseccional destinada a promover la salud para poblaciones con diversa orientación sexual e identidad de género.</w:t>
      </w:r>
    </w:p>
    <w:p w14:paraId="0E85D920" w14:textId="1003E81E" w:rsidR="00442CF3" w:rsidRPr="00CA045C" w:rsidRDefault="00D9063C"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El trabajo por la salud y las terapias hormonales</w:t>
      </w:r>
      <w:r w:rsidR="002E246B" w:rsidRPr="00CA045C">
        <w:rPr>
          <w:rFonts w:ascii="Arial" w:hAnsi="Arial" w:cs="Arial"/>
          <w:sz w:val="24"/>
          <w:szCs w:val="24"/>
          <w:lang w:val="es-ES_tradnl"/>
        </w:rPr>
        <w:t xml:space="preserve"> de las personas trans</w:t>
      </w:r>
      <w:r w:rsidRPr="00CA045C">
        <w:rPr>
          <w:rFonts w:ascii="Arial" w:hAnsi="Arial" w:cs="Arial"/>
          <w:sz w:val="24"/>
          <w:szCs w:val="24"/>
          <w:lang w:val="es-ES_tradnl"/>
        </w:rPr>
        <w:t xml:space="preserve"> se plantea como una causa personal, en el sentido de reconocer temas específicos de salud que deben ser agendados para traducir trato con calidad y calidez. Esto se refiere a luchar porque los servicios tengan atenciones específicas para la salud integral de las personas trans en sus prestaciones y protocolos.</w:t>
      </w:r>
      <w:r w:rsidR="00EB1CFA" w:rsidRPr="00CA045C">
        <w:rPr>
          <w:rFonts w:ascii="Arial" w:hAnsi="Arial" w:cs="Arial"/>
          <w:sz w:val="24"/>
          <w:szCs w:val="24"/>
          <w:lang w:val="es-ES_tradnl"/>
        </w:rPr>
        <w:t xml:space="preserve"> El Estado boliviano no asume la responsabilidad social de incorporar protocolos adecuados para atender las necesidades en salud de las personas transexuales y transgéneros tanto femeninas como masculinos. No se brinda la enseñanza especializada en ninguna universidad que permita la comprensión cabal en la atención integral a personas Trans y p</w:t>
      </w:r>
      <w:r w:rsidR="00290709" w:rsidRPr="00CA045C">
        <w:rPr>
          <w:rFonts w:ascii="Arial" w:hAnsi="Arial" w:cs="Arial"/>
          <w:sz w:val="24"/>
          <w:szCs w:val="24"/>
          <w:lang w:val="es-ES_tradnl"/>
        </w:rPr>
        <w:t>or</w:t>
      </w:r>
      <w:r w:rsidR="00EB1CFA" w:rsidRPr="00CA045C">
        <w:rPr>
          <w:rFonts w:ascii="Arial" w:hAnsi="Arial" w:cs="Arial"/>
          <w:sz w:val="24"/>
          <w:szCs w:val="24"/>
          <w:lang w:val="es-ES_tradnl"/>
        </w:rPr>
        <w:t xml:space="preserve"> lo tanto no incluye apoyo psicológico, reasignación sexual ni terapias de hormonización.</w:t>
      </w:r>
    </w:p>
    <w:p w14:paraId="7B550831" w14:textId="798C146B" w:rsidR="00436AA8" w:rsidRPr="00CA045C" w:rsidRDefault="00AA0322"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Las personas LGBTI si manifiestan su orientación sexual e identi</w:t>
      </w:r>
      <w:r w:rsidR="005976D7" w:rsidRPr="00CA045C">
        <w:rPr>
          <w:rFonts w:ascii="Arial" w:hAnsi="Arial" w:cs="Arial"/>
          <w:sz w:val="24"/>
          <w:szCs w:val="24"/>
          <w:lang w:val="es-ES_tradnl"/>
        </w:rPr>
        <w:t>dad de género, no cuentan con</w:t>
      </w:r>
      <w:r w:rsidRPr="00CA045C">
        <w:rPr>
          <w:rFonts w:ascii="Arial" w:hAnsi="Arial" w:cs="Arial"/>
          <w:sz w:val="24"/>
          <w:szCs w:val="24"/>
          <w:lang w:val="es-ES_tradnl"/>
        </w:rPr>
        <w:t xml:space="preserve"> servicio</w:t>
      </w:r>
      <w:r w:rsidR="005976D7" w:rsidRPr="00CA045C">
        <w:rPr>
          <w:rFonts w:ascii="Arial" w:hAnsi="Arial" w:cs="Arial"/>
          <w:sz w:val="24"/>
          <w:szCs w:val="24"/>
          <w:lang w:val="es-ES_tradnl"/>
        </w:rPr>
        <w:t>s</w:t>
      </w:r>
      <w:r w:rsidRPr="00CA045C">
        <w:rPr>
          <w:rFonts w:ascii="Arial" w:hAnsi="Arial" w:cs="Arial"/>
          <w:sz w:val="24"/>
          <w:szCs w:val="24"/>
          <w:lang w:val="es-ES_tradnl"/>
        </w:rPr>
        <w:t xml:space="preserve"> oportuno</w:t>
      </w:r>
      <w:r w:rsidR="005976D7" w:rsidRPr="00CA045C">
        <w:rPr>
          <w:rFonts w:ascii="Arial" w:hAnsi="Arial" w:cs="Arial"/>
          <w:sz w:val="24"/>
          <w:szCs w:val="24"/>
          <w:lang w:val="es-ES_tradnl"/>
        </w:rPr>
        <w:t>s</w:t>
      </w:r>
      <w:r w:rsidRPr="00CA045C">
        <w:rPr>
          <w:rFonts w:ascii="Arial" w:hAnsi="Arial" w:cs="Arial"/>
          <w:sz w:val="24"/>
          <w:szCs w:val="24"/>
          <w:lang w:val="es-ES_tradnl"/>
        </w:rPr>
        <w:t xml:space="preserve">, sensibilizado y trato digno, lo que </w:t>
      </w:r>
      <w:r w:rsidR="005976D7" w:rsidRPr="00CA045C">
        <w:rPr>
          <w:rFonts w:ascii="Arial" w:hAnsi="Arial" w:cs="Arial"/>
          <w:sz w:val="24"/>
          <w:szCs w:val="24"/>
          <w:lang w:val="es-ES_tradnl"/>
        </w:rPr>
        <w:t>constituye un obstáculo para que</w:t>
      </w:r>
      <w:r w:rsidRPr="00CA045C">
        <w:rPr>
          <w:rFonts w:ascii="Arial" w:hAnsi="Arial" w:cs="Arial"/>
          <w:sz w:val="24"/>
          <w:szCs w:val="24"/>
          <w:lang w:val="es-ES_tradnl"/>
        </w:rPr>
        <w:t xml:space="preserve"> la población LGBTI </w:t>
      </w:r>
      <w:r w:rsidR="005976D7" w:rsidRPr="00CA045C">
        <w:rPr>
          <w:rFonts w:ascii="Arial" w:hAnsi="Arial" w:cs="Arial"/>
          <w:sz w:val="24"/>
          <w:szCs w:val="24"/>
          <w:lang w:val="es-ES_tradnl"/>
        </w:rPr>
        <w:t xml:space="preserve">acuda a </w:t>
      </w:r>
      <w:r w:rsidRPr="00CA045C">
        <w:rPr>
          <w:rFonts w:ascii="Arial" w:hAnsi="Arial" w:cs="Arial"/>
          <w:sz w:val="24"/>
          <w:szCs w:val="24"/>
          <w:lang w:val="es-ES_tradnl"/>
        </w:rPr>
        <w:t>los Centros de Salud y hospitales.</w:t>
      </w:r>
      <w:r w:rsidR="0053256F" w:rsidRPr="00CA045C">
        <w:rPr>
          <w:rFonts w:ascii="Arial" w:hAnsi="Arial" w:cs="Arial"/>
          <w:sz w:val="24"/>
          <w:szCs w:val="24"/>
          <w:lang w:val="es-ES_tradnl"/>
        </w:rPr>
        <w:t xml:space="preserve"> </w:t>
      </w:r>
      <w:r w:rsidR="009C349D" w:rsidRPr="00CA045C">
        <w:rPr>
          <w:rFonts w:ascii="Arial" w:hAnsi="Arial" w:cs="Arial"/>
          <w:sz w:val="24"/>
          <w:szCs w:val="24"/>
          <w:lang w:val="es-ES_tradnl"/>
        </w:rPr>
        <w:t>En enero de 2019, comenzó la etapa inicial de</w:t>
      </w:r>
      <w:r w:rsidR="007357DB">
        <w:rPr>
          <w:rFonts w:ascii="Arial" w:hAnsi="Arial" w:cs="Arial"/>
          <w:sz w:val="24"/>
          <w:szCs w:val="24"/>
          <w:lang w:val="es-ES_tradnl"/>
        </w:rPr>
        <w:t xml:space="preserve"> inscripción al seguro gratuito, l</w:t>
      </w:r>
      <w:r w:rsidR="009C349D" w:rsidRPr="00CA045C">
        <w:rPr>
          <w:rFonts w:ascii="Arial" w:hAnsi="Arial" w:cs="Arial"/>
          <w:sz w:val="24"/>
          <w:szCs w:val="24"/>
          <w:lang w:val="es-ES_tradnl"/>
        </w:rPr>
        <w:t>astimosamente, para la implementación de este seguro no se consideraron los aportes de la población LGBTI en las cumbres departamentales de salud previas a su aprobación.</w:t>
      </w:r>
    </w:p>
    <w:p w14:paraId="7F3E803F" w14:textId="77777777" w:rsidR="00794D6A" w:rsidRPr="00CA045C" w:rsidRDefault="00794D6A"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Recomendaciones:</w:t>
      </w:r>
    </w:p>
    <w:p w14:paraId="50D28796" w14:textId="77777777" w:rsidR="00794D6A" w:rsidRPr="00CA045C" w:rsidRDefault="00794D6A"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 xml:space="preserve">El Estado Plurinacional de Bolivia debería: </w:t>
      </w:r>
    </w:p>
    <w:p w14:paraId="231CC035" w14:textId="6D2F21D5" w:rsidR="002E246B" w:rsidRPr="00CA045C" w:rsidRDefault="00D62F3B" w:rsidP="004C4164">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Implementar una política pública de atención integra e integral en materia de salud para la población LGBTI que cuente con un seguro o que sea atendida en el marco del marco</w:t>
      </w:r>
      <w:r w:rsidR="00CA045C" w:rsidRPr="00CA045C">
        <w:rPr>
          <w:rFonts w:ascii="Arial" w:hAnsi="Arial" w:cs="Arial"/>
          <w:sz w:val="24"/>
          <w:szCs w:val="24"/>
          <w:lang w:val="es-ES_tradnl"/>
        </w:rPr>
        <w:t xml:space="preserve"> del Sistema Universal de Salud para </w:t>
      </w:r>
      <w:r w:rsidRPr="00CA045C">
        <w:rPr>
          <w:rFonts w:ascii="Arial" w:hAnsi="Arial" w:cs="Arial"/>
          <w:sz w:val="24"/>
          <w:szCs w:val="24"/>
          <w:lang w:val="es-ES_tradnl"/>
        </w:rPr>
        <w:t>tratamientos para enfermedades oportunistas y para la atención gratuita multidisciplinaria</w:t>
      </w:r>
      <w:r w:rsidR="00CA045C" w:rsidRPr="00CA045C">
        <w:rPr>
          <w:rFonts w:ascii="Arial" w:hAnsi="Arial" w:cs="Arial"/>
          <w:sz w:val="24"/>
          <w:szCs w:val="24"/>
          <w:lang w:val="es-ES_tradnl"/>
        </w:rPr>
        <w:t>.</w:t>
      </w:r>
    </w:p>
    <w:p w14:paraId="7059FD0C" w14:textId="4431E8F5" w:rsidR="0053256F" w:rsidRPr="00CA045C" w:rsidRDefault="00D62F3B" w:rsidP="0053256F">
      <w:pPr>
        <w:pStyle w:val="NoSpacing"/>
        <w:numPr>
          <w:ilvl w:val="0"/>
          <w:numId w:val="3"/>
        </w:numPr>
        <w:spacing w:line="36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Diseñar e implementar procesos de capacitación y sensibilización </w:t>
      </w:r>
      <w:r w:rsidR="001B0A59" w:rsidRPr="00CA045C">
        <w:rPr>
          <w:rFonts w:ascii="Arial" w:hAnsi="Arial" w:cs="Arial"/>
          <w:sz w:val="24"/>
          <w:szCs w:val="24"/>
          <w:lang w:val="es-ES_tradnl"/>
        </w:rPr>
        <w:t xml:space="preserve">permanente </w:t>
      </w:r>
      <w:r w:rsidRPr="00CA045C">
        <w:rPr>
          <w:rFonts w:ascii="Arial" w:hAnsi="Arial" w:cs="Arial"/>
          <w:sz w:val="24"/>
          <w:szCs w:val="24"/>
          <w:lang w:val="es-ES_tradnl"/>
        </w:rPr>
        <w:t>dirigidos a profesionales médicos y personal de salud de centros de atención p</w:t>
      </w:r>
      <w:r w:rsidR="001B0A59" w:rsidRPr="00CA045C">
        <w:rPr>
          <w:rFonts w:ascii="Arial" w:hAnsi="Arial" w:cs="Arial"/>
          <w:sz w:val="24"/>
          <w:szCs w:val="24"/>
          <w:lang w:val="es-ES_tradnl"/>
        </w:rPr>
        <w:t>úblicos y privados, respecto a la atención especializada con calidad y calidez a personas LGBTI sin discriminación, estableciendo sanciones.</w:t>
      </w:r>
    </w:p>
    <w:p w14:paraId="5ECE3078" w14:textId="3F29E4BB" w:rsidR="00D62F3B" w:rsidRPr="00CA045C" w:rsidRDefault="00D62F3B" w:rsidP="004C4164">
      <w:pPr>
        <w:pStyle w:val="NoSpacing"/>
        <w:numPr>
          <w:ilvl w:val="0"/>
          <w:numId w:val="3"/>
        </w:numPr>
        <w:spacing w:line="360" w:lineRule="auto"/>
        <w:ind w:left="0" w:firstLine="0"/>
        <w:jc w:val="both"/>
        <w:rPr>
          <w:rFonts w:ascii="Arial" w:hAnsi="Arial" w:cs="Arial"/>
          <w:sz w:val="28"/>
          <w:szCs w:val="24"/>
          <w:lang w:val="es-ES_tradnl"/>
        </w:rPr>
      </w:pPr>
      <w:r w:rsidRPr="00CA045C">
        <w:rPr>
          <w:rFonts w:ascii="Arial" w:hAnsi="Arial" w:cs="Arial"/>
          <w:sz w:val="24"/>
          <w:lang w:val="es-ES_tradnl"/>
        </w:rPr>
        <w:t>Implementar acompañamiento psicológico especializado y gratuito a las poblaciones LGBTI en diferentes temáticas sin patologizar.</w:t>
      </w:r>
      <w:r w:rsidR="0053256F" w:rsidRPr="00CA045C">
        <w:rPr>
          <w:rFonts w:ascii="Arial" w:hAnsi="Arial" w:cs="Arial"/>
          <w:sz w:val="24"/>
        </w:rPr>
        <w:t xml:space="preserve"> </w:t>
      </w:r>
      <w:r w:rsidR="0097313F">
        <w:rPr>
          <w:rFonts w:ascii="Arial" w:hAnsi="Arial" w:cs="Arial"/>
          <w:sz w:val="24"/>
          <w:lang w:val="es-ES_tradnl"/>
        </w:rPr>
        <w:t>Asimismo,</w:t>
      </w:r>
      <w:r w:rsidR="0053256F" w:rsidRPr="00CA045C">
        <w:rPr>
          <w:rFonts w:ascii="Arial" w:hAnsi="Arial" w:cs="Arial"/>
          <w:sz w:val="24"/>
          <w:lang w:val="es-ES_tradnl"/>
        </w:rPr>
        <w:t xml:space="preserve"> incluir en la Ley la prestación de servicios </w:t>
      </w:r>
      <w:r w:rsidR="00986011" w:rsidRPr="00CA045C">
        <w:rPr>
          <w:rFonts w:ascii="Arial" w:hAnsi="Arial" w:cs="Arial"/>
          <w:sz w:val="24"/>
          <w:lang w:val="es-ES_tradnl"/>
        </w:rPr>
        <w:t xml:space="preserve">la implementación de </w:t>
      </w:r>
      <w:r w:rsidR="0053256F" w:rsidRPr="00CA045C">
        <w:rPr>
          <w:rFonts w:ascii="Arial" w:hAnsi="Arial" w:cs="Arial"/>
          <w:sz w:val="24"/>
          <w:lang w:val="es-ES_tradnl"/>
        </w:rPr>
        <w:t>Líneas Gratuitas para la prevención del suicidio y traumas, asesoramiento general sobre derechos sexuales y derechos reproductivos y prevención y atención al VIHSIDA a personas LGBTI.</w:t>
      </w:r>
    </w:p>
    <w:p w14:paraId="39B0F1CC" w14:textId="7A8C1D8B" w:rsidR="006B45BE" w:rsidRPr="00CA045C" w:rsidRDefault="00B61989" w:rsidP="001D3CDD">
      <w:pPr>
        <w:pStyle w:val="NoSpacing"/>
        <w:spacing w:line="480" w:lineRule="auto"/>
        <w:jc w:val="both"/>
        <w:rPr>
          <w:rFonts w:ascii="Arial" w:hAnsi="Arial" w:cs="Arial"/>
          <w:sz w:val="24"/>
          <w:szCs w:val="24"/>
          <w:lang w:val="es-ES_tradnl"/>
        </w:rPr>
      </w:pPr>
      <w:r w:rsidRPr="00CA045C">
        <w:rPr>
          <w:rFonts w:ascii="Arial" w:hAnsi="Arial" w:cs="Arial"/>
          <w:b/>
          <w:bCs/>
          <w:sz w:val="24"/>
          <w:szCs w:val="24"/>
          <w:lang w:val="es-ES_tradnl"/>
        </w:rPr>
        <w:t>Derecho a la educación (arts. 13 y 14)</w:t>
      </w:r>
    </w:p>
    <w:p w14:paraId="07F14F0C" w14:textId="1C89592C" w:rsidR="005976D7" w:rsidRPr="00CA045C" w:rsidRDefault="00863A9D"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El Ministerio de Educación, a pesar de los esfuerzos realizados por las organizaciones LGBTI, sigue tratando el tema de la inclusión de manera coloquial y sin incorporar mecanismos que pongan en evidencia la problemática, por lo </w:t>
      </w:r>
      <w:r w:rsidR="00D22CC6" w:rsidRPr="00CA045C">
        <w:rPr>
          <w:rFonts w:ascii="Arial" w:hAnsi="Arial" w:cs="Arial"/>
          <w:sz w:val="24"/>
          <w:szCs w:val="24"/>
          <w:lang w:val="es-ES_tradnl"/>
        </w:rPr>
        <w:t>tanto,</w:t>
      </w:r>
      <w:r w:rsidRPr="00CA045C">
        <w:rPr>
          <w:rFonts w:ascii="Arial" w:hAnsi="Arial" w:cs="Arial"/>
          <w:sz w:val="24"/>
          <w:szCs w:val="24"/>
          <w:lang w:val="es-ES_tradnl"/>
        </w:rPr>
        <w:t xml:space="preserve"> se carece de datos estadísticos. Esto es una muestra de la vulneración simbólica de los derechos de las poblaciones LGBTI en Bolivia, ya que formalmente la CPE </w:t>
      </w:r>
      <w:r w:rsidR="00CA045C" w:rsidRPr="00CA045C">
        <w:rPr>
          <w:rFonts w:ascii="Arial" w:hAnsi="Arial" w:cs="Arial"/>
          <w:sz w:val="24"/>
          <w:szCs w:val="24"/>
          <w:lang w:val="es-ES_tradnl"/>
        </w:rPr>
        <w:t xml:space="preserve">manifiesta </w:t>
      </w:r>
      <w:r w:rsidRPr="00CA045C">
        <w:rPr>
          <w:rFonts w:ascii="Arial" w:hAnsi="Arial" w:cs="Arial"/>
          <w:sz w:val="24"/>
          <w:szCs w:val="24"/>
          <w:lang w:val="es-ES_tradnl"/>
        </w:rPr>
        <w:t>que el Estado las protege, en la práctica no se la toma en cuenta.</w:t>
      </w:r>
      <w:r w:rsidR="005976D7" w:rsidRPr="00CA045C">
        <w:rPr>
          <w:rFonts w:ascii="Arial" w:hAnsi="Arial" w:cs="Arial"/>
          <w:sz w:val="24"/>
          <w:szCs w:val="24"/>
          <w:lang w:val="es-ES_tradnl"/>
        </w:rPr>
        <w:t xml:space="preserve"> </w:t>
      </w:r>
    </w:p>
    <w:p w14:paraId="0159622A" w14:textId="4E68A22D" w:rsidR="00995E1F" w:rsidRPr="00CA045C" w:rsidRDefault="00995E1F"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Los indicadores de Salud y Sexualidad están más relacionados con temas de salud física y no así con una visión amplia e </w:t>
      </w:r>
      <w:r w:rsidR="00CA045C" w:rsidRPr="00CA045C">
        <w:rPr>
          <w:rFonts w:ascii="Arial" w:hAnsi="Arial" w:cs="Arial"/>
          <w:sz w:val="24"/>
          <w:szCs w:val="24"/>
          <w:lang w:val="es-ES_tradnl"/>
        </w:rPr>
        <w:t>integral de la sexualidad. Las Unidades E</w:t>
      </w:r>
      <w:r w:rsidRPr="00CA045C">
        <w:rPr>
          <w:rFonts w:ascii="Arial" w:hAnsi="Arial" w:cs="Arial"/>
          <w:sz w:val="24"/>
          <w:szCs w:val="24"/>
          <w:lang w:val="es-ES_tradnl"/>
        </w:rPr>
        <w:t xml:space="preserve">ducativas que la abordan, se limitan a los aspectos anatómicos, fisiológicos y algunas veces a las infecciones de transmisión sexual. No se aborda la equidad de género, las diversidades sexuales, identidad sexual, los sentimientos, el placer, el machismo, la homofobia, la violencia sexual, la anticoncepción y el consumo excesivo de alcohol. Muchos </w:t>
      </w:r>
      <w:r w:rsidR="00CA045C" w:rsidRPr="00CA045C">
        <w:rPr>
          <w:rFonts w:ascii="Arial" w:hAnsi="Arial" w:cs="Arial"/>
          <w:sz w:val="24"/>
          <w:szCs w:val="24"/>
          <w:lang w:val="es-ES_tradnl"/>
        </w:rPr>
        <w:t>maestros</w:t>
      </w:r>
      <w:r w:rsidRPr="00CA045C">
        <w:rPr>
          <w:rFonts w:ascii="Arial" w:hAnsi="Arial" w:cs="Arial"/>
          <w:sz w:val="24"/>
          <w:szCs w:val="24"/>
          <w:lang w:val="es-ES_tradnl"/>
        </w:rPr>
        <w:t xml:space="preserve"> refuerzan los prejuicios y estereotipos con sus actitudes y comentarios. En la práctica, es la educación religiosa la que instaurado concepciones erróneas sobre sexualidad y género en </w:t>
      </w:r>
      <w:r w:rsidR="00FA1276" w:rsidRPr="00CA045C">
        <w:rPr>
          <w:rFonts w:ascii="Arial" w:hAnsi="Arial" w:cs="Arial"/>
          <w:sz w:val="24"/>
          <w:szCs w:val="24"/>
          <w:lang w:val="es-ES_tradnl"/>
        </w:rPr>
        <w:t xml:space="preserve">las y </w:t>
      </w:r>
      <w:r w:rsidRPr="00CA045C">
        <w:rPr>
          <w:rFonts w:ascii="Arial" w:hAnsi="Arial" w:cs="Arial"/>
          <w:sz w:val="24"/>
          <w:szCs w:val="24"/>
          <w:lang w:val="es-ES_tradnl"/>
        </w:rPr>
        <w:t>los maestros bolivianos</w:t>
      </w:r>
      <w:r w:rsidR="007357DB">
        <w:rPr>
          <w:rFonts w:ascii="Arial" w:hAnsi="Arial" w:cs="Arial"/>
          <w:sz w:val="24"/>
          <w:szCs w:val="24"/>
          <w:lang w:val="es-ES_tradnl"/>
        </w:rPr>
        <w:t>;</w:t>
      </w:r>
      <w:r w:rsidRPr="00CA045C">
        <w:rPr>
          <w:rFonts w:ascii="Arial" w:hAnsi="Arial" w:cs="Arial"/>
          <w:sz w:val="24"/>
          <w:szCs w:val="24"/>
          <w:lang w:val="es-ES_tradnl"/>
        </w:rPr>
        <w:t xml:space="preserve"> </w:t>
      </w:r>
      <w:r w:rsidR="007357DB">
        <w:rPr>
          <w:rFonts w:ascii="Arial" w:hAnsi="Arial" w:cs="Arial"/>
          <w:sz w:val="24"/>
          <w:szCs w:val="24"/>
          <w:lang w:val="es-ES_tradnl"/>
        </w:rPr>
        <w:t>s</w:t>
      </w:r>
      <w:r w:rsidRPr="00CA045C">
        <w:rPr>
          <w:rFonts w:ascii="Arial" w:hAnsi="Arial" w:cs="Arial"/>
          <w:sz w:val="24"/>
          <w:szCs w:val="24"/>
          <w:lang w:val="es-ES_tradnl"/>
        </w:rPr>
        <w:t>on ellos, los que generalmente instruidos en una educación basada en doctrinas religiosas, han replicado mitos y prejuicios sobre estos temas.</w:t>
      </w:r>
      <w:r w:rsidR="00FA1276" w:rsidRPr="00CA045C">
        <w:rPr>
          <w:rFonts w:ascii="Arial" w:hAnsi="Arial" w:cs="Arial"/>
          <w:sz w:val="24"/>
          <w:szCs w:val="24"/>
          <w:lang w:val="es-ES_tradnl"/>
        </w:rPr>
        <w:t xml:space="preserve"> </w:t>
      </w:r>
      <w:r w:rsidRPr="00CA045C">
        <w:rPr>
          <w:rFonts w:ascii="Arial" w:hAnsi="Arial" w:cs="Arial"/>
          <w:sz w:val="24"/>
          <w:szCs w:val="24"/>
          <w:lang w:val="es-ES_tradnl"/>
        </w:rPr>
        <w:t>La inclusión de un área específica de sexualidad sería otro paso importante para incluir explícitamente a las diversidades sexuales y genéric</w:t>
      </w:r>
      <w:r w:rsidR="00FA1276" w:rsidRPr="00CA045C">
        <w:rPr>
          <w:rFonts w:ascii="Arial" w:hAnsi="Arial" w:cs="Arial"/>
          <w:sz w:val="24"/>
          <w:szCs w:val="24"/>
          <w:lang w:val="es-ES_tradnl"/>
        </w:rPr>
        <w:t>as dentro del diseño curricular, pero hasta el momento no se ha logrado ningún avance.</w:t>
      </w:r>
    </w:p>
    <w:p w14:paraId="157EA5E1" w14:textId="34AC38EB" w:rsidR="001B0A59" w:rsidRPr="00CA045C" w:rsidRDefault="00B31823" w:rsidP="001B0A59">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 xml:space="preserve">La Investigación Diagnóstica en el municipio de La Paz y El Alto sobre la percepción y prácticas sociales en relación a la orientación sexual e identidad de género en el ámbito escolar, realizada por la Campaña Boliviana por el Derecho a la Educación refiere que la homosexualidad </w:t>
      </w:r>
      <w:r w:rsidR="009A195A">
        <w:rPr>
          <w:rFonts w:ascii="Arial" w:hAnsi="Arial" w:cs="Arial"/>
          <w:sz w:val="24"/>
          <w:szCs w:val="24"/>
          <w:lang w:val="es-ES_tradnl"/>
        </w:rPr>
        <w:t xml:space="preserve">es una </w:t>
      </w:r>
      <w:r w:rsidRPr="00CA045C">
        <w:rPr>
          <w:rFonts w:ascii="Arial" w:hAnsi="Arial" w:cs="Arial"/>
          <w:sz w:val="24"/>
          <w:szCs w:val="24"/>
          <w:lang w:val="es-ES_tradnl"/>
        </w:rPr>
        <w:t>afrenta al modelo hegemónico de ser hombre y de ser ciudadano, por lo que la agresión al homosexual es la prueba de la formación del hombre que encarna al Estado y es custodio del modelo hegemónico de la sociedad</w:t>
      </w:r>
      <w:r w:rsidRPr="00CA045C">
        <w:rPr>
          <w:rStyle w:val="FootnoteReference"/>
          <w:rFonts w:ascii="Arial" w:hAnsi="Arial" w:cs="Arial"/>
          <w:sz w:val="24"/>
          <w:szCs w:val="24"/>
          <w:lang w:val="es-ES_tradnl"/>
        </w:rPr>
        <w:footnoteReference w:id="20"/>
      </w:r>
      <w:r w:rsidRPr="00CA045C">
        <w:rPr>
          <w:rFonts w:ascii="Arial" w:hAnsi="Arial" w:cs="Arial"/>
          <w:sz w:val="24"/>
          <w:szCs w:val="24"/>
          <w:lang w:val="es-ES_tradnl"/>
        </w:rPr>
        <w:t>.</w:t>
      </w:r>
      <w:r w:rsidR="00E07858" w:rsidRPr="00CA045C">
        <w:rPr>
          <w:rFonts w:ascii="Arial" w:hAnsi="Arial" w:cs="Arial"/>
          <w:sz w:val="24"/>
          <w:szCs w:val="24"/>
          <w:lang w:val="es-ES_tradnl"/>
        </w:rPr>
        <w:t xml:space="preserve"> </w:t>
      </w:r>
      <w:r w:rsidR="000237FA" w:rsidRPr="00CA045C">
        <w:rPr>
          <w:rFonts w:ascii="Arial" w:hAnsi="Arial" w:cs="Arial"/>
          <w:sz w:val="24"/>
          <w:szCs w:val="24"/>
          <w:lang w:val="es-ES_tradnl"/>
        </w:rPr>
        <w:t>Este informe también revela que en el colegio los hombres deben probar que no son homosexuales demostrando su fuerza física o conquistando mujeres, y quienes no lo hacen son acosados e incluso sufren violencia física. En el caso de las escolares lesbianas, el “bullying” es mayormente psicológico, ya que sus compañeros</w:t>
      </w:r>
      <w:r w:rsidR="00E07858" w:rsidRPr="00CA045C">
        <w:rPr>
          <w:rFonts w:ascii="Arial" w:hAnsi="Arial" w:cs="Arial"/>
          <w:sz w:val="24"/>
          <w:szCs w:val="24"/>
          <w:lang w:val="es-ES_tradnl"/>
        </w:rPr>
        <w:t>/as</w:t>
      </w:r>
      <w:r w:rsidR="000237FA" w:rsidRPr="00CA045C">
        <w:rPr>
          <w:rFonts w:ascii="Arial" w:hAnsi="Arial" w:cs="Arial"/>
          <w:sz w:val="24"/>
          <w:szCs w:val="24"/>
          <w:lang w:val="es-ES_tradnl"/>
        </w:rPr>
        <w:t xml:space="preserve"> las invisibilizan, las ignoran, no las toman en cuenta o las atacan verbalmente. Directoras/es y profesorado de los colegios cuidan que estos casos no salgan a la luz para “cuidar” el prestigio de la institución. El estudiantado con diversa orientación sexual e identidad de género también sufre una fuerte agresión de las juntas de padres de familia, quienes no toleran que sus hijas o hijos compartan aula con esta población. Asimismo, </w:t>
      </w:r>
      <w:r w:rsidR="007357DB">
        <w:rPr>
          <w:rFonts w:ascii="Arial" w:hAnsi="Arial" w:cs="Arial"/>
          <w:sz w:val="24"/>
          <w:szCs w:val="24"/>
          <w:lang w:val="es-ES_tradnl"/>
        </w:rPr>
        <w:t>el</w:t>
      </w:r>
      <w:r w:rsidR="000237FA" w:rsidRPr="00CA045C">
        <w:rPr>
          <w:rFonts w:ascii="Arial" w:hAnsi="Arial" w:cs="Arial"/>
          <w:sz w:val="24"/>
          <w:szCs w:val="24"/>
          <w:lang w:val="es-ES_tradnl"/>
        </w:rPr>
        <w:t xml:space="preserve"> Código Niña, Niño y Adolescente</w:t>
      </w:r>
      <w:r w:rsidR="007357DB">
        <w:rPr>
          <w:rStyle w:val="FootnoteReference"/>
          <w:rFonts w:cs="Arial"/>
          <w:szCs w:val="24"/>
          <w:lang w:val="es-ES_tradnl"/>
        </w:rPr>
        <w:footnoteReference w:id="21"/>
      </w:r>
      <w:r w:rsidR="000237FA" w:rsidRPr="00CA045C">
        <w:rPr>
          <w:rFonts w:ascii="Arial" w:hAnsi="Arial" w:cs="Arial"/>
          <w:sz w:val="24"/>
          <w:szCs w:val="24"/>
          <w:lang w:val="es-ES_tradnl"/>
        </w:rPr>
        <w:t xml:space="preserve"> no contempla la prohibición de expulsión del estudiante con diversa orientación sexual o identidad de género.</w:t>
      </w:r>
    </w:p>
    <w:p w14:paraId="4FBFBE52" w14:textId="77777777" w:rsidR="00E47A06" w:rsidRPr="00CA045C" w:rsidRDefault="00E47A06"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Recomendaciones:</w:t>
      </w:r>
    </w:p>
    <w:p w14:paraId="1D7EA04C" w14:textId="0F4903AA" w:rsidR="00E47A06" w:rsidRPr="00CA045C" w:rsidRDefault="00E47A06"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 xml:space="preserve">El Estado Plurinacional de Bolivia debería: </w:t>
      </w:r>
    </w:p>
    <w:p w14:paraId="504FD89D" w14:textId="49C2CD27" w:rsidR="002E246B" w:rsidRPr="00CA045C" w:rsidRDefault="001B0A59" w:rsidP="004C4164">
      <w:pPr>
        <w:pStyle w:val="NoSpacing"/>
        <w:numPr>
          <w:ilvl w:val="0"/>
          <w:numId w:val="3"/>
        </w:numPr>
        <w:spacing w:line="480" w:lineRule="auto"/>
        <w:ind w:left="0" w:firstLine="0"/>
        <w:jc w:val="both"/>
        <w:outlineLvl w:val="0"/>
        <w:rPr>
          <w:rFonts w:ascii="Arial" w:hAnsi="Arial" w:cs="Arial"/>
          <w:bCs/>
          <w:sz w:val="24"/>
          <w:szCs w:val="24"/>
          <w:lang w:val="es-ES_tradnl"/>
        </w:rPr>
      </w:pPr>
      <w:r w:rsidRPr="00CA045C">
        <w:rPr>
          <w:rFonts w:ascii="Arial" w:hAnsi="Arial" w:cs="Arial"/>
          <w:bCs/>
          <w:sz w:val="24"/>
          <w:szCs w:val="24"/>
          <w:lang w:val="es-ES_tradnl"/>
        </w:rPr>
        <w:t>Implementar el Plan Plurinacional de Sexualidad Integral en el Sistema Plurinacional de Educación, para que los actores educativos incluyan contenidos sobre sexualidad en el currículo, asimismo, introducir la educación sexual integral en la formación docente.</w:t>
      </w:r>
    </w:p>
    <w:p w14:paraId="4D056F2B" w14:textId="51453C51" w:rsidR="002E246B" w:rsidRPr="00CA045C" w:rsidRDefault="001B0A59" w:rsidP="004C4164">
      <w:pPr>
        <w:pStyle w:val="NoSpacing"/>
        <w:numPr>
          <w:ilvl w:val="0"/>
          <w:numId w:val="3"/>
        </w:numPr>
        <w:spacing w:line="480" w:lineRule="auto"/>
        <w:ind w:left="0" w:firstLine="0"/>
        <w:jc w:val="both"/>
        <w:outlineLvl w:val="0"/>
        <w:rPr>
          <w:rFonts w:ascii="Arial" w:hAnsi="Arial" w:cs="Arial"/>
          <w:bCs/>
          <w:sz w:val="24"/>
          <w:szCs w:val="24"/>
          <w:lang w:val="es-ES_tradnl"/>
        </w:rPr>
      </w:pPr>
      <w:r w:rsidRPr="00CA045C">
        <w:rPr>
          <w:rFonts w:ascii="Arial" w:hAnsi="Arial" w:cs="Arial"/>
          <w:bCs/>
          <w:sz w:val="24"/>
          <w:szCs w:val="24"/>
          <w:lang w:val="es-ES_tradnl"/>
        </w:rPr>
        <w:t>Desarrollar procesos de sensibilización e información dirigidos a madres, padres y tutores/as de Unidades Educativas y comunidad educativa</w:t>
      </w:r>
      <w:r w:rsidRPr="00CA045C">
        <w:rPr>
          <w:rStyle w:val="FootnoteReference"/>
          <w:rFonts w:ascii="Arial" w:hAnsi="Arial" w:cs="Arial"/>
          <w:bCs/>
          <w:sz w:val="24"/>
          <w:szCs w:val="24"/>
          <w:lang w:val="es-ES_tradnl"/>
        </w:rPr>
        <w:footnoteReference w:id="22"/>
      </w:r>
      <w:r w:rsidRPr="00CA045C">
        <w:rPr>
          <w:rFonts w:ascii="Arial" w:hAnsi="Arial" w:cs="Arial"/>
          <w:bCs/>
          <w:sz w:val="24"/>
          <w:szCs w:val="24"/>
          <w:lang w:val="es-ES_tradnl"/>
        </w:rPr>
        <w:t>, sobre los temas de igualdad de género, no discriminación, derechos de la población LGBTI y no violencia por razón de expresión e identidad de género y orientación sexual.</w:t>
      </w:r>
    </w:p>
    <w:p w14:paraId="266CA18D" w14:textId="6827BF86" w:rsidR="002E246B" w:rsidRPr="00CA045C" w:rsidRDefault="00EB1CFA" w:rsidP="004C4164">
      <w:pPr>
        <w:pStyle w:val="NoSpacing"/>
        <w:numPr>
          <w:ilvl w:val="0"/>
          <w:numId w:val="3"/>
        </w:numPr>
        <w:spacing w:line="480" w:lineRule="auto"/>
        <w:ind w:left="0" w:firstLine="0"/>
        <w:jc w:val="both"/>
        <w:outlineLvl w:val="0"/>
        <w:rPr>
          <w:rFonts w:ascii="Arial" w:hAnsi="Arial" w:cs="Arial"/>
          <w:sz w:val="24"/>
          <w:szCs w:val="24"/>
          <w:lang w:val="es-ES_tradnl"/>
        </w:rPr>
      </w:pPr>
      <w:r w:rsidRPr="00CA045C">
        <w:rPr>
          <w:rFonts w:ascii="Arial" w:hAnsi="Arial" w:cs="Arial"/>
          <w:sz w:val="24"/>
          <w:szCs w:val="24"/>
          <w:lang w:val="es-ES_tradnl"/>
        </w:rPr>
        <w:t xml:space="preserve">Realizar un diagnóstico nacional de la situación de las poblaciones </w:t>
      </w:r>
      <w:r w:rsidR="00CA045C" w:rsidRPr="00CA045C">
        <w:rPr>
          <w:rFonts w:ascii="Arial" w:hAnsi="Arial" w:cs="Arial"/>
          <w:sz w:val="24"/>
          <w:szCs w:val="24"/>
          <w:lang w:val="es-ES_tradnl"/>
        </w:rPr>
        <w:t>LGBTI</w:t>
      </w:r>
      <w:r w:rsidRPr="00CA045C">
        <w:rPr>
          <w:rFonts w:ascii="Arial" w:hAnsi="Arial" w:cs="Arial"/>
          <w:sz w:val="24"/>
          <w:szCs w:val="24"/>
          <w:lang w:val="es-ES_tradnl"/>
        </w:rPr>
        <w:t xml:space="preserve"> que permita trazar políticas públicas necesarias y suficientes para enfrentar una lucha contra la homolesbobitransfobia desde el Estado Central y con la intervención de todos los niveles autonómicos.</w:t>
      </w:r>
    </w:p>
    <w:p w14:paraId="5438F0A1" w14:textId="77777777" w:rsidR="00B61989" w:rsidRPr="00CA045C" w:rsidRDefault="00B61989"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Derechos culturales (art. 15)</w:t>
      </w:r>
    </w:p>
    <w:p w14:paraId="15B3F380" w14:textId="222D533E" w:rsidR="00C82EF9" w:rsidRPr="00CA045C" w:rsidRDefault="00863A9D" w:rsidP="001D3CDD">
      <w:pPr>
        <w:pStyle w:val="NoSpacing"/>
        <w:numPr>
          <w:ilvl w:val="0"/>
          <w:numId w:val="3"/>
        </w:numPr>
        <w:spacing w:line="480" w:lineRule="auto"/>
        <w:ind w:left="0" w:firstLine="0"/>
        <w:jc w:val="both"/>
        <w:rPr>
          <w:rFonts w:ascii="Arial" w:hAnsi="Arial" w:cs="Arial"/>
          <w:sz w:val="24"/>
          <w:szCs w:val="24"/>
          <w:lang w:val="es-ES_tradnl"/>
        </w:rPr>
      </w:pPr>
      <w:r w:rsidRPr="00CA045C">
        <w:rPr>
          <w:rFonts w:ascii="Arial" w:hAnsi="Arial" w:cs="Arial"/>
          <w:sz w:val="24"/>
          <w:szCs w:val="24"/>
          <w:lang w:val="es-ES_tradnl"/>
        </w:rPr>
        <w:t>El Ministerio de Culturas como ente rector de la implementación de la Ley 045</w:t>
      </w:r>
      <w:r w:rsidR="00AB5C5D" w:rsidRPr="00CA045C">
        <w:rPr>
          <w:rStyle w:val="FootnoteReference"/>
          <w:rFonts w:ascii="Arial" w:hAnsi="Arial" w:cs="Arial"/>
          <w:sz w:val="24"/>
          <w:szCs w:val="24"/>
          <w:lang w:val="es-ES_tradnl"/>
        </w:rPr>
        <w:footnoteReference w:id="23"/>
      </w:r>
      <w:r w:rsidRPr="00CA045C">
        <w:rPr>
          <w:rFonts w:ascii="Arial" w:hAnsi="Arial" w:cs="Arial"/>
          <w:sz w:val="24"/>
          <w:szCs w:val="24"/>
          <w:lang w:val="es-ES_tradnl"/>
        </w:rPr>
        <w:t xml:space="preserve"> fue anulado y por ende también el Comité de lucha contra el racismo y toda forma de discriminación a través del cual se han realizado esfuerzos</w:t>
      </w:r>
      <w:r w:rsidR="007748FA" w:rsidRPr="00CA045C">
        <w:rPr>
          <w:rFonts w:ascii="Arial" w:hAnsi="Arial" w:cs="Arial"/>
          <w:sz w:val="24"/>
          <w:szCs w:val="24"/>
          <w:lang w:val="es-ES_tradnl"/>
        </w:rPr>
        <w:t>,</w:t>
      </w:r>
      <w:r w:rsidRPr="00CA045C">
        <w:rPr>
          <w:rFonts w:ascii="Arial" w:hAnsi="Arial" w:cs="Arial"/>
          <w:sz w:val="24"/>
          <w:szCs w:val="24"/>
          <w:lang w:val="es-ES_tradnl"/>
        </w:rPr>
        <w:t xml:space="preserve"> desde su </w:t>
      </w:r>
      <w:r w:rsidR="007748FA" w:rsidRPr="00CA045C">
        <w:rPr>
          <w:rFonts w:ascii="Arial" w:hAnsi="Arial" w:cs="Arial"/>
          <w:sz w:val="24"/>
          <w:szCs w:val="24"/>
          <w:lang w:val="es-ES_tradnl"/>
        </w:rPr>
        <w:t>implementación</w:t>
      </w:r>
      <w:r w:rsidRPr="00CA045C">
        <w:rPr>
          <w:rFonts w:ascii="Arial" w:hAnsi="Arial" w:cs="Arial"/>
          <w:sz w:val="24"/>
          <w:szCs w:val="24"/>
          <w:lang w:val="es-ES_tradnl"/>
        </w:rPr>
        <w:t xml:space="preserve"> para que sea este un espacio que concrete</w:t>
      </w:r>
      <w:r w:rsidR="007748FA" w:rsidRPr="00CA045C">
        <w:rPr>
          <w:rFonts w:ascii="Arial" w:hAnsi="Arial" w:cs="Arial"/>
          <w:sz w:val="24"/>
          <w:szCs w:val="24"/>
          <w:lang w:val="es-ES_tradnl"/>
        </w:rPr>
        <w:t xml:space="preserve"> la política pública en acción concreta. Este cierre pone en </w:t>
      </w:r>
      <w:r w:rsidR="004235BF" w:rsidRPr="00CA045C">
        <w:rPr>
          <w:rFonts w:ascii="Arial" w:hAnsi="Arial" w:cs="Arial"/>
          <w:sz w:val="24"/>
          <w:szCs w:val="24"/>
          <w:lang w:val="es-ES_tradnl"/>
        </w:rPr>
        <w:t>pausa</w:t>
      </w:r>
      <w:r w:rsidR="007748FA" w:rsidRPr="00CA045C">
        <w:rPr>
          <w:rFonts w:ascii="Arial" w:hAnsi="Arial" w:cs="Arial"/>
          <w:sz w:val="24"/>
          <w:szCs w:val="24"/>
          <w:lang w:val="es-ES_tradnl"/>
        </w:rPr>
        <w:t xml:space="preserve"> </w:t>
      </w:r>
      <w:r w:rsidR="00084E2C">
        <w:rPr>
          <w:rFonts w:ascii="Arial" w:hAnsi="Arial" w:cs="Arial"/>
          <w:sz w:val="24"/>
          <w:szCs w:val="24"/>
          <w:lang w:val="es-ES_tradnl"/>
        </w:rPr>
        <w:t>la implementación de la Ley 045 y pone</w:t>
      </w:r>
      <w:r w:rsidR="007D08F9" w:rsidRPr="00CA045C">
        <w:rPr>
          <w:rFonts w:ascii="Arial" w:hAnsi="Arial" w:cs="Arial"/>
          <w:sz w:val="24"/>
          <w:szCs w:val="24"/>
          <w:lang w:val="es-ES_tradnl"/>
        </w:rPr>
        <w:t xml:space="preserve"> en el limbo </w:t>
      </w:r>
      <w:r w:rsidR="00084E2C">
        <w:rPr>
          <w:rFonts w:ascii="Arial" w:hAnsi="Arial" w:cs="Arial"/>
          <w:sz w:val="24"/>
          <w:szCs w:val="24"/>
          <w:lang w:val="es-ES_tradnl"/>
        </w:rPr>
        <w:t xml:space="preserve">al mencionado Comité, </w:t>
      </w:r>
      <w:r w:rsidR="007D08F9" w:rsidRPr="00CA045C">
        <w:rPr>
          <w:rFonts w:ascii="Arial" w:hAnsi="Arial" w:cs="Arial"/>
          <w:sz w:val="24"/>
          <w:szCs w:val="24"/>
          <w:lang w:val="es-ES_tradnl"/>
        </w:rPr>
        <w:t>ya que no tiene un asider</w:t>
      </w:r>
      <w:r w:rsidR="004235BF" w:rsidRPr="00CA045C">
        <w:rPr>
          <w:rFonts w:ascii="Arial" w:hAnsi="Arial" w:cs="Arial"/>
          <w:sz w:val="24"/>
          <w:szCs w:val="24"/>
          <w:lang w:val="es-ES_tradnl"/>
        </w:rPr>
        <w:t>o legal para su funcionamiento.</w:t>
      </w:r>
    </w:p>
    <w:p w14:paraId="3BD3F421" w14:textId="77777777" w:rsidR="00E47A06" w:rsidRPr="00CA045C" w:rsidRDefault="00E47A06" w:rsidP="001D3CDD">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Recomendaciones:</w:t>
      </w:r>
    </w:p>
    <w:p w14:paraId="6A8649D8" w14:textId="57EB5830" w:rsidR="00A67CBB" w:rsidRPr="00CA045C" w:rsidRDefault="00E47A06" w:rsidP="00A67CBB">
      <w:pPr>
        <w:pStyle w:val="NoSpacing"/>
        <w:spacing w:line="480" w:lineRule="auto"/>
        <w:jc w:val="both"/>
        <w:outlineLvl w:val="0"/>
        <w:rPr>
          <w:rFonts w:ascii="Arial" w:hAnsi="Arial" w:cs="Arial"/>
          <w:b/>
          <w:bCs/>
          <w:sz w:val="24"/>
          <w:szCs w:val="24"/>
          <w:lang w:val="es-ES_tradnl"/>
        </w:rPr>
      </w:pPr>
      <w:r w:rsidRPr="00CA045C">
        <w:rPr>
          <w:rFonts w:ascii="Arial" w:hAnsi="Arial" w:cs="Arial"/>
          <w:b/>
          <w:bCs/>
          <w:sz w:val="24"/>
          <w:szCs w:val="24"/>
          <w:lang w:val="es-ES_tradnl"/>
        </w:rPr>
        <w:t xml:space="preserve">El Estado Plurinacional de Bolivia debería: </w:t>
      </w:r>
    </w:p>
    <w:p w14:paraId="5953F042" w14:textId="7AA3017A" w:rsidR="00A67CBB" w:rsidRPr="00CA045C" w:rsidRDefault="007905E6" w:rsidP="004C4164">
      <w:pPr>
        <w:pStyle w:val="NoSpacing"/>
        <w:numPr>
          <w:ilvl w:val="0"/>
          <w:numId w:val="3"/>
        </w:numPr>
        <w:spacing w:line="480" w:lineRule="auto"/>
        <w:ind w:left="0" w:firstLine="0"/>
        <w:jc w:val="both"/>
        <w:outlineLvl w:val="0"/>
        <w:rPr>
          <w:rFonts w:ascii="Arial" w:hAnsi="Arial" w:cs="Arial"/>
          <w:bCs/>
          <w:sz w:val="24"/>
          <w:szCs w:val="24"/>
          <w:lang w:val="es-ES_tradnl"/>
        </w:rPr>
      </w:pPr>
      <w:r w:rsidRPr="00CA045C">
        <w:rPr>
          <w:rFonts w:ascii="Arial" w:hAnsi="Arial" w:cs="Arial"/>
          <w:bCs/>
          <w:sz w:val="24"/>
          <w:szCs w:val="24"/>
          <w:lang w:val="es-ES_tradnl"/>
        </w:rPr>
        <w:t>Implementar políticas que respeten la diversidad cultural de la población LGBTI. Respeto a su cultura, valores y costumbres para una buena relación constructiva entre las personas.</w:t>
      </w:r>
    </w:p>
    <w:p w14:paraId="5FB8DA7B" w14:textId="5A7C8F91" w:rsidR="00A40ACC" w:rsidRPr="00CA045C" w:rsidRDefault="00FB0465" w:rsidP="00084E2C">
      <w:pPr>
        <w:pStyle w:val="NoSpacing"/>
        <w:numPr>
          <w:ilvl w:val="0"/>
          <w:numId w:val="3"/>
        </w:numPr>
        <w:spacing w:line="480" w:lineRule="auto"/>
        <w:ind w:left="0" w:firstLine="0"/>
        <w:jc w:val="both"/>
        <w:rPr>
          <w:rFonts w:ascii="Arial" w:hAnsi="Arial" w:cs="Arial"/>
          <w:sz w:val="24"/>
          <w:szCs w:val="24"/>
          <w:lang w:val="es-ES_tradnl"/>
        </w:rPr>
      </w:pPr>
      <w:r w:rsidRPr="00084E2C">
        <w:rPr>
          <w:rFonts w:ascii="Arial" w:hAnsi="Arial" w:cs="Arial"/>
          <w:bCs/>
          <w:sz w:val="24"/>
          <w:szCs w:val="24"/>
          <w:lang w:val="es-ES_tradnl"/>
        </w:rPr>
        <w:t>Implementar políticas</w:t>
      </w:r>
      <w:r w:rsidR="007905E6" w:rsidRPr="00084E2C">
        <w:rPr>
          <w:rFonts w:ascii="Arial" w:hAnsi="Arial" w:cs="Arial"/>
          <w:bCs/>
          <w:sz w:val="24"/>
          <w:szCs w:val="24"/>
          <w:lang w:val="es-ES_tradnl"/>
        </w:rPr>
        <w:t xml:space="preserve"> de </w:t>
      </w:r>
      <w:r w:rsidRPr="00084E2C">
        <w:rPr>
          <w:rFonts w:ascii="Arial" w:hAnsi="Arial" w:cs="Arial"/>
          <w:bCs/>
          <w:sz w:val="24"/>
          <w:szCs w:val="24"/>
          <w:lang w:val="es-ES_tradnl"/>
        </w:rPr>
        <w:t>d</w:t>
      </w:r>
      <w:r w:rsidR="007905E6" w:rsidRPr="00084E2C">
        <w:rPr>
          <w:rFonts w:ascii="Arial" w:hAnsi="Arial" w:cs="Arial"/>
          <w:bCs/>
          <w:sz w:val="24"/>
          <w:szCs w:val="24"/>
          <w:lang w:val="es-ES_tradnl"/>
        </w:rPr>
        <w:t xml:space="preserve">espatriarcalización y </w:t>
      </w:r>
      <w:r w:rsidRPr="00084E2C">
        <w:rPr>
          <w:rFonts w:ascii="Arial" w:hAnsi="Arial" w:cs="Arial"/>
          <w:bCs/>
          <w:sz w:val="24"/>
          <w:szCs w:val="24"/>
          <w:lang w:val="es-ES_tradnl"/>
        </w:rPr>
        <w:t>descolonización que incluyan a la población LGBTI.</w:t>
      </w:r>
    </w:p>
    <w:sectPr w:rsidR="00A40ACC" w:rsidRPr="00CA045C" w:rsidSect="00C82EF9">
      <w:footerReference w:type="even" r:id="rId9"/>
      <w:footerReference w:type="default" r:id="rId1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F8181" w14:textId="77777777" w:rsidR="00490E21" w:rsidRDefault="00490E21" w:rsidP="005A4AAD">
      <w:pPr>
        <w:spacing w:after="0" w:line="240" w:lineRule="auto"/>
      </w:pPr>
      <w:r>
        <w:separator/>
      </w:r>
    </w:p>
  </w:endnote>
  <w:endnote w:type="continuationSeparator" w:id="0">
    <w:p w14:paraId="634E75FA" w14:textId="77777777" w:rsidR="00490E21" w:rsidRDefault="00490E21" w:rsidP="005A4A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62580316"/>
      <w:docPartObj>
        <w:docPartGallery w:val="Page Numbers (Bottom of Page)"/>
        <w:docPartUnique/>
      </w:docPartObj>
    </w:sdtPr>
    <w:sdtEndPr>
      <w:rPr>
        <w:rStyle w:val="PageNumber"/>
      </w:rPr>
    </w:sdtEndPr>
    <w:sdtContent>
      <w:p w14:paraId="4BA0D9A2" w14:textId="03F18CD2" w:rsidR="00CE345C" w:rsidRDefault="00CE345C" w:rsidP="00D56C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2319C8" w14:textId="77777777" w:rsidR="00CE345C" w:rsidRDefault="00CE345C" w:rsidP="00C82EF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987356564"/>
      <w:docPartObj>
        <w:docPartGallery w:val="Page Numbers (Bottom of Page)"/>
        <w:docPartUnique/>
      </w:docPartObj>
    </w:sdtPr>
    <w:sdtEndPr>
      <w:rPr>
        <w:rStyle w:val="PageNumber"/>
      </w:rPr>
    </w:sdtEndPr>
    <w:sdtContent>
      <w:p w14:paraId="6A3BDCD4" w14:textId="2173A61E" w:rsidR="00CE345C" w:rsidRDefault="00CE345C" w:rsidP="00D56C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F1467">
          <w:rPr>
            <w:rStyle w:val="PageNumber"/>
            <w:noProof/>
          </w:rPr>
          <w:t>2</w:t>
        </w:r>
        <w:r>
          <w:rPr>
            <w:rStyle w:val="PageNumber"/>
          </w:rPr>
          <w:fldChar w:fldCharType="end"/>
        </w:r>
      </w:p>
    </w:sdtContent>
  </w:sdt>
  <w:p w14:paraId="3F819B9E" w14:textId="77777777" w:rsidR="00CE345C" w:rsidRDefault="00CE345C" w:rsidP="00C82EF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D64CAE" w14:textId="77777777" w:rsidR="00490E21" w:rsidRDefault="00490E21" w:rsidP="005A4AAD">
      <w:pPr>
        <w:spacing w:after="0" w:line="240" w:lineRule="auto"/>
      </w:pPr>
      <w:r>
        <w:separator/>
      </w:r>
    </w:p>
  </w:footnote>
  <w:footnote w:type="continuationSeparator" w:id="0">
    <w:p w14:paraId="5D8D5492" w14:textId="77777777" w:rsidR="00490E21" w:rsidRDefault="00490E21" w:rsidP="005A4AAD">
      <w:pPr>
        <w:spacing w:after="0" w:line="240" w:lineRule="auto"/>
      </w:pPr>
      <w:r>
        <w:continuationSeparator/>
      </w:r>
    </w:p>
  </w:footnote>
  <w:footnote w:id="1">
    <w:p w14:paraId="034C65EC" w14:textId="0CAE13C2" w:rsidR="00CE345C" w:rsidRPr="00E87C31" w:rsidRDefault="00CE345C" w:rsidP="00863077">
      <w:pPr>
        <w:pStyle w:val="FootnoteText"/>
        <w:tabs>
          <w:tab w:val="clear" w:pos="1021"/>
          <w:tab w:val="left" w:pos="142"/>
        </w:tabs>
        <w:ind w:left="142" w:right="-1" w:hanging="142"/>
        <w:jc w:val="both"/>
        <w:rPr>
          <w:rFonts w:ascii="Arial" w:hAnsi="Arial" w:cs="Arial"/>
        </w:rPr>
      </w:pPr>
      <w:r w:rsidRPr="00E87C31">
        <w:rPr>
          <w:rStyle w:val="FootnoteReference"/>
          <w:rFonts w:ascii="Arial" w:hAnsi="Arial" w:cs="Arial"/>
        </w:rPr>
        <w:footnoteRef/>
      </w:r>
      <w:r w:rsidRPr="00E87C31">
        <w:rPr>
          <w:rFonts w:ascii="Arial" w:hAnsi="Arial" w:cs="Arial"/>
        </w:rPr>
        <w:t xml:space="preserve"> </w:t>
      </w:r>
      <w:r w:rsidR="00A02AB8">
        <w:rPr>
          <w:rFonts w:ascii="Arial" w:hAnsi="Arial" w:cs="Arial"/>
        </w:rPr>
        <w:t>El Colectivo TLGB de Bolivia es una organización de base social presente en los 9 departamentos del país. Ente de articulación nacional, democrático y que actúa desde 2007 prioritariamente en incidencia política y social.</w:t>
      </w:r>
    </w:p>
  </w:footnote>
  <w:footnote w:id="2">
    <w:p w14:paraId="161D7E7D" w14:textId="3822D9BB" w:rsidR="00986011" w:rsidRPr="00986011" w:rsidRDefault="00986011" w:rsidP="00986011">
      <w:pPr>
        <w:pStyle w:val="FootnoteText"/>
        <w:tabs>
          <w:tab w:val="clear" w:pos="1021"/>
        </w:tabs>
        <w:ind w:left="142" w:right="-1" w:hanging="142"/>
        <w:rPr>
          <w:rFonts w:ascii="Arial" w:hAnsi="Arial" w:cs="Arial"/>
          <w:lang w:val="es-BO"/>
        </w:rPr>
      </w:pPr>
      <w:r>
        <w:rPr>
          <w:rStyle w:val="FootnoteReference"/>
        </w:rPr>
        <w:footnoteRef/>
      </w:r>
      <w:r>
        <w:t xml:space="preserve"> </w:t>
      </w:r>
      <w:r w:rsidRPr="00986011">
        <w:rPr>
          <w:rFonts w:ascii="Arial" w:hAnsi="Arial" w:cs="Arial"/>
          <w:szCs w:val="24"/>
          <w:lang w:val="es-ES_tradnl"/>
        </w:rPr>
        <w:t>Agenda política del Colectivo TLGB de Bolivia”</w:t>
      </w:r>
      <w:r>
        <w:rPr>
          <w:rFonts w:ascii="Arial" w:hAnsi="Arial" w:cs="Arial"/>
          <w:szCs w:val="24"/>
          <w:lang w:val="es-ES_tradnl"/>
        </w:rPr>
        <w:t xml:space="preserve"> (2018),</w:t>
      </w:r>
      <w:r w:rsidRPr="00986011">
        <w:rPr>
          <w:rFonts w:ascii="Arial" w:hAnsi="Arial" w:cs="Arial"/>
          <w:szCs w:val="24"/>
          <w:lang w:val="es-ES_tradnl"/>
        </w:rPr>
        <w:t xml:space="preserve"> “Diagnóstico de la Población LGBT en Bolivia”</w:t>
      </w:r>
      <w:r>
        <w:rPr>
          <w:rFonts w:ascii="Arial" w:hAnsi="Arial" w:cs="Arial"/>
          <w:szCs w:val="24"/>
          <w:lang w:val="es-ES_tradnl"/>
        </w:rPr>
        <w:t xml:space="preserve"> (2019)</w:t>
      </w:r>
      <w:r w:rsidRPr="00986011">
        <w:rPr>
          <w:rFonts w:ascii="Arial" w:hAnsi="Arial" w:cs="Arial"/>
          <w:szCs w:val="24"/>
          <w:lang w:val="es-ES_tradnl"/>
        </w:rPr>
        <w:t xml:space="preserve"> </w:t>
      </w:r>
      <w:r>
        <w:rPr>
          <w:rFonts w:ascii="Arial" w:hAnsi="Arial" w:cs="Arial"/>
          <w:szCs w:val="24"/>
          <w:lang w:val="es-ES_tradnl"/>
        </w:rPr>
        <w:t xml:space="preserve">y </w:t>
      </w:r>
      <w:r w:rsidRPr="00986011">
        <w:rPr>
          <w:rFonts w:ascii="Arial" w:hAnsi="Arial" w:cs="Arial"/>
          <w:szCs w:val="24"/>
          <w:lang w:val="es-ES_tradnl"/>
        </w:rPr>
        <w:t>“Huellas Diversas</w:t>
      </w:r>
      <w:r>
        <w:rPr>
          <w:rFonts w:ascii="Arial" w:hAnsi="Arial" w:cs="Arial"/>
          <w:szCs w:val="24"/>
          <w:lang w:val="es-ES_tradnl"/>
        </w:rPr>
        <w:t>:</w:t>
      </w:r>
      <w:r w:rsidRPr="00986011">
        <w:rPr>
          <w:rFonts w:ascii="Arial" w:hAnsi="Arial" w:cs="Arial"/>
          <w:szCs w:val="24"/>
          <w:lang w:val="es-ES_tradnl"/>
        </w:rPr>
        <w:t xml:space="preserve"> para conocer las agendas de mujeres lesbianas, bisexuales y trans desde sus voces</w:t>
      </w:r>
      <w:r>
        <w:rPr>
          <w:rFonts w:ascii="Arial" w:hAnsi="Arial" w:cs="Arial"/>
          <w:szCs w:val="24"/>
          <w:lang w:val="es-ES_tradnl"/>
        </w:rPr>
        <w:t>” (2020).</w:t>
      </w:r>
    </w:p>
  </w:footnote>
  <w:footnote w:id="3">
    <w:p w14:paraId="7808DF24" w14:textId="2ACE51C7" w:rsidR="00CE345C" w:rsidRPr="004F4B66" w:rsidRDefault="00CE345C" w:rsidP="00863077">
      <w:pPr>
        <w:pStyle w:val="FootnoteText"/>
        <w:tabs>
          <w:tab w:val="clear" w:pos="1021"/>
          <w:tab w:val="right" w:pos="0"/>
        </w:tabs>
        <w:ind w:left="0" w:right="-1" w:firstLine="0"/>
        <w:rPr>
          <w:lang w:val="es-BO"/>
        </w:rPr>
      </w:pPr>
      <w:r w:rsidRPr="00986011">
        <w:rPr>
          <w:rStyle w:val="FootnoteReference"/>
          <w:rFonts w:ascii="Arial" w:hAnsi="Arial" w:cs="Arial"/>
        </w:rPr>
        <w:footnoteRef/>
      </w:r>
      <w:r w:rsidRPr="00986011">
        <w:rPr>
          <w:rFonts w:ascii="Arial" w:hAnsi="Arial" w:cs="Arial"/>
        </w:rPr>
        <w:t xml:space="preserve"> </w:t>
      </w:r>
      <w:r w:rsidRPr="00986011">
        <w:rPr>
          <w:rFonts w:ascii="Arial" w:hAnsi="Arial" w:cs="Arial"/>
          <w:lang w:val="es-BO"/>
        </w:rPr>
        <w:t>Caso Dayana Kenia, Memoria del primer Juicio y Sentencia por el asesinato cometido contra una mujer transexual en Bolivia, Coordinadora de la Mujer y Colectivo TLGB de Bolivia, La Paz, 2018</w:t>
      </w:r>
      <w:r w:rsidRPr="00986011">
        <w:rPr>
          <w:rFonts w:ascii="Arial" w:hAnsi="Arial" w:cs="Arial"/>
          <w:color w:val="5B9BD5" w:themeColor="accent1"/>
          <w:lang w:val="es-BO"/>
        </w:rPr>
        <w:t>.</w:t>
      </w:r>
    </w:p>
  </w:footnote>
  <w:footnote w:id="4">
    <w:p w14:paraId="612BB564" w14:textId="68D79AC0" w:rsidR="00CE345C" w:rsidRPr="004F4B66" w:rsidRDefault="00CE345C">
      <w:pPr>
        <w:pStyle w:val="FootnoteText"/>
        <w:rPr>
          <w:lang w:val="es-BO"/>
        </w:rPr>
      </w:pPr>
      <w:r w:rsidRPr="00F21333">
        <w:rPr>
          <w:rStyle w:val="FootnoteReference"/>
        </w:rPr>
        <w:footnoteRef/>
      </w:r>
      <w:r w:rsidRPr="00F21333">
        <w:t xml:space="preserve"> </w:t>
      </w:r>
      <w:r w:rsidRPr="00F21333">
        <w:rPr>
          <w:lang w:val="es-BO"/>
        </w:rPr>
        <w:t>Ibid</w:t>
      </w:r>
    </w:p>
  </w:footnote>
  <w:footnote w:id="5">
    <w:p w14:paraId="4459D2F3" w14:textId="4C62A224" w:rsidR="00CE345C" w:rsidRPr="00A3580B" w:rsidRDefault="00CE345C">
      <w:pPr>
        <w:pStyle w:val="FootnoteText"/>
        <w:rPr>
          <w:lang w:val="es-BO"/>
        </w:rPr>
      </w:pPr>
      <w:r w:rsidRPr="00F21333">
        <w:rPr>
          <w:rStyle w:val="FootnoteReference"/>
        </w:rPr>
        <w:footnoteRef/>
      </w:r>
      <w:r w:rsidRPr="00F21333">
        <w:t xml:space="preserve"> </w:t>
      </w:r>
      <w:hyperlink r:id="rId1" w:history="1">
        <w:r w:rsidRPr="00A3580B">
          <w:rPr>
            <w:rStyle w:val="Hyperlink"/>
            <w:color w:val="auto"/>
            <w:u w:val="none"/>
          </w:rPr>
          <w:t>http://www.observatoriolgbt.org.bo/index.php/estadistica/detalle/cod_estadistica/4</w:t>
        </w:r>
      </w:hyperlink>
      <w:r w:rsidR="00C41F94">
        <w:rPr>
          <w:rStyle w:val="Hyperlink"/>
          <w:color w:val="auto"/>
          <w:u w:val="none"/>
        </w:rPr>
        <w:t xml:space="preserve"> </w:t>
      </w:r>
    </w:p>
  </w:footnote>
  <w:footnote w:id="6">
    <w:p w14:paraId="10ACB7EB" w14:textId="57D1E423" w:rsidR="002E0E45" w:rsidRPr="00F612FE" w:rsidRDefault="002E0E45" w:rsidP="00F612FE">
      <w:pPr>
        <w:pStyle w:val="FootnoteText"/>
        <w:jc w:val="both"/>
        <w:rPr>
          <w:rFonts w:ascii="Arial" w:hAnsi="Arial" w:cs="Arial"/>
          <w:lang w:val="es-BO"/>
        </w:rPr>
      </w:pPr>
      <w:r w:rsidRPr="00F612FE">
        <w:rPr>
          <w:rStyle w:val="FootnoteReference"/>
          <w:rFonts w:ascii="Arial" w:hAnsi="Arial" w:cs="Arial"/>
        </w:rPr>
        <w:footnoteRef/>
      </w:r>
      <w:r w:rsidRPr="00F612FE">
        <w:rPr>
          <w:rFonts w:ascii="Arial" w:hAnsi="Arial" w:cs="Arial"/>
        </w:rPr>
        <w:t xml:space="preserve"> </w:t>
      </w:r>
      <w:r w:rsidRPr="00F612FE">
        <w:rPr>
          <w:rFonts w:ascii="Arial" w:hAnsi="Arial" w:cs="Arial"/>
          <w:lang w:val="es-BO"/>
        </w:rPr>
        <w:t>Ley N° 807, aprobada el 21 de mayo de 2016.</w:t>
      </w:r>
    </w:p>
  </w:footnote>
  <w:footnote w:id="7">
    <w:p w14:paraId="2170ECB3" w14:textId="5EE53050" w:rsidR="002E0E45" w:rsidRPr="00F612FE" w:rsidRDefault="002E0E45" w:rsidP="00F612FE">
      <w:pPr>
        <w:pStyle w:val="FootnoteText"/>
        <w:tabs>
          <w:tab w:val="clear" w:pos="1021"/>
          <w:tab w:val="right" w:pos="0"/>
        </w:tabs>
        <w:ind w:left="0" w:right="-1" w:firstLine="0"/>
        <w:jc w:val="both"/>
        <w:rPr>
          <w:rFonts w:ascii="Arial" w:hAnsi="Arial" w:cs="Arial"/>
          <w:lang w:val="es-BO"/>
        </w:rPr>
      </w:pPr>
      <w:r w:rsidRPr="00F612FE">
        <w:rPr>
          <w:rStyle w:val="FootnoteReference"/>
          <w:rFonts w:ascii="Arial" w:hAnsi="Arial" w:cs="Arial"/>
        </w:rPr>
        <w:footnoteRef/>
      </w:r>
      <w:r w:rsidRPr="00F612FE">
        <w:rPr>
          <w:rFonts w:ascii="Arial" w:hAnsi="Arial" w:cs="Arial"/>
        </w:rPr>
        <w:t xml:space="preserve"> https://www.defensoria.gob.bo/noticias/a-tres-anyos-de-la-promulgacion-de-la-ley-807-de-identidad-de-genero#:~:text=Con%20la%20promulgaci%C3%B3n%20de%20la,%2C%20Gay%2C%20Bisexual%2C%20Transexual%2C</w:t>
      </w:r>
    </w:p>
  </w:footnote>
  <w:footnote w:id="8">
    <w:p w14:paraId="7CB0827D" w14:textId="5F07E84A" w:rsidR="00F612FE" w:rsidRPr="00F612FE" w:rsidRDefault="00F612FE" w:rsidP="00F612FE">
      <w:pPr>
        <w:pStyle w:val="FootnoteText"/>
        <w:tabs>
          <w:tab w:val="clear" w:pos="1021"/>
        </w:tabs>
        <w:ind w:left="0" w:right="-1" w:firstLine="0"/>
        <w:jc w:val="both"/>
        <w:rPr>
          <w:lang w:val="es-BO"/>
        </w:rPr>
      </w:pPr>
      <w:r w:rsidRPr="00F612FE">
        <w:rPr>
          <w:rStyle w:val="FootnoteReference"/>
          <w:rFonts w:ascii="Arial" w:hAnsi="Arial" w:cs="Arial"/>
        </w:rPr>
        <w:footnoteRef/>
      </w:r>
      <w:r w:rsidRPr="00F612FE">
        <w:rPr>
          <w:rFonts w:ascii="Arial" w:hAnsi="Arial" w:cs="Arial"/>
        </w:rPr>
        <w:t xml:space="preserve"> https://www.opinion.com.bo/articulo/el-pais/defensor-iacute-respalda-ley-identidad-g-eacute-nero-recurso-tcp/20170215000100571923.html</w:t>
      </w:r>
    </w:p>
  </w:footnote>
  <w:footnote w:id="9">
    <w:p w14:paraId="79FBE5DA" w14:textId="4236BC70" w:rsidR="00CE345C" w:rsidRPr="00F612FE" w:rsidRDefault="00CE345C" w:rsidP="00F612FE">
      <w:pPr>
        <w:pStyle w:val="FootnoteText"/>
        <w:jc w:val="both"/>
        <w:rPr>
          <w:rFonts w:ascii="Arial" w:hAnsi="Arial" w:cs="Arial"/>
          <w:lang w:val="es-BO"/>
        </w:rPr>
      </w:pPr>
      <w:r w:rsidRPr="00F612FE">
        <w:rPr>
          <w:rStyle w:val="FootnoteReference"/>
          <w:rFonts w:ascii="Arial" w:hAnsi="Arial" w:cs="Arial"/>
        </w:rPr>
        <w:footnoteRef/>
      </w:r>
      <w:r w:rsidRPr="00F612FE">
        <w:rPr>
          <w:rFonts w:ascii="Arial" w:hAnsi="Arial" w:cs="Arial"/>
        </w:rPr>
        <w:t xml:space="preserve"> </w:t>
      </w:r>
      <w:hyperlink r:id="rId2" w:history="1">
        <w:r w:rsidRPr="00F612FE">
          <w:rPr>
            <w:rStyle w:val="Hyperlink"/>
            <w:rFonts w:ascii="Arial" w:hAnsi="Arial" w:cs="Arial"/>
            <w:color w:val="auto"/>
            <w:u w:val="none"/>
          </w:rPr>
          <w:t>https://elpais.com/internacional/2019/11/07/actualidad/1573143420_294513.html</w:t>
        </w:r>
      </w:hyperlink>
    </w:p>
  </w:footnote>
  <w:footnote w:id="10">
    <w:p w14:paraId="1F206692" w14:textId="5E45E9C1" w:rsidR="00CE345C" w:rsidRPr="00F612FE" w:rsidRDefault="00CE345C" w:rsidP="00F612FE">
      <w:pPr>
        <w:pStyle w:val="FootnoteText"/>
        <w:tabs>
          <w:tab w:val="clear" w:pos="1021"/>
          <w:tab w:val="right" w:pos="0"/>
        </w:tabs>
        <w:ind w:left="0" w:right="-1" w:firstLine="0"/>
        <w:jc w:val="both"/>
        <w:rPr>
          <w:rFonts w:ascii="Arial" w:hAnsi="Arial" w:cs="Arial"/>
          <w:lang w:val="es-BO"/>
        </w:rPr>
      </w:pPr>
      <w:r w:rsidRPr="00F612FE">
        <w:rPr>
          <w:rStyle w:val="FootnoteReference"/>
          <w:rFonts w:ascii="Arial" w:hAnsi="Arial" w:cs="Arial"/>
        </w:rPr>
        <w:footnoteRef/>
      </w:r>
      <w:r w:rsidRPr="00F612FE">
        <w:rPr>
          <w:rFonts w:ascii="Arial" w:hAnsi="Arial" w:cs="Arial"/>
        </w:rPr>
        <w:t xml:space="preserve"> </w:t>
      </w:r>
      <w:hyperlink r:id="rId3" w:history="1">
        <w:r w:rsidRPr="00F612FE">
          <w:rPr>
            <w:rStyle w:val="Hyperlink"/>
            <w:rFonts w:ascii="Arial" w:hAnsi="Arial" w:cs="Arial"/>
            <w:color w:val="auto"/>
            <w:u w:val="none"/>
          </w:rPr>
          <w:t>https://correodelsur.com/panorama/20191117_paso-a-paso-los-21-dias-de-la-caida-de-evo.html</w:t>
        </w:r>
      </w:hyperlink>
    </w:p>
  </w:footnote>
  <w:footnote w:id="11">
    <w:p w14:paraId="3652C5FF" w14:textId="52850F3B" w:rsidR="00CE345C" w:rsidRPr="00F612FE" w:rsidRDefault="00CE345C" w:rsidP="00F612FE">
      <w:pPr>
        <w:pStyle w:val="FootnoteText"/>
        <w:jc w:val="both"/>
        <w:rPr>
          <w:rFonts w:ascii="Arial" w:hAnsi="Arial" w:cs="Arial"/>
          <w:lang w:val="es-BO"/>
        </w:rPr>
      </w:pPr>
      <w:r w:rsidRPr="00F612FE">
        <w:rPr>
          <w:rStyle w:val="FootnoteReference"/>
          <w:rFonts w:ascii="Arial" w:hAnsi="Arial" w:cs="Arial"/>
        </w:rPr>
        <w:footnoteRef/>
      </w:r>
      <w:r w:rsidRPr="00F612FE">
        <w:rPr>
          <w:rFonts w:ascii="Arial" w:hAnsi="Arial" w:cs="Arial"/>
        </w:rPr>
        <w:t xml:space="preserve"> Huellas diversas, Agendas LBT en Bolivia, Fondo de Mujeres Bolivia, La Paz, 2020.</w:t>
      </w:r>
    </w:p>
  </w:footnote>
  <w:footnote w:id="12">
    <w:p w14:paraId="2CE7A81D" w14:textId="752BFE14" w:rsidR="00F612FE" w:rsidRPr="00F612FE" w:rsidRDefault="00F612FE" w:rsidP="00F612FE">
      <w:pPr>
        <w:pStyle w:val="FootnoteText"/>
        <w:tabs>
          <w:tab w:val="clear" w:pos="1021"/>
        </w:tabs>
        <w:ind w:left="0" w:right="-1" w:firstLine="0"/>
        <w:jc w:val="both"/>
        <w:rPr>
          <w:rFonts w:ascii="Arial" w:hAnsi="Arial" w:cs="Arial"/>
          <w:lang w:val="es-BO"/>
        </w:rPr>
      </w:pPr>
      <w:r w:rsidRPr="00F612FE">
        <w:rPr>
          <w:rStyle w:val="FootnoteReference"/>
          <w:rFonts w:ascii="Arial" w:hAnsi="Arial" w:cs="Arial"/>
        </w:rPr>
        <w:footnoteRef/>
      </w:r>
      <w:r w:rsidRPr="00F612FE">
        <w:rPr>
          <w:rFonts w:ascii="Arial" w:hAnsi="Arial" w:cs="Arial"/>
        </w:rPr>
        <w:t>https://www.paginasiete.bo/gente/2020/6/20/la-pandemia-golpea-al-colectivo-trans-con-violencia-desalojo-discriminacion-258912.html</w:t>
      </w:r>
    </w:p>
  </w:footnote>
  <w:footnote w:id="13">
    <w:p w14:paraId="07E40544" w14:textId="495E869B" w:rsidR="00CE345C" w:rsidRPr="00A3580B" w:rsidRDefault="00CE345C" w:rsidP="00F612FE">
      <w:pPr>
        <w:pStyle w:val="FootnoteText"/>
        <w:tabs>
          <w:tab w:val="clear" w:pos="1021"/>
          <w:tab w:val="right" w:pos="0"/>
        </w:tabs>
        <w:ind w:left="0" w:right="-1" w:firstLine="0"/>
        <w:jc w:val="both"/>
        <w:rPr>
          <w:lang w:val="es-BO"/>
        </w:rPr>
      </w:pPr>
      <w:r w:rsidRPr="00F612FE">
        <w:rPr>
          <w:rStyle w:val="FootnoteReference"/>
          <w:rFonts w:ascii="Arial" w:hAnsi="Arial" w:cs="Arial"/>
        </w:rPr>
        <w:footnoteRef/>
      </w:r>
      <w:r w:rsidRPr="00F612FE">
        <w:rPr>
          <w:rFonts w:ascii="Arial" w:hAnsi="Arial" w:cs="Arial"/>
        </w:rPr>
        <w:t xml:space="preserve"> La </w:t>
      </w:r>
      <w:r w:rsidRPr="00F612FE">
        <w:rPr>
          <w:rFonts w:ascii="Arial" w:hAnsi="Arial" w:cs="Arial"/>
          <w:bCs/>
          <w:szCs w:val="18"/>
          <w:shd w:val="clear" w:color="auto" w:fill="FFFFFF"/>
        </w:rPr>
        <w:t>Cuarentena de Bolivia de 2020 por coronavirus,</w:t>
      </w:r>
      <w:r w:rsidRPr="00F612FE">
        <w:rPr>
          <w:rFonts w:ascii="Arial" w:hAnsi="Arial" w:cs="Arial"/>
          <w:szCs w:val="18"/>
          <w:shd w:val="clear" w:color="auto" w:fill="FFFFFF"/>
        </w:rPr>
        <w:t> es la medida destinada a evitar la propagación del virus, la misma fue declara el 21 de marzo y a regir desde el domingo 22 de marzo. Previamente se habían dispuesto otras medidas restrictivas o semi cuarentena​ que incluía una serie de medidas restrictivas de circulación de personas, ajustes de horarios laborales, suspensión de clases a nivel escolar y universitario, recorte y re definición de horarios de trabajo, restricciones en reuniones y concentraciones, entre otras medidas determinadas a nivel del Estado central y de los gobiernos autónomos de nivel departamental y municipal.</w:t>
      </w:r>
    </w:p>
  </w:footnote>
  <w:footnote w:id="14">
    <w:p w14:paraId="5E88232D" w14:textId="5935FD97" w:rsidR="00CE345C" w:rsidRPr="001F0D70" w:rsidRDefault="00CE345C" w:rsidP="00B42E14">
      <w:pPr>
        <w:pStyle w:val="FootnoteText"/>
        <w:tabs>
          <w:tab w:val="clear" w:pos="1021"/>
          <w:tab w:val="right" w:pos="0"/>
        </w:tabs>
        <w:ind w:left="0" w:right="-1" w:firstLine="0"/>
        <w:rPr>
          <w:rFonts w:ascii="Arial" w:hAnsi="Arial" w:cs="Arial"/>
          <w:lang w:val="es-BO"/>
        </w:rPr>
      </w:pPr>
      <w:r w:rsidRPr="001F0D70">
        <w:rPr>
          <w:rStyle w:val="FootnoteReference"/>
          <w:rFonts w:ascii="Arial" w:hAnsi="Arial" w:cs="Arial"/>
        </w:rPr>
        <w:footnoteRef/>
      </w:r>
      <w:r w:rsidRPr="001F0D70">
        <w:rPr>
          <w:rFonts w:ascii="Arial" w:hAnsi="Arial" w:cs="Arial"/>
        </w:rPr>
        <w:t xml:space="preserve"> </w:t>
      </w:r>
      <w:r w:rsidRPr="001F0D70">
        <w:rPr>
          <w:rFonts w:ascii="Arial" w:hAnsi="Arial" w:cs="Arial"/>
          <w:lang w:val="es-BO"/>
        </w:rPr>
        <w:t>Defensoría del Pueblo, http://www.defensoria.gob.bo/dp/noticias_proc.asp?Seleccion=2537</w:t>
      </w:r>
    </w:p>
  </w:footnote>
  <w:footnote w:id="15">
    <w:p w14:paraId="46527E93" w14:textId="342F01ED" w:rsidR="00CE345C" w:rsidRPr="00DA656D" w:rsidRDefault="00CE345C" w:rsidP="005F2D32">
      <w:pPr>
        <w:pStyle w:val="FootnoteText"/>
        <w:tabs>
          <w:tab w:val="clear" w:pos="1021"/>
        </w:tabs>
        <w:ind w:left="0" w:right="-1" w:firstLine="0"/>
        <w:rPr>
          <w:rFonts w:ascii="Arial" w:hAnsi="Arial" w:cs="Arial"/>
          <w:lang w:val="es-BO"/>
        </w:rPr>
      </w:pPr>
      <w:r w:rsidRPr="00DA656D">
        <w:rPr>
          <w:rStyle w:val="FootnoteReference"/>
          <w:rFonts w:ascii="Arial" w:hAnsi="Arial" w:cs="Arial"/>
        </w:rPr>
        <w:footnoteRef/>
      </w:r>
      <w:r w:rsidRPr="00DA656D">
        <w:rPr>
          <w:rFonts w:ascii="Arial" w:hAnsi="Arial" w:cs="Arial"/>
        </w:rPr>
        <w:t xml:space="preserve"> VIDAURRE, Martín, Informe Anual Derechos Humanos Estado Plurinacional de Bolivia, 2014, Santa Cruz, Bolivia, pág.120. http://www.libertadglbt.org/simple99/upload/docs/informe_derechos_humanos.pdf</w:t>
      </w:r>
    </w:p>
  </w:footnote>
  <w:footnote w:id="16">
    <w:p w14:paraId="78608848" w14:textId="77777777" w:rsidR="00290709" w:rsidRPr="00DA656D" w:rsidRDefault="00290709" w:rsidP="00F21333">
      <w:pPr>
        <w:pStyle w:val="FootnoteText"/>
        <w:tabs>
          <w:tab w:val="clear" w:pos="1021"/>
          <w:tab w:val="right" w:pos="0"/>
        </w:tabs>
        <w:ind w:left="0" w:right="-1" w:firstLine="0"/>
        <w:rPr>
          <w:rFonts w:ascii="Arial" w:hAnsi="Arial" w:cs="Arial"/>
          <w:sz w:val="16"/>
          <w:szCs w:val="16"/>
        </w:rPr>
      </w:pPr>
      <w:r w:rsidRPr="00DA656D">
        <w:rPr>
          <w:rStyle w:val="FootnoteReference"/>
          <w:rFonts w:ascii="Arial" w:hAnsi="Arial" w:cs="Arial"/>
          <w:szCs w:val="16"/>
        </w:rPr>
        <w:footnoteRef/>
      </w:r>
      <w:r w:rsidRPr="00DA656D">
        <w:rPr>
          <w:rFonts w:ascii="Arial" w:hAnsi="Arial" w:cs="Arial"/>
          <w:szCs w:val="16"/>
        </w:rPr>
        <w:t xml:space="preserve"> Estudio sobre “Percepciones de la Población LGTBI en el ejercicio de su derecho humano al trabajo”; organización no gubernamental Capacitación y Derechos Ciudadanos CDC, 2016.</w:t>
      </w:r>
    </w:p>
  </w:footnote>
  <w:footnote w:id="17">
    <w:p w14:paraId="713A3DB9" w14:textId="5F2AD4D8" w:rsidR="00CE345C" w:rsidRPr="00DA656D" w:rsidRDefault="00CE345C">
      <w:pPr>
        <w:pStyle w:val="FootnoteText"/>
        <w:rPr>
          <w:rFonts w:ascii="Arial" w:hAnsi="Arial" w:cs="Arial"/>
          <w:lang w:val="es-BO"/>
        </w:rPr>
      </w:pPr>
      <w:r w:rsidRPr="00DA656D">
        <w:rPr>
          <w:rStyle w:val="FootnoteReference"/>
          <w:rFonts w:ascii="Arial" w:hAnsi="Arial" w:cs="Arial"/>
        </w:rPr>
        <w:footnoteRef/>
      </w:r>
      <w:r w:rsidRPr="00DA656D">
        <w:rPr>
          <w:rFonts w:ascii="Arial" w:hAnsi="Arial" w:cs="Arial"/>
        </w:rPr>
        <w:t xml:space="preserve"> </w:t>
      </w:r>
      <w:r w:rsidRPr="00DA656D">
        <w:rPr>
          <w:rFonts w:ascii="Arial" w:hAnsi="Arial" w:cs="Arial"/>
          <w:lang w:val="es-BO"/>
        </w:rPr>
        <w:t>Ley N° 045, promulgada el 8 de octubre de 2010</w:t>
      </w:r>
    </w:p>
  </w:footnote>
  <w:footnote w:id="18">
    <w:p w14:paraId="7C06C878" w14:textId="38FFD36B" w:rsidR="00DA656D" w:rsidRPr="00DA656D" w:rsidRDefault="00DA656D" w:rsidP="00DA656D">
      <w:pPr>
        <w:pStyle w:val="FootnoteText"/>
        <w:tabs>
          <w:tab w:val="clear" w:pos="1021"/>
          <w:tab w:val="right" w:pos="0"/>
        </w:tabs>
        <w:ind w:left="0" w:right="-1" w:firstLine="0"/>
        <w:jc w:val="both"/>
        <w:rPr>
          <w:rFonts w:ascii="Arial" w:hAnsi="Arial" w:cs="Arial"/>
          <w:lang w:val="es-BO"/>
        </w:rPr>
      </w:pPr>
      <w:r w:rsidRPr="00DA656D">
        <w:rPr>
          <w:rStyle w:val="FootnoteReference"/>
          <w:rFonts w:ascii="Arial" w:hAnsi="Arial" w:cs="Arial"/>
        </w:rPr>
        <w:footnoteRef/>
      </w:r>
      <w:r w:rsidRPr="00DA656D">
        <w:rPr>
          <w:rFonts w:ascii="Arial" w:hAnsi="Arial" w:cs="Arial"/>
        </w:rPr>
        <w:t xml:space="preserve"> https://www.lapublica.org.bo/al-toque/la-paz/item/788-movimiento-tlgb-de-bolivia-entrega-ante</w:t>
      </w:r>
      <w:r>
        <w:rPr>
          <w:rFonts w:ascii="Arial" w:hAnsi="Arial" w:cs="Arial"/>
        </w:rPr>
        <w:t>proyecto-del-acuerdo-de-vida-en-f</w:t>
      </w:r>
      <w:r w:rsidRPr="00DA656D">
        <w:rPr>
          <w:rFonts w:ascii="Arial" w:hAnsi="Arial" w:cs="Arial"/>
        </w:rPr>
        <w:t>amilia#:~:text=El%20lunes%2021%20de%20septiembre,en%20Familia%22%20(AVF).</w:t>
      </w:r>
    </w:p>
  </w:footnote>
  <w:footnote w:id="19">
    <w:p w14:paraId="140BB8D6" w14:textId="3AA1D59F" w:rsidR="00DA656D" w:rsidRPr="00CA045C" w:rsidRDefault="00DA656D" w:rsidP="00CA045C">
      <w:pPr>
        <w:pStyle w:val="FootnoteText"/>
        <w:tabs>
          <w:tab w:val="clear" w:pos="1021"/>
        </w:tabs>
        <w:ind w:left="0" w:right="-1" w:firstLine="0"/>
        <w:jc w:val="both"/>
        <w:rPr>
          <w:rFonts w:ascii="Arial" w:hAnsi="Arial" w:cs="Arial"/>
          <w:lang w:val="es-BO"/>
        </w:rPr>
      </w:pPr>
      <w:r w:rsidRPr="00CA045C">
        <w:rPr>
          <w:rStyle w:val="FootnoteReference"/>
          <w:rFonts w:ascii="Arial" w:hAnsi="Arial" w:cs="Arial"/>
        </w:rPr>
        <w:footnoteRef/>
      </w:r>
      <w:r w:rsidRPr="00CA045C">
        <w:rPr>
          <w:rFonts w:ascii="Arial" w:hAnsi="Arial" w:cs="Arial"/>
        </w:rPr>
        <w:t xml:space="preserve"> </w:t>
      </w:r>
      <w:r w:rsidR="00CA045C" w:rsidRPr="00CA045C">
        <w:rPr>
          <w:rFonts w:ascii="Arial" w:hAnsi="Arial" w:cs="Arial"/>
        </w:rPr>
        <w:t>Coordinadora de la Mujer, Colectivo TLGB de Bolivia. “Diagnóstico de la situación de las poblaciones TLGB con énfasis en mujeres lesbianas, bisexuales, transgéneros y transexuales femeninas en Bolivia, 2018.</w:t>
      </w:r>
    </w:p>
  </w:footnote>
  <w:footnote w:id="20">
    <w:p w14:paraId="56AAB367" w14:textId="4CA8A216" w:rsidR="00CE345C" w:rsidRPr="007357DB" w:rsidRDefault="00CE345C" w:rsidP="007357DB">
      <w:pPr>
        <w:pStyle w:val="FootnoteText"/>
        <w:tabs>
          <w:tab w:val="clear" w:pos="1021"/>
          <w:tab w:val="right" w:pos="0"/>
        </w:tabs>
        <w:ind w:left="0" w:right="-1" w:firstLine="0"/>
        <w:jc w:val="both"/>
        <w:rPr>
          <w:rFonts w:ascii="Arial" w:hAnsi="Arial" w:cs="Arial"/>
          <w:color w:val="5B9BD5" w:themeColor="accent1"/>
          <w:lang w:val="es-BO"/>
        </w:rPr>
      </w:pPr>
      <w:r w:rsidRPr="007357DB">
        <w:rPr>
          <w:rStyle w:val="FootnoteReference"/>
          <w:rFonts w:ascii="Arial" w:hAnsi="Arial" w:cs="Arial"/>
        </w:rPr>
        <w:footnoteRef/>
      </w:r>
      <w:r w:rsidRPr="007357DB">
        <w:rPr>
          <w:rFonts w:ascii="Arial" w:hAnsi="Arial" w:cs="Arial"/>
        </w:rPr>
        <w:t xml:space="preserve"> </w:t>
      </w:r>
      <w:r w:rsidRPr="007357DB">
        <w:rPr>
          <w:rFonts w:ascii="Arial" w:hAnsi="Arial" w:cs="Arial"/>
          <w:lang w:val="es-BO"/>
        </w:rPr>
        <w:t>Ayllon, Virginia. Investigación diagnóstica en el municipio de La Paz y El Alto sobre la percepción y prácticas sociales en relación a la orientación sexual e identidad de género en el ámbito escolar. Campaña Boliviana por el Derecho a la Educación – CBDE, 2017, pág. 21.</w:t>
      </w:r>
    </w:p>
  </w:footnote>
  <w:footnote w:id="21">
    <w:p w14:paraId="38DA9903" w14:textId="338608E6" w:rsidR="007357DB" w:rsidRPr="007357DB" w:rsidRDefault="007357DB" w:rsidP="007357DB">
      <w:pPr>
        <w:pStyle w:val="FootnoteText"/>
        <w:jc w:val="both"/>
        <w:rPr>
          <w:lang w:val="es-BO"/>
        </w:rPr>
      </w:pPr>
      <w:r w:rsidRPr="007357DB">
        <w:rPr>
          <w:rStyle w:val="FootnoteReference"/>
          <w:rFonts w:ascii="Arial" w:hAnsi="Arial" w:cs="Arial"/>
        </w:rPr>
        <w:footnoteRef/>
      </w:r>
      <w:r w:rsidRPr="007357DB">
        <w:rPr>
          <w:rFonts w:ascii="Arial" w:hAnsi="Arial" w:cs="Arial"/>
        </w:rPr>
        <w:t xml:space="preserve"> </w:t>
      </w:r>
      <w:r w:rsidRPr="007357DB">
        <w:rPr>
          <w:rFonts w:ascii="Arial" w:hAnsi="Arial" w:cs="Arial"/>
          <w:lang w:val="es-BO"/>
        </w:rPr>
        <w:t>Ley N° 548, aprobada el 17 de julio de 2014.</w:t>
      </w:r>
    </w:p>
  </w:footnote>
  <w:footnote w:id="22">
    <w:p w14:paraId="22D0AD82" w14:textId="132CFBAE" w:rsidR="001B0A59" w:rsidRPr="00CA045C" w:rsidRDefault="001B0A59" w:rsidP="00CA045C">
      <w:pPr>
        <w:pStyle w:val="FootnoteText"/>
        <w:tabs>
          <w:tab w:val="clear" w:pos="1021"/>
          <w:tab w:val="right" w:pos="0"/>
        </w:tabs>
        <w:ind w:left="0" w:right="-1" w:firstLine="0"/>
        <w:jc w:val="both"/>
        <w:rPr>
          <w:rFonts w:ascii="Arial" w:hAnsi="Arial" w:cs="Arial"/>
          <w:lang w:val="es-BO"/>
        </w:rPr>
      </w:pPr>
      <w:r w:rsidRPr="00CA045C">
        <w:rPr>
          <w:rStyle w:val="FootnoteReference"/>
          <w:rFonts w:ascii="Arial" w:hAnsi="Arial" w:cs="Arial"/>
        </w:rPr>
        <w:footnoteRef/>
      </w:r>
      <w:r w:rsidRPr="00CA045C">
        <w:rPr>
          <w:rFonts w:ascii="Arial" w:hAnsi="Arial" w:cs="Arial"/>
        </w:rPr>
        <w:t xml:space="preserve"> </w:t>
      </w:r>
      <w:r w:rsidRPr="00CA045C">
        <w:rPr>
          <w:rFonts w:ascii="Arial" w:hAnsi="Arial" w:cs="Arial"/>
          <w:lang w:val="es-BO"/>
        </w:rPr>
        <w:t>La Comunidad Educativa la conformas estudiantes, docentes, madres y padres de familia.</w:t>
      </w:r>
    </w:p>
  </w:footnote>
  <w:footnote w:id="23">
    <w:p w14:paraId="7967FCC6" w14:textId="57A59E4D" w:rsidR="00AB5C5D" w:rsidRPr="00AB5C5D" w:rsidRDefault="00AB5C5D" w:rsidP="00CA045C">
      <w:pPr>
        <w:pStyle w:val="FootnoteText"/>
        <w:tabs>
          <w:tab w:val="clear" w:pos="1021"/>
          <w:tab w:val="right" w:pos="0"/>
        </w:tabs>
        <w:ind w:left="0" w:right="-1" w:firstLine="0"/>
        <w:jc w:val="both"/>
        <w:rPr>
          <w:lang w:val="es-BO"/>
        </w:rPr>
      </w:pPr>
      <w:r w:rsidRPr="00CA045C">
        <w:rPr>
          <w:rStyle w:val="FootnoteReference"/>
          <w:rFonts w:ascii="Arial" w:hAnsi="Arial" w:cs="Arial"/>
        </w:rPr>
        <w:footnoteRef/>
      </w:r>
      <w:r w:rsidRPr="00CA045C">
        <w:rPr>
          <w:rFonts w:ascii="Arial" w:hAnsi="Arial" w:cs="Arial"/>
        </w:rPr>
        <w:t xml:space="preserve"> </w:t>
      </w:r>
      <w:hyperlink r:id="rId4" w:history="1">
        <w:r w:rsidRPr="00CA045C">
          <w:rPr>
            <w:rStyle w:val="Hyperlink"/>
            <w:rFonts w:ascii="Arial" w:hAnsi="Arial" w:cs="Arial"/>
            <w:color w:val="auto"/>
            <w:u w:val="none"/>
          </w:rPr>
          <w:t>https://www.acnur.org/fileadmin/Documentos/BDL/2014/9502.pdf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2E62C3"/>
    <w:multiLevelType w:val="hybridMultilevel"/>
    <w:tmpl w:val="2E76B2F6"/>
    <w:lvl w:ilvl="0" w:tplc="7ED05B2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8F50B9"/>
    <w:multiLevelType w:val="hybridMultilevel"/>
    <w:tmpl w:val="585E89D8"/>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58550975"/>
    <w:multiLevelType w:val="hybridMultilevel"/>
    <w:tmpl w:val="C1C66618"/>
    <w:lvl w:ilvl="0" w:tplc="2018A03E">
      <w:start w:val="1"/>
      <w:numFmt w:val="decimal"/>
      <w:lvlText w:val="%1."/>
      <w:lvlJc w:val="left"/>
      <w:pPr>
        <w:ind w:left="644" w:hanging="360"/>
      </w:pPr>
      <w:rPr>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D4E4CEC"/>
    <w:multiLevelType w:val="hybridMultilevel"/>
    <w:tmpl w:val="F90833B8"/>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0D6"/>
    <w:rsid w:val="00023360"/>
    <w:rsid w:val="000237FA"/>
    <w:rsid w:val="00023BC3"/>
    <w:rsid w:val="00045A52"/>
    <w:rsid w:val="00057F3C"/>
    <w:rsid w:val="00061BF9"/>
    <w:rsid w:val="00084E2C"/>
    <w:rsid w:val="000A4109"/>
    <w:rsid w:val="000B29BA"/>
    <w:rsid w:val="000D7CC5"/>
    <w:rsid w:val="0012361E"/>
    <w:rsid w:val="001358EF"/>
    <w:rsid w:val="00151C61"/>
    <w:rsid w:val="001576B4"/>
    <w:rsid w:val="0016752C"/>
    <w:rsid w:val="00172138"/>
    <w:rsid w:val="001A2B17"/>
    <w:rsid w:val="001B07AE"/>
    <w:rsid w:val="001B0A59"/>
    <w:rsid w:val="001D3CDD"/>
    <w:rsid w:val="001F0D70"/>
    <w:rsid w:val="0028480C"/>
    <w:rsid w:val="00290709"/>
    <w:rsid w:val="00293819"/>
    <w:rsid w:val="002B29F1"/>
    <w:rsid w:val="002C71B2"/>
    <w:rsid w:val="002D5F66"/>
    <w:rsid w:val="002E0E45"/>
    <w:rsid w:val="002E246B"/>
    <w:rsid w:val="002E67D7"/>
    <w:rsid w:val="003071F8"/>
    <w:rsid w:val="00313134"/>
    <w:rsid w:val="00333B83"/>
    <w:rsid w:val="003744AC"/>
    <w:rsid w:val="00381B61"/>
    <w:rsid w:val="00387CFB"/>
    <w:rsid w:val="003A1209"/>
    <w:rsid w:val="003A6A73"/>
    <w:rsid w:val="00406EFE"/>
    <w:rsid w:val="004235BF"/>
    <w:rsid w:val="004367C3"/>
    <w:rsid w:val="00436AA8"/>
    <w:rsid w:val="00442CF3"/>
    <w:rsid w:val="00462CCE"/>
    <w:rsid w:val="0047434F"/>
    <w:rsid w:val="00487841"/>
    <w:rsid w:val="00490E21"/>
    <w:rsid w:val="004C4164"/>
    <w:rsid w:val="004F3F42"/>
    <w:rsid w:val="004F4B66"/>
    <w:rsid w:val="0053256F"/>
    <w:rsid w:val="005778BF"/>
    <w:rsid w:val="00577CB8"/>
    <w:rsid w:val="005976D7"/>
    <w:rsid w:val="005A43A7"/>
    <w:rsid w:val="005A4AAD"/>
    <w:rsid w:val="005B5DE9"/>
    <w:rsid w:val="005C62A2"/>
    <w:rsid w:val="005F2D32"/>
    <w:rsid w:val="00605F1B"/>
    <w:rsid w:val="00606916"/>
    <w:rsid w:val="0063544F"/>
    <w:rsid w:val="0064069E"/>
    <w:rsid w:val="00670340"/>
    <w:rsid w:val="006B45BE"/>
    <w:rsid w:val="006C3BA0"/>
    <w:rsid w:val="006E307C"/>
    <w:rsid w:val="006E37E6"/>
    <w:rsid w:val="006F1467"/>
    <w:rsid w:val="007357DB"/>
    <w:rsid w:val="00760F01"/>
    <w:rsid w:val="00764EDB"/>
    <w:rsid w:val="007748FA"/>
    <w:rsid w:val="007905E6"/>
    <w:rsid w:val="00794D6A"/>
    <w:rsid w:val="007B1013"/>
    <w:rsid w:val="007C22DB"/>
    <w:rsid w:val="007D08F9"/>
    <w:rsid w:val="007F6DED"/>
    <w:rsid w:val="00852940"/>
    <w:rsid w:val="00863077"/>
    <w:rsid w:val="00863A9D"/>
    <w:rsid w:val="008832F5"/>
    <w:rsid w:val="008938F7"/>
    <w:rsid w:val="008B0FFA"/>
    <w:rsid w:val="008C237F"/>
    <w:rsid w:val="008D64B1"/>
    <w:rsid w:val="00953B80"/>
    <w:rsid w:val="0097313F"/>
    <w:rsid w:val="009853C7"/>
    <w:rsid w:val="00986011"/>
    <w:rsid w:val="009870B1"/>
    <w:rsid w:val="00995E1F"/>
    <w:rsid w:val="009A195A"/>
    <w:rsid w:val="009A7CE1"/>
    <w:rsid w:val="009C2A87"/>
    <w:rsid w:val="009C349D"/>
    <w:rsid w:val="009E3A36"/>
    <w:rsid w:val="009F3426"/>
    <w:rsid w:val="00A02AB8"/>
    <w:rsid w:val="00A10836"/>
    <w:rsid w:val="00A1334B"/>
    <w:rsid w:val="00A15314"/>
    <w:rsid w:val="00A3580B"/>
    <w:rsid w:val="00A40ACC"/>
    <w:rsid w:val="00A63A38"/>
    <w:rsid w:val="00A67CBB"/>
    <w:rsid w:val="00A71A3D"/>
    <w:rsid w:val="00A84D62"/>
    <w:rsid w:val="00AA0322"/>
    <w:rsid w:val="00AB0967"/>
    <w:rsid w:val="00AB5C5D"/>
    <w:rsid w:val="00AC1B4B"/>
    <w:rsid w:val="00AF6B0C"/>
    <w:rsid w:val="00B12D74"/>
    <w:rsid w:val="00B13624"/>
    <w:rsid w:val="00B14365"/>
    <w:rsid w:val="00B31823"/>
    <w:rsid w:val="00B42E14"/>
    <w:rsid w:val="00B61989"/>
    <w:rsid w:val="00B725B7"/>
    <w:rsid w:val="00B72C8F"/>
    <w:rsid w:val="00BA4A19"/>
    <w:rsid w:val="00BC5B92"/>
    <w:rsid w:val="00C32590"/>
    <w:rsid w:val="00C41F94"/>
    <w:rsid w:val="00C82EF9"/>
    <w:rsid w:val="00C94658"/>
    <w:rsid w:val="00CA045C"/>
    <w:rsid w:val="00CE345C"/>
    <w:rsid w:val="00CE37DE"/>
    <w:rsid w:val="00D15F1E"/>
    <w:rsid w:val="00D22765"/>
    <w:rsid w:val="00D22CC6"/>
    <w:rsid w:val="00D47EBE"/>
    <w:rsid w:val="00D56733"/>
    <w:rsid w:val="00D56C55"/>
    <w:rsid w:val="00D62F3B"/>
    <w:rsid w:val="00D729C8"/>
    <w:rsid w:val="00D9063C"/>
    <w:rsid w:val="00D9551C"/>
    <w:rsid w:val="00DA656D"/>
    <w:rsid w:val="00DD3AED"/>
    <w:rsid w:val="00DE20D6"/>
    <w:rsid w:val="00E07858"/>
    <w:rsid w:val="00E25C8E"/>
    <w:rsid w:val="00E376D7"/>
    <w:rsid w:val="00E43DBE"/>
    <w:rsid w:val="00E47A06"/>
    <w:rsid w:val="00E51F54"/>
    <w:rsid w:val="00E76DA7"/>
    <w:rsid w:val="00EB0716"/>
    <w:rsid w:val="00EB1CFA"/>
    <w:rsid w:val="00ED537A"/>
    <w:rsid w:val="00F21333"/>
    <w:rsid w:val="00F2668B"/>
    <w:rsid w:val="00F329E6"/>
    <w:rsid w:val="00F35571"/>
    <w:rsid w:val="00F612FE"/>
    <w:rsid w:val="00F96537"/>
    <w:rsid w:val="00FA1276"/>
    <w:rsid w:val="00FA78B9"/>
    <w:rsid w:val="00FB0465"/>
    <w:rsid w:val="00FB1C87"/>
    <w:rsid w:val="00FD2B3D"/>
    <w:rsid w:val="00FD7AB3"/>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27EE1"/>
  <w15:chartTrackingRefBased/>
  <w15:docId w15:val="{60080E41-45D6-4C03-844F-C8E2E7D90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E20D6"/>
    <w:pPr>
      <w:spacing w:after="0" w:line="240" w:lineRule="auto"/>
    </w:pPr>
  </w:style>
  <w:style w:type="character" w:styleId="FootnoteReference">
    <w:name w:val="footnote reference"/>
    <w:aliases w:val="4_G,Footnotes refss"/>
    <w:link w:val="Appelnotedebasde"/>
    <w:uiPriority w:val="99"/>
    <w:qFormat/>
    <w:rsid w:val="005A4AAD"/>
    <w:rPr>
      <w:rFonts w:ascii="Times New Roman" w:hAnsi="Times New Roman"/>
      <w:sz w:val="18"/>
      <w:vertAlign w:val="superscript"/>
    </w:rPr>
  </w:style>
  <w:style w:type="paragraph" w:customStyle="1" w:styleId="HChG">
    <w:name w:val="_ H _Ch_G"/>
    <w:basedOn w:val="Normal"/>
    <w:next w:val="Normal"/>
    <w:link w:val="HChGChar"/>
    <w:qFormat/>
    <w:rsid w:val="005A4AAD"/>
    <w:pPr>
      <w:keepNext/>
      <w:keepLines/>
      <w:tabs>
        <w:tab w:val="right" w:pos="851"/>
      </w:tabs>
      <w:suppressAutoHyphens/>
      <w:spacing w:before="360" w:after="240" w:line="300" w:lineRule="exact"/>
      <w:ind w:left="1134" w:right="1134" w:hanging="1134"/>
    </w:pPr>
    <w:rPr>
      <w:rFonts w:ascii="Times New Roman" w:eastAsia="SimSun" w:hAnsi="Times New Roman" w:cs="Times New Roman"/>
      <w:b/>
      <w:sz w:val="28"/>
      <w:szCs w:val="20"/>
      <w:lang w:val="es-ES" w:eastAsia="es-ES"/>
    </w:rPr>
  </w:style>
  <w:style w:type="character" w:customStyle="1" w:styleId="HChGChar">
    <w:name w:val="_ H _Ch_G Char"/>
    <w:link w:val="HChG"/>
    <w:rsid w:val="005A4AAD"/>
    <w:rPr>
      <w:rFonts w:ascii="Times New Roman" w:eastAsia="SimSun" w:hAnsi="Times New Roman" w:cs="Times New Roman"/>
      <w:b/>
      <w:sz w:val="28"/>
      <w:szCs w:val="20"/>
      <w:lang w:val="es-ES" w:eastAsia="es-ES"/>
    </w:rPr>
  </w:style>
  <w:style w:type="paragraph" w:customStyle="1" w:styleId="H23G">
    <w:name w:val="_ H_2/3_G"/>
    <w:basedOn w:val="Normal"/>
    <w:next w:val="Normal"/>
    <w:qFormat/>
    <w:rsid w:val="005A4AAD"/>
    <w:pPr>
      <w:keepNext/>
      <w:keepLines/>
      <w:tabs>
        <w:tab w:val="right" w:pos="851"/>
      </w:tabs>
      <w:suppressAutoHyphens/>
      <w:spacing w:before="240" w:after="120" w:line="240" w:lineRule="exact"/>
      <w:ind w:left="1134" w:right="1134" w:hanging="1134"/>
    </w:pPr>
    <w:rPr>
      <w:rFonts w:ascii="Times New Roman" w:eastAsia="SimSun" w:hAnsi="Times New Roman" w:cs="Times New Roman"/>
      <w:b/>
      <w:sz w:val="20"/>
      <w:szCs w:val="20"/>
      <w:lang w:val="es-ES" w:eastAsia="es-ES"/>
    </w:rPr>
  </w:style>
  <w:style w:type="paragraph" w:customStyle="1" w:styleId="SingleTxtG">
    <w:name w:val="_ Single Txt_G"/>
    <w:basedOn w:val="Normal"/>
    <w:link w:val="SingleTxtGChar"/>
    <w:qFormat/>
    <w:rsid w:val="005A4AAD"/>
    <w:pPr>
      <w:spacing w:after="120" w:line="240" w:lineRule="atLeast"/>
      <w:ind w:left="1134" w:right="1134"/>
      <w:jc w:val="both"/>
    </w:pPr>
    <w:rPr>
      <w:rFonts w:ascii="Times New Roman" w:eastAsia="SimSun" w:hAnsi="Times New Roman" w:cs="Times New Roman"/>
      <w:sz w:val="20"/>
      <w:szCs w:val="20"/>
      <w:lang w:val="es-ES" w:eastAsia="es-ES"/>
    </w:rPr>
  </w:style>
  <w:style w:type="paragraph" w:styleId="FootnoteText">
    <w:name w:val="footnote text"/>
    <w:aliases w:val="5_G"/>
    <w:basedOn w:val="Normal"/>
    <w:link w:val="FootnoteTextChar"/>
    <w:uiPriority w:val="99"/>
    <w:qFormat/>
    <w:rsid w:val="005A4AAD"/>
    <w:pPr>
      <w:tabs>
        <w:tab w:val="right" w:pos="1021"/>
      </w:tabs>
      <w:spacing w:after="0" w:line="220" w:lineRule="exact"/>
      <w:ind w:left="1134" w:right="1134" w:hanging="1134"/>
    </w:pPr>
    <w:rPr>
      <w:rFonts w:ascii="Times New Roman" w:eastAsia="SimSun" w:hAnsi="Times New Roman" w:cs="Times New Roman"/>
      <w:sz w:val="18"/>
      <w:szCs w:val="20"/>
      <w:lang w:val="es-ES" w:eastAsia="es-ES"/>
    </w:rPr>
  </w:style>
  <w:style w:type="character" w:customStyle="1" w:styleId="FootnoteTextChar">
    <w:name w:val="Footnote Text Char"/>
    <w:aliases w:val="5_G Char"/>
    <w:basedOn w:val="DefaultParagraphFont"/>
    <w:link w:val="FootnoteText"/>
    <w:uiPriority w:val="99"/>
    <w:rsid w:val="005A4AAD"/>
    <w:rPr>
      <w:rFonts w:ascii="Times New Roman" w:eastAsia="SimSun" w:hAnsi="Times New Roman" w:cs="Times New Roman"/>
      <w:sz w:val="18"/>
      <w:szCs w:val="20"/>
      <w:lang w:val="es-ES" w:eastAsia="es-ES"/>
    </w:rPr>
  </w:style>
  <w:style w:type="paragraph" w:customStyle="1" w:styleId="Appelnotedebasde">
    <w:name w:val="Appel note de bas de..."/>
    <w:basedOn w:val="Normal"/>
    <w:link w:val="FootnoteReference"/>
    <w:rsid w:val="005A4AAD"/>
    <w:pPr>
      <w:spacing w:line="240" w:lineRule="exact"/>
    </w:pPr>
    <w:rPr>
      <w:rFonts w:ascii="Times New Roman" w:hAnsi="Times New Roman"/>
      <w:sz w:val="18"/>
      <w:vertAlign w:val="superscript"/>
    </w:rPr>
  </w:style>
  <w:style w:type="character" w:customStyle="1" w:styleId="SingleTxtGChar">
    <w:name w:val="_ Single Txt_G Char"/>
    <w:link w:val="SingleTxtG"/>
    <w:locked/>
    <w:rsid w:val="005A4AAD"/>
    <w:rPr>
      <w:rFonts w:ascii="Times New Roman" w:eastAsia="SimSun" w:hAnsi="Times New Roman" w:cs="Times New Roman"/>
      <w:sz w:val="20"/>
      <w:szCs w:val="20"/>
      <w:lang w:val="es-ES" w:eastAsia="es-ES"/>
    </w:rPr>
  </w:style>
  <w:style w:type="paragraph" w:styleId="NormalWeb">
    <w:name w:val="Normal (Web)"/>
    <w:basedOn w:val="Normal"/>
    <w:uiPriority w:val="99"/>
    <w:semiHidden/>
    <w:unhideWhenUsed/>
    <w:rsid w:val="00313134"/>
    <w:pPr>
      <w:spacing w:before="100" w:beforeAutospacing="1" w:after="100" w:afterAutospacing="1" w:line="240" w:lineRule="auto"/>
    </w:pPr>
    <w:rPr>
      <w:rFonts w:ascii="Times New Roman" w:eastAsia="Times New Roman" w:hAnsi="Times New Roman" w:cs="Times New Roman"/>
      <w:sz w:val="24"/>
      <w:szCs w:val="24"/>
      <w:lang w:eastAsia="es-BO"/>
    </w:rPr>
  </w:style>
  <w:style w:type="paragraph" w:styleId="Footer">
    <w:name w:val="footer"/>
    <w:basedOn w:val="Normal"/>
    <w:link w:val="FooterChar"/>
    <w:uiPriority w:val="99"/>
    <w:unhideWhenUsed/>
    <w:rsid w:val="00C82EF9"/>
    <w:pPr>
      <w:tabs>
        <w:tab w:val="center" w:pos="4419"/>
        <w:tab w:val="right" w:pos="8838"/>
      </w:tabs>
      <w:spacing w:after="0" w:line="240" w:lineRule="auto"/>
    </w:pPr>
  </w:style>
  <w:style w:type="character" w:customStyle="1" w:styleId="FooterChar">
    <w:name w:val="Footer Char"/>
    <w:basedOn w:val="DefaultParagraphFont"/>
    <w:link w:val="Footer"/>
    <w:uiPriority w:val="99"/>
    <w:rsid w:val="00C82EF9"/>
  </w:style>
  <w:style w:type="character" w:styleId="PageNumber">
    <w:name w:val="page number"/>
    <w:basedOn w:val="DefaultParagraphFont"/>
    <w:uiPriority w:val="99"/>
    <w:semiHidden/>
    <w:unhideWhenUsed/>
    <w:rsid w:val="00C82EF9"/>
  </w:style>
  <w:style w:type="paragraph" w:styleId="ListParagraph">
    <w:name w:val="List Paragraph"/>
    <w:basedOn w:val="Normal"/>
    <w:uiPriority w:val="34"/>
    <w:qFormat/>
    <w:rsid w:val="00C82EF9"/>
    <w:pPr>
      <w:spacing w:after="0" w:line="240" w:lineRule="auto"/>
      <w:ind w:left="720"/>
      <w:contextualSpacing/>
    </w:pPr>
    <w:rPr>
      <w:sz w:val="24"/>
      <w:szCs w:val="24"/>
      <w:lang w:val="en-US"/>
    </w:rPr>
  </w:style>
  <w:style w:type="paragraph" w:styleId="BalloonText">
    <w:name w:val="Balloon Text"/>
    <w:basedOn w:val="Normal"/>
    <w:link w:val="BalloonTextChar"/>
    <w:uiPriority w:val="99"/>
    <w:semiHidden/>
    <w:unhideWhenUsed/>
    <w:rsid w:val="00C82EF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82EF9"/>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D9551C"/>
    <w:rPr>
      <w:sz w:val="16"/>
      <w:szCs w:val="16"/>
    </w:rPr>
  </w:style>
  <w:style w:type="paragraph" w:styleId="CommentText">
    <w:name w:val="annotation text"/>
    <w:basedOn w:val="Normal"/>
    <w:link w:val="CommentTextChar"/>
    <w:uiPriority w:val="99"/>
    <w:semiHidden/>
    <w:unhideWhenUsed/>
    <w:rsid w:val="00D9551C"/>
    <w:pPr>
      <w:spacing w:line="240" w:lineRule="auto"/>
    </w:pPr>
    <w:rPr>
      <w:sz w:val="20"/>
      <w:szCs w:val="20"/>
    </w:rPr>
  </w:style>
  <w:style w:type="character" w:customStyle="1" w:styleId="CommentTextChar">
    <w:name w:val="Comment Text Char"/>
    <w:basedOn w:val="DefaultParagraphFont"/>
    <w:link w:val="CommentText"/>
    <w:uiPriority w:val="99"/>
    <w:semiHidden/>
    <w:rsid w:val="00D9551C"/>
    <w:rPr>
      <w:sz w:val="20"/>
      <w:szCs w:val="20"/>
    </w:rPr>
  </w:style>
  <w:style w:type="paragraph" w:styleId="CommentSubject">
    <w:name w:val="annotation subject"/>
    <w:basedOn w:val="CommentText"/>
    <w:next w:val="CommentText"/>
    <w:link w:val="CommentSubjectChar"/>
    <w:uiPriority w:val="99"/>
    <w:semiHidden/>
    <w:unhideWhenUsed/>
    <w:rsid w:val="00D9551C"/>
    <w:rPr>
      <w:b/>
      <w:bCs/>
    </w:rPr>
  </w:style>
  <w:style w:type="character" w:customStyle="1" w:styleId="CommentSubjectChar">
    <w:name w:val="Comment Subject Char"/>
    <w:basedOn w:val="CommentTextChar"/>
    <w:link w:val="CommentSubject"/>
    <w:uiPriority w:val="99"/>
    <w:semiHidden/>
    <w:rsid w:val="00D9551C"/>
    <w:rPr>
      <w:b/>
      <w:bCs/>
      <w:sz w:val="20"/>
      <w:szCs w:val="20"/>
    </w:rPr>
  </w:style>
  <w:style w:type="paragraph" w:styleId="Revision">
    <w:name w:val="Revision"/>
    <w:hidden/>
    <w:uiPriority w:val="99"/>
    <w:semiHidden/>
    <w:rsid w:val="00794D6A"/>
    <w:pPr>
      <w:spacing w:after="0" w:line="240" w:lineRule="auto"/>
    </w:pPr>
  </w:style>
  <w:style w:type="character" w:styleId="Strong">
    <w:name w:val="Strong"/>
    <w:basedOn w:val="DefaultParagraphFont"/>
    <w:uiPriority w:val="22"/>
    <w:qFormat/>
    <w:rsid w:val="00B14365"/>
    <w:rPr>
      <w:b/>
      <w:bCs/>
    </w:rPr>
  </w:style>
  <w:style w:type="character" w:styleId="Hyperlink">
    <w:name w:val="Hyperlink"/>
    <w:basedOn w:val="DefaultParagraphFont"/>
    <w:uiPriority w:val="99"/>
    <w:unhideWhenUsed/>
    <w:rsid w:val="001576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733553">
      <w:bodyDiv w:val="1"/>
      <w:marLeft w:val="0"/>
      <w:marRight w:val="0"/>
      <w:marTop w:val="0"/>
      <w:marBottom w:val="0"/>
      <w:divBdr>
        <w:top w:val="none" w:sz="0" w:space="0" w:color="auto"/>
        <w:left w:val="none" w:sz="0" w:space="0" w:color="auto"/>
        <w:bottom w:val="none" w:sz="0" w:space="0" w:color="auto"/>
        <w:right w:val="none" w:sz="0" w:space="0" w:color="auto"/>
      </w:divBdr>
    </w:div>
    <w:div w:id="897665765">
      <w:bodyDiv w:val="1"/>
      <w:marLeft w:val="0"/>
      <w:marRight w:val="0"/>
      <w:marTop w:val="0"/>
      <w:marBottom w:val="0"/>
      <w:divBdr>
        <w:top w:val="none" w:sz="0" w:space="0" w:color="auto"/>
        <w:left w:val="none" w:sz="0" w:space="0" w:color="auto"/>
        <w:bottom w:val="none" w:sz="0" w:space="0" w:color="auto"/>
        <w:right w:val="none" w:sz="0" w:space="0" w:color="auto"/>
      </w:divBdr>
    </w:div>
    <w:div w:id="1276135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correodelsur.com/panorama/20191117_paso-a-paso-los-21-dias-de-la-caida-de-evo.html" TargetMode="External"/><Relationship Id="rId2" Type="http://schemas.openxmlformats.org/officeDocument/2006/relationships/hyperlink" Target="https://elpais.com/internacional/2019/11/07/actualidad/1573143420_294513.html" TargetMode="External"/><Relationship Id="rId1" Type="http://schemas.openxmlformats.org/officeDocument/2006/relationships/hyperlink" Target="http://www.observatoriolgbt.org.bo/index.php/estadistica/detalle/cod_estadistica/4" TargetMode="External"/><Relationship Id="rId4" Type="http://schemas.openxmlformats.org/officeDocument/2006/relationships/hyperlink" Target="https://www.acnur.org/fileadmin/Documentos/BDL/2014/9502.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285C11-C9A5-4D5C-959D-DCFBF4DFDF6C}">
  <ds:schemaRefs>
    <ds:schemaRef ds:uri="http://schemas.openxmlformats.org/officeDocument/2006/bibliography"/>
  </ds:schemaRefs>
</ds:datastoreItem>
</file>

<file path=customXml/itemProps2.xml><?xml version="1.0" encoding="utf-8"?>
<ds:datastoreItem xmlns:ds="http://schemas.openxmlformats.org/officeDocument/2006/customXml" ds:itemID="{DC527D4D-E6F1-40C4-85B8-E53FC8386B13}"/>
</file>

<file path=customXml/itemProps3.xml><?xml version="1.0" encoding="utf-8"?>
<ds:datastoreItem xmlns:ds="http://schemas.openxmlformats.org/officeDocument/2006/customXml" ds:itemID="{97E60B0B-D23C-4EF4-9DBF-843DE137E739}"/>
</file>

<file path=customXml/itemProps4.xml><?xml version="1.0" encoding="utf-8"?>
<ds:datastoreItem xmlns:ds="http://schemas.openxmlformats.org/officeDocument/2006/customXml" ds:itemID="{2192D088-77A9-47B9-A481-791BF7561495}"/>
</file>

<file path=docProps/app.xml><?xml version="1.0" encoding="utf-8"?>
<Properties xmlns="http://schemas.openxmlformats.org/officeDocument/2006/extended-properties" xmlns:vt="http://schemas.openxmlformats.org/officeDocument/2006/docPropsVTypes">
  <Template>Normal.dotm</Template>
  <TotalTime>0</TotalTime>
  <Pages>16</Pages>
  <Words>3686</Words>
  <Characters>21014</Characters>
  <Application>Microsoft Office Word</Application>
  <DocSecurity>0</DocSecurity>
  <Lines>175</Lines>
  <Paragraphs>49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Vargas, Rodolfo</dc:creator>
  <cp:keywords/>
  <dc:description/>
  <cp:lastModifiedBy>Tolaïni Sabine</cp:lastModifiedBy>
  <cp:revision>2</cp:revision>
  <dcterms:created xsi:type="dcterms:W3CDTF">2020-09-07T11:16:00Z</dcterms:created>
  <dcterms:modified xsi:type="dcterms:W3CDTF">2020-09-07T11:16:00Z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