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A5A659" w14:textId="77777777" w:rsidR="00000000" w:rsidRDefault="00000000">
      <w:pPr>
        <w:adjustRightInd w:val="0"/>
        <w:snapToGrid w:val="0"/>
        <w:jc w:val="center"/>
        <w:rPr>
          <w:rFonts w:ascii="方正小标宋简体" w:eastAsia="方正小标宋简体" w:hAnsi="方正小标宋简体" w:cs="方正小标宋简体" w:hint="eastAsia"/>
          <w:bCs/>
          <w:sz w:val="44"/>
          <w:szCs w:val="44"/>
        </w:rPr>
      </w:pPr>
      <w:bookmarkStart w:id="0" w:name="红头"/>
    </w:p>
    <w:p w14:paraId="58EB7F85" w14:textId="77777777" w:rsidR="00000000" w:rsidRDefault="00000000">
      <w:pPr>
        <w:jc w:val="center"/>
        <w:rPr>
          <w:rFonts w:eastAsia="FangSong" w:hint="eastAsia"/>
          <w:b/>
          <w:bCs/>
          <w:sz w:val="28"/>
          <w:szCs w:val="28"/>
        </w:rPr>
      </w:pPr>
      <w:r>
        <w:rPr>
          <w:rFonts w:eastAsia="FangSong"/>
          <w:b/>
          <w:bCs/>
          <w:sz w:val="28"/>
          <w:szCs w:val="28"/>
        </w:rPr>
        <w:t>NGO Report Submitted by China Family Planning Association to</w:t>
      </w:r>
      <w:bookmarkStart w:id="1" w:name="_Hlk130290484"/>
      <w:r>
        <w:rPr>
          <w:rFonts w:eastAsia="FangSong"/>
          <w:b/>
          <w:bCs/>
          <w:sz w:val="28"/>
          <w:szCs w:val="28"/>
        </w:rPr>
        <w:t xml:space="preserve"> the Review of CEDAW Implementation in China</w:t>
      </w:r>
      <w:bookmarkEnd w:id="1"/>
    </w:p>
    <w:p w14:paraId="5D87ED54" w14:textId="77777777" w:rsidR="00000000" w:rsidRDefault="00000000">
      <w:pPr>
        <w:pStyle w:val="ListParagraph"/>
        <w:adjustRightInd w:val="0"/>
        <w:snapToGrid w:val="0"/>
        <w:spacing w:line="580" w:lineRule="exact"/>
        <w:ind w:firstLineChars="0" w:firstLine="0"/>
        <w:rPr>
          <w:rFonts w:ascii="仿宋_GB2312" w:hAnsi="仿宋_GB2312" w:cs="仿宋_GB2312" w:hint="eastAsia"/>
          <w:szCs w:val="32"/>
        </w:rPr>
      </w:pPr>
    </w:p>
    <w:p w14:paraId="42A88B74" w14:textId="77777777" w:rsidR="00000000" w:rsidRDefault="00000000">
      <w:pPr>
        <w:pStyle w:val="ListParagraph"/>
        <w:adjustRightInd w:val="0"/>
        <w:snapToGrid w:val="0"/>
        <w:spacing w:line="580" w:lineRule="exact"/>
        <w:ind w:firstLineChars="0" w:firstLine="0"/>
        <w:rPr>
          <w:sz w:val="28"/>
          <w:szCs w:val="28"/>
        </w:rPr>
      </w:pPr>
      <w:r>
        <w:rPr>
          <w:sz w:val="28"/>
          <w:szCs w:val="28"/>
        </w:rPr>
        <w:t xml:space="preserve">1. As the largest non-governmental organization in the field of population and health in China, the China Family Planning Association </w:t>
      </w:r>
      <w:r>
        <w:rPr>
          <w:rFonts w:hint="eastAsia"/>
          <w:sz w:val="28"/>
          <w:szCs w:val="28"/>
        </w:rPr>
        <w:t>focuses on</w:t>
      </w:r>
      <w:r>
        <w:rPr>
          <w:sz w:val="28"/>
          <w:szCs w:val="28"/>
        </w:rPr>
        <w:t xml:space="preserve"> the protection of human rights of women and </w:t>
      </w:r>
      <w:r>
        <w:rPr>
          <w:rFonts w:hint="eastAsia"/>
          <w:sz w:val="28"/>
          <w:szCs w:val="28"/>
        </w:rPr>
        <w:t xml:space="preserve">the </w:t>
      </w:r>
      <w:r>
        <w:rPr>
          <w:sz w:val="28"/>
          <w:szCs w:val="28"/>
        </w:rPr>
        <w:t>promotion of gender equality in the areas of population, family and reproductive health (including family planning). This report comments on China’s progress and limitations in this regard and put forward suggestions.</w:t>
      </w:r>
    </w:p>
    <w:p w14:paraId="56FAB61C" w14:textId="77777777" w:rsidR="00000000" w:rsidRDefault="00000000">
      <w:pPr>
        <w:pStyle w:val="ListParagraph"/>
        <w:adjustRightInd w:val="0"/>
        <w:snapToGrid w:val="0"/>
        <w:spacing w:line="580" w:lineRule="exact"/>
        <w:ind w:firstLineChars="0" w:firstLine="0"/>
        <w:rPr>
          <w:rFonts w:ascii="仿宋_GB2312" w:hAnsi="仿宋_GB2312" w:cs="仿宋_GB2312" w:hint="eastAsia"/>
          <w:szCs w:val="32"/>
        </w:rPr>
      </w:pPr>
    </w:p>
    <w:p w14:paraId="6B292942" w14:textId="77777777" w:rsidR="00000000" w:rsidRDefault="00000000">
      <w:pPr>
        <w:rPr>
          <w:rFonts w:hint="eastAsia"/>
          <w:sz w:val="28"/>
          <w:szCs w:val="28"/>
        </w:rPr>
      </w:pPr>
      <w:r>
        <w:rPr>
          <w:sz w:val="28"/>
          <w:szCs w:val="28"/>
        </w:rPr>
        <w:t xml:space="preserve">2. We note that </w:t>
      </w:r>
      <w:r>
        <w:rPr>
          <w:rFonts w:eastAsia="仿宋_GB2312" w:hint="eastAsia"/>
          <w:sz w:val="28"/>
          <w:szCs w:val="28"/>
        </w:rPr>
        <w:t xml:space="preserve">China made systematic amendments to </w:t>
      </w:r>
      <w:r>
        <w:rPr>
          <w:sz w:val="28"/>
          <w:szCs w:val="28"/>
        </w:rPr>
        <w:t xml:space="preserve">the </w:t>
      </w:r>
      <w:r>
        <w:rPr>
          <w:i/>
          <w:sz w:val="28"/>
          <w:szCs w:val="28"/>
        </w:rPr>
        <w:t>Law on the Protection of Women’s Rights and Interests</w:t>
      </w:r>
      <w:r>
        <w:rPr>
          <w:sz w:val="28"/>
          <w:szCs w:val="28"/>
        </w:rPr>
        <w:t xml:space="preserve"> in 2022</w:t>
      </w:r>
      <w:r>
        <w:rPr>
          <w:rFonts w:hint="eastAsia"/>
          <w:sz w:val="28"/>
          <w:szCs w:val="28"/>
        </w:rPr>
        <w:t>, which</w:t>
      </w:r>
      <w:r>
        <w:rPr>
          <w:sz w:val="28"/>
          <w:szCs w:val="28"/>
        </w:rPr>
        <w:t xml:space="preserve"> came into force on January 1, 2023. The revision adds articles to promote the well-rounded development of women</w:t>
      </w:r>
      <w:r>
        <w:rPr>
          <w:rFonts w:hint="eastAsia"/>
          <w:sz w:val="28"/>
          <w:szCs w:val="28"/>
        </w:rPr>
        <w:t>,</w:t>
      </w:r>
      <w:r>
        <w:rPr>
          <w:sz w:val="28"/>
          <w:szCs w:val="28"/>
        </w:rPr>
        <w:t xml:space="preserve"> providing </w:t>
      </w:r>
      <w:r>
        <w:rPr>
          <w:rFonts w:hint="eastAsia"/>
          <w:sz w:val="28"/>
          <w:szCs w:val="28"/>
        </w:rPr>
        <w:t xml:space="preserve">a </w:t>
      </w:r>
      <w:r>
        <w:rPr>
          <w:sz w:val="28"/>
          <w:szCs w:val="28"/>
        </w:rPr>
        <w:t>legal guarantee for the implementation of the National Program for Women’s Development (2021-2030). The revision also explicitly stipulates that the rights and interests of women in poverty, elder</w:t>
      </w:r>
      <w:r>
        <w:rPr>
          <w:rFonts w:hint="eastAsia"/>
          <w:sz w:val="28"/>
          <w:szCs w:val="28"/>
        </w:rPr>
        <w:t>ly</w:t>
      </w:r>
      <w:r>
        <w:rPr>
          <w:sz w:val="28"/>
          <w:szCs w:val="28"/>
        </w:rPr>
        <w:t xml:space="preserve"> women, women with disabilities and other disadvantaged groups shall be further protected, and the state responsibility to protect the rights and interests of women</w:t>
      </w:r>
      <w:r>
        <w:rPr>
          <w:rFonts w:hint="eastAsia"/>
          <w:sz w:val="28"/>
          <w:szCs w:val="28"/>
        </w:rPr>
        <w:t xml:space="preserve"> </w:t>
      </w:r>
      <w:r>
        <w:rPr>
          <w:sz w:val="28"/>
          <w:szCs w:val="28"/>
        </w:rPr>
        <w:t>shall be strengthened.</w:t>
      </w:r>
    </w:p>
    <w:p w14:paraId="2520C80F" w14:textId="77777777" w:rsidR="00000000" w:rsidRDefault="00000000">
      <w:pPr>
        <w:pStyle w:val="ListParagraph"/>
        <w:adjustRightInd w:val="0"/>
        <w:snapToGrid w:val="0"/>
        <w:spacing w:line="580" w:lineRule="exact"/>
        <w:ind w:firstLineChars="0" w:firstLine="0"/>
        <w:rPr>
          <w:rFonts w:ascii="仿宋_GB2312" w:hAnsi="仿宋_GB2312" w:cs="仿宋_GB2312" w:hint="eastAsia"/>
          <w:szCs w:val="32"/>
        </w:rPr>
      </w:pPr>
    </w:p>
    <w:p w14:paraId="75A79D52" w14:textId="77777777" w:rsidR="00000000" w:rsidRDefault="00000000">
      <w:pPr>
        <w:rPr>
          <w:rFonts w:hint="eastAsia"/>
          <w:sz w:val="28"/>
          <w:szCs w:val="28"/>
        </w:rPr>
      </w:pPr>
      <w:r>
        <w:rPr>
          <w:sz w:val="28"/>
          <w:szCs w:val="28"/>
        </w:rPr>
        <w:t>3. We note that in the development section of</w:t>
      </w:r>
      <w:r>
        <w:rPr>
          <w:rFonts w:hint="eastAsia"/>
          <w:sz w:val="28"/>
          <w:szCs w:val="28"/>
        </w:rPr>
        <w:t xml:space="preserve"> </w:t>
      </w:r>
      <w:r>
        <w:rPr>
          <w:sz w:val="28"/>
          <w:szCs w:val="28"/>
        </w:rPr>
        <w:t>the National Program for Women’s Development (2021-2030)</w:t>
      </w:r>
      <w:r>
        <w:rPr>
          <w:rFonts w:hint="eastAsia"/>
          <w:sz w:val="28"/>
          <w:szCs w:val="28"/>
        </w:rPr>
        <w:t xml:space="preserve">, </w:t>
      </w:r>
      <w:r>
        <w:rPr>
          <w:sz w:val="28"/>
          <w:szCs w:val="28"/>
        </w:rPr>
        <w:t xml:space="preserve">“women and health” </w:t>
      </w:r>
      <w:r>
        <w:rPr>
          <w:rFonts w:hint="eastAsia"/>
          <w:sz w:val="28"/>
          <w:szCs w:val="28"/>
        </w:rPr>
        <w:t xml:space="preserve">are listed as the </w:t>
      </w:r>
      <w:r>
        <w:rPr>
          <w:rFonts w:hint="eastAsia"/>
          <w:sz w:val="28"/>
          <w:szCs w:val="28"/>
        </w:rPr>
        <w:lastRenderedPageBreak/>
        <w:t xml:space="preserve">top priority. The main goals </w:t>
      </w:r>
      <w:r>
        <w:rPr>
          <w:sz w:val="28"/>
          <w:szCs w:val="28"/>
        </w:rPr>
        <w:t>emphasize “</w:t>
      </w:r>
      <w:r>
        <w:rPr>
          <w:rFonts w:hint="eastAsia"/>
          <w:sz w:val="28"/>
          <w:szCs w:val="28"/>
        </w:rPr>
        <w:t>women</w:t>
      </w:r>
      <w:r>
        <w:rPr>
          <w:sz w:val="28"/>
          <w:szCs w:val="28"/>
        </w:rPr>
        <w:t>’</w:t>
      </w:r>
      <w:r>
        <w:rPr>
          <w:rFonts w:hint="eastAsia"/>
          <w:sz w:val="28"/>
          <w:szCs w:val="28"/>
        </w:rPr>
        <w:t>s access to good health</w:t>
      </w:r>
      <w:r>
        <w:rPr>
          <w:sz w:val="28"/>
          <w:szCs w:val="28"/>
        </w:rPr>
        <w:t xml:space="preserve"> services throughout </w:t>
      </w:r>
      <w:r>
        <w:rPr>
          <w:rFonts w:hint="eastAsia"/>
          <w:sz w:val="28"/>
          <w:szCs w:val="28"/>
        </w:rPr>
        <w:t xml:space="preserve">their </w:t>
      </w:r>
      <w:r>
        <w:rPr>
          <w:sz w:val="28"/>
          <w:szCs w:val="28"/>
        </w:rPr>
        <w:t>life cycle”</w:t>
      </w:r>
      <w:r>
        <w:rPr>
          <w:rFonts w:hint="eastAsia"/>
          <w:sz w:val="28"/>
          <w:szCs w:val="28"/>
        </w:rPr>
        <w:t>,</w:t>
      </w:r>
      <w:r>
        <w:rPr>
          <w:sz w:val="28"/>
          <w:szCs w:val="28"/>
        </w:rPr>
        <w:t xml:space="preserve"> </w:t>
      </w:r>
      <w:r>
        <w:rPr>
          <w:rFonts w:hint="eastAsia"/>
          <w:sz w:val="28"/>
          <w:szCs w:val="28"/>
        </w:rPr>
        <w:t>and</w:t>
      </w:r>
      <w:r>
        <w:rPr>
          <w:sz w:val="28"/>
          <w:szCs w:val="28"/>
        </w:rPr>
        <w:t xml:space="preserve"> include</w:t>
      </w:r>
      <w:r>
        <w:rPr>
          <w:rFonts w:hint="eastAsia"/>
          <w:sz w:val="28"/>
          <w:szCs w:val="28"/>
        </w:rPr>
        <w:t xml:space="preserve"> </w:t>
      </w:r>
      <w:r>
        <w:rPr>
          <w:sz w:val="28"/>
          <w:szCs w:val="28"/>
        </w:rPr>
        <w:t>“</w:t>
      </w:r>
      <w:r>
        <w:rPr>
          <w:rFonts w:hint="eastAsia"/>
          <w:sz w:val="28"/>
          <w:szCs w:val="28"/>
        </w:rPr>
        <w:t xml:space="preserve">the comprehensive dissemination of </w:t>
      </w:r>
      <w:r>
        <w:rPr>
          <w:sz w:val="28"/>
          <w:szCs w:val="28"/>
        </w:rPr>
        <w:t>knowledge on reproductive health and healthy birth,</w:t>
      </w:r>
      <w:r>
        <w:rPr>
          <w:rFonts w:hint="eastAsia"/>
          <w:sz w:val="28"/>
          <w:szCs w:val="28"/>
        </w:rPr>
        <w:t xml:space="preserve"> the </w:t>
      </w:r>
      <w:r>
        <w:rPr>
          <w:sz w:val="28"/>
          <w:szCs w:val="28"/>
        </w:rPr>
        <w:t xml:space="preserve"> promoti</w:t>
      </w:r>
      <w:r>
        <w:rPr>
          <w:rFonts w:hint="eastAsia"/>
          <w:sz w:val="28"/>
          <w:szCs w:val="28"/>
        </w:rPr>
        <w:t>on of</w:t>
      </w:r>
      <w:r>
        <w:rPr>
          <w:sz w:val="28"/>
          <w:szCs w:val="28"/>
        </w:rPr>
        <w:t xml:space="preserve"> healthy pregnancy, </w:t>
      </w:r>
      <w:r>
        <w:rPr>
          <w:rFonts w:hint="eastAsia"/>
          <w:sz w:val="28"/>
          <w:szCs w:val="28"/>
        </w:rPr>
        <w:t xml:space="preserve">and the reduction of </w:t>
      </w:r>
      <w:r>
        <w:rPr>
          <w:sz w:val="28"/>
          <w:szCs w:val="28"/>
        </w:rPr>
        <w:t>unintended pregnancy”,</w:t>
      </w:r>
      <w:r>
        <w:rPr>
          <w:rFonts w:hint="eastAsia"/>
          <w:sz w:val="28"/>
          <w:szCs w:val="28"/>
        </w:rPr>
        <w:t xml:space="preserve"> as well as </w:t>
      </w:r>
      <w:r>
        <w:rPr>
          <w:sz w:val="28"/>
          <w:szCs w:val="28"/>
        </w:rPr>
        <w:t>“</w:t>
      </w:r>
      <w:r>
        <w:rPr>
          <w:rFonts w:hint="eastAsia"/>
          <w:sz w:val="28"/>
          <w:szCs w:val="28"/>
        </w:rPr>
        <w:t xml:space="preserve">the improvement of the </w:t>
      </w:r>
      <w:r>
        <w:rPr>
          <w:sz w:val="28"/>
          <w:szCs w:val="28"/>
        </w:rPr>
        <w:t xml:space="preserve">maternal and child health service system, </w:t>
      </w:r>
      <w:r>
        <w:rPr>
          <w:rFonts w:hint="eastAsia"/>
          <w:sz w:val="28"/>
          <w:szCs w:val="28"/>
        </w:rPr>
        <w:t xml:space="preserve">the enhancement of </w:t>
      </w:r>
      <w:r>
        <w:rPr>
          <w:sz w:val="28"/>
          <w:szCs w:val="28"/>
        </w:rPr>
        <w:t xml:space="preserve">the capacity of maternal and child health services, and </w:t>
      </w:r>
      <w:r>
        <w:rPr>
          <w:rFonts w:hint="eastAsia"/>
          <w:sz w:val="28"/>
          <w:szCs w:val="28"/>
        </w:rPr>
        <w:t xml:space="preserve">the </w:t>
      </w:r>
      <w:r>
        <w:rPr>
          <w:sz w:val="28"/>
          <w:szCs w:val="28"/>
        </w:rPr>
        <w:t>continuous improve</w:t>
      </w:r>
      <w:r>
        <w:rPr>
          <w:rFonts w:hint="eastAsia"/>
          <w:sz w:val="28"/>
          <w:szCs w:val="28"/>
        </w:rPr>
        <w:t>ment of the</w:t>
      </w:r>
      <w:r>
        <w:rPr>
          <w:sz w:val="28"/>
          <w:szCs w:val="28"/>
        </w:rPr>
        <w:t xml:space="preserve"> health of women”.</w:t>
      </w:r>
    </w:p>
    <w:p w14:paraId="3A4B43A2" w14:textId="77777777" w:rsidR="00000000" w:rsidRDefault="00000000">
      <w:pPr>
        <w:pStyle w:val="ListParagraph"/>
        <w:adjustRightInd w:val="0"/>
        <w:snapToGrid w:val="0"/>
        <w:spacing w:line="580" w:lineRule="exact"/>
        <w:ind w:firstLineChars="0" w:firstLine="0"/>
        <w:rPr>
          <w:rFonts w:ascii="仿宋_GB2312" w:hAnsi="仿宋_GB2312" w:cs="仿宋_GB2312" w:hint="eastAsia"/>
          <w:szCs w:val="32"/>
        </w:rPr>
      </w:pPr>
    </w:p>
    <w:p w14:paraId="746E669B" w14:textId="77777777" w:rsidR="00000000" w:rsidRDefault="00000000">
      <w:pPr>
        <w:rPr>
          <w:rFonts w:hint="eastAsia"/>
          <w:sz w:val="28"/>
          <w:szCs w:val="28"/>
        </w:rPr>
      </w:pPr>
      <w:r>
        <w:rPr>
          <w:sz w:val="28"/>
          <w:szCs w:val="28"/>
        </w:rPr>
        <w:t xml:space="preserve">4. We note that the health </w:t>
      </w:r>
      <w:r>
        <w:rPr>
          <w:rFonts w:hint="eastAsia"/>
          <w:sz w:val="28"/>
          <w:szCs w:val="28"/>
        </w:rPr>
        <w:t xml:space="preserve">status </w:t>
      </w:r>
      <w:r>
        <w:rPr>
          <w:sz w:val="28"/>
          <w:szCs w:val="28"/>
        </w:rPr>
        <w:t xml:space="preserve">of </w:t>
      </w:r>
      <w:r>
        <w:rPr>
          <w:rFonts w:hint="eastAsia"/>
          <w:sz w:val="28"/>
          <w:szCs w:val="28"/>
        </w:rPr>
        <w:t xml:space="preserve">the </w:t>
      </w:r>
      <w:r>
        <w:rPr>
          <w:sz w:val="28"/>
          <w:szCs w:val="28"/>
        </w:rPr>
        <w:t xml:space="preserve">female population continues to improve, especially </w:t>
      </w:r>
      <w:r>
        <w:rPr>
          <w:rFonts w:hint="eastAsia"/>
          <w:sz w:val="28"/>
          <w:szCs w:val="28"/>
        </w:rPr>
        <w:t>that of</w:t>
      </w:r>
      <w:r>
        <w:rPr>
          <w:sz w:val="28"/>
          <w:szCs w:val="28"/>
        </w:rPr>
        <w:t xml:space="preserve"> infants, young children and elder</w:t>
      </w:r>
      <w:r>
        <w:rPr>
          <w:rFonts w:hint="eastAsia"/>
          <w:sz w:val="28"/>
          <w:szCs w:val="28"/>
        </w:rPr>
        <w:t>ly</w:t>
      </w:r>
      <w:r>
        <w:rPr>
          <w:sz w:val="28"/>
          <w:szCs w:val="28"/>
        </w:rPr>
        <w:t xml:space="preserve"> women, and the average life expectancy of the female population continues to rise. According to the End line Monitoring Report for the National Program for Women’s Development (2011-2020) by the National Bureau of Statistics, the average life expectancy of </w:t>
      </w:r>
      <w:r>
        <w:rPr>
          <w:rFonts w:hint="eastAsia"/>
          <w:sz w:val="28"/>
          <w:szCs w:val="28"/>
        </w:rPr>
        <w:t xml:space="preserve">Chinese women </w:t>
      </w:r>
      <w:r>
        <w:rPr>
          <w:sz w:val="28"/>
          <w:szCs w:val="28"/>
        </w:rPr>
        <w:t xml:space="preserve">has increased from 77.37 years in 2010 to 80.88 years in 2020, six years higher than the world average. Meanwhile, the gap in average life expectancy between women and men has gradually widened to over 5 years by 2020, indicating faster improvement in the health status of the female population. According to the statistics of the monitored area, in recent years, the female neonatal mortality rate, infant mortality rate and under-five mortality rate </w:t>
      </w:r>
      <w:r>
        <w:rPr>
          <w:rFonts w:hint="eastAsia"/>
          <w:sz w:val="28"/>
          <w:szCs w:val="28"/>
        </w:rPr>
        <w:t>have been</w:t>
      </w:r>
      <w:r>
        <w:rPr>
          <w:sz w:val="28"/>
          <w:szCs w:val="28"/>
        </w:rPr>
        <w:t xml:space="preserve"> lower than those of males (a normal gender gap).</w:t>
      </w:r>
    </w:p>
    <w:p w14:paraId="4A633075" w14:textId="77777777" w:rsidR="00000000" w:rsidRDefault="00000000">
      <w:pPr>
        <w:pStyle w:val="ListParagraph"/>
        <w:adjustRightInd w:val="0"/>
        <w:snapToGrid w:val="0"/>
        <w:spacing w:line="580" w:lineRule="exact"/>
        <w:ind w:firstLineChars="0" w:firstLine="0"/>
        <w:rPr>
          <w:rFonts w:ascii="仿宋_GB2312" w:hAnsi="仿宋_GB2312" w:cs="仿宋_GB2312" w:hint="eastAsia"/>
          <w:szCs w:val="32"/>
        </w:rPr>
      </w:pPr>
    </w:p>
    <w:p w14:paraId="5A46E4ED" w14:textId="77777777" w:rsidR="00000000" w:rsidRDefault="00000000">
      <w:pPr>
        <w:rPr>
          <w:rFonts w:hint="eastAsia"/>
          <w:sz w:val="28"/>
          <w:szCs w:val="28"/>
        </w:rPr>
      </w:pPr>
      <w:r>
        <w:rPr>
          <w:sz w:val="28"/>
          <w:szCs w:val="28"/>
        </w:rPr>
        <w:lastRenderedPageBreak/>
        <w:t xml:space="preserve">5. We note that China’s maternal health services have continuously improved </w:t>
      </w:r>
      <w:r>
        <w:rPr>
          <w:rFonts w:hint="eastAsia"/>
          <w:sz w:val="28"/>
          <w:szCs w:val="28"/>
        </w:rPr>
        <w:t>since</w:t>
      </w:r>
      <w:r>
        <w:rPr>
          <w:sz w:val="28"/>
          <w:szCs w:val="28"/>
        </w:rPr>
        <w:t xml:space="preserve"> the 21st century</w:t>
      </w:r>
      <w:r>
        <w:rPr>
          <w:rFonts w:hint="eastAsia"/>
          <w:sz w:val="28"/>
          <w:szCs w:val="28"/>
        </w:rPr>
        <w:t xml:space="preserve">. The </w:t>
      </w:r>
      <w:r>
        <w:rPr>
          <w:sz w:val="28"/>
          <w:szCs w:val="28"/>
        </w:rPr>
        <w:t xml:space="preserve">Maternal mortality rate has lowered to 16.9 per 100,000 live births in 2020, 43.7% lower than 2010, among the lowest in </w:t>
      </w:r>
      <w:r>
        <w:rPr>
          <w:rFonts w:hint="eastAsia"/>
          <w:sz w:val="28"/>
          <w:szCs w:val="28"/>
        </w:rPr>
        <w:t xml:space="preserve"> </w:t>
      </w:r>
      <w:r>
        <w:rPr>
          <w:sz w:val="28"/>
          <w:szCs w:val="28"/>
        </w:rPr>
        <w:t>middle</w:t>
      </w:r>
      <w:r>
        <w:rPr>
          <w:rFonts w:hint="eastAsia"/>
          <w:sz w:val="28"/>
          <w:szCs w:val="28"/>
        </w:rPr>
        <w:t xml:space="preserve"> and high-</w:t>
      </w:r>
      <w:r>
        <w:rPr>
          <w:sz w:val="28"/>
          <w:szCs w:val="28"/>
        </w:rPr>
        <w:t>income countries</w:t>
      </w:r>
      <w:r>
        <w:rPr>
          <w:rFonts w:hint="eastAsia"/>
          <w:sz w:val="28"/>
          <w:szCs w:val="28"/>
        </w:rPr>
        <w:t xml:space="preserve"> in the world</w:t>
      </w:r>
      <w:r>
        <w:rPr>
          <w:sz w:val="28"/>
          <w:szCs w:val="28"/>
        </w:rPr>
        <w:t xml:space="preserve">. Maternal and children health in less developed areas has notably improved thanks to huge investment from the state, and the gap between urban and rural areas and between developed and less developed areas continues to narrow. For instance, </w:t>
      </w:r>
      <w:r>
        <w:rPr>
          <w:rFonts w:hint="eastAsia"/>
          <w:sz w:val="28"/>
          <w:szCs w:val="28"/>
        </w:rPr>
        <w:t xml:space="preserve">the </w:t>
      </w:r>
      <w:r>
        <w:rPr>
          <w:sz w:val="28"/>
          <w:szCs w:val="28"/>
        </w:rPr>
        <w:t xml:space="preserve">maternal mortality rate in urban and rural areas were 14.1 per 100,000 live births and 18.5 per 100,000 live births respectively in 2020, 52.5% and 38.5% lower than those in 2010, respectively. According to the results of the 2020 Survey on Social Status of Women in China, the proportion of women who had health examinations in the western region in the past three years was 67.0%, 30.1 percentage points higher than 2010. The increase is much faster than that in both urban and rural areas, implying a more significant improvement in women’s health services in the </w:t>
      </w:r>
      <w:r>
        <w:rPr>
          <w:rFonts w:hint="eastAsia"/>
          <w:sz w:val="28"/>
          <w:szCs w:val="28"/>
        </w:rPr>
        <w:t>western region, where the economic development has lagged behind</w:t>
      </w:r>
      <w:r>
        <w:rPr>
          <w:sz w:val="28"/>
          <w:szCs w:val="28"/>
        </w:rPr>
        <w:t>.</w:t>
      </w:r>
    </w:p>
    <w:p w14:paraId="6CC92B91" w14:textId="77777777" w:rsidR="00000000" w:rsidRDefault="00000000">
      <w:pPr>
        <w:pStyle w:val="ListParagraph"/>
        <w:adjustRightInd w:val="0"/>
        <w:snapToGrid w:val="0"/>
        <w:spacing w:line="580" w:lineRule="exact"/>
        <w:ind w:firstLineChars="0" w:firstLine="0"/>
        <w:rPr>
          <w:rFonts w:ascii="仿宋_GB2312" w:hAnsi="仿宋_GB2312" w:cs="仿宋_GB2312" w:hint="eastAsia"/>
          <w:szCs w:val="32"/>
        </w:rPr>
      </w:pPr>
    </w:p>
    <w:p w14:paraId="7C9940D9" w14:textId="77777777" w:rsidR="00000000" w:rsidRDefault="00000000">
      <w:pPr>
        <w:pStyle w:val="ListParagraph"/>
        <w:adjustRightInd w:val="0"/>
        <w:snapToGrid w:val="0"/>
        <w:spacing w:line="580" w:lineRule="exact"/>
        <w:ind w:firstLineChars="0" w:firstLine="0"/>
        <w:rPr>
          <w:rFonts w:hint="eastAsia"/>
          <w:sz w:val="28"/>
          <w:szCs w:val="28"/>
        </w:rPr>
      </w:pPr>
      <w:r>
        <w:rPr>
          <w:sz w:val="28"/>
          <w:szCs w:val="28"/>
        </w:rPr>
        <w:t>6. We not</w:t>
      </w:r>
      <w:r>
        <w:rPr>
          <w:rFonts w:hint="eastAsia"/>
          <w:sz w:val="28"/>
          <w:szCs w:val="28"/>
        </w:rPr>
        <w:t>e</w:t>
      </w:r>
      <w:r>
        <w:rPr>
          <w:sz w:val="28"/>
          <w:szCs w:val="28"/>
        </w:rPr>
        <w:t xml:space="preserve"> that the </w:t>
      </w:r>
      <w:r>
        <w:rPr>
          <w:i/>
          <w:sz w:val="28"/>
          <w:szCs w:val="28"/>
        </w:rPr>
        <w:t>Population and Family Planning Law of the People’s Republic of China</w:t>
      </w:r>
      <w:r>
        <w:rPr>
          <w:sz w:val="28"/>
          <w:szCs w:val="28"/>
        </w:rPr>
        <w:t xml:space="preserve">, revised in 2021, clearly stipulates that access to family planning services </w:t>
      </w:r>
      <w:r>
        <w:rPr>
          <w:rFonts w:hint="eastAsia"/>
          <w:sz w:val="28"/>
          <w:szCs w:val="28"/>
        </w:rPr>
        <w:t>shall be</w:t>
      </w:r>
      <w:r>
        <w:rPr>
          <w:sz w:val="28"/>
          <w:szCs w:val="28"/>
        </w:rPr>
        <w:t xml:space="preserve"> guaranteed and </w:t>
      </w:r>
      <w:r>
        <w:rPr>
          <w:rFonts w:hint="eastAsia"/>
          <w:sz w:val="28"/>
          <w:szCs w:val="28"/>
        </w:rPr>
        <w:t xml:space="preserve">the level of </w:t>
      </w:r>
      <w:r>
        <w:rPr>
          <w:sz w:val="28"/>
          <w:szCs w:val="28"/>
        </w:rPr>
        <w:t xml:space="preserve">reproductive health </w:t>
      </w:r>
      <w:r>
        <w:rPr>
          <w:rFonts w:hint="eastAsia"/>
          <w:sz w:val="28"/>
          <w:szCs w:val="28"/>
        </w:rPr>
        <w:t xml:space="preserve"> of citizens</w:t>
      </w:r>
      <w:r>
        <w:rPr>
          <w:sz w:val="28"/>
          <w:szCs w:val="28"/>
        </w:rPr>
        <w:t xml:space="preserve">shall be improved”. </w:t>
      </w:r>
      <w:r>
        <w:rPr>
          <w:rFonts w:hint="eastAsia"/>
          <w:sz w:val="28"/>
          <w:szCs w:val="28"/>
        </w:rPr>
        <w:t>I</w:t>
      </w:r>
      <w:r>
        <w:rPr>
          <w:sz w:val="28"/>
          <w:szCs w:val="28"/>
        </w:rPr>
        <w:t>t provides a legal guarantee for all citizens to enjoy family planning services.</w:t>
      </w:r>
    </w:p>
    <w:p w14:paraId="1E59C9AF" w14:textId="77777777" w:rsidR="00000000" w:rsidRDefault="00000000">
      <w:pPr>
        <w:pStyle w:val="ListParagraph"/>
        <w:adjustRightInd w:val="0"/>
        <w:snapToGrid w:val="0"/>
        <w:spacing w:line="580" w:lineRule="exact"/>
        <w:ind w:firstLineChars="0" w:firstLine="0"/>
        <w:rPr>
          <w:rFonts w:ascii="仿宋_GB2312" w:hAnsi="仿宋_GB2312" w:cs="仿宋_GB2312" w:hint="eastAsia"/>
          <w:szCs w:val="32"/>
        </w:rPr>
      </w:pPr>
    </w:p>
    <w:p w14:paraId="759AF3FF" w14:textId="77777777" w:rsidR="00000000" w:rsidRDefault="00000000">
      <w:pPr>
        <w:rPr>
          <w:sz w:val="28"/>
          <w:szCs w:val="28"/>
        </w:rPr>
      </w:pPr>
      <w:r>
        <w:rPr>
          <w:sz w:val="28"/>
          <w:szCs w:val="28"/>
        </w:rPr>
        <w:t>7. We note</w:t>
      </w:r>
      <w:r>
        <w:rPr>
          <w:rFonts w:hint="eastAsia"/>
          <w:sz w:val="28"/>
          <w:szCs w:val="28"/>
        </w:rPr>
        <w:t xml:space="preserve"> the</w:t>
      </w:r>
      <w:r>
        <w:rPr>
          <w:sz w:val="28"/>
          <w:szCs w:val="28"/>
        </w:rPr>
        <w:t xml:space="preserve"> continuous improvement in women’s reproductive health services, higher quality of family planning services with a wider coverage, and further strengthened reproductive health promotion actions. For key population groups such as unmarried adolescents and in response to unintended pregnancy and related abortion, </w:t>
      </w:r>
      <w:r>
        <w:rPr>
          <w:rFonts w:hint="eastAsia"/>
          <w:sz w:val="28"/>
          <w:szCs w:val="28"/>
        </w:rPr>
        <w:t>China</w:t>
      </w:r>
      <w:r>
        <w:rPr>
          <w:sz w:val="28"/>
          <w:szCs w:val="28"/>
        </w:rPr>
        <w:t xml:space="preserve"> has vigorously promoted sexual and reproductive health education and services for adolescents and continuously promoted “Youth Health” education and training in primary and secondary schools</w:t>
      </w:r>
      <w:r>
        <w:rPr>
          <w:rFonts w:hint="eastAsia"/>
          <w:sz w:val="28"/>
          <w:szCs w:val="28"/>
        </w:rPr>
        <w:t>,</w:t>
      </w:r>
      <w:r>
        <w:rPr>
          <w:sz w:val="28"/>
          <w:szCs w:val="28"/>
        </w:rPr>
        <w:t xml:space="preserve"> cover</w:t>
      </w:r>
      <w:r>
        <w:rPr>
          <w:rFonts w:hint="eastAsia"/>
          <w:sz w:val="28"/>
          <w:szCs w:val="28"/>
        </w:rPr>
        <w:t>ing around 10000</w:t>
      </w:r>
      <w:r>
        <w:rPr>
          <w:sz w:val="28"/>
          <w:szCs w:val="28"/>
        </w:rPr>
        <w:t xml:space="preserve"> primary and secondary schools and more than 700 colleges and universities in 1970 counties and districts in</w:t>
      </w:r>
      <w:r>
        <w:rPr>
          <w:rFonts w:hint="eastAsia"/>
          <w:sz w:val="28"/>
          <w:szCs w:val="28"/>
        </w:rPr>
        <w:t xml:space="preserve"> 90 percent of</w:t>
      </w:r>
      <w:r>
        <w:rPr>
          <w:sz w:val="28"/>
          <w:szCs w:val="28"/>
        </w:rPr>
        <w:t xml:space="preserve"> all provinces</w:t>
      </w:r>
      <w:r>
        <w:rPr>
          <w:rFonts w:hint="eastAsia"/>
          <w:sz w:val="28"/>
          <w:szCs w:val="28"/>
        </w:rPr>
        <w:t xml:space="preserve">, </w:t>
      </w:r>
      <w:r>
        <w:rPr>
          <w:sz w:val="28"/>
          <w:szCs w:val="28"/>
        </w:rPr>
        <w:t>autonomous regions</w:t>
      </w:r>
      <w:r>
        <w:rPr>
          <w:rFonts w:hint="eastAsia"/>
          <w:sz w:val="28"/>
          <w:szCs w:val="28"/>
        </w:rPr>
        <w:t xml:space="preserve"> and </w:t>
      </w:r>
      <w:r>
        <w:rPr>
          <w:sz w:val="28"/>
          <w:szCs w:val="28"/>
        </w:rPr>
        <w:t>municipalities</w:t>
      </w:r>
      <w:r>
        <w:rPr>
          <w:rFonts w:hint="eastAsia"/>
          <w:sz w:val="28"/>
          <w:szCs w:val="28"/>
        </w:rPr>
        <w:t xml:space="preserve"> directly under the central government.</w:t>
      </w:r>
    </w:p>
    <w:p w14:paraId="548F6B08" w14:textId="77777777" w:rsidR="00000000" w:rsidRDefault="00000000">
      <w:pPr>
        <w:pStyle w:val="ListParagraph"/>
        <w:adjustRightInd w:val="0"/>
        <w:snapToGrid w:val="0"/>
        <w:spacing w:line="580" w:lineRule="exact"/>
        <w:ind w:firstLineChars="0" w:firstLine="0"/>
        <w:rPr>
          <w:rFonts w:ascii="仿宋_GB2312" w:hAnsi="仿宋_GB2312" w:cs="仿宋_GB2312" w:hint="eastAsia"/>
          <w:szCs w:val="32"/>
        </w:rPr>
      </w:pPr>
    </w:p>
    <w:p w14:paraId="1D09F33E" w14:textId="77777777" w:rsidR="00000000" w:rsidRDefault="00000000">
      <w:pPr>
        <w:rPr>
          <w:rFonts w:hint="eastAsia"/>
          <w:sz w:val="28"/>
          <w:szCs w:val="28"/>
        </w:rPr>
      </w:pPr>
      <w:r>
        <w:rPr>
          <w:sz w:val="28"/>
          <w:szCs w:val="28"/>
        </w:rPr>
        <w:t xml:space="preserve">8. We note that China </w:t>
      </w:r>
      <w:r>
        <w:rPr>
          <w:rFonts w:hint="eastAsia"/>
          <w:sz w:val="28"/>
          <w:szCs w:val="28"/>
        </w:rPr>
        <w:t xml:space="preserve">is committed to establishing a </w:t>
      </w:r>
      <w:r>
        <w:rPr>
          <w:sz w:val="28"/>
          <w:szCs w:val="28"/>
        </w:rPr>
        <w:t>system</w:t>
      </w:r>
      <w:r>
        <w:rPr>
          <w:rFonts w:hint="eastAsia"/>
          <w:sz w:val="28"/>
          <w:szCs w:val="28"/>
        </w:rPr>
        <w:t xml:space="preserve"> of family support policies </w:t>
      </w:r>
      <w:r>
        <w:rPr>
          <w:sz w:val="28"/>
          <w:szCs w:val="28"/>
        </w:rPr>
        <w:t>for active childbearing</w:t>
      </w:r>
      <w:r>
        <w:rPr>
          <w:rFonts w:hint="eastAsia"/>
          <w:sz w:val="28"/>
          <w:szCs w:val="28"/>
        </w:rPr>
        <w:t xml:space="preserve"> ease work-child conflict of parents,</w:t>
      </w:r>
      <w:r>
        <w:rPr>
          <w:sz w:val="28"/>
          <w:szCs w:val="28"/>
        </w:rPr>
        <w:t xml:space="preserve"> while paying attention to promoting gender equality and harmonious family. The </w:t>
      </w:r>
      <w:r>
        <w:rPr>
          <w:i/>
          <w:sz w:val="28"/>
          <w:szCs w:val="28"/>
        </w:rPr>
        <w:t>Population and Family Planning Law</w:t>
      </w:r>
      <w:r>
        <w:rPr>
          <w:sz w:val="28"/>
          <w:szCs w:val="28"/>
        </w:rPr>
        <w:t xml:space="preserve">, revised in 2021, proposes that “the state supports the introduction of parental leave in places where </w:t>
      </w:r>
      <w:r>
        <w:rPr>
          <w:rFonts w:hint="eastAsia"/>
          <w:sz w:val="28"/>
          <w:szCs w:val="28"/>
        </w:rPr>
        <w:t>conditions permit</w:t>
      </w:r>
      <w:r>
        <w:rPr>
          <w:sz w:val="28"/>
          <w:szCs w:val="28"/>
        </w:rPr>
        <w:t xml:space="preserve">”, providing a legal foundation for couples to share the responsibility of raising children. Since 2015, with the adjustment of birth policy, provinces have revised family planning regulations to clearly define women’s maternity leave and husband’s paternity leave, which is </w:t>
      </w:r>
      <w:r>
        <w:rPr>
          <w:rFonts w:hint="eastAsia"/>
          <w:sz w:val="28"/>
          <w:szCs w:val="28"/>
        </w:rPr>
        <w:t xml:space="preserve">conducive to the protection of </w:t>
      </w:r>
      <w:r>
        <w:rPr>
          <w:sz w:val="28"/>
          <w:szCs w:val="28"/>
        </w:rPr>
        <w:lastRenderedPageBreak/>
        <w:t xml:space="preserve">women’s health and </w:t>
      </w:r>
      <w:r>
        <w:rPr>
          <w:rFonts w:hint="eastAsia"/>
          <w:sz w:val="28"/>
          <w:szCs w:val="28"/>
        </w:rPr>
        <w:t>joint parental</w:t>
      </w:r>
      <w:r>
        <w:rPr>
          <w:sz w:val="28"/>
          <w:szCs w:val="28"/>
        </w:rPr>
        <w:t xml:space="preserve"> responsibilit</w:t>
      </w:r>
      <w:r>
        <w:rPr>
          <w:rFonts w:hint="eastAsia"/>
          <w:sz w:val="28"/>
          <w:szCs w:val="28"/>
        </w:rPr>
        <w:t>y between husband and wife</w:t>
      </w:r>
      <w:r>
        <w:rPr>
          <w:sz w:val="28"/>
          <w:szCs w:val="28"/>
        </w:rPr>
        <w:t xml:space="preserve">. The 2020 Survey on Social Status of Women in China found that the proportion of husbands taking paid parenting leave </w:t>
      </w:r>
      <w:r>
        <w:rPr>
          <w:rFonts w:hint="eastAsia"/>
          <w:sz w:val="28"/>
          <w:szCs w:val="28"/>
        </w:rPr>
        <w:t>has increased</w:t>
      </w:r>
      <w:r>
        <w:rPr>
          <w:sz w:val="28"/>
          <w:szCs w:val="28"/>
        </w:rPr>
        <w:t xml:space="preserve"> significantly </w:t>
      </w:r>
      <w:r>
        <w:rPr>
          <w:rFonts w:hint="eastAsia"/>
          <w:sz w:val="28"/>
          <w:szCs w:val="28"/>
        </w:rPr>
        <w:t>compared with</w:t>
      </w:r>
      <w:r>
        <w:rPr>
          <w:sz w:val="28"/>
          <w:szCs w:val="28"/>
        </w:rPr>
        <w:t xml:space="preserve"> 10 years </w:t>
      </w:r>
      <w:r>
        <w:rPr>
          <w:rFonts w:hint="eastAsia"/>
          <w:sz w:val="28"/>
          <w:szCs w:val="28"/>
        </w:rPr>
        <w:t>earlier</w:t>
      </w:r>
      <w:r>
        <w:rPr>
          <w:sz w:val="28"/>
          <w:szCs w:val="28"/>
        </w:rPr>
        <w:t>.</w:t>
      </w:r>
    </w:p>
    <w:p w14:paraId="21C54321" w14:textId="77777777" w:rsidR="00000000" w:rsidRDefault="00000000">
      <w:pPr>
        <w:pStyle w:val="ListParagraph"/>
        <w:adjustRightInd w:val="0"/>
        <w:snapToGrid w:val="0"/>
        <w:spacing w:line="580" w:lineRule="exact"/>
        <w:ind w:firstLineChars="0" w:firstLine="0"/>
        <w:rPr>
          <w:rFonts w:ascii="仿宋_GB2312" w:hAnsi="仿宋_GB2312" w:cs="仿宋_GB2312" w:hint="eastAsia"/>
          <w:szCs w:val="32"/>
        </w:rPr>
      </w:pPr>
    </w:p>
    <w:p w14:paraId="27AD05E8" w14:textId="77777777" w:rsidR="00000000" w:rsidRDefault="00000000">
      <w:pPr>
        <w:rPr>
          <w:rFonts w:hint="eastAsia"/>
          <w:sz w:val="28"/>
          <w:szCs w:val="28"/>
        </w:rPr>
      </w:pPr>
      <w:r>
        <w:rPr>
          <w:sz w:val="28"/>
          <w:szCs w:val="28"/>
        </w:rPr>
        <w:t xml:space="preserve">9. We note that in recent years, the government of China has </w:t>
      </w:r>
      <w:r>
        <w:rPr>
          <w:rFonts w:hint="eastAsia"/>
          <w:sz w:val="28"/>
          <w:szCs w:val="28"/>
        </w:rPr>
        <w:t xml:space="preserve">increased its investment in </w:t>
      </w:r>
      <w:r>
        <w:rPr>
          <w:sz w:val="28"/>
          <w:szCs w:val="28"/>
        </w:rPr>
        <w:t>reduc</w:t>
      </w:r>
      <w:r>
        <w:rPr>
          <w:rFonts w:hint="eastAsia"/>
          <w:sz w:val="28"/>
          <w:szCs w:val="28"/>
        </w:rPr>
        <w:t>ing the</w:t>
      </w:r>
      <w:r>
        <w:rPr>
          <w:sz w:val="28"/>
          <w:szCs w:val="28"/>
        </w:rPr>
        <w:t xml:space="preserve"> burden of childbearing, parenting and children’s education, with the aim of easing the burden </w:t>
      </w:r>
      <w:r>
        <w:rPr>
          <w:rFonts w:hint="eastAsia"/>
          <w:sz w:val="28"/>
          <w:szCs w:val="28"/>
        </w:rPr>
        <w:t>on families</w:t>
      </w:r>
      <w:r>
        <w:rPr>
          <w:sz w:val="28"/>
          <w:szCs w:val="28"/>
        </w:rPr>
        <w:t xml:space="preserve"> especially for mothers. The </w:t>
      </w:r>
      <w:r>
        <w:rPr>
          <w:i/>
          <w:sz w:val="28"/>
          <w:szCs w:val="28"/>
        </w:rPr>
        <w:t>Decision of the CPC Central Committee and the State Council on Optimizing Birth Policy to Promote Long-Term Balanced Population Development</w:t>
      </w:r>
      <w:r>
        <w:rPr>
          <w:sz w:val="28"/>
          <w:szCs w:val="28"/>
        </w:rPr>
        <w:t xml:space="preserve"> in 2021 proposes to establish an active birth support policy system by 2025 following the people-centered principle. In July 2022, the General Office of the State Council established an inter-ministerial joint meeting of the State Council on the optimization of birth policy, with Vice Premier of the State Council as the convener, the National Health Commission as the leading department and joined by 26 ministries and departments. In August 2022, 17 departments including the National Health Commission and the National Development and Reform Commission jointly issued the </w:t>
      </w:r>
      <w:r>
        <w:rPr>
          <w:i/>
          <w:sz w:val="28"/>
          <w:szCs w:val="28"/>
        </w:rPr>
        <w:t>Guiding Opinions on Further Improving and Implementing Supportive Measures for Active Childbearing</w:t>
      </w:r>
      <w:r>
        <w:rPr>
          <w:sz w:val="28"/>
          <w:szCs w:val="28"/>
        </w:rPr>
        <w:t xml:space="preserve">. It puts forward 20 specific policies from seven aspects, such as improving healthy birth and maternal care services, developing affordable nursery service system, improving and </w:t>
      </w:r>
      <w:r>
        <w:rPr>
          <w:sz w:val="28"/>
          <w:szCs w:val="28"/>
        </w:rPr>
        <w:lastRenderedPageBreak/>
        <w:t xml:space="preserve">guaranteeing maternity leave and benefits, and </w:t>
      </w:r>
      <w:r>
        <w:rPr>
          <w:rFonts w:hint="eastAsia"/>
          <w:sz w:val="28"/>
          <w:szCs w:val="28"/>
        </w:rPr>
        <w:t xml:space="preserve">constructing a maternity-friendly </w:t>
      </w:r>
      <w:r>
        <w:rPr>
          <w:sz w:val="28"/>
          <w:szCs w:val="28"/>
        </w:rPr>
        <w:t>working environment</w:t>
      </w:r>
      <w:r>
        <w:rPr>
          <w:rFonts w:hint="eastAsia"/>
          <w:sz w:val="28"/>
          <w:szCs w:val="28"/>
        </w:rPr>
        <w:t>.</w:t>
      </w:r>
      <w:r>
        <w:rPr>
          <w:sz w:val="28"/>
          <w:szCs w:val="28"/>
        </w:rPr>
        <w:t xml:space="preserve"> The actions above show that the government attaches great importance to this issue.</w:t>
      </w:r>
    </w:p>
    <w:p w14:paraId="33C8629C" w14:textId="77777777" w:rsidR="00000000" w:rsidRDefault="00000000">
      <w:pPr>
        <w:pStyle w:val="ListParagraph"/>
        <w:adjustRightInd w:val="0"/>
        <w:snapToGrid w:val="0"/>
        <w:spacing w:line="580" w:lineRule="exact"/>
        <w:ind w:firstLineChars="0" w:firstLine="0"/>
        <w:rPr>
          <w:rFonts w:ascii="仿宋_GB2312" w:hAnsi="仿宋_GB2312" w:cs="仿宋_GB2312"/>
          <w:szCs w:val="32"/>
        </w:rPr>
      </w:pPr>
    </w:p>
    <w:p w14:paraId="297BBF88" w14:textId="77777777" w:rsidR="00000000" w:rsidRDefault="00000000">
      <w:pPr>
        <w:rPr>
          <w:rFonts w:hint="eastAsia"/>
          <w:sz w:val="28"/>
          <w:szCs w:val="28"/>
        </w:rPr>
      </w:pPr>
      <w:r>
        <w:rPr>
          <w:sz w:val="28"/>
          <w:szCs w:val="28"/>
        </w:rPr>
        <w:t>10. We not</w:t>
      </w:r>
      <w:r>
        <w:rPr>
          <w:rFonts w:hint="eastAsia"/>
          <w:sz w:val="28"/>
          <w:szCs w:val="28"/>
        </w:rPr>
        <w:t>e</w:t>
      </w:r>
      <w:r>
        <w:rPr>
          <w:sz w:val="28"/>
          <w:szCs w:val="28"/>
        </w:rPr>
        <w:t xml:space="preserve"> that</w:t>
      </w:r>
      <w:r>
        <w:rPr>
          <w:rFonts w:hint="eastAsia"/>
          <w:sz w:val="28"/>
          <w:szCs w:val="28"/>
        </w:rPr>
        <w:t xml:space="preserve">, despite the increased attention to </w:t>
      </w:r>
      <w:r>
        <w:rPr>
          <w:sz w:val="28"/>
          <w:szCs w:val="28"/>
        </w:rPr>
        <w:t xml:space="preserve">reproductive health of women and adolescents, there are still unmet needs for vulnerable, marginalized groups and underdeveloped areas. </w:t>
      </w:r>
      <w:r>
        <w:rPr>
          <w:rFonts w:hint="eastAsia"/>
          <w:sz w:val="28"/>
          <w:szCs w:val="28"/>
        </w:rPr>
        <w:t xml:space="preserve">It is recommended that </w:t>
      </w:r>
      <w:r>
        <w:rPr>
          <w:sz w:val="28"/>
          <w:szCs w:val="28"/>
        </w:rPr>
        <w:t xml:space="preserve">capacity-building </w:t>
      </w:r>
      <w:r>
        <w:rPr>
          <w:rFonts w:hint="eastAsia"/>
          <w:sz w:val="28"/>
          <w:szCs w:val="28"/>
        </w:rPr>
        <w:t>of</w:t>
      </w:r>
      <w:r>
        <w:rPr>
          <w:sz w:val="28"/>
          <w:szCs w:val="28"/>
        </w:rPr>
        <w:t xml:space="preserve"> reproductive health services</w:t>
      </w:r>
      <w:r>
        <w:rPr>
          <w:rFonts w:hint="eastAsia"/>
          <w:sz w:val="28"/>
          <w:szCs w:val="28"/>
        </w:rPr>
        <w:t xml:space="preserve"> be strengthened </w:t>
      </w:r>
      <w:r>
        <w:rPr>
          <w:sz w:val="28"/>
          <w:szCs w:val="28"/>
        </w:rPr>
        <w:t xml:space="preserve">for vulnerable groups and </w:t>
      </w:r>
      <w:r>
        <w:rPr>
          <w:rFonts w:hint="eastAsia"/>
          <w:sz w:val="28"/>
          <w:szCs w:val="28"/>
        </w:rPr>
        <w:t xml:space="preserve">underdeveloped </w:t>
      </w:r>
      <w:r>
        <w:rPr>
          <w:sz w:val="28"/>
          <w:szCs w:val="28"/>
        </w:rPr>
        <w:t>areas</w:t>
      </w:r>
      <w:r>
        <w:rPr>
          <w:rFonts w:hint="eastAsia"/>
          <w:sz w:val="28"/>
          <w:szCs w:val="28"/>
        </w:rPr>
        <w:t>, and</w:t>
      </w:r>
      <w:r>
        <w:rPr>
          <w:sz w:val="28"/>
          <w:szCs w:val="28"/>
        </w:rPr>
        <w:t xml:space="preserve"> regional gap</w:t>
      </w:r>
      <w:r>
        <w:rPr>
          <w:rFonts w:hint="eastAsia"/>
          <w:sz w:val="28"/>
          <w:szCs w:val="28"/>
        </w:rPr>
        <w:t>s</w:t>
      </w:r>
      <w:r>
        <w:rPr>
          <w:sz w:val="28"/>
          <w:szCs w:val="28"/>
        </w:rPr>
        <w:t xml:space="preserve"> in reproductive health services</w:t>
      </w:r>
      <w:r>
        <w:rPr>
          <w:rFonts w:hint="eastAsia"/>
          <w:sz w:val="28"/>
          <w:szCs w:val="28"/>
        </w:rPr>
        <w:t xml:space="preserve"> be reduced</w:t>
      </w:r>
      <w:r>
        <w:rPr>
          <w:sz w:val="28"/>
          <w:szCs w:val="28"/>
        </w:rPr>
        <w:t>, and strive to achieve the objective of ensuring universal access to sexual and reproductive health services by 2030 as set out by the 2030 Sustainable Development Goals, leaving no one behind.</w:t>
      </w:r>
    </w:p>
    <w:p w14:paraId="0B6F9B7A" w14:textId="77777777" w:rsidR="00000000" w:rsidRDefault="00000000">
      <w:pPr>
        <w:pStyle w:val="ListParagraph"/>
        <w:adjustRightInd w:val="0"/>
        <w:snapToGrid w:val="0"/>
        <w:spacing w:line="580" w:lineRule="exact"/>
        <w:ind w:firstLineChars="0" w:firstLine="0"/>
        <w:rPr>
          <w:rFonts w:ascii="仿宋_GB2312" w:hAnsi="仿宋_GB2312" w:cs="仿宋_GB2312" w:hint="eastAsia"/>
          <w:szCs w:val="32"/>
        </w:rPr>
      </w:pPr>
    </w:p>
    <w:p w14:paraId="53AC4D58" w14:textId="77777777" w:rsidR="00000000" w:rsidRDefault="00000000">
      <w:pPr>
        <w:rPr>
          <w:rFonts w:hint="eastAsia"/>
          <w:sz w:val="28"/>
          <w:szCs w:val="28"/>
        </w:rPr>
      </w:pPr>
      <w:r>
        <w:rPr>
          <w:sz w:val="28"/>
          <w:szCs w:val="28"/>
        </w:rPr>
        <w:t xml:space="preserve">11. We suggest </w:t>
      </w:r>
      <w:r>
        <w:rPr>
          <w:rFonts w:hint="eastAsia"/>
          <w:sz w:val="28"/>
          <w:szCs w:val="28"/>
        </w:rPr>
        <w:t>that</w:t>
      </w:r>
      <w:r>
        <w:rPr>
          <w:sz w:val="28"/>
          <w:szCs w:val="28"/>
        </w:rPr>
        <w:t xml:space="preserve"> more education on gender equality in the area of population and health (including reproductive health/family planning)</w:t>
      </w:r>
      <w:r>
        <w:rPr>
          <w:rFonts w:hint="eastAsia"/>
          <w:sz w:val="28"/>
          <w:szCs w:val="28"/>
        </w:rPr>
        <w:t xml:space="preserve"> be strengthened to </w:t>
      </w:r>
      <w:r>
        <w:rPr>
          <w:sz w:val="28"/>
          <w:szCs w:val="28"/>
        </w:rPr>
        <w:t xml:space="preserve">raise public awareness and gender mainstreaming in decision-making processes. This will help promote gender equality and </w:t>
      </w:r>
      <w:r>
        <w:rPr>
          <w:rFonts w:hint="eastAsia"/>
          <w:sz w:val="28"/>
          <w:szCs w:val="28"/>
        </w:rPr>
        <w:t>improve</w:t>
      </w:r>
      <w:r>
        <w:rPr>
          <w:sz w:val="28"/>
          <w:szCs w:val="28"/>
        </w:rPr>
        <w:t xml:space="preserve"> women’s status</w:t>
      </w:r>
      <w:r>
        <w:rPr>
          <w:rFonts w:hint="eastAsia"/>
          <w:sz w:val="28"/>
          <w:szCs w:val="28"/>
        </w:rPr>
        <w:t xml:space="preserve"> while achieving health goals</w:t>
      </w:r>
      <w:r>
        <w:rPr>
          <w:sz w:val="28"/>
          <w:szCs w:val="28"/>
        </w:rPr>
        <w:t>.</w:t>
      </w:r>
    </w:p>
    <w:p w14:paraId="14200163" w14:textId="77777777" w:rsidR="00000000" w:rsidRDefault="00000000">
      <w:pPr>
        <w:pStyle w:val="ListParagraph"/>
        <w:adjustRightInd w:val="0"/>
        <w:snapToGrid w:val="0"/>
        <w:spacing w:line="580" w:lineRule="exact"/>
        <w:ind w:firstLineChars="0" w:firstLine="0"/>
        <w:rPr>
          <w:rFonts w:ascii="仿宋_GB2312" w:hAnsi="仿宋_GB2312" w:cs="仿宋_GB2312" w:hint="eastAsia"/>
          <w:szCs w:val="32"/>
        </w:rPr>
      </w:pPr>
    </w:p>
    <w:p w14:paraId="2AE1F354" w14:textId="77777777" w:rsidR="00000000" w:rsidRDefault="00000000">
      <w:pPr>
        <w:rPr>
          <w:sz w:val="28"/>
          <w:szCs w:val="28"/>
        </w:rPr>
      </w:pPr>
      <w:r>
        <w:rPr>
          <w:sz w:val="28"/>
          <w:szCs w:val="28"/>
        </w:rPr>
        <w:t>12. We suggest strengthening the capacity of civil society organizations in underdeveloped areas, giv</w:t>
      </w:r>
      <w:r>
        <w:rPr>
          <w:rFonts w:hint="eastAsia"/>
          <w:sz w:val="28"/>
          <w:szCs w:val="28"/>
        </w:rPr>
        <w:t>ing</w:t>
      </w:r>
      <w:r>
        <w:rPr>
          <w:sz w:val="28"/>
          <w:szCs w:val="28"/>
        </w:rPr>
        <w:t xml:space="preserve"> full play to all</w:t>
      </w:r>
      <w:r>
        <w:rPr>
          <w:rFonts w:hint="eastAsia"/>
          <w:sz w:val="28"/>
          <w:szCs w:val="28"/>
        </w:rPr>
        <w:t xml:space="preserve"> social</w:t>
      </w:r>
      <w:r>
        <w:rPr>
          <w:sz w:val="28"/>
          <w:szCs w:val="28"/>
        </w:rPr>
        <w:t xml:space="preserve"> sectors, consolidat</w:t>
      </w:r>
      <w:r>
        <w:rPr>
          <w:rFonts w:hint="eastAsia"/>
          <w:sz w:val="28"/>
          <w:szCs w:val="28"/>
        </w:rPr>
        <w:t>ing</w:t>
      </w:r>
      <w:r>
        <w:rPr>
          <w:sz w:val="28"/>
          <w:szCs w:val="28"/>
        </w:rPr>
        <w:t xml:space="preserve"> the </w:t>
      </w:r>
      <w:r>
        <w:rPr>
          <w:sz w:val="28"/>
          <w:szCs w:val="28"/>
        </w:rPr>
        <w:lastRenderedPageBreak/>
        <w:t xml:space="preserve">achievements </w:t>
      </w:r>
      <w:r>
        <w:rPr>
          <w:rFonts w:hint="eastAsia"/>
          <w:sz w:val="28"/>
          <w:szCs w:val="28"/>
        </w:rPr>
        <w:t>of</w:t>
      </w:r>
      <w:r>
        <w:rPr>
          <w:sz w:val="28"/>
          <w:szCs w:val="28"/>
        </w:rPr>
        <w:t xml:space="preserve"> poverty alleviation, and </w:t>
      </w:r>
      <w:r>
        <w:rPr>
          <w:rFonts w:hint="eastAsia"/>
          <w:sz w:val="28"/>
          <w:szCs w:val="28"/>
        </w:rPr>
        <w:t xml:space="preserve">promoting the development of </w:t>
      </w:r>
      <w:r>
        <w:rPr>
          <w:sz w:val="28"/>
          <w:szCs w:val="28"/>
        </w:rPr>
        <w:t>public services and public welfare undertakings in underdeveloped areas in a bid to implement the Healthy China strategy more effectively.</w:t>
      </w:r>
    </w:p>
    <w:p w14:paraId="3940B87B" w14:textId="77777777" w:rsidR="00000000" w:rsidRDefault="00000000">
      <w:pPr>
        <w:pStyle w:val="ListParagraph"/>
        <w:adjustRightInd w:val="0"/>
        <w:snapToGrid w:val="0"/>
        <w:spacing w:line="580" w:lineRule="exact"/>
        <w:ind w:rightChars="73" w:right="153" w:firstLineChars="0" w:firstLine="0"/>
        <w:rPr>
          <w:rFonts w:ascii="仿宋_GB2312" w:hAnsi="仿宋_GB2312" w:cs="仿宋_GB2312" w:hint="eastAsia"/>
          <w:szCs w:val="32"/>
        </w:rPr>
      </w:pPr>
    </w:p>
    <w:p w14:paraId="02F20DCB" w14:textId="77777777" w:rsidR="00C02774" w:rsidRDefault="00000000">
      <w:pPr>
        <w:rPr>
          <w:rFonts w:hint="eastAsia"/>
          <w:sz w:val="28"/>
          <w:szCs w:val="28"/>
        </w:rPr>
      </w:pPr>
      <w:r>
        <w:rPr>
          <w:sz w:val="28"/>
          <w:szCs w:val="28"/>
        </w:rPr>
        <w:t xml:space="preserve">13. We suggest strengthening and improving the </w:t>
      </w:r>
      <w:r>
        <w:rPr>
          <w:rFonts w:hint="eastAsia"/>
          <w:sz w:val="28"/>
          <w:szCs w:val="28"/>
        </w:rPr>
        <w:t xml:space="preserve">system of inclusive care services, </w:t>
      </w:r>
      <w:r>
        <w:rPr>
          <w:sz w:val="28"/>
          <w:szCs w:val="28"/>
        </w:rPr>
        <w:t>implement a flexible working arrangement, integrat</w:t>
      </w:r>
      <w:r>
        <w:rPr>
          <w:rFonts w:hint="eastAsia"/>
          <w:sz w:val="28"/>
          <w:szCs w:val="28"/>
        </w:rPr>
        <w:t xml:space="preserve">e </w:t>
      </w:r>
      <w:r>
        <w:rPr>
          <w:sz w:val="28"/>
          <w:szCs w:val="28"/>
        </w:rPr>
        <w:t>family support into all political and economic policies, to support women strike a better balance between work and childbearing.</w:t>
      </w:r>
      <w:bookmarkEnd w:id="0"/>
    </w:p>
    <w:sectPr w:rsidR="00C02774">
      <w:headerReference w:type="default" r:id="rId6"/>
      <w:footerReference w:type="default" r:id="rId7"/>
      <w:pgSz w:w="11906" w:h="16838"/>
      <w:pgMar w:top="1440" w:right="1571" w:bottom="1440" w:left="1571" w:header="284" w:footer="284"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59D86" w14:textId="77777777" w:rsidR="00C02774" w:rsidRDefault="00C02774">
      <w:r>
        <w:separator/>
      </w:r>
    </w:p>
  </w:endnote>
  <w:endnote w:type="continuationSeparator" w:id="0">
    <w:p w14:paraId="41CA8352" w14:textId="77777777" w:rsidR="00C02774" w:rsidRDefault="00C02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Times New Roman"/>
    <w:charset w:val="00"/>
    <w:family w:val="auto"/>
    <w:pitch w:val="default"/>
  </w:font>
  <w:font w:name="方正小标宋简体">
    <w:altName w:val="Microsoft YaHei"/>
    <w:charset w:val="86"/>
    <w:family w:val="auto"/>
    <w:pitch w:val="default"/>
    <w:sig w:usb0="A00002BF" w:usb1="184F6CFA" w:usb2="00000012" w:usb3="00000000" w:csb0="00040001" w:csb1="00000000"/>
  </w:font>
  <w:font w:name="FangSong">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882C7" w14:textId="77777777" w:rsidR="00000000" w:rsidRDefault="00000000">
    <w:pPr>
      <w:pStyle w:val="Footer"/>
      <w:jc w:val="center"/>
    </w:pPr>
    <w:r>
      <w:fldChar w:fldCharType="begin"/>
    </w:r>
    <w:r>
      <w:instrText>PAGE   \* MERGEFORMAT</w:instrText>
    </w:r>
    <w:r>
      <w:fldChar w:fldCharType="separate"/>
    </w:r>
    <w:r>
      <w:rPr>
        <w:lang w:val="zh-CN" w:eastAsia="en-GB"/>
      </w:rPr>
      <w:t>1</w:t>
    </w:r>
    <w:r>
      <w:fldChar w:fldCharType="end"/>
    </w:r>
  </w:p>
  <w:p w14:paraId="146DB92E"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61ADB" w14:textId="77777777" w:rsidR="00C02774" w:rsidRDefault="00C02774">
      <w:r>
        <w:separator/>
      </w:r>
    </w:p>
  </w:footnote>
  <w:footnote w:type="continuationSeparator" w:id="0">
    <w:p w14:paraId="71ACBBA2" w14:textId="77777777" w:rsidR="00C02774" w:rsidRDefault="00C027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947A8" w14:textId="77777777" w:rsidR="00000000" w:rsidRDefault="00000000">
    <w:pPr>
      <w:pStyle w:val="Header"/>
      <w:pBdr>
        <w:bottom w:val="none" w:sz="0" w:space="0" w:color="auto"/>
      </w:pBd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0"/>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TI4MzIzNzA2ZDBiZmRhZGJiNTk1NWIzYWFkZmFmZjMifQ=="/>
  </w:docVars>
  <w:rsids>
    <w:rsidRoot w:val="008061A3"/>
    <w:rsid w:val="00087D62"/>
    <w:rsid w:val="00095D40"/>
    <w:rsid w:val="00097C13"/>
    <w:rsid w:val="000C6421"/>
    <w:rsid w:val="000D517D"/>
    <w:rsid w:val="000D77B3"/>
    <w:rsid w:val="00156CD4"/>
    <w:rsid w:val="0016617A"/>
    <w:rsid w:val="002139CE"/>
    <w:rsid w:val="002274EA"/>
    <w:rsid w:val="00237520"/>
    <w:rsid w:val="00237F46"/>
    <w:rsid w:val="002577DF"/>
    <w:rsid w:val="0026011B"/>
    <w:rsid w:val="002602D1"/>
    <w:rsid w:val="00271192"/>
    <w:rsid w:val="00295532"/>
    <w:rsid w:val="002A0A0D"/>
    <w:rsid w:val="002B5EBC"/>
    <w:rsid w:val="002F314E"/>
    <w:rsid w:val="00360E56"/>
    <w:rsid w:val="0036144C"/>
    <w:rsid w:val="003677E9"/>
    <w:rsid w:val="0037620A"/>
    <w:rsid w:val="00386616"/>
    <w:rsid w:val="003955BF"/>
    <w:rsid w:val="003C1F34"/>
    <w:rsid w:val="003D6769"/>
    <w:rsid w:val="00443571"/>
    <w:rsid w:val="00483091"/>
    <w:rsid w:val="004A7CA0"/>
    <w:rsid w:val="00533B7B"/>
    <w:rsid w:val="00546CD5"/>
    <w:rsid w:val="00587E15"/>
    <w:rsid w:val="005B3A1F"/>
    <w:rsid w:val="005D791D"/>
    <w:rsid w:val="005E199E"/>
    <w:rsid w:val="005E6989"/>
    <w:rsid w:val="005E7CF0"/>
    <w:rsid w:val="00611F35"/>
    <w:rsid w:val="00622FF5"/>
    <w:rsid w:val="00644F1E"/>
    <w:rsid w:val="00647624"/>
    <w:rsid w:val="00690388"/>
    <w:rsid w:val="006C4AA9"/>
    <w:rsid w:val="006D2E59"/>
    <w:rsid w:val="006E399C"/>
    <w:rsid w:val="0070395F"/>
    <w:rsid w:val="007171B9"/>
    <w:rsid w:val="00730700"/>
    <w:rsid w:val="007343F6"/>
    <w:rsid w:val="00754F7C"/>
    <w:rsid w:val="00760849"/>
    <w:rsid w:val="007B5A31"/>
    <w:rsid w:val="007C047F"/>
    <w:rsid w:val="007D2178"/>
    <w:rsid w:val="007E61BE"/>
    <w:rsid w:val="008061A3"/>
    <w:rsid w:val="008525F6"/>
    <w:rsid w:val="00870B3F"/>
    <w:rsid w:val="008A657F"/>
    <w:rsid w:val="008D2706"/>
    <w:rsid w:val="008E3F1F"/>
    <w:rsid w:val="008F26BB"/>
    <w:rsid w:val="00913FCE"/>
    <w:rsid w:val="00925D09"/>
    <w:rsid w:val="009457D0"/>
    <w:rsid w:val="0096463A"/>
    <w:rsid w:val="00995DDD"/>
    <w:rsid w:val="009A3D0E"/>
    <w:rsid w:val="009D0546"/>
    <w:rsid w:val="009E5447"/>
    <w:rsid w:val="00A305A3"/>
    <w:rsid w:val="00A35383"/>
    <w:rsid w:val="00A416FB"/>
    <w:rsid w:val="00A527BA"/>
    <w:rsid w:val="00A84F25"/>
    <w:rsid w:val="00A920FB"/>
    <w:rsid w:val="00AE73E2"/>
    <w:rsid w:val="00B42D5C"/>
    <w:rsid w:val="00B44AA8"/>
    <w:rsid w:val="00B63842"/>
    <w:rsid w:val="00BA2ABE"/>
    <w:rsid w:val="00BC0292"/>
    <w:rsid w:val="00BD71BF"/>
    <w:rsid w:val="00BE6752"/>
    <w:rsid w:val="00C02774"/>
    <w:rsid w:val="00C1645E"/>
    <w:rsid w:val="00C23EF7"/>
    <w:rsid w:val="00C43808"/>
    <w:rsid w:val="00CA3726"/>
    <w:rsid w:val="00CB0235"/>
    <w:rsid w:val="00CB698F"/>
    <w:rsid w:val="00CC794C"/>
    <w:rsid w:val="00CE3036"/>
    <w:rsid w:val="00CE3436"/>
    <w:rsid w:val="00CE4773"/>
    <w:rsid w:val="00D523F9"/>
    <w:rsid w:val="00D96DB2"/>
    <w:rsid w:val="00DC5F79"/>
    <w:rsid w:val="00DE2891"/>
    <w:rsid w:val="00E05DA0"/>
    <w:rsid w:val="00E0721A"/>
    <w:rsid w:val="00E251BA"/>
    <w:rsid w:val="00E45164"/>
    <w:rsid w:val="00E63F52"/>
    <w:rsid w:val="00E87A2E"/>
    <w:rsid w:val="00E9763F"/>
    <w:rsid w:val="00EA0C42"/>
    <w:rsid w:val="00EE0A9B"/>
    <w:rsid w:val="00EF702B"/>
    <w:rsid w:val="00F22D74"/>
    <w:rsid w:val="00F63052"/>
    <w:rsid w:val="00F71245"/>
    <w:rsid w:val="00F748F9"/>
    <w:rsid w:val="00F84123"/>
    <w:rsid w:val="00F90A13"/>
    <w:rsid w:val="00FA3BCE"/>
    <w:rsid w:val="00FA7CC4"/>
    <w:rsid w:val="00FB0B04"/>
    <w:rsid w:val="00FE2409"/>
    <w:rsid w:val="00FE4978"/>
    <w:rsid w:val="0EFA7052"/>
    <w:rsid w:val="12E72D97"/>
    <w:rsid w:val="1BF78879"/>
    <w:rsid w:val="1DF7BA7F"/>
    <w:rsid w:val="1FFA1995"/>
    <w:rsid w:val="25FB8800"/>
    <w:rsid w:val="2BFF8E52"/>
    <w:rsid w:val="2F5F6A27"/>
    <w:rsid w:val="35160148"/>
    <w:rsid w:val="35FA2FC9"/>
    <w:rsid w:val="3EEF7C84"/>
    <w:rsid w:val="3EFCE7C9"/>
    <w:rsid w:val="4FFE8CF7"/>
    <w:rsid w:val="5397335D"/>
    <w:rsid w:val="573B2D3E"/>
    <w:rsid w:val="5758B92B"/>
    <w:rsid w:val="58EEA333"/>
    <w:rsid w:val="5D7D2C50"/>
    <w:rsid w:val="5DBF75BF"/>
    <w:rsid w:val="5EF7E634"/>
    <w:rsid w:val="5F2C0BCC"/>
    <w:rsid w:val="6A7DD89A"/>
    <w:rsid w:val="6E54836A"/>
    <w:rsid w:val="6E7D0B1A"/>
    <w:rsid w:val="6FB77EAF"/>
    <w:rsid w:val="6FEFC770"/>
    <w:rsid w:val="735FA737"/>
    <w:rsid w:val="73BFFDAE"/>
    <w:rsid w:val="767DD227"/>
    <w:rsid w:val="77BB4FF8"/>
    <w:rsid w:val="77F74095"/>
    <w:rsid w:val="797D7395"/>
    <w:rsid w:val="7ADB490E"/>
    <w:rsid w:val="7ADDC463"/>
    <w:rsid w:val="7AEB0DF7"/>
    <w:rsid w:val="7AFFBE2E"/>
    <w:rsid w:val="7BAC6C20"/>
    <w:rsid w:val="7BAF2120"/>
    <w:rsid w:val="7BF757EB"/>
    <w:rsid w:val="7BFF29F0"/>
    <w:rsid w:val="7C9D0738"/>
    <w:rsid w:val="7D9F5155"/>
    <w:rsid w:val="7DEB7383"/>
    <w:rsid w:val="7DFE6E41"/>
    <w:rsid w:val="7EFCFD05"/>
    <w:rsid w:val="7EFDD0C7"/>
    <w:rsid w:val="7EFF5B2D"/>
    <w:rsid w:val="7F1FABE3"/>
    <w:rsid w:val="7F99EB23"/>
    <w:rsid w:val="7FA70392"/>
    <w:rsid w:val="7FBE1A2A"/>
    <w:rsid w:val="7FF4860C"/>
    <w:rsid w:val="97BF854F"/>
    <w:rsid w:val="9BDF990D"/>
    <w:rsid w:val="9FCF5461"/>
    <w:rsid w:val="A9FF6A23"/>
    <w:rsid w:val="AD9F6F49"/>
    <w:rsid w:val="ADBE184A"/>
    <w:rsid w:val="ADEF07F9"/>
    <w:rsid w:val="B5FB8404"/>
    <w:rsid w:val="B66FEBE4"/>
    <w:rsid w:val="BA7B23C6"/>
    <w:rsid w:val="BDBFAAA2"/>
    <w:rsid w:val="BEF18505"/>
    <w:rsid w:val="BF7AC5B6"/>
    <w:rsid w:val="BFC62BFC"/>
    <w:rsid w:val="BFFC38C3"/>
    <w:rsid w:val="CDDE4A4A"/>
    <w:rsid w:val="D35F8E9F"/>
    <w:rsid w:val="D37CA633"/>
    <w:rsid w:val="D5DEBA82"/>
    <w:rsid w:val="DBD9F531"/>
    <w:rsid w:val="E56E9E77"/>
    <w:rsid w:val="E5C7FF34"/>
    <w:rsid w:val="E6FB7C0D"/>
    <w:rsid w:val="E75F30B7"/>
    <w:rsid w:val="EADF6088"/>
    <w:rsid w:val="EE7DA3A6"/>
    <w:rsid w:val="EF3FF4F6"/>
    <w:rsid w:val="EF7D7D75"/>
    <w:rsid w:val="EFCE5FC5"/>
    <w:rsid w:val="F23F364C"/>
    <w:rsid w:val="F2DD81FF"/>
    <w:rsid w:val="F5EF3B94"/>
    <w:rsid w:val="F77EE4E0"/>
    <w:rsid w:val="F7AC222E"/>
    <w:rsid w:val="F7F7E6EF"/>
    <w:rsid w:val="FADF254C"/>
    <w:rsid w:val="FB4F9D0C"/>
    <w:rsid w:val="FBBE8036"/>
    <w:rsid w:val="FBEB27E6"/>
    <w:rsid w:val="FBFB3B90"/>
    <w:rsid w:val="FCBF3313"/>
    <w:rsid w:val="FD3FEB6F"/>
    <w:rsid w:val="FD7BA755"/>
    <w:rsid w:val="FDF547BC"/>
    <w:rsid w:val="FEDEA5AA"/>
    <w:rsid w:val="FF37F63B"/>
    <w:rsid w:val="FF3BA90D"/>
    <w:rsid w:val="FFCF5655"/>
    <w:rsid w:val="FFEF4CCC"/>
    <w:rsid w:val="FFF69A62"/>
    <w:rsid w:val="FFF7C42D"/>
    <w:rsid w:val="FFFF9E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strokecolor="#739cc3">
      <v:fill angle="90" type="gradient">
        <o:fill v:ext="view" type="gradientUnscaled"/>
      </v:fill>
      <v:stroke color="#739cc3" weight="1.25pt"/>
    </o:shapedefaults>
    <o:shapelayout v:ext="edit">
      <o:idmap v:ext="edit" data="1"/>
    </o:shapelayout>
  </w:shapeDefaults>
  <w:decimalSymbol w:val="."/>
  <w:listSeparator w:val=","/>
  <w14:docId w14:val="01EC1910"/>
  <w15:chartTrackingRefBased/>
  <w15:docId w15:val="{1623BBDA-E6F5-44CE-B417-F03CC5AEC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Heading3"/>
    <w:qFormat/>
    <w:pPr>
      <w:widowControl w:val="0"/>
      <w:jc w:val="both"/>
    </w:pPr>
    <w:rPr>
      <w:kern w:val="2"/>
      <w:sz w:val="21"/>
      <w:szCs w:val="22"/>
      <w:lang w:val="en-US" w:eastAsia="zh-CN"/>
    </w:rPr>
  </w:style>
  <w:style w:type="paragraph" w:styleId="Heading3">
    <w:name w:val="heading 3"/>
    <w:next w:val="Normal"/>
    <w:uiPriority w:val="9"/>
    <w:qFormat/>
    <w:pPr>
      <w:keepNext/>
      <w:keepLines/>
      <w:widowControl w:val="0"/>
      <w:spacing w:before="260" w:after="260" w:line="413" w:lineRule="auto"/>
      <w:jc w:val="both"/>
      <w:outlineLvl w:val="2"/>
    </w:pPr>
    <w:rPr>
      <w:rFonts w:ascii="Calibri" w:hAnsi="Calibri"/>
      <w:b/>
      <w:kern w:val="2"/>
      <w:sz w:val="32"/>
      <w:szCs w:val="24"/>
      <w:lang w:val="en-US" w:eastAsia="zh-CN"/>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153"/>
        <w:tab w:val="right" w:pos="8306"/>
      </w:tabs>
      <w:snapToGrid w:val="0"/>
      <w:jc w:val="left"/>
    </w:pPr>
    <w:rPr>
      <w:sz w:val="18"/>
      <w:szCs w:val="18"/>
    </w:rPr>
  </w:style>
  <w:style w:type="character" w:customStyle="1" w:styleId="FooterChar">
    <w:name w:val="Footer Char"/>
    <w:link w:val="Footer"/>
    <w:uiPriority w:val="99"/>
    <w:rPr>
      <w:kern w:val="2"/>
      <w:sz w:val="18"/>
      <w:szCs w:val="18"/>
    </w:rPr>
  </w:style>
  <w:style w:type="paragraph" w:styleId="Header">
    <w:name w:val="header"/>
    <w:basedOn w:val="Normal"/>
    <w:link w:val="HeaderChar"/>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HeaderChar">
    <w:name w:val="Header Char"/>
    <w:link w:val="Header"/>
    <w:uiPriority w:val="99"/>
    <w:rPr>
      <w:kern w:val="2"/>
      <w:sz w:val="18"/>
      <w:szCs w:val="18"/>
    </w:rPr>
  </w:style>
  <w:style w:type="paragraph" w:customStyle="1" w:styleId="1">
    <w:name w:val="样式1"/>
    <w:basedOn w:val="Normal"/>
    <w:pPr>
      <w:jc w:val="left"/>
    </w:pPr>
    <w:rPr>
      <w:rFonts w:ascii="仿宋_GB2312" w:eastAsia="仿宋_GB2312"/>
      <w:sz w:val="28"/>
      <w:szCs w:val="24"/>
    </w:rPr>
  </w:style>
  <w:style w:type="paragraph" w:styleId="ListParagraph">
    <w:name w:val="List Paragraph"/>
    <w:uiPriority w:val="34"/>
    <w:qFormat/>
    <w:pPr>
      <w:widowControl w:val="0"/>
      <w:ind w:firstLineChars="200" w:firstLine="420"/>
      <w:jc w:val="both"/>
    </w:pPr>
    <w:rPr>
      <w:rFonts w:eastAsia="仿宋_GB2312"/>
      <w:kern w:val="2"/>
      <w:sz w:val="32"/>
      <w:szCs w:val="24"/>
      <w:lang w:val="en-US" w:eastAsia="zh-CN"/>
    </w:rPr>
  </w:style>
  <w:style w:type="paragraph" w:styleId="Revision">
    <w:name w:val="Revision"/>
    <w:uiPriority w:val="99"/>
    <w:unhideWhenUsed/>
    <w:rPr>
      <w:kern w:val="2"/>
      <w:sz w:val="21"/>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1322</Words>
  <Characters>7540</Characters>
  <Application>Microsoft Office Word</Application>
  <DocSecurity>0</DocSecurity>
  <PresentationFormat/>
  <Lines>62</Lines>
  <Paragraphs>17</Paragraphs>
  <Slides>0</Slides>
  <Notes>0</Notes>
  <HiddenSlides>0</HiddenSlides>
  <MMClips>0</MMClips>
  <ScaleCrop>false</ScaleCrop>
  <Company>china</Company>
  <LinksUpToDate>false</LinksUpToDate>
  <CharactersWithSpaces>8845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国家卫生计生委请示报告专用纸</dc:title>
  <dc:subject/>
  <dc:creator>技术服务,综合部门,综合处核稿</dc:creator>
  <cp:keywords/>
  <cp:lastModifiedBy>Caroline Harvey</cp:lastModifiedBy>
  <cp:revision>2</cp:revision>
  <cp:lastPrinted>2023-04-08T14:15:00Z</cp:lastPrinted>
  <dcterms:created xsi:type="dcterms:W3CDTF">2023-04-11T14:24:00Z</dcterms:created>
  <dcterms:modified xsi:type="dcterms:W3CDTF">2023-04-11T14:24:00Z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85AAB823B4784816B086B6218ADF4DA8_13</vt:lpwstr>
  </property>
</Properties>
</file>