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tbl>
      <w:tblPr>
        <w:tblW w:w="5000" w:type="pct"/>
        <w:tblInd w:w="55" w:type="dxa"/>
        <w:tblLayout w:type="fixed"/>
        <w:tblCellMar>
          <w:top w:w="55" w:type="dxa"/>
          <w:left w:w="55" w:type="dxa"/>
          <w:bottom w:w="55" w:type="dxa"/>
          <w:right w:w="55" w:type="dxa"/>
        </w:tblCellMar>
        <w:tblLook w:val="0000" w:firstRow="0" w:lastRow="0" w:firstColumn="0" w:lastColumn="0" w:noHBand="0" w:noVBand="0"/>
      </w:tblPr>
      <w:tblGrid>
        <w:gridCol w:w="3212"/>
        <w:gridCol w:w="3213"/>
        <w:gridCol w:w="3213"/>
      </w:tblGrid>
      <w:tr w:rsidR="000A3573" w14:paraId="51C705E0" w14:textId="77777777">
        <w:tc>
          <w:tcPr>
            <w:tcW w:w="3212" w:type="dxa"/>
          </w:tcPr>
          <w:p w14:paraId="42AC263B" w14:textId="77777777" w:rsidR="000A3573" w:rsidRDefault="0075518D">
            <w:pPr>
              <w:pStyle w:val="Contenudetableau"/>
            </w:pPr>
            <w:r>
              <w:rPr>
                <w:noProof/>
              </w:rPr>
              <w:drawing>
                <wp:anchor distT="0" distB="0" distL="0" distR="0" simplePos="0" relativeHeight="3" behindDoc="0" locked="0" layoutInCell="0" allowOverlap="1" wp14:anchorId="4D000384" wp14:editId="1493CC80">
                  <wp:simplePos x="0" y="0"/>
                  <wp:positionH relativeFrom="column">
                    <wp:posOffset>4253865</wp:posOffset>
                  </wp:positionH>
                  <wp:positionV relativeFrom="paragraph">
                    <wp:posOffset>229870</wp:posOffset>
                  </wp:positionV>
                  <wp:extent cx="1485265" cy="1485265"/>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7"/>
                          <a:stretch>
                            <a:fillRect/>
                          </a:stretch>
                        </pic:blipFill>
                        <pic:spPr bwMode="auto">
                          <a:xfrm>
                            <a:off x="0" y="0"/>
                            <a:ext cx="1485265" cy="1485265"/>
                          </a:xfrm>
                          <a:prstGeom prst="rect">
                            <a:avLst/>
                          </a:prstGeom>
                        </pic:spPr>
                      </pic:pic>
                    </a:graphicData>
                  </a:graphic>
                </wp:anchor>
              </w:drawing>
            </w:r>
            <w:r>
              <w:rPr>
                <w:noProof/>
              </w:rPr>
              <w:drawing>
                <wp:anchor distT="0" distB="0" distL="0" distR="0" simplePos="0" relativeHeight="5" behindDoc="0" locked="0" layoutInCell="0" allowOverlap="1" wp14:anchorId="05191369" wp14:editId="2E0A4C82">
                  <wp:simplePos x="0" y="0"/>
                  <wp:positionH relativeFrom="column">
                    <wp:posOffset>-8255</wp:posOffset>
                  </wp:positionH>
                  <wp:positionV relativeFrom="paragraph">
                    <wp:posOffset>591820</wp:posOffset>
                  </wp:positionV>
                  <wp:extent cx="1970405" cy="812165"/>
                  <wp:effectExtent l="0" t="0" r="0" b="0"/>
                  <wp:wrapSquare wrapText="largest"/>
                  <wp:docPr id="2" name="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4"/>
                          <pic:cNvPicPr>
                            <a:picLocks noChangeAspect="1" noChangeArrowheads="1"/>
                          </pic:cNvPicPr>
                        </pic:nvPicPr>
                        <pic:blipFill>
                          <a:blip r:embed="rId8"/>
                          <a:stretch>
                            <a:fillRect/>
                          </a:stretch>
                        </pic:blipFill>
                        <pic:spPr bwMode="auto">
                          <a:xfrm>
                            <a:off x="0" y="0"/>
                            <a:ext cx="1970405" cy="812165"/>
                          </a:xfrm>
                          <a:prstGeom prst="rect">
                            <a:avLst/>
                          </a:prstGeom>
                        </pic:spPr>
                      </pic:pic>
                    </a:graphicData>
                  </a:graphic>
                </wp:anchor>
              </w:drawing>
            </w:r>
          </w:p>
        </w:tc>
        <w:tc>
          <w:tcPr>
            <w:tcW w:w="3213" w:type="dxa"/>
          </w:tcPr>
          <w:p w14:paraId="61438F01" w14:textId="77777777" w:rsidR="000A3573" w:rsidRDefault="0075518D">
            <w:pPr>
              <w:pStyle w:val="Contenudetableau"/>
            </w:pPr>
            <w:r>
              <w:rPr>
                <w:noProof/>
              </w:rPr>
              <w:drawing>
                <wp:anchor distT="0" distB="0" distL="0" distR="0" simplePos="0" relativeHeight="4" behindDoc="0" locked="0" layoutInCell="0" allowOverlap="1" wp14:anchorId="5C25D4E4" wp14:editId="32651B7A">
                  <wp:simplePos x="0" y="0"/>
                  <wp:positionH relativeFrom="column">
                    <wp:posOffset>88265</wp:posOffset>
                  </wp:positionH>
                  <wp:positionV relativeFrom="paragraph">
                    <wp:posOffset>635</wp:posOffset>
                  </wp:positionV>
                  <wp:extent cx="1969770" cy="1969770"/>
                  <wp:effectExtent l="0" t="0" r="0" b="0"/>
                  <wp:wrapSquare wrapText="largest"/>
                  <wp:docPr id="3"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pic:cNvPicPr>
                            <a:picLocks noChangeAspect="1" noChangeArrowheads="1"/>
                          </pic:cNvPicPr>
                        </pic:nvPicPr>
                        <pic:blipFill>
                          <a:blip r:embed="rId9"/>
                          <a:stretch>
                            <a:fillRect/>
                          </a:stretch>
                        </pic:blipFill>
                        <pic:spPr bwMode="auto">
                          <a:xfrm>
                            <a:off x="0" y="0"/>
                            <a:ext cx="1969770" cy="1969770"/>
                          </a:xfrm>
                          <a:prstGeom prst="rect">
                            <a:avLst/>
                          </a:prstGeom>
                        </pic:spPr>
                      </pic:pic>
                    </a:graphicData>
                  </a:graphic>
                </wp:anchor>
              </w:drawing>
            </w:r>
          </w:p>
        </w:tc>
        <w:tc>
          <w:tcPr>
            <w:tcW w:w="3213" w:type="dxa"/>
          </w:tcPr>
          <w:p w14:paraId="77D216F1" w14:textId="77777777" w:rsidR="000A3573" w:rsidRDefault="000A3573">
            <w:pPr>
              <w:pStyle w:val="Contenudetableau"/>
            </w:pPr>
          </w:p>
        </w:tc>
      </w:tr>
      <w:tr w:rsidR="000A3573" w14:paraId="648346B8" w14:textId="77777777">
        <w:tc>
          <w:tcPr>
            <w:tcW w:w="3212" w:type="dxa"/>
          </w:tcPr>
          <w:p w14:paraId="5B39329F" w14:textId="77777777" w:rsidR="000A3573" w:rsidRDefault="0075518D">
            <w:pPr>
              <w:pStyle w:val="Contenudetableau"/>
              <w:jc w:val="center"/>
              <w:rPr>
                <w:b/>
                <w:bCs/>
              </w:rPr>
            </w:pPr>
            <w:r>
              <w:rPr>
                <w:b/>
                <w:bCs/>
              </w:rPr>
              <w:t>www.flagrant-deni.fr</w:t>
            </w:r>
          </w:p>
        </w:tc>
        <w:tc>
          <w:tcPr>
            <w:tcW w:w="3213" w:type="dxa"/>
          </w:tcPr>
          <w:p w14:paraId="3C57EC35" w14:textId="77777777" w:rsidR="000A3573" w:rsidRDefault="0075518D">
            <w:pPr>
              <w:pStyle w:val="Contenudetableau"/>
              <w:jc w:val="center"/>
              <w:rPr>
                <w:b/>
                <w:bCs/>
              </w:rPr>
            </w:pPr>
            <w:r>
              <w:rPr>
                <w:b/>
                <w:bCs/>
              </w:rPr>
              <w:t>www.lesaf.org</w:t>
            </w:r>
          </w:p>
        </w:tc>
        <w:tc>
          <w:tcPr>
            <w:tcW w:w="3213" w:type="dxa"/>
          </w:tcPr>
          <w:p w14:paraId="140D7D0E" w14:textId="77777777" w:rsidR="000A3573" w:rsidRDefault="0075518D">
            <w:pPr>
              <w:pStyle w:val="Contenudetableau"/>
              <w:jc w:val="center"/>
              <w:rPr>
                <w:b/>
                <w:bCs/>
              </w:rPr>
            </w:pPr>
            <w:r>
              <w:rPr>
                <w:b/>
                <w:bCs/>
              </w:rPr>
              <w:t>www.stopauxviolencesdetat.fr</w:t>
            </w:r>
          </w:p>
        </w:tc>
      </w:tr>
    </w:tbl>
    <w:p w14:paraId="1B3CE95F" w14:textId="77777777" w:rsidR="000A3573" w:rsidRDefault="000A3573">
      <w:pPr>
        <w:rPr>
          <w:rFonts w:cs="Times New Roman"/>
          <w:sz w:val="21"/>
          <w:szCs w:val="21"/>
        </w:rPr>
      </w:pPr>
    </w:p>
    <w:p w14:paraId="0AD1A3E7" w14:textId="77777777" w:rsidR="000A3573" w:rsidRDefault="000A3573">
      <w:pPr>
        <w:rPr>
          <w:rFonts w:cs="Times New Roman"/>
          <w:sz w:val="21"/>
          <w:szCs w:val="21"/>
        </w:rPr>
      </w:pPr>
    </w:p>
    <w:p w14:paraId="278985D9" w14:textId="77777777" w:rsidR="000A3573" w:rsidRDefault="000A3573">
      <w:pPr>
        <w:rPr>
          <w:rFonts w:cs="Times New Roman"/>
          <w:sz w:val="21"/>
          <w:szCs w:val="21"/>
        </w:rPr>
      </w:pPr>
    </w:p>
    <w:p w14:paraId="61E0A0C2" w14:textId="77777777" w:rsidR="000A3573" w:rsidRDefault="0075518D">
      <w:pPr>
        <w:jc w:val="center"/>
        <w:rPr>
          <w:rFonts w:cs="Times New Roman"/>
          <w:b/>
          <w:bCs/>
          <w:sz w:val="30"/>
          <w:szCs w:val="30"/>
        </w:rPr>
      </w:pPr>
      <w:r>
        <w:rPr>
          <w:rFonts w:cs="Times New Roman"/>
          <w:b/>
          <w:bCs/>
          <w:sz w:val="36"/>
          <w:szCs w:val="36"/>
        </w:rPr>
        <w:t>Note commune à l’attention du Comité contre la torture de l’ONU</w:t>
      </w:r>
      <w:r>
        <w:rPr>
          <w:rFonts w:cs="Times New Roman"/>
          <w:b/>
          <w:bCs/>
          <w:sz w:val="30"/>
          <w:szCs w:val="30"/>
        </w:rPr>
        <w:t xml:space="preserve"> </w:t>
      </w:r>
    </w:p>
    <w:p w14:paraId="018424E5" w14:textId="77777777" w:rsidR="000A3573" w:rsidRDefault="000A3573">
      <w:pPr>
        <w:jc w:val="center"/>
        <w:rPr>
          <w:rFonts w:cs="Times New Roman"/>
          <w:sz w:val="21"/>
          <w:szCs w:val="21"/>
        </w:rPr>
      </w:pPr>
    </w:p>
    <w:p w14:paraId="458826AE" w14:textId="77777777" w:rsidR="000A3573" w:rsidRDefault="0075518D">
      <w:pPr>
        <w:jc w:val="center"/>
        <w:rPr>
          <w:i/>
          <w:iCs/>
          <w:sz w:val="26"/>
          <w:szCs w:val="26"/>
        </w:rPr>
      </w:pPr>
      <w:r>
        <w:rPr>
          <w:rFonts w:cs="Times New Roman"/>
          <w:i/>
          <w:iCs/>
          <w:sz w:val="26"/>
          <w:szCs w:val="26"/>
        </w:rPr>
        <w:t xml:space="preserve">Convention contre la torture et autres peines ou traitements cruels, inhumains ou </w:t>
      </w:r>
      <w:proofErr w:type="gramStart"/>
      <w:r>
        <w:rPr>
          <w:rFonts w:cs="Times New Roman"/>
          <w:i/>
          <w:iCs/>
          <w:sz w:val="26"/>
          <w:szCs w:val="26"/>
        </w:rPr>
        <w:t>dégradants</w:t>
      </w:r>
      <w:proofErr w:type="gramEnd"/>
      <w:r>
        <w:rPr>
          <w:rFonts w:cs="Times New Roman"/>
          <w:i/>
          <w:iCs/>
          <w:sz w:val="26"/>
          <w:szCs w:val="26"/>
        </w:rPr>
        <w:t xml:space="preserve"> Huitième rapport périodique de la France – </w:t>
      </w:r>
      <w:bookmarkStart w:id="0" w:name="ContentPlaceHolder1_tdSessionNo"/>
      <w:bookmarkEnd w:id="0"/>
      <w:r>
        <w:rPr>
          <w:rFonts w:cs="Times New Roman"/>
          <w:i/>
          <w:iCs/>
          <w:sz w:val="26"/>
          <w:szCs w:val="26"/>
        </w:rPr>
        <w:t>82</w:t>
      </w:r>
      <w:r>
        <w:rPr>
          <w:rFonts w:cs="Times New Roman"/>
          <w:i/>
          <w:iCs/>
          <w:sz w:val="26"/>
          <w:szCs w:val="26"/>
          <w:vertAlign w:val="superscript"/>
        </w:rPr>
        <w:t>ème</w:t>
      </w:r>
      <w:r>
        <w:rPr>
          <w:rFonts w:cs="Times New Roman"/>
          <w:i/>
          <w:iCs/>
          <w:sz w:val="26"/>
          <w:szCs w:val="26"/>
        </w:rPr>
        <w:t xml:space="preserve"> Session (7 avril – 2 mai 2025) </w:t>
      </w:r>
    </w:p>
    <w:p w14:paraId="1340B19D" w14:textId="77777777" w:rsidR="000A3573" w:rsidRDefault="000A3573">
      <w:pPr>
        <w:jc w:val="center"/>
        <w:rPr>
          <w:rFonts w:cs="Times New Roman"/>
          <w:sz w:val="26"/>
          <w:szCs w:val="26"/>
        </w:rPr>
      </w:pPr>
    </w:p>
    <w:p w14:paraId="33EA8F28" w14:textId="77777777" w:rsidR="000A3573" w:rsidRDefault="000A3573">
      <w:pPr>
        <w:jc w:val="center"/>
        <w:rPr>
          <w:rFonts w:cs="Times New Roman"/>
          <w:sz w:val="21"/>
          <w:szCs w:val="21"/>
        </w:rPr>
      </w:pPr>
    </w:p>
    <w:p w14:paraId="4882B112" w14:textId="77777777" w:rsidR="000A3573" w:rsidRDefault="000A3573">
      <w:pPr>
        <w:jc w:val="center"/>
        <w:rPr>
          <w:rFonts w:cs="Times New Roman"/>
          <w:sz w:val="21"/>
          <w:szCs w:val="21"/>
        </w:rPr>
      </w:pPr>
    </w:p>
    <w:p w14:paraId="58CFDA93" w14:textId="77777777" w:rsidR="000A3573" w:rsidRDefault="000A3573">
      <w:pPr>
        <w:jc w:val="both"/>
        <w:rPr>
          <w:rFonts w:cs="Times New Roman"/>
          <w:sz w:val="21"/>
          <w:szCs w:val="21"/>
        </w:rPr>
      </w:pPr>
    </w:p>
    <w:p w14:paraId="39012DD7" w14:textId="77777777" w:rsidR="000A3573" w:rsidRDefault="0075518D">
      <w:pPr>
        <w:jc w:val="both"/>
        <w:rPr>
          <w:rFonts w:cs="Times New Roman"/>
          <w:sz w:val="21"/>
          <w:szCs w:val="21"/>
        </w:rPr>
      </w:pPr>
      <w:r>
        <w:rPr>
          <w:rFonts w:cs="Times New Roman"/>
          <w:b/>
          <w:bCs/>
          <w:sz w:val="21"/>
          <w:szCs w:val="21"/>
        </w:rPr>
        <w:t>La présente note vise à compléter les informations du Comité sur l’augmentation préoccupante des tirs policiers mortels en France, consécutive à l’adoption d’une loi, en 2017. Les ambiguïtés rédactionnelles et la dangerosité de ce texte, très largement critiquées, demeure contestées par les autorités françaises en dépit d’un rappel cinglant du Comité des droits humains, en novembre dernier.</w:t>
      </w:r>
    </w:p>
    <w:p w14:paraId="7D487548" w14:textId="77777777" w:rsidR="000A3573" w:rsidRDefault="000A3573">
      <w:pPr>
        <w:jc w:val="both"/>
        <w:rPr>
          <w:rFonts w:cs="Times New Roman"/>
          <w:sz w:val="21"/>
          <w:szCs w:val="21"/>
        </w:rPr>
      </w:pPr>
    </w:p>
    <w:p w14:paraId="5FC845BD" w14:textId="77777777" w:rsidR="000A3573" w:rsidRDefault="000A3573">
      <w:pPr>
        <w:rPr>
          <w:rFonts w:cs="Times New Roman"/>
          <w:sz w:val="21"/>
          <w:szCs w:val="21"/>
        </w:rPr>
      </w:pPr>
    </w:p>
    <w:p w14:paraId="212843CC" w14:textId="77777777" w:rsidR="000A3573" w:rsidRDefault="000A3573">
      <w:pPr>
        <w:rPr>
          <w:rFonts w:cs="Times New Roman"/>
          <w:sz w:val="21"/>
          <w:szCs w:val="21"/>
        </w:rPr>
      </w:pPr>
    </w:p>
    <w:p w14:paraId="20BD9E50" w14:textId="77777777" w:rsidR="000A3573" w:rsidRDefault="0075518D">
      <w:pPr>
        <w:jc w:val="center"/>
        <w:rPr>
          <w:rFonts w:cs="Times New Roman"/>
          <w:sz w:val="21"/>
          <w:szCs w:val="21"/>
        </w:rPr>
      </w:pPr>
      <w:r>
        <w:rPr>
          <w:rFonts w:cs="Times New Roman"/>
          <w:sz w:val="21"/>
          <w:szCs w:val="21"/>
        </w:rPr>
        <w:t>* * *</w:t>
      </w:r>
    </w:p>
    <w:p w14:paraId="256F1531" w14:textId="77777777" w:rsidR="000A3573" w:rsidRDefault="000A3573">
      <w:pPr>
        <w:ind w:right="-170"/>
        <w:contextualSpacing/>
        <w:jc w:val="both"/>
        <w:rPr>
          <w:rFonts w:cs="Times New Roman"/>
          <w:sz w:val="21"/>
          <w:szCs w:val="21"/>
        </w:rPr>
      </w:pPr>
    </w:p>
    <w:p w14:paraId="318CC022" w14:textId="77777777" w:rsidR="000A3573" w:rsidRDefault="000A3573">
      <w:pPr>
        <w:rPr>
          <w:rFonts w:cs="Times New Roman"/>
          <w:sz w:val="21"/>
          <w:szCs w:val="21"/>
        </w:rPr>
      </w:pPr>
    </w:p>
    <w:p w14:paraId="7FB3AF31" w14:textId="77777777" w:rsidR="000A3573" w:rsidRDefault="0075518D">
      <w:pPr>
        <w:jc w:val="both"/>
        <w:rPr>
          <w:rFonts w:cs="Times New Roman"/>
          <w:sz w:val="21"/>
          <w:szCs w:val="21"/>
        </w:rPr>
      </w:pPr>
      <w:r>
        <w:rPr>
          <w:rFonts w:cs="Times New Roman"/>
          <w:sz w:val="21"/>
          <w:szCs w:val="21"/>
        </w:rPr>
        <w:t>En 2016, dans ses observations finales concernant le septième rapport périodique de la France, le Comité contre la torture s’était déclaré  « </w:t>
      </w:r>
      <w:r>
        <w:rPr>
          <w:rFonts w:cs="Times New Roman"/>
          <w:i/>
          <w:iCs/>
          <w:sz w:val="21"/>
          <w:szCs w:val="21"/>
        </w:rPr>
        <w:t xml:space="preserve">préoccupé par les allégations </w:t>
      </w:r>
      <w:r>
        <w:rPr>
          <w:rFonts w:cs="Times New Roman"/>
          <w:i/>
          <w:iCs/>
          <w:sz w:val="21"/>
          <w:szCs w:val="21"/>
        </w:rPr>
        <w:t>d’usage excessif de la force par les fonctionnaires de police et de gendarmerie ayant, dans certains cas, entraîné des blessures graves ou des décès</w:t>
      </w:r>
      <w:r>
        <w:rPr>
          <w:rFonts w:cs="Times New Roman"/>
          <w:sz w:val="21"/>
          <w:szCs w:val="21"/>
        </w:rPr>
        <w:t> ». En conséquence, dans la liste de points à traiter dans le cadre du présent examen, le Comité demandait à la France de « </w:t>
      </w:r>
      <w:r>
        <w:rPr>
          <w:rFonts w:cs="Times New Roman"/>
          <w:i/>
          <w:iCs/>
          <w:sz w:val="21"/>
          <w:szCs w:val="21"/>
        </w:rPr>
        <w:t>fournir des renseignements sur les mesures prises ou envisagées par l’État partie visant à renforcer la lutte contre tout usage excessif de la force par la police et la gendarmerie</w:t>
      </w:r>
      <w:r>
        <w:rPr>
          <w:rFonts w:cs="Times New Roman"/>
          <w:sz w:val="21"/>
          <w:szCs w:val="21"/>
        </w:rPr>
        <w:t> » (§ 17) et de « </w:t>
      </w:r>
      <w:r>
        <w:rPr>
          <w:rFonts w:cs="Times New Roman"/>
          <w:i/>
          <w:iCs/>
          <w:sz w:val="21"/>
          <w:szCs w:val="21"/>
        </w:rPr>
        <w:t>communiquer des informations détaillées su</w:t>
      </w:r>
      <w:r>
        <w:rPr>
          <w:rFonts w:cs="Times New Roman"/>
          <w:i/>
          <w:iCs/>
          <w:sz w:val="21"/>
          <w:szCs w:val="21"/>
        </w:rPr>
        <w:t>r toute autre mesure pertinente d’ordre législatif, administratif, judiciaire ou autre prise depuis l’examen du précédent rapport</w:t>
      </w:r>
      <w:r>
        <w:rPr>
          <w:rFonts w:cs="Times New Roman"/>
          <w:sz w:val="21"/>
          <w:szCs w:val="21"/>
        </w:rPr>
        <w:t xml:space="preserve"> » (§ 24). </w:t>
      </w:r>
    </w:p>
    <w:p w14:paraId="2B54D8A6" w14:textId="77777777" w:rsidR="000A3573" w:rsidRDefault="000A3573">
      <w:pPr>
        <w:rPr>
          <w:rFonts w:cs="Times New Roman"/>
          <w:sz w:val="21"/>
          <w:szCs w:val="21"/>
        </w:rPr>
      </w:pPr>
    </w:p>
    <w:p w14:paraId="710816DE" w14:textId="77777777" w:rsidR="000A3573" w:rsidRDefault="000A3573">
      <w:pPr>
        <w:jc w:val="both"/>
        <w:rPr>
          <w:rFonts w:cs="Times New Roman"/>
          <w:sz w:val="21"/>
          <w:szCs w:val="21"/>
        </w:rPr>
      </w:pPr>
    </w:p>
    <w:p w14:paraId="5E623630" w14:textId="77777777" w:rsidR="000A3573" w:rsidRDefault="0075518D">
      <w:pPr>
        <w:jc w:val="both"/>
        <w:rPr>
          <w:rFonts w:cs="Times New Roman"/>
          <w:sz w:val="21"/>
          <w:szCs w:val="21"/>
        </w:rPr>
      </w:pPr>
      <w:r>
        <w:rPr>
          <w:rFonts w:cs="Times New Roman"/>
          <w:sz w:val="21"/>
          <w:szCs w:val="21"/>
        </w:rPr>
        <w:t xml:space="preserve">Or, depuis l’entrée en vigueur d’une loi du 28 février 2017, dite « Cazeneuve » le flou juridique du texte de loi </w:t>
      </w:r>
      <w:r>
        <w:rPr>
          <w:rFonts w:cs="Times New Roman"/>
          <w:b/>
          <w:bCs/>
          <w:sz w:val="21"/>
          <w:szCs w:val="21"/>
        </w:rPr>
        <w:t>(1.)</w:t>
      </w:r>
      <w:r>
        <w:rPr>
          <w:rFonts w:cs="Times New Roman"/>
          <w:sz w:val="21"/>
          <w:szCs w:val="21"/>
        </w:rPr>
        <w:t xml:space="preserve">, comme de l’instruction interne qui en donnait une interprétation à destination des fonctionnaires de police </w:t>
      </w:r>
      <w:r>
        <w:rPr>
          <w:rFonts w:cs="Times New Roman"/>
          <w:b/>
          <w:bCs/>
          <w:sz w:val="21"/>
          <w:szCs w:val="21"/>
        </w:rPr>
        <w:t>(2.)</w:t>
      </w:r>
      <w:r>
        <w:rPr>
          <w:rFonts w:cs="Times New Roman"/>
          <w:sz w:val="21"/>
          <w:szCs w:val="21"/>
        </w:rPr>
        <w:t xml:space="preserve"> a laissé penser à nombre de policiers que l’usage de leur arme était « assoupli », entraînant une explosion du nombre de morts, qui touchent en particulier les personnes racisées </w:t>
      </w:r>
      <w:r>
        <w:rPr>
          <w:rFonts w:cs="Times New Roman"/>
          <w:b/>
          <w:bCs/>
          <w:sz w:val="21"/>
          <w:szCs w:val="21"/>
        </w:rPr>
        <w:t>(3.)</w:t>
      </w:r>
      <w:r>
        <w:rPr>
          <w:rFonts w:cs="Times New Roman"/>
          <w:sz w:val="21"/>
          <w:szCs w:val="21"/>
        </w:rPr>
        <w:t xml:space="preserve">. Cette augmentation massive, et l’émoi national entraîné </w:t>
      </w:r>
      <w:proofErr w:type="gramStart"/>
      <w:r>
        <w:rPr>
          <w:rFonts w:cs="Times New Roman"/>
          <w:sz w:val="21"/>
          <w:szCs w:val="21"/>
        </w:rPr>
        <w:t>suite à</w:t>
      </w:r>
      <w:proofErr w:type="gramEnd"/>
      <w:r>
        <w:rPr>
          <w:rFonts w:cs="Times New Roman"/>
          <w:sz w:val="21"/>
          <w:szCs w:val="21"/>
        </w:rPr>
        <w:t xml:space="preserve"> la diffusion des images de la mort de Nahel </w:t>
      </w:r>
      <w:proofErr w:type="spellStart"/>
      <w:r>
        <w:rPr>
          <w:rFonts w:cs="Times New Roman"/>
          <w:sz w:val="21"/>
          <w:szCs w:val="21"/>
        </w:rPr>
        <w:t>Merzouk</w:t>
      </w:r>
      <w:proofErr w:type="spellEnd"/>
      <w:r>
        <w:rPr>
          <w:rFonts w:cs="Times New Roman"/>
          <w:sz w:val="21"/>
          <w:szCs w:val="21"/>
        </w:rPr>
        <w:t xml:space="preserve"> à Nanterre le 27 juin 2023, ont donné lieu à une mission d’information de l’Assemblée nationale. Celle-ci a permis d’objectiver nombre de critiques formulées quasi-unanimement par des acteurs très divers sur le</w:t>
      </w:r>
      <w:r>
        <w:rPr>
          <w:rFonts w:cs="Times New Roman"/>
          <w:sz w:val="21"/>
          <w:szCs w:val="21"/>
        </w:rPr>
        <w:t xml:space="preserve">s ambiguïtés du texte et sa dangerosité. Mais elle n’a eu pour l’heure aucun effet clarificateur </w:t>
      </w:r>
      <w:r>
        <w:rPr>
          <w:rFonts w:cs="Times New Roman"/>
          <w:b/>
          <w:bCs/>
          <w:sz w:val="21"/>
          <w:szCs w:val="21"/>
        </w:rPr>
        <w:t>(4.)</w:t>
      </w:r>
      <w:r>
        <w:rPr>
          <w:rFonts w:cs="Times New Roman"/>
          <w:sz w:val="21"/>
          <w:szCs w:val="21"/>
        </w:rPr>
        <w:t xml:space="preserve">. Fortement attendue, la jurisprudence de la Cour de cassation s’est elle aussi avérée décevante </w:t>
      </w:r>
      <w:r>
        <w:rPr>
          <w:rFonts w:cs="Times New Roman"/>
          <w:b/>
          <w:bCs/>
          <w:sz w:val="21"/>
          <w:szCs w:val="21"/>
        </w:rPr>
        <w:t>(5.)</w:t>
      </w:r>
      <w:r>
        <w:rPr>
          <w:rFonts w:cs="Times New Roman"/>
          <w:sz w:val="21"/>
          <w:szCs w:val="21"/>
        </w:rPr>
        <w:t xml:space="preserve">. En l’état actuel, et en dépit de la demande du Comité des droits </w:t>
      </w:r>
      <w:r>
        <w:rPr>
          <w:rFonts w:cs="Times New Roman"/>
          <w:sz w:val="21"/>
          <w:szCs w:val="21"/>
        </w:rPr>
        <w:lastRenderedPageBreak/>
        <w:t xml:space="preserve">humains en novembre 2024, visant à une réforme du cadre légal de l’usage des armes </w:t>
      </w:r>
      <w:r>
        <w:rPr>
          <w:rFonts w:cs="Times New Roman"/>
          <w:b/>
          <w:bCs/>
          <w:sz w:val="21"/>
          <w:szCs w:val="21"/>
        </w:rPr>
        <w:t>(6.)</w:t>
      </w:r>
      <w:r>
        <w:rPr>
          <w:rFonts w:cs="Times New Roman"/>
          <w:sz w:val="21"/>
          <w:szCs w:val="21"/>
        </w:rPr>
        <w:t xml:space="preserve">, les autorités françaises refusent d’admettre les ambiguïtés et </w:t>
      </w:r>
      <w:r>
        <w:rPr>
          <w:rFonts w:cs="Times New Roman"/>
          <w:i/>
          <w:iCs/>
          <w:sz w:val="21"/>
          <w:szCs w:val="21"/>
        </w:rPr>
        <w:t>in fine</w:t>
      </w:r>
      <w:r>
        <w:rPr>
          <w:rFonts w:cs="Times New Roman"/>
          <w:sz w:val="21"/>
          <w:szCs w:val="21"/>
        </w:rPr>
        <w:t xml:space="preserve"> la dangerosité de ce texte.</w:t>
      </w:r>
    </w:p>
    <w:p w14:paraId="78C5ACDF" w14:textId="77777777" w:rsidR="000A3573" w:rsidRDefault="000A3573">
      <w:pPr>
        <w:jc w:val="both"/>
        <w:rPr>
          <w:rFonts w:cs="Times New Roman"/>
          <w:sz w:val="21"/>
          <w:szCs w:val="21"/>
        </w:rPr>
      </w:pPr>
    </w:p>
    <w:p w14:paraId="5285D442" w14:textId="77777777" w:rsidR="000A3573" w:rsidRDefault="0075518D">
      <w:pPr>
        <w:jc w:val="both"/>
        <w:rPr>
          <w:rFonts w:cs="Times New Roman"/>
          <w:sz w:val="21"/>
          <w:szCs w:val="21"/>
        </w:rPr>
      </w:pPr>
      <w:r>
        <w:rPr>
          <w:rFonts w:cs="Times New Roman"/>
          <w:sz w:val="21"/>
          <w:szCs w:val="21"/>
        </w:rPr>
        <w:t>Depuis l’adoption de la loi, une centaine de personnes a été tuée par des balles de la police nationale, en sept ans. Ce faisant, comme l’a rappelé l’un des experts du Comité des droits humains, la France est devenue « </w:t>
      </w:r>
      <w:r>
        <w:rPr>
          <w:rStyle w:val="Emphasis"/>
          <w:rFonts w:cs="Times New Roman"/>
          <w:sz w:val="21"/>
          <w:szCs w:val="21"/>
        </w:rPr>
        <w:t>le pays de l’UE où on compte le plus grand nombre de personnes tuées ou blessées par des tirs réalisés par des agents des forces de police </w:t>
      </w:r>
      <w:r>
        <w:rPr>
          <w:rStyle w:val="Emphasis"/>
          <w:rFonts w:cs="Times New Roman"/>
          <w:i w:val="0"/>
          <w:iCs w:val="0"/>
          <w:sz w:val="21"/>
          <w:szCs w:val="21"/>
        </w:rPr>
        <w:t>».</w:t>
      </w:r>
    </w:p>
    <w:p w14:paraId="732CBB85" w14:textId="77777777" w:rsidR="000A3573" w:rsidRDefault="000A3573">
      <w:pPr>
        <w:rPr>
          <w:rFonts w:cs="Times New Roman"/>
          <w:sz w:val="21"/>
          <w:szCs w:val="21"/>
        </w:rPr>
      </w:pPr>
    </w:p>
    <w:p w14:paraId="1622CB77" w14:textId="77777777" w:rsidR="000A3573" w:rsidRDefault="000A3573">
      <w:pPr>
        <w:rPr>
          <w:rFonts w:cs="Times New Roman"/>
          <w:sz w:val="21"/>
          <w:szCs w:val="21"/>
        </w:rPr>
      </w:pPr>
    </w:p>
    <w:p w14:paraId="4FE4484E" w14:textId="77777777" w:rsidR="000A3573" w:rsidRDefault="000A3573">
      <w:pPr>
        <w:rPr>
          <w:rFonts w:cs="Times New Roman"/>
          <w:sz w:val="21"/>
          <w:szCs w:val="21"/>
        </w:rPr>
      </w:pPr>
    </w:p>
    <w:p w14:paraId="03B6BB65" w14:textId="77777777" w:rsidR="000A3573" w:rsidRDefault="0075518D">
      <w:pPr>
        <w:jc w:val="both"/>
        <w:rPr>
          <w:rFonts w:cs="Times New Roman"/>
        </w:rPr>
      </w:pPr>
      <w:r>
        <w:rPr>
          <w:rFonts w:eastAsia="Garamond" w:cs="Times New Roman"/>
          <w:b/>
          <w:bCs/>
          <w:sz w:val="24"/>
        </w:rPr>
        <w:t xml:space="preserve">1. </w:t>
      </w:r>
      <w:proofErr w:type="gramStart"/>
      <w:r>
        <w:rPr>
          <w:rFonts w:eastAsia="Garamond" w:cs="Times New Roman"/>
          <w:b/>
          <w:bCs/>
          <w:sz w:val="24"/>
        </w:rPr>
        <w:t>Une texte</w:t>
      </w:r>
      <w:proofErr w:type="gramEnd"/>
      <w:r>
        <w:rPr>
          <w:rFonts w:eastAsia="Garamond" w:cs="Times New Roman"/>
          <w:b/>
          <w:bCs/>
          <w:sz w:val="24"/>
        </w:rPr>
        <w:t xml:space="preserve"> de loi largement dénoncé comme ambiguë et dangereux, voire « criminel »</w:t>
      </w:r>
    </w:p>
    <w:p w14:paraId="143FCA1E" w14:textId="77777777" w:rsidR="000A3573" w:rsidRDefault="000A3573">
      <w:pPr>
        <w:jc w:val="both"/>
        <w:rPr>
          <w:rFonts w:cs="Times New Roman"/>
          <w:sz w:val="21"/>
          <w:szCs w:val="21"/>
        </w:rPr>
      </w:pPr>
    </w:p>
    <w:p w14:paraId="6E398BC1" w14:textId="77777777" w:rsidR="000A3573" w:rsidRDefault="0075518D">
      <w:pPr>
        <w:jc w:val="both"/>
        <w:rPr>
          <w:rFonts w:eastAsia="Garamond" w:cs="Times New Roman"/>
          <w:i/>
          <w:sz w:val="21"/>
          <w:szCs w:val="21"/>
        </w:rPr>
      </w:pPr>
      <w:r>
        <w:rPr>
          <w:rFonts w:eastAsia="Garamond" w:cs="Times New Roman"/>
          <w:sz w:val="21"/>
          <w:szCs w:val="21"/>
        </w:rPr>
        <w:t xml:space="preserve">La loi française n° 2017-258 du 28 février 2017 relative à la sécurité publique, adoptée au terme d’une procédure accélérée, a introduit un article L435-1 dans le Code de la sécurité intérieure (CSI). Ce dernier prévoit que : </w:t>
      </w:r>
      <w:r>
        <w:rPr>
          <w:rFonts w:eastAsia="Times New Roman" w:cs="Times New Roman"/>
          <w:sz w:val="21"/>
          <w:szCs w:val="21"/>
        </w:rPr>
        <w:t xml:space="preserve"> </w:t>
      </w:r>
      <w:r>
        <w:rPr>
          <w:rFonts w:eastAsia="Garamond" w:cs="Times New Roman"/>
          <w:i/>
          <w:sz w:val="21"/>
          <w:szCs w:val="21"/>
        </w:rPr>
        <w:t>« Dans l'exercice de leurs fonctions et revêtus de leur uniforme ou des insignes extérieurs et apparents de leur qualité, les agents de la police nationale et les militaires de la gendarmerie nationale peuvent, outre les cas mentionnés à l'article L. 211-9, faire usage de leurs armes en cas d'absolue nécessité et de manière strictement proportionnée : 3° Lorsque, immédiatement après deux sommations adressées à haute voix, ils ne peuvent contraindre à s'arrêter, autrement que par l'usage des armes, des perso</w:t>
      </w:r>
      <w:r>
        <w:rPr>
          <w:rFonts w:eastAsia="Garamond" w:cs="Times New Roman"/>
          <w:i/>
          <w:sz w:val="21"/>
          <w:szCs w:val="21"/>
        </w:rPr>
        <w:t xml:space="preserve">nnes qui cherchent à échapper à leur garde ou à leurs investigations </w:t>
      </w:r>
      <w:r>
        <w:rPr>
          <w:rFonts w:eastAsia="Garamond" w:cs="Times New Roman"/>
          <w:i/>
          <w:sz w:val="21"/>
          <w:szCs w:val="21"/>
          <w:u w:val="single"/>
        </w:rPr>
        <w:t>et qui sont susceptibles de perpétrer</w:t>
      </w:r>
      <w:r>
        <w:rPr>
          <w:rFonts w:eastAsia="Garamond" w:cs="Times New Roman"/>
          <w:i/>
          <w:sz w:val="21"/>
          <w:szCs w:val="21"/>
        </w:rPr>
        <w:t xml:space="preserve">, dans leur fuite, des atteintes à leur vie ou à leur intégrité physique ou à celles d'autrui ; 4° Lorsqu'ils ne peuvent immobiliser, autrement que par l'usage des armes, des véhicules, embarcations ou autres moyens de transport, dont les conducteurs n'obtempèrent pas à l'ordre d'arrêt </w:t>
      </w:r>
      <w:r>
        <w:rPr>
          <w:rFonts w:eastAsia="Garamond" w:cs="Times New Roman"/>
          <w:i/>
          <w:sz w:val="21"/>
          <w:szCs w:val="21"/>
          <w:u w:val="single"/>
        </w:rPr>
        <w:t>et dont les occupants sont susceptibles de perpétrer</w:t>
      </w:r>
      <w:r>
        <w:rPr>
          <w:rFonts w:eastAsia="Garamond" w:cs="Times New Roman"/>
          <w:i/>
          <w:sz w:val="21"/>
          <w:szCs w:val="21"/>
        </w:rPr>
        <w:t>, dans leur fuite, des atteintes à leur vie ou à leur intégrité phy</w:t>
      </w:r>
      <w:r>
        <w:rPr>
          <w:rFonts w:eastAsia="Garamond" w:cs="Times New Roman"/>
          <w:i/>
          <w:sz w:val="21"/>
          <w:szCs w:val="21"/>
        </w:rPr>
        <w:t xml:space="preserve">sique ou à celles d'autrui </w:t>
      </w:r>
      <w:r>
        <w:rPr>
          <w:rFonts w:eastAsia="Garamond" w:cs="Times New Roman"/>
          <w:sz w:val="21"/>
          <w:szCs w:val="21"/>
        </w:rPr>
        <w:t>».</w:t>
      </w:r>
    </w:p>
    <w:p w14:paraId="30B3676C" w14:textId="77777777" w:rsidR="000A3573" w:rsidRDefault="000A3573">
      <w:pPr>
        <w:jc w:val="both"/>
        <w:rPr>
          <w:rFonts w:eastAsia="Garamond" w:cs="Times New Roman"/>
          <w:i/>
          <w:sz w:val="21"/>
          <w:szCs w:val="21"/>
        </w:rPr>
      </w:pPr>
    </w:p>
    <w:p w14:paraId="6D935AE5" w14:textId="77777777" w:rsidR="000A3573" w:rsidRDefault="0075518D">
      <w:pPr>
        <w:jc w:val="both"/>
        <w:rPr>
          <w:rFonts w:eastAsia="Garamond" w:cs="Times New Roman"/>
          <w:b/>
          <w:sz w:val="21"/>
          <w:szCs w:val="21"/>
        </w:rPr>
      </w:pPr>
      <w:r>
        <w:rPr>
          <w:rFonts w:cs="Times New Roman"/>
          <w:sz w:val="21"/>
          <w:szCs w:val="21"/>
        </w:rPr>
        <w:t xml:space="preserve">Le projet de loi initial comportait pourtant un cadre autrement plus strict et étroit, puisque la menace en cause devait être </w:t>
      </w:r>
      <w:r>
        <w:rPr>
          <w:rFonts w:cs="Times New Roman"/>
          <w:sz w:val="21"/>
          <w:szCs w:val="21"/>
          <w:u w:val="single"/>
        </w:rPr>
        <w:t>imminente</w:t>
      </w:r>
      <w:r>
        <w:rPr>
          <w:rFonts w:cs="Times New Roman"/>
          <w:sz w:val="21"/>
          <w:szCs w:val="21"/>
        </w:rPr>
        <w:t>, conformément à la jurisprudence de la Cour européenne des droits de l’Homme</w:t>
      </w:r>
      <w:r>
        <w:rPr>
          <w:rStyle w:val="FootnoteReference"/>
          <w:rFonts w:cs="Times New Roman"/>
          <w:sz w:val="21"/>
          <w:szCs w:val="21"/>
        </w:rPr>
        <w:footnoteReference w:id="1"/>
      </w:r>
      <w:r>
        <w:rPr>
          <w:rFonts w:cs="Times New Roman"/>
          <w:sz w:val="21"/>
          <w:szCs w:val="21"/>
        </w:rPr>
        <w:t xml:space="preserve">. </w:t>
      </w:r>
      <w:r>
        <w:rPr>
          <w:rFonts w:cs="Times New Roman"/>
          <w:b/>
          <w:bCs/>
          <w:color w:val="000000"/>
          <w:sz w:val="21"/>
          <w:szCs w:val="21"/>
        </w:rPr>
        <w:t>La légèreté avec laquelle les autorités françaises ont entrepris de remettre en cause le régime juridique de l’usage policier des armes, qui constitue en démocratie la condition de la légitimité de l’exercice par l’État de la violence, ne peut manquer de questionner</w:t>
      </w:r>
      <w:r>
        <w:rPr>
          <w:rFonts w:cs="Times New Roman"/>
          <w:color w:val="000000"/>
          <w:sz w:val="21"/>
          <w:szCs w:val="21"/>
        </w:rPr>
        <w:t xml:space="preserve"> quant à l’adéquation de l’évaluation des risques en présence et de l’adéquation des mesures opérationnelles préventives. </w:t>
      </w:r>
      <w:r>
        <w:rPr>
          <w:rFonts w:cs="Times New Roman"/>
          <w:sz w:val="21"/>
          <w:szCs w:val="21"/>
        </w:rPr>
        <w:t>Il est à noter que l’avis rendu par le Conseil d’État sur ce projet de loi a porté uniquement sur la première mouture du t</w:t>
      </w:r>
      <w:r>
        <w:rPr>
          <w:rFonts w:cs="Times New Roman"/>
          <w:sz w:val="21"/>
          <w:szCs w:val="21"/>
        </w:rPr>
        <w:t xml:space="preserve">exte de l’article </w:t>
      </w:r>
      <w:r>
        <w:rPr>
          <w:rFonts w:eastAsia="Garamond" w:cs="Times New Roman"/>
          <w:sz w:val="21"/>
          <w:szCs w:val="21"/>
        </w:rPr>
        <w:t>L435-1, 4°</w:t>
      </w:r>
      <w:r>
        <w:rPr>
          <w:rFonts w:cs="Times New Roman"/>
          <w:sz w:val="21"/>
          <w:szCs w:val="21"/>
        </w:rPr>
        <w:t>, qu’il saluait comme gagnant en lisibilité.</w:t>
      </w:r>
      <w:r>
        <w:rPr>
          <w:rFonts w:eastAsia="Garamond" w:cs="Times New Roman"/>
          <w:bCs/>
          <w:sz w:val="21"/>
          <w:szCs w:val="21"/>
        </w:rPr>
        <w:t xml:space="preserve"> En outre, un premier examen du cadre juridique en la matière avait été confiée à une mission, qui avait, en juillet 2013, « </w:t>
      </w:r>
      <w:r>
        <w:rPr>
          <w:rFonts w:eastAsia="Garamond" w:cs="Times New Roman"/>
          <w:bCs/>
          <w:i/>
          <w:iCs/>
          <w:sz w:val="21"/>
          <w:szCs w:val="21"/>
        </w:rPr>
        <w:t>[écarté] l’idée d’une modification du cadre légal d'usage des armes à feu</w:t>
      </w:r>
      <w:r>
        <w:rPr>
          <w:rFonts w:eastAsia="Garamond" w:cs="Times New Roman"/>
          <w:bCs/>
          <w:sz w:val="21"/>
          <w:szCs w:val="21"/>
        </w:rPr>
        <w:t> » mais avait proposé « </w:t>
      </w:r>
      <w:r>
        <w:rPr>
          <w:rFonts w:eastAsia="Garamond" w:cs="Times New Roman"/>
          <w:bCs/>
          <w:i/>
          <w:iCs/>
          <w:sz w:val="21"/>
          <w:szCs w:val="21"/>
        </w:rPr>
        <w:t xml:space="preserve">de codifier, par une disposition réglementaire, les conditions jurisprudentielles d'un usage légal des armes à feu, à savoir les exigences </w:t>
      </w:r>
      <w:r>
        <w:rPr>
          <w:rFonts w:eastAsia="Garamond" w:cs="Times New Roman"/>
          <w:bCs/>
          <w:i/>
          <w:iCs/>
          <w:sz w:val="21"/>
          <w:szCs w:val="21"/>
          <w:u w:val="single"/>
        </w:rPr>
        <w:t>d'actualité de la menace</w:t>
      </w:r>
      <w:r>
        <w:rPr>
          <w:rFonts w:eastAsia="Garamond" w:cs="Times New Roman"/>
          <w:bCs/>
          <w:i/>
          <w:iCs/>
          <w:sz w:val="21"/>
          <w:szCs w:val="21"/>
        </w:rPr>
        <w:t>, d'absolue nécessité et de proportionnalité. </w:t>
      </w:r>
      <w:r>
        <w:rPr>
          <w:rFonts w:eastAsia="Garamond" w:cs="Times New Roman"/>
          <w:bCs/>
          <w:sz w:val="21"/>
          <w:szCs w:val="21"/>
        </w:rPr>
        <w:t>»</w:t>
      </w:r>
      <w:bookmarkStart w:id="1" w:name="_Hlk176123090"/>
      <w:bookmarkStart w:id="2" w:name="_Hlk176120725"/>
      <w:bookmarkEnd w:id="1"/>
      <w:bookmarkEnd w:id="2"/>
      <w:r>
        <w:rPr>
          <w:rStyle w:val="FootnoteReference"/>
          <w:rFonts w:eastAsia="Garamond" w:cs="Times New Roman"/>
          <w:bCs/>
          <w:sz w:val="21"/>
          <w:szCs w:val="21"/>
        </w:rPr>
        <w:footnoteReference w:id="2"/>
      </w:r>
      <w:r>
        <w:rPr>
          <w:rFonts w:eastAsia="Garamond" w:cs="Times New Roman"/>
          <w:bCs/>
          <w:sz w:val="21"/>
          <w:szCs w:val="21"/>
        </w:rPr>
        <w:t>.</w:t>
      </w:r>
    </w:p>
    <w:p w14:paraId="4912FA07" w14:textId="77777777" w:rsidR="000A3573" w:rsidRDefault="000A3573">
      <w:pPr>
        <w:jc w:val="both"/>
        <w:rPr>
          <w:rFonts w:eastAsia="Garamond" w:cs="Times New Roman"/>
          <w:b/>
          <w:sz w:val="21"/>
          <w:szCs w:val="21"/>
        </w:rPr>
      </w:pPr>
    </w:p>
    <w:p w14:paraId="780EBBAD" w14:textId="77777777" w:rsidR="000A3573" w:rsidRDefault="0075518D">
      <w:pPr>
        <w:jc w:val="both"/>
        <w:rPr>
          <w:rFonts w:cs="Times New Roman"/>
          <w:sz w:val="21"/>
          <w:szCs w:val="21"/>
        </w:rPr>
      </w:pPr>
      <w:r>
        <w:rPr>
          <w:rFonts w:cs="Times New Roman"/>
          <w:sz w:val="21"/>
          <w:szCs w:val="21"/>
        </w:rPr>
        <w:t>De la même manière, le gouvernement et le Parlement n’ont pas pris en compte les mises en garde solennelles émises par les instances nationales des droits humains. Le Défenseur des droits, dans un avis n° 17-02 en date du 24 janvier 2017, avait interpellé les parlementaires dans des termes d’une rare vigueur : « </w:t>
      </w:r>
      <w:r>
        <w:rPr>
          <w:rFonts w:cs="Times New Roman"/>
          <w:i/>
          <w:iCs/>
          <w:sz w:val="21"/>
          <w:szCs w:val="21"/>
        </w:rPr>
        <w:t xml:space="preserve">L’enjeu est considérable. Il s’agit de définir les conditions d’application d’un fait justificatif à une infraction pénale pouvant aller jusqu’à l’homicide. S’il est à saluer la référence expresse à la </w:t>
      </w:r>
      <w:proofErr w:type="gramStart"/>
      <w:r>
        <w:rPr>
          <w:rFonts w:cs="Times New Roman"/>
          <w:i/>
          <w:iCs/>
          <w:sz w:val="21"/>
          <w:szCs w:val="21"/>
        </w:rPr>
        <w:t>notion  "</w:t>
      </w:r>
      <w:proofErr w:type="gramEnd"/>
      <w:r>
        <w:rPr>
          <w:rFonts w:cs="Times New Roman"/>
          <w:i/>
          <w:iCs/>
          <w:sz w:val="21"/>
          <w:szCs w:val="21"/>
        </w:rPr>
        <w:t>d'absolue nécessité" et au caractère strictement proportionné de l'usage des armes au premier alinéa de l’article 1</w:t>
      </w:r>
      <w:r>
        <w:rPr>
          <w:rFonts w:cs="Times New Roman"/>
          <w:i/>
          <w:iCs/>
          <w:sz w:val="21"/>
          <w:szCs w:val="21"/>
          <w:vertAlign w:val="superscript"/>
        </w:rPr>
        <w:t>er</w:t>
      </w:r>
      <w:r>
        <w:rPr>
          <w:rFonts w:cs="Times New Roman"/>
          <w:i/>
          <w:iCs/>
          <w:sz w:val="21"/>
          <w:szCs w:val="21"/>
        </w:rPr>
        <w:t xml:space="preserve"> du projet de loi, ces notions semblent se diluer dans les nombreux paragraphes de l’article. </w:t>
      </w:r>
      <w:r>
        <w:rPr>
          <w:rFonts w:cs="Times New Roman"/>
          <w:i/>
          <w:iCs/>
          <w:sz w:val="21"/>
          <w:szCs w:val="21"/>
          <w:u w:val="single"/>
        </w:rPr>
        <w:t>L’extension de ces cas aux policiers fait perdre en clarté les principes simples de la lég</w:t>
      </w:r>
      <w:r>
        <w:rPr>
          <w:rFonts w:cs="Times New Roman"/>
          <w:i/>
          <w:iCs/>
          <w:sz w:val="21"/>
          <w:szCs w:val="21"/>
          <w:u w:val="single"/>
        </w:rPr>
        <w:t>itime défense qui sont déjà mal compris</w:t>
      </w:r>
      <w:r>
        <w:rPr>
          <w:rFonts w:cs="Times New Roman"/>
          <w:i/>
          <w:iCs/>
          <w:sz w:val="21"/>
          <w:szCs w:val="21"/>
        </w:rPr>
        <w:t xml:space="preserve">. En effet, le cumul de ces cas ajoute à la difficulté d’analyse des situations concrètes que pourront rencontrer les forces de l’ordre. Cette architecture nous éloigne de l’article 122-5 du code pénal dans lequel seulement trois notions dictent l’usage d’une arme : nécessité, proportionnalité et </w:t>
      </w:r>
      <w:r>
        <w:rPr>
          <w:rFonts w:cs="Times New Roman"/>
          <w:i/>
          <w:iCs/>
          <w:sz w:val="21"/>
          <w:szCs w:val="21"/>
          <w:u w:val="single"/>
        </w:rPr>
        <w:t>simultanéité</w:t>
      </w:r>
      <w:r>
        <w:rPr>
          <w:rFonts w:cs="Times New Roman"/>
          <w:sz w:val="21"/>
          <w:szCs w:val="21"/>
        </w:rPr>
        <w:t xml:space="preserve"> ». </w:t>
      </w:r>
    </w:p>
    <w:p w14:paraId="6842D395" w14:textId="77777777" w:rsidR="000A3573" w:rsidRDefault="000A3573">
      <w:pPr>
        <w:jc w:val="both"/>
        <w:rPr>
          <w:rFonts w:cs="Times New Roman"/>
          <w:sz w:val="21"/>
          <w:szCs w:val="21"/>
        </w:rPr>
      </w:pPr>
    </w:p>
    <w:p w14:paraId="66BBDF28" w14:textId="77777777" w:rsidR="000A3573" w:rsidRDefault="0075518D">
      <w:pPr>
        <w:jc w:val="both"/>
        <w:rPr>
          <w:rFonts w:cs="Times New Roman"/>
          <w:sz w:val="21"/>
          <w:szCs w:val="21"/>
        </w:rPr>
      </w:pPr>
      <w:r>
        <w:rPr>
          <w:rFonts w:cs="Times New Roman"/>
          <w:sz w:val="21"/>
          <w:szCs w:val="21"/>
        </w:rPr>
        <w:t>La Commission nationale consultative des droits de l’homme a pour sa part adopté un avis à l’unanimité</w:t>
      </w:r>
      <w:r>
        <w:rPr>
          <w:rStyle w:val="FootnoteReference"/>
          <w:rFonts w:cs="Times New Roman"/>
          <w:sz w:val="21"/>
          <w:szCs w:val="21"/>
        </w:rPr>
        <w:footnoteReference w:id="3"/>
      </w:r>
      <w:r>
        <w:rPr>
          <w:rFonts w:cs="Times New Roman"/>
          <w:sz w:val="21"/>
          <w:szCs w:val="21"/>
        </w:rPr>
        <w:t> : « </w:t>
      </w:r>
      <w:r>
        <w:rPr>
          <w:rFonts w:cs="Times New Roman"/>
          <w:i/>
          <w:iCs/>
          <w:sz w:val="21"/>
          <w:szCs w:val="21"/>
        </w:rPr>
        <w:t xml:space="preserve">La portée de la condition d’"absolue nécessité" énoncée à l’alinéa 1er de l’article L.435-1, est sérieusement atténuée par le libellé des autorisations d’usage des armes concernant les </w:t>
      </w:r>
      <w:proofErr w:type="gramStart"/>
      <w:r>
        <w:rPr>
          <w:rFonts w:cs="Times New Roman"/>
          <w:i/>
          <w:iCs/>
          <w:sz w:val="21"/>
          <w:szCs w:val="21"/>
        </w:rPr>
        <w:t>individus  "</w:t>
      </w:r>
      <w:proofErr w:type="gramEnd"/>
      <w:r>
        <w:rPr>
          <w:rFonts w:cs="Times New Roman"/>
          <w:i/>
          <w:iCs/>
          <w:sz w:val="21"/>
          <w:szCs w:val="21"/>
          <w:u w:val="single"/>
        </w:rPr>
        <w:t>susceptibles de perpétrer</w:t>
      </w:r>
      <w:r>
        <w:rPr>
          <w:rFonts w:cs="Times New Roman"/>
          <w:i/>
          <w:iCs/>
          <w:sz w:val="21"/>
          <w:szCs w:val="21"/>
        </w:rPr>
        <w:t xml:space="preserve">, dans leur </w:t>
      </w:r>
      <w:r>
        <w:rPr>
          <w:rFonts w:cs="Times New Roman"/>
          <w:i/>
          <w:iCs/>
          <w:sz w:val="21"/>
          <w:szCs w:val="21"/>
        </w:rPr>
        <w:lastRenderedPageBreak/>
        <w:t xml:space="preserve">fuite, des atteintes à leur vie ou à leur intégrité physique ou à celle d’autrui" (L. 435-1, 3°et 4°). Sur ces points, le Parlement a </w:t>
      </w:r>
      <w:r>
        <w:rPr>
          <w:rFonts w:cs="Times New Roman"/>
          <w:i/>
          <w:iCs/>
          <w:sz w:val="21"/>
          <w:szCs w:val="21"/>
          <w:u w:val="single"/>
        </w:rPr>
        <w:t>supprimé la condition d’atteinte imminente</w:t>
      </w:r>
      <w:r>
        <w:rPr>
          <w:rFonts w:cs="Times New Roman"/>
          <w:i/>
          <w:iCs/>
          <w:sz w:val="21"/>
          <w:szCs w:val="21"/>
        </w:rPr>
        <w:t xml:space="preserve"> que comportait le projet initial. La rédaction retenue </w:t>
      </w:r>
      <w:r>
        <w:rPr>
          <w:rFonts w:cs="Times New Roman"/>
          <w:iCs/>
          <w:sz w:val="21"/>
          <w:szCs w:val="21"/>
        </w:rPr>
        <w:t>in fine</w:t>
      </w:r>
      <w:r>
        <w:rPr>
          <w:rFonts w:cs="Times New Roman"/>
          <w:i/>
          <w:iCs/>
          <w:sz w:val="21"/>
          <w:szCs w:val="21"/>
        </w:rPr>
        <w:t xml:space="preserve"> élargit singulièrement, par la di</w:t>
      </w:r>
      <w:r>
        <w:rPr>
          <w:rFonts w:cs="Times New Roman"/>
          <w:i/>
          <w:iCs/>
          <w:sz w:val="21"/>
          <w:szCs w:val="21"/>
        </w:rPr>
        <w:t>mension hypothétique qu’elle introduit, le spectre des circonstances autorisant l’utilisation des armes à feu. En clair, il est à craindre que de telles dispositions ne conduisent à l’utilisation des armes à feu dans des situations relativement fréquentes de courses-poursuites en zone urbaine, les fonctionnaires de police en venant à considérer que le véhicule pourchassé crée, par la dangerosité de sa conduite, un risque pour l’intégrité des autres usagers de la route et des passants</w:t>
      </w:r>
      <w:r>
        <w:rPr>
          <w:rFonts w:cs="Times New Roman"/>
          <w:sz w:val="21"/>
          <w:szCs w:val="21"/>
        </w:rPr>
        <w:t> ».</w:t>
      </w:r>
    </w:p>
    <w:p w14:paraId="506CEE2D" w14:textId="77777777" w:rsidR="000A3573" w:rsidRDefault="000A3573">
      <w:pPr>
        <w:rPr>
          <w:rFonts w:cs="Times New Roman"/>
          <w:sz w:val="21"/>
          <w:szCs w:val="21"/>
        </w:rPr>
      </w:pPr>
    </w:p>
    <w:p w14:paraId="7DFA1CB8" w14:textId="77777777" w:rsidR="000A3573" w:rsidRDefault="0075518D">
      <w:pPr>
        <w:jc w:val="both"/>
        <w:rPr>
          <w:rFonts w:cs="Times New Roman"/>
          <w:sz w:val="21"/>
          <w:szCs w:val="21"/>
        </w:rPr>
      </w:pPr>
      <w:r>
        <w:rPr>
          <w:rFonts w:cs="Times New Roman"/>
          <w:sz w:val="21"/>
          <w:szCs w:val="21"/>
        </w:rPr>
        <w:t>Dès l’adoption de la loi, la doctrine a estimé que « </w:t>
      </w:r>
      <w:r>
        <w:rPr>
          <w:rFonts w:cs="Times New Roman"/>
          <w:i/>
          <w:iCs/>
          <w:sz w:val="21"/>
          <w:szCs w:val="21"/>
        </w:rPr>
        <w:t>le législateur place [les agents des forces de l’ordre] dans une situation plus que délicate, laquelle sera certainement source d'un important contentieux, puisqu'il revient à l'agent d'apprécier le degré de probabilité de réalisation de l'acte d'agression. Cette situation n'est pas sans susciter, à juste titre, un certain nombre d'inquiétudes</w:t>
      </w:r>
      <w:r>
        <w:rPr>
          <w:rFonts w:cs="Times New Roman"/>
          <w:sz w:val="21"/>
          <w:szCs w:val="21"/>
        </w:rPr>
        <w:t> »</w:t>
      </w:r>
      <w:r>
        <w:rPr>
          <w:rStyle w:val="FootnoteReference"/>
          <w:rFonts w:cs="Times New Roman"/>
          <w:sz w:val="21"/>
          <w:szCs w:val="21"/>
        </w:rPr>
        <w:footnoteReference w:id="4"/>
      </w:r>
      <w:r>
        <w:rPr>
          <w:rFonts w:cs="Times New Roman"/>
          <w:sz w:val="21"/>
          <w:szCs w:val="21"/>
        </w:rPr>
        <w:t>. Plus récemment, et à la lecture du contentieux effectivement nombreux constaté depuis lors, le professeur Olivier Cahn a également dénoncé « </w:t>
      </w:r>
      <w:r>
        <w:rPr>
          <w:rFonts w:cs="Times New Roman"/>
          <w:i/>
          <w:iCs/>
          <w:sz w:val="21"/>
          <w:szCs w:val="21"/>
        </w:rPr>
        <w:t>le faible degré de sécurité juridique</w:t>
      </w:r>
      <w:r>
        <w:rPr>
          <w:rFonts w:cs="Times New Roman"/>
          <w:sz w:val="21"/>
          <w:szCs w:val="21"/>
        </w:rPr>
        <w:t> » offert par ce texte, et sa « </w:t>
      </w:r>
      <w:r>
        <w:rPr>
          <w:rFonts w:cs="Times New Roman"/>
          <w:i/>
          <w:iCs/>
          <w:sz w:val="21"/>
          <w:szCs w:val="21"/>
        </w:rPr>
        <w:t>piètre rédaction</w:t>
      </w:r>
      <w:r>
        <w:rPr>
          <w:rFonts w:cs="Times New Roman"/>
          <w:sz w:val="21"/>
          <w:szCs w:val="21"/>
        </w:rPr>
        <w:t> ». « </w:t>
      </w:r>
      <w:r>
        <w:rPr>
          <w:rFonts w:cs="Times New Roman"/>
          <w:b/>
          <w:bCs/>
          <w:i/>
          <w:iCs/>
          <w:sz w:val="21"/>
          <w:szCs w:val="21"/>
        </w:rPr>
        <w:t>Une contradiction fondamentale affecte l'article L. 435-1 CSI. Pris en ses 2° à 4°, il est dommageable pour les agents de la force publique, en ce qu'il suggère un assouplissement des conditions de l'usage des armes - donc une autorisation de la loi allant au-delà de la légitim</w:t>
      </w:r>
      <w:r>
        <w:rPr>
          <w:rFonts w:cs="Times New Roman"/>
          <w:b/>
          <w:bCs/>
          <w:i/>
          <w:iCs/>
          <w:sz w:val="21"/>
          <w:szCs w:val="21"/>
        </w:rPr>
        <w:t>e défense - que dément l'alinéa 1er du même texte</w:t>
      </w:r>
      <w:r>
        <w:rPr>
          <w:rFonts w:cs="Times New Roman"/>
          <w:i/>
          <w:iCs/>
          <w:sz w:val="21"/>
          <w:szCs w:val="21"/>
        </w:rPr>
        <w:t>, qui seul satisfait aux exigences conventionnelles, auxquelles le législateur ne pouvait valablement déroger</w:t>
      </w:r>
      <w:r>
        <w:rPr>
          <w:rFonts w:cs="Times New Roman"/>
          <w:sz w:val="21"/>
          <w:szCs w:val="21"/>
        </w:rPr>
        <w:t> »</w:t>
      </w:r>
      <w:r>
        <w:rPr>
          <w:rStyle w:val="FootnoteReference"/>
          <w:rFonts w:cs="Times New Roman"/>
          <w:sz w:val="21"/>
          <w:szCs w:val="21"/>
        </w:rPr>
        <w:footnoteReference w:id="5"/>
      </w:r>
      <w:r>
        <w:rPr>
          <w:rFonts w:cs="Times New Roman"/>
          <w:sz w:val="21"/>
          <w:szCs w:val="21"/>
        </w:rPr>
        <w:t>. En conséquence, l’auteur propose « </w:t>
      </w:r>
      <w:r>
        <w:rPr>
          <w:rFonts w:cs="Times New Roman"/>
          <w:i/>
          <w:iCs/>
          <w:sz w:val="21"/>
          <w:szCs w:val="21"/>
        </w:rPr>
        <w:t xml:space="preserve">de </w:t>
      </w:r>
      <w:r>
        <w:rPr>
          <w:rFonts w:cs="Times New Roman"/>
          <w:i/>
          <w:iCs/>
          <w:sz w:val="21"/>
          <w:szCs w:val="21"/>
          <w:u w:val="single"/>
        </w:rPr>
        <w:t>rapporter l'article L. 435-1 CSI à son seul alinéa 1er, qui se suffit à lui-</w:t>
      </w:r>
      <w:proofErr w:type="spellStart"/>
      <w:r>
        <w:rPr>
          <w:rFonts w:cs="Times New Roman"/>
          <w:i/>
          <w:iCs/>
          <w:sz w:val="21"/>
          <w:szCs w:val="21"/>
          <w:u w:val="single"/>
        </w:rPr>
        <w:t>même,l'exigence</w:t>
      </w:r>
      <w:proofErr w:type="spellEnd"/>
      <w:r>
        <w:rPr>
          <w:rFonts w:cs="Times New Roman"/>
          <w:i/>
          <w:iCs/>
          <w:sz w:val="21"/>
          <w:szCs w:val="21"/>
          <w:u w:val="single"/>
        </w:rPr>
        <w:t xml:space="preserve"> de simultanéité de la riposte étant déduite de celles de stricte proportionnalité et d'absolue nécessité par la chambre criminelle</w:t>
      </w:r>
      <w:r>
        <w:rPr>
          <w:rFonts w:cs="Times New Roman"/>
          <w:sz w:val="21"/>
          <w:szCs w:val="21"/>
        </w:rPr>
        <w:t> ».</w:t>
      </w:r>
    </w:p>
    <w:p w14:paraId="7F2CC004" w14:textId="77777777" w:rsidR="000A3573" w:rsidRDefault="000A3573">
      <w:pPr>
        <w:jc w:val="both"/>
        <w:rPr>
          <w:rFonts w:cs="Times New Roman"/>
          <w:sz w:val="21"/>
          <w:szCs w:val="21"/>
        </w:rPr>
      </w:pPr>
    </w:p>
    <w:p w14:paraId="72CF5F59" w14:textId="77777777" w:rsidR="000A3573" w:rsidRDefault="0075518D">
      <w:pPr>
        <w:jc w:val="both"/>
        <w:rPr>
          <w:rFonts w:eastAsia="Garamond" w:cs="Times New Roman"/>
          <w:sz w:val="21"/>
          <w:szCs w:val="21"/>
        </w:rPr>
      </w:pPr>
      <w:r>
        <w:rPr>
          <w:rFonts w:cs="Times New Roman"/>
          <w:sz w:val="21"/>
          <w:szCs w:val="21"/>
        </w:rPr>
        <w:t>Mais la voix la plus dure vis à vis du texte, la qualifiant de « criminel », est celle d’un avocat pénaliste spécialisé dans la défense des policiers et gendarmes, qui pointe lui aussi la contradiction des termes de l’article L435-1 : « </w:t>
      </w:r>
      <w:r>
        <w:rPr>
          <w:rFonts w:cs="Times New Roman"/>
          <w:i/>
          <w:iCs/>
          <w:sz w:val="21"/>
          <w:szCs w:val="21"/>
        </w:rPr>
        <w:t xml:space="preserve">il avait prévenu la commission des Lois du Sénat au moment de l’examen du projet de loi que </w:t>
      </w:r>
      <w:r>
        <w:rPr>
          <w:rFonts w:cs="Times New Roman"/>
          <w:i/>
          <w:iCs/>
          <w:sz w:val="21"/>
          <w:szCs w:val="21"/>
          <w:u w:val="single"/>
        </w:rPr>
        <w:t>c</w:t>
      </w:r>
      <w:r>
        <w:rPr>
          <w:rFonts w:cs="Times New Roman"/>
          <w:b/>
          <w:bCs/>
          <w:i/>
          <w:iCs/>
          <w:sz w:val="21"/>
          <w:szCs w:val="21"/>
        </w:rPr>
        <w:t>es dispositions constituaient "une bombe à retardement" car "des citoyens [allaient, si elles étaient adoptées,] mourir pour un défaut de permis, et des policiers [iraient] en prison". Il déplore ainsi le message porté à l’époque auprès des policiers selon lequel ils disposaient, avec cet article L. 435-1, de nouveaux droits, notamment en cas de refus d’obtempérer. Ce message était pour lui "criminel" car il a provo</w:t>
      </w:r>
      <w:r>
        <w:rPr>
          <w:rFonts w:cs="Times New Roman"/>
          <w:b/>
          <w:bCs/>
          <w:i/>
          <w:iCs/>
          <w:sz w:val="21"/>
          <w:szCs w:val="21"/>
        </w:rPr>
        <w:t>qué plus de tirs, et des poursuites systématiques à l’encontre des forces de l’ordre.</w:t>
      </w:r>
      <w:r>
        <w:rPr>
          <w:rFonts w:cs="Times New Roman"/>
          <w:i/>
          <w:iCs/>
          <w:sz w:val="21"/>
          <w:szCs w:val="21"/>
        </w:rPr>
        <w:t xml:space="preserve"> Le rapport entre le premier alinéa très ferme et le 4° formulé de manière plus souple, constitue pour lui une "schizophrénie" et un risque pour l’ensemble des policiers qui peuvent "passer dans la machine à broyer judiciaire" alors qu’ils ont agi de bonne foi en respectant le cadre juridique et les enseignements qu’ils ont reçus. </w:t>
      </w:r>
      <w:r>
        <w:rPr>
          <w:rFonts w:cs="Times New Roman"/>
          <w:i/>
          <w:iCs/>
          <w:sz w:val="21"/>
          <w:szCs w:val="21"/>
          <w:u w:val="single"/>
        </w:rPr>
        <w:t>Le mot "susceptibles" qui figure au 4° est tout particulièrement en cause. Il serait trop flou</w:t>
      </w:r>
      <w:r>
        <w:rPr>
          <w:rFonts w:cs="Times New Roman"/>
          <w:i/>
          <w:iCs/>
          <w:sz w:val="21"/>
          <w:szCs w:val="21"/>
          <w:u w:val="single"/>
        </w:rPr>
        <w:t xml:space="preserve"> et en contradiction avec la jurisprudence et l’interprétation des magistrats, qui eux, souhaitent que le danger soit "imminent"</w:t>
      </w:r>
      <w:r>
        <w:rPr>
          <w:rFonts w:cs="Times New Roman"/>
          <w:sz w:val="21"/>
          <w:szCs w:val="21"/>
        </w:rPr>
        <w:t> »</w:t>
      </w:r>
      <w:r>
        <w:rPr>
          <w:rStyle w:val="FootnoteReference"/>
          <w:rFonts w:cs="Times New Roman"/>
          <w:sz w:val="21"/>
          <w:szCs w:val="21"/>
        </w:rPr>
        <w:footnoteReference w:id="6"/>
      </w:r>
      <w:r>
        <w:rPr>
          <w:rFonts w:cs="Times New Roman"/>
          <w:sz w:val="21"/>
          <w:szCs w:val="21"/>
        </w:rPr>
        <w:t>.</w:t>
      </w:r>
    </w:p>
    <w:p w14:paraId="1889C9F4" w14:textId="77777777" w:rsidR="000A3573" w:rsidRDefault="000A3573">
      <w:pPr>
        <w:jc w:val="both"/>
        <w:rPr>
          <w:rFonts w:eastAsia="Garamond" w:cs="Times New Roman"/>
          <w:sz w:val="21"/>
          <w:szCs w:val="21"/>
        </w:rPr>
      </w:pPr>
    </w:p>
    <w:p w14:paraId="7915496A" w14:textId="77777777" w:rsidR="000A3573" w:rsidRDefault="0075518D">
      <w:pPr>
        <w:jc w:val="both"/>
        <w:rPr>
          <w:rFonts w:cs="Times New Roman"/>
          <w:sz w:val="21"/>
          <w:szCs w:val="21"/>
        </w:rPr>
      </w:pPr>
      <w:r>
        <w:rPr>
          <w:rFonts w:eastAsia="Garamond" w:cs="Times New Roman"/>
          <w:sz w:val="21"/>
          <w:szCs w:val="21"/>
        </w:rPr>
        <w:t>La première présidente de la cour d’appel de Poitiers, Gwenola Joly-Coz estime que l’expression actuellement en vigueur dans l’article L.435-1 «</w:t>
      </w:r>
      <w:r>
        <w:rPr>
          <w:rFonts w:eastAsia="Garamond" w:cs="Times New Roman"/>
          <w:i/>
          <w:sz w:val="21"/>
          <w:szCs w:val="21"/>
        </w:rPr>
        <w:t xml:space="preserve"> ouvre la porte à des interprétations permanentes </w:t>
      </w:r>
      <w:r>
        <w:rPr>
          <w:rFonts w:eastAsia="Garamond" w:cs="Times New Roman"/>
          <w:sz w:val="21"/>
          <w:szCs w:val="21"/>
        </w:rPr>
        <w:t>» des policiers et des juges. C’est également l’avis du Syndicat de la magistrature</w:t>
      </w:r>
      <w:r>
        <w:rPr>
          <w:rStyle w:val="FootnoteReference"/>
          <w:rFonts w:eastAsia="Garamond" w:cs="Times New Roman"/>
          <w:sz w:val="21"/>
          <w:szCs w:val="21"/>
        </w:rPr>
        <w:footnoteReference w:id="7"/>
      </w:r>
      <w:r>
        <w:rPr>
          <w:rFonts w:eastAsia="Garamond" w:cs="Times New Roman"/>
          <w:sz w:val="21"/>
          <w:szCs w:val="21"/>
        </w:rPr>
        <w:t> : « </w:t>
      </w:r>
      <w:r>
        <w:rPr>
          <w:rFonts w:eastAsia="Garamond" w:cs="Times New Roman"/>
          <w:i/>
          <w:iCs/>
          <w:sz w:val="21"/>
          <w:szCs w:val="21"/>
        </w:rPr>
        <w:t xml:space="preserve">Sous l’empire du texte actuel, le 4° de l’art L.435-1 du CSI, il faut [aux policiers] évaluer si </w:t>
      </w:r>
      <w:r>
        <w:rPr>
          <w:rFonts w:eastAsia="Garamond" w:cs="Times New Roman"/>
          <w:i/>
          <w:iCs/>
          <w:sz w:val="21"/>
          <w:szCs w:val="21"/>
        </w:rPr>
        <w:t>"les occupants sont susceptibles de perpétrer, dans leur fuite, des atteintes à leur vie ou à leur intégrité physique ou à celles d'autrui". C’est éminemment difficile. Et si finalement le conducteur est mort par tir policier dans le dos, même si sa fuite aurait entraîné la mort d’un piéton, pourra-t-on jamais l’établir ? L’on pourra ainsi discuter longuement des conséquences putatives d’un comportement tout aussi putatif. Ainsi, il apparaît que l’aléa judiciaire est énorme et le législateur ne peut le rédu</w:t>
      </w:r>
      <w:r>
        <w:rPr>
          <w:rFonts w:eastAsia="Garamond" w:cs="Times New Roman"/>
          <w:i/>
          <w:iCs/>
          <w:sz w:val="21"/>
          <w:szCs w:val="21"/>
        </w:rPr>
        <w:t>ire qu’en restreignant le droit de tirer, sauf à priver le juge de tout contrôle de l’action des forces de l’ordre, ce qui n’est pas conforme aux exigences de l’État de droit dans un régime démocratique</w:t>
      </w:r>
      <w:r>
        <w:rPr>
          <w:rFonts w:eastAsia="Garamond" w:cs="Times New Roman"/>
          <w:sz w:val="21"/>
          <w:szCs w:val="21"/>
        </w:rPr>
        <w:t> ».</w:t>
      </w:r>
    </w:p>
    <w:p w14:paraId="40AE550E" w14:textId="77777777" w:rsidR="000A3573" w:rsidRDefault="000A3573">
      <w:pPr>
        <w:jc w:val="both"/>
        <w:rPr>
          <w:rFonts w:cs="Times New Roman"/>
          <w:sz w:val="21"/>
          <w:szCs w:val="21"/>
        </w:rPr>
      </w:pPr>
    </w:p>
    <w:p w14:paraId="7B01C323" w14:textId="77777777" w:rsidR="000A3573" w:rsidRDefault="0075518D">
      <w:pPr>
        <w:jc w:val="both"/>
        <w:rPr>
          <w:rFonts w:cs="Times New Roman"/>
          <w:sz w:val="21"/>
          <w:szCs w:val="21"/>
        </w:rPr>
      </w:pPr>
      <w:r>
        <w:rPr>
          <w:rFonts w:eastAsia="Garamond" w:cs="Times New Roman"/>
          <w:sz w:val="21"/>
          <w:szCs w:val="21"/>
        </w:rPr>
        <w:t xml:space="preserve">Malheureusement, cet appel n’a pour l’heure pas du tout été entendu </w:t>
      </w:r>
      <w:r>
        <w:rPr>
          <w:rFonts w:eastAsia="Garamond" w:cs="Times New Roman"/>
          <w:b/>
          <w:bCs/>
          <w:sz w:val="21"/>
          <w:szCs w:val="21"/>
        </w:rPr>
        <w:t>(voir infra n°4)</w:t>
      </w:r>
      <w:r>
        <w:rPr>
          <w:rFonts w:eastAsia="Garamond" w:cs="Times New Roman"/>
          <w:sz w:val="21"/>
          <w:szCs w:val="21"/>
        </w:rPr>
        <w:t xml:space="preserve">. </w:t>
      </w:r>
    </w:p>
    <w:p w14:paraId="0DA819BE" w14:textId="77777777" w:rsidR="000A3573" w:rsidRDefault="000A3573">
      <w:pPr>
        <w:rPr>
          <w:rFonts w:cs="Times New Roman"/>
          <w:sz w:val="21"/>
          <w:szCs w:val="21"/>
        </w:rPr>
      </w:pPr>
    </w:p>
    <w:p w14:paraId="04F0439A" w14:textId="77777777" w:rsidR="000A3573" w:rsidRDefault="000A3573">
      <w:pPr>
        <w:rPr>
          <w:rFonts w:cs="Times New Roman"/>
          <w:sz w:val="21"/>
          <w:szCs w:val="21"/>
        </w:rPr>
      </w:pPr>
    </w:p>
    <w:p w14:paraId="105E198E" w14:textId="77777777" w:rsidR="000A3573" w:rsidRDefault="000A3573">
      <w:pPr>
        <w:rPr>
          <w:rFonts w:cs="Times New Roman"/>
          <w:sz w:val="21"/>
          <w:szCs w:val="21"/>
        </w:rPr>
      </w:pPr>
    </w:p>
    <w:p w14:paraId="05070F51" w14:textId="77777777" w:rsidR="000A3573" w:rsidRDefault="0075518D">
      <w:pPr>
        <w:jc w:val="both"/>
        <w:rPr>
          <w:rFonts w:cs="Times New Roman"/>
          <w:b/>
          <w:bCs/>
        </w:rPr>
      </w:pPr>
      <w:r>
        <w:br w:type="page"/>
      </w:r>
    </w:p>
    <w:p w14:paraId="7AE348C6" w14:textId="77777777" w:rsidR="000A3573" w:rsidRDefault="0075518D">
      <w:pPr>
        <w:jc w:val="both"/>
        <w:rPr>
          <w:sz w:val="24"/>
        </w:rPr>
      </w:pPr>
      <w:r>
        <w:rPr>
          <w:rFonts w:cs="Times New Roman"/>
          <w:b/>
          <w:bCs/>
          <w:sz w:val="24"/>
        </w:rPr>
        <w:t xml:space="preserve">2. Une instruction interne affirmant l’existence d’un </w:t>
      </w:r>
      <w:r>
        <w:rPr>
          <w:rFonts w:cs="Times New Roman"/>
          <w:b/>
          <w:bCs/>
          <w:sz w:val="24"/>
        </w:rPr>
        <w:t>«</w:t>
      </w:r>
      <w:r>
        <w:rPr>
          <w:rFonts w:cs="Times New Roman"/>
          <w:b/>
          <w:bCs/>
          <w:sz w:val="24"/>
        </w:rPr>
        <w:t> assouplissement </w:t>
      </w:r>
      <w:r>
        <w:rPr>
          <w:rFonts w:cs="Times New Roman"/>
          <w:b/>
          <w:bCs/>
          <w:sz w:val="24"/>
        </w:rPr>
        <w:t>»</w:t>
      </w:r>
      <w:r>
        <w:rPr>
          <w:rFonts w:cs="Times New Roman"/>
          <w:b/>
          <w:bCs/>
          <w:sz w:val="24"/>
        </w:rPr>
        <w:t xml:space="preserve"> de la loi</w:t>
      </w:r>
    </w:p>
    <w:p w14:paraId="7C6BD687" w14:textId="77777777" w:rsidR="000A3573" w:rsidRDefault="000A3573">
      <w:pPr>
        <w:rPr>
          <w:rFonts w:cs="Times New Roman"/>
          <w:sz w:val="21"/>
          <w:szCs w:val="21"/>
        </w:rPr>
      </w:pPr>
    </w:p>
    <w:p w14:paraId="5011E9F6" w14:textId="77777777" w:rsidR="000A3573" w:rsidRDefault="0075518D">
      <w:pPr>
        <w:jc w:val="both"/>
        <w:rPr>
          <w:rFonts w:cs="Times New Roman"/>
          <w:sz w:val="21"/>
          <w:szCs w:val="21"/>
        </w:rPr>
      </w:pPr>
      <w:r>
        <w:rPr>
          <w:rFonts w:cs="Times New Roman"/>
          <w:sz w:val="21"/>
          <w:szCs w:val="21"/>
        </w:rPr>
        <w:t>Les effets du flou rédactionnel de l’article L. 435-1 CSI ont en outre été amplifiés par une instruction de la police nationale (« instruction Falcone »). L’instruction DGPN17-513-D, du 1</w:t>
      </w:r>
      <w:r>
        <w:rPr>
          <w:rFonts w:cs="Times New Roman"/>
          <w:sz w:val="21"/>
          <w:szCs w:val="21"/>
          <w:vertAlign w:val="superscript"/>
        </w:rPr>
        <w:t>er</w:t>
      </w:r>
      <w:r>
        <w:rPr>
          <w:rFonts w:cs="Times New Roman"/>
          <w:sz w:val="21"/>
          <w:szCs w:val="21"/>
        </w:rPr>
        <w:t xml:space="preserve"> mars 2017, intitulée « nouveau cadre juridique de l’usage des armes », insiste avant tout sur l’« assouplissement » opéré par le nouveau texte législatif : « </w:t>
      </w:r>
      <w:r>
        <w:rPr>
          <w:rFonts w:cs="Times New Roman"/>
          <w:i/>
          <w:iCs/>
          <w:sz w:val="21"/>
          <w:szCs w:val="21"/>
        </w:rPr>
        <w:t>Contrairement à la légitime défense, la condition de simultanéité est assouplie. En ce sens, l’article L435-1 va au-delà de la simple légitime défense. Il n’est pas exigé que l’individu menace immédiatement et directement soi-même ou autrui pour faire usage de l’arme contre lui</w:t>
      </w:r>
      <w:r>
        <w:rPr>
          <w:rFonts w:cs="Times New Roman"/>
          <w:sz w:val="21"/>
          <w:szCs w:val="21"/>
        </w:rPr>
        <w:t> ». Plus loin, le texte explique : « </w:t>
      </w:r>
      <w:r>
        <w:rPr>
          <w:rFonts w:cs="Times New Roman"/>
          <w:i/>
          <w:iCs/>
          <w:sz w:val="21"/>
          <w:szCs w:val="21"/>
        </w:rPr>
        <w:t xml:space="preserve">Cet assouplissement de la condition </w:t>
      </w:r>
      <w:r>
        <w:rPr>
          <w:rFonts w:cs="Times New Roman"/>
          <w:i/>
          <w:iCs/>
          <w:sz w:val="21"/>
          <w:szCs w:val="21"/>
        </w:rPr>
        <w:t xml:space="preserve">de simultanéité par rapport au droit commun de la légitime défense renforce la capacité opérationnelle des policiers en leur permettant d’agir plus efficacement tout en bénéficiant d’une plus grande sécurité juridique et physique, en leur évitant d’avoir à se placer délibérément en situation de légitime défense, souvent au péril de leur vie, pour mettre fin à un péril pour </w:t>
      </w:r>
      <w:proofErr w:type="spellStart"/>
      <w:r>
        <w:rPr>
          <w:rFonts w:cs="Times New Roman"/>
          <w:i/>
          <w:iCs/>
          <w:sz w:val="21"/>
          <w:szCs w:val="21"/>
        </w:rPr>
        <w:t>eux-même</w:t>
      </w:r>
      <w:proofErr w:type="spellEnd"/>
      <w:r>
        <w:rPr>
          <w:rFonts w:cs="Times New Roman"/>
          <w:i/>
          <w:iCs/>
          <w:sz w:val="21"/>
          <w:szCs w:val="21"/>
        </w:rPr>
        <w:t xml:space="preserve"> ou pour autrui</w:t>
      </w:r>
      <w:r>
        <w:rPr>
          <w:rFonts w:cs="Times New Roman"/>
          <w:sz w:val="21"/>
          <w:szCs w:val="21"/>
        </w:rPr>
        <w:t> ».</w:t>
      </w:r>
    </w:p>
    <w:p w14:paraId="5A495204" w14:textId="77777777" w:rsidR="000A3573" w:rsidRDefault="000A3573">
      <w:pPr>
        <w:jc w:val="both"/>
        <w:rPr>
          <w:rFonts w:cs="Times New Roman"/>
          <w:sz w:val="21"/>
          <w:szCs w:val="21"/>
        </w:rPr>
      </w:pPr>
    </w:p>
    <w:p w14:paraId="49DC4084" w14:textId="77777777" w:rsidR="000A3573" w:rsidRDefault="0075518D">
      <w:pPr>
        <w:jc w:val="both"/>
        <w:rPr>
          <w:rFonts w:cs="Times New Roman"/>
          <w:sz w:val="21"/>
          <w:szCs w:val="21"/>
        </w:rPr>
      </w:pPr>
      <w:r>
        <w:rPr>
          <w:rFonts w:cs="Times New Roman"/>
          <w:sz w:val="21"/>
          <w:szCs w:val="21"/>
        </w:rPr>
        <w:t>A l’unisson du professeur Olivier Cahn</w:t>
      </w:r>
      <w:r>
        <w:rPr>
          <w:rStyle w:val="FootnoteReference"/>
          <w:rFonts w:cs="Times New Roman"/>
          <w:sz w:val="21"/>
          <w:szCs w:val="21"/>
        </w:rPr>
        <w:footnoteReference w:id="8"/>
      </w:r>
      <w:r>
        <w:rPr>
          <w:rFonts w:cs="Times New Roman"/>
          <w:sz w:val="21"/>
          <w:szCs w:val="21"/>
        </w:rPr>
        <w:t xml:space="preserve">, un </w:t>
      </w:r>
      <w:r>
        <w:rPr>
          <w:rFonts w:cs="Times New Roman"/>
          <w:sz w:val="21"/>
          <w:szCs w:val="21"/>
        </w:rPr>
        <w:t>rapport de l’Assemblée nationale estime que « </w:t>
      </w:r>
      <w:r>
        <w:rPr>
          <w:rFonts w:cs="Times New Roman"/>
          <w:i/>
          <w:iCs/>
          <w:sz w:val="21"/>
          <w:szCs w:val="21"/>
        </w:rPr>
        <w:t>l’instruction délivrée aux policiers a été moins précise, détaillée et pédagogique que celle délivrée aux gendarmes. Lors de son audition, le professeur Alain Bauer a particulièrement insisté sur ce point, considérant que "le vrai problème" n’a pas été la loi du 28 février 2017, "mais la manière dont elle a été interprétée". Pour lui, l’instruction du directeur général de la police nationale de l’époque était de nature "politique et communicationnelle" et a cons</w:t>
      </w:r>
      <w:r>
        <w:rPr>
          <w:rFonts w:cs="Times New Roman"/>
          <w:i/>
          <w:iCs/>
          <w:sz w:val="21"/>
          <w:szCs w:val="21"/>
        </w:rPr>
        <w:t xml:space="preserve">isté à interpréter la loi pour des motifs de communication interne, "pour calmer les tensions internes à la police" tandis que celle du directeur général de la gendarmerie nationale souligne que les règles fondamentales ne changent pas et "insiste notamment sur les conditions d’absolue nécessité et de proportionnalité". Toujours selon le professeur Bauer, </w:t>
      </w:r>
      <w:r>
        <w:rPr>
          <w:rFonts w:cs="Times New Roman"/>
          <w:b/>
          <w:bCs/>
          <w:i/>
          <w:iCs/>
          <w:sz w:val="21"/>
          <w:szCs w:val="21"/>
        </w:rPr>
        <w:t>cela a pu laisser penser que "la gendarmerie a gardé le pied sur le frein tandis que la police a appuyé sur l’accélérateur" et peut expliquer la hausse te</w:t>
      </w:r>
      <w:r>
        <w:rPr>
          <w:rFonts w:cs="Times New Roman"/>
          <w:b/>
          <w:bCs/>
          <w:i/>
          <w:iCs/>
          <w:sz w:val="21"/>
          <w:szCs w:val="21"/>
        </w:rPr>
        <w:t>mporaire du nombre de tirs contre les véhicules en mouvement que l’on constate en 2017</w:t>
      </w:r>
      <w:r>
        <w:rPr>
          <w:rFonts w:cs="Times New Roman"/>
          <w:sz w:val="21"/>
          <w:szCs w:val="21"/>
        </w:rPr>
        <w:t xml:space="preserve">  ».</w:t>
      </w:r>
    </w:p>
    <w:p w14:paraId="21A3D25C" w14:textId="77777777" w:rsidR="000A3573" w:rsidRDefault="000A3573">
      <w:pPr>
        <w:jc w:val="both"/>
        <w:rPr>
          <w:rFonts w:cs="Times New Roman"/>
          <w:sz w:val="21"/>
          <w:szCs w:val="21"/>
        </w:rPr>
      </w:pPr>
    </w:p>
    <w:p w14:paraId="24C9D510" w14:textId="77777777" w:rsidR="000A3573" w:rsidRDefault="0075518D">
      <w:pPr>
        <w:jc w:val="both"/>
        <w:rPr>
          <w:rFonts w:cs="Times New Roman"/>
          <w:sz w:val="21"/>
          <w:szCs w:val="21"/>
        </w:rPr>
      </w:pPr>
      <w:r>
        <w:rPr>
          <w:rFonts w:cs="Times New Roman"/>
          <w:sz w:val="21"/>
          <w:szCs w:val="21"/>
        </w:rPr>
        <w:t>Il semble d’ailleurs que la qualité rédactionnelle de l’instruction « Falcone » était tellement médiocre, qu’elle a été discrètement annulée et remplacée par une instruction de la DGPN en date du 26 mai 2021 au contenu beaucoup plus sobre, mais pas pour autant explicite sur le critère d’immédiateté</w:t>
      </w:r>
      <w:r>
        <w:rPr>
          <w:rStyle w:val="FootnoteReference"/>
          <w:rFonts w:cs="Times New Roman"/>
          <w:sz w:val="21"/>
          <w:szCs w:val="21"/>
        </w:rPr>
        <w:footnoteReference w:id="9"/>
      </w:r>
      <w:r>
        <w:rPr>
          <w:rFonts w:cs="Times New Roman"/>
          <w:sz w:val="21"/>
          <w:szCs w:val="21"/>
        </w:rPr>
        <w:t>.</w:t>
      </w:r>
    </w:p>
    <w:p w14:paraId="6DFF7EC8" w14:textId="77777777" w:rsidR="000A3573" w:rsidRDefault="000A3573">
      <w:pPr>
        <w:rPr>
          <w:rFonts w:cs="Times New Roman"/>
          <w:sz w:val="21"/>
          <w:szCs w:val="21"/>
        </w:rPr>
      </w:pPr>
    </w:p>
    <w:p w14:paraId="7DAFB2CB" w14:textId="77777777" w:rsidR="000A3573" w:rsidRDefault="000A3573">
      <w:pPr>
        <w:rPr>
          <w:rFonts w:cs="Times New Roman"/>
          <w:sz w:val="21"/>
          <w:szCs w:val="21"/>
        </w:rPr>
      </w:pPr>
    </w:p>
    <w:p w14:paraId="586B0490" w14:textId="77777777" w:rsidR="000A3573" w:rsidRDefault="000A3573">
      <w:pPr>
        <w:rPr>
          <w:rFonts w:cs="Times New Roman"/>
          <w:sz w:val="21"/>
          <w:szCs w:val="21"/>
        </w:rPr>
      </w:pPr>
    </w:p>
    <w:p w14:paraId="1C9AFB08" w14:textId="77777777" w:rsidR="000A3573" w:rsidRDefault="0075518D">
      <w:pPr>
        <w:rPr>
          <w:rFonts w:cs="Times New Roman"/>
        </w:rPr>
      </w:pPr>
      <w:r>
        <w:rPr>
          <w:rFonts w:cs="Times New Roman"/>
          <w:b/>
          <w:bCs/>
          <w:sz w:val="24"/>
        </w:rPr>
        <w:t>3. Une augmentation massive des tirs policiers mortels après 2017</w:t>
      </w:r>
    </w:p>
    <w:p w14:paraId="009D18E8" w14:textId="77777777" w:rsidR="000A3573" w:rsidRDefault="000A3573">
      <w:pPr>
        <w:rPr>
          <w:rFonts w:cs="Times New Roman"/>
          <w:sz w:val="21"/>
          <w:szCs w:val="21"/>
        </w:rPr>
      </w:pPr>
    </w:p>
    <w:p w14:paraId="25D13C32" w14:textId="77777777" w:rsidR="000A3573" w:rsidRDefault="0075518D">
      <w:pPr>
        <w:jc w:val="both"/>
        <w:rPr>
          <w:rFonts w:cs="Times New Roman"/>
          <w:sz w:val="21"/>
          <w:szCs w:val="21"/>
        </w:rPr>
      </w:pPr>
      <w:r>
        <w:rPr>
          <w:rFonts w:cs="Times New Roman"/>
          <w:sz w:val="21"/>
          <w:szCs w:val="21"/>
        </w:rPr>
        <w:t xml:space="preserve">Les dangers posés par le flou du cadre </w:t>
      </w:r>
      <w:r>
        <w:rPr>
          <w:rFonts w:cs="Times New Roman"/>
          <w:sz w:val="21"/>
          <w:szCs w:val="21"/>
        </w:rPr>
        <w:t>juridique se sont matérialisés.</w:t>
      </w:r>
      <w:r>
        <w:rPr>
          <w:rFonts w:eastAsia="Garamond" w:cs="Times New Roman"/>
          <w:sz w:val="21"/>
          <w:szCs w:val="21"/>
        </w:rPr>
        <w:t xml:space="preserve"> Les chercheurs Sébastian Roché, Paul le </w:t>
      </w:r>
      <w:proofErr w:type="spellStart"/>
      <w:r>
        <w:rPr>
          <w:rFonts w:eastAsia="Garamond" w:cs="Times New Roman"/>
          <w:sz w:val="21"/>
          <w:szCs w:val="21"/>
        </w:rPr>
        <w:t>Derff</w:t>
      </w:r>
      <w:proofErr w:type="spellEnd"/>
      <w:r>
        <w:rPr>
          <w:rFonts w:eastAsia="Garamond" w:cs="Times New Roman"/>
          <w:sz w:val="21"/>
          <w:szCs w:val="21"/>
        </w:rPr>
        <w:t xml:space="preserve"> et Simon </w:t>
      </w:r>
      <w:proofErr w:type="spellStart"/>
      <w:r>
        <w:rPr>
          <w:rFonts w:eastAsia="Garamond" w:cs="Times New Roman"/>
          <w:sz w:val="21"/>
          <w:szCs w:val="21"/>
        </w:rPr>
        <w:t>Varaine</w:t>
      </w:r>
      <w:proofErr w:type="spellEnd"/>
      <w:r>
        <w:rPr>
          <w:rFonts w:eastAsia="Garamond" w:cs="Times New Roman"/>
          <w:sz w:val="21"/>
          <w:szCs w:val="21"/>
        </w:rPr>
        <w:t xml:space="preserve"> se sont ainsi penchés sur la corrélation entre le nombre de décès dans ce cadre juridique d’intervention policière et cette évolution législative. Leur travail scientifique se fonde sur les chiffres d’intervention et de décès avant la loi (de septembre 2011 à février 2017), puis après (de mars 2017 à août 2022), ainsi que sur une comparaison avec les pays voisins. Le résultat met en évidence le nombre de 0.32 décè</w:t>
      </w:r>
      <w:r>
        <w:rPr>
          <w:rFonts w:eastAsia="Garamond" w:cs="Times New Roman"/>
          <w:sz w:val="21"/>
          <w:szCs w:val="21"/>
        </w:rPr>
        <w:t>s par mois à l'issue d'un tir sur un véhicule, contre 0.06 avant la réforme</w:t>
      </w:r>
      <w:r>
        <w:rPr>
          <w:rStyle w:val="FootnoteReference"/>
          <w:rFonts w:eastAsia="Garamond" w:cs="Times New Roman"/>
          <w:sz w:val="21"/>
          <w:szCs w:val="21"/>
        </w:rPr>
        <w:footnoteReference w:id="10"/>
      </w:r>
      <w:r>
        <w:rPr>
          <w:rFonts w:eastAsia="Garamond" w:cs="Times New Roman"/>
          <w:sz w:val="21"/>
          <w:szCs w:val="21"/>
        </w:rPr>
        <w:t xml:space="preserve">. </w:t>
      </w:r>
      <w:r>
        <w:rPr>
          <w:rFonts w:eastAsia="Garamond" w:cs="Times New Roman"/>
          <w:b/>
          <w:bCs/>
          <w:sz w:val="21"/>
          <w:szCs w:val="21"/>
        </w:rPr>
        <w:t>Les tirs policiers mortels ont donc été multipliés par cinq après la réforme</w:t>
      </w:r>
      <w:r>
        <w:rPr>
          <w:rFonts w:eastAsia="Garamond" w:cs="Times New Roman"/>
          <w:sz w:val="21"/>
          <w:szCs w:val="21"/>
        </w:rPr>
        <w:t>. Comme le relèvent les chercheurs, « </w:t>
      </w:r>
      <w:r>
        <w:rPr>
          <w:rFonts w:eastAsia="Garamond" w:cs="Times New Roman"/>
          <w:i/>
          <w:iCs/>
          <w:sz w:val="21"/>
          <w:szCs w:val="21"/>
        </w:rPr>
        <w:t>si la loi de 2017, qui assouplit les conditions de tir sur les occupants de véhicules, était hors de cause, comment expliquer que ce soit uniquement ce type de tirs qui augmente ?</w:t>
      </w:r>
      <w:r>
        <w:rPr>
          <w:rFonts w:eastAsia="Garamond" w:cs="Times New Roman"/>
          <w:sz w:val="21"/>
          <w:szCs w:val="21"/>
        </w:rPr>
        <w:t> ».</w:t>
      </w:r>
    </w:p>
    <w:p w14:paraId="66FF21AE" w14:textId="77777777" w:rsidR="000A3573" w:rsidRDefault="000A3573">
      <w:pPr>
        <w:jc w:val="both"/>
        <w:rPr>
          <w:rFonts w:cs="Times New Roman"/>
          <w:sz w:val="21"/>
          <w:szCs w:val="21"/>
        </w:rPr>
      </w:pPr>
    </w:p>
    <w:p w14:paraId="64BBFB8B" w14:textId="77777777" w:rsidR="000A3573" w:rsidRDefault="0075518D">
      <w:pPr>
        <w:jc w:val="both"/>
        <w:rPr>
          <w:rFonts w:eastAsia="Garamond" w:cs="Times New Roman"/>
          <w:sz w:val="21"/>
          <w:szCs w:val="21"/>
        </w:rPr>
      </w:pPr>
      <w:r>
        <w:rPr>
          <w:rFonts w:eastAsia="Garamond" w:cs="Times New Roman"/>
          <w:sz w:val="21"/>
          <w:szCs w:val="21"/>
        </w:rPr>
        <w:t>Divers représentants de la police nationale avancent pourtant que cette explosion du nombre de personnes tuées serait due à une augmentation des refus d’obtempérer et à celle de leur dangerosité. Cette assertion, outre qu’elle constitue un argument classique de la rhétorique répressive (ce n’est jamais la répression qui s’accentue, mais la population qui est plus dangereuse), ne semble pas résister à l’analyse. D’abord, les chercheurs ont procédé dans leur étude à un double contrôle comparatif de l’évolutio</w:t>
      </w:r>
      <w:r>
        <w:rPr>
          <w:rFonts w:eastAsia="Garamond" w:cs="Times New Roman"/>
          <w:sz w:val="21"/>
          <w:szCs w:val="21"/>
        </w:rPr>
        <w:t xml:space="preserve">n observée (méthode des doubles différences) : avec deux pays européens voisins (Belgique, Allemagne), et avec l’évolution des tirs ne visant pas des véhicules en mouvement (pour lesquels la loi n’a pas ou très peu changé en 2017). Ensuite, il s’avère que les tirs policiers ont augmenté bien plus que ceux de la Gendarmerie nationale, comme le montre le graphique ci-dessous. </w:t>
      </w:r>
    </w:p>
    <w:p w14:paraId="1AADF83D" w14:textId="77777777" w:rsidR="000A3573" w:rsidRDefault="0075518D">
      <w:pPr>
        <w:jc w:val="both"/>
        <w:rPr>
          <w:rFonts w:cs="Times New Roman"/>
          <w:sz w:val="21"/>
          <w:szCs w:val="21"/>
        </w:rPr>
      </w:pPr>
      <w:r>
        <w:rPr>
          <w:rFonts w:cs="Times New Roman"/>
          <w:noProof/>
          <w:sz w:val="21"/>
          <w:szCs w:val="21"/>
        </w:rPr>
        <w:drawing>
          <wp:anchor distT="0" distB="0" distL="0" distR="0" simplePos="0" relativeHeight="2" behindDoc="0" locked="0" layoutInCell="0" allowOverlap="1" wp14:anchorId="6BDBD954" wp14:editId="6C2D6CB1">
            <wp:simplePos x="0" y="0"/>
            <wp:positionH relativeFrom="column">
              <wp:align>center</wp:align>
            </wp:positionH>
            <wp:positionV relativeFrom="paragraph">
              <wp:posOffset>635</wp:posOffset>
            </wp:positionV>
            <wp:extent cx="3487420" cy="2338705"/>
            <wp:effectExtent l="0" t="0" r="0" b="0"/>
            <wp:wrapTopAndBottom/>
            <wp:docPr id="4"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pic:cNvPicPr>
                      <a:picLocks noChangeAspect="1" noChangeArrowheads="1"/>
                    </pic:cNvPicPr>
                  </pic:nvPicPr>
                  <pic:blipFill>
                    <a:blip r:embed="rId10"/>
                    <a:srcRect l="-71" t="-106" r="-71" b="-106"/>
                    <a:stretch>
                      <a:fillRect/>
                    </a:stretch>
                  </pic:blipFill>
                  <pic:spPr bwMode="auto">
                    <a:xfrm>
                      <a:off x="0" y="0"/>
                      <a:ext cx="3487420" cy="2338705"/>
                    </a:xfrm>
                    <a:prstGeom prst="rect">
                      <a:avLst/>
                    </a:prstGeom>
                  </pic:spPr>
                </pic:pic>
              </a:graphicData>
            </a:graphic>
          </wp:anchor>
        </w:drawing>
      </w:r>
    </w:p>
    <w:p w14:paraId="1F18EF7D" w14:textId="77777777" w:rsidR="000A3573" w:rsidRDefault="000A3573">
      <w:pPr>
        <w:jc w:val="both"/>
        <w:rPr>
          <w:rFonts w:cs="Times New Roman"/>
          <w:sz w:val="21"/>
          <w:szCs w:val="21"/>
        </w:rPr>
      </w:pPr>
    </w:p>
    <w:p w14:paraId="1AA85226" w14:textId="77777777" w:rsidR="000A3573" w:rsidRDefault="0075518D">
      <w:pPr>
        <w:jc w:val="both"/>
      </w:pPr>
      <w:r>
        <w:rPr>
          <w:rFonts w:eastAsia="Garamond" w:cs="Times New Roman"/>
          <w:sz w:val="21"/>
          <w:szCs w:val="21"/>
        </w:rPr>
        <w:t xml:space="preserve">L’argument policier est enfin mis en difficulté par l’analyse de la période la plus récente, après la mort de Nahel </w:t>
      </w:r>
      <w:proofErr w:type="spellStart"/>
      <w:r>
        <w:rPr>
          <w:rFonts w:eastAsia="Garamond" w:cs="Times New Roman"/>
          <w:sz w:val="21"/>
          <w:szCs w:val="21"/>
        </w:rPr>
        <w:t>Merzouk</w:t>
      </w:r>
      <w:proofErr w:type="spellEnd"/>
      <w:r>
        <w:rPr>
          <w:rFonts w:eastAsia="Garamond" w:cs="Times New Roman"/>
          <w:sz w:val="21"/>
          <w:szCs w:val="21"/>
        </w:rPr>
        <w:t>, tué par balle à Nanterre le 27 juin 2023. Une analyse de la presse locale et nationale, confirmée par la lecture du rapport 2023 de l’IGPN, établit le constat suivant : aucun décès n’est intervenu pendant près d’une année après la mort de Nahel, et l’émoi national qui en a découlé</w:t>
      </w:r>
      <w:r>
        <w:rPr>
          <w:rStyle w:val="FootnoteReference"/>
          <w:rFonts w:eastAsia="Garamond" w:cs="Times New Roman"/>
          <w:sz w:val="21"/>
          <w:szCs w:val="21"/>
        </w:rPr>
        <w:footnoteReference w:id="11"/>
      </w:r>
      <w:r>
        <w:rPr>
          <w:rFonts w:eastAsia="Garamond" w:cs="Times New Roman"/>
          <w:sz w:val="21"/>
          <w:szCs w:val="21"/>
        </w:rPr>
        <w:t>. En 2023, le nombre de tirs effectués par des policiers avec leur arme individuelle de service connaît une baisse historique</w:t>
      </w:r>
      <w:r>
        <w:rPr>
          <w:rStyle w:val="FootnoteReference"/>
          <w:rFonts w:eastAsia="Garamond" w:cs="Times New Roman"/>
          <w:sz w:val="21"/>
          <w:szCs w:val="21"/>
        </w:rPr>
        <w:footnoteReference w:id="12"/>
      </w:r>
      <w:r>
        <w:rPr>
          <w:rFonts w:eastAsia="Garamond" w:cs="Times New Roman"/>
          <w:sz w:val="21"/>
          <w:szCs w:val="21"/>
        </w:rPr>
        <w:t xml:space="preserve">. Tout semble donc indiquer que la pratique policière est loin de n’obéir qu’à la pure nécessité, mais qu’elle est aussi très sensible </w:t>
      </w:r>
      <w:proofErr w:type="gramStart"/>
      <w:r>
        <w:rPr>
          <w:rFonts w:eastAsia="Garamond" w:cs="Times New Roman"/>
          <w:sz w:val="21"/>
          <w:szCs w:val="21"/>
        </w:rPr>
        <w:t>aux contextes juridique</w:t>
      </w:r>
      <w:proofErr w:type="gramEnd"/>
      <w:r>
        <w:rPr>
          <w:rFonts w:eastAsia="Garamond" w:cs="Times New Roman"/>
          <w:sz w:val="21"/>
          <w:szCs w:val="21"/>
        </w:rPr>
        <w:t xml:space="preserve">, politique et social. </w:t>
      </w:r>
    </w:p>
    <w:p w14:paraId="46643713" w14:textId="77777777" w:rsidR="000A3573" w:rsidRDefault="000A3573">
      <w:pPr>
        <w:jc w:val="both"/>
      </w:pPr>
    </w:p>
    <w:p w14:paraId="0DA1A162" w14:textId="77777777" w:rsidR="000A3573" w:rsidRDefault="0075518D">
      <w:pPr>
        <w:jc w:val="both"/>
        <w:rPr>
          <w:rFonts w:cs="Times New Roman"/>
          <w:sz w:val="21"/>
          <w:szCs w:val="21"/>
        </w:rPr>
      </w:pPr>
      <w:r>
        <w:rPr>
          <w:rFonts w:eastAsia="Garamond" w:cs="Times New Roman"/>
          <w:sz w:val="21"/>
          <w:szCs w:val="21"/>
        </w:rPr>
        <w:t>U</w:t>
      </w:r>
      <w:r>
        <w:rPr>
          <w:rFonts w:eastAsia="Garamond" w:cs="Times New Roman"/>
          <w:sz w:val="21"/>
          <w:szCs w:val="21"/>
        </w:rPr>
        <w:t>ne recherche universitaire sans précédent, menée sur un échantillon exhaustif de victimes de l’usage excessif de la force meurtrière (toutes causes confondues) en France entre 1990 et 2016 a par ailleurs permis de mettre en évidence le profil type de ces victimes : des « </w:t>
      </w:r>
      <w:r>
        <w:rPr>
          <w:rFonts w:eastAsia="Garamond" w:cs="Times New Roman"/>
          <w:i/>
          <w:iCs/>
          <w:sz w:val="21"/>
          <w:szCs w:val="21"/>
        </w:rPr>
        <w:t>jeunes hommes, étrangers, immigrés ou descendants de l’immigration postcoloniale issus des classes populaires</w:t>
      </w:r>
      <w:r>
        <w:rPr>
          <w:rFonts w:eastAsia="Garamond" w:cs="Times New Roman"/>
          <w:sz w:val="21"/>
          <w:szCs w:val="21"/>
        </w:rPr>
        <w:t xml:space="preserve"> ». En particulier, la recherche pointe </w:t>
      </w:r>
      <w:proofErr w:type="gramStart"/>
      <w:r>
        <w:rPr>
          <w:rFonts w:eastAsia="Garamond" w:cs="Times New Roman"/>
          <w:sz w:val="21"/>
          <w:szCs w:val="21"/>
        </w:rPr>
        <w:t>« </w:t>
      </w:r>
      <w:r>
        <w:rPr>
          <w:rFonts w:eastAsia="Garamond" w:cs="Times New Roman"/>
          <w:i/>
          <w:iCs/>
          <w:sz w:val="21"/>
          <w:szCs w:val="21"/>
        </w:rPr>
        <w:t>la</w:t>
      </w:r>
      <w:proofErr w:type="gramEnd"/>
      <w:r>
        <w:rPr>
          <w:rFonts w:eastAsia="Garamond" w:cs="Times New Roman"/>
          <w:i/>
          <w:iCs/>
          <w:sz w:val="21"/>
          <w:szCs w:val="21"/>
        </w:rPr>
        <w:t xml:space="preserve"> très grande part des étrangers, immigrés et descendants d’immigrés parmi les victimes </w:t>
      </w:r>
      <w:r>
        <w:rPr>
          <w:rFonts w:eastAsia="Garamond" w:cs="Times New Roman"/>
          <w:i/>
          <w:iCs/>
          <w:sz w:val="21"/>
          <w:szCs w:val="21"/>
        </w:rPr>
        <w:t xml:space="preserve">de faits policiers mortels, particulièrement l’immigration d’Afrique du Nord. En se concentrant seulement à partir des victimes dont on a une information sur l’origine migratoire, il est possible de déterminer que </w:t>
      </w:r>
      <w:r>
        <w:rPr>
          <w:rFonts w:eastAsia="Garamond" w:cs="Times New Roman"/>
          <w:i/>
          <w:iCs/>
          <w:sz w:val="21"/>
          <w:szCs w:val="21"/>
          <w:u w:val="single"/>
        </w:rPr>
        <w:t>les étrangers, immigrés ou descendants d’immigrés ont 5,9 fois plus de risques d’être tués par les forces de l’ordre</w:t>
      </w:r>
      <w:r>
        <w:rPr>
          <w:rFonts w:eastAsia="Garamond" w:cs="Times New Roman"/>
          <w:i/>
          <w:iCs/>
          <w:sz w:val="21"/>
          <w:szCs w:val="21"/>
        </w:rPr>
        <w:t xml:space="preserve"> que les personnes sans lien avec l’immigration, au regard de leur part sur l’ensemble de la population sur le territoire français</w:t>
      </w:r>
      <w:r>
        <w:rPr>
          <w:rFonts w:eastAsia="Garamond" w:cs="Times New Roman"/>
          <w:sz w:val="21"/>
          <w:szCs w:val="21"/>
        </w:rPr>
        <w:t> »</w:t>
      </w:r>
      <w:r>
        <w:rPr>
          <w:rStyle w:val="FootnoteReference"/>
          <w:rFonts w:eastAsia="Garamond" w:cs="Times New Roman"/>
          <w:sz w:val="21"/>
          <w:szCs w:val="21"/>
        </w:rPr>
        <w:footnoteReference w:id="13"/>
      </w:r>
      <w:r>
        <w:rPr>
          <w:rFonts w:eastAsia="Garamond" w:cs="Times New Roman"/>
          <w:sz w:val="21"/>
          <w:szCs w:val="21"/>
        </w:rPr>
        <w:t>.</w:t>
      </w:r>
    </w:p>
    <w:p w14:paraId="0CB8D90A" w14:textId="77777777" w:rsidR="000A3573" w:rsidRDefault="000A3573">
      <w:pPr>
        <w:jc w:val="both"/>
        <w:rPr>
          <w:rFonts w:cs="Times New Roman"/>
          <w:sz w:val="21"/>
          <w:szCs w:val="21"/>
        </w:rPr>
      </w:pPr>
    </w:p>
    <w:p w14:paraId="2A6AFD19" w14:textId="77777777" w:rsidR="000A3573" w:rsidRDefault="0075518D">
      <w:pPr>
        <w:jc w:val="both"/>
        <w:rPr>
          <w:rFonts w:eastAsia="Garamond" w:cs="Times New Roman"/>
          <w:sz w:val="21"/>
          <w:szCs w:val="21"/>
        </w:rPr>
      </w:pPr>
      <w:r>
        <w:rPr>
          <w:rFonts w:eastAsia="Garamond" w:cs="Times New Roman"/>
          <w:sz w:val="21"/>
          <w:szCs w:val="21"/>
        </w:rPr>
        <w:t xml:space="preserve">Concernant précisément les victimes de tirs policiers mortels, les familles et collectifs de victimes dénoncent </w:t>
      </w:r>
      <w:r>
        <w:rPr>
          <w:rFonts w:eastAsia="Garamond" w:cs="Times New Roman"/>
          <w:b/>
          <w:bCs/>
          <w:sz w:val="21"/>
          <w:szCs w:val="21"/>
        </w:rPr>
        <w:t>les effets racistes de la loi Cazeneuve</w:t>
      </w:r>
      <w:r>
        <w:rPr>
          <w:rFonts w:eastAsia="Garamond" w:cs="Times New Roman"/>
          <w:sz w:val="21"/>
          <w:szCs w:val="21"/>
        </w:rPr>
        <w:t xml:space="preserve">. Pour Issam El </w:t>
      </w:r>
      <w:proofErr w:type="spellStart"/>
      <w:r>
        <w:rPr>
          <w:rFonts w:eastAsia="Garamond" w:cs="Times New Roman"/>
          <w:sz w:val="21"/>
          <w:szCs w:val="21"/>
        </w:rPr>
        <w:t>Khalfaoui</w:t>
      </w:r>
      <w:proofErr w:type="spellEnd"/>
      <w:r>
        <w:rPr>
          <w:rStyle w:val="FootnoteReference"/>
          <w:rFonts w:eastAsia="Garamond" w:cs="Times New Roman"/>
          <w:sz w:val="21"/>
          <w:szCs w:val="21"/>
        </w:rPr>
        <w:footnoteReference w:id="14"/>
      </w:r>
      <w:r>
        <w:rPr>
          <w:rFonts w:eastAsia="Garamond" w:cs="Times New Roman"/>
          <w:sz w:val="21"/>
          <w:szCs w:val="21"/>
        </w:rPr>
        <w:t>, « </w:t>
      </w:r>
      <w:r>
        <w:rPr>
          <w:rFonts w:eastAsia="Garamond" w:cs="Times New Roman"/>
          <w:i/>
          <w:iCs/>
          <w:sz w:val="21"/>
          <w:szCs w:val="21"/>
        </w:rPr>
        <w:t xml:space="preserve">l’introduction d’une notion complètement subjective (« lorsque les occupants sont susceptibles d’être dangereux ») a créé une inégalité sans précédent dans la loi. Alors que le racisme et l’islamophobie n’ont jamais été aussi forts, que nombre de policiers sont d’extrême droite, </w:t>
      </w:r>
      <w:r>
        <w:rPr>
          <w:rFonts w:eastAsia="Garamond" w:cs="Times New Roman"/>
          <w:i/>
          <w:iCs/>
          <w:sz w:val="21"/>
          <w:szCs w:val="21"/>
          <w:u w:val="single"/>
        </w:rPr>
        <w:t>il va de soi qu’un jeune racisé est très souvent perçu comme dangereux par les forces de l’ordre, quelles que soient les circonstances, contrairement à un jeune blanc</w:t>
      </w:r>
      <w:r>
        <w:rPr>
          <w:rFonts w:eastAsia="Garamond" w:cs="Times New Roman"/>
          <w:sz w:val="21"/>
          <w:szCs w:val="21"/>
        </w:rPr>
        <w:t> »</w:t>
      </w:r>
      <w:r>
        <w:rPr>
          <w:rStyle w:val="FootnoteReference"/>
          <w:rFonts w:eastAsia="Garamond" w:cs="Times New Roman"/>
          <w:sz w:val="21"/>
          <w:szCs w:val="21"/>
        </w:rPr>
        <w:footnoteReference w:id="15"/>
      </w:r>
      <w:r>
        <w:rPr>
          <w:rFonts w:eastAsia="Garamond" w:cs="Times New Roman"/>
          <w:sz w:val="21"/>
          <w:szCs w:val="21"/>
        </w:rPr>
        <w:t>.</w:t>
      </w:r>
      <w:r>
        <w:rPr>
          <w:rFonts w:ascii="Nimbus Sans L;Arial" w:eastAsia="Garamond" w:hAnsi="Nimbus Sans L;Arial" w:cs="Nimbus Sans L;Arial"/>
          <w:sz w:val="18"/>
          <w:szCs w:val="18"/>
        </w:rPr>
        <w:t xml:space="preserve"> </w:t>
      </w:r>
      <w:r>
        <w:rPr>
          <w:rFonts w:eastAsia="Garamond" w:cs="Times New Roman"/>
          <w:sz w:val="21"/>
          <w:szCs w:val="21"/>
        </w:rPr>
        <w:t xml:space="preserve">Au total, depuis l’adoption de la loi du 28 février 2017, une centaine de personnes est morte sous les balles de la police nationale, en seulement sept années. </w:t>
      </w:r>
    </w:p>
    <w:p w14:paraId="657C5EDA" w14:textId="77777777" w:rsidR="000A3573" w:rsidRDefault="000A3573">
      <w:pPr>
        <w:rPr>
          <w:rFonts w:eastAsia="Garamond" w:cs="Times New Roman"/>
          <w:sz w:val="21"/>
          <w:szCs w:val="21"/>
        </w:rPr>
      </w:pPr>
    </w:p>
    <w:p w14:paraId="6F4FC8EE" w14:textId="77777777" w:rsidR="000A3573" w:rsidRDefault="000A3573">
      <w:pPr>
        <w:rPr>
          <w:rFonts w:eastAsia="Garamond" w:cs="Times New Roman"/>
          <w:sz w:val="21"/>
          <w:szCs w:val="21"/>
        </w:rPr>
      </w:pPr>
    </w:p>
    <w:p w14:paraId="62DC3657" w14:textId="77777777" w:rsidR="000A3573" w:rsidRDefault="000A3573">
      <w:pPr>
        <w:rPr>
          <w:rFonts w:eastAsia="Garamond" w:cs="Times New Roman"/>
          <w:sz w:val="21"/>
          <w:szCs w:val="21"/>
        </w:rPr>
      </w:pPr>
    </w:p>
    <w:p w14:paraId="351D8664" w14:textId="77777777" w:rsidR="000A3573" w:rsidRDefault="0075518D">
      <w:pPr>
        <w:jc w:val="both"/>
        <w:rPr>
          <w:rFonts w:cs="Times New Roman"/>
        </w:rPr>
      </w:pPr>
      <w:r>
        <w:rPr>
          <w:rFonts w:eastAsia="Garamond" w:cs="Times New Roman"/>
          <w:b/>
          <w:bCs/>
          <w:sz w:val="24"/>
        </w:rPr>
        <w:t xml:space="preserve">4. Un rapport parlementaire éclairant, mais resté lettre </w:t>
      </w:r>
      <w:r>
        <w:rPr>
          <w:rFonts w:eastAsia="Garamond" w:cs="Times New Roman"/>
          <w:b/>
          <w:bCs/>
          <w:sz w:val="24"/>
        </w:rPr>
        <w:t>morte</w:t>
      </w:r>
    </w:p>
    <w:p w14:paraId="48B97B8D" w14:textId="77777777" w:rsidR="000A3573" w:rsidRDefault="000A3573">
      <w:pPr>
        <w:jc w:val="both"/>
        <w:rPr>
          <w:rFonts w:cs="Times New Roman"/>
          <w:sz w:val="21"/>
          <w:szCs w:val="21"/>
        </w:rPr>
      </w:pPr>
    </w:p>
    <w:p w14:paraId="0EC5A62B" w14:textId="77777777" w:rsidR="000A3573" w:rsidRDefault="0075518D">
      <w:pPr>
        <w:jc w:val="both"/>
        <w:rPr>
          <w:rFonts w:cs="Times New Roman"/>
          <w:sz w:val="21"/>
          <w:szCs w:val="21"/>
        </w:rPr>
      </w:pPr>
      <w:r>
        <w:rPr>
          <w:rFonts w:eastAsia="Garamond" w:cs="Times New Roman"/>
          <w:sz w:val="21"/>
          <w:szCs w:val="21"/>
        </w:rPr>
        <w:t xml:space="preserve">Ces chiffres, et l’émoi national déclenché par les images choquantes de la mort de Nahel </w:t>
      </w:r>
      <w:proofErr w:type="spellStart"/>
      <w:r>
        <w:rPr>
          <w:rFonts w:eastAsia="Garamond" w:cs="Times New Roman"/>
          <w:sz w:val="21"/>
          <w:szCs w:val="21"/>
        </w:rPr>
        <w:t>Merzouk</w:t>
      </w:r>
      <w:proofErr w:type="spellEnd"/>
      <w:r>
        <w:rPr>
          <w:rFonts w:eastAsia="Garamond" w:cs="Times New Roman"/>
          <w:sz w:val="21"/>
          <w:szCs w:val="21"/>
        </w:rPr>
        <w:t xml:space="preserve">, ont conduit l’Assemblée nationale à mettre en place une </w:t>
      </w:r>
      <w:r>
        <w:rPr>
          <w:rFonts w:eastAsia="Garamond" w:cs="Times New Roman"/>
          <w:sz w:val="21"/>
          <w:szCs w:val="21"/>
        </w:rPr>
        <w:t>«</w:t>
      </w:r>
      <w:r>
        <w:rPr>
          <w:rFonts w:eastAsia="Garamond" w:cs="Times New Roman"/>
          <w:i/>
          <w:sz w:val="21"/>
          <w:szCs w:val="21"/>
        </w:rPr>
        <w:t> mission parlementaire d’information sur la hausse du nombre de refus d’obtempérer et les conditions d’usage de leurs armes par les forces de l’ordre </w:t>
      </w:r>
      <w:r>
        <w:rPr>
          <w:rFonts w:eastAsia="Garamond" w:cs="Times New Roman"/>
          <w:sz w:val="21"/>
          <w:szCs w:val="21"/>
        </w:rPr>
        <w:t>»</w:t>
      </w:r>
      <w:r>
        <w:rPr>
          <w:rFonts w:eastAsia="Garamond" w:cs="Times New Roman"/>
          <w:i/>
          <w:sz w:val="21"/>
          <w:szCs w:val="21"/>
        </w:rPr>
        <w:t>,</w:t>
      </w:r>
      <w:r>
        <w:rPr>
          <w:rFonts w:eastAsia="Garamond" w:cs="Times New Roman"/>
          <w:sz w:val="21"/>
          <w:szCs w:val="21"/>
        </w:rPr>
        <w:t xml:space="preserve"> clôturée le 29 mai 2024</w:t>
      </w:r>
      <w:r>
        <w:rPr>
          <w:rStyle w:val="FootnoteReference"/>
          <w:rFonts w:eastAsia="Garamond" w:cs="Times New Roman"/>
          <w:sz w:val="21"/>
          <w:szCs w:val="21"/>
        </w:rPr>
        <w:footnoteReference w:id="16"/>
      </w:r>
      <w:r>
        <w:rPr>
          <w:rFonts w:eastAsia="Garamond" w:cs="Times New Roman"/>
          <w:sz w:val="21"/>
          <w:szCs w:val="21"/>
        </w:rPr>
        <w:t xml:space="preserve">. Si cette mission a permis de mettre à jour un certain nombre de faits et d’arguments marquants </w:t>
      </w:r>
      <w:r>
        <w:rPr>
          <w:rFonts w:eastAsia="Garamond" w:cs="Times New Roman"/>
          <w:b/>
          <w:bCs/>
          <w:sz w:val="21"/>
          <w:szCs w:val="21"/>
        </w:rPr>
        <w:t>(voir supra n°2 et 3)</w:t>
      </w:r>
      <w:r>
        <w:rPr>
          <w:rFonts w:eastAsia="Garamond" w:cs="Times New Roman"/>
          <w:sz w:val="21"/>
          <w:szCs w:val="21"/>
        </w:rPr>
        <w:t>, force est de constater que cet imposant et long travail est pour l’instant resté lettre morte.</w:t>
      </w:r>
    </w:p>
    <w:p w14:paraId="4F848035" w14:textId="77777777" w:rsidR="000A3573" w:rsidRDefault="000A3573">
      <w:pPr>
        <w:rPr>
          <w:rFonts w:cs="Times New Roman"/>
          <w:sz w:val="21"/>
          <w:szCs w:val="21"/>
        </w:rPr>
      </w:pPr>
    </w:p>
    <w:p w14:paraId="29376120" w14:textId="77777777" w:rsidR="000A3573" w:rsidRDefault="0075518D">
      <w:pPr>
        <w:jc w:val="both"/>
        <w:rPr>
          <w:rFonts w:cs="Times New Roman"/>
          <w:sz w:val="21"/>
          <w:szCs w:val="21"/>
        </w:rPr>
      </w:pPr>
      <w:r>
        <w:rPr>
          <w:rFonts w:eastAsia="Garamond" w:cs="Times New Roman"/>
          <w:sz w:val="21"/>
          <w:szCs w:val="21"/>
        </w:rPr>
        <w:t>D’abord, soulevant toutes sortes d’objections, les deux députés rapporteurs</w:t>
      </w:r>
      <w:r>
        <w:rPr>
          <w:rStyle w:val="FootnoteReference"/>
          <w:rFonts w:eastAsia="Garamond" w:cs="Times New Roman"/>
          <w:sz w:val="21"/>
          <w:szCs w:val="21"/>
        </w:rPr>
        <w:footnoteReference w:id="17"/>
      </w:r>
      <w:r>
        <w:rPr>
          <w:rFonts w:eastAsia="Garamond" w:cs="Times New Roman"/>
          <w:sz w:val="21"/>
          <w:szCs w:val="21"/>
        </w:rPr>
        <w:t xml:space="preserve"> ont cherché à « </w:t>
      </w:r>
      <w:r>
        <w:rPr>
          <w:rFonts w:eastAsia="Garamond" w:cs="Times New Roman"/>
          <w:i/>
          <w:iCs/>
          <w:sz w:val="21"/>
          <w:szCs w:val="21"/>
        </w:rPr>
        <w:t>relativiser les résultats</w:t>
      </w:r>
      <w:r>
        <w:rPr>
          <w:rFonts w:eastAsia="Garamond" w:cs="Times New Roman"/>
          <w:sz w:val="21"/>
          <w:szCs w:val="21"/>
        </w:rPr>
        <w:t> » de l’étude statistique des chercheurs précitée, tout en notant son « </w:t>
      </w:r>
      <w:r>
        <w:rPr>
          <w:rFonts w:eastAsia="Garamond" w:cs="Times New Roman"/>
          <w:i/>
          <w:iCs/>
          <w:sz w:val="21"/>
          <w:szCs w:val="21"/>
        </w:rPr>
        <w:t>caractère à première vue implacable </w:t>
      </w:r>
      <w:r>
        <w:rPr>
          <w:rFonts w:eastAsia="Garamond" w:cs="Times New Roman"/>
          <w:sz w:val="21"/>
          <w:szCs w:val="21"/>
        </w:rPr>
        <w:t>». Pour ce faire, ils ont notamment reproché aux chercheurs de faire «</w:t>
      </w:r>
      <w:r>
        <w:rPr>
          <w:rFonts w:eastAsia="Garamond" w:cs="Times New Roman"/>
          <w:i/>
          <w:iCs/>
          <w:sz w:val="21"/>
          <w:szCs w:val="21"/>
        </w:rPr>
        <w:t xml:space="preserve"> dès le départ, une interprétation partiale de la loi de 2017. L’étude précise en effet que "la loi de février 2017 relative à la sécurité publique autorise les policiers français à tirer sur les occupants de véhicules </w:t>
      </w:r>
      <w:r>
        <w:rPr>
          <w:rFonts w:eastAsia="Garamond" w:cs="Times New Roman"/>
          <w:i/>
          <w:iCs/>
          <w:sz w:val="21"/>
          <w:szCs w:val="21"/>
          <w:u w:val="single"/>
        </w:rPr>
        <w:t>même lorsqu’ils ne représentent pas une menace immédiate</w:t>
      </w:r>
      <w:r>
        <w:rPr>
          <w:rFonts w:eastAsia="Garamond" w:cs="Times New Roman"/>
          <w:i/>
          <w:iCs/>
          <w:sz w:val="21"/>
          <w:szCs w:val="21"/>
        </w:rPr>
        <w:t>"</w:t>
      </w:r>
      <w:r>
        <w:rPr>
          <w:rFonts w:eastAsia="Garamond" w:cs="Times New Roman"/>
          <w:sz w:val="21"/>
          <w:szCs w:val="21"/>
        </w:rPr>
        <w:t xml:space="preserve"> ». La confusion</w:t>
      </w:r>
      <w:r>
        <w:rPr>
          <w:rFonts w:eastAsia="Garamond" w:cs="Times New Roman"/>
          <w:sz w:val="21"/>
          <w:szCs w:val="21"/>
        </w:rPr>
        <w:t xml:space="preserve"> sur ce point précis du texte se trouve ainsi utilisée pour en justifier la poursuite.</w:t>
      </w:r>
    </w:p>
    <w:p w14:paraId="4C95C35E" w14:textId="77777777" w:rsidR="000A3573" w:rsidRDefault="000A3573">
      <w:pPr>
        <w:rPr>
          <w:rFonts w:cs="Times New Roman"/>
          <w:sz w:val="21"/>
          <w:szCs w:val="21"/>
        </w:rPr>
      </w:pPr>
    </w:p>
    <w:p w14:paraId="2874D693" w14:textId="77777777" w:rsidR="000A3573" w:rsidRDefault="0075518D">
      <w:pPr>
        <w:jc w:val="both"/>
      </w:pPr>
      <w:r>
        <w:rPr>
          <w:rFonts w:eastAsia="Garamond" w:cs="Times New Roman"/>
          <w:sz w:val="21"/>
          <w:szCs w:val="21"/>
        </w:rPr>
        <w:t xml:space="preserve">Ensuite, les deux rapporteurs n’ont pas réussi à trouver un accord sur la nécessité, ou pas, de modifier les dispositions législatives en cause. </w:t>
      </w:r>
      <w:r>
        <w:rPr>
          <w:rFonts w:eastAsia="Garamond" w:cs="Times New Roman"/>
          <w:b/>
          <w:bCs/>
          <w:sz w:val="21"/>
          <w:szCs w:val="21"/>
        </w:rPr>
        <w:t xml:space="preserve">Le député Thomas </w:t>
      </w:r>
      <w:proofErr w:type="spellStart"/>
      <w:r>
        <w:rPr>
          <w:rFonts w:eastAsia="Garamond" w:cs="Times New Roman"/>
          <w:b/>
          <w:bCs/>
          <w:sz w:val="21"/>
          <w:szCs w:val="21"/>
        </w:rPr>
        <w:t>Rudigoz</w:t>
      </w:r>
      <w:proofErr w:type="spellEnd"/>
      <w:r>
        <w:rPr>
          <w:rFonts w:eastAsia="Garamond" w:cs="Times New Roman"/>
          <w:b/>
          <w:bCs/>
          <w:sz w:val="21"/>
          <w:szCs w:val="21"/>
        </w:rPr>
        <w:t xml:space="preserve"> a estimé que le texte ne devait pas être modifié, utilisant d’arguments souvent spécieux.</w:t>
      </w:r>
      <w:r>
        <w:rPr>
          <w:rFonts w:eastAsia="Garamond" w:cs="Times New Roman"/>
          <w:sz w:val="21"/>
          <w:szCs w:val="21"/>
        </w:rPr>
        <w:t xml:space="preserve"> Il estime ainsi que la rédaction actuellement en vigueur s’avère </w:t>
      </w:r>
      <w:r>
        <w:rPr>
          <w:rFonts w:cs="Times New Roman"/>
          <w:sz w:val="21"/>
          <w:szCs w:val="21"/>
        </w:rPr>
        <w:t>« </w:t>
      </w:r>
      <w:r>
        <w:rPr>
          <w:rFonts w:cs="Times New Roman"/>
          <w:i/>
          <w:iCs/>
          <w:sz w:val="21"/>
          <w:szCs w:val="21"/>
        </w:rPr>
        <w:t>une solution sans doute imparfaite, mais comme le serait toute autre alternative</w:t>
      </w:r>
      <w:r>
        <w:rPr>
          <w:rFonts w:cs="Times New Roman"/>
          <w:sz w:val="21"/>
          <w:szCs w:val="21"/>
        </w:rPr>
        <w:t> ». Pour lui,  « </w:t>
      </w:r>
      <w:r>
        <w:rPr>
          <w:rFonts w:cs="Times New Roman"/>
          <w:i/>
          <w:iCs/>
          <w:sz w:val="21"/>
          <w:szCs w:val="21"/>
        </w:rPr>
        <w:t xml:space="preserve">maintenir l’article L. 435-1 du code de la sécurité intérieure dans sa rédaction actuelle se justifie aussi bien au regard des </w:t>
      </w:r>
      <w:r>
        <w:rPr>
          <w:rFonts w:cs="Times New Roman"/>
          <w:i/>
          <w:iCs/>
          <w:sz w:val="21"/>
          <w:szCs w:val="21"/>
        </w:rPr>
        <w:t>précisions utiles qu’il permet que des risques que sa modification pourrait engendrer en termes de stabilité normative, ce qui d’ailleurs, sur ce sujet précis, pourrait avoir des implications très importantes et très graves</w:t>
      </w:r>
      <w:r>
        <w:rPr>
          <w:rFonts w:cs="Times New Roman"/>
          <w:sz w:val="21"/>
          <w:szCs w:val="21"/>
        </w:rPr>
        <w:t> », et « </w:t>
      </w:r>
      <w:r>
        <w:rPr>
          <w:rFonts w:cs="Times New Roman"/>
          <w:i/>
          <w:iCs/>
          <w:sz w:val="21"/>
          <w:szCs w:val="21"/>
        </w:rPr>
        <w:t xml:space="preserve">revenir en arrière serait aussi donner raison à tous ceux qui considèrent que cet article et son 4° constituent des "permis de tuer". Votre rapporteur Thomas </w:t>
      </w:r>
      <w:proofErr w:type="spellStart"/>
      <w:r>
        <w:rPr>
          <w:rFonts w:cs="Times New Roman"/>
          <w:i/>
          <w:iCs/>
          <w:sz w:val="21"/>
          <w:szCs w:val="21"/>
        </w:rPr>
        <w:t>Rudigoz</w:t>
      </w:r>
      <w:proofErr w:type="spellEnd"/>
      <w:r>
        <w:rPr>
          <w:rFonts w:cs="Times New Roman"/>
          <w:i/>
          <w:iCs/>
          <w:sz w:val="21"/>
          <w:szCs w:val="21"/>
        </w:rPr>
        <w:t xml:space="preserve"> ne peut l’accepter</w:t>
      </w:r>
      <w:r>
        <w:rPr>
          <w:rFonts w:cs="Times New Roman"/>
          <w:sz w:val="21"/>
          <w:szCs w:val="21"/>
        </w:rPr>
        <w:t xml:space="preserve"> ». </w:t>
      </w:r>
    </w:p>
    <w:p w14:paraId="25588EAF" w14:textId="77777777" w:rsidR="000A3573" w:rsidRDefault="000A3573">
      <w:pPr>
        <w:jc w:val="both"/>
      </w:pPr>
    </w:p>
    <w:p w14:paraId="51669BC7" w14:textId="77777777" w:rsidR="000A3573" w:rsidRDefault="0075518D">
      <w:pPr>
        <w:jc w:val="both"/>
        <w:rPr>
          <w:rFonts w:cs="Times New Roman"/>
          <w:sz w:val="21"/>
          <w:szCs w:val="21"/>
        </w:rPr>
      </w:pPr>
      <w:r>
        <w:rPr>
          <w:rFonts w:cs="Times New Roman"/>
          <w:sz w:val="21"/>
          <w:szCs w:val="21"/>
        </w:rPr>
        <w:t xml:space="preserve">Enfin, et en dépit de tous les constats rapportés </w:t>
      </w:r>
      <w:r>
        <w:rPr>
          <w:rFonts w:cs="Times New Roman"/>
          <w:i/>
          <w:sz w:val="21"/>
          <w:szCs w:val="21"/>
        </w:rPr>
        <w:t>supra</w:t>
      </w:r>
      <w:r>
        <w:rPr>
          <w:rFonts w:cs="Times New Roman"/>
          <w:sz w:val="21"/>
          <w:szCs w:val="21"/>
        </w:rPr>
        <w:t>, le parlementaire estime que le texte « </w:t>
      </w:r>
      <w:r>
        <w:rPr>
          <w:rFonts w:cs="Times New Roman"/>
          <w:i/>
          <w:iCs/>
          <w:sz w:val="21"/>
          <w:szCs w:val="21"/>
        </w:rPr>
        <w:t>apparaît clair et ne laisse place à aucune marge d’interprétation</w:t>
      </w:r>
      <w:r>
        <w:rPr>
          <w:rFonts w:cs="Times New Roman"/>
          <w:sz w:val="21"/>
          <w:szCs w:val="21"/>
        </w:rPr>
        <w:t xml:space="preserve"> ». </w:t>
      </w:r>
      <w:r>
        <w:rPr>
          <w:rFonts w:cs="Times New Roman"/>
          <w:b/>
          <w:bCs/>
          <w:sz w:val="21"/>
          <w:szCs w:val="21"/>
        </w:rPr>
        <w:t xml:space="preserve">Du côté de l’ancienne majorité présidentielle, le débat parlementaire a donc manqué de sérénité et de bonne foi. </w:t>
      </w:r>
      <w:r>
        <w:rPr>
          <w:rFonts w:cs="Times New Roman"/>
          <w:sz w:val="21"/>
          <w:szCs w:val="21"/>
        </w:rPr>
        <w:t xml:space="preserve">De son côté, le </w:t>
      </w:r>
      <w:r>
        <w:rPr>
          <w:rFonts w:eastAsia="Garamond" w:cs="Times New Roman"/>
          <w:sz w:val="21"/>
          <w:szCs w:val="21"/>
        </w:rPr>
        <w:t xml:space="preserve">député </w:t>
      </w:r>
      <w:proofErr w:type="spellStart"/>
      <w:r>
        <w:rPr>
          <w:rFonts w:eastAsia="Garamond" w:cs="Times New Roman"/>
          <w:sz w:val="21"/>
          <w:szCs w:val="21"/>
        </w:rPr>
        <w:t>Roget</w:t>
      </w:r>
      <w:proofErr w:type="spellEnd"/>
      <w:r>
        <w:rPr>
          <w:rFonts w:eastAsia="Garamond" w:cs="Times New Roman"/>
          <w:sz w:val="21"/>
          <w:szCs w:val="21"/>
        </w:rPr>
        <w:t xml:space="preserve"> </w:t>
      </w:r>
      <w:proofErr w:type="spellStart"/>
      <w:r>
        <w:rPr>
          <w:rFonts w:eastAsia="Garamond" w:cs="Times New Roman"/>
          <w:sz w:val="21"/>
          <w:szCs w:val="21"/>
        </w:rPr>
        <w:t>Vicot</w:t>
      </w:r>
      <w:proofErr w:type="spellEnd"/>
      <w:r>
        <w:rPr>
          <w:rFonts w:eastAsia="Garamond" w:cs="Times New Roman"/>
          <w:sz w:val="21"/>
          <w:szCs w:val="21"/>
        </w:rPr>
        <w:t xml:space="preserve"> a estimé qu’«</w:t>
      </w:r>
      <w:r>
        <w:rPr>
          <w:rFonts w:eastAsia="Garamond" w:cs="Times New Roman"/>
          <w:i/>
          <w:sz w:val="21"/>
          <w:szCs w:val="21"/>
        </w:rPr>
        <w:t xml:space="preserve"> il ne faut pas laisser dans le cadre juridique des formulations qui pourraient faire penser que le cadre a été assoupli et l’usage de l’arme facilité </w:t>
      </w:r>
      <w:r>
        <w:rPr>
          <w:rFonts w:eastAsia="Garamond" w:cs="Times New Roman"/>
          <w:sz w:val="21"/>
          <w:szCs w:val="21"/>
        </w:rPr>
        <w:t>», recommandant le retrait du caractère</w:t>
      </w:r>
      <w:r>
        <w:rPr>
          <w:rFonts w:eastAsia="Garamond" w:cs="Times New Roman"/>
          <w:i/>
          <w:sz w:val="21"/>
          <w:szCs w:val="21"/>
        </w:rPr>
        <w:t xml:space="preserve"> </w:t>
      </w:r>
      <w:r>
        <w:rPr>
          <w:rFonts w:eastAsia="Garamond" w:cs="Times New Roman"/>
          <w:sz w:val="21"/>
          <w:szCs w:val="21"/>
        </w:rPr>
        <w:t>«</w:t>
      </w:r>
      <w:r>
        <w:rPr>
          <w:rFonts w:eastAsia="Garamond" w:cs="Times New Roman"/>
          <w:i/>
          <w:sz w:val="21"/>
          <w:szCs w:val="21"/>
        </w:rPr>
        <w:t> susceptible </w:t>
      </w:r>
      <w:r>
        <w:rPr>
          <w:rFonts w:eastAsia="Garamond" w:cs="Times New Roman"/>
          <w:sz w:val="21"/>
          <w:szCs w:val="21"/>
        </w:rPr>
        <w:t>»</w:t>
      </w:r>
      <w:r>
        <w:rPr>
          <w:rFonts w:eastAsia="Garamond" w:cs="Times New Roman"/>
          <w:i/>
          <w:sz w:val="21"/>
          <w:szCs w:val="21"/>
        </w:rPr>
        <w:t xml:space="preserve"> </w:t>
      </w:r>
      <w:r>
        <w:rPr>
          <w:rFonts w:eastAsia="Garamond" w:cs="Times New Roman"/>
          <w:sz w:val="21"/>
          <w:szCs w:val="21"/>
        </w:rPr>
        <w:t>de la menace afin d’y préfére</w:t>
      </w:r>
      <w:r>
        <w:rPr>
          <w:rFonts w:eastAsia="Garamond" w:cs="Times New Roman"/>
          <w:sz w:val="21"/>
          <w:szCs w:val="21"/>
        </w:rPr>
        <w:t>r les adjectifs « </w:t>
      </w:r>
      <w:r>
        <w:rPr>
          <w:rFonts w:eastAsia="Garamond" w:cs="Times New Roman"/>
          <w:i/>
          <w:sz w:val="21"/>
          <w:szCs w:val="21"/>
        </w:rPr>
        <w:t>manifeste</w:t>
      </w:r>
      <w:r>
        <w:rPr>
          <w:rFonts w:eastAsia="Garamond" w:cs="Times New Roman"/>
          <w:sz w:val="21"/>
          <w:szCs w:val="21"/>
        </w:rPr>
        <w:t> » et « </w:t>
      </w:r>
      <w:r>
        <w:rPr>
          <w:rFonts w:eastAsia="Garamond" w:cs="Times New Roman"/>
          <w:i/>
          <w:sz w:val="21"/>
          <w:szCs w:val="21"/>
        </w:rPr>
        <w:t>imminente </w:t>
      </w:r>
      <w:r>
        <w:rPr>
          <w:rFonts w:eastAsia="Garamond" w:cs="Times New Roman"/>
          <w:sz w:val="21"/>
          <w:szCs w:val="21"/>
        </w:rPr>
        <w:t>». Le groupe PS à l’Assemblée nationale a immédiatement annoncé le dépôt d’une proposition de loi en ce sens</w:t>
      </w:r>
      <w:r>
        <w:rPr>
          <w:rStyle w:val="FootnoteReference"/>
          <w:rFonts w:eastAsia="Garamond" w:cs="Times New Roman"/>
          <w:sz w:val="21"/>
          <w:szCs w:val="21"/>
        </w:rPr>
        <w:footnoteReference w:id="18"/>
      </w:r>
      <w:r>
        <w:rPr>
          <w:rFonts w:eastAsia="Garamond" w:cs="Times New Roman"/>
          <w:sz w:val="21"/>
          <w:szCs w:val="21"/>
        </w:rPr>
        <w:t>. Hélas, sur ces entrefaites, la dissolution de l’Assemblée nationale par le président de la République le 9 juin 2024 a annulé tous les travaux parlementaires. Sur le plan législatif, le dossier est pour l’heure laissé en l’état.</w:t>
      </w:r>
    </w:p>
    <w:p w14:paraId="6872F0B7" w14:textId="77777777" w:rsidR="000A3573" w:rsidRDefault="000A3573">
      <w:pPr>
        <w:rPr>
          <w:rFonts w:cs="Times New Roman"/>
          <w:sz w:val="21"/>
          <w:szCs w:val="21"/>
        </w:rPr>
      </w:pPr>
    </w:p>
    <w:p w14:paraId="1C898B01" w14:textId="77777777" w:rsidR="000A3573" w:rsidRDefault="0075518D">
      <w:pPr>
        <w:jc w:val="both"/>
        <w:rPr>
          <w:rFonts w:eastAsia="Garamond" w:cs="Times New Roman"/>
          <w:sz w:val="21"/>
          <w:szCs w:val="21"/>
        </w:rPr>
      </w:pPr>
      <w:r>
        <w:rPr>
          <w:rFonts w:cs="Times New Roman"/>
          <w:sz w:val="21"/>
          <w:szCs w:val="21"/>
        </w:rPr>
        <w:t>Les deux députés ont cependant réussi à s’entendre sur une proposition : « </w:t>
      </w:r>
      <w:r>
        <w:rPr>
          <w:rFonts w:cs="Times New Roman"/>
          <w:i/>
          <w:iCs/>
          <w:sz w:val="21"/>
          <w:szCs w:val="21"/>
        </w:rPr>
        <w:t>Établir une instruction commune à la DGPN et à la DGGN relative à l’usage de l’arme, sur le modèle de celle de la gendarmerie</w:t>
      </w:r>
      <w:r>
        <w:rPr>
          <w:rFonts w:cs="Times New Roman"/>
          <w:sz w:val="21"/>
          <w:szCs w:val="21"/>
        </w:rPr>
        <w:t> ». Les parlementaires prennent acte des nombreux griefs formulés au cours de leur mission, par des personnalités diverses, sur la maladresse de la formulation de l’instruction « Falcone » du 1</w:t>
      </w:r>
      <w:r>
        <w:rPr>
          <w:rFonts w:cs="Times New Roman"/>
          <w:sz w:val="21"/>
          <w:szCs w:val="21"/>
          <w:vertAlign w:val="superscript"/>
        </w:rPr>
        <w:t>er</w:t>
      </w:r>
      <w:r>
        <w:rPr>
          <w:rFonts w:cs="Times New Roman"/>
          <w:sz w:val="21"/>
          <w:szCs w:val="21"/>
        </w:rPr>
        <w:t xml:space="preserve"> mars 2017, et du remède réglementaire insuffisant opéré par l’instruction subséquente du 26 mai 2021. Il reste à espérer que les services du ministère de l’Intérieur vont suivre les recommand</w:t>
      </w:r>
      <w:r>
        <w:rPr>
          <w:rFonts w:cs="Times New Roman"/>
          <w:sz w:val="21"/>
          <w:szCs w:val="21"/>
        </w:rPr>
        <w:t>ations parlementaires.</w:t>
      </w:r>
    </w:p>
    <w:p w14:paraId="63A655C4" w14:textId="77777777" w:rsidR="000A3573" w:rsidRDefault="000A3573">
      <w:pPr>
        <w:jc w:val="both"/>
        <w:rPr>
          <w:rFonts w:eastAsia="Garamond" w:cs="Times New Roman"/>
          <w:sz w:val="21"/>
          <w:szCs w:val="21"/>
        </w:rPr>
      </w:pPr>
    </w:p>
    <w:p w14:paraId="7F352713" w14:textId="77777777" w:rsidR="000A3573" w:rsidRDefault="000A3573">
      <w:pPr>
        <w:rPr>
          <w:rFonts w:eastAsia="Garamond" w:cs="Times New Roman"/>
          <w:sz w:val="21"/>
          <w:szCs w:val="21"/>
        </w:rPr>
      </w:pPr>
    </w:p>
    <w:p w14:paraId="3529132B" w14:textId="77777777" w:rsidR="000A3573" w:rsidRDefault="000A3573">
      <w:pPr>
        <w:rPr>
          <w:rFonts w:eastAsia="Garamond" w:cs="Times New Roman"/>
          <w:sz w:val="21"/>
          <w:szCs w:val="21"/>
        </w:rPr>
      </w:pPr>
    </w:p>
    <w:p w14:paraId="03D1177D" w14:textId="77777777" w:rsidR="000A3573" w:rsidRDefault="0075518D">
      <w:pPr>
        <w:jc w:val="both"/>
        <w:rPr>
          <w:rFonts w:cs="Times New Roman"/>
        </w:rPr>
      </w:pPr>
      <w:r>
        <w:rPr>
          <w:rFonts w:eastAsia="Garamond" w:cs="Times New Roman"/>
          <w:b/>
          <w:bCs/>
          <w:sz w:val="24"/>
        </w:rPr>
        <w:t xml:space="preserve">5. </w:t>
      </w:r>
      <w:r>
        <w:rPr>
          <w:rFonts w:eastAsia="Garamond" w:cs="Times New Roman"/>
          <w:b/>
          <w:bCs/>
          <w:sz w:val="24"/>
        </w:rPr>
        <w:t xml:space="preserve">Une unique jurisprudence </w:t>
      </w:r>
      <w:r>
        <w:rPr>
          <w:rFonts w:eastAsia="Garamond" w:cs="Times New Roman"/>
          <w:b/>
          <w:bCs/>
          <w:sz w:val="24"/>
        </w:rPr>
        <w:t>qui maintient le flou</w:t>
      </w:r>
    </w:p>
    <w:p w14:paraId="077ED91A" w14:textId="77777777" w:rsidR="000A3573" w:rsidRDefault="000A3573">
      <w:pPr>
        <w:jc w:val="both"/>
        <w:rPr>
          <w:rFonts w:cs="Times New Roman"/>
          <w:sz w:val="21"/>
          <w:szCs w:val="21"/>
        </w:rPr>
      </w:pPr>
    </w:p>
    <w:p w14:paraId="285B60E3" w14:textId="77777777" w:rsidR="000A3573" w:rsidRDefault="0075518D">
      <w:pPr>
        <w:jc w:val="both"/>
        <w:rPr>
          <w:rFonts w:cs="Times New Roman"/>
          <w:sz w:val="21"/>
          <w:szCs w:val="21"/>
        </w:rPr>
      </w:pPr>
      <w:r>
        <w:rPr>
          <w:rFonts w:eastAsia="Garamond" w:cs="Times New Roman"/>
          <w:sz w:val="21"/>
          <w:szCs w:val="21"/>
        </w:rPr>
        <w:t>En parallèle de cette dommageable inertie législative et réglementaire, le pouvoir judiciaire s’est abstenu de jouer le rôle d’interprétation législative qu’</w:t>
      </w:r>
      <w:r>
        <w:rPr>
          <w:rFonts w:eastAsia="Garamond" w:cs="Times New Roman"/>
          <w:sz w:val="21"/>
          <w:szCs w:val="21"/>
        </w:rPr>
        <w:t xml:space="preserve">il a pourtant été appelé à tenir. En mai 2024, la Cour de cassation a en effet été amenée à statuer sur la mort de Luis </w:t>
      </w:r>
      <w:proofErr w:type="spellStart"/>
      <w:r>
        <w:rPr>
          <w:rFonts w:eastAsia="Garamond" w:cs="Times New Roman"/>
          <w:sz w:val="21"/>
          <w:szCs w:val="21"/>
        </w:rPr>
        <w:t>Bico</w:t>
      </w:r>
      <w:proofErr w:type="spellEnd"/>
      <w:r>
        <w:rPr>
          <w:rFonts w:eastAsia="Garamond" w:cs="Times New Roman"/>
          <w:sz w:val="21"/>
          <w:szCs w:val="21"/>
        </w:rPr>
        <w:t xml:space="preserve">, abattu par un fonctionnaire de la police nationale le 19 août 2017 à Chalette-sur-Loing (Loiret). Non seulement l’affaire </w:t>
      </w:r>
      <w:proofErr w:type="spellStart"/>
      <w:r>
        <w:rPr>
          <w:rFonts w:eastAsia="Garamond" w:cs="Times New Roman"/>
          <w:sz w:val="21"/>
          <w:szCs w:val="21"/>
        </w:rPr>
        <w:t>Bico</w:t>
      </w:r>
      <w:proofErr w:type="spellEnd"/>
      <w:r>
        <w:rPr>
          <w:rFonts w:eastAsia="Garamond" w:cs="Times New Roman"/>
          <w:sz w:val="21"/>
          <w:szCs w:val="21"/>
        </w:rPr>
        <w:t xml:space="preserve"> était emblématique, s’agissant d’un des tous premiers morts observés dans le cadre d’un tir mortel </w:t>
      </w:r>
      <w:proofErr w:type="gramStart"/>
      <w:r>
        <w:rPr>
          <w:rFonts w:eastAsia="Garamond" w:cs="Times New Roman"/>
          <w:sz w:val="21"/>
          <w:szCs w:val="21"/>
        </w:rPr>
        <w:t>suite à</w:t>
      </w:r>
      <w:proofErr w:type="gramEnd"/>
      <w:r>
        <w:rPr>
          <w:rFonts w:eastAsia="Garamond" w:cs="Times New Roman"/>
          <w:sz w:val="21"/>
          <w:szCs w:val="21"/>
        </w:rPr>
        <w:t xml:space="preserve"> refus d’obtempérer intervenu après l’entrée en vigueur de la loi du 28 février 2017, mais elle constituait aussi </w:t>
      </w:r>
      <w:r>
        <w:rPr>
          <w:rFonts w:eastAsia="Garamond" w:cs="Times New Roman"/>
          <w:b/>
          <w:bCs/>
          <w:sz w:val="21"/>
          <w:szCs w:val="21"/>
        </w:rPr>
        <w:t>la première (et à ce jour unique) affai</w:t>
      </w:r>
      <w:r>
        <w:rPr>
          <w:rFonts w:eastAsia="Garamond" w:cs="Times New Roman"/>
          <w:b/>
          <w:bCs/>
          <w:sz w:val="21"/>
          <w:szCs w:val="21"/>
        </w:rPr>
        <w:t>re dans laquelle la Haute juridiction pénale était appelée à livrer son interprétation du 4° de l’article L435-1</w:t>
      </w:r>
      <w:r>
        <w:rPr>
          <w:rFonts w:eastAsia="Garamond" w:cs="Times New Roman"/>
          <w:sz w:val="21"/>
          <w:szCs w:val="21"/>
        </w:rPr>
        <w:t xml:space="preserve">. </w:t>
      </w:r>
    </w:p>
    <w:p w14:paraId="54A09EE8" w14:textId="77777777" w:rsidR="000A3573" w:rsidRDefault="000A3573">
      <w:pPr>
        <w:jc w:val="both"/>
        <w:rPr>
          <w:rFonts w:cs="Times New Roman"/>
          <w:sz w:val="21"/>
          <w:szCs w:val="21"/>
        </w:rPr>
      </w:pPr>
    </w:p>
    <w:p w14:paraId="30FD1E32" w14:textId="77777777" w:rsidR="000A3573" w:rsidRDefault="0075518D">
      <w:pPr>
        <w:jc w:val="both"/>
        <w:rPr>
          <w:rFonts w:cs="Times New Roman"/>
          <w:sz w:val="21"/>
          <w:szCs w:val="21"/>
        </w:rPr>
      </w:pPr>
      <w:r>
        <w:rPr>
          <w:rFonts w:eastAsia="Garamond" w:cs="Times New Roman"/>
          <w:sz w:val="21"/>
          <w:szCs w:val="21"/>
        </w:rPr>
        <w:t>Dans ce dossier, la cour d’appel avait positionné très clairement le débat juridique, estimant qu’ « </w:t>
      </w:r>
      <w:r>
        <w:rPr>
          <w:rFonts w:eastAsia="Garamond" w:cs="Times New Roman"/>
          <w:i/>
          <w:iCs/>
          <w:sz w:val="21"/>
          <w:szCs w:val="21"/>
        </w:rPr>
        <w:t>il ne saurait être fait application de l’article L435-1 1° du code de la sécurité intérieure</w:t>
      </w:r>
      <w:r>
        <w:rPr>
          <w:rFonts w:eastAsia="Garamond" w:cs="Times New Roman"/>
          <w:sz w:val="21"/>
          <w:szCs w:val="21"/>
        </w:rPr>
        <w:t xml:space="preserve"> » (un dispositif juridique très proche de la légitime défense), mais que les policiers « </w:t>
      </w:r>
      <w:r>
        <w:rPr>
          <w:rFonts w:eastAsia="Garamond" w:cs="Times New Roman"/>
          <w:i/>
          <w:iCs/>
          <w:sz w:val="21"/>
          <w:szCs w:val="21"/>
        </w:rPr>
        <w:t>ont fait usage de leurs armes dans les conditions prévues par l’article 435-1 4° du code de la sécurité intérieure</w:t>
      </w:r>
      <w:r>
        <w:rPr>
          <w:rFonts w:eastAsia="Garamond" w:cs="Times New Roman"/>
          <w:sz w:val="21"/>
          <w:szCs w:val="21"/>
        </w:rPr>
        <w:t xml:space="preserve"> ». La cour </w:t>
      </w:r>
      <w:r>
        <w:rPr>
          <w:rFonts w:eastAsia="Garamond" w:cs="Times New Roman"/>
          <w:sz w:val="21"/>
          <w:szCs w:val="21"/>
          <w:u w:val="single"/>
        </w:rPr>
        <w:t>excluait tout danger immédiat</w:t>
      </w:r>
      <w:r>
        <w:rPr>
          <w:rFonts w:eastAsia="Garamond" w:cs="Times New Roman"/>
          <w:sz w:val="21"/>
          <w:szCs w:val="21"/>
        </w:rPr>
        <w:t xml:space="preserve"> au moment des tirs en retenant que « </w:t>
      </w:r>
      <w:r>
        <w:rPr>
          <w:rFonts w:eastAsia="Garamond" w:cs="Times New Roman"/>
          <w:i/>
          <w:iCs/>
          <w:sz w:val="21"/>
          <w:szCs w:val="21"/>
        </w:rPr>
        <w:t>les éléments de l’instruction ne permettent pas de retenir que des atteintes à la vie ou à l’intégrité physique étaient portées contre le</w:t>
      </w:r>
      <w:r>
        <w:rPr>
          <w:rFonts w:eastAsia="Garamond" w:cs="Times New Roman"/>
          <w:i/>
          <w:iCs/>
          <w:sz w:val="21"/>
          <w:szCs w:val="21"/>
        </w:rPr>
        <w:t xml:space="preserve">s policiers ou contre autrui </w:t>
      </w:r>
      <w:r>
        <w:rPr>
          <w:rFonts w:eastAsia="Garamond" w:cs="Times New Roman"/>
          <w:i/>
          <w:iCs/>
          <w:sz w:val="21"/>
          <w:szCs w:val="21"/>
          <w:u w:val="single"/>
        </w:rPr>
        <w:t>au moment des tirs</w:t>
      </w:r>
      <w:r>
        <w:rPr>
          <w:rFonts w:eastAsia="Garamond" w:cs="Times New Roman"/>
          <w:i/>
          <w:iCs/>
          <w:sz w:val="21"/>
          <w:szCs w:val="21"/>
        </w:rPr>
        <w:t xml:space="preserve"> dès lors que les policiers s’étaient écartés ainsi que les témoins et qu’</w:t>
      </w:r>
      <w:r>
        <w:rPr>
          <w:rFonts w:eastAsia="Garamond" w:cs="Times New Roman"/>
          <w:i/>
          <w:iCs/>
          <w:sz w:val="21"/>
          <w:szCs w:val="21"/>
          <w:u w:val="single"/>
        </w:rPr>
        <w:t>il n’est pas établi que des personnes se trouvaient alors sur la trajectoire du véhicule dans sa fuite</w:t>
      </w:r>
      <w:r>
        <w:rPr>
          <w:rFonts w:eastAsia="Garamond" w:cs="Times New Roman"/>
          <w:sz w:val="21"/>
          <w:szCs w:val="21"/>
        </w:rPr>
        <w:t xml:space="preserve"> ». Néanmoins, elle avait conclu à l’irresponsabilité pénale du fonctionnaire, estimant que les conditions de l’article L435-1 4° étaient remplies. </w:t>
      </w:r>
    </w:p>
    <w:p w14:paraId="797C3DED" w14:textId="77777777" w:rsidR="000A3573" w:rsidRDefault="000A3573">
      <w:pPr>
        <w:jc w:val="both"/>
        <w:rPr>
          <w:rFonts w:cs="Times New Roman"/>
          <w:sz w:val="21"/>
          <w:szCs w:val="21"/>
        </w:rPr>
      </w:pPr>
    </w:p>
    <w:p w14:paraId="2E609E2A" w14:textId="77777777" w:rsidR="000A3573" w:rsidRDefault="0075518D">
      <w:pPr>
        <w:jc w:val="both"/>
        <w:rPr>
          <w:rFonts w:cs="Times New Roman"/>
          <w:sz w:val="21"/>
          <w:szCs w:val="21"/>
        </w:rPr>
      </w:pPr>
      <w:r>
        <w:rPr>
          <w:rFonts w:eastAsia="Garamond" w:cs="Times New Roman"/>
          <w:sz w:val="21"/>
          <w:szCs w:val="21"/>
        </w:rPr>
        <w:t xml:space="preserve">De façon très décevante, </w:t>
      </w:r>
      <w:r>
        <w:rPr>
          <w:rFonts w:eastAsia="Garamond" w:cs="Times New Roman"/>
          <w:b/>
          <w:bCs/>
          <w:sz w:val="21"/>
          <w:szCs w:val="21"/>
        </w:rPr>
        <w:t>la Chambre criminelle de la Cour de cassation a rendu une décision de non-admission du pourvoi, non motivée, qui ne permet pas de comprendre le raisonnement suivi par la Cour</w:t>
      </w:r>
      <w:r>
        <w:rPr>
          <w:rFonts w:eastAsia="Garamond" w:cs="Times New Roman"/>
          <w:sz w:val="21"/>
          <w:szCs w:val="21"/>
        </w:rPr>
        <w:t>. Le rapport du magistrat rapporteur dans ce dossier maintient la confusion la plus totale sur le critère pourtant décisif de « l’immédiateté ». D’une part, le magistrat rapporteur se réfère à une précédente décision de la Cour de cassation (rendue elle, en termes très clairs) pour rappeler que « </w:t>
      </w:r>
      <w:r>
        <w:rPr>
          <w:rFonts w:eastAsia="Garamond" w:cs="Times New Roman"/>
          <w:i/>
          <w:iCs/>
          <w:sz w:val="21"/>
          <w:szCs w:val="21"/>
        </w:rPr>
        <w:t>bien que le texte ne le précise pas expr</w:t>
      </w:r>
      <w:r>
        <w:rPr>
          <w:rFonts w:eastAsia="Garamond" w:cs="Times New Roman"/>
          <w:i/>
          <w:iCs/>
          <w:sz w:val="21"/>
          <w:szCs w:val="21"/>
        </w:rPr>
        <w:t>essément, l’usage de l’arme doit être réalisé dans le même temps que sont portées des atteintes ou proférées des menaces à la vie ou à l’intégrité physique des agents ou d’autrui</w:t>
      </w:r>
      <w:r>
        <w:rPr>
          <w:rFonts w:eastAsia="Garamond" w:cs="Times New Roman"/>
          <w:sz w:val="21"/>
          <w:szCs w:val="21"/>
        </w:rPr>
        <w:t xml:space="preserve"> »</w:t>
      </w:r>
      <w:r>
        <w:rPr>
          <w:rStyle w:val="FootnoteReference"/>
          <w:rFonts w:eastAsia="Garamond" w:cs="Times New Roman"/>
          <w:sz w:val="21"/>
          <w:szCs w:val="21"/>
        </w:rPr>
        <w:footnoteReference w:id="19"/>
      </w:r>
      <w:r>
        <w:rPr>
          <w:rFonts w:eastAsia="Garamond" w:cs="Times New Roman"/>
          <w:sz w:val="21"/>
          <w:szCs w:val="21"/>
        </w:rPr>
        <w:t xml:space="preserve">. Mais quelques paragraphes plus haut, le magistrat rappelle que dans le cas de l’article L435-1 4°, « </w:t>
      </w:r>
      <w:r>
        <w:rPr>
          <w:rFonts w:eastAsia="Garamond" w:cs="Times New Roman"/>
          <w:i/>
          <w:iCs/>
          <w:sz w:val="21"/>
          <w:szCs w:val="21"/>
        </w:rPr>
        <w:t xml:space="preserve">la référence à l’imminence a été supprimée à l’occasion des débats parlementaires, le rapporteur du Sénat, M. François </w:t>
      </w:r>
      <w:proofErr w:type="spellStart"/>
      <w:r>
        <w:rPr>
          <w:rFonts w:eastAsia="Garamond" w:cs="Times New Roman"/>
          <w:i/>
          <w:iCs/>
          <w:sz w:val="21"/>
          <w:szCs w:val="21"/>
        </w:rPr>
        <w:t>Grosdidier</w:t>
      </w:r>
      <w:proofErr w:type="spellEnd"/>
      <w:r>
        <w:rPr>
          <w:rFonts w:eastAsia="Garamond" w:cs="Times New Roman"/>
          <w:i/>
          <w:iCs/>
          <w:sz w:val="21"/>
          <w:szCs w:val="21"/>
        </w:rPr>
        <w:t xml:space="preserve"> relevant : “nul n’est capable de définir l’imminence, pas même les magistrats : est-ce une affaire de secondes, de minutes ? N’oublions pas que ce texte a vocation à être utilisé concrètement par les forces de l’ordre. Que doivent-elles faire si deux terroristes armés, après som</w:t>
      </w:r>
      <w:r>
        <w:rPr>
          <w:rFonts w:eastAsia="Garamond" w:cs="Times New Roman"/>
          <w:i/>
          <w:iCs/>
          <w:sz w:val="21"/>
          <w:szCs w:val="21"/>
        </w:rPr>
        <w:t>mations, n’obtempèrent pas et s’enfuient ?”</w:t>
      </w:r>
      <w:r>
        <w:rPr>
          <w:rFonts w:eastAsia="Garamond" w:cs="Times New Roman"/>
          <w:sz w:val="21"/>
          <w:szCs w:val="21"/>
        </w:rPr>
        <w:t xml:space="preserve"> ». </w:t>
      </w:r>
    </w:p>
    <w:p w14:paraId="4BA08ED8" w14:textId="77777777" w:rsidR="000A3573" w:rsidRDefault="000A3573">
      <w:pPr>
        <w:jc w:val="both"/>
        <w:rPr>
          <w:rFonts w:cs="Times New Roman"/>
          <w:sz w:val="21"/>
          <w:szCs w:val="21"/>
        </w:rPr>
      </w:pPr>
    </w:p>
    <w:p w14:paraId="6994C949" w14:textId="77777777" w:rsidR="000A3573" w:rsidRDefault="0075518D">
      <w:pPr>
        <w:jc w:val="both"/>
        <w:rPr>
          <w:rFonts w:cs="Times New Roman"/>
          <w:sz w:val="21"/>
          <w:szCs w:val="21"/>
        </w:rPr>
      </w:pPr>
      <w:r>
        <w:rPr>
          <w:rFonts w:eastAsia="Garamond" w:cs="Times New Roman"/>
          <w:sz w:val="21"/>
          <w:szCs w:val="21"/>
        </w:rPr>
        <w:t xml:space="preserve">Dans son rapport, le magistrat ne tire pas de conclusion explicite de cette contradiction apparente. Néanmoins, </w:t>
      </w:r>
      <w:r>
        <w:rPr>
          <w:rFonts w:eastAsia="Garamond" w:cs="Times New Roman"/>
          <w:b/>
          <w:bCs/>
          <w:sz w:val="21"/>
          <w:szCs w:val="21"/>
        </w:rPr>
        <w:t>en rejetant implicitement et sommairement le pourvoi, la Cour de cassation donne raison à la cour d’appel, et semble donc valider la légalité d’un tir opéré même en l’absence de danger « imminent »</w:t>
      </w:r>
      <w:r>
        <w:rPr>
          <w:rFonts w:eastAsia="Garamond" w:cs="Times New Roman"/>
          <w:sz w:val="21"/>
          <w:szCs w:val="21"/>
        </w:rPr>
        <w:t xml:space="preserve">. Auprès de Flagrant déni, la chercheuse en droit pénal Catherine </w:t>
      </w:r>
      <w:proofErr w:type="spellStart"/>
      <w:r>
        <w:rPr>
          <w:rFonts w:eastAsia="Garamond" w:cs="Times New Roman"/>
          <w:sz w:val="21"/>
          <w:szCs w:val="21"/>
        </w:rPr>
        <w:t>Tzutzuiano</w:t>
      </w:r>
      <w:proofErr w:type="spellEnd"/>
      <w:r>
        <w:rPr>
          <w:rFonts w:eastAsia="Garamond" w:cs="Times New Roman"/>
          <w:sz w:val="21"/>
          <w:szCs w:val="21"/>
        </w:rPr>
        <w:t xml:space="preserve"> analyse : « </w:t>
      </w:r>
      <w:r>
        <w:rPr>
          <w:rFonts w:eastAsia="Garamond" w:cs="Times New Roman"/>
          <w:i/>
          <w:iCs/>
          <w:sz w:val="21"/>
          <w:szCs w:val="21"/>
        </w:rPr>
        <w:t>Il aurait été intéressant que la chambre criminelle de la Cour de cassation se prononce dans cette affaire portant précisément sur le point 4° de l'article L.435-1 du CSI. Les juges de la cour d'appel ont bel et bien indiqué d</w:t>
      </w:r>
      <w:r>
        <w:rPr>
          <w:rFonts w:eastAsia="Garamond" w:cs="Times New Roman"/>
          <w:i/>
          <w:iCs/>
          <w:sz w:val="21"/>
          <w:szCs w:val="21"/>
        </w:rPr>
        <w:t>ans leur motivation que les tirs ont été effectués alors que personne ne se trouvait dans la trajectoire du véhicule et, pour cette raison, qu'il ne saurait être fait application du 1° de l'article L. 435–1 mais du 4° de cet article. Précisant ceci, les juges du fond indiquent, in fine, qu'en l'espèce, les conditions d'usage des armes diffèrent du cas de la légitime défense stricte (visé au 1°). Partant, et en substance, lorsqu'il est fait application de ce 4°, la nécessité du tir ne résulte pas de l'immédi</w:t>
      </w:r>
      <w:r>
        <w:rPr>
          <w:rFonts w:eastAsia="Garamond" w:cs="Times New Roman"/>
          <w:i/>
          <w:iCs/>
          <w:sz w:val="21"/>
          <w:szCs w:val="21"/>
        </w:rPr>
        <w:t>ateté ou de l'imminence de l'atteinte à la vie ou à l'intégrité physique des personnes mais de la forte probabilité de réalisation de cette atteinte, compte tenu des éléments objectifs dont disposent les forces de l'ordre au moment du tir. C'est donc, bel et bien, me semble-t-il, une temporalité différente qui est prise en considération pour justifier le tir, suivant qu'il est fait application du 1° ou du 4° de l'article L.435-1 du CSI</w:t>
      </w:r>
      <w:r>
        <w:rPr>
          <w:rFonts w:eastAsia="Garamond" w:cs="Times New Roman"/>
          <w:sz w:val="21"/>
          <w:szCs w:val="21"/>
        </w:rPr>
        <w:t> ».</w:t>
      </w:r>
    </w:p>
    <w:p w14:paraId="0BFAE70A" w14:textId="77777777" w:rsidR="000A3573" w:rsidRDefault="000A3573">
      <w:pPr>
        <w:jc w:val="both"/>
        <w:rPr>
          <w:rFonts w:cs="Times New Roman"/>
          <w:sz w:val="21"/>
          <w:szCs w:val="21"/>
        </w:rPr>
      </w:pPr>
    </w:p>
    <w:p w14:paraId="337E253A" w14:textId="77777777" w:rsidR="000A3573" w:rsidRPr="0075518D" w:rsidRDefault="0075518D">
      <w:pPr>
        <w:jc w:val="both"/>
        <w:rPr>
          <w:rFonts w:cs="Times New Roman"/>
          <w:w w:val="95"/>
          <w:sz w:val="21"/>
          <w:szCs w:val="21"/>
          <w:lang w:eastAsia="fr-FR"/>
        </w:rPr>
      </w:pPr>
      <w:r>
        <w:rPr>
          <w:rFonts w:eastAsia="Garamond" w:cs="Times New Roman"/>
          <w:sz w:val="21"/>
          <w:szCs w:val="21"/>
        </w:rPr>
        <w:t xml:space="preserve">La Cour européenne des droits de l’Homme vient d’être saisie dans ce dossier d’un grief tiré d’une méconnaissance des </w:t>
      </w:r>
      <w:r>
        <w:rPr>
          <w:rFonts w:eastAsia="Garamond" w:cs="Times New Roman"/>
          <w:sz w:val="21"/>
          <w:szCs w:val="21"/>
        </w:rPr>
        <w:t>stipulations de l’article 2, protégeant le droit à la vie, et de la jurisprudence de la Cour, qui imposent, au titre de « l’absolue nécessité » de l’usage de la force meurtrière, le respect du principe d’immédiateté</w:t>
      </w:r>
      <w:r>
        <w:rPr>
          <w:rStyle w:val="FootnoteReference"/>
          <w:rFonts w:eastAsia="Garamond" w:cs="Times New Roman"/>
          <w:sz w:val="21"/>
          <w:szCs w:val="21"/>
        </w:rPr>
        <w:footnoteReference w:id="20"/>
      </w:r>
      <w:r>
        <w:rPr>
          <w:rFonts w:eastAsia="Garamond" w:cs="Times New Roman"/>
          <w:sz w:val="21"/>
          <w:szCs w:val="21"/>
        </w:rPr>
        <w:t>. Sur le plan judiciaire également, la clarification se fait donc attendre.</w:t>
      </w:r>
    </w:p>
    <w:p w14:paraId="0966FD90" w14:textId="77777777" w:rsidR="000A3573" w:rsidRPr="0075518D" w:rsidRDefault="000A3573">
      <w:pPr>
        <w:rPr>
          <w:rFonts w:cs="Times New Roman"/>
          <w:w w:val="95"/>
          <w:sz w:val="21"/>
          <w:szCs w:val="21"/>
          <w:lang w:eastAsia="fr-FR"/>
        </w:rPr>
      </w:pPr>
    </w:p>
    <w:p w14:paraId="4F1A2878" w14:textId="77777777" w:rsidR="000A3573" w:rsidRPr="0075518D" w:rsidRDefault="000A3573">
      <w:pPr>
        <w:rPr>
          <w:rFonts w:cs="Times New Roman"/>
          <w:w w:val="95"/>
          <w:sz w:val="21"/>
          <w:szCs w:val="21"/>
          <w:lang w:eastAsia="fr-FR"/>
        </w:rPr>
      </w:pPr>
    </w:p>
    <w:p w14:paraId="398F7569" w14:textId="77777777" w:rsidR="000A3573" w:rsidRPr="0075518D" w:rsidRDefault="000A3573">
      <w:pPr>
        <w:rPr>
          <w:rFonts w:cs="Times New Roman"/>
          <w:w w:val="95"/>
          <w:sz w:val="21"/>
          <w:szCs w:val="21"/>
          <w:lang w:eastAsia="fr-FR"/>
        </w:rPr>
      </w:pPr>
    </w:p>
    <w:p w14:paraId="4F98139C" w14:textId="77777777" w:rsidR="000A3573" w:rsidRPr="0075518D" w:rsidRDefault="0075518D">
      <w:pPr>
        <w:rPr>
          <w:w w:val="95"/>
          <w:lang w:eastAsia="fr-FR"/>
        </w:rPr>
      </w:pPr>
      <w:r>
        <w:br w:type="page"/>
      </w:r>
    </w:p>
    <w:p w14:paraId="1835390B" w14:textId="77777777" w:rsidR="000A3573" w:rsidRDefault="0075518D">
      <w:pPr>
        <w:rPr>
          <w:rFonts w:cs="Times New Roman"/>
          <w:b/>
          <w:bCs/>
          <w:sz w:val="24"/>
        </w:rPr>
      </w:pPr>
      <w:r>
        <w:rPr>
          <w:rFonts w:cs="Times New Roman"/>
          <w:b/>
          <w:bCs/>
          <w:sz w:val="24"/>
        </w:rPr>
        <w:t>6. Un mutisme persistant des autorités françaises en dépit d’un cinglant rappel à l’ordre du Comité des droits humains</w:t>
      </w:r>
    </w:p>
    <w:p w14:paraId="4CDA07A7" w14:textId="77777777" w:rsidR="000A3573" w:rsidRDefault="000A3573">
      <w:pPr>
        <w:rPr>
          <w:rFonts w:cs="Times New Roman"/>
          <w:sz w:val="21"/>
          <w:szCs w:val="21"/>
        </w:rPr>
      </w:pPr>
    </w:p>
    <w:p w14:paraId="63647565" w14:textId="77777777" w:rsidR="000A3573" w:rsidRDefault="0075518D">
      <w:pPr>
        <w:pStyle w:val="BodyText"/>
        <w:spacing w:after="0" w:line="240" w:lineRule="auto"/>
        <w:jc w:val="both"/>
        <w:rPr>
          <w:rFonts w:cs="Times New Roman"/>
          <w:sz w:val="21"/>
          <w:szCs w:val="21"/>
        </w:rPr>
      </w:pPr>
      <w:r>
        <w:rPr>
          <w:rFonts w:cs="Times New Roman"/>
          <w:sz w:val="21"/>
          <w:szCs w:val="21"/>
        </w:rPr>
        <w:t>Le 7 novembre dernier, le Comité des droits humains de l’ONU a rendu ses observations finales sur la France. Il s’est dit « </w:t>
      </w:r>
      <w:r>
        <w:rPr>
          <w:rStyle w:val="Emphasis"/>
          <w:rFonts w:cs="Times New Roman"/>
          <w:sz w:val="21"/>
          <w:szCs w:val="21"/>
        </w:rPr>
        <w:t>gravement préoccupé par le nombre de décès résultant de l’utilisation des armes à feu par les forces de l’ordre lors des contrôles de la circulation routière</w:t>
      </w:r>
      <w:r>
        <w:rPr>
          <w:rFonts w:cs="Times New Roman"/>
          <w:sz w:val="21"/>
          <w:szCs w:val="21"/>
        </w:rPr>
        <w:t> ». Le Comité s’est inquiété de ce que les violences policières, et notamment les homicides policiers, « </w:t>
      </w:r>
      <w:r>
        <w:rPr>
          <w:rStyle w:val="Emphasis"/>
          <w:rFonts w:cs="Times New Roman"/>
          <w:sz w:val="21"/>
          <w:szCs w:val="21"/>
        </w:rPr>
        <w:t>toucheraient de façon disproportionnée les membres de certains groupes minoritaires, en particulier les personnes d’ascendance africaine ou d’origine arabe, les peuples autochtones et les migrants</w:t>
      </w:r>
      <w:r>
        <w:rPr>
          <w:rFonts w:cs="Times New Roman"/>
          <w:sz w:val="21"/>
          <w:szCs w:val="21"/>
        </w:rPr>
        <w:t> ».</w:t>
      </w:r>
    </w:p>
    <w:p w14:paraId="1FF89AD4" w14:textId="77777777" w:rsidR="000A3573" w:rsidRDefault="000A3573">
      <w:pPr>
        <w:pStyle w:val="BodyText"/>
        <w:spacing w:after="0" w:line="240" w:lineRule="auto"/>
        <w:jc w:val="both"/>
        <w:rPr>
          <w:rFonts w:cs="Times New Roman"/>
          <w:sz w:val="21"/>
          <w:szCs w:val="21"/>
        </w:rPr>
      </w:pPr>
    </w:p>
    <w:p w14:paraId="1F588984" w14:textId="77777777" w:rsidR="000A3573" w:rsidRDefault="0075518D">
      <w:pPr>
        <w:pStyle w:val="BodyText"/>
        <w:spacing w:after="0" w:line="240" w:lineRule="auto"/>
        <w:jc w:val="both"/>
      </w:pPr>
      <w:r>
        <w:rPr>
          <w:rFonts w:cs="Times New Roman"/>
          <w:sz w:val="21"/>
          <w:szCs w:val="21"/>
        </w:rPr>
        <w:t xml:space="preserve">En </w:t>
      </w:r>
      <w:r>
        <w:rPr>
          <w:rFonts w:cs="Times New Roman"/>
          <w:sz w:val="21"/>
          <w:szCs w:val="21"/>
        </w:rPr>
        <w:t>conséquence, il estime que la France devrait « </w:t>
      </w:r>
      <w:r>
        <w:rPr>
          <w:rStyle w:val="Emphasis"/>
          <w:rFonts w:cs="Times New Roman"/>
          <w:sz w:val="21"/>
          <w:szCs w:val="21"/>
        </w:rPr>
        <w:t>réexaminer et, le cas échéant, réviser le cadre juridique, les doctrines et les procédures opérationnelles régissant l’usage de la force par les agents des forces de l’ordre</w:t>
      </w:r>
      <w:r>
        <w:rPr>
          <w:rFonts w:cs="Times New Roman"/>
          <w:sz w:val="21"/>
          <w:szCs w:val="21"/>
        </w:rPr>
        <w:t> ». Le Comité se réfère aux Principes de base sur le recours à la force et l’utilisation des armes à feu par les responsables de l’application des lois, qui prévoit notamment que « </w:t>
      </w:r>
      <w:r>
        <w:rPr>
          <w:rStyle w:val="Emphasis"/>
          <w:rFonts w:cs="Times New Roman"/>
          <w:sz w:val="21"/>
          <w:szCs w:val="21"/>
        </w:rPr>
        <w:t xml:space="preserve">les responsables de l’application des lois ne doivent pas faire usage d’armes à feu contre des personnes, sauf </w:t>
      </w:r>
      <w:r>
        <w:rPr>
          <w:rStyle w:val="Emphasis"/>
          <w:rFonts w:cs="Times New Roman"/>
          <w:sz w:val="21"/>
          <w:szCs w:val="21"/>
        </w:rPr>
        <w:t xml:space="preserve">en cas de légitime défense ou pour défendre des tiers contre </w:t>
      </w:r>
      <w:r>
        <w:rPr>
          <w:rStyle w:val="Emphasis"/>
          <w:rFonts w:cs="Times New Roman"/>
          <w:sz w:val="21"/>
          <w:szCs w:val="21"/>
          <w:u w:val="single"/>
        </w:rPr>
        <w:t xml:space="preserve">une menace </w:t>
      </w:r>
      <w:r>
        <w:rPr>
          <w:rStyle w:val="Emphasis"/>
          <w:rFonts w:cs="Times New Roman"/>
          <w:b/>
          <w:bCs/>
          <w:sz w:val="21"/>
          <w:szCs w:val="21"/>
          <w:u w:val="single"/>
        </w:rPr>
        <w:t>imminente</w:t>
      </w:r>
      <w:r>
        <w:rPr>
          <w:rStyle w:val="Emphasis"/>
          <w:rFonts w:cs="Times New Roman"/>
          <w:sz w:val="21"/>
          <w:szCs w:val="21"/>
          <w:u w:val="single"/>
        </w:rPr>
        <w:t xml:space="preserve"> de mort ou de blessure grave</w:t>
      </w:r>
      <w:r>
        <w:rPr>
          <w:rFonts w:cs="Times New Roman"/>
          <w:sz w:val="21"/>
          <w:szCs w:val="21"/>
        </w:rPr>
        <w:t> »</w:t>
      </w:r>
      <w:r>
        <w:rPr>
          <w:rStyle w:val="FootnoteReference"/>
          <w:rFonts w:cs="Times New Roman"/>
          <w:sz w:val="21"/>
          <w:szCs w:val="21"/>
        </w:rPr>
        <w:footnoteReference w:id="21"/>
      </w:r>
      <w:r>
        <w:rPr>
          <w:rFonts w:cs="Times New Roman"/>
          <w:sz w:val="21"/>
          <w:szCs w:val="21"/>
        </w:rPr>
        <w:t>.</w:t>
      </w:r>
    </w:p>
    <w:p w14:paraId="22A03FE8" w14:textId="77777777" w:rsidR="000A3573" w:rsidRDefault="000A3573">
      <w:pPr>
        <w:pStyle w:val="BodyText"/>
        <w:spacing w:after="0" w:line="240" w:lineRule="auto"/>
        <w:jc w:val="both"/>
      </w:pPr>
    </w:p>
    <w:p w14:paraId="78C06E89" w14:textId="77777777" w:rsidR="000A3573" w:rsidRDefault="0075518D">
      <w:pPr>
        <w:pStyle w:val="BodyText"/>
        <w:spacing w:after="0" w:line="240" w:lineRule="auto"/>
        <w:jc w:val="both"/>
      </w:pPr>
      <w:r>
        <w:rPr>
          <w:rFonts w:cs="Times New Roman"/>
          <w:sz w:val="21"/>
          <w:szCs w:val="21"/>
        </w:rPr>
        <w:t>En octobre 2024, au cours des échanges diplomatiques avec la France dans le cadre de l’examen par le Comité des droits humains</w:t>
      </w:r>
      <w:r>
        <w:rPr>
          <w:rStyle w:val="FootnoteReference"/>
          <w:rFonts w:cs="Times New Roman"/>
          <w:sz w:val="21"/>
          <w:szCs w:val="21"/>
        </w:rPr>
        <w:footnoteReference w:id="22"/>
      </w:r>
      <w:r>
        <w:rPr>
          <w:rFonts w:cs="Times New Roman"/>
          <w:sz w:val="21"/>
          <w:szCs w:val="21"/>
        </w:rPr>
        <w:t xml:space="preserve">, la </w:t>
      </w:r>
      <w:r>
        <w:rPr>
          <w:rFonts w:cs="Times New Roman"/>
          <w:sz w:val="21"/>
          <w:szCs w:val="21"/>
        </w:rPr>
        <w:t>délégation française s’est contentée d’affirmer laconiquement que l’introduction de la loi Cazeneuve de 2017 répondait « </w:t>
      </w:r>
      <w:r>
        <w:rPr>
          <w:rStyle w:val="Emphasis"/>
          <w:rFonts w:cs="Times New Roman"/>
          <w:sz w:val="21"/>
          <w:szCs w:val="21"/>
        </w:rPr>
        <w:t>à la nécessité des deux forces de [police et gendarmerie] de définir un régime commun d’usage des armes. Je ne donnerai pas lecture du quatrièmement de cet article, qui est très clair et qui concerne plus particulièrement le cas particulier des refus d’obtempérer </w:t>
      </w:r>
      <w:r>
        <w:rPr>
          <w:rFonts w:cs="Times New Roman"/>
          <w:sz w:val="21"/>
          <w:szCs w:val="21"/>
        </w:rPr>
        <w:t xml:space="preserve">». Ainsi qu’il a déjà été dit </w:t>
      </w:r>
      <w:r>
        <w:rPr>
          <w:rFonts w:cs="Times New Roman"/>
          <w:b/>
          <w:bCs/>
          <w:sz w:val="21"/>
          <w:szCs w:val="21"/>
        </w:rPr>
        <w:t>(supra, n°1)</w:t>
      </w:r>
      <w:r>
        <w:rPr>
          <w:rFonts w:cs="Times New Roman"/>
          <w:sz w:val="21"/>
          <w:szCs w:val="21"/>
        </w:rPr>
        <w:t>, la clarté du texte est pourtant remise en cause de toute part.</w:t>
      </w:r>
    </w:p>
    <w:p w14:paraId="095D7403" w14:textId="77777777" w:rsidR="000A3573" w:rsidRDefault="000A3573">
      <w:pPr>
        <w:pStyle w:val="BodyText"/>
        <w:spacing w:after="0" w:line="240" w:lineRule="auto"/>
        <w:jc w:val="both"/>
      </w:pPr>
    </w:p>
    <w:p w14:paraId="61383C7A" w14:textId="77777777" w:rsidR="000A3573" w:rsidRDefault="0075518D">
      <w:pPr>
        <w:pStyle w:val="BodyText"/>
        <w:spacing w:after="0" w:line="240" w:lineRule="auto"/>
        <w:jc w:val="both"/>
        <w:rPr>
          <w:rFonts w:cs="Times New Roman"/>
          <w:sz w:val="21"/>
          <w:szCs w:val="21"/>
        </w:rPr>
      </w:pPr>
      <w:r>
        <w:rPr>
          <w:rFonts w:cs="Times New Roman"/>
          <w:sz w:val="21"/>
          <w:szCs w:val="21"/>
        </w:rPr>
        <w:t>José Manuel Santos Pais, l’un des experts du Comité, a quant à lui très clairement exposé le problème :</w:t>
      </w:r>
    </w:p>
    <w:p w14:paraId="457506A9" w14:textId="77777777" w:rsidR="000A3573" w:rsidRDefault="000A3573">
      <w:pPr>
        <w:pStyle w:val="BodyText"/>
        <w:spacing w:after="0" w:line="240" w:lineRule="auto"/>
        <w:jc w:val="both"/>
      </w:pPr>
    </w:p>
    <w:p w14:paraId="358D6247" w14:textId="77777777" w:rsidR="000A3573" w:rsidRDefault="0075518D">
      <w:pPr>
        <w:pStyle w:val="BodyText"/>
        <w:spacing w:after="0" w:line="240" w:lineRule="auto"/>
        <w:jc w:val="both"/>
      </w:pPr>
      <w:r>
        <w:rPr>
          <w:rFonts w:cs="Times New Roman"/>
          <w:sz w:val="21"/>
          <w:szCs w:val="21"/>
        </w:rPr>
        <w:t>« </w:t>
      </w:r>
      <w:r>
        <w:rPr>
          <w:rStyle w:val="Emphasis"/>
          <w:rFonts w:cs="Times New Roman"/>
          <w:sz w:val="21"/>
          <w:szCs w:val="21"/>
        </w:rPr>
        <w:t>L</w:t>
      </w:r>
      <w:r>
        <w:rPr>
          <w:rFonts w:cs="Times New Roman"/>
          <w:i/>
          <w:iCs/>
          <w:sz w:val="21"/>
          <w:szCs w:val="21"/>
        </w:rPr>
        <w:t>e</w:t>
      </w:r>
      <w:r>
        <w:rPr>
          <w:rStyle w:val="Emphasis"/>
          <w:rFonts w:cs="Times New Roman"/>
          <w:sz w:val="21"/>
          <w:szCs w:val="21"/>
        </w:rPr>
        <w:t xml:space="preserve"> nombre de morts a été multiplié par cinq après la loi de 2017, et la France est devenue depuis quelques années le pays de l’UE où on compte le plus grand nombre de personnes tuées ou blessées par des tirs réalisés par des agents des forces de police.</w:t>
      </w:r>
      <w:r>
        <w:rPr>
          <w:rFonts w:cs="Times New Roman"/>
          <w:sz w:val="21"/>
          <w:szCs w:val="21"/>
        </w:rPr>
        <w:t> </w:t>
      </w:r>
      <w:r>
        <w:rPr>
          <w:rStyle w:val="Emphasis"/>
          <w:rFonts w:cs="Times New Roman"/>
          <w:b/>
          <w:bCs/>
          <w:sz w:val="21"/>
          <w:szCs w:val="21"/>
        </w:rPr>
        <w:t>Est-ce que l’État partie serait disponible pour réviser le cadre légal concernant l’usage des armes et amender l’article L435-1 du Code de la sécurité intérieure en limitant le recours aux armes à feu aux situations de légitime défense ?</w:t>
      </w:r>
      <w:r>
        <w:rPr>
          <w:rStyle w:val="Emphasis"/>
          <w:rFonts w:cs="Times New Roman"/>
          <w:sz w:val="21"/>
          <w:szCs w:val="21"/>
        </w:rPr>
        <w:t> </w:t>
      </w:r>
      <w:r>
        <w:rPr>
          <w:rFonts w:cs="Times New Roman"/>
          <w:sz w:val="21"/>
          <w:szCs w:val="21"/>
        </w:rPr>
        <w:t xml:space="preserve">». </w:t>
      </w:r>
    </w:p>
    <w:p w14:paraId="0C001251" w14:textId="77777777" w:rsidR="000A3573" w:rsidRDefault="000A3573">
      <w:pPr>
        <w:pStyle w:val="BodyText"/>
        <w:spacing w:after="0" w:line="240" w:lineRule="auto"/>
        <w:jc w:val="both"/>
      </w:pPr>
    </w:p>
    <w:p w14:paraId="79CB5CB4" w14:textId="77777777" w:rsidR="000A3573" w:rsidRDefault="0075518D">
      <w:pPr>
        <w:pStyle w:val="BodyText"/>
        <w:spacing w:after="0" w:line="240" w:lineRule="auto"/>
        <w:jc w:val="both"/>
        <w:rPr>
          <w:rFonts w:cs="Times New Roman"/>
          <w:sz w:val="21"/>
          <w:szCs w:val="21"/>
        </w:rPr>
      </w:pPr>
      <w:r>
        <w:rPr>
          <w:rFonts w:cs="Times New Roman"/>
          <w:sz w:val="21"/>
          <w:szCs w:val="21"/>
        </w:rPr>
        <w:t>A aucun moment la France n’a répondu à cette question.</w:t>
      </w:r>
    </w:p>
    <w:p w14:paraId="09B056D6" w14:textId="77777777" w:rsidR="000A3573" w:rsidRDefault="000A3573">
      <w:pPr>
        <w:pStyle w:val="BodyText"/>
        <w:spacing w:after="0" w:line="240" w:lineRule="auto"/>
        <w:rPr>
          <w:rFonts w:cs="Times New Roman"/>
          <w:sz w:val="21"/>
          <w:szCs w:val="21"/>
        </w:rPr>
      </w:pPr>
    </w:p>
    <w:sectPr w:rsidR="000A3573">
      <w:footerReference w:type="default" r:id="rId11"/>
      <w:footerReference w:type="first" r:id="rId12"/>
      <w:pgSz w:w="11906" w:h="16838"/>
      <w:pgMar w:top="1134" w:right="1134" w:bottom="1133" w:left="1134" w:header="0" w:footer="567"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118455" w14:textId="77777777" w:rsidR="0075518D" w:rsidRDefault="0075518D">
      <w:r>
        <w:separator/>
      </w:r>
    </w:p>
  </w:endnote>
  <w:endnote w:type="continuationSeparator" w:id="0">
    <w:p w14:paraId="2D8C4EDB" w14:textId="77777777" w:rsidR="0075518D" w:rsidRDefault="00755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erif CJK SC">
    <w:charset w:val="01"/>
    <w:family w:val="auto"/>
    <w:pitch w:val="variable"/>
  </w:font>
  <w:font w:name="Noto Sans Devanagari">
    <w:charset w:val="00"/>
    <w:family w:val="swiss"/>
    <w:pitch w:val="variable"/>
    <w:sig w:usb0="80008023" w:usb1="00002046" w:usb2="00000000" w:usb3="00000000" w:csb0="00000001" w:csb1="00000000"/>
  </w:font>
  <w:font w:name="Lohit Devanagari;Times New Roma">
    <w:altName w:val="Cambria"/>
    <w:panose1 w:val="00000000000000000000"/>
    <w:charset w:val="00"/>
    <w:family w:val="roman"/>
    <w:notTrueType/>
    <w:pitch w:val="default"/>
  </w:font>
  <w:font w:name="Liberation Serif;Times New Rom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angal;Liberation Mono">
    <w:panose1 w:val="00000000000000000000"/>
    <w:charset w:val="00"/>
    <w:family w:val="roman"/>
    <w:notTrueType/>
    <w:pitch w:val="default"/>
  </w:font>
  <w:font w:name="Noto Sans CJK SC">
    <w:charset w:val="01"/>
    <w:family w:val="auto"/>
    <w:pitch w:val="variable"/>
  </w:font>
  <w:font w:name="Lohit Devanagari">
    <w:altName w:val="Times New Roman"/>
    <w:charset w:val="01"/>
    <w:family w:val="auto"/>
    <w:pitch w:val="variable"/>
  </w:font>
  <w:font w:name="Garamond">
    <w:panose1 w:val="02020404030301010803"/>
    <w:charset w:val="00"/>
    <w:family w:val="roman"/>
    <w:pitch w:val="variable"/>
    <w:sig w:usb0="00000287" w:usb1="00000000" w:usb2="00000000" w:usb3="00000000" w:csb0="0000009F" w:csb1="00000000"/>
  </w:font>
  <w:font w:name="Nimbus Sans L;Arial">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34A28" w14:textId="77777777" w:rsidR="000A3573" w:rsidRDefault="0075518D">
    <w:pPr>
      <w:pStyle w:val="Footer"/>
      <w:jc w:val="right"/>
    </w:pPr>
    <w:r>
      <w:fldChar w:fldCharType="begin"/>
    </w:r>
    <w:r>
      <w:instrText xml:space="preserve"> PAGE </w:instrText>
    </w:r>
    <w:r>
      <w:fldChar w:fldCharType="separate"/>
    </w:r>
    <w:r>
      <w:t>8</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B7395" w14:textId="77777777" w:rsidR="000A3573" w:rsidRDefault="000A35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AFA1D6" w14:textId="77777777" w:rsidR="000A3573" w:rsidRDefault="0075518D">
      <w:pPr>
        <w:rPr>
          <w:sz w:val="64"/>
        </w:rPr>
      </w:pPr>
      <w:r>
        <w:separator/>
      </w:r>
    </w:p>
  </w:footnote>
  <w:footnote w:type="continuationSeparator" w:id="0">
    <w:p w14:paraId="02C308B4" w14:textId="77777777" w:rsidR="000A3573" w:rsidRDefault="0075518D">
      <w:pPr>
        <w:rPr>
          <w:sz w:val="64"/>
        </w:rPr>
      </w:pPr>
      <w:r>
        <w:continuationSeparator/>
      </w:r>
    </w:p>
  </w:footnote>
  <w:footnote w:id="1">
    <w:p w14:paraId="06FA7DE9" w14:textId="77777777" w:rsidR="000A3573" w:rsidRDefault="0075518D">
      <w:pPr>
        <w:pStyle w:val="FootnoteText"/>
      </w:pPr>
      <w:r>
        <w:rPr>
          <w:rStyle w:val="Caractresdenotedebasdepage"/>
        </w:rPr>
        <w:footnoteRef/>
      </w:r>
      <w:hyperlink r:id="rId1">
        <w:r>
          <w:rPr>
            <w:rStyle w:val="Hyperlink"/>
          </w:rPr>
          <w:tab/>
          <w:t>https://www.senat.fr/leg/pjl16-263.html</w:t>
        </w:r>
      </w:hyperlink>
    </w:p>
  </w:footnote>
  <w:footnote w:id="2">
    <w:p w14:paraId="52BD0EFD" w14:textId="77777777" w:rsidR="000A3573" w:rsidRDefault="0075518D">
      <w:pPr>
        <w:pStyle w:val="FootnoteText"/>
      </w:pPr>
      <w:r>
        <w:rPr>
          <w:rStyle w:val="Caractresdenotedebasdepage"/>
        </w:rPr>
        <w:footnoteRef/>
      </w:r>
      <w:hyperlink r:id="rId2">
        <w:r>
          <w:rPr>
            <w:rStyle w:val="Hyperlink"/>
          </w:rPr>
          <w:tab/>
        </w:r>
        <w:r>
          <w:rPr>
            <w:rStyle w:val="Hyperlink"/>
          </w:rPr>
          <w:t>https://www.interieur.gouv.fr/Archives/Archives-des-dossiers-de-presse/Protection-fonctionnelle-des-policiers-et-gendarmes</w:t>
        </w:r>
      </w:hyperlink>
      <w:r>
        <w:t xml:space="preserve"> . M. </w:t>
      </w:r>
      <w:proofErr w:type="spellStart"/>
      <w:r>
        <w:t>Guyomar</w:t>
      </w:r>
      <w:proofErr w:type="spellEnd"/>
      <w:r>
        <w:t xml:space="preserve"> était alors magistrat au Conseil </w:t>
      </w:r>
      <w:r>
        <w:t xml:space="preserve">d’État. </w:t>
      </w:r>
    </w:p>
  </w:footnote>
  <w:footnote w:id="3">
    <w:p w14:paraId="39F4D45B" w14:textId="77777777" w:rsidR="000A3573" w:rsidRDefault="0075518D">
      <w:pPr>
        <w:pStyle w:val="FootnoteText"/>
      </w:pPr>
      <w:r>
        <w:rPr>
          <w:rStyle w:val="Caractresdenotedebasdepage"/>
        </w:rPr>
        <w:footnoteRef/>
      </w:r>
      <w:r>
        <w:tab/>
        <w:t xml:space="preserve"> Avis sur la loi relative à la sécurité publique NOR : CDHX1706463V </w:t>
      </w:r>
      <w:hyperlink r:id="rId3">
        <w:r>
          <w:rPr>
            <w:rStyle w:val="Hyperlink"/>
          </w:rPr>
          <w:t>JORF n°0051 du 1 mars 2017</w:t>
        </w:r>
      </w:hyperlink>
    </w:p>
    <w:p w14:paraId="008375BD" w14:textId="77777777" w:rsidR="000A3573" w:rsidRDefault="000A3573">
      <w:pPr>
        <w:pStyle w:val="FootnoteText"/>
      </w:pPr>
    </w:p>
  </w:footnote>
  <w:footnote w:id="4">
    <w:p w14:paraId="4E487C7F" w14:textId="77777777" w:rsidR="000A3573" w:rsidRDefault="0075518D">
      <w:pPr>
        <w:pStyle w:val="FootnoteText"/>
      </w:pPr>
      <w:r>
        <w:rPr>
          <w:rStyle w:val="Caractresdenotedebasdepage"/>
        </w:rPr>
        <w:footnoteRef/>
      </w:r>
      <w:r>
        <w:tab/>
        <w:t xml:space="preserve"> C.</w:t>
      </w:r>
      <w:r>
        <w:rPr>
          <w:rFonts w:cs="Times New Roman"/>
          <w:sz w:val="21"/>
          <w:szCs w:val="21"/>
        </w:rPr>
        <w:t xml:space="preserve"> </w:t>
      </w:r>
      <w:proofErr w:type="spellStart"/>
      <w:r>
        <w:rPr>
          <w:rFonts w:cs="Times New Roman"/>
          <w:sz w:val="21"/>
          <w:szCs w:val="21"/>
        </w:rPr>
        <w:t>Tzutzuiano</w:t>
      </w:r>
      <w:proofErr w:type="spellEnd"/>
      <w:r>
        <w:rPr>
          <w:rFonts w:cs="Times New Roman"/>
          <w:sz w:val="21"/>
          <w:szCs w:val="21"/>
        </w:rPr>
        <w:t xml:space="preserve">, RSC, 2017.699 </w:t>
      </w:r>
    </w:p>
  </w:footnote>
  <w:footnote w:id="5">
    <w:p w14:paraId="4DDCEDC0" w14:textId="77777777" w:rsidR="000A3573" w:rsidRDefault="0075518D">
      <w:pPr>
        <w:pStyle w:val="FootnoteText"/>
      </w:pPr>
      <w:r>
        <w:rPr>
          <w:rStyle w:val="Caractresdenotedebasdepage"/>
        </w:rPr>
        <w:footnoteRef/>
      </w:r>
      <w:r>
        <w:tab/>
        <w:t xml:space="preserve"> O. Cahn, Le pouvoir sans l’ordre, RSC, 2024.213</w:t>
      </w:r>
    </w:p>
  </w:footnote>
  <w:footnote w:id="6">
    <w:p w14:paraId="2F99CD58" w14:textId="77777777" w:rsidR="000A3573" w:rsidRDefault="0075518D">
      <w:pPr>
        <w:pStyle w:val="FootnoteText"/>
      </w:pPr>
      <w:r>
        <w:rPr>
          <w:rStyle w:val="Caractresdenotedebasdepage"/>
        </w:rPr>
        <w:footnoteRef/>
      </w:r>
      <w:r>
        <w:tab/>
        <w:t xml:space="preserve"> Propos de Laurent-Franck </w:t>
      </w:r>
      <w:proofErr w:type="spellStart"/>
      <w:r>
        <w:t>Liénard</w:t>
      </w:r>
      <w:proofErr w:type="spellEnd"/>
      <w:r>
        <w:t xml:space="preserve"> repris par le rapport de l’Assemblée nationale détaillé infra, n°4</w:t>
      </w:r>
    </w:p>
  </w:footnote>
  <w:footnote w:id="7">
    <w:p w14:paraId="3A6786B4" w14:textId="77777777" w:rsidR="000A3573" w:rsidRDefault="0075518D">
      <w:pPr>
        <w:pStyle w:val="FootnoteText"/>
      </w:pPr>
      <w:r>
        <w:rPr>
          <w:rStyle w:val="Caractresdenotedebasdepage"/>
        </w:rPr>
        <w:footnoteRef/>
      </w:r>
      <w:hyperlink r:id="rId4">
        <w:r>
          <w:rPr>
            <w:rStyle w:val="Hyperlink"/>
          </w:rPr>
          <w:tab/>
        </w:r>
        <w:r>
          <w:rPr>
            <w:rStyle w:val="Hyperlink"/>
          </w:rPr>
          <w:t>https://www.syndicat-magistrature.fr/notre-action/justice-penale/2641-mission-dinformation-sur-la-hausse-des-refus-dobtempe-rer-et-lusage-des-armes-par-les-forces-de-lordre-nos-observations.html</w:t>
        </w:r>
      </w:hyperlink>
      <w:r>
        <w:t xml:space="preserve"> </w:t>
      </w:r>
    </w:p>
  </w:footnote>
  <w:footnote w:id="8">
    <w:p w14:paraId="30A78A26" w14:textId="77777777" w:rsidR="000A3573" w:rsidRDefault="0075518D">
      <w:pPr>
        <w:pStyle w:val="FootnoteText"/>
      </w:pPr>
      <w:r>
        <w:rPr>
          <w:rStyle w:val="Caractresdenotedebasdepage"/>
        </w:rPr>
        <w:footnoteRef/>
      </w:r>
      <w:r>
        <w:tab/>
        <w:t xml:space="preserve"> O. Cahn, Le pouvoir sans l’ordre, RSC, 2024.213, </w:t>
      </w:r>
      <w:proofErr w:type="spellStart"/>
      <w:r>
        <w:t>préc</w:t>
      </w:r>
      <w:proofErr w:type="spellEnd"/>
      <w:r>
        <w:t>.</w:t>
      </w:r>
    </w:p>
  </w:footnote>
  <w:footnote w:id="9">
    <w:p w14:paraId="266B96B8" w14:textId="77777777" w:rsidR="000A3573" w:rsidRDefault="0075518D">
      <w:pPr>
        <w:pStyle w:val="FootnoteText"/>
      </w:pPr>
      <w:r>
        <w:rPr>
          <w:rStyle w:val="Caractresdenotedebasdepage"/>
        </w:rPr>
        <w:footnoteRef/>
      </w:r>
      <w:r>
        <w:tab/>
        <w:t xml:space="preserve">Il est à noter que ces textes, qui constituent le cadre réglementaire effectif de l’activité policière en la matière, n’ont jamais été rendus publics par le ministère de l’Intérieur. Flagrant déni a néanmoins pu se procurer l’un et l’autre document, qui sont consultables ici : </w:t>
      </w:r>
      <w:hyperlink r:id="rId5">
        <w:r>
          <w:rPr>
            <w:rStyle w:val="Hyperlink"/>
          </w:rPr>
          <w:t>https://www.flagrant-deni.fr/wp-content/uploads/2023/06/2017.03.1-instruction-DGPN-usage-armes-police-1.pdf</w:t>
        </w:r>
      </w:hyperlink>
      <w:r>
        <w:t xml:space="preserve"> – </w:t>
      </w:r>
      <w:hyperlink r:id="rId6">
        <w:r>
          <w:rPr>
            <w:rStyle w:val="Hyperlink"/>
          </w:rPr>
          <w:t>https://www.flagrant-deni.fr/wp-content/uploads/2024/03/2021.05.26-note-DGPN-arme-individuelle-censuree.pdf</w:t>
        </w:r>
      </w:hyperlink>
      <w:r>
        <w:t xml:space="preserve"> </w:t>
      </w:r>
    </w:p>
  </w:footnote>
  <w:footnote w:id="10">
    <w:p w14:paraId="0881CC31" w14:textId="77777777" w:rsidR="000A3573" w:rsidRDefault="0075518D">
      <w:pPr>
        <w:pStyle w:val="FootnoteText"/>
      </w:pPr>
      <w:r>
        <w:rPr>
          <w:rStyle w:val="Caractresdenotedebasdepage"/>
        </w:rPr>
        <w:footnoteRef/>
      </w:r>
      <w:hyperlink r:id="rId7">
        <w:r>
          <w:rPr>
            <w:rStyle w:val="Hyperlink"/>
          </w:rPr>
          <w:tab/>
        </w:r>
        <w:r>
          <w:rPr>
            <w:rStyle w:val="Hyperlink"/>
          </w:rPr>
          <w:t>https://esprit.presse.fr/actualites/sebastian-roche-et-paul-le-derff-et-simon-varaine/homicides-policiers-et-refus-d-obtemperer-44252</w:t>
        </w:r>
      </w:hyperlink>
      <w:r>
        <w:t xml:space="preserve"> </w:t>
      </w:r>
    </w:p>
  </w:footnote>
  <w:footnote w:id="11">
    <w:p w14:paraId="768321E1" w14:textId="77777777" w:rsidR="000A3573" w:rsidRDefault="0075518D">
      <w:pPr>
        <w:pStyle w:val="FootnoteText"/>
      </w:pPr>
      <w:r>
        <w:rPr>
          <w:rStyle w:val="Caractresdenotedebasdepage"/>
        </w:rPr>
        <w:footnoteRef/>
      </w:r>
      <w:r>
        <w:tab/>
        <w:t xml:space="preserve"> </w:t>
      </w:r>
      <w:hyperlink r:id="rId8">
        <w:r>
          <w:rPr>
            <w:rStyle w:val="Hyperlink"/>
          </w:rPr>
          <w:t>https://www.liberation.fr/societe/police-justice/mort-de-sulivan-sauvey-a-cherbourg-une-policiere-mise-en-examen-pour-meurtre-20240612_JGV52DZTZRHVTEX3HAO3ZWHNCE/</w:t>
        </w:r>
      </w:hyperlink>
      <w:r>
        <w:t xml:space="preserve"> </w:t>
      </w:r>
    </w:p>
  </w:footnote>
  <w:footnote w:id="12">
    <w:p w14:paraId="1FB7A9C7" w14:textId="77777777" w:rsidR="000A3573" w:rsidRDefault="0075518D">
      <w:pPr>
        <w:pStyle w:val="FootnoteText"/>
      </w:pPr>
      <w:r>
        <w:rPr>
          <w:rStyle w:val="Caractresdenotedebasdepage"/>
        </w:rPr>
        <w:footnoteRef/>
      </w:r>
      <w:r>
        <w:tab/>
        <w:t xml:space="preserve"> 189 déclarations de tir en 2023 : IGPN, rapport annuel d’activités 2023, page 16. A cause du long délai de publication des rapports de l’IGPN, les chiffres des usages de l’arme et des décès par balle pour 2024 ne sont pas connus.</w:t>
      </w:r>
    </w:p>
  </w:footnote>
  <w:footnote w:id="13">
    <w:p w14:paraId="63F906A4" w14:textId="77777777" w:rsidR="000A3573" w:rsidRDefault="0075518D">
      <w:pPr>
        <w:pStyle w:val="FootnoteText"/>
      </w:pPr>
      <w:r>
        <w:rPr>
          <w:rStyle w:val="Caractresdenotedebasdepage"/>
        </w:rPr>
        <w:footnoteRef/>
      </w:r>
      <w:r>
        <w:tab/>
        <w:t xml:space="preserve">Paul Le </w:t>
      </w:r>
      <w:proofErr w:type="spellStart"/>
      <w:r>
        <w:t>Derff</w:t>
      </w:r>
      <w:proofErr w:type="spellEnd"/>
      <w:r>
        <w:t xml:space="preserve">, </w:t>
      </w:r>
      <w:r>
        <w:rPr>
          <w:i/>
          <w:iCs/>
        </w:rPr>
        <w:t>Faire voir, faire parler, faire taire, La publicisation des faits policiers mortels en France</w:t>
      </w:r>
      <w:r>
        <w:t>, université de Lille, thèse de doctorat en sciences politique soutenue en février 2023, non publiée.</w:t>
      </w:r>
    </w:p>
  </w:footnote>
  <w:footnote w:id="14">
    <w:p w14:paraId="6380A921" w14:textId="77777777" w:rsidR="000A3573" w:rsidRDefault="0075518D">
      <w:pPr>
        <w:pStyle w:val="FootnoteText"/>
      </w:pPr>
      <w:r>
        <w:rPr>
          <w:rStyle w:val="Caractresdenotedebasdepage"/>
        </w:rPr>
        <w:footnoteRef/>
      </w:r>
      <w:r>
        <w:tab/>
        <w:t xml:space="preserve">Père de </w:t>
      </w:r>
      <w:proofErr w:type="spellStart"/>
      <w:r>
        <w:t>Souheil</w:t>
      </w:r>
      <w:proofErr w:type="spellEnd"/>
      <w:r>
        <w:t xml:space="preserve"> El </w:t>
      </w:r>
      <w:proofErr w:type="spellStart"/>
      <w:r>
        <w:t>Khalfaoui</w:t>
      </w:r>
      <w:proofErr w:type="spellEnd"/>
      <w:r>
        <w:t>, tué par la police à Marseille le 4 ao</w:t>
      </w:r>
      <w:r>
        <w:rPr>
          <w:rFonts w:cs="Nimbus Sans L;Arial"/>
          <w:color w:val="666666"/>
          <w:sz w:val="16"/>
        </w:rPr>
        <w:t xml:space="preserve">ût 2021, et </w:t>
      </w:r>
      <w:proofErr w:type="spellStart"/>
      <w:r>
        <w:rPr>
          <w:rFonts w:cs="Nimbus Sans L;Arial"/>
          <w:color w:val="666666"/>
          <w:sz w:val="16"/>
        </w:rPr>
        <w:t>co-iniateur</w:t>
      </w:r>
      <w:proofErr w:type="spellEnd"/>
      <w:r>
        <w:rPr>
          <w:rFonts w:cs="Nimbus Sans L;Arial"/>
          <w:color w:val="666666"/>
          <w:sz w:val="16"/>
        </w:rPr>
        <w:t xml:space="preserve"> de l’association Stop violences policières et du projet 435-1 m’a </w:t>
      </w:r>
      <w:proofErr w:type="spellStart"/>
      <w:r>
        <w:rPr>
          <w:rFonts w:cs="Nimbus Sans L;Arial"/>
          <w:color w:val="666666"/>
          <w:sz w:val="16"/>
        </w:rPr>
        <w:t>tué·e</w:t>
      </w:r>
      <w:proofErr w:type="spellEnd"/>
      <w:r>
        <w:rPr>
          <w:rFonts w:cs="Nimbus Sans L;Arial"/>
          <w:color w:val="666666"/>
          <w:sz w:val="16"/>
        </w:rPr>
        <w:t xml:space="preserve">. </w:t>
      </w:r>
    </w:p>
  </w:footnote>
  <w:footnote w:id="15">
    <w:p w14:paraId="59E531E0" w14:textId="77777777" w:rsidR="000A3573" w:rsidRDefault="0075518D">
      <w:pPr>
        <w:pStyle w:val="FootnoteText"/>
      </w:pPr>
      <w:r>
        <w:rPr>
          <w:rStyle w:val="Caractresdenotedebasdepage"/>
        </w:rPr>
        <w:footnoteRef/>
      </w:r>
      <w:r>
        <w:tab/>
        <w:t xml:space="preserve">L’analyse de trois proches de victimes sur les conséquences de la loi Cazeneuve sont à lire ici : </w:t>
      </w:r>
      <w:r>
        <w:rPr>
          <w:u w:val="single"/>
        </w:rPr>
        <w:t>https://www.flagrant-deni.fr/cest-la-loi-qui-a-permis-a-la-police-de-tuer-nos-freres/</w:t>
      </w:r>
    </w:p>
  </w:footnote>
  <w:footnote w:id="16">
    <w:p w14:paraId="48B744E0" w14:textId="77777777" w:rsidR="000A3573" w:rsidRDefault="0075518D">
      <w:pPr>
        <w:pStyle w:val="FootnoteText"/>
      </w:pPr>
      <w:r>
        <w:rPr>
          <w:rStyle w:val="Caractresdenotedebasdepage"/>
        </w:rPr>
        <w:footnoteRef/>
      </w:r>
      <w:hyperlink r:id="rId9">
        <w:r>
          <w:rPr>
            <w:rStyle w:val="Hyperlink"/>
          </w:rPr>
          <w:tab/>
        </w:r>
        <w:r>
          <w:rPr>
            <w:rStyle w:val="Hyperlink"/>
          </w:rPr>
          <w:t>https://www.assemblee-nationale.fr/dyn/16/rapports/cion_lois/l16b2692_rapport-information</w:t>
        </w:r>
      </w:hyperlink>
      <w:r>
        <w:t xml:space="preserve"> </w:t>
      </w:r>
    </w:p>
  </w:footnote>
  <w:footnote w:id="17">
    <w:p w14:paraId="39DA31CC" w14:textId="77777777" w:rsidR="000A3573" w:rsidRDefault="0075518D">
      <w:pPr>
        <w:pStyle w:val="FootnoteText"/>
      </w:pPr>
      <w:r>
        <w:rPr>
          <w:rStyle w:val="Caractresdenotedebasdepage"/>
        </w:rPr>
        <w:footnoteRef/>
      </w:r>
      <w:r>
        <w:tab/>
        <w:t xml:space="preserve">Thomas </w:t>
      </w:r>
      <w:proofErr w:type="spellStart"/>
      <w:r>
        <w:t>Rudigoz</w:t>
      </w:r>
      <w:proofErr w:type="spellEnd"/>
      <w:r>
        <w:t xml:space="preserve"> était membre de la majorité présidentielle, Roger </w:t>
      </w:r>
      <w:proofErr w:type="spellStart"/>
      <w:r>
        <w:t>Vicot</w:t>
      </w:r>
      <w:proofErr w:type="spellEnd"/>
      <w:r>
        <w:t xml:space="preserve"> membre du Parti socialiste, qui avait été à l’initiative du projet de loi du 28 février 2017</w:t>
      </w:r>
    </w:p>
  </w:footnote>
  <w:footnote w:id="18">
    <w:p w14:paraId="02B53295" w14:textId="77777777" w:rsidR="000A3573" w:rsidRDefault="0075518D">
      <w:pPr>
        <w:pStyle w:val="FootnoteText"/>
      </w:pPr>
      <w:r>
        <w:rPr>
          <w:rStyle w:val="Caractresdenotedebasdepage"/>
        </w:rPr>
        <w:footnoteRef/>
      </w:r>
      <w:hyperlink r:id="rId10">
        <w:r>
          <w:rPr>
            <w:rStyle w:val="Hyperlink"/>
          </w:rPr>
          <w:tab/>
        </w:r>
        <w:r>
          <w:rPr>
            <w:rStyle w:val="Hyperlink"/>
          </w:rPr>
          <w:t>https://www.lemonde.fr/societe/article/2024/05/29/refus-d-obtemperer-une-proposition-de-loi-pour-preciser-l-usage-des-armes-pour-les-forces-de-l-ordre_6236185_3224.html</w:t>
        </w:r>
      </w:hyperlink>
      <w:r>
        <w:t xml:space="preserve"> </w:t>
      </w:r>
    </w:p>
  </w:footnote>
  <w:footnote w:id="19">
    <w:p w14:paraId="7C623EF0" w14:textId="77777777" w:rsidR="000A3573" w:rsidRDefault="0075518D">
      <w:pPr>
        <w:pStyle w:val="FootnoteText"/>
      </w:pPr>
      <w:r>
        <w:rPr>
          <w:rStyle w:val="Caractresdenotedebasdepage"/>
        </w:rPr>
        <w:footnoteRef/>
      </w:r>
      <w:r>
        <w:tab/>
      </w:r>
      <w:proofErr w:type="spellStart"/>
      <w:r>
        <w:t>Crim</w:t>
      </w:r>
      <w:proofErr w:type="spellEnd"/>
      <w:r>
        <w:t xml:space="preserve">., 6 octobre 2021, n°21-84.295, D. 2021.1868 ; RSC 2022. </w:t>
      </w:r>
      <w:r>
        <w:rPr>
          <w:lang w:val="en-GB"/>
        </w:rPr>
        <w:t xml:space="preserve">54, obs. Y. </w:t>
      </w:r>
      <w:proofErr w:type="spellStart"/>
      <w:proofErr w:type="gramStart"/>
      <w:r>
        <w:rPr>
          <w:lang w:val="en-GB"/>
        </w:rPr>
        <w:t>Mayaud</w:t>
      </w:r>
      <w:proofErr w:type="spellEnd"/>
      <w:r>
        <w:rPr>
          <w:lang w:val="en-GB"/>
        </w:rPr>
        <w:t> ;</w:t>
      </w:r>
      <w:proofErr w:type="gramEnd"/>
      <w:r>
        <w:rPr>
          <w:lang w:val="en-GB"/>
        </w:rPr>
        <w:t xml:space="preserve"> AJ </w:t>
      </w:r>
      <w:proofErr w:type="spellStart"/>
      <w:r>
        <w:rPr>
          <w:lang w:val="en-GB"/>
        </w:rPr>
        <w:t>pénal</w:t>
      </w:r>
      <w:proofErr w:type="spellEnd"/>
      <w:r>
        <w:rPr>
          <w:lang w:val="en-GB"/>
        </w:rPr>
        <w:t xml:space="preserve"> 2021. 535, obs. </w:t>
      </w:r>
      <w:r>
        <w:t>J. Lasserre Capdeville</w:t>
      </w:r>
    </w:p>
  </w:footnote>
  <w:footnote w:id="20">
    <w:p w14:paraId="601581F6" w14:textId="77777777" w:rsidR="000A3573" w:rsidRDefault="0075518D">
      <w:pPr>
        <w:pStyle w:val="FootnoteText"/>
      </w:pPr>
      <w:r>
        <w:rPr>
          <w:rStyle w:val="Caractresdenotedebasdepage"/>
        </w:rPr>
        <w:footnoteRef/>
      </w:r>
      <w:r>
        <w:tab/>
        <w:t xml:space="preserve">Parmi une jurisprudence claire, abondante et constante : Giuliano et </w:t>
      </w:r>
      <w:proofErr w:type="spellStart"/>
      <w:r>
        <w:t>Gaggio</w:t>
      </w:r>
      <w:proofErr w:type="spellEnd"/>
      <w:r>
        <w:t xml:space="preserve"> c/ Italie, GC, §193 ; </w:t>
      </w:r>
      <w:proofErr w:type="spellStart"/>
      <w:r>
        <w:t>Toubache</w:t>
      </w:r>
      <w:proofErr w:type="spellEnd"/>
      <w:r>
        <w:t xml:space="preserve"> c/ France §49 ; Mendy c/ France §32 ; </w:t>
      </w:r>
      <w:proofErr w:type="spellStart"/>
      <w:r>
        <w:t>Wasilewska</w:t>
      </w:r>
      <w:proofErr w:type="spellEnd"/>
      <w:r>
        <w:t xml:space="preserve"> et </w:t>
      </w:r>
      <w:proofErr w:type="spellStart"/>
      <w:r>
        <w:t>Kałucka</w:t>
      </w:r>
      <w:proofErr w:type="spellEnd"/>
      <w:r>
        <w:t xml:space="preserve"> c/ Pologne, § 53 ; sur l’analyse de ces principes par la doctrine, voir notamment </w:t>
      </w:r>
      <w:proofErr w:type="spellStart"/>
      <w:r>
        <w:t>Tzutzuiano</w:t>
      </w:r>
      <w:proofErr w:type="spellEnd"/>
      <w:r>
        <w:t xml:space="preserve">, </w:t>
      </w:r>
      <w:proofErr w:type="spellStart"/>
      <w:r>
        <w:t>préc</w:t>
      </w:r>
      <w:proofErr w:type="spellEnd"/>
      <w:r>
        <w:t>., RSC 2017.699</w:t>
      </w:r>
    </w:p>
  </w:footnote>
  <w:footnote w:id="21">
    <w:p w14:paraId="3427A631" w14:textId="77777777" w:rsidR="000A3573" w:rsidRDefault="0075518D">
      <w:pPr>
        <w:pStyle w:val="FootnoteText"/>
      </w:pPr>
      <w:r>
        <w:rPr>
          <w:rStyle w:val="Caractresdenotedebasdepage"/>
        </w:rPr>
        <w:footnoteRef/>
      </w:r>
      <w:r>
        <w:tab/>
        <w:t xml:space="preserve"> </w:t>
      </w:r>
      <w:hyperlink r:id="rId11">
        <w:r>
          <w:rPr>
            <w:rStyle w:val="Hyperlink"/>
          </w:rPr>
          <w:t>https://www.ohchr.org/fr/instruments-mechanisms/instruments/basic-principles-use-force-and-firearms-law-enforcement</w:t>
        </w:r>
      </w:hyperlink>
      <w:r>
        <w:t xml:space="preserve"> </w:t>
      </w:r>
    </w:p>
  </w:footnote>
  <w:footnote w:id="22">
    <w:p w14:paraId="701F67E3" w14:textId="77777777" w:rsidR="000A3573" w:rsidRDefault="0075518D">
      <w:pPr>
        <w:pStyle w:val="FootnoteText"/>
      </w:pPr>
      <w:r>
        <w:rPr>
          <w:rStyle w:val="Caractresdenotedebasdepage"/>
        </w:rPr>
        <w:footnoteRef/>
      </w:r>
      <w:r>
        <w:tab/>
        <w:t xml:space="preserve"> </w:t>
      </w:r>
      <w:hyperlink r:id="rId12">
        <w:r>
          <w:rPr>
            <w:rStyle w:val="Hyperlink"/>
          </w:rPr>
          <w:t>https://webtv.un.org/en/asset/k14/k14ia460ax</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71E53"/>
    <w:multiLevelType w:val="multilevel"/>
    <w:tmpl w:val="FB6E471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5386163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9"/>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573"/>
    <w:rsid w:val="000A3573"/>
    <w:rsid w:val="007551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26978"/>
  <w15:docId w15:val="{74F6AB94-9B65-47F4-BF07-759471A6E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Noto Serif CJK SC" w:hAnsi="Times New Roman" w:cs="Noto Sans Devanagari"/>
        <w:sz w:val="22"/>
        <w:szCs w:val="24"/>
        <w:lang w:val="fr-F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Lohit Devanagari;Times New Roma"/>
      <w:kern w:val="2"/>
    </w:rPr>
  </w:style>
  <w:style w:type="paragraph" w:styleId="Heading3">
    <w:name w:val="heading 3"/>
    <w:basedOn w:val="Titre"/>
    <w:next w:val="BodyText"/>
    <w:uiPriority w:val="9"/>
    <w:semiHidden/>
    <w:unhideWhenUsed/>
    <w:qFormat/>
    <w:pPr>
      <w:spacing w:before="140"/>
      <w:outlineLvl w:val="2"/>
    </w:pPr>
    <w:rPr>
      <w:rFonts w:ascii="Liberation Serif;Times New Roma" w:eastAsia="Noto Serif CJK SC" w:hAnsi="Liberation Serif;Times New Roma" w:cs="Noto Sans Devanagari"/>
      <w:b/>
      <w:bCs/>
    </w:rPr>
  </w:style>
  <w:style w:type="paragraph" w:styleId="Heading6">
    <w:name w:val="heading 6"/>
    <w:basedOn w:val="Titre1"/>
    <w:next w:val="BodyText"/>
    <w:uiPriority w:val="9"/>
    <w:semiHidden/>
    <w:unhideWhenUsed/>
    <w:qFormat/>
    <w:pPr>
      <w:numPr>
        <w:ilvl w:val="5"/>
        <w:numId w:val="1"/>
      </w:numPr>
      <w:spacing w:before="60" w:after="60"/>
      <w:outlineLvl w:val="5"/>
    </w:pPr>
    <w:rPr>
      <w:rFonts w:ascii="Liberation Serif;Times New Roma" w:eastAsia="Noto Serif CJK SC" w:hAnsi="Liberation Serif;Times New Roma"/>
      <w:b/>
      <w:bCs/>
      <w:sz w:val="14"/>
      <w:szCs w:val="1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olicepardfaut">
    <w:name w:val="Police par défaut"/>
    <w:qFormat/>
  </w:style>
  <w:style w:type="character" w:styleId="Hyperlink">
    <w:name w:val="Hyperlink"/>
    <w:rPr>
      <w:color w:val="000080"/>
      <w:u w:val="single"/>
      <w:lang/>
    </w:rPr>
  </w:style>
  <w:style w:type="character" w:styleId="FollowedHyperlink">
    <w:name w:val="FollowedHyperlink"/>
    <w:rPr>
      <w:color w:val="800080"/>
      <w:u w:val="single"/>
    </w:rPr>
  </w:style>
  <w:style w:type="character" w:customStyle="1" w:styleId="Caractresdenotedebasdepage">
    <w:name w:val="Caractères de note de bas de page"/>
    <w:qFormat/>
  </w:style>
  <w:style w:type="character" w:customStyle="1" w:styleId="Appelnotedebasdep">
    <w:name w:val="Appel note de bas de p."/>
    <w:qFormat/>
    <w:rPr>
      <w:vertAlign w:val="superscript"/>
    </w:rPr>
  </w:style>
  <w:style w:type="character" w:customStyle="1" w:styleId="Caractresdenotedefin">
    <w:name w:val="Caractères de note de fin"/>
    <w:qFormat/>
    <w:rPr>
      <w:vertAlign w:val="superscript"/>
    </w:rPr>
  </w:style>
  <w:style w:type="character" w:customStyle="1" w:styleId="WW-Caractresdenotedefin">
    <w:name w:val="WW-Caractères de note de fin"/>
    <w:qFormat/>
  </w:style>
  <w:style w:type="character" w:styleId="Strong">
    <w:name w:val="Strong"/>
    <w:qFormat/>
    <w:rPr>
      <w:b/>
      <w:bCs/>
    </w:rPr>
  </w:style>
  <w:style w:type="character" w:customStyle="1" w:styleId="Appeldenotedefin">
    <w:name w:val="Appel de note de fin"/>
    <w:qFormat/>
    <w:rPr>
      <w:vertAlign w:val="superscript"/>
    </w:rPr>
  </w:style>
  <w:style w:type="character" w:styleId="Emphasis">
    <w:name w:val="Emphasis"/>
    <w:qFormat/>
    <w:rPr>
      <w:i/>
      <w:iCs/>
    </w:rPr>
  </w:style>
  <w:style w:type="character" w:customStyle="1" w:styleId="TextedebullesCar">
    <w:name w:val="Texte de bulles Car"/>
    <w:qFormat/>
    <w:rPr>
      <w:rFonts w:ascii="Segoe UI" w:eastAsia="Noto Serif CJK SC" w:hAnsi="Segoe UI" w:cs="Mangal;Liberation Mono"/>
      <w:kern w:val="2"/>
      <w:sz w:val="18"/>
      <w:szCs w:val="16"/>
      <w:lang w:eastAsia="zh-CN" w:bidi="hi-IN"/>
    </w:rPr>
  </w:style>
  <w:style w:type="character" w:customStyle="1" w:styleId="Marquedecommentaire">
    <w:name w:val="Marque de commentaire"/>
    <w:qFormat/>
    <w:rPr>
      <w:sz w:val="16"/>
      <w:szCs w:val="16"/>
    </w:rPr>
  </w:style>
  <w:style w:type="character" w:customStyle="1" w:styleId="CommentaireCar">
    <w:name w:val="Commentaire Car"/>
    <w:qFormat/>
    <w:rPr>
      <w:rFonts w:eastAsia="Noto Serif CJK SC" w:cs="Mangal;Liberation Mono"/>
      <w:kern w:val="2"/>
      <w:szCs w:val="18"/>
      <w:lang w:eastAsia="zh-CN" w:bidi="hi-IN"/>
    </w:rPr>
  </w:style>
  <w:style w:type="character" w:customStyle="1" w:styleId="ObjetducommentaireCar">
    <w:name w:val="Objet du commentaire Car"/>
    <w:qFormat/>
    <w:rPr>
      <w:rFonts w:eastAsia="Noto Serif CJK SC" w:cs="Mangal;Liberation Mono"/>
      <w:b/>
      <w:bCs/>
      <w:kern w:val="2"/>
      <w:szCs w:val="18"/>
      <w:lang w:eastAsia="zh-CN" w:bidi="hi-IN"/>
    </w:rPr>
  </w:style>
  <w:style w:type="character" w:customStyle="1" w:styleId="FootnoteReference1">
    <w:name w:val="Footnote Reference1"/>
    <w:qFormat/>
    <w:rPr>
      <w:vertAlign w:val="superscript"/>
    </w:rPr>
  </w:style>
  <w:style w:type="character" w:styleId="LineNumber">
    <w:name w:val="line number"/>
  </w:style>
  <w:style w:type="character" w:customStyle="1" w:styleId="EndnoteReference1">
    <w:name w:val="Endnote Reference1"/>
    <w:qFormat/>
    <w:rPr>
      <w:vertAlign w:val="superscript"/>
    </w:rPr>
  </w:style>
  <w:style w:type="character" w:customStyle="1" w:styleId="FootnoteReference2">
    <w:name w:val="Footnote Reference2"/>
    <w:qFormat/>
    <w:rPr>
      <w:vertAlign w:val="superscript"/>
    </w:rPr>
  </w:style>
  <w:style w:type="character" w:customStyle="1" w:styleId="EndnoteReference2">
    <w:name w:val="Endnote Reference2"/>
    <w:qFormat/>
    <w:rPr>
      <w:vertAlign w:val="superscript"/>
    </w:rPr>
  </w:style>
  <w:style w:type="character" w:customStyle="1" w:styleId="FootnoteReference3">
    <w:name w:val="Footnote Reference3"/>
    <w:qFormat/>
    <w:rPr>
      <w:vertAlign w:val="superscript"/>
    </w:rPr>
  </w:style>
  <w:style w:type="character" w:customStyle="1" w:styleId="EndnoteReference3">
    <w:name w:val="Endnote Reference3"/>
    <w:qFormat/>
    <w:rPr>
      <w:vertAlign w:val="superscript"/>
    </w:rPr>
  </w:style>
  <w:style w:type="character" w:styleId="FootnoteReference">
    <w:name w:val="footnote reference"/>
    <w:rPr>
      <w:vertAlign w:val="superscript"/>
    </w:rPr>
  </w:style>
  <w:style w:type="character" w:styleId="EndnoteReference">
    <w:name w:val="endnote reference"/>
    <w:rPr>
      <w:vertAlign w:val="superscript"/>
    </w:rPr>
  </w:style>
  <w:style w:type="paragraph" w:customStyle="1" w:styleId="Titre">
    <w:name w:val="Titre"/>
    <w:basedOn w:val="Normal"/>
    <w:next w:val="BodyText"/>
    <w:qFormat/>
    <w:pPr>
      <w:keepNext/>
      <w:spacing w:before="240" w:after="120"/>
    </w:pPr>
    <w:rPr>
      <w:rFonts w:eastAsia="Noto Sans CJK SC" w:cs="Lohit Devanagari"/>
      <w:sz w:val="28"/>
      <w:szCs w:val="28"/>
    </w:rPr>
  </w:style>
  <w:style w:type="paragraph" w:styleId="BodyText">
    <w:name w:val="Body Text"/>
    <w:basedOn w:val="Normal"/>
    <w:pPr>
      <w:spacing w:after="140" w:line="276" w:lineRule="auto"/>
    </w:pPr>
  </w:style>
  <w:style w:type="paragraph" w:styleId="List">
    <w:name w:val="List"/>
    <w:basedOn w:val="BodyText"/>
    <w:rPr>
      <w:sz w:val="24"/>
    </w:rPr>
  </w:style>
  <w:style w:type="paragraph" w:styleId="Caption">
    <w:name w:val="caption"/>
    <w:basedOn w:val="Normal"/>
    <w:qFormat/>
    <w:pPr>
      <w:suppressLineNumbers/>
      <w:spacing w:before="120" w:after="120"/>
    </w:pPr>
    <w:rPr>
      <w:rFonts w:cs="Noto Sans Devanagari"/>
      <w:i/>
      <w:iCs/>
      <w:sz w:val="24"/>
    </w:rPr>
  </w:style>
  <w:style w:type="paragraph" w:customStyle="1" w:styleId="Index">
    <w:name w:val="Index"/>
    <w:basedOn w:val="Normal"/>
    <w:qFormat/>
    <w:pPr>
      <w:suppressLineNumbers/>
    </w:pPr>
    <w:rPr>
      <w:sz w:val="24"/>
    </w:rPr>
  </w:style>
  <w:style w:type="paragraph" w:customStyle="1" w:styleId="Titre1">
    <w:name w:val="Titre1"/>
    <w:basedOn w:val="Normal"/>
    <w:next w:val="BodyText"/>
    <w:qFormat/>
    <w:pPr>
      <w:keepNext/>
      <w:spacing w:before="240" w:after="120"/>
    </w:pPr>
    <w:rPr>
      <w:rFonts w:eastAsia="Noto Sans CJK SC"/>
      <w:sz w:val="28"/>
      <w:szCs w:val="28"/>
    </w:rPr>
  </w:style>
  <w:style w:type="paragraph" w:customStyle="1" w:styleId="Caption1">
    <w:name w:val="Caption1"/>
    <w:basedOn w:val="Normal"/>
    <w:qFormat/>
    <w:pPr>
      <w:suppressLineNumbers/>
      <w:spacing w:before="120" w:after="120"/>
    </w:pPr>
    <w:rPr>
      <w:rFonts w:cs="Noto Sans Devanagari"/>
      <w:i/>
      <w:iCs/>
      <w:sz w:val="24"/>
    </w:rPr>
  </w:style>
  <w:style w:type="paragraph" w:customStyle="1" w:styleId="Caption11">
    <w:name w:val="Caption11"/>
    <w:basedOn w:val="Normal"/>
    <w:qFormat/>
    <w:pPr>
      <w:suppressLineNumbers/>
      <w:spacing w:before="120" w:after="120"/>
    </w:pPr>
    <w:rPr>
      <w:rFonts w:cs="Noto Sans Devanagari"/>
      <w:i/>
      <w:iCs/>
      <w:sz w:val="24"/>
    </w:rPr>
  </w:style>
  <w:style w:type="paragraph" w:customStyle="1" w:styleId="Caption111">
    <w:name w:val="Caption111"/>
    <w:basedOn w:val="Normal"/>
    <w:qFormat/>
    <w:pPr>
      <w:suppressLineNumbers/>
      <w:spacing w:before="120" w:after="120"/>
    </w:pPr>
    <w:rPr>
      <w:i/>
      <w:iCs/>
      <w:sz w:val="24"/>
    </w:rPr>
  </w:style>
  <w:style w:type="paragraph" w:styleId="FootnoteText">
    <w:name w:val="footnote text"/>
    <w:basedOn w:val="Normal"/>
    <w:pPr>
      <w:suppressLineNumbers/>
      <w:ind w:left="339" w:hanging="339"/>
    </w:pPr>
    <w:rPr>
      <w:sz w:val="20"/>
      <w:szCs w:val="20"/>
    </w:rPr>
  </w:style>
  <w:style w:type="paragraph" w:customStyle="1" w:styleId="SingleTxtG">
    <w:name w:val="_ Single Txt_G"/>
    <w:basedOn w:val="Normal"/>
    <w:qFormat/>
    <w:pPr>
      <w:spacing w:after="120"/>
      <w:ind w:left="1134" w:right="1134"/>
      <w:jc w:val="both"/>
    </w:pPr>
  </w:style>
  <w:style w:type="paragraph" w:customStyle="1" w:styleId="Textedebulles">
    <w:name w:val="Texte de bulles"/>
    <w:basedOn w:val="Normal"/>
    <w:qFormat/>
    <w:rPr>
      <w:rFonts w:ascii="Segoe UI" w:hAnsi="Segoe UI" w:cs="Mangal;Liberation Mono"/>
      <w:sz w:val="18"/>
      <w:szCs w:val="16"/>
    </w:rPr>
  </w:style>
  <w:style w:type="paragraph" w:customStyle="1" w:styleId="Commentaire">
    <w:name w:val="Commentaire"/>
    <w:basedOn w:val="Normal"/>
    <w:qFormat/>
    <w:rPr>
      <w:rFonts w:cs="Mangal;Liberation Mono"/>
      <w:sz w:val="20"/>
      <w:szCs w:val="18"/>
    </w:rPr>
  </w:style>
  <w:style w:type="paragraph" w:customStyle="1" w:styleId="Objetducommentaire">
    <w:name w:val="Objet du commentaire"/>
    <w:basedOn w:val="Commentaire"/>
    <w:next w:val="Commentaire"/>
    <w:qFormat/>
    <w:rPr>
      <w:b/>
      <w:bCs/>
    </w:rPr>
  </w:style>
  <w:style w:type="paragraph" w:styleId="EndnoteText">
    <w:name w:val="endnote text"/>
    <w:basedOn w:val="Normal"/>
    <w:pPr>
      <w:suppressLineNumbers/>
      <w:ind w:left="340" w:hanging="340"/>
    </w:pPr>
    <w:rPr>
      <w:sz w:val="20"/>
      <w:szCs w:val="20"/>
    </w:rPr>
  </w:style>
  <w:style w:type="paragraph" w:customStyle="1" w:styleId="Contenudetableau">
    <w:name w:val="Contenu de tableau"/>
    <w:basedOn w:val="Normal"/>
    <w:qFormat/>
    <w:pPr>
      <w:widowControl w:val="0"/>
      <w:suppressLineNumbers/>
    </w:pPr>
  </w:style>
  <w:style w:type="paragraph" w:customStyle="1" w:styleId="Titredetableau">
    <w:name w:val="Titre de tableau"/>
    <w:basedOn w:val="Contenudetableau"/>
    <w:qFormat/>
    <w:pPr>
      <w:jc w:val="center"/>
    </w:pPr>
    <w:rPr>
      <w:b/>
      <w:bCs/>
    </w:rPr>
  </w:style>
  <w:style w:type="paragraph" w:customStyle="1" w:styleId="En-tteetpieddepage">
    <w:name w:val="En-tête et pied de page"/>
    <w:basedOn w:val="Normal"/>
    <w:qFormat/>
    <w:pPr>
      <w:suppressLineNumbers/>
      <w:tabs>
        <w:tab w:val="center" w:pos="4819"/>
        <w:tab w:val="right" w:pos="9638"/>
      </w:tabs>
    </w:pPr>
  </w:style>
  <w:style w:type="paragraph" w:styleId="Footer">
    <w:name w:val="footer"/>
    <w:basedOn w:val="En-tteetpieddepage"/>
  </w:style>
  <w:style w:type="numbering" w:customStyle="1" w:styleId="WW8Num1">
    <w:name w:val="WW8Num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liberation.fr/societe/police-justice/mort-de-sulivan-sauvey-a-cherbourg-une-policiere-mise-en-examen-pour-meurtre-20240612_JGV52DZTZRHVTEX3HAO3ZWHNCE/" TargetMode="External"/><Relationship Id="rId3" Type="http://schemas.openxmlformats.org/officeDocument/2006/relationships/hyperlink" Target="https://www.legifrance.gouv.fr/jorf/jo/2017/03/01/0051" TargetMode="External"/><Relationship Id="rId7" Type="http://schemas.openxmlformats.org/officeDocument/2006/relationships/hyperlink" Target="https://esprit.presse.fr/actualites/sebastian-roche-et-paul-le-derff-et-simon-varaine/homicides-policiers-et-refus-d-obtemperer-44252" TargetMode="External"/><Relationship Id="rId12" Type="http://schemas.openxmlformats.org/officeDocument/2006/relationships/hyperlink" Target="https://webtv.un.org/en/asset/k14/k14ia460ax" TargetMode="External"/><Relationship Id="rId2" Type="http://schemas.openxmlformats.org/officeDocument/2006/relationships/hyperlink" Target="https://www.interieur.gouv.fr/Archives/Archives-des-dossiers-de-presse/Protection-fonctionnelle-des-policiers-et-gendarmes" TargetMode="External"/><Relationship Id="rId1" Type="http://schemas.openxmlformats.org/officeDocument/2006/relationships/hyperlink" Target="https://www.senat.fr/leg/pjl16-263.html" TargetMode="External"/><Relationship Id="rId6" Type="http://schemas.openxmlformats.org/officeDocument/2006/relationships/hyperlink" Target="https://www.flagrant-deni.fr/wp-content/uploads/2024/03/2021.05.26-note-DGPN-arme-individuelle-censuree.pdf" TargetMode="External"/><Relationship Id="rId11" Type="http://schemas.openxmlformats.org/officeDocument/2006/relationships/hyperlink" Target="https://www.ohchr.org/fr/instruments-mechanisms/instruments/basic-principles-use-force-and-firearms-law-enforcement" TargetMode="External"/><Relationship Id="rId5" Type="http://schemas.openxmlformats.org/officeDocument/2006/relationships/hyperlink" Target="https://www.flagrant-deni.fr/wp-content/uploads/2023/06/2017.03.1-instruction-DGPN-usage-armes-police-1.pdf" TargetMode="External"/><Relationship Id="rId10" Type="http://schemas.openxmlformats.org/officeDocument/2006/relationships/hyperlink" Target="https://www.lemonde.fr/societe/article/2024/05/29/refus-d-obtemperer-une-proposition-de-loi-pour-preciser-l-usage-des-armes-pour-les-forces-de-l-ordre_6236185_3224.html" TargetMode="External"/><Relationship Id="rId4" Type="http://schemas.openxmlformats.org/officeDocument/2006/relationships/hyperlink" Target="https://www.syndicat-magistrature.fr/notre-action/justice-penale/2641-mission-dinformation-sur-la-hausse-des-refus-dobtempe-rer-et-lusage-des-armes-par-les-forces-de-lordre-nos-observations.html" TargetMode="External"/><Relationship Id="rId9" Type="http://schemas.openxmlformats.org/officeDocument/2006/relationships/hyperlink" Target="https://www.assemblee-nationale.fr/dyn/16/rapports/cion_lois/l16b2692_rapport-information" TargetMode="Externa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2025-03-18T07:38:50+00:00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2025-03-18T07:38:50+00:00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2025-03-18T07:38:50+00:00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62BE8ED9-36CE-471C-8F08-1D8BC75E0A11}"/>
</file>

<file path=customXml/itemProps2.xml><?xml version="1.0" encoding="utf-8"?>
<ds:datastoreItem xmlns:ds="http://schemas.openxmlformats.org/officeDocument/2006/customXml" ds:itemID="{44755547-962D-4A8C-930F-433AEA3165D4}"/>
</file>

<file path=customXml/itemProps3.xml><?xml version="1.0" encoding="utf-8"?>
<ds:datastoreItem xmlns:ds="http://schemas.openxmlformats.org/officeDocument/2006/customXml" ds:itemID="{C1FDFA1D-068B-474B-812D-6A8E4D3F3649}"/>
</file>

<file path=docProps/app.xml><?xml version="1.0" encoding="utf-8"?>
<Properties xmlns="http://schemas.openxmlformats.org/officeDocument/2006/extended-properties" xmlns:vt="http://schemas.openxmlformats.org/officeDocument/2006/docPropsVTypes">
  <Template>Normal.dotm</Template>
  <TotalTime>1</TotalTime>
  <Pages>8</Pages>
  <Words>4553</Words>
  <Characters>25953</Characters>
  <Application>Microsoft Office Word</Application>
  <DocSecurity>4</DocSecurity>
  <Lines>216</Lines>
  <Paragraphs>60</Paragraphs>
  <ScaleCrop>false</ScaleCrop>
  <Company>OHCHR</Company>
  <LinksUpToDate>false</LinksUpToDate>
  <CharactersWithSpaces>30446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HAMDAN Youssef</dc:creator>
  <cp:lastModifiedBy>Youssef Hamdan</cp:lastModifiedBy>
  <cp:revision>2</cp:revision>
  <dcterms:created xsi:type="dcterms:W3CDTF">2025-03-11T13:58:00Z</dcterms:created>
  <dcterms:modified xsi:type="dcterms:W3CDTF">2025-03-11T13:58:00Z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2024-09-12T11:43:00Z</dcterms:created>
  <dc:creator>Rafael Cos</dc:creator>
  <dc:description/>
  <dc:language>fr-FR</dc:language>
  <cp:lastModifiedBy/>
  <dcterms:modified xsi:type="dcterms:W3CDTF">2025-03-10T16:20:04Z</dcterms:modified>
  <cp:revision>79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