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0D3032" w14:textId="083EAFE3" w:rsidR="60C63DA0" w:rsidRPr="00554A8B" w:rsidRDefault="60C63DA0" w:rsidP="40491EC3">
      <w:pPr>
        <w:spacing w:beforeAutospacing="1" w:afterAutospacing="1" w:line="240" w:lineRule="auto"/>
      </w:pPr>
      <w:r>
        <w:rPr>
          <w:noProof/>
        </w:rPr>
        <w:drawing>
          <wp:anchor distT="0" distB="0" distL="114300" distR="114300" simplePos="0" relativeHeight="251656704" behindDoc="1" locked="0" layoutInCell="1" allowOverlap="1" wp14:anchorId="41780D32" wp14:editId="50316066">
            <wp:simplePos x="0" y="0"/>
            <wp:positionH relativeFrom="page">
              <wp:align>right</wp:align>
            </wp:positionH>
            <wp:positionV relativeFrom="page">
              <wp:align>top</wp:align>
            </wp:positionV>
            <wp:extent cx="7772400" cy="10061771"/>
            <wp:effectExtent l="0" t="0" r="0" b="0"/>
            <wp:wrapTight wrapText="bothSides">
              <wp:wrapPolygon edited="0">
                <wp:start x="0" y="0"/>
                <wp:lineTo x="0" y="21552"/>
                <wp:lineTo x="21547" y="21552"/>
                <wp:lineTo x="21547" y="0"/>
                <wp:lineTo x="0" y="0"/>
              </wp:wrapPolygon>
            </wp:wrapTight>
            <wp:docPr id="94149585" name="Picture 1345087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087763"/>
                    <pic:cNvPicPr/>
                  </pic:nvPicPr>
                  <pic:blipFill>
                    <a:blip r:embed="rId11">
                      <a:extLst>
                        <a:ext uri="{28A0092B-C50C-407E-A947-70E740481C1C}">
                          <a14:useLocalDpi xmlns:a14="http://schemas.microsoft.com/office/drawing/2010/main" val="0"/>
                        </a:ext>
                      </a:extLst>
                    </a:blip>
                    <a:stretch>
                      <a:fillRect/>
                    </a:stretch>
                  </pic:blipFill>
                  <pic:spPr>
                    <a:xfrm>
                      <a:off x="0" y="0"/>
                      <a:ext cx="7772400" cy="10061771"/>
                    </a:xfrm>
                    <a:prstGeom prst="rect">
                      <a:avLst/>
                    </a:prstGeom>
                  </pic:spPr>
                </pic:pic>
              </a:graphicData>
            </a:graphic>
            <wp14:sizeRelH relativeFrom="margin">
              <wp14:pctWidth>0</wp14:pctWidth>
            </wp14:sizeRelH>
            <wp14:sizeRelV relativeFrom="margin">
              <wp14:pctHeight>0</wp14:pctHeight>
            </wp14:sizeRelV>
          </wp:anchor>
        </w:drawing>
      </w:r>
    </w:p>
    <w:p w14:paraId="5A8FDBE7" w14:textId="516F0499" w:rsidR="54539CA4" w:rsidRDefault="00C8017E" w:rsidP="54539CA4">
      <w:pPr>
        <w:spacing w:beforeAutospacing="1" w:afterAutospacing="1" w:line="240" w:lineRule="auto"/>
      </w:pPr>
      <w:r>
        <w:rPr>
          <w:noProof/>
        </w:rPr>
        <w:lastRenderedPageBreak/>
        <w:drawing>
          <wp:anchor distT="0" distB="0" distL="114300" distR="114300" simplePos="0" relativeHeight="251657728" behindDoc="1" locked="0" layoutInCell="1" allowOverlap="1" wp14:anchorId="3BFB201B" wp14:editId="3CC02A6A">
            <wp:simplePos x="0" y="0"/>
            <wp:positionH relativeFrom="page">
              <wp:align>right</wp:align>
            </wp:positionH>
            <wp:positionV relativeFrom="page">
              <wp:align>bottom</wp:align>
            </wp:positionV>
            <wp:extent cx="7836144" cy="10144125"/>
            <wp:effectExtent l="0" t="0" r="0" b="0"/>
            <wp:wrapTight wrapText="bothSides">
              <wp:wrapPolygon edited="0">
                <wp:start x="0" y="0"/>
                <wp:lineTo x="0" y="21539"/>
                <wp:lineTo x="21530" y="21539"/>
                <wp:lineTo x="21530" y="0"/>
                <wp:lineTo x="0" y="0"/>
              </wp:wrapPolygon>
            </wp:wrapTight>
            <wp:docPr id="435666218" name="Picture 435666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7836144" cy="10144125"/>
                    </a:xfrm>
                    <a:prstGeom prst="rect">
                      <a:avLst/>
                    </a:prstGeom>
                  </pic:spPr>
                </pic:pic>
              </a:graphicData>
            </a:graphic>
            <wp14:sizeRelH relativeFrom="margin">
              <wp14:pctWidth>0</wp14:pctWidth>
            </wp14:sizeRelH>
            <wp14:sizeRelV relativeFrom="margin">
              <wp14:pctHeight>0</wp14:pctHeight>
            </wp14:sizeRelV>
          </wp:anchor>
        </w:drawing>
      </w:r>
    </w:p>
    <w:p w14:paraId="502D9BCA" w14:textId="0DE7649E" w:rsidR="009A07EF" w:rsidRDefault="00C8017E" w:rsidP="009A07EF">
      <w:pPr>
        <w:spacing w:beforeAutospacing="1" w:afterAutospacing="1" w:line="240" w:lineRule="auto"/>
        <w:rPr>
          <w:rFonts w:ascii="Arial" w:eastAsia="Calibri" w:hAnsi="Arial" w:cs="Arial"/>
          <w:color w:val="000000" w:themeColor="text1"/>
          <w:sz w:val="23"/>
          <w:szCs w:val="23"/>
        </w:rPr>
      </w:pPr>
      <w:r>
        <w:rPr>
          <w:noProof/>
        </w:rPr>
        <w:lastRenderedPageBreak/>
        <w:drawing>
          <wp:anchor distT="0" distB="0" distL="114300" distR="114300" simplePos="0" relativeHeight="251658752" behindDoc="1" locked="0" layoutInCell="1" allowOverlap="1" wp14:anchorId="010BAAC3" wp14:editId="36E7B024">
            <wp:simplePos x="0" y="0"/>
            <wp:positionH relativeFrom="page">
              <wp:align>right</wp:align>
            </wp:positionH>
            <wp:positionV relativeFrom="page">
              <wp:align>bottom</wp:align>
            </wp:positionV>
            <wp:extent cx="7751124" cy="10034650"/>
            <wp:effectExtent l="0" t="0" r="2540" b="5080"/>
            <wp:wrapTight wrapText="bothSides">
              <wp:wrapPolygon edited="0">
                <wp:start x="0" y="0"/>
                <wp:lineTo x="0" y="21570"/>
                <wp:lineTo x="21554" y="21570"/>
                <wp:lineTo x="21554" y="0"/>
                <wp:lineTo x="0" y="0"/>
              </wp:wrapPolygon>
            </wp:wrapTight>
            <wp:docPr id="1864189338" name="Picture 1864189338" descr="A book cov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189338" name="Picture 1864189338" descr="A book cover with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7751124" cy="10034650"/>
                    </a:xfrm>
                    <a:prstGeom prst="rect">
                      <a:avLst/>
                    </a:prstGeom>
                  </pic:spPr>
                </pic:pic>
              </a:graphicData>
            </a:graphic>
            <wp14:sizeRelH relativeFrom="margin">
              <wp14:pctWidth>0</wp14:pctWidth>
            </wp14:sizeRelH>
            <wp14:sizeRelV relativeFrom="margin">
              <wp14:pctHeight>0</wp14:pctHeight>
            </wp14:sizeRelV>
          </wp:anchor>
        </w:drawing>
      </w:r>
    </w:p>
    <w:sdt>
      <w:sdtPr>
        <w:rPr>
          <w:rFonts w:ascii="Arial" w:eastAsiaTheme="minorEastAsia" w:hAnsi="Arial" w:cs="Arial"/>
          <w:color w:val="auto"/>
          <w:sz w:val="23"/>
          <w:szCs w:val="23"/>
          <w:lang w:eastAsia="ja-JP"/>
        </w:rPr>
        <w:id w:val="-1167167452"/>
        <w:docPartObj>
          <w:docPartGallery w:val="Table of Contents"/>
          <w:docPartUnique/>
        </w:docPartObj>
      </w:sdtPr>
      <w:sdtEndPr>
        <w:rPr>
          <w:b/>
          <w:bCs/>
          <w:noProof/>
        </w:rPr>
      </w:sdtEndPr>
      <w:sdtContent>
        <w:p w14:paraId="45D30CF5" w14:textId="396B1CAB" w:rsidR="00827965" w:rsidRPr="003261EB" w:rsidRDefault="00827965">
          <w:pPr>
            <w:pStyle w:val="TOCHeading"/>
            <w:rPr>
              <w:rFonts w:ascii="Arial" w:hAnsi="Arial" w:cs="Arial"/>
              <w:sz w:val="23"/>
              <w:szCs w:val="23"/>
            </w:rPr>
          </w:pPr>
          <w:r w:rsidRPr="003261EB">
            <w:rPr>
              <w:rFonts w:ascii="Arial" w:hAnsi="Arial" w:cs="Arial"/>
              <w:sz w:val="23"/>
              <w:szCs w:val="23"/>
            </w:rPr>
            <w:t>Contents</w:t>
          </w:r>
        </w:p>
        <w:p w14:paraId="53FF89CA" w14:textId="77777777" w:rsidR="00F40C2E" w:rsidRPr="003261EB" w:rsidRDefault="00F40C2E" w:rsidP="00F40C2E">
          <w:pPr>
            <w:rPr>
              <w:rFonts w:ascii="Arial" w:hAnsi="Arial" w:cs="Arial"/>
              <w:lang w:eastAsia="en-US"/>
            </w:rPr>
          </w:pPr>
        </w:p>
        <w:p w14:paraId="0E979FC3" w14:textId="1AFA389F" w:rsidR="003261EB" w:rsidRPr="003261EB" w:rsidRDefault="00827965">
          <w:pPr>
            <w:pStyle w:val="TOC1"/>
            <w:tabs>
              <w:tab w:val="left" w:pos="720"/>
              <w:tab w:val="right" w:leader="dot" w:pos="9350"/>
            </w:tabs>
            <w:rPr>
              <w:rFonts w:ascii="Arial" w:hAnsi="Arial" w:cs="Arial"/>
              <w:noProof/>
              <w:kern w:val="2"/>
              <w:lang w:val="en-CA" w:eastAsia="en-CA"/>
              <w14:ligatures w14:val="standardContextual"/>
            </w:rPr>
          </w:pPr>
          <w:r w:rsidRPr="003261EB">
            <w:rPr>
              <w:rFonts w:ascii="Arial" w:hAnsi="Arial" w:cs="Arial"/>
              <w:sz w:val="23"/>
              <w:szCs w:val="23"/>
            </w:rPr>
            <w:fldChar w:fldCharType="begin"/>
          </w:r>
          <w:r w:rsidRPr="003261EB">
            <w:rPr>
              <w:rFonts w:ascii="Arial" w:hAnsi="Arial" w:cs="Arial"/>
              <w:sz w:val="23"/>
              <w:szCs w:val="23"/>
            </w:rPr>
            <w:instrText xml:space="preserve"> TOC \o "1-3" \h \z \u </w:instrText>
          </w:r>
          <w:r w:rsidRPr="003261EB">
            <w:rPr>
              <w:rFonts w:ascii="Arial" w:hAnsi="Arial" w:cs="Arial"/>
              <w:sz w:val="23"/>
              <w:szCs w:val="23"/>
            </w:rPr>
            <w:fldChar w:fldCharType="separate"/>
          </w:r>
          <w:hyperlink w:anchor="_Toc176530409" w:history="1">
            <w:r w:rsidR="003261EB" w:rsidRPr="003261EB">
              <w:rPr>
                <w:rStyle w:val="Hyperlink"/>
                <w:rFonts w:ascii="Arial" w:hAnsi="Arial" w:cs="Arial"/>
                <w:b/>
                <w:bCs/>
                <w:noProof/>
              </w:rPr>
              <w:t>A.</w:t>
            </w:r>
            <w:r w:rsidR="003261EB" w:rsidRPr="003261EB">
              <w:rPr>
                <w:rFonts w:ascii="Arial" w:hAnsi="Arial" w:cs="Arial"/>
                <w:noProof/>
                <w:kern w:val="2"/>
                <w:lang w:val="en-CA" w:eastAsia="en-CA"/>
                <w14:ligatures w14:val="standardContextual"/>
              </w:rPr>
              <w:tab/>
            </w:r>
            <w:r w:rsidR="003261EB" w:rsidRPr="003261EB">
              <w:rPr>
                <w:rStyle w:val="Hyperlink"/>
                <w:rFonts w:ascii="Arial" w:hAnsi="Arial" w:cs="Arial"/>
                <w:b/>
                <w:bCs/>
                <w:noProof/>
              </w:rPr>
              <w:t>Introduction</w:t>
            </w:r>
            <w:r w:rsidR="003261EB" w:rsidRPr="003261EB">
              <w:rPr>
                <w:rFonts w:ascii="Arial" w:hAnsi="Arial" w:cs="Arial"/>
                <w:noProof/>
                <w:webHidden/>
              </w:rPr>
              <w:tab/>
            </w:r>
            <w:r w:rsidR="003261EB" w:rsidRPr="003261EB">
              <w:rPr>
                <w:rFonts w:ascii="Arial" w:hAnsi="Arial" w:cs="Arial"/>
                <w:noProof/>
                <w:webHidden/>
              </w:rPr>
              <w:fldChar w:fldCharType="begin"/>
            </w:r>
            <w:r w:rsidR="003261EB" w:rsidRPr="003261EB">
              <w:rPr>
                <w:rFonts w:ascii="Arial" w:hAnsi="Arial" w:cs="Arial"/>
                <w:noProof/>
                <w:webHidden/>
              </w:rPr>
              <w:instrText xml:space="preserve"> PAGEREF _Toc176530409 \h </w:instrText>
            </w:r>
            <w:r w:rsidR="003261EB" w:rsidRPr="003261EB">
              <w:rPr>
                <w:rFonts w:ascii="Arial" w:hAnsi="Arial" w:cs="Arial"/>
                <w:noProof/>
                <w:webHidden/>
              </w:rPr>
            </w:r>
            <w:r w:rsidR="003261EB" w:rsidRPr="003261EB">
              <w:rPr>
                <w:rFonts w:ascii="Arial" w:hAnsi="Arial" w:cs="Arial"/>
                <w:noProof/>
                <w:webHidden/>
              </w:rPr>
              <w:fldChar w:fldCharType="separate"/>
            </w:r>
            <w:r w:rsidR="003261EB" w:rsidRPr="003261EB">
              <w:rPr>
                <w:rFonts w:ascii="Arial" w:hAnsi="Arial" w:cs="Arial"/>
                <w:noProof/>
                <w:webHidden/>
              </w:rPr>
              <w:t>4</w:t>
            </w:r>
            <w:r w:rsidR="003261EB" w:rsidRPr="003261EB">
              <w:rPr>
                <w:rFonts w:ascii="Arial" w:hAnsi="Arial" w:cs="Arial"/>
                <w:noProof/>
                <w:webHidden/>
              </w:rPr>
              <w:fldChar w:fldCharType="end"/>
            </w:r>
          </w:hyperlink>
        </w:p>
        <w:p w14:paraId="69D8B349" w14:textId="00AFCD9B" w:rsidR="003261EB" w:rsidRPr="003261EB" w:rsidRDefault="003261EB">
          <w:pPr>
            <w:pStyle w:val="TOC1"/>
            <w:tabs>
              <w:tab w:val="left" w:pos="720"/>
              <w:tab w:val="right" w:leader="dot" w:pos="9350"/>
            </w:tabs>
            <w:rPr>
              <w:rFonts w:ascii="Arial" w:hAnsi="Arial" w:cs="Arial"/>
              <w:noProof/>
              <w:kern w:val="2"/>
              <w:lang w:val="en-CA" w:eastAsia="en-CA"/>
              <w14:ligatures w14:val="standardContextual"/>
            </w:rPr>
          </w:pPr>
          <w:hyperlink w:anchor="_Toc176530410" w:history="1">
            <w:r w:rsidRPr="003261EB">
              <w:rPr>
                <w:rStyle w:val="Hyperlink"/>
                <w:rFonts w:ascii="Arial" w:hAnsi="Arial" w:cs="Arial"/>
                <w:b/>
                <w:bCs/>
                <w:noProof/>
              </w:rPr>
              <w:t>B.</w:t>
            </w:r>
            <w:r w:rsidRPr="003261EB">
              <w:rPr>
                <w:rFonts w:ascii="Arial" w:hAnsi="Arial" w:cs="Arial"/>
                <w:noProof/>
                <w:kern w:val="2"/>
                <w:lang w:val="en-CA" w:eastAsia="en-CA"/>
                <w14:ligatures w14:val="standardContextual"/>
              </w:rPr>
              <w:tab/>
            </w:r>
            <w:r w:rsidRPr="003261EB">
              <w:rPr>
                <w:rStyle w:val="Hyperlink"/>
                <w:rFonts w:ascii="Arial" w:hAnsi="Arial" w:cs="Arial"/>
                <w:b/>
                <w:bCs/>
                <w:noProof/>
              </w:rPr>
              <w:t>Canada’s housing and homelessness crisis as experienced by Indigenous women and 2-Spirit persons – Articles 2, 3, 11 and 14</w:t>
            </w:r>
            <w:r w:rsidRPr="003261EB">
              <w:rPr>
                <w:rFonts w:ascii="Arial" w:hAnsi="Arial" w:cs="Arial"/>
                <w:noProof/>
                <w:webHidden/>
              </w:rPr>
              <w:tab/>
            </w:r>
            <w:r w:rsidRPr="003261EB">
              <w:rPr>
                <w:rFonts w:ascii="Arial" w:hAnsi="Arial" w:cs="Arial"/>
                <w:noProof/>
                <w:webHidden/>
              </w:rPr>
              <w:fldChar w:fldCharType="begin"/>
            </w:r>
            <w:r w:rsidRPr="003261EB">
              <w:rPr>
                <w:rFonts w:ascii="Arial" w:hAnsi="Arial" w:cs="Arial"/>
                <w:noProof/>
                <w:webHidden/>
              </w:rPr>
              <w:instrText xml:space="preserve"> PAGEREF _Toc176530410 \h </w:instrText>
            </w:r>
            <w:r w:rsidRPr="003261EB">
              <w:rPr>
                <w:rFonts w:ascii="Arial" w:hAnsi="Arial" w:cs="Arial"/>
                <w:noProof/>
                <w:webHidden/>
              </w:rPr>
            </w:r>
            <w:r w:rsidRPr="003261EB">
              <w:rPr>
                <w:rFonts w:ascii="Arial" w:hAnsi="Arial" w:cs="Arial"/>
                <w:noProof/>
                <w:webHidden/>
              </w:rPr>
              <w:fldChar w:fldCharType="separate"/>
            </w:r>
            <w:r w:rsidRPr="003261EB">
              <w:rPr>
                <w:rFonts w:ascii="Arial" w:hAnsi="Arial" w:cs="Arial"/>
                <w:noProof/>
                <w:webHidden/>
              </w:rPr>
              <w:t>4</w:t>
            </w:r>
            <w:r w:rsidRPr="003261EB">
              <w:rPr>
                <w:rFonts w:ascii="Arial" w:hAnsi="Arial" w:cs="Arial"/>
                <w:noProof/>
                <w:webHidden/>
              </w:rPr>
              <w:fldChar w:fldCharType="end"/>
            </w:r>
          </w:hyperlink>
        </w:p>
        <w:p w14:paraId="3962E13E" w14:textId="289A8054" w:rsidR="003261EB" w:rsidRPr="003261EB" w:rsidRDefault="003261EB">
          <w:pPr>
            <w:pStyle w:val="TOC1"/>
            <w:tabs>
              <w:tab w:val="left" w:pos="720"/>
              <w:tab w:val="right" w:leader="dot" w:pos="9350"/>
            </w:tabs>
            <w:rPr>
              <w:rFonts w:ascii="Arial" w:hAnsi="Arial" w:cs="Arial"/>
              <w:noProof/>
              <w:kern w:val="2"/>
              <w:lang w:val="en-CA" w:eastAsia="en-CA"/>
              <w14:ligatures w14:val="standardContextual"/>
            </w:rPr>
          </w:pPr>
          <w:hyperlink w:anchor="_Toc176530411" w:history="1">
            <w:r w:rsidRPr="003261EB">
              <w:rPr>
                <w:rStyle w:val="Hyperlink"/>
                <w:rFonts w:ascii="Arial" w:hAnsi="Arial" w:cs="Arial"/>
                <w:b/>
                <w:bCs/>
                <w:noProof/>
              </w:rPr>
              <w:t>C.</w:t>
            </w:r>
            <w:r w:rsidRPr="003261EB">
              <w:rPr>
                <w:rFonts w:ascii="Arial" w:hAnsi="Arial" w:cs="Arial"/>
                <w:noProof/>
                <w:kern w:val="2"/>
                <w:lang w:val="en-CA" w:eastAsia="en-CA"/>
                <w14:ligatures w14:val="standardContextual"/>
              </w:rPr>
              <w:tab/>
            </w:r>
            <w:r w:rsidRPr="003261EB">
              <w:rPr>
                <w:rStyle w:val="Hyperlink"/>
                <w:rFonts w:ascii="Arial" w:hAnsi="Arial" w:cs="Arial"/>
                <w:b/>
                <w:bCs/>
                <w:noProof/>
              </w:rPr>
              <w:t>Economic empowerment of women – Articles 2, 3, 11 and 14</w:t>
            </w:r>
            <w:r w:rsidRPr="003261EB">
              <w:rPr>
                <w:rFonts w:ascii="Arial" w:hAnsi="Arial" w:cs="Arial"/>
                <w:noProof/>
                <w:webHidden/>
              </w:rPr>
              <w:tab/>
            </w:r>
            <w:r w:rsidRPr="003261EB">
              <w:rPr>
                <w:rFonts w:ascii="Arial" w:hAnsi="Arial" w:cs="Arial"/>
                <w:noProof/>
                <w:webHidden/>
              </w:rPr>
              <w:fldChar w:fldCharType="begin"/>
            </w:r>
            <w:r w:rsidRPr="003261EB">
              <w:rPr>
                <w:rFonts w:ascii="Arial" w:hAnsi="Arial" w:cs="Arial"/>
                <w:noProof/>
                <w:webHidden/>
              </w:rPr>
              <w:instrText xml:space="preserve"> PAGEREF _Toc176530411 \h </w:instrText>
            </w:r>
            <w:r w:rsidRPr="003261EB">
              <w:rPr>
                <w:rFonts w:ascii="Arial" w:hAnsi="Arial" w:cs="Arial"/>
                <w:noProof/>
                <w:webHidden/>
              </w:rPr>
            </w:r>
            <w:r w:rsidRPr="003261EB">
              <w:rPr>
                <w:rFonts w:ascii="Arial" w:hAnsi="Arial" w:cs="Arial"/>
                <w:noProof/>
                <w:webHidden/>
              </w:rPr>
              <w:fldChar w:fldCharType="separate"/>
            </w:r>
            <w:r w:rsidRPr="003261EB">
              <w:rPr>
                <w:rFonts w:ascii="Arial" w:hAnsi="Arial" w:cs="Arial"/>
                <w:noProof/>
                <w:webHidden/>
              </w:rPr>
              <w:t>10</w:t>
            </w:r>
            <w:r w:rsidRPr="003261EB">
              <w:rPr>
                <w:rFonts w:ascii="Arial" w:hAnsi="Arial" w:cs="Arial"/>
                <w:noProof/>
                <w:webHidden/>
              </w:rPr>
              <w:fldChar w:fldCharType="end"/>
            </w:r>
          </w:hyperlink>
        </w:p>
        <w:p w14:paraId="2167ECAE" w14:textId="4BA2CF46" w:rsidR="003261EB" w:rsidRPr="003261EB" w:rsidRDefault="003261EB">
          <w:pPr>
            <w:pStyle w:val="TOC2"/>
            <w:tabs>
              <w:tab w:val="left" w:pos="720"/>
              <w:tab w:val="right" w:leader="dot" w:pos="9350"/>
            </w:tabs>
            <w:rPr>
              <w:rFonts w:ascii="Arial" w:hAnsi="Arial" w:cs="Arial"/>
              <w:noProof/>
              <w:kern w:val="2"/>
              <w:lang w:val="en-CA" w:eastAsia="en-CA"/>
              <w14:ligatures w14:val="standardContextual"/>
            </w:rPr>
          </w:pPr>
          <w:hyperlink w:anchor="_Toc176530412" w:history="1">
            <w:r w:rsidRPr="003261EB">
              <w:rPr>
                <w:rStyle w:val="Hyperlink"/>
                <w:rFonts w:ascii="Arial" w:eastAsia="Aptos" w:hAnsi="Arial" w:cs="Arial"/>
                <w:noProof/>
              </w:rPr>
              <w:t>i.</w:t>
            </w:r>
            <w:r w:rsidRPr="003261EB">
              <w:rPr>
                <w:rFonts w:ascii="Arial" w:hAnsi="Arial" w:cs="Arial"/>
                <w:noProof/>
                <w:kern w:val="2"/>
                <w:lang w:val="en-CA" w:eastAsia="en-CA"/>
                <w14:ligatures w14:val="standardContextual"/>
              </w:rPr>
              <w:tab/>
            </w:r>
            <w:r w:rsidRPr="003261EB">
              <w:rPr>
                <w:rStyle w:val="Hyperlink"/>
                <w:rFonts w:ascii="Arial" w:hAnsi="Arial" w:cs="Arial"/>
                <w:noProof/>
              </w:rPr>
              <w:t>Impact of the COVID-19 Pandemic</w:t>
            </w:r>
            <w:r w:rsidRPr="003261EB">
              <w:rPr>
                <w:rFonts w:ascii="Arial" w:hAnsi="Arial" w:cs="Arial"/>
                <w:noProof/>
                <w:webHidden/>
              </w:rPr>
              <w:tab/>
            </w:r>
            <w:r w:rsidRPr="003261EB">
              <w:rPr>
                <w:rFonts w:ascii="Arial" w:hAnsi="Arial" w:cs="Arial"/>
                <w:noProof/>
                <w:webHidden/>
              </w:rPr>
              <w:fldChar w:fldCharType="begin"/>
            </w:r>
            <w:r w:rsidRPr="003261EB">
              <w:rPr>
                <w:rFonts w:ascii="Arial" w:hAnsi="Arial" w:cs="Arial"/>
                <w:noProof/>
                <w:webHidden/>
              </w:rPr>
              <w:instrText xml:space="preserve"> PAGEREF _Toc176530412 \h </w:instrText>
            </w:r>
            <w:r w:rsidRPr="003261EB">
              <w:rPr>
                <w:rFonts w:ascii="Arial" w:hAnsi="Arial" w:cs="Arial"/>
                <w:noProof/>
                <w:webHidden/>
              </w:rPr>
            </w:r>
            <w:r w:rsidRPr="003261EB">
              <w:rPr>
                <w:rFonts w:ascii="Arial" w:hAnsi="Arial" w:cs="Arial"/>
                <w:noProof/>
                <w:webHidden/>
              </w:rPr>
              <w:fldChar w:fldCharType="separate"/>
            </w:r>
            <w:r w:rsidRPr="003261EB">
              <w:rPr>
                <w:rFonts w:ascii="Arial" w:hAnsi="Arial" w:cs="Arial"/>
                <w:noProof/>
                <w:webHidden/>
              </w:rPr>
              <w:t>11</w:t>
            </w:r>
            <w:r w:rsidRPr="003261EB">
              <w:rPr>
                <w:rFonts w:ascii="Arial" w:hAnsi="Arial" w:cs="Arial"/>
                <w:noProof/>
                <w:webHidden/>
              </w:rPr>
              <w:fldChar w:fldCharType="end"/>
            </w:r>
          </w:hyperlink>
        </w:p>
        <w:p w14:paraId="2AEF8AEE" w14:textId="5E0284C3" w:rsidR="003261EB" w:rsidRPr="003261EB" w:rsidRDefault="003261EB">
          <w:pPr>
            <w:pStyle w:val="TOC2"/>
            <w:tabs>
              <w:tab w:val="left" w:pos="720"/>
              <w:tab w:val="right" w:leader="dot" w:pos="9350"/>
            </w:tabs>
            <w:rPr>
              <w:rFonts w:ascii="Arial" w:hAnsi="Arial" w:cs="Arial"/>
              <w:noProof/>
              <w:kern w:val="2"/>
              <w:lang w:val="en-CA" w:eastAsia="en-CA"/>
              <w14:ligatures w14:val="standardContextual"/>
            </w:rPr>
          </w:pPr>
          <w:hyperlink w:anchor="_Toc176530413" w:history="1">
            <w:r w:rsidRPr="003261EB">
              <w:rPr>
                <w:rStyle w:val="Hyperlink"/>
                <w:rFonts w:ascii="Arial" w:eastAsia="Aptos" w:hAnsi="Arial" w:cs="Arial"/>
                <w:noProof/>
              </w:rPr>
              <w:t>ii.</w:t>
            </w:r>
            <w:r w:rsidRPr="003261EB">
              <w:rPr>
                <w:rFonts w:ascii="Arial" w:hAnsi="Arial" w:cs="Arial"/>
                <w:noProof/>
                <w:kern w:val="2"/>
                <w:lang w:val="en-CA" w:eastAsia="en-CA"/>
                <w14:ligatures w14:val="standardContextual"/>
              </w:rPr>
              <w:tab/>
            </w:r>
            <w:r w:rsidRPr="003261EB">
              <w:rPr>
                <w:rStyle w:val="Hyperlink"/>
                <w:rFonts w:ascii="Arial" w:hAnsi="Arial" w:cs="Arial"/>
                <w:noProof/>
              </w:rPr>
              <w:t>Canada’s Response to the Housing and Homelessness Crisis in Law, Policy, and Programs</w:t>
            </w:r>
            <w:r w:rsidRPr="003261EB">
              <w:rPr>
                <w:rFonts w:ascii="Arial" w:hAnsi="Arial" w:cs="Arial"/>
                <w:noProof/>
                <w:webHidden/>
              </w:rPr>
              <w:tab/>
            </w:r>
            <w:r w:rsidRPr="003261EB">
              <w:rPr>
                <w:rFonts w:ascii="Arial" w:hAnsi="Arial" w:cs="Arial"/>
                <w:noProof/>
                <w:webHidden/>
              </w:rPr>
              <w:fldChar w:fldCharType="begin"/>
            </w:r>
            <w:r w:rsidRPr="003261EB">
              <w:rPr>
                <w:rFonts w:ascii="Arial" w:hAnsi="Arial" w:cs="Arial"/>
                <w:noProof/>
                <w:webHidden/>
              </w:rPr>
              <w:instrText xml:space="preserve"> PAGEREF _Toc176530413 \h </w:instrText>
            </w:r>
            <w:r w:rsidRPr="003261EB">
              <w:rPr>
                <w:rFonts w:ascii="Arial" w:hAnsi="Arial" w:cs="Arial"/>
                <w:noProof/>
                <w:webHidden/>
              </w:rPr>
            </w:r>
            <w:r w:rsidRPr="003261EB">
              <w:rPr>
                <w:rFonts w:ascii="Arial" w:hAnsi="Arial" w:cs="Arial"/>
                <w:noProof/>
                <w:webHidden/>
              </w:rPr>
              <w:fldChar w:fldCharType="separate"/>
            </w:r>
            <w:r w:rsidRPr="003261EB">
              <w:rPr>
                <w:rFonts w:ascii="Arial" w:hAnsi="Arial" w:cs="Arial"/>
                <w:noProof/>
                <w:webHidden/>
              </w:rPr>
              <w:t>12</w:t>
            </w:r>
            <w:r w:rsidRPr="003261EB">
              <w:rPr>
                <w:rFonts w:ascii="Arial" w:hAnsi="Arial" w:cs="Arial"/>
                <w:noProof/>
                <w:webHidden/>
              </w:rPr>
              <w:fldChar w:fldCharType="end"/>
            </w:r>
          </w:hyperlink>
        </w:p>
        <w:p w14:paraId="42B19D62" w14:textId="592B6FF1" w:rsidR="003261EB" w:rsidRPr="003261EB" w:rsidRDefault="003261EB">
          <w:pPr>
            <w:pStyle w:val="TOC3"/>
            <w:tabs>
              <w:tab w:val="left" w:pos="960"/>
            </w:tabs>
            <w:rPr>
              <w:kern w:val="2"/>
              <w:lang w:val="en-CA" w:eastAsia="en-CA"/>
              <w14:ligatures w14:val="standardContextual"/>
            </w:rPr>
          </w:pPr>
          <w:hyperlink w:anchor="_Toc176530414" w:history="1">
            <w:r w:rsidRPr="003261EB">
              <w:rPr>
                <w:rStyle w:val="Hyperlink"/>
              </w:rPr>
              <w:t>a)</w:t>
            </w:r>
            <w:r w:rsidRPr="003261EB">
              <w:rPr>
                <w:kern w:val="2"/>
                <w:lang w:val="en-CA" w:eastAsia="en-CA"/>
                <w14:ligatures w14:val="standardContextual"/>
              </w:rPr>
              <w:tab/>
            </w:r>
            <w:r w:rsidRPr="003261EB">
              <w:rPr>
                <w:rStyle w:val="Hyperlink"/>
              </w:rPr>
              <w:t>National Housing Strategy Act Accountability Mechanisms</w:t>
            </w:r>
            <w:r w:rsidRPr="003261EB">
              <w:rPr>
                <w:webHidden/>
              </w:rPr>
              <w:tab/>
            </w:r>
            <w:r w:rsidRPr="003261EB">
              <w:rPr>
                <w:webHidden/>
              </w:rPr>
              <w:fldChar w:fldCharType="begin"/>
            </w:r>
            <w:r w:rsidRPr="003261EB">
              <w:rPr>
                <w:webHidden/>
              </w:rPr>
              <w:instrText xml:space="preserve"> PAGEREF _Toc176530414 \h </w:instrText>
            </w:r>
            <w:r w:rsidRPr="003261EB">
              <w:rPr>
                <w:webHidden/>
              </w:rPr>
            </w:r>
            <w:r w:rsidRPr="003261EB">
              <w:rPr>
                <w:webHidden/>
              </w:rPr>
              <w:fldChar w:fldCharType="separate"/>
            </w:r>
            <w:r w:rsidRPr="003261EB">
              <w:rPr>
                <w:webHidden/>
              </w:rPr>
              <w:t>12</w:t>
            </w:r>
            <w:r w:rsidRPr="003261EB">
              <w:rPr>
                <w:webHidden/>
              </w:rPr>
              <w:fldChar w:fldCharType="end"/>
            </w:r>
          </w:hyperlink>
        </w:p>
        <w:p w14:paraId="32EF9909" w14:textId="0E953C9E" w:rsidR="003261EB" w:rsidRPr="003261EB" w:rsidRDefault="003261EB">
          <w:pPr>
            <w:pStyle w:val="TOC3"/>
            <w:tabs>
              <w:tab w:val="left" w:pos="960"/>
            </w:tabs>
            <w:rPr>
              <w:kern w:val="2"/>
              <w:lang w:val="en-CA" w:eastAsia="en-CA"/>
              <w14:ligatures w14:val="standardContextual"/>
            </w:rPr>
          </w:pPr>
          <w:hyperlink w:anchor="_Toc176530415" w:history="1">
            <w:r w:rsidRPr="003261EB">
              <w:rPr>
                <w:rStyle w:val="Hyperlink"/>
              </w:rPr>
              <w:t>b)</w:t>
            </w:r>
            <w:r w:rsidRPr="003261EB">
              <w:rPr>
                <w:kern w:val="2"/>
                <w:lang w:val="en-CA" w:eastAsia="en-CA"/>
                <w14:ligatures w14:val="standardContextual"/>
              </w:rPr>
              <w:tab/>
            </w:r>
            <w:r w:rsidRPr="003261EB">
              <w:rPr>
                <w:rStyle w:val="Hyperlink"/>
              </w:rPr>
              <w:t>Federal Policies and Programs</w:t>
            </w:r>
            <w:r w:rsidRPr="003261EB">
              <w:rPr>
                <w:webHidden/>
              </w:rPr>
              <w:tab/>
            </w:r>
            <w:r w:rsidRPr="003261EB">
              <w:rPr>
                <w:webHidden/>
              </w:rPr>
              <w:fldChar w:fldCharType="begin"/>
            </w:r>
            <w:r w:rsidRPr="003261EB">
              <w:rPr>
                <w:webHidden/>
              </w:rPr>
              <w:instrText xml:space="preserve"> PAGEREF _Toc176530415 \h </w:instrText>
            </w:r>
            <w:r w:rsidRPr="003261EB">
              <w:rPr>
                <w:webHidden/>
              </w:rPr>
            </w:r>
            <w:r w:rsidRPr="003261EB">
              <w:rPr>
                <w:webHidden/>
              </w:rPr>
              <w:fldChar w:fldCharType="separate"/>
            </w:r>
            <w:r w:rsidRPr="003261EB">
              <w:rPr>
                <w:webHidden/>
              </w:rPr>
              <w:t>14</w:t>
            </w:r>
            <w:r w:rsidRPr="003261EB">
              <w:rPr>
                <w:webHidden/>
              </w:rPr>
              <w:fldChar w:fldCharType="end"/>
            </w:r>
          </w:hyperlink>
        </w:p>
        <w:p w14:paraId="2CCEBF58" w14:textId="528D333B" w:rsidR="003261EB" w:rsidRPr="003261EB" w:rsidRDefault="003261EB">
          <w:pPr>
            <w:pStyle w:val="TOC2"/>
            <w:tabs>
              <w:tab w:val="left" w:pos="720"/>
              <w:tab w:val="right" w:leader="dot" w:pos="9350"/>
            </w:tabs>
            <w:rPr>
              <w:rFonts w:ascii="Arial" w:hAnsi="Arial" w:cs="Arial"/>
              <w:noProof/>
              <w:kern w:val="2"/>
              <w:lang w:val="en-CA" w:eastAsia="en-CA"/>
              <w14:ligatures w14:val="standardContextual"/>
            </w:rPr>
          </w:pPr>
          <w:hyperlink w:anchor="_Toc176530416" w:history="1">
            <w:r w:rsidRPr="003261EB">
              <w:rPr>
                <w:rStyle w:val="Hyperlink"/>
                <w:rFonts w:ascii="Arial" w:eastAsia="Aptos" w:hAnsi="Arial" w:cs="Arial"/>
                <w:noProof/>
              </w:rPr>
              <w:t>iii.</w:t>
            </w:r>
            <w:r w:rsidRPr="003261EB">
              <w:rPr>
                <w:rFonts w:ascii="Arial" w:hAnsi="Arial" w:cs="Arial"/>
                <w:noProof/>
                <w:kern w:val="2"/>
                <w:lang w:val="en-CA" w:eastAsia="en-CA"/>
                <w14:ligatures w14:val="standardContextual"/>
              </w:rPr>
              <w:tab/>
            </w:r>
            <w:r w:rsidRPr="003261EB">
              <w:rPr>
                <w:rStyle w:val="Hyperlink"/>
                <w:rFonts w:ascii="Arial" w:hAnsi="Arial" w:cs="Arial"/>
                <w:noProof/>
              </w:rPr>
              <w:t>Feminization of Poverty and Experiences of Homelessness</w:t>
            </w:r>
            <w:r w:rsidRPr="003261EB">
              <w:rPr>
                <w:rFonts w:ascii="Arial" w:hAnsi="Arial" w:cs="Arial"/>
                <w:noProof/>
                <w:webHidden/>
              </w:rPr>
              <w:tab/>
            </w:r>
            <w:r w:rsidRPr="003261EB">
              <w:rPr>
                <w:rFonts w:ascii="Arial" w:hAnsi="Arial" w:cs="Arial"/>
                <w:noProof/>
                <w:webHidden/>
              </w:rPr>
              <w:fldChar w:fldCharType="begin"/>
            </w:r>
            <w:r w:rsidRPr="003261EB">
              <w:rPr>
                <w:rFonts w:ascii="Arial" w:hAnsi="Arial" w:cs="Arial"/>
                <w:noProof/>
                <w:webHidden/>
              </w:rPr>
              <w:instrText xml:space="preserve"> PAGEREF _Toc176530416 \h </w:instrText>
            </w:r>
            <w:r w:rsidRPr="003261EB">
              <w:rPr>
                <w:rFonts w:ascii="Arial" w:hAnsi="Arial" w:cs="Arial"/>
                <w:noProof/>
                <w:webHidden/>
              </w:rPr>
            </w:r>
            <w:r w:rsidRPr="003261EB">
              <w:rPr>
                <w:rFonts w:ascii="Arial" w:hAnsi="Arial" w:cs="Arial"/>
                <w:noProof/>
                <w:webHidden/>
              </w:rPr>
              <w:fldChar w:fldCharType="separate"/>
            </w:r>
            <w:r w:rsidRPr="003261EB">
              <w:rPr>
                <w:rFonts w:ascii="Arial" w:hAnsi="Arial" w:cs="Arial"/>
                <w:noProof/>
                <w:webHidden/>
              </w:rPr>
              <w:t>18</w:t>
            </w:r>
            <w:r w:rsidRPr="003261EB">
              <w:rPr>
                <w:rFonts w:ascii="Arial" w:hAnsi="Arial" w:cs="Arial"/>
                <w:noProof/>
                <w:webHidden/>
              </w:rPr>
              <w:fldChar w:fldCharType="end"/>
            </w:r>
          </w:hyperlink>
        </w:p>
        <w:p w14:paraId="269503E7" w14:textId="128F5AFA" w:rsidR="00827965" w:rsidRPr="00554A8B" w:rsidRDefault="00827965" w:rsidP="009F7F07">
          <w:pPr>
            <w:rPr>
              <w:rFonts w:ascii="Arial" w:hAnsi="Arial" w:cs="Arial"/>
              <w:sz w:val="23"/>
              <w:szCs w:val="23"/>
            </w:rPr>
          </w:pPr>
          <w:r w:rsidRPr="003261EB">
            <w:rPr>
              <w:rFonts w:ascii="Arial" w:hAnsi="Arial" w:cs="Arial"/>
              <w:noProof/>
              <w:sz w:val="23"/>
              <w:szCs w:val="23"/>
            </w:rPr>
            <w:fldChar w:fldCharType="end"/>
          </w:r>
        </w:p>
      </w:sdtContent>
    </w:sdt>
    <w:p w14:paraId="7A3865DD" w14:textId="0F2C8B96" w:rsidR="00E11A96" w:rsidRPr="00FC4308" w:rsidRDefault="40491EC3" w:rsidP="00827965">
      <w:pPr>
        <w:pStyle w:val="Heading1"/>
        <w:numPr>
          <w:ilvl w:val="0"/>
          <w:numId w:val="14"/>
        </w:numPr>
        <w:rPr>
          <w:rFonts w:ascii="Arial" w:hAnsi="Arial" w:cs="Arial"/>
          <w:b/>
          <w:bCs/>
          <w:color w:val="auto"/>
          <w:sz w:val="36"/>
          <w:szCs w:val="36"/>
        </w:rPr>
      </w:pPr>
      <w:bookmarkStart w:id="0" w:name="_Toc176530409"/>
      <w:r w:rsidRPr="00FC4308">
        <w:rPr>
          <w:rFonts w:ascii="Arial" w:hAnsi="Arial" w:cs="Arial"/>
          <w:b/>
          <w:bCs/>
          <w:color w:val="auto"/>
          <w:sz w:val="36"/>
          <w:szCs w:val="36"/>
        </w:rPr>
        <w:t>Introduction</w:t>
      </w:r>
      <w:bookmarkEnd w:id="0"/>
      <w:r w:rsidRPr="00FC4308">
        <w:rPr>
          <w:rFonts w:ascii="Arial" w:hAnsi="Arial" w:cs="Arial"/>
          <w:b/>
          <w:bCs/>
          <w:color w:val="auto"/>
          <w:sz w:val="36"/>
          <w:szCs w:val="36"/>
        </w:rPr>
        <w:t xml:space="preserve"> </w:t>
      </w:r>
    </w:p>
    <w:p w14:paraId="46918724" w14:textId="5F77367C" w:rsidR="00E11A96" w:rsidRPr="00554A8B" w:rsidRDefault="40491EC3" w:rsidP="00C3029E">
      <w:pPr>
        <w:pStyle w:val="ListParagraph"/>
        <w:numPr>
          <w:ilvl w:val="0"/>
          <w:numId w:val="13"/>
        </w:numPr>
        <w:spacing w:line="278" w:lineRule="auto"/>
        <w:rPr>
          <w:rFonts w:ascii="Arial" w:eastAsia="Calibri" w:hAnsi="Arial" w:cs="Arial"/>
          <w:sz w:val="23"/>
          <w:szCs w:val="23"/>
        </w:rPr>
      </w:pPr>
      <w:r w:rsidRPr="00554A8B">
        <w:rPr>
          <w:rFonts w:ascii="Arial" w:eastAsia="Calibri" w:hAnsi="Arial" w:cs="Arial"/>
          <w:color w:val="000000" w:themeColor="text1"/>
          <w:sz w:val="23"/>
          <w:szCs w:val="23"/>
        </w:rPr>
        <w:t>The Canadian Centre for Housing Rights, National Indigenous Women’s Housing Network, National Right to Housing Network, and Women’s National Housing and Homelessness Network submit this brief in advance of the 89</w:t>
      </w:r>
      <w:r w:rsidRPr="00554A8B">
        <w:rPr>
          <w:rFonts w:ascii="Arial" w:eastAsia="Calibri" w:hAnsi="Arial" w:cs="Arial"/>
          <w:color w:val="000000" w:themeColor="text1"/>
          <w:sz w:val="23"/>
          <w:szCs w:val="23"/>
          <w:vertAlign w:val="superscript"/>
        </w:rPr>
        <w:t>th</w:t>
      </w:r>
      <w:r w:rsidRPr="00554A8B">
        <w:rPr>
          <w:rFonts w:ascii="Arial" w:eastAsia="Calibri" w:hAnsi="Arial" w:cs="Arial"/>
          <w:color w:val="000000" w:themeColor="text1"/>
          <w:sz w:val="23"/>
          <w:szCs w:val="23"/>
        </w:rPr>
        <w:t xml:space="preserve"> Session of the</w:t>
      </w:r>
      <w:r w:rsidRPr="00554A8B">
        <w:rPr>
          <w:rFonts w:ascii="Arial" w:eastAsia="Calibri" w:hAnsi="Arial" w:cs="Arial"/>
          <w:sz w:val="23"/>
          <w:szCs w:val="23"/>
        </w:rPr>
        <w:t xml:space="preserve"> </w:t>
      </w:r>
      <w:r w:rsidR="3C0EAA6C" w:rsidRPr="3C0EAA6C">
        <w:rPr>
          <w:rFonts w:ascii="Arial" w:eastAsia="Calibri" w:hAnsi="Arial" w:cs="Arial"/>
          <w:sz w:val="23"/>
          <w:szCs w:val="23"/>
        </w:rPr>
        <w:t xml:space="preserve">UN </w:t>
      </w:r>
      <w:r w:rsidRPr="00554A8B">
        <w:rPr>
          <w:rFonts w:ascii="Arial" w:eastAsia="Calibri" w:hAnsi="Arial" w:cs="Arial"/>
          <w:sz w:val="23"/>
          <w:szCs w:val="23"/>
        </w:rPr>
        <w:t xml:space="preserve">Committee on the Elimination of All Forms of Discrimination Against Women (CEDAW Committee). </w:t>
      </w:r>
    </w:p>
    <w:p w14:paraId="123EE6E5" w14:textId="10DE4DA6" w:rsidR="00827965" w:rsidRPr="00FC4308" w:rsidRDefault="00971CC5" w:rsidP="00827965">
      <w:pPr>
        <w:pStyle w:val="Heading1"/>
        <w:numPr>
          <w:ilvl w:val="0"/>
          <w:numId w:val="14"/>
        </w:numPr>
        <w:rPr>
          <w:rFonts w:ascii="Arial" w:hAnsi="Arial" w:cs="Arial"/>
          <w:b/>
          <w:bCs/>
          <w:color w:val="auto"/>
          <w:sz w:val="36"/>
          <w:szCs w:val="36"/>
        </w:rPr>
      </w:pPr>
      <w:bookmarkStart w:id="1" w:name="_Toc176530410"/>
      <w:r w:rsidRPr="00FC4308">
        <w:rPr>
          <w:rFonts w:ascii="Arial" w:hAnsi="Arial" w:cs="Arial"/>
          <w:b/>
          <w:bCs/>
          <w:color w:val="auto"/>
          <w:sz w:val="36"/>
          <w:szCs w:val="36"/>
        </w:rPr>
        <w:t>Canada’s</w:t>
      </w:r>
      <w:r w:rsidR="40491EC3" w:rsidRPr="00FC4308">
        <w:rPr>
          <w:rFonts w:ascii="Arial" w:hAnsi="Arial" w:cs="Arial"/>
          <w:b/>
          <w:bCs/>
          <w:color w:val="auto"/>
          <w:sz w:val="36"/>
          <w:szCs w:val="36"/>
        </w:rPr>
        <w:t xml:space="preserve"> housing and homelessness crisis as experienced by Indigenous women and 2-Spirit persons – Articles 2, 3, 11 and 14</w:t>
      </w:r>
      <w:bookmarkEnd w:id="1"/>
      <w:r w:rsidR="40491EC3" w:rsidRPr="00FC4308">
        <w:rPr>
          <w:rFonts w:ascii="Arial" w:hAnsi="Arial" w:cs="Arial"/>
          <w:b/>
          <w:bCs/>
          <w:color w:val="auto"/>
          <w:sz w:val="36"/>
          <w:szCs w:val="36"/>
        </w:rPr>
        <w:t xml:space="preserve"> </w:t>
      </w:r>
    </w:p>
    <w:p w14:paraId="6D64D9AE" w14:textId="42EB9426" w:rsidR="40491EC3" w:rsidRPr="00554A8B" w:rsidRDefault="40491EC3" w:rsidP="00E11A96">
      <w:pPr>
        <w:pStyle w:val="ListParagraph"/>
        <w:numPr>
          <w:ilvl w:val="0"/>
          <w:numId w:val="13"/>
        </w:numPr>
        <w:spacing w:line="278" w:lineRule="auto"/>
        <w:rPr>
          <w:rFonts w:ascii="Arial" w:eastAsia="Aptos" w:hAnsi="Arial" w:cs="Arial"/>
          <w:sz w:val="23"/>
          <w:szCs w:val="23"/>
        </w:rPr>
      </w:pPr>
      <w:r w:rsidRPr="00554A8B">
        <w:rPr>
          <w:rFonts w:ascii="Arial" w:eastAsia="Aptos" w:hAnsi="Arial" w:cs="Arial"/>
          <w:sz w:val="23"/>
          <w:szCs w:val="23"/>
        </w:rPr>
        <w:t xml:space="preserve">Women and gender-diverse people, and particularly Indigenous women, girls, Two-Spirit, and gender-diverse people, are experiencing some of the most egregious right to housing violations across Canada. While recognizing the gendered violence and exploitation created </w:t>
      </w:r>
      <w:proofErr w:type="gramStart"/>
      <w:r w:rsidRPr="00554A8B">
        <w:rPr>
          <w:rFonts w:ascii="Arial" w:eastAsia="Aptos" w:hAnsi="Arial" w:cs="Arial"/>
          <w:sz w:val="23"/>
          <w:szCs w:val="23"/>
        </w:rPr>
        <w:t>as a result of</w:t>
      </w:r>
      <w:proofErr w:type="gramEnd"/>
      <w:r w:rsidRPr="00554A8B">
        <w:rPr>
          <w:rFonts w:ascii="Arial" w:eastAsia="Aptos" w:hAnsi="Arial" w:cs="Arial"/>
          <w:sz w:val="23"/>
          <w:szCs w:val="23"/>
        </w:rPr>
        <w:t xml:space="preserve"> housing policy failures is critical, it is also important to acknowledge that the current housing landscape does not exist in a vacuum. </w:t>
      </w:r>
      <w:r w:rsidR="231684A5" w:rsidRPr="00554A8B">
        <w:rPr>
          <w:rFonts w:ascii="Arial" w:eastAsia="Aptos" w:hAnsi="Arial" w:cs="Arial"/>
          <w:sz w:val="23"/>
          <w:szCs w:val="23"/>
        </w:rPr>
        <w:t xml:space="preserve">As recognized in </w:t>
      </w:r>
      <w:hyperlink r:id="rId14">
        <w:r w:rsidR="231684A5" w:rsidRPr="00554A8B">
          <w:rPr>
            <w:rStyle w:val="Hyperlink"/>
            <w:rFonts w:ascii="Arial" w:eastAsia="Aptos" w:hAnsi="Arial" w:cs="Arial"/>
            <w:i/>
            <w:iCs/>
            <w:sz w:val="23"/>
            <w:szCs w:val="23"/>
          </w:rPr>
          <w:t>Homeless on Homelands</w:t>
        </w:r>
      </w:hyperlink>
      <w:r w:rsidRPr="00554A8B">
        <w:rPr>
          <w:rFonts w:ascii="Arial" w:eastAsia="Aptos" w:hAnsi="Arial" w:cs="Arial"/>
          <w:sz w:val="23"/>
          <w:szCs w:val="23"/>
        </w:rPr>
        <w:t xml:space="preserve">, a human rights claim submitted by the National Indigenous </w:t>
      </w:r>
      <w:r w:rsidR="231684A5" w:rsidRPr="00554A8B">
        <w:rPr>
          <w:rFonts w:ascii="Arial" w:eastAsia="Aptos" w:hAnsi="Arial" w:cs="Arial"/>
          <w:sz w:val="23"/>
          <w:szCs w:val="23"/>
        </w:rPr>
        <w:t xml:space="preserve">Women’s </w:t>
      </w:r>
      <w:r w:rsidRPr="00554A8B">
        <w:rPr>
          <w:rFonts w:ascii="Arial" w:eastAsia="Aptos" w:hAnsi="Arial" w:cs="Arial"/>
          <w:sz w:val="23"/>
          <w:szCs w:val="23"/>
        </w:rPr>
        <w:t xml:space="preserve">Housing Network: </w:t>
      </w:r>
    </w:p>
    <w:p w14:paraId="34891C13" w14:textId="01023D11" w:rsidR="000E158E" w:rsidRPr="00554A8B" w:rsidRDefault="40491EC3" w:rsidP="00F771F8">
      <w:pPr>
        <w:spacing w:line="278" w:lineRule="auto"/>
        <w:ind w:left="720"/>
        <w:rPr>
          <w:rStyle w:val="Hyperlink"/>
          <w:rFonts w:ascii="Arial" w:eastAsia="Aptos" w:hAnsi="Arial" w:cs="Arial"/>
          <w:b/>
          <w:bCs/>
          <w:i/>
          <w:iCs/>
          <w:sz w:val="23"/>
          <w:szCs w:val="23"/>
          <w:vertAlign w:val="superscript"/>
        </w:rPr>
      </w:pPr>
      <w:r w:rsidRPr="00554A8B">
        <w:rPr>
          <w:rFonts w:ascii="Arial" w:eastAsia="Aptos" w:hAnsi="Arial" w:cs="Arial"/>
          <w:i/>
          <w:iCs/>
          <w:sz w:val="23"/>
          <w:szCs w:val="23"/>
        </w:rPr>
        <w:t xml:space="preserve">“At the core of the matter is dispossession from lands Indigenous women, girls, and gender-diverse people have called home since time immemorial. Colonial conceptualizations of land, ownership and housing as commodities that are bought, sold and are subject to financial speculation disrupt the relationship of mutuality and </w:t>
      </w:r>
      <w:r w:rsidRPr="00554A8B">
        <w:rPr>
          <w:rFonts w:ascii="Arial" w:eastAsia="Aptos" w:hAnsi="Arial" w:cs="Arial"/>
          <w:i/>
          <w:iCs/>
          <w:sz w:val="23"/>
          <w:szCs w:val="23"/>
        </w:rPr>
        <w:lastRenderedPageBreak/>
        <w:t>reciprocity that is inherent to Indigenous relationship with land. It commodifies land and positions housing development as a tool of extracting wealth and profits. Current [housing crises and ongoing financialization of housing] in Canada deeply relies on disruption and elimination of Indigenous ways of knowing and living.”</w:t>
      </w:r>
      <w:r w:rsidR="000E158E" w:rsidRPr="00554A8B">
        <w:rPr>
          <w:rStyle w:val="FootnoteReference"/>
          <w:rFonts w:ascii="Arial" w:eastAsia="Aptos" w:hAnsi="Arial" w:cs="Arial"/>
          <w:b/>
          <w:bCs/>
          <w:i/>
          <w:iCs/>
          <w:sz w:val="23"/>
          <w:szCs w:val="23"/>
        </w:rPr>
        <w:footnoteReference w:id="2"/>
      </w:r>
    </w:p>
    <w:p w14:paraId="3043FED0" w14:textId="7E16F323" w:rsidR="000E158E" w:rsidRPr="00554A8B" w:rsidRDefault="000E158E" w:rsidP="00E11A96">
      <w:pPr>
        <w:pStyle w:val="ListParagraph"/>
        <w:numPr>
          <w:ilvl w:val="0"/>
          <w:numId w:val="13"/>
        </w:numPr>
        <w:rPr>
          <w:rFonts w:ascii="Arial" w:eastAsia="Calibri" w:hAnsi="Arial" w:cs="Arial"/>
          <w:sz w:val="23"/>
          <w:szCs w:val="23"/>
        </w:rPr>
      </w:pPr>
      <w:r w:rsidRPr="00554A8B">
        <w:rPr>
          <w:rFonts w:ascii="Arial" w:hAnsi="Arial" w:cs="Arial"/>
          <w:sz w:val="23"/>
          <w:szCs w:val="23"/>
        </w:rPr>
        <w:t xml:space="preserve">In its 2016 Concluding Observations, the CEDAW Committee </w:t>
      </w:r>
      <w:r w:rsidRPr="00554A8B">
        <w:rPr>
          <w:rFonts w:ascii="Arial" w:eastAsia="Calibri" w:hAnsi="Arial" w:cs="Arial"/>
          <w:sz w:val="23"/>
          <w:szCs w:val="23"/>
        </w:rPr>
        <w:t>noted the State party’s commitment to fully implementing the United Nations Declaration on the Rights of Indigenous Peoples (2007). It also raised concern with Canada’s lack of “a coherent plan or strategy to improve the socioeconomic conditions of Indigenous communities, in particular Indigenous women, in order to combat the root cause of their vulnerability to violence, and about the lack of measures to break the circle of distrust between the authorities and Indigenous communities.”</w:t>
      </w:r>
      <w:r w:rsidRPr="00554A8B">
        <w:rPr>
          <w:rStyle w:val="FootnoteReference"/>
          <w:rFonts w:ascii="Arial" w:eastAsia="Calibri" w:hAnsi="Arial" w:cs="Arial"/>
          <w:sz w:val="23"/>
          <w:szCs w:val="23"/>
        </w:rPr>
        <w:footnoteReference w:id="3"/>
      </w:r>
      <w:r w:rsidRPr="00554A8B">
        <w:rPr>
          <w:rFonts w:ascii="Arial" w:eastAsia="Calibri" w:hAnsi="Arial" w:cs="Arial"/>
          <w:sz w:val="23"/>
          <w:szCs w:val="23"/>
        </w:rPr>
        <w:t xml:space="preserve"> </w:t>
      </w:r>
    </w:p>
    <w:p w14:paraId="063E3621" w14:textId="77777777" w:rsidR="000E158E" w:rsidRPr="00554A8B" w:rsidRDefault="000E158E" w:rsidP="00E11A96">
      <w:pPr>
        <w:pStyle w:val="ListParagraph"/>
        <w:rPr>
          <w:rFonts w:ascii="Arial" w:eastAsia="Calibri" w:hAnsi="Arial" w:cs="Arial"/>
          <w:sz w:val="23"/>
          <w:szCs w:val="23"/>
        </w:rPr>
      </w:pPr>
    </w:p>
    <w:p w14:paraId="76255571" w14:textId="0BBD3560" w:rsidR="000E158E" w:rsidRPr="00554A8B" w:rsidRDefault="000E158E" w:rsidP="00747E51">
      <w:pPr>
        <w:pStyle w:val="ListParagraph"/>
        <w:numPr>
          <w:ilvl w:val="0"/>
          <w:numId w:val="13"/>
        </w:numPr>
        <w:rPr>
          <w:rFonts w:ascii="Arial" w:hAnsi="Arial" w:cs="Arial"/>
          <w:sz w:val="23"/>
          <w:szCs w:val="23"/>
        </w:rPr>
      </w:pPr>
      <w:r w:rsidRPr="00554A8B">
        <w:rPr>
          <w:rFonts w:ascii="Arial" w:eastAsia="Calibri" w:hAnsi="Arial" w:cs="Arial"/>
          <w:sz w:val="23"/>
          <w:szCs w:val="23"/>
        </w:rPr>
        <w:t xml:space="preserve">Similarly, the </w:t>
      </w:r>
      <w:r w:rsidR="0009100D" w:rsidRPr="00554A8B">
        <w:rPr>
          <w:rFonts w:ascii="Arial" w:eastAsia="Calibri" w:hAnsi="Arial" w:cs="Arial"/>
          <w:sz w:val="23"/>
          <w:szCs w:val="23"/>
        </w:rPr>
        <w:t>CEDAW C</w:t>
      </w:r>
      <w:r w:rsidRPr="00554A8B">
        <w:rPr>
          <w:rFonts w:ascii="Arial" w:eastAsia="Calibri" w:hAnsi="Arial" w:cs="Arial"/>
          <w:sz w:val="23"/>
          <w:szCs w:val="23"/>
        </w:rPr>
        <w:t xml:space="preserve">ommittee noted concern in 2016 that, “Indigenous </w:t>
      </w:r>
      <w:r w:rsidR="00717530">
        <w:rPr>
          <w:rFonts w:ascii="Arial" w:eastAsia="Calibri" w:hAnsi="Arial" w:cs="Arial"/>
          <w:sz w:val="23"/>
          <w:szCs w:val="23"/>
        </w:rPr>
        <w:t xml:space="preserve">women </w:t>
      </w:r>
      <w:r w:rsidRPr="00554A8B">
        <w:rPr>
          <w:rFonts w:ascii="Arial" w:eastAsia="Calibri" w:hAnsi="Arial" w:cs="Arial"/>
          <w:sz w:val="23"/>
          <w:szCs w:val="23"/>
        </w:rPr>
        <w:t xml:space="preserve">continue to suffer from multiple forms of discrimination, in particular with regard to their access to employment, </w:t>
      </w:r>
      <w:r w:rsidRPr="00554A8B">
        <w:rPr>
          <w:rFonts w:ascii="Arial" w:eastAsia="Calibri" w:hAnsi="Arial" w:cs="Arial"/>
          <w:b/>
          <w:bCs/>
          <w:sz w:val="23"/>
          <w:szCs w:val="23"/>
        </w:rPr>
        <w:t>housing</w:t>
      </w:r>
      <w:r w:rsidRPr="00554A8B">
        <w:rPr>
          <w:rFonts w:ascii="Arial" w:eastAsia="Calibri" w:hAnsi="Arial" w:cs="Arial"/>
          <w:sz w:val="23"/>
          <w:szCs w:val="23"/>
        </w:rPr>
        <w:t xml:space="preserve">, education and health care, and </w:t>
      </w:r>
      <w:r w:rsidRPr="00554A8B">
        <w:rPr>
          <w:rFonts w:ascii="Arial" w:eastAsia="Calibri" w:hAnsi="Arial" w:cs="Arial"/>
          <w:b/>
          <w:bCs/>
          <w:sz w:val="23"/>
          <w:szCs w:val="23"/>
        </w:rPr>
        <w:t xml:space="preserve">continue to live in poverty </w:t>
      </w:r>
      <w:r w:rsidRPr="3C0EAA6C">
        <w:rPr>
          <w:rFonts w:ascii="Arial" w:eastAsia="Calibri" w:hAnsi="Arial" w:cs="Arial"/>
          <w:sz w:val="23"/>
          <w:szCs w:val="23"/>
        </w:rPr>
        <w:t>i</w:t>
      </w:r>
      <w:r w:rsidRPr="00554A8B">
        <w:rPr>
          <w:rFonts w:ascii="Arial" w:eastAsia="Calibri" w:hAnsi="Arial" w:cs="Arial"/>
          <w:sz w:val="23"/>
          <w:szCs w:val="23"/>
        </w:rPr>
        <w:t>n the State party, as reflected by high poverty rates, poor health,</w:t>
      </w:r>
      <w:r w:rsidRPr="00554A8B">
        <w:rPr>
          <w:rFonts w:ascii="Arial" w:eastAsia="Calibri" w:hAnsi="Arial" w:cs="Arial"/>
          <w:b/>
          <w:bCs/>
          <w:sz w:val="23"/>
          <w:szCs w:val="23"/>
        </w:rPr>
        <w:t xml:space="preserve"> inadequate housing</w:t>
      </w:r>
      <w:r w:rsidRPr="00554A8B">
        <w:rPr>
          <w:rFonts w:ascii="Arial" w:eastAsia="Calibri" w:hAnsi="Arial" w:cs="Arial"/>
          <w:sz w:val="23"/>
          <w:szCs w:val="23"/>
        </w:rPr>
        <w:t>, lack of access to safe water and low school-completion rates”</w:t>
      </w:r>
      <w:r w:rsidRPr="00554A8B">
        <w:rPr>
          <w:rStyle w:val="FootnoteReference"/>
          <w:rFonts w:ascii="Arial" w:eastAsia="Calibri" w:hAnsi="Arial" w:cs="Arial"/>
          <w:sz w:val="23"/>
          <w:szCs w:val="23"/>
        </w:rPr>
        <w:footnoteReference w:id="4"/>
      </w:r>
      <w:r w:rsidRPr="00554A8B">
        <w:rPr>
          <w:rStyle w:val="FootnoteReference"/>
          <w:rFonts w:ascii="Arial" w:eastAsia="Calibri" w:hAnsi="Arial" w:cs="Arial"/>
          <w:sz w:val="23"/>
          <w:szCs w:val="23"/>
        </w:rPr>
        <w:t xml:space="preserve"> </w:t>
      </w:r>
      <w:r w:rsidR="0009100D" w:rsidRPr="00554A8B">
        <w:rPr>
          <w:rFonts w:ascii="Arial" w:hAnsi="Arial" w:cs="Arial"/>
          <w:i/>
          <w:iCs/>
          <w:sz w:val="23"/>
          <w:szCs w:val="23"/>
        </w:rPr>
        <w:t xml:space="preserve">(emphasis added). </w:t>
      </w:r>
      <w:r w:rsidRPr="00554A8B">
        <w:rPr>
          <w:rFonts w:ascii="Arial" w:hAnsi="Arial" w:cs="Arial"/>
          <w:sz w:val="23"/>
          <w:szCs w:val="23"/>
        </w:rPr>
        <w:t xml:space="preserve"> </w:t>
      </w:r>
    </w:p>
    <w:p w14:paraId="0F4F7417" w14:textId="77777777" w:rsidR="000E158E" w:rsidRPr="00554A8B" w:rsidRDefault="000E158E" w:rsidP="00E11A96">
      <w:pPr>
        <w:pStyle w:val="ListParagraph"/>
        <w:rPr>
          <w:rFonts w:ascii="Arial" w:hAnsi="Arial" w:cs="Arial"/>
          <w:sz w:val="23"/>
          <w:szCs w:val="23"/>
        </w:rPr>
      </w:pPr>
    </w:p>
    <w:p w14:paraId="6B946185" w14:textId="5B00C9D6" w:rsidR="000E158E" w:rsidRPr="00554A8B" w:rsidRDefault="000E158E" w:rsidP="231684A5">
      <w:pPr>
        <w:pStyle w:val="ListParagraph"/>
        <w:numPr>
          <w:ilvl w:val="0"/>
          <w:numId w:val="13"/>
        </w:numPr>
        <w:rPr>
          <w:rFonts w:ascii="Arial" w:eastAsia="Calibri" w:hAnsi="Arial" w:cs="Arial"/>
          <w:color w:val="000000" w:themeColor="text1"/>
          <w:sz w:val="23"/>
          <w:szCs w:val="23"/>
        </w:rPr>
      </w:pPr>
      <w:r w:rsidRPr="00554A8B">
        <w:rPr>
          <w:rFonts w:ascii="Arial" w:eastAsia="Calibri" w:hAnsi="Arial" w:cs="Arial"/>
          <w:sz w:val="23"/>
          <w:szCs w:val="23"/>
        </w:rPr>
        <w:t>The lack of coordinated action to improve the socio-economic conditions of Indigenous women and 2-Sprirt persons has not improved since the CEDAW Committee issued this recommendation. T</w:t>
      </w:r>
      <w:r w:rsidRPr="00554A8B">
        <w:rPr>
          <w:rFonts w:ascii="Arial" w:eastAsia="Calibri" w:hAnsi="Arial" w:cs="Arial"/>
          <w:color w:val="000000" w:themeColor="text1"/>
          <w:sz w:val="23"/>
          <w:szCs w:val="23"/>
        </w:rPr>
        <w:t>he most pressing evidence of this can be gathered from the Canadian government’s response to the Calls to Justice from the Missing and Murdered Indigenous Women and Girls (MMIWG) Inquiry Report. Of the 231 Calls to Justice, only two have been completed, while half have not even started yet.</w:t>
      </w:r>
      <w:r w:rsidRPr="00554A8B">
        <w:rPr>
          <w:rStyle w:val="FootnoteReference"/>
          <w:rFonts w:ascii="Arial" w:eastAsia="Calibri" w:hAnsi="Arial" w:cs="Arial"/>
          <w:color w:val="000000" w:themeColor="text1"/>
          <w:sz w:val="23"/>
          <w:szCs w:val="23"/>
        </w:rPr>
        <w:footnoteReference w:id="5"/>
      </w:r>
      <w:r w:rsidRPr="00554A8B">
        <w:rPr>
          <w:rFonts w:ascii="Arial" w:eastAsia="Calibri" w:hAnsi="Arial" w:cs="Arial"/>
          <w:color w:val="000000" w:themeColor="text1"/>
          <w:sz w:val="23"/>
          <w:szCs w:val="23"/>
        </w:rPr>
        <w:t xml:space="preserve"> These calls represent critical actions and steps, identified by Indigenous communities across Canada, to ensure the realization and enjoyment of Indigenous women’s human rights and their inherent rights. The Calls to Justice particularly point to the critical urgency of investments in housing, with important emphasis on culturally appropriate supportive housing models, led by and for Indigenous women and gender-diverse people. </w:t>
      </w:r>
    </w:p>
    <w:p w14:paraId="5CEEAD7C" w14:textId="1F26E432" w:rsidR="000E158E" w:rsidRPr="00554A8B" w:rsidRDefault="000E158E" w:rsidP="231684A5">
      <w:pPr>
        <w:pStyle w:val="ListParagraph"/>
        <w:rPr>
          <w:rFonts w:ascii="Arial" w:eastAsia="Calibri" w:hAnsi="Arial" w:cs="Arial"/>
          <w:color w:val="000000" w:themeColor="text1"/>
          <w:sz w:val="23"/>
          <w:szCs w:val="23"/>
        </w:rPr>
      </w:pPr>
    </w:p>
    <w:p w14:paraId="6C629554" w14:textId="2433D439" w:rsidR="000E158E" w:rsidRPr="00554A8B" w:rsidRDefault="000E158E" w:rsidP="231684A5">
      <w:pPr>
        <w:pStyle w:val="ListParagraph"/>
        <w:numPr>
          <w:ilvl w:val="0"/>
          <w:numId w:val="13"/>
        </w:numPr>
        <w:rPr>
          <w:rFonts w:ascii="Arial" w:eastAsia="Calibri" w:hAnsi="Arial" w:cs="Arial"/>
          <w:color w:val="000000" w:themeColor="text1"/>
          <w:sz w:val="23"/>
          <w:szCs w:val="23"/>
        </w:rPr>
      </w:pPr>
      <w:r w:rsidRPr="00554A8B">
        <w:rPr>
          <w:rFonts w:ascii="Arial" w:eastAsia="Calibri" w:hAnsi="Arial" w:cs="Arial"/>
          <w:color w:val="000000" w:themeColor="text1"/>
          <w:sz w:val="23"/>
          <w:szCs w:val="23"/>
        </w:rPr>
        <w:t xml:space="preserve">In 2020, </w:t>
      </w:r>
      <w:r w:rsidR="00871AF7">
        <w:rPr>
          <w:rFonts w:ascii="Arial" w:eastAsia="Calibri" w:hAnsi="Arial" w:cs="Arial"/>
          <w:color w:val="000000" w:themeColor="text1"/>
          <w:sz w:val="23"/>
          <w:szCs w:val="23"/>
        </w:rPr>
        <w:t>the Canadian g</w:t>
      </w:r>
      <w:r w:rsidRPr="00554A8B">
        <w:rPr>
          <w:rFonts w:ascii="Arial" w:eastAsia="Calibri" w:hAnsi="Arial" w:cs="Arial"/>
          <w:color w:val="000000" w:themeColor="text1"/>
          <w:sz w:val="23"/>
          <w:szCs w:val="23"/>
        </w:rPr>
        <w:t xml:space="preserve">overnment committed $724 million over 5 years as part of a comprehensive Violence Prevention Strategy to build new transitional </w:t>
      </w:r>
      <w:r w:rsidRPr="00554A8B">
        <w:rPr>
          <w:rFonts w:ascii="Arial" w:eastAsia="Calibri" w:hAnsi="Arial" w:cs="Arial"/>
          <w:color w:val="000000" w:themeColor="text1"/>
          <w:sz w:val="23"/>
          <w:szCs w:val="23"/>
        </w:rPr>
        <w:lastRenderedPageBreak/>
        <w:t>housing/second stage shelters serving Indigenous communities, and to provide operational funding to existing shelters. This funding aimed to play a critical role in getting essential gender-based violence (GBV) response services to communities that were previously not served by any such service. Yet, as of May 2023, the funding was largely unspent, with only $4.38 million dispersed to four projects.</w:t>
      </w:r>
      <w:r w:rsidRPr="00554A8B">
        <w:rPr>
          <w:rStyle w:val="FootnoteReference"/>
          <w:rFonts w:ascii="Arial" w:eastAsia="Calibri" w:hAnsi="Arial" w:cs="Arial"/>
          <w:color w:val="000000" w:themeColor="text1"/>
          <w:sz w:val="23"/>
          <w:szCs w:val="23"/>
        </w:rPr>
        <w:footnoteReference w:id="6"/>
      </w:r>
      <w:r w:rsidRPr="00554A8B">
        <w:rPr>
          <w:rFonts w:ascii="Arial" w:eastAsia="Calibri" w:hAnsi="Arial" w:cs="Arial"/>
          <w:color w:val="000000" w:themeColor="text1"/>
          <w:sz w:val="23"/>
          <w:szCs w:val="23"/>
        </w:rPr>
        <w:t xml:space="preserve"> While new shelters are anticipated to be developed over this year and next, this demonstrates the slowness of the government’s response in the face of an urgent crisis that continues to create extreme vulnerabilities and loss of life among Indigenous women and gender-diverse people. </w:t>
      </w:r>
    </w:p>
    <w:p w14:paraId="440442F7" w14:textId="2EE057A0" w:rsidR="000E158E" w:rsidRPr="00554A8B" w:rsidRDefault="000E158E" w:rsidP="231684A5">
      <w:pPr>
        <w:pStyle w:val="ListParagraph"/>
        <w:rPr>
          <w:rFonts w:ascii="Arial" w:eastAsia="Calibri" w:hAnsi="Arial" w:cs="Arial"/>
          <w:color w:val="000000" w:themeColor="text1"/>
          <w:sz w:val="23"/>
          <w:szCs w:val="23"/>
        </w:rPr>
      </w:pPr>
    </w:p>
    <w:p w14:paraId="2A96EF9A" w14:textId="64A0AF6C" w:rsidR="000E158E" w:rsidRPr="00554A8B" w:rsidRDefault="000E158E" w:rsidP="231684A5">
      <w:pPr>
        <w:pStyle w:val="ListParagraph"/>
        <w:numPr>
          <w:ilvl w:val="0"/>
          <w:numId w:val="13"/>
        </w:numPr>
        <w:rPr>
          <w:rFonts w:ascii="Arial" w:hAnsi="Arial" w:cs="Arial"/>
          <w:sz w:val="23"/>
          <w:szCs w:val="23"/>
        </w:rPr>
      </w:pPr>
      <w:r w:rsidRPr="00554A8B">
        <w:rPr>
          <w:rFonts w:ascii="Arial" w:eastAsia="Calibri" w:hAnsi="Arial" w:cs="Arial"/>
          <w:color w:val="000000" w:themeColor="text1"/>
          <w:sz w:val="23"/>
          <w:szCs w:val="23"/>
        </w:rPr>
        <w:t xml:space="preserve">In its 2022 budget, the Canadian government earmarked $4.3 billion over seven years to address the housing crisis impacting First Nations, Métis and Inuit communities. This included $2.4 billion over five years to support First Nations housing on reserves, </w:t>
      </w:r>
      <w:r w:rsidRPr="00554A8B">
        <w:rPr>
          <w:rFonts w:ascii="Arial" w:hAnsi="Arial" w:cs="Arial"/>
          <w:sz w:val="23"/>
          <w:szCs w:val="23"/>
        </w:rPr>
        <w:t>$565 million over five years to support housing in Self-Governing and Modern Treaty Holder First Nations communities, $845 million over seven years to support housing in Inuit communities, and $190 million over seven years for housing in Métis communities.</w:t>
      </w:r>
      <w:r w:rsidRPr="00554A8B">
        <w:rPr>
          <w:rFonts w:ascii="Arial" w:eastAsia="Calibri" w:hAnsi="Arial" w:cs="Arial"/>
          <w:color w:val="000000" w:themeColor="text1"/>
          <w:sz w:val="23"/>
          <w:szCs w:val="23"/>
        </w:rPr>
        <w:t xml:space="preserve"> It continues to remain unclear how these investments specifically aim to benefit First Nations, Inuit and Métis women and gender-diverse people and lift them out of housing insecurity. As noted in the report by Les Femme </w:t>
      </w:r>
      <w:proofErr w:type="spellStart"/>
      <w:r w:rsidRPr="00554A8B">
        <w:rPr>
          <w:rFonts w:ascii="Arial" w:eastAsia="Calibri" w:hAnsi="Arial" w:cs="Arial"/>
          <w:color w:val="000000" w:themeColor="text1"/>
          <w:sz w:val="23"/>
          <w:szCs w:val="23"/>
        </w:rPr>
        <w:t>Michif</w:t>
      </w:r>
      <w:proofErr w:type="spellEnd"/>
      <w:r w:rsidRPr="00554A8B">
        <w:rPr>
          <w:rFonts w:ascii="Arial" w:eastAsia="Calibri" w:hAnsi="Arial" w:cs="Arial"/>
          <w:color w:val="000000" w:themeColor="text1"/>
          <w:sz w:val="23"/>
          <w:szCs w:val="23"/>
        </w:rPr>
        <w:t xml:space="preserve"> </w:t>
      </w:r>
      <w:proofErr w:type="spellStart"/>
      <w:r w:rsidRPr="00554A8B">
        <w:rPr>
          <w:rFonts w:ascii="Arial" w:hAnsi="Arial" w:cs="Arial"/>
          <w:sz w:val="23"/>
          <w:szCs w:val="23"/>
        </w:rPr>
        <w:t>Otipemisiwak</w:t>
      </w:r>
      <w:proofErr w:type="spellEnd"/>
      <w:r w:rsidRPr="00554A8B">
        <w:rPr>
          <w:rFonts w:ascii="Arial" w:hAnsi="Arial" w:cs="Arial"/>
          <w:sz w:val="23"/>
          <w:szCs w:val="23"/>
        </w:rPr>
        <w:t xml:space="preserve"> </w:t>
      </w:r>
      <w:r w:rsidRPr="00554A8B">
        <w:rPr>
          <w:rFonts w:ascii="Arial" w:eastAsia="Calibri" w:hAnsi="Arial" w:cs="Arial"/>
          <w:color w:val="000000" w:themeColor="text1"/>
          <w:sz w:val="23"/>
          <w:szCs w:val="23"/>
        </w:rPr>
        <w:t xml:space="preserve">“it is not explicitly stated what </w:t>
      </w:r>
      <w:r w:rsidRPr="00554A8B">
        <w:rPr>
          <w:rFonts w:ascii="Arial" w:hAnsi="Arial" w:cs="Arial"/>
          <w:sz w:val="23"/>
          <w:szCs w:val="23"/>
        </w:rPr>
        <w:t>steps are taken to incorporate a gendered lens in addressing the needs of Métis women and girls” when it comes to affordable housing investment by the federal government.</w:t>
      </w:r>
      <w:r w:rsidRPr="00554A8B">
        <w:rPr>
          <w:rStyle w:val="FootnoteReference"/>
          <w:rFonts w:ascii="Arial" w:hAnsi="Arial" w:cs="Arial"/>
          <w:sz w:val="23"/>
          <w:szCs w:val="23"/>
        </w:rPr>
        <w:footnoteReference w:id="7"/>
      </w:r>
      <w:r w:rsidRPr="00554A8B">
        <w:rPr>
          <w:rFonts w:ascii="Arial" w:hAnsi="Arial" w:cs="Arial"/>
          <w:sz w:val="23"/>
          <w:szCs w:val="23"/>
        </w:rPr>
        <w:t xml:space="preserve"> </w:t>
      </w:r>
    </w:p>
    <w:p w14:paraId="455115E6" w14:textId="618038B8" w:rsidR="000E158E" w:rsidRPr="00554A8B" w:rsidRDefault="000E158E" w:rsidP="231684A5">
      <w:pPr>
        <w:pStyle w:val="ListParagraph"/>
        <w:rPr>
          <w:rFonts w:ascii="Arial" w:hAnsi="Arial" w:cs="Arial"/>
          <w:sz w:val="23"/>
          <w:szCs w:val="23"/>
        </w:rPr>
      </w:pPr>
    </w:p>
    <w:p w14:paraId="05A99190" w14:textId="476785B7" w:rsidR="000E158E" w:rsidRPr="00554A8B" w:rsidRDefault="000E158E" w:rsidP="231684A5">
      <w:pPr>
        <w:pStyle w:val="ListParagraph"/>
        <w:numPr>
          <w:ilvl w:val="0"/>
          <w:numId w:val="13"/>
        </w:numPr>
        <w:rPr>
          <w:rFonts w:ascii="Arial" w:eastAsia="Calibri" w:hAnsi="Arial" w:cs="Arial"/>
          <w:color w:val="000000" w:themeColor="text1"/>
          <w:sz w:val="23"/>
          <w:szCs w:val="23"/>
        </w:rPr>
      </w:pPr>
      <w:r w:rsidRPr="00554A8B">
        <w:rPr>
          <w:rFonts w:ascii="Arial" w:eastAsia="Calibri" w:hAnsi="Arial" w:cs="Arial"/>
          <w:color w:val="000000" w:themeColor="text1"/>
          <w:sz w:val="23"/>
          <w:szCs w:val="23"/>
        </w:rPr>
        <w:t>The government’s 2022 budget also announced $300 million to address the critical need for safe and affordable urban, rural and northern Indigenous housing projects. The 2023 budget committed an additional $4 billion over seven years starting in 2024-25 for the implementation of the Urban, Rural and Northern (URN) Indigenous Housing Strategy.</w:t>
      </w:r>
      <w:r w:rsidRPr="00554A8B">
        <w:rPr>
          <w:rStyle w:val="FootnoteReference"/>
          <w:rFonts w:ascii="Arial" w:eastAsia="Calibri" w:hAnsi="Arial" w:cs="Arial"/>
          <w:color w:val="000000" w:themeColor="text1"/>
          <w:sz w:val="23"/>
          <w:szCs w:val="23"/>
        </w:rPr>
        <w:footnoteReference w:id="8"/>
      </w:r>
      <w:r w:rsidRPr="00554A8B">
        <w:rPr>
          <w:rFonts w:ascii="Arial" w:eastAsia="Calibri" w:hAnsi="Arial" w:cs="Arial"/>
          <w:color w:val="000000" w:themeColor="text1"/>
          <w:sz w:val="23"/>
          <w:szCs w:val="23"/>
        </w:rPr>
        <w:t xml:space="preserve"> Many noted that these investments fall significantly short of what is actually needed to address the crisis, which spans across the country, from remote communities in the North, to on-reserve and off-reserve communities.</w:t>
      </w:r>
      <w:r w:rsidRPr="00554A8B">
        <w:rPr>
          <w:rStyle w:val="FootnoteReference"/>
          <w:rFonts w:ascii="Arial" w:eastAsia="Calibri" w:hAnsi="Arial" w:cs="Arial"/>
          <w:color w:val="000000" w:themeColor="text1"/>
          <w:sz w:val="23"/>
          <w:szCs w:val="23"/>
        </w:rPr>
        <w:footnoteReference w:id="9"/>
      </w:r>
      <w:r w:rsidRPr="00554A8B">
        <w:rPr>
          <w:rFonts w:ascii="Arial" w:eastAsia="Calibri" w:hAnsi="Arial" w:cs="Arial"/>
          <w:color w:val="000000" w:themeColor="text1"/>
          <w:sz w:val="23"/>
          <w:szCs w:val="23"/>
        </w:rPr>
        <w:t xml:space="preserve"> More critically, there is a lack of clarity around how the investments are set to benefit </w:t>
      </w:r>
      <w:r w:rsidRPr="00554A8B">
        <w:rPr>
          <w:rFonts w:ascii="Arial" w:eastAsia="Calibri" w:hAnsi="Arial" w:cs="Arial"/>
          <w:color w:val="000000" w:themeColor="text1"/>
          <w:sz w:val="23"/>
          <w:szCs w:val="23"/>
        </w:rPr>
        <w:lastRenderedPageBreak/>
        <w:t>women and gender-diverse people and no information on intersectional, gender-responsive monitoring and measuring mechanisms that would track how funds are spent to alleviate the most vulnerable out of housing need.</w:t>
      </w:r>
      <w:r w:rsidRPr="00554A8B">
        <w:rPr>
          <w:rStyle w:val="FootnoteReference"/>
          <w:rFonts w:ascii="Arial" w:eastAsia="Calibri" w:hAnsi="Arial" w:cs="Arial"/>
          <w:color w:val="000000" w:themeColor="text1"/>
          <w:sz w:val="23"/>
          <w:szCs w:val="23"/>
        </w:rPr>
        <w:footnoteReference w:id="10"/>
      </w:r>
      <w:r w:rsidRPr="00554A8B">
        <w:rPr>
          <w:rFonts w:ascii="Arial" w:eastAsia="Calibri" w:hAnsi="Arial" w:cs="Arial"/>
          <w:color w:val="000000" w:themeColor="text1"/>
          <w:sz w:val="23"/>
          <w:szCs w:val="23"/>
        </w:rPr>
        <w:t xml:space="preserve">   </w:t>
      </w:r>
    </w:p>
    <w:p w14:paraId="2FEA85DB" w14:textId="4ED0A43A" w:rsidR="000E158E" w:rsidRPr="00554A8B" w:rsidRDefault="000E158E" w:rsidP="231684A5">
      <w:pPr>
        <w:pStyle w:val="ListParagraph"/>
        <w:rPr>
          <w:rFonts w:ascii="Arial" w:hAnsi="Arial" w:cs="Arial"/>
          <w:sz w:val="23"/>
          <w:szCs w:val="23"/>
        </w:rPr>
      </w:pPr>
    </w:p>
    <w:p w14:paraId="3AD61E6E" w14:textId="65A795C4" w:rsidR="000E158E" w:rsidRPr="00554A8B" w:rsidRDefault="000E158E" w:rsidP="231684A5">
      <w:pPr>
        <w:pStyle w:val="ListParagraph"/>
        <w:numPr>
          <w:ilvl w:val="0"/>
          <w:numId w:val="13"/>
        </w:numPr>
        <w:rPr>
          <w:rFonts w:ascii="Arial" w:hAnsi="Arial" w:cs="Arial"/>
          <w:sz w:val="23"/>
          <w:szCs w:val="23"/>
        </w:rPr>
      </w:pPr>
      <w:r w:rsidRPr="00554A8B">
        <w:rPr>
          <w:rFonts w:ascii="Arial" w:eastAsia="Calibri" w:hAnsi="Arial" w:cs="Arial"/>
          <w:color w:val="000000" w:themeColor="text1"/>
          <w:sz w:val="23"/>
          <w:szCs w:val="23"/>
        </w:rPr>
        <w:t xml:space="preserve">The government’s 2024 budget announced $4 billion over seven years for the URN Indigenous Housing Strategy. </w:t>
      </w:r>
      <w:r w:rsidRPr="00554A8B">
        <w:rPr>
          <w:rFonts w:ascii="Arial" w:hAnsi="Arial" w:cs="Arial"/>
          <w:sz w:val="23"/>
          <w:szCs w:val="23"/>
        </w:rPr>
        <w:t>While this investment was welcomed by advocates, it is yet to be operationalized and falls short of the need. Based on the report from the National Housing Council, a $3 billion investment per year is required to close the gap on existing housing needs for Indigenous communities in URN regions.</w:t>
      </w:r>
      <w:r w:rsidR="00492AD0">
        <w:rPr>
          <w:rStyle w:val="FootnoteReference"/>
          <w:rFonts w:ascii="Arial" w:hAnsi="Arial" w:cs="Arial"/>
          <w:sz w:val="23"/>
          <w:szCs w:val="23"/>
        </w:rPr>
        <w:footnoteReference w:id="11"/>
      </w:r>
      <w:r w:rsidRPr="00554A8B">
        <w:rPr>
          <w:rFonts w:ascii="Arial" w:hAnsi="Arial" w:cs="Arial"/>
          <w:sz w:val="23"/>
          <w:szCs w:val="23"/>
        </w:rPr>
        <w:t xml:space="preserve"> </w:t>
      </w:r>
    </w:p>
    <w:p w14:paraId="758DA8F2" w14:textId="67567A22" w:rsidR="000E158E" w:rsidRPr="00554A8B" w:rsidRDefault="000E158E" w:rsidP="231684A5">
      <w:pPr>
        <w:pStyle w:val="ListParagraph"/>
        <w:ind w:hanging="360"/>
        <w:rPr>
          <w:rFonts w:ascii="Arial" w:hAnsi="Arial" w:cs="Arial"/>
          <w:sz w:val="23"/>
          <w:szCs w:val="23"/>
        </w:rPr>
      </w:pPr>
    </w:p>
    <w:p w14:paraId="2F6C442C" w14:textId="75DA025A" w:rsidR="000E158E" w:rsidRPr="00554A8B" w:rsidRDefault="000E158E" w:rsidP="231684A5">
      <w:pPr>
        <w:pStyle w:val="ListParagraph"/>
        <w:numPr>
          <w:ilvl w:val="0"/>
          <w:numId w:val="13"/>
        </w:numPr>
        <w:rPr>
          <w:rFonts w:ascii="Arial" w:hAnsi="Arial" w:cs="Arial"/>
          <w:sz w:val="23"/>
          <w:szCs w:val="23"/>
        </w:rPr>
      </w:pPr>
      <w:r w:rsidRPr="00554A8B">
        <w:rPr>
          <w:rFonts w:ascii="Arial" w:hAnsi="Arial" w:cs="Arial"/>
          <w:sz w:val="23"/>
          <w:szCs w:val="23"/>
        </w:rPr>
        <w:t xml:space="preserve">As critical as it is that these funds be disseminated through an Indigenous-led delivery partner, it is equally critical that </w:t>
      </w:r>
      <w:r w:rsidR="3C0EAA6C" w:rsidRPr="3C0EAA6C">
        <w:rPr>
          <w:rFonts w:ascii="Arial" w:hAnsi="Arial" w:cs="Arial"/>
          <w:sz w:val="23"/>
          <w:szCs w:val="23"/>
        </w:rPr>
        <w:t xml:space="preserve">the </w:t>
      </w:r>
      <w:r w:rsidRPr="00554A8B">
        <w:rPr>
          <w:rFonts w:ascii="Arial" w:hAnsi="Arial" w:cs="Arial"/>
          <w:sz w:val="23"/>
          <w:szCs w:val="23"/>
        </w:rPr>
        <w:t xml:space="preserve">federal government and its delivery partner adopt a gender-responsive dissemination strategy and establish mechanisms to monitor and track how these funds are being allocated, </w:t>
      </w:r>
      <w:r w:rsidR="3C0EAA6C" w:rsidRPr="3C0EAA6C">
        <w:rPr>
          <w:rFonts w:ascii="Arial" w:hAnsi="Arial" w:cs="Arial"/>
          <w:sz w:val="23"/>
          <w:szCs w:val="23"/>
        </w:rPr>
        <w:t xml:space="preserve">as well as </w:t>
      </w:r>
      <w:r w:rsidRPr="00554A8B">
        <w:rPr>
          <w:rFonts w:ascii="Arial" w:hAnsi="Arial" w:cs="Arial"/>
          <w:sz w:val="23"/>
          <w:szCs w:val="23"/>
        </w:rPr>
        <w:t>their impact on reducing homelessness and housing need for Indigenous women and gender-diverse people and their families. It is critical that these monitoring mechanisms are accountable to marginalized Indigenous women, gender-diverse</w:t>
      </w:r>
      <w:r w:rsidR="3C0EAA6C" w:rsidRPr="3C0EAA6C">
        <w:rPr>
          <w:rFonts w:ascii="Arial" w:hAnsi="Arial" w:cs="Arial"/>
          <w:sz w:val="23"/>
          <w:szCs w:val="23"/>
        </w:rPr>
        <w:t xml:space="preserve"> people</w:t>
      </w:r>
      <w:r w:rsidRPr="00554A8B">
        <w:rPr>
          <w:rFonts w:ascii="Arial" w:hAnsi="Arial" w:cs="Arial"/>
          <w:sz w:val="23"/>
          <w:szCs w:val="23"/>
        </w:rPr>
        <w:t>, and 2SLGBTQQIA</w:t>
      </w:r>
      <w:r w:rsidR="3C0EAA6C" w:rsidRPr="3C0EAA6C">
        <w:rPr>
          <w:rFonts w:ascii="Arial" w:hAnsi="Arial" w:cs="Arial"/>
          <w:sz w:val="23"/>
          <w:szCs w:val="23"/>
        </w:rPr>
        <w:t>+</w:t>
      </w:r>
      <w:r w:rsidRPr="00554A8B">
        <w:rPr>
          <w:rFonts w:ascii="Arial" w:hAnsi="Arial" w:cs="Arial"/>
          <w:sz w:val="23"/>
          <w:szCs w:val="23"/>
        </w:rPr>
        <w:t xml:space="preserve"> people themselves, and the organizations and groups they choose to represent them.</w:t>
      </w:r>
    </w:p>
    <w:p w14:paraId="29F1B9D0" w14:textId="40F0DB93" w:rsidR="000E158E" w:rsidRPr="00554A8B" w:rsidRDefault="000E158E" w:rsidP="231684A5">
      <w:pPr>
        <w:pStyle w:val="ListParagraph"/>
        <w:ind w:hanging="360"/>
        <w:rPr>
          <w:rFonts w:ascii="Arial" w:hAnsi="Arial" w:cs="Arial"/>
          <w:sz w:val="23"/>
          <w:szCs w:val="23"/>
        </w:rPr>
      </w:pPr>
    </w:p>
    <w:p w14:paraId="0419D7BF" w14:textId="36A693C3" w:rsidR="000E158E" w:rsidRPr="00554A8B" w:rsidRDefault="000E158E" w:rsidP="231684A5">
      <w:pPr>
        <w:pStyle w:val="ListParagraph"/>
        <w:numPr>
          <w:ilvl w:val="0"/>
          <w:numId w:val="13"/>
        </w:numPr>
        <w:rPr>
          <w:rStyle w:val="FootnoteReference"/>
          <w:rFonts w:ascii="Arial" w:eastAsia="Calibri" w:hAnsi="Arial" w:cs="Arial"/>
          <w:color w:val="000000" w:themeColor="text1"/>
          <w:sz w:val="23"/>
          <w:szCs w:val="23"/>
        </w:rPr>
      </w:pPr>
      <w:r w:rsidRPr="00554A8B">
        <w:rPr>
          <w:rFonts w:ascii="Arial" w:hAnsi="Arial" w:cs="Arial"/>
          <w:sz w:val="23"/>
          <w:szCs w:val="23"/>
        </w:rPr>
        <w:t xml:space="preserve">Like other federal investments in housing, investments in Indigenous housing are not accompanied with any coherent strategies, plans or mechanisms to ensure that housing developed or operated </w:t>
      </w:r>
      <w:proofErr w:type="gramStart"/>
      <w:r w:rsidRPr="00554A8B">
        <w:rPr>
          <w:rFonts w:ascii="Arial" w:hAnsi="Arial" w:cs="Arial"/>
          <w:sz w:val="23"/>
          <w:szCs w:val="23"/>
        </w:rPr>
        <w:t>as a result of</w:t>
      </w:r>
      <w:proofErr w:type="gramEnd"/>
      <w:r w:rsidRPr="00554A8B">
        <w:rPr>
          <w:rFonts w:ascii="Arial" w:hAnsi="Arial" w:cs="Arial"/>
          <w:sz w:val="23"/>
          <w:szCs w:val="23"/>
        </w:rPr>
        <w:t xml:space="preserve"> these investments benefits Indigenous women, girls, Two-Spirit and gender-diverse individuals. Data is often also unclear around distinct impacts on First Nations, Inuit and Métis women and gender-diverse people, and how investments alleviate them from poverty and housing insecurity through addressing their unique needs.</w:t>
      </w:r>
    </w:p>
    <w:p w14:paraId="653EBC7D" w14:textId="36470392" w:rsidR="000E158E" w:rsidRPr="00554A8B" w:rsidRDefault="000E158E" w:rsidP="231684A5">
      <w:pPr>
        <w:pStyle w:val="ListParagraph"/>
        <w:ind w:hanging="360"/>
        <w:rPr>
          <w:rFonts w:ascii="Arial" w:hAnsi="Arial" w:cs="Arial"/>
          <w:sz w:val="23"/>
          <w:szCs w:val="23"/>
        </w:rPr>
      </w:pPr>
    </w:p>
    <w:p w14:paraId="52D51949" w14:textId="05702F1D" w:rsidR="000E158E" w:rsidRPr="00554A8B" w:rsidRDefault="000E158E" w:rsidP="231684A5">
      <w:pPr>
        <w:pStyle w:val="ListParagraph"/>
        <w:numPr>
          <w:ilvl w:val="0"/>
          <w:numId w:val="13"/>
        </w:numPr>
        <w:rPr>
          <w:rFonts w:ascii="Arial" w:hAnsi="Arial" w:cs="Arial"/>
          <w:sz w:val="23"/>
          <w:szCs w:val="23"/>
        </w:rPr>
      </w:pPr>
      <w:r w:rsidRPr="00554A8B">
        <w:rPr>
          <w:rFonts w:ascii="Arial" w:eastAsia="Calibri" w:hAnsi="Arial" w:cs="Arial"/>
          <w:color w:val="000000" w:themeColor="text1"/>
          <w:sz w:val="23"/>
          <w:szCs w:val="23"/>
        </w:rPr>
        <w:t xml:space="preserve">There is also a lack of disaggregated data that captures the scale and depth of First Nations, Inuit and Métis experiences with housing insecurity, and homelessness continues to be a barrier to distinctions-based policy that addresses unique concerns of the women and gender-diverse people from diverse Indigenous communities. As noted in the report from Les Femmes </w:t>
      </w:r>
      <w:proofErr w:type="spellStart"/>
      <w:r w:rsidRPr="00554A8B">
        <w:rPr>
          <w:rFonts w:ascii="Arial" w:eastAsia="Calibri" w:hAnsi="Arial" w:cs="Arial"/>
          <w:color w:val="000000" w:themeColor="text1"/>
          <w:sz w:val="23"/>
          <w:szCs w:val="23"/>
        </w:rPr>
        <w:t>Michif</w:t>
      </w:r>
      <w:proofErr w:type="spellEnd"/>
      <w:r w:rsidRPr="00554A8B">
        <w:rPr>
          <w:rFonts w:ascii="Arial" w:eastAsia="Calibri" w:hAnsi="Arial" w:cs="Arial"/>
          <w:color w:val="000000" w:themeColor="text1"/>
          <w:sz w:val="23"/>
          <w:szCs w:val="23"/>
        </w:rPr>
        <w:t xml:space="preserve"> </w:t>
      </w:r>
      <w:proofErr w:type="spellStart"/>
      <w:r w:rsidRPr="00554A8B">
        <w:rPr>
          <w:rFonts w:ascii="Arial" w:eastAsia="Calibri" w:hAnsi="Arial" w:cs="Arial"/>
          <w:color w:val="000000" w:themeColor="text1"/>
          <w:sz w:val="23"/>
          <w:szCs w:val="23"/>
        </w:rPr>
        <w:t>Otipemisiwak</w:t>
      </w:r>
      <w:proofErr w:type="spellEnd"/>
      <w:r w:rsidRPr="00554A8B">
        <w:rPr>
          <w:rFonts w:ascii="Arial" w:eastAsia="Calibri" w:hAnsi="Arial" w:cs="Arial"/>
          <w:color w:val="000000" w:themeColor="text1"/>
          <w:sz w:val="23"/>
          <w:szCs w:val="23"/>
        </w:rPr>
        <w:t xml:space="preserve">, particularly </w:t>
      </w:r>
      <w:proofErr w:type="gramStart"/>
      <w:r w:rsidRPr="00554A8B">
        <w:rPr>
          <w:rFonts w:ascii="Arial" w:eastAsia="Calibri" w:hAnsi="Arial" w:cs="Arial"/>
          <w:color w:val="000000" w:themeColor="text1"/>
          <w:sz w:val="23"/>
          <w:szCs w:val="23"/>
        </w:rPr>
        <w:t>in regards to</w:t>
      </w:r>
      <w:proofErr w:type="gramEnd"/>
      <w:r w:rsidRPr="00554A8B">
        <w:rPr>
          <w:rFonts w:ascii="Arial" w:eastAsia="Calibri" w:hAnsi="Arial" w:cs="Arial"/>
          <w:color w:val="000000" w:themeColor="text1"/>
          <w:sz w:val="23"/>
          <w:szCs w:val="23"/>
        </w:rPr>
        <w:t xml:space="preserve"> Métis women and gender-diverse people, “There </w:t>
      </w:r>
      <w:r w:rsidRPr="00554A8B">
        <w:rPr>
          <w:rFonts w:ascii="Arial" w:hAnsi="Arial" w:cs="Arial"/>
          <w:sz w:val="23"/>
          <w:szCs w:val="23"/>
        </w:rPr>
        <w:t xml:space="preserve">does exist some disaggregated data on some of the root causes that lead to homelessness (e.g., health, education, employment), however the experiences and stories of Indigenous peoples, in the </w:t>
      </w:r>
      <w:r w:rsidRPr="00554A8B">
        <w:rPr>
          <w:rFonts w:ascii="Arial" w:hAnsi="Arial" w:cs="Arial"/>
          <w:sz w:val="23"/>
          <w:szCs w:val="23"/>
        </w:rPr>
        <w:lastRenderedPageBreak/>
        <w:t>context of homelessness, are not universal. Data must not homogenize their experiences as the Métis population, particularly Métis women and girls, have unique experiences and distinct needs.”</w:t>
      </w:r>
      <w:r w:rsidRPr="00554A8B">
        <w:rPr>
          <w:rStyle w:val="FootnoteReference"/>
          <w:rFonts w:ascii="Arial" w:eastAsia="Calibri" w:hAnsi="Arial" w:cs="Arial"/>
          <w:color w:val="000000" w:themeColor="text1"/>
          <w:sz w:val="23"/>
          <w:szCs w:val="23"/>
        </w:rPr>
        <w:footnoteReference w:id="12"/>
      </w:r>
    </w:p>
    <w:p w14:paraId="01256BB9" w14:textId="405C7B33" w:rsidR="000E158E" w:rsidRPr="00554A8B" w:rsidRDefault="000E158E" w:rsidP="231684A5">
      <w:pPr>
        <w:pStyle w:val="ListParagraph"/>
        <w:ind w:hanging="360"/>
        <w:rPr>
          <w:rFonts w:ascii="Arial" w:hAnsi="Arial" w:cs="Arial"/>
          <w:sz w:val="23"/>
          <w:szCs w:val="23"/>
        </w:rPr>
      </w:pPr>
    </w:p>
    <w:p w14:paraId="0058AC9D" w14:textId="5804D388" w:rsidR="000E158E" w:rsidRPr="00554A8B" w:rsidRDefault="000E158E" w:rsidP="231684A5">
      <w:pPr>
        <w:pStyle w:val="ListParagraph"/>
        <w:numPr>
          <w:ilvl w:val="0"/>
          <w:numId w:val="13"/>
        </w:numPr>
        <w:rPr>
          <w:rFonts w:ascii="Arial" w:eastAsia="Calibri" w:hAnsi="Arial" w:cs="Arial"/>
          <w:color w:val="000000" w:themeColor="text1"/>
          <w:sz w:val="23"/>
          <w:szCs w:val="23"/>
        </w:rPr>
      </w:pPr>
      <w:r w:rsidRPr="00554A8B">
        <w:rPr>
          <w:rFonts w:ascii="Arial" w:eastAsia="Calibri" w:hAnsi="Arial" w:cs="Arial"/>
          <w:color w:val="000000" w:themeColor="text1"/>
          <w:sz w:val="23"/>
          <w:szCs w:val="23"/>
        </w:rPr>
        <w:t>Indigenous women and gender-diverse people continue to be disproportionately impacted by egregious housing insecurity, shaped by socio-economic factors like poverty and access to health and education. Compared to non-Indigenous women, Indigenous women are more likely to be in core-housing need, with single-mother led households particularly over-represented in this demographic.</w:t>
      </w:r>
      <w:r w:rsidRPr="00554A8B">
        <w:rPr>
          <w:rStyle w:val="FootnoteReference"/>
          <w:rFonts w:ascii="Arial" w:eastAsia="Calibri" w:hAnsi="Arial" w:cs="Arial"/>
          <w:color w:val="000000" w:themeColor="text1"/>
          <w:sz w:val="23"/>
          <w:szCs w:val="23"/>
        </w:rPr>
        <w:footnoteReference w:id="13"/>
      </w:r>
      <w:r w:rsidRPr="00554A8B">
        <w:rPr>
          <w:rFonts w:ascii="Arial" w:eastAsia="Calibri" w:hAnsi="Arial" w:cs="Arial"/>
          <w:color w:val="000000" w:themeColor="text1"/>
          <w:sz w:val="23"/>
          <w:szCs w:val="23"/>
        </w:rPr>
        <w:t xml:space="preserve"> The Pan-Canadian Women’s Housing and Homelessness Survey further noted that Indigenous women and gender-diverse people were also more likely to report experiences of eviction and discrimination from landlords. The survey also reported that Indigenous women were more likely to experience homelessness at younger ages, with one in four Indigenous survey participants reporting their first experience of homelessness before the age of 16.</w:t>
      </w:r>
      <w:r w:rsidRPr="00554A8B">
        <w:rPr>
          <w:rStyle w:val="FootnoteReference"/>
          <w:rFonts w:ascii="Arial" w:eastAsia="Calibri" w:hAnsi="Arial" w:cs="Arial"/>
          <w:color w:val="000000" w:themeColor="text1"/>
          <w:sz w:val="23"/>
          <w:szCs w:val="23"/>
        </w:rPr>
        <w:footnoteReference w:id="14"/>
      </w:r>
    </w:p>
    <w:p w14:paraId="4D787FA6" w14:textId="133DF6F0" w:rsidR="000E158E" w:rsidRPr="00554A8B" w:rsidRDefault="000E158E" w:rsidP="231684A5">
      <w:pPr>
        <w:pStyle w:val="ListParagraph"/>
        <w:rPr>
          <w:rFonts w:ascii="Arial" w:hAnsi="Arial" w:cs="Arial"/>
          <w:sz w:val="23"/>
          <w:szCs w:val="23"/>
        </w:rPr>
      </w:pPr>
    </w:p>
    <w:p w14:paraId="3522A244" w14:textId="7CECE510" w:rsidR="000E158E" w:rsidRPr="00554A8B" w:rsidRDefault="000E158E" w:rsidP="231684A5">
      <w:pPr>
        <w:pStyle w:val="ListParagraph"/>
        <w:numPr>
          <w:ilvl w:val="0"/>
          <w:numId w:val="13"/>
        </w:numPr>
        <w:rPr>
          <w:rFonts w:ascii="Arial" w:hAnsi="Arial" w:cs="Arial"/>
          <w:sz w:val="23"/>
          <w:szCs w:val="23"/>
        </w:rPr>
      </w:pPr>
      <w:r w:rsidRPr="00554A8B">
        <w:rPr>
          <w:rFonts w:ascii="Arial" w:eastAsia="Calibri" w:hAnsi="Arial" w:cs="Arial"/>
          <w:color w:val="000000" w:themeColor="text1"/>
          <w:sz w:val="23"/>
          <w:szCs w:val="23"/>
        </w:rPr>
        <w:t xml:space="preserve">In June 2022, the National Indigenous Women’s Housing Network launched a historic human rights claim, </w:t>
      </w:r>
      <w:r w:rsidRPr="00554A8B">
        <w:rPr>
          <w:rFonts w:ascii="Arial" w:eastAsia="Calibri" w:hAnsi="Arial" w:cs="Arial"/>
          <w:i/>
          <w:iCs/>
          <w:color w:val="000000" w:themeColor="text1"/>
          <w:sz w:val="23"/>
          <w:szCs w:val="23"/>
        </w:rPr>
        <w:t>Homeless on Homelands: Upholding Housing as a Human Right for Indigenous Women, Girls, Two-Spirit, and Gender-diverse People</w:t>
      </w:r>
      <w:r w:rsidRPr="00554A8B">
        <w:rPr>
          <w:rFonts w:ascii="Arial" w:eastAsia="Calibri" w:hAnsi="Arial" w:cs="Arial"/>
          <w:color w:val="000000" w:themeColor="text1"/>
          <w:sz w:val="23"/>
          <w:szCs w:val="23"/>
        </w:rPr>
        <w:t>. The claim, submitted to the Federal Housing Advocate, recognized the National Housing Strategy Act (NHSA)</w:t>
      </w:r>
      <w:r w:rsidRPr="00554A8B">
        <w:rPr>
          <w:rFonts w:ascii="Arial" w:hAnsi="Arial" w:cs="Arial"/>
          <w:sz w:val="23"/>
          <w:szCs w:val="23"/>
        </w:rPr>
        <w:t xml:space="preserve"> as a critical instrument that can be utilized to challenge colonial policies and mechanisms that attempt to displace Indigenous women, girls, Two-Spirit, and gender-diverse people from “their proper power and place.”</w:t>
      </w:r>
      <w:r w:rsidRPr="00554A8B">
        <w:rPr>
          <w:rStyle w:val="FootnoteReference"/>
          <w:rFonts w:ascii="Arial" w:hAnsi="Arial" w:cs="Arial"/>
          <w:sz w:val="23"/>
          <w:szCs w:val="23"/>
        </w:rPr>
        <w:footnoteReference w:id="15"/>
      </w:r>
    </w:p>
    <w:p w14:paraId="21D41F2B" w14:textId="5218B51A" w:rsidR="000E158E" w:rsidRPr="00554A8B" w:rsidRDefault="000E158E" w:rsidP="231684A5">
      <w:pPr>
        <w:pStyle w:val="ListParagraph"/>
        <w:spacing w:before="240" w:after="240"/>
        <w:ind w:hanging="360"/>
        <w:rPr>
          <w:rFonts w:ascii="Arial" w:hAnsi="Arial" w:cs="Arial"/>
          <w:sz w:val="23"/>
          <w:szCs w:val="23"/>
        </w:rPr>
      </w:pPr>
      <w:r w:rsidRPr="00554A8B">
        <w:rPr>
          <w:rFonts w:ascii="Arial" w:hAnsi="Arial" w:cs="Arial"/>
          <w:sz w:val="23"/>
          <w:szCs w:val="23"/>
        </w:rPr>
        <w:t xml:space="preserve"> </w:t>
      </w:r>
    </w:p>
    <w:p w14:paraId="08535D6D" w14:textId="41AD427A" w:rsidR="000E158E" w:rsidRPr="00554A8B" w:rsidRDefault="000E158E" w:rsidP="231684A5">
      <w:pPr>
        <w:pStyle w:val="ListParagraph"/>
        <w:numPr>
          <w:ilvl w:val="0"/>
          <w:numId w:val="13"/>
        </w:numPr>
        <w:spacing w:before="240" w:after="240"/>
        <w:rPr>
          <w:rFonts w:ascii="Arial" w:hAnsi="Arial" w:cs="Arial"/>
          <w:sz w:val="23"/>
          <w:szCs w:val="23"/>
        </w:rPr>
      </w:pPr>
      <w:r w:rsidRPr="00554A8B">
        <w:rPr>
          <w:rFonts w:ascii="Arial" w:hAnsi="Arial" w:cs="Arial"/>
          <w:sz w:val="23"/>
          <w:szCs w:val="23"/>
        </w:rPr>
        <w:t xml:space="preserve">This </w:t>
      </w:r>
      <w:r w:rsidR="3C0EAA6C" w:rsidRPr="3C0EAA6C">
        <w:rPr>
          <w:rFonts w:ascii="Arial" w:hAnsi="Arial" w:cs="Arial"/>
          <w:sz w:val="23"/>
          <w:szCs w:val="23"/>
        </w:rPr>
        <w:t>human rights claim</w:t>
      </w:r>
      <w:r w:rsidRPr="00554A8B">
        <w:rPr>
          <w:rFonts w:ascii="Arial" w:hAnsi="Arial" w:cs="Arial"/>
          <w:sz w:val="23"/>
          <w:szCs w:val="23"/>
        </w:rPr>
        <w:t xml:space="preserve"> articulated four key violations to </w:t>
      </w:r>
      <w:r w:rsidR="3C0EAA6C" w:rsidRPr="3C0EAA6C">
        <w:rPr>
          <w:rFonts w:ascii="Arial" w:hAnsi="Arial" w:cs="Arial"/>
          <w:sz w:val="23"/>
          <w:szCs w:val="23"/>
        </w:rPr>
        <w:t xml:space="preserve">the </w:t>
      </w:r>
      <w:r w:rsidRPr="00554A8B">
        <w:rPr>
          <w:rFonts w:ascii="Arial" w:hAnsi="Arial" w:cs="Arial"/>
          <w:sz w:val="23"/>
          <w:szCs w:val="23"/>
        </w:rPr>
        <w:t>housing rights of Indigenous women, girls, Two-Spirit and gender-diverse people across Canada.</w:t>
      </w:r>
    </w:p>
    <w:p w14:paraId="7123F3DD" w14:textId="2F0B90D6" w:rsidR="000E158E" w:rsidRPr="00554A8B" w:rsidRDefault="000E158E" w:rsidP="231684A5">
      <w:pPr>
        <w:pStyle w:val="ListParagraph"/>
        <w:numPr>
          <w:ilvl w:val="1"/>
          <w:numId w:val="13"/>
        </w:numPr>
        <w:spacing w:before="240" w:after="240"/>
        <w:rPr>
          <w:rFonts w:ascii="Arial" w:hAnsi="Arial" w:cs="Arial"/>
          <w:sz w:val="23"/>
          <w:szCs w:val="23"/>
        </w:rPr>
      </w:pPr>
      <w:r w:rsidRPr="00554A8B">
        <w:rPr>
          <w:rFonts w:ascii="Arial" w:hAnsi="Arial" w:cs="Arial"/>
          <w:sz w:val="23"/>
          <w:szCs w:val="23"/>
        </w:rPr>
        <w:t>Violation 1: Lack of Action on the Calls to Justice from the Inquiry into Missing and Murdered Indigenous Women and Girls Report and Calls to Action from the Truth Reconciliation Commission Report</w:t>
      </w:r>
    </w:p>
    <w:p w14:paraId="5D68C061" w14:textId="7B43DE9D" w:rsidR="000E158E" w:rsidRPr="00554A8B" w:rsidRDefault="000E158E" w:rsidP="231684A5">
      <w:pPr>
        <w:pStyle w:val="ListParagraph"/>
        <w:numPr>
          <w:ilvl w:val="1"/>
          <w:numId w:val="13"/>
        </w:numPr>
        <w:spacing w:before="240" w:after="240"/>
        <w:rPr>
          <w:rFonts w:ascii="Arial" w:hAnsi="Arial" w:cs="Arial"/>
          <w:sz w:val="23"/>
          <w:szCs w:val="23"/>
        </w:rPr>
      </w:pPr>
      <w:r w:rsidRPr="00554A8B">
        <w:rPr>
          <w:rFonts w:ascii="Arial" w:hAnsi="Arial" w:cs="Arial"/>
          <w:sz w:val="23"/>
          <w:szCs w:val="23"/>
        </w:rPr>
        <w:lastRenderedPageBreak/>
        <w:t xml:space="preserve">Violation 2: Failure to Provide Safe, Adequate and </w:t>
      </w:r>
      <w:proofErr w:type="gramStart"/>
      <w:r w:rsidRPr="00554A8B">
        <w:rPr>
          <w:rFonts w:ascii="Arial" w:hAnsi="Arial" w:cs="Arial"/>
          <w:sz w:val="23"/>
          <w:szCs w:val="23"/>
        </w:rPr>
        <w:t>Culturally-Appropriate</w:t>
      </w:r>
      <w:proofErr w:type="gramEnd"/>
      <w:r w:rsidRPr="00554A8B">
        <w:rPr>
          <w:rFonts w:ascii="Arial" w:hAnsi="Arial" w:cs="Arial"/>
          <w:sz w:val="23"/>
          <w:szCs w:val="23"/>
        </w:rPr>
        <w:t xml:space="preserve"> Housing, on Our Own Terms  </w:t>
      </w:r>
    </w:p>
    <w:p w14:paraId="6AEF806E" w14:textId="6BCF511F" w:rsidR="000E158E" w:rsidRPr="00554A8B" w:rsidRDefault="000E158E" w:rsidP="231684A5">
      <w:pPr>
        <w:pStyle w:val="ListParagraph"/>
        <w:numPr>
          <w:ilvl w:val="1"/>
          <w:numId w:val="13"/>
        </w:numPr>
        <w:spacing w:before="240" w:after="240"/>
        <w:rPr>
          <w:rFonts w:ascii="Arial" w:hAnsi="Arial" w:cs="Arial"/>
          <w:sz w:val="23"/>
          <w:szCs w:val="23"/>
        </w:rPr>
      </w:pPr>
      <w:r w:rsidRPr="00554A8B">
        <w:rPr>
          <w:rFonts w:ascii="Arial" w:hAnsi="Arial" w:cs="Arial"/>
          <w:sz w:val="23"/>
          <w:szCs w:val="23"/>
        </w:rPr>
        <w:t>Violation 3: Interjurisdictional Neglect, Multiple Systems Failure, and Institutional Betrayal</w:t>
      </w:r>
    </w:p>
    <w:p w14:paraId="7BD23D40" w14:textId="78AB0ABE" w:rsidR="000E158E" w:rsidRPr="00554A8B" w:rsidRDefault="000E158E" w:rsidP="231684A5">
      <w:pPr>
        <w:pStyle w:val="ListParagraph"/>
        <w:numPr>
          <w:ilvl w:val="1"/>
          <w:numId w:val="13"/>
        </w:numPr>
        <w:rPr>
          <w:rFonts w:ascii="Arial" w:hAnsi="Arial" w:cs="Arial"/>
          <w:sz w:val="23"/>
          <w:szCs w:val="23"/>
        </w:rPr>
      </w:pPr>
      <w:r w:rsidRPr="00554A8B">
        <w:rPr>
          <w:rFonts w:ascii="Arial" w:hAnsi="Arial" w:cs="Arial"/>
          <w:sz w:val="23"/>
          <w:szCs w:val="23"/>
        </w:rPr>
        <w:t>Violation 4: Security of Tenure under NHS and Secure Indigenous Land Tenure</w:t>
      </w:r>
    </w:p>
    <w:p w14:paraId="346F42E0" w14:textId="72FAC2A3" w:rsidR="000E158E" w:rsidRPr="00554A8B" w:rsidRDefault="000E158E" w:rsidP="231684A5">
      <w:pPr>
        <w:pStyle w:val="ListParagraph"/>
        <w:ind w:left="1440"/>
        <w:rPr>
          <w:rFonts w:ascii="Arial" w:hAnsi="Arial" w:cs="Arial"/>
          <w:sz w:val="23"/>
          <w:szCs w:val="23"/>
        </w:rPr>
      </w:pPr>
    </w:p>
    <w:p w14:paraId="078622B0" w14:textId="4DEEFFE8" w:rsidR="000E158E" w:rsidRDefault="000E158E" w:rsidP="231684A5">
      <w:pPr>
        <w:pStyle w:val="ListParagraph"/>
        <w:numPr>
          <w:ilvl w:val="0"/>
          <w:numId w:val="13"/>
        </w:numPr>
        <w:rPr>
          <w:rFonts w:ascii="Arial" w:hAnsi="Arial" w:cs="Arial"/>
          <w:sz w:val="23"/>
          <w:szCs w:val="23"/>
        </w:rPr>
      </w:pPr>
      <w:r w:rsidRPr="00554A8B">
        <w:rPr>
          <w:rFonts w:ascii="Arial" w:hAnsi="Arial" w:cs="Arial"/>
          <w:sz w:val="23"/>
          <w:szCs w:val="23"/>
        </w:rPr>
        <w:t xml:space="preserve">Submitted together with the Women’s National Housing and Homelessness Network, </w:t>
      </w:r>
      <w:r w:rsidRPr="00554A8B">
        <w:rPr>
          <w:rFonts w:ascii="Arial" w:hAnsi="Arial" w:cs="Arial"/>
          <w:i/>
          <w:iCs/>
          <w:sz w:val="23"/>
          <w:szCs w:val="23"/>
        </w:rPr>
        <w:t xml:space="preserve">The Crisis Ends with Us: Request for a Review into the Systemic Denial of the Equal Right to Housing of Women and Gender-Diverse People in Canada, </w:t>
      </w:r>
      <w:r w:rsidRPr="00554A8B">
        <w:rPr>
          <w:rFonts w:ascii="Arial" w:hAnsi="Arial" w:cs="Arial"/>
          <w:sz w:val="23"/>
          <w:szCs w:val="23"/>
        </w:rPr>
        <w:t xml:space="preserve">the claims were reviewed and collectively referred by the Federal Housing Advocate to the National Housing Council, requesting a national Review Panel on Government’s Failure to Prevent Homelessness for Women and Gender-Diverse </w:t>
      </w:r>
      <w:r w:rsidR="3C0EAA6C" w:rsidRPr="3C0EAA6C">
        <w:rPr>
          <w:rFonts w:ascii="Arial" w:hAnsi="Arial" w:cs="Arial"/>
          <w:sz w:val="23"/>
          <w:szCs w:val="23"/>
        </w:rPr>
        <w:t>People.</w:t>
      </w:r>
      <w:r w:rsidRPr="00554A8B">
        <w:rPr>
          <w:rFonts w:ascii="Arial" w:hAnsi="Arial" w:cs="Arial"/>
          <w:sz w:val="23"/>
          <w:szCs w:val="23"/>
        </w:rPr>
        <w:t xml:space="preserve"> The national </w:t>
      </w:r>
      <w:r w:rsidR="3C0EAA6C" w:rsidRPr="3C0EAA6C">
        <w:rPr>
          <w:rFonts w:ascii="Arial" w:hAnsi="Arial" w:cs="Arial"/>
          <w:sz w:val="23"/>
          <w:szCs w:val="23"/>
        </w:rPr>
        <w:t>review panel</w:t>
      </w:r>
      <w:r w:rsidRPr="00554A8B">
        <w:rPr>
          <w:rFonts w:ascii="Arial" w:hAnsi="Arial" w:cs="Arial"/>
          <w:sz w:val="23"/>
          <w:szCs w:val="23"/>
        </w:rPr>
        <w:t xml:space="preserve"> is set to be a historic first</w:t>
      </w:r>
      <w:r w:rsidR="3C0EAA6C" w:rsidRPr="3C0EAA6C">
        <w:rPr>
          <w:rFonts w:ascii="Arial" w:hAnsi="Arial" w:cs="Arial"/>
          <w:sz w:val="23"/>
          <w:szCs w:val="23"/>
        </w:rPr>
        <w:t>-</w:t>
      </w:r>
      <w:r w:rsidRPr="00554A8B">
        <w:rPr>
          <w:rFonts w:ascii="Arial" w:hAnsi="Arial" w:cs="Arial"/>
          <w:sz w:val="23"/>
          <w:szCs w:val="23"/>
        </w:rPr>
        <w:t>of</w:t>
      </w:r>
      <w:r w:rsidR="3C0EAA6C" w:rsidRPr="3C0EAA6C">
        <w:rPr>
          <w:rFonts w:ascii="Arial" w:hAnsi="Arial" w:cs="Arial"/>
          <w:sz w:val="23"/>
          <w:szCs w:val="23"/>
        </w:rPr>
        <w:t>-</w:t>
      </w:r>
      <w:r w:rsidRPr="00554A8B">
        <w:rPr>
          <w:rFonts w:ascii="Arial" w:hAnsi="Arial" w:cs="Arial"/>
          <w:sz w:val="23"/>
          <w:szCs w:val="23"/>
        </w:rPr>
        <w:t>its</w:t>
      </w:r>
      <w:r w:rsidR="3C0EAA6C" w:rsidRPr="3C0EAA6C">
        <w:rPr>
          <w:rFonts w:ascii="Arial" w:hAnsi="Arial" w:cs="Arial"/>
          <w:sz w:val="23"/>
          <w:szCs w:val="23"/>
        </w:rPr>
        <w:t>-</w:t>
      </w:r>
      <w:r w:rsidRPr="00554A8B">
        <w:rPr>
          <w:rFonts w:ascii="Arial" w:hAnsi="Arial" w:cs="Arial"/>
          <w:sz w:val="23"/>
          <w:szCs w:val="23"/>
        </w:rPr>
        <w:t xml:space="preserve">kind process, </w:t>
      </w:r>
      <w:r w:rsidR="005C6C12" w:rsidRPr="00554A8B">
        <w:rPr>
          <w:rFonts w:ascii="Arial" w:hAnsi="Arial" w:cs="Arial"/>
          <w:sz w:val="23"/>
          <w:szCs w:val="23"/>
        </w:rPr>
        <w:t>recognizing</w:t>
      </w:r>
      <w:r w:rsidRPr="00554A8B">
        <w:rPr>
          <w:rFonts w:ascii="Arial" w:hAnsi="Arial" w:cs="Arial"/>
          <w:sz w:val="23"/>
          <w:szCs w:val="23"/>
        </w:rPr>
        <w:t xml:space="preserve"> homelessness impacting women and gender-diverse people as a critical human rights issue in Canada.  </w:t>
      </w:r>
    </w:p>
    <w:p w14:paraId="4BAB9BDA" w14:textId="13287C8C" w:rsidR="000E158E" w:rsidRPr="00554A8B" w:rsidRDefault="000E158E" w:rsidP="231684A5">
      <w:pPr>
        <w:pStyle w:val="ListParagraph"/>
        <w:rPr>
          <w:rFonts w:ascii="Arial" w:hAnsi="Arial" w:cs="Arial"/>
          <w:sz w:val="23"/>
          <w:szCs w:val="23"/>
        </w:rPr>
      </w:pPr>
    </w:p>
    <w:p w14:paraId="0B6BFF34" w14:textId="61889782" w:rsidR="000E158E" w:rsidRPr="00554A8B" w:rsidRDefault="000E158E" w:rsidP="231684A5">
      <w:pPr>
        <w:pStyle w:val="ListParagraph"/>
        <w:numPr>
          <w:ilvl w:val="0"/>
          <w:numId w:val="13"/>
        </w:numPr>
        <w:rPr>
          <w:rFonts w:ascii="Arial" w:eastAsia="Calibri" w:hAnsi="Arial" w:cs="Arial"/>
          <w:b/>
          <w:bCs/>
          <w:sz w:val="23"/>
          <w:szCs w:val="23"/>
          <w:u w:val="single"/>
        </w:rPr>
      </w:pPr>
      <w:r w:rsidRPr="00554A8B">
        <w:rPr>
          <w:rFonts w:ascii="Arial" w:eastAsia="Calibri" w:hAnsi="Arial" w:cs="Arial"/>
          <w:b/>
          <w:bCs/>
          <w:sz w:val="23"/>
          <w:szCs w:val="23"/>
          <w:u w:val="single"/>
        </w:rPr>
        <w:t xml:space="preserve">RECOMMENDATIONS </w:t>
      </w:r>
    </w:p>
    <w:p w14:paraId="73BF53A1" w14:textId="4F8FD0BF" w:rsidR="000E158E" w:rsidRPr="00554A8B" w:rsidRDefault="000E158E" w:rsidP="231684A5">
      <w:pPr>
        <w:pStyle w:val="ListParagraph"/>
        <w:spacing w:after="0" w:line="278" w:lineRule="auto"/>
        <w:rPr>
          <w:rFonts w:ascii="Arial" w:hAnsi="Arial" w:cs="Arial"/>
          <w:sz w:val="23"/>
          <w:szCs w:val="23"/>
        </w:rPr>
      </w:pPr>
    </w:p>
    <w:p w14:paraId="7637714A" w14:textId="28D9C075" w:rsidR="000E158E" w:rsidRPr="00554A8B" w:rsidRDefault="000E158E" w:rsidP="231684A5">
      <w:pPr>
        <w:pStyle w:val="ListParagraph"/>
        <w:numPr>
          <w:ilvl w:val="0"/>
          <w:numId w:val="2"/>
        </w:numPr>
        <w:spacing w:after="0" w:line="278" w:lineRule="auto"/>
        <w:rPr>
          <w:rFonts w:ascii="Arial" w:hAnsi="Arial" w:cs="Arial"/>
          <w:b/>
          <w:bCs/>
          <w:sz w:val="23"/>
          <w:szCs w:val="23"/>
        </w:rPr>
      </w:pPr>
      <w:r w:rsidRPr="00554A8B">
        <w:rPr>
          <w:rFonts w:ascii="Arial" w:hAnsi="Arial" w:cs="Arial"/>
          <w:b/>
          <w:bCs/>
          <w:sz w:val="23"/>
          <w:szCs w:val="23"/>
        </w:rPr>
        <w:t>Echoing Concluding Observations from CEDAW’s 2016 review of Canada, develop a specific and integrated plan for addressing the particular socioeconomic conditions affecting Indigenous women, both on and off reserves, including poverty, poor health, inadequate housing, low school-completion rates, low employment rates, low income and high rates of gender-based violence, and take effective and proactive measures, including campaigns to raise awareness within Indigenous communities about women’s human rights and to combat patriarchal attitudes and gender stereotypes</w:t>
      </w:r>
      <w:r w:rsidR="00FC4308">
        <w:rPr>
          <w:rFonts w:ascii="Arial" w:hAnsi="Arial" w:cs="Arial"/>
          <w:b/>
          <w:bCs/>
          <w:sz w:val="23"/>
          <w:szCs w:val="23"/>
        </w:rPr>
        <w:t xml:space="preserve">. </w:t>
      </w:r>
      <w:r w:rsidRPr="00554A8B">
        <w:rPr>
          <w:rFonts w:ascii="Arial" w:hAnsi="Arial" w:cs="Arial"/>
          <w:b/>
          <w:bCs/>
          <w:sz w:val="23"/>
          <w:szCs w:val="23"/>
        </w:rPr>
        <w:t xml:space="preserve"> </w:t>
      </w:r>
    </w:p>
    <w:p w14:paraId="2A478BD1" w14:textId="1470E743" w:rsidR="000E158E" w:rsidRPr="00554A8B" w:rsidRDefault="000E158E" w:rsidP="231684A5">
      <w:pPr>
        <w:pStyle w:val="ListParagraph"/>
        <w:spacing w:after="0" w:line="278" w:lineRule="auto"/>
        <w:rPr>
          <w:rFonts w:ascii="Arial" w:eastAsia="Aptos" w:hAnsi="Arial" w:cs="Arial"/>
          <w:b/>
          <w:bCs/>
          <w:color w:val="467886"/>
          <w:sz w:val="23"/>
          <w:szCs w:val="23"/>
          <w:u w:val="single"/>
          <w:vertAlign w:val="superscript"/>
        </w:rPr>
      </w:pPr>
    </w:p>
    <w:p w14:paraId="1C699E33" w14:textId="09CBBCF0" w:rsidR="000E158E" w:rsidRPr="00554A8B" w:rsidRDefault="000E158E" w:rsidP="00E11A96">
      <w:pPr>
        <w:pStyle w:val="ListParagraph"/>
        <w:numPr>
          <w:ilvl w:val="0"/>
          <w:numId w:val="2"/>
        </w:numPr>
        <w:spacing w:after="0" w:line="278" w:lineRule="auto"/>
        <w:rPr>
          <w:rFonts w:ascii="Arial" w:eastAsia="Aptos" w:hAnsi="Arial" w:cs="Arial"/>
          <w:b/>
          <w:bCs/>
          <w:color w:val="467886"/>
          <w:sz w:val="23"/>
          <w:szCs w:val="23"/>
          <w:u w:val="single"/>
          <w:vertAlign w:val="superscript"/>
        </w:rPr>
      </w:pPr>
      <w:r w:rsidRPr="00554A8B">
        <w:rPr>
          <w:rFonts w:ascii="Arial" w:eastAsia="Aptos" w:hAnsi="Arial" w:cs="Arial"/>
          <w:b/>
          <w:bCs/>
          <w:sz w:val="23"/>
          <w:szCs w:val="23"/>
        </w:rPr>
        <w:t>Revise the definition of chronic homelessness in the National Housing Strategy to better reflect gendered experiences of housing need and homelessness, including hidden homelessness and homelessness amongst Indigenous women, girls, Two-Spirit, and gender-diverse people.</w:t>
      </w:r>
    </w:p>
    <w:p w14:paraId="260B6178" w14:textId="77777777" w:rsidR="000E158E" w:rsidRPr="00554A8B" w:rsidRDefault="000E158E" w:rsidP="00C3029E">
      <w:pPr>
        <w:pStyle w:val="ListParagraph"/>
        <w:spacing w:after="0" w:line="278" w:lineRule="auto"/>
        <w:rPr>
          <w:rFonts w:ascii="Arial" w:eastAsia="Aptos" w:hAnsi="Arial" w:cs="Arial"/>
          <w:b/>
          <w:bCs/>
          <w:color w:val="467886"/>
          <w:sz w:val="23"/>
          <w:szCs w:val="23"/>
          <w:u w:val="single"/>
          <w:vertAlign w:val="superscript"/>
        </w:rPr>
      </w:pPr>
    </w:p>
    <w:p w14:paraId="115ECD57" w14:textId="1B8504D2" w:rsidR="000E158E" w:rsidRPr="00554A8B" w:rsidRDefault="000E158E" w:rsidP="000A7CC5">
      <w:pPr>
        <w:pStyle w:val="ListParagraph"/>
        <w:numPr>
          <w:ilvl w:val="0"/>
          <w:numId w:val="2"/>
        </w:numPr>
        <w:spacing w:after="0" w:line="278" w:lineRule="auto"/>
        <w:rPr>
          <w:rFonts w:ascii="Arial" w:eastAsia="Aptos" w:hAnsi="Arial" w:cs="Arial"/>
          <w:b/>
          <w:bCs/>
          <w:sz w:val="23"/>
          <w:szCs w:val="23"/>
        </w:rPr>
      </w:pPr>
      <w:r w:rsidRPr="00554A8B">
        <w:rPr>
          <w:rFonts w:ascii="Arial" w:eastAsia="Aptos" w:hAnsi="Arial" w:cs="Arial"/>
          <w:b/>
          <w:bCs/>
          <w:sz w:val="23"/>
          <w:szCs w:val="23"/>
        </w:rPr>
        <w:t>Provide adequate and consistent funding to an Urban, Rural and Northern Indigenous housing strategy that is co-developed with Indigenous communities and applies an intersectional gendered lens.</w:t>
      </w:r>
    </w:p>
    <w:p w14:paraId="3395663B" w14:textId="747FB517" w:rsidR="000E158E" w:rsidRPr="00554A8B" w:rsidRDefault="000E158E" w:rsidP="231684A5">
      <w:pPr>
        <w:pStyle w:val="ListParagraph"/>
        <w:spacing w:after="0" w:line="278" w:lineRule="auto"/>
        <w:rPr>
          <w:rFonts w:ascii="Arial" w:hAnsi="Arial" w:cs="Arial"/>
          <w:sz w:val="23"/>
          <w:szCs w:val="23"/>
        </w:rPr>
      </w:pPr>
    </w:p>
    <w:p w14:paraId="5E11B874" w14:textId="178DCF2A" w:rsidR="000E158E" w:rsidRPr="00554A8B" w:rsidRDefault="000E158E" w:rsidP="231684A5">
      <w:pPr>
        <w:pStyle w:val="ListParagraph"/>
        <w:numPr>
          <w:ilvl w:val="0"/>
          <w:numId w:val="2"/>
        </w:numPr>
        <w:spacing w:after="0" w:line="278" w:lineRule="auto"/>
        <w:rPr>
          <w:rFonts w:ascii="Arial" w:hAnsi="Arial" w:cs="Arial"/>
          <w:sz w:val="23"/>
          <w:szCs w:val="23"/>
        </w:rPr>
      </w:pPr>
      <w:r w:rsidRPr="00554A8B">
        <w:rPr>
          <w:rFonts w:ascii="Arial" w:eastAsia="Aptos" w:hAnsi="Arial" w:cs="Arial"/>
          <w:b/>
          <w:bCs/>
          <w:sz w:val="23"/>
          <w:szCs w:val="23"/>
        </w:rPr>
        <w:t xml:space="preserve">Recognize Indigenous women’s and gender-diverse people’s right to self-determination through </w:t>
      </w:r>
      <w:r w:rsidRPr="00554A8B">
        <w:rPr>
          <w:rFonts w:ascii="Arial" w:hAnsi="Arial" w:cs="Arial"/>
          <w:b/>
          <w:bCs/>
          <w:sz w:val="23"/>
          <w:szCs w:val="23"/>
        </w:rPr>
        <w:t>creating resources and capacity for housing designed by Indigenous peoples, built by Indigenous peoples, applying biophilic design, and environmentally friendly materials.</w:t>
      </w:r>
    </w:p>
    <w:p w14:paraId="0E0A809C" w14:textId="63C94B96" w:rsidR="000E158E" w:rsidRPr="007E71AA" w:rsidRDefault="000E158E" w:rsidP="00827965">
      <w:pPr>
        <w:pStyle w:val="Heading1"/>
        <w:numPr>
          <w:ilvl w:val="0"/>
          <w:numId w:val="14"/>
        </w:numPr>
        <w:rPr>
          <w:rFonts w:ascii="Arial" w:hAnsi="Arial" w:cs="Arial"/>
          <w:b/>
          <w:bCs/>
          <w:color w:val="auto"/>
          <w:sz w:val="36"/>
          <w:szCs w:val="36"/>
        </w:rPr>
      </w:pPr>
      <w:bookmarkStart w:id="2" w:name="_Toc176530411"/>
      <w:r w:rsidRPr="007E71AA">
        <w:rPr>
          <w:rFonts w:ascii="Arial" w:hAnsi="Arial" w:cs="Arial"/>
          <w:b/>
          <w:bCs/>
          <w:color w:val="auto"/>
          <w:sz w:val="36"/>
          <w:szCs w:val="36"/>
        </w:rPr>
        <w:lastRenderedPageBreak/>
        <w:t xml:space="preserve">Economic empowerment of women </w:t>
      </w:r>
      <w:r w:rsidR="003261EB" w:rsidRPr="007E71AA">
        <w:rPr>
          <w:rFonts w:ascii="Arial" w:hAnsi="Arial" w:cs="Arial"/>
          <w:b/>
          <w:bCs/>
          <w:color w:val="auto"/>
          <w:sz w:val="36"/>
          <w:szCs w:val="36"/>
        </w:rPr>
        <w:t>–</w:t>
      </w:r>
      <w:r w:rsidRPr="007E71AA">
        <w:rPr>
          <w:rFonts w:ascii="Arial" w:hAnsi="Arial" w:cs="Arial"/>
          <w:b/>
          <w:bCs/>
          <w:color w:val="auto"/>
          <w:sz w:val="36"/>
          <w:szCs w:val="36"/>
        </w:rPr>
        <w:t xml:space="preserve"> Articles 2, 3, 11 and 14</w:t>
      </w:r>
      <w:bookmarkEnd w:id="2"/>
    </w:p>
    <w:p w14:paraId="6D606DA3" w14:textId="39BF8605" w:rsidR="000E158E" w:rsidRPr="00554A8B" w:rsidRDefault="000E158E" w:rsidP="00E11A96">
      <w:pPr>
        <w:pStyle w:val="ListParagraph"/>
        <w:numPr>
          <w:ilvl w:val="0"/>
          <w:numId w:val="13"/>
        </w:numPr>
        <w:spacing w:before="100" w:beforeAutospacing="1" w:after="100" w:afterAutospacing="1" w:line="240" w:lineRule="auto"/>
        <w:rPr>
          <w:rFonts w:ascii="Arial" w:eastAsia="Calibri" w:hAnsi="Arial" w:cs="Arial"/>
          <w:color w:val="000000" w:themeColor="text1"/>
          <w:sz w:val="23"/>
          <w:szCs w:val="23"/>
          <w:lang w:val="en-CA"/>
        </w:rPr>
      </w:pPr>
      <w:r w:rsidRPr="00554A8B">
        <w:rPr>
          <w:rFonts w:ascii="Arial" w:eastAsia="Calibri" w:hAnsi="Arial" w:cs="Arial"/>
          <w:color w:val="000000" w:themeColor="text1"/>
          <w:sz w:val="23"/>
          <w:szCs w:val="23"/>
          <w:lang w:val="en-CA"/>
        </w:rPr>
        <w:t xml:space="preserve">Women and gender-diverse people across Canada experience disproportionate levels of housing need and barriers to adequate housing. Of the 1.7 million people experiencing core housing need, 28 </w:t>
      </w:r>
      <w:r w:rsidR="001459D2">
        <w:rPr>
          <w:rFonts w:ascii="Arial" w:eastAsia="Calibri" w:hAnsi="Arial" w:cs="Arial"/>
          <w:color w:val="000000" w:themeColor="text1"/>
          <w:sz w:val="23"/>
          <w:szCs w:val="23"/>
          <w:lang w:val="en-CA"/>
        </w:rPr>
        <w:t>per cent</w:t>
      </w:r>
      <w:r w:rsidRPr="00554A8B">
        <w:rPr>
          <w:rFonts w:ascii="Arial" w:eastAsia="Calibri" w:hAnsi="Arial" w:cs="Arial"/>
          <w:color w:val="000000" w:themeColor="text1"/>
          <w:sz w:val="23"/>
          <w:szCs w:val="23"/>
          <w:lang w:val="en-CA"/>
        </w:rPr>
        <w:t xml:space="preserve"> are women-led households. Moreover, a greater proportion of women-led, lone-parent family households are in core housing need (27</w:t>
      </w:r>
      <w:r w:rsidR="001459D2">
        <w:rPr>
          <w:rFonts w:ascii="Arial" w:eastAsia="Calibri" w:hAnsi="Arial" w:cs="Arial"/>
          <w:color w:val="000000" w:themeColor="text1"/>
          <w:sz w:val="23"/>
          <w:szCs w:val="23"/>
          <w:lang w:val="en-CA"/>
        </w:rPr>
        <w:t xml:space="preserve"> per cent</w:t>
      </w:r>
      <w:r w:rsidRPr="00554A8B">
        <w:rPr>
          <w:rFonts w:ascii="Arial" w:eastAsia="Calibri" w:hAnsi="Arial" w:cs="Arial"/>
          <w:color w:val="000000" w:themeColor="text1"/>
          <w:sz w:val="23"/>
          <w:szCs w:val="23"/>
          <w:lang w:val="en-CA"/>
        </w:rPr>
        <w:t>) compared to men-led households (16</w:t>
      </w:r>
      <w:r w:rsidR="001459D2">
        <w:rPr>
          <w:rFonts w:ascii="Arial" w:eastAsia="Calibri" w:hAnsi="Arial" w:cs="Arial"/>
          <w:color w:val="000000" w:themeColor="text1"/>
          <w:sz w:val="23"/>
          <w:szCs w:val="23"/>
          <w:lang w:val="en-CA"/>
        </w:rPr>
        <w:t xml:space="preserve"> per cent</w:t>
      </w:r>
      <w:r w:rsidRPr="00554A8B">
        <w:rPr>
          <w:rFonts w:ascii="Arial" w:eastAsia="Calibri" w:hAnsi="Arial" w:cs="Arial"/>
          <w:color w:val="000000" w:themeColor="text1"/>
          <w:sz w:val="23"/>
          <w:szCs w:val="23"/>
          <w:lang w:val="en-CA"/>
        </w:rPr>
        <w:t>), and more women-led households live in subsidized housing (44.1</w:t>
      </w:r>
      <w:r w:rsidR="001459D2">
        <w:rPr>
          <w:rFonts w:ascii="Arial" w:eastAsia="Calibri" w:hAnsi="Arial" w:cs="Arial"/>
          <w:color w:val="000000" w:themeColor="text1"/>
          <w:sz w:val="23"/>
          <w:szCs w:val="23"/>
          <w:lang w:val="en-CA"/>
        </w:rPr>
        <w:t xml:space="preserve"> per cent</w:t>
      </w:r>
      <w:r w:rsidRPr="00554A8B">
        <w:rPr>
          <w:rFonts w:ascii="Arial" w:eastAsia="Calibri" w:hAnsi="Arial" w:cs="Arial"/>
          <w:color w:val="000000" w:themeColor="text1"/>
          <w:sz w:val="23"/>
          <w:szCs w:val="23"/>
          <w:lang w:val="en-CA"/>
        </w:rPr>
        <w:t>) than men-led households (40.5</w:t>
      </w:r>
      <w:r w:rsidR="001459D2">
        <w:rPr>
          <w:rFonts w:ascii="Arial" w:eastAsia="Calibri" w:hAnsi="Arial" w:cs="Arial"/>
          <w:color w:val="000000" w:themeColor="text1"/>
          <w:sz w:val="23"/>
          <w:szCs w:val="23"/>
          <w:lang w:val="en-CA"/>
        </w:rPr>
        <w:t xml:space="preserve"> per cent</w:t>
      </w:r>
      <w:r w:rsidRPr="00554A8B">
        <w:rPr>
          <w:rFonts w:ascii="Arial" w:eastAsia="Calibri" w:hAnsi="Arial" w:cs="Arial"/>
          <w:color w:val="000000" w:themeColor="text1"/>
          <w:sz w:val="23"/>
          <w:szCs w:val="23"/>
          <w:lang w:val="en-CA"/>
        </w:rPr>
        <w:t>).</w:t>
      </w:r>
      <w:r w:rsidRPr="00554A8B">
        <w:rPr>
          <w:rStyle w:val="FootnoteReference"/>
          <w:rFonts w:ascii="Arial" w:eastAsia="Calibri" w:hAnsi="Arial" w:cs="Arial"/>
          <w:color w:val="000000" w:themeColor="text1"/>
          <w:sz w:val="23"/>
          <w:szCs w:val="23"/>
        </w:rPr>
        <w:footnoteReference w:id="16"/>
      </w:r>
      <w:r w:rsidRPr="00554A8B">
        <w:rPr>
          <w:rFonts w:ascii="Arial" w:eastAsia="Calibri" w:hAnsi="Arial" w:cs="Arial"/>
          <w:color w:val="000000" w:themeColor="text1"/>
          <w:sz w:val="23"/>
          <w:szCs w:val="23"/>
          <w:lang w:val="en-CA"/>
        </w:rPr>
        <w:t xml:space="preserve"> </w:t>
      </w:r>
    </w:p>
    <w:p w14:paraId="25ECA314" w14:textId="77777777" w:rsidR="000E158E" w:rsidRPr="00554A8B" w:rsidRDefault="000E158E" w:rsidP="001F2414">
      <w:pPr>
        <w:pStyle w:val="ListParagraph"/>
        <w:spacing w:before="100" w:beforeAutospacing="1" w:after="100" w:afterAutospacing="1" w:line="240" w:lineRule="auto"/>
        <w:rPr>
          <w:rFonts w:ascii="Arial" w:eastAsia="Calibri" w:hAnsi="Arial" w:cs="Arial"/>
          <w:color w:val="000000" w:themeColor="text1"/>
          <w:sz w:val="23"/>
          <w:szCs w:val="23"/>
          <w:lang w:val="en-CA"/>
        </w:rPr>
      </w:pPr>
    </w:p>
    <w:p w14:paraId="4561C998" w14:textId="486E4722" w:rsidR="000E158E" w:rsidRPr="00554A8B" w:rsidRDefault="000E158E" w:rsidP="00E11A96">
      <w:pPr>
        <w:pStyle w:val="ListParagraph"/>
        <w:numPr>
          <w:ilvl w:val="0"/>
          <w:numId w:val="13"/>
        </w:numPr>
        <w:spacing w:before="100" w:beforeAutospacing="1" w:after="100" w:afterAutospacing="1" w:line="240" w:lineRule="auto"/>
        <w:rPr>
          <w:rFonts w:ascii="Arial" w:eastAsia="Calibri" w:hAnsi="Arial" w:cs="Arial"/>
          <w:sz w:val="23"/>
          <w:szCs w:val="23"/>
          <w:lang w:val="en-CA"/>
        </w:rPr>
      </w:pPr>
      <w:r w:rsidRPr="00554A8B">
        <w:rPr>
          <w:rFonts w:ascii="Arial" w:eastAsia="Calibri" w:hAnsi="Arial" w:cs="Arial"/>
          <w:color w:val="000000" w:themeColor="text1"/>
          <w:sz w:val="23"/>
          <w:szCs w:val="23"/>
          <w:lang w:val="en-CA"/>
        </w:rPr>
        <w:t xml:space="preserve">Women’s housing need is further interconnected with experiences of GBV, with </w:t>
      </w:r>
      <w:r w:rsidRPr="00554A8B">
        <w:rPr>
          <w:rFonts w:ascii="Arial" w:eastAsia="Calibri" w:hAnsi="Arial" w:cs="Arial"/>
          <w:color w:val="000000" w:themeColor="text1"/>
          <w:sz w:val="23"/>
          <w:szCs w:val="23"/>
        </w:rPr>
        <w:t xml:space="preserve">GBV constituting a </w:t>
      </w:r>
      <w:r w:rsidRPr="00554A8B">
        <w:rPr>
          <w:rFonts w:ascii="Arial" w:eastAsia="Calibri" w:hAnsi="Arial" w:cs="Arial"/>
          <w:sz w:val="23"/>
          <w:szCs w:val="23"/>
        </w:rPr>
        <w:t>leading cause of homelessness</w:t>
      </w:r>
      <w:r w:rsidRPr="00554A8B">
        <w:rPr>
          <w:rFonts w:ascii="Arial" w:eastAsia="Calibri" w:hAnsi="Arial" w:cs="Arial"/>
          <w:color w:val="000000" w:themeColor="text1"/>
          <w:sz w:val="23"/>
          <w:szCs w:val="23"/>
        </w:rPr>
        <w:t xml:space="preserve"> among Canadian families, particularly women-led households.</w:t>
      </w:r>
      <w:r w:rsidRPr="00554A8B">
        <w:rPr>
          <w:rStyle w:val="FootnoteReference"/>
          <w:rFonts w:ascii="Arial" w:eastAsia="Calibri" w:hAnsi="Arial" w:cs="Arial"/>
          <w:sz w:val="23"/>
          <w:szCs w:val="23"/>
          <w:lang w:val="en-CA"/>
        </w:rPr>
        <w:footnoteReference w:id="17"/>
      </w:r>
      <w:r w:rsidRPr="00554A8B">
        <w:rPr>
          <w:rFonts w:ascii="Arial" w:eastAsia="Calibri" w:hAnsi="Arial" w:cs="Arial"/>
          <w:color w:val="000000" w:themeColor="text1"/>
          <w:sz w:val="23"/>
          <w:szCs w:val="23"/>
        </w:rPr>
        <w:t xml:space="preserve"> Women account for 79 </w:t>
      </w:r>
      <w:r w:rsidR="001459D2">
        <w:rPr>
          <w:rFonts w:ascii="Arial" w:eastAsia="Calibri" w:hAnsi="Arial" w:cs="Arial"/>
          <w:color w:val="000000" w:themeColor="text1"/>
          <w:sz w:val="23"/>
          <w:szCs w:val="23"/>
        </w:rPr>
        <w:t>per cent</w:t>
      </w:r>
      <w:r w:rsidRPr="00554A8B">
        <w:rPr>
          <w:rFonts w:ascii="Arial" w:eastAsia="Calibri" w:hAnsi="Arial" w:cs="Arial"/>
          <w:color w:val="000000" w:themeColor="text1"/>
          <w:sz w:val="23"/>
          <w:szCs w:val="23"/>
        </w:rPr>
        <w:t xml:space="preserve"> of people experiencing GBV</w:t>
      </w:r>
      <w:r w:rsidR="00FC4308">
        <w:rPr>
          <w:rFonts w:ascii="Arial" w:eastAsia="Calibri" w:hAnsi="Arial" w:cs="Arial"/>
          <w:color w:val="000000" w:themeColor="text1"/>
          <w:sz w:val="23"/>
          <w:szCs w:val="23"/>
        </w:rPr>
        <w:t>,</w:t>
      </w:r>
      <w:r w:rsidRPr="00554A8B">
        <w:rPr>
          <w:rStyle w:val="FootnoteReference"/>
          <w:rFonts w:ascii="Arial" w:eastAsia="Calibri" w:hAnsi="Arial" w:cs="Arial"/>
          <w:color w:val="000000" w:themeColor="text1"/>
          <w:sz w:val="23"/>
          <w:szCs w:val="23"/>
        </w:rPr>
        <w:footnoteReference w:id="18"/>
      </w:r>
      <w:r w:rsidRPr="00554A8B">
        <w:rPr>
          <w:rFonts w:ascii="Arial" w:eastAsia="Calibri" w:hAnsi="Arial" w:cs="Arial"/>
          <w:color w:val="000000" w:themeColor="text1"/>
          <w:sz w:val="23"/>
          <w:szCs w:val="23"/>
        </w:rPr>
        <w:t xml:space="preserve"> and survivors are four times more likely to face housing insecurity.</w:t>
      </w:r>
      <w:r w:rsidRPr="00554A8B">
        <w:rPr>
          <w:rStyle w:val="FootnoteReference"/>
          <w:rFonts w:ascii="Arial" w:eastAsia="Calibri" w:hAnsi="Arial" w:cs="Arial"/>
          <w:color w:val="000000" w:themeColor="text1"/>
          <w:sz w:val="23"/>
          <w:szCs w:val="23"/>
        </w:rPr>
        <w:footnoteReference w:id="19"/>
      </w:r>
      <w:r w:rsidRPr="00554A8B">
        <w:rPr>
          <w:rFonts w:ascii="Arial" w:eastAsia="Calibri" w:hAnsi="Arial" w:cs="Arial"/>
          <w:color w:val="000000" w:themeColor="text1"/>
          <w:sz w:val="23"/>
          <w:szCs w:val="23"/>
        </w:rPr>
        <w:t xml:space="preserve"> As a result, 75 </w:t>
      </w:r>
      <w:r w:rsidR="001459D2">
        <w:rPr>
          <w:rFonts w:ascii="Arial" w:eastAsia="Calibri" w:hAnsi="Arial" w:cs="Arial"/>
          <w:color w:val="000000" w:themeColor="text1"/>
          <w:sz w:val="23"/>
          <w:szCs w:val="23"/>
        </w:rPr>
        <w:t>per cent</w:t>
      </w:r>
      <w:r w:rsidRPr="00554A8B">
        <w:rPr>
          <w:rFonts w:ascii="Arial" w:eastAsia="Calibri" w:hAnsi="Arial" w:cs="Arial"/>
          <w:color w:val="000000" w:themeColor="text1"/>
          <w:sz w:val="23"/>
          <w:szCs w:val="23"/>
        </w:rPr>
        <w:t xml:space="preserve"> </w:t>
      </w:r>
      <w:r w:rsidRPr="00554A8B">
        <w:rPr>
          <w:rStyle w:val="FootnoteReference"/>
          <w:rFonts w:ascii="Arial" w:eastAsia="Calibri" w:hAnsi="Arial" w:cs="Arial"/>
          <w:color w:val="000000" w:themeColor="text1"/>
          <w:sz w:val="23"/>
          <w:szCs w:val="23"/>
        </w:rPr>
        <w:footnoteReference w:id="20"/>
      </w:r>
      <w:r w:rsidRPr="3C0EAA6C">
        <w:t>￼</w:t>
      </w:r>
      <w:r w:rsidRPr="00554A8B">
        <w:rPr>
          <w:rFonts w:ascii="Arial" w:eastAsia="Calibri" w:hAnsi="Arial" w:cs="Arial"/>
          <w:color w:val="000000" w:themeColor="text1"/>
          <w:sz w:val="23"/>
          <w:szCs w:val="23"/>
          <w:lang w:val="en-CA"/>
        </w:rPr>
        <w:t xml:space="preserve"> However, it is important to note that currently available data severely underestimates the scale of women’s homelessness and housing need, due in part to the hidden nature of women’s homelessness.</w:t>
      </w:r>
    </w:p>
    <w:p w14:paraId="40718652" w14:textId="77777777" w:rsidR="000E158E" w:rsidRPr="00554A8B" w:rsidRDefault="000E158E" w:rsidP="00E11A96">
      <w:pPr>
        <w:pStyle w:val="ListParagraph"/>
        <w:spacing w:before="100" w:beforeAutospacing="1" w:after="100" w:afterAutospacing="1" w:line="240" w:lineRule="auto"/>
        <w:rPr>
          <w:rFonts w:ascii="Arial" w:eastAsia="Calibri" w:hAnsi="Arial" w:cs="Arial"/>
          <w:sz w:val="23"/>
          <w:szCs w:val="23"/>
          <w:lang w:val="en-CA"/>
        </w:rPr>
      </w:pPr>
    </w:p>
    <w:p w14:paraId="32EFBE8D" w14:textId="5AC7101D" w:rsidR="000E158E" w:rsidRPr="00554A8B" w:rsidRDefault="000E158E" w:rsidP="00E11A96">
      <w:pPr>
        <w:pStyle w:val="ListParagraph"/>
        <w:numPr>
          <w:ilvl w:val="0"/>
          <w:numId w:val="13"/>
        </w:numPr>
        <w:shd w:val="clear" w:color="auto" w:fill="FFFFFF" w:themeFill="background1"/>
        <w:spacing w:before="100" w:beforeAutospacing="1" w:after="100" w:afterAutospacing="1" w:line="240" w:lineRule="auto"/>
        <w:rPr>
          <w:rFonts w:ascii="Arial" w:eastAsia="Calibri" w:hAnsi="Arial" w:cs="Arial"/>
          <w:color w:val="000000" w:themeColor="text1"/>
          <w:sz w:val="23"/>
          <w:szCs w:val="23"/>
        </w:rPr>
      </w:pPr>
      <w:r w:rsidRPr="00554A8B">
        <w:rPr>
          <w:rFonts w:ascii="Arial" w:eastAsia="Calibri" w:hAnsi="Arial" w:cs="Arial"/>
          <w:color w:val="000000" w:themeColor="text1"/>
          <w:sz w:val="23"/>
          <w:szCs w:val="23"/>
        </w:rPr>
        <w:t>Several factors perpetuate women’s homelessness and housing need and create barriers for access to adequate housing, including discrimination in the housing market and emergency shelter systems, lack of affordable and appropriate long-term housing options, underfunded and overwhelmed emergency shelter systems, and gaps in emergency services for women and gender-diverse people, which prevent those fleeing violence from regaining housing stability.</w:t>
      </w:r>
      <w:r w:rsidRPr="00554A8B">
        <w:rPr>
          <w:rStyle w:val="FootnoteReference"/>
          <w:rFonts w:ascii="Arial" w:eastAsia="Calibri" w:hAnsi="Arial" w:cs="Arial"/>
          <w:color w:val="000000" w:themeColor="text1"/>
          <w:sz w:val="23"/>
          <w:szCs w:val="23"/>
        </w:rPr>
        <w:footnoteReference w:id="21"/>
      </w:r>
    </w:p>
    <w:p w14:paraId="2557C365" w14:textId="77777777" w:rsidR="000E158E" w:rsidRPr="00554A8B" w:rsidRDefault="000E158E" w:rsidP="00E11A96">
      <w:pPr>
        <w:pStyle w:val="ListParagraph"/>
        <w:shd w:val="clear" w:color="auto" w:fill="FFFFFF" w:themeFill="background1"/>
        <w:spacing w:before="100" w:beforeAutospacing="1" w:after="100" w:afterAutospacing="1" w:line="240" w:lineRule="auto"/>
        <w:rPr>
          <w:rFonts w:ascii="Arial" w:eastAsia="Calibri" w:hAnsi="Arial" w:cs="Arial"/>
          <w:color w:val="000000" w:themeColor="text1"/>
          <w:sz w:val="23"/>
          <w:szCs w:val="23"/>
        </w:rPr>
      </w:pPr>
    </w:p>
    <w:p w14:paraId="6D99608F" w14:textId="7CBE4286" w:rsidR="000E158E" w:rsidRPr="00554A8B" w:rsidRDefault="000E158E" w:rsidP="00E11A96">
      <w:pPr>
        <w:pStyle w:val="ListParagraph"/>
        <w:numPr>
          <w:ilvl w:val="0"/>
          <w:numId w:val="13"/>
        </w:numPr>
        <w:shd w:val="clear" w:color="auto" w:fill="FFFFFF" w:themeFill="background1"/>
        <w:spacing w:before="100" w:beforeAutospacing="1" w:after="100" w:afterAutospacing="1" w:line="240" w:lineRule="auto"/>
        <w:rPr>
          <w:rFonts w:ascii="Arial" w:eastAsia="Calibri" w:hAnsi="Arial" w:cs="Arial"/>
          <w:color w:val="000000" w:themeColor="text1"/>
          <w:sz w:val="23"/>
          <w:szCs w:val="23"/>
          <w:vertAlign w:val="superscript"/>
        </w:rPr>
      </w:pPr>
      <w:r w:rsidRPr="00554A8B">
        <w:rPr>
          <w:rFonts w:ascii="Arial" w:eastAsia="Calibri" w:hAnsi="Arial" w:cs="Arial"/>
          <w:b/>
          <w:bCs/>
          <w:color w:val="000000" w:themeColor="text1"/>
          <w:sz w:val="23"/>
          <w:szCs w:val="23"/>
        </w:rPr>
        <w:t>A national survey on women’s housing and homelessness revealed that women’s experiences of discrimination in housing are widespread, particularly among 2SLGBTQQIA+ people, Indigenous people, racialized people, people with disabilities, people receiving social assistance, and other equity-deserving groups</w:t>
      </w:r>
      <w:r w:rsidRPr="00554A8B">
        <w:rPr>
          <w:rFonts w:ascii="Arial" w:eastAsia="Calibri" w:hAnsi="Arial" w:cs="Arial"/>
          <w:color w:val="000000" w:themeColor="text1"/>
          <w:sz w:val="23"/>
          <w:szCs w:val="23"/>
        </w:rPr>
        <w:t>. Eighty</w:t>
      </w:r>
      <w:r w:rsidR="001459D2">
        <w:rPr>
          <w:rFonts w:ascii="Arial" w:eastAsia="Calibri" w:hAnsi="Arial" w:cs="Arial"/>
          <w:color w:val="000000" w:themeColor="text1"/>
          <w:sz w:val="23"/>
          <w:szCs w:val="23"/>
        </w:rPr>
        <w:t xml:space="preserve"> per cent</w:t>
      </w:r>
      <w:r w:rsidRPr="00554A8B">
        <w:rPr>
          <w:rFonts w:ascii="Arial" w:eastAsia="Calibri" w:hAnsi="Arial" w:cs="Arial"/>
          <w:color w:val="000000" w:themeColor="text1"/>
          <w:sz w:val="23"/>
          <w:szCs w:val="23"/>
        </w:rPr>
        <w:t xml:space="preserve"> of respondents reported experiencing at least one form of discrimination from a landlord or property manager, with most </w:t>
      </w:r>
      <w:r w:rsidRPr="00554A8B">
        <w:rPr>
          <w:rFonts w:ascii="Arial" w:eastAsia="Calibri" w:hAnsi="Arial" w:cs="Arial"/>
          <w:color w:val="000000" w:themeColor="text1"/>
          <w:sz w:val="23"/>
          <w:szCs w:val="23"/>
        </w:rPr>
        <w:lastRenderedPageBreak/>
        <w:t>respondents experiencing multiple forms of discrimination. Nearly 16</w:t>
      </w:r>
      <w:r w:rsidR="001459D2">
        <w:rPr>
          <w:rFonts w:ascii="Arial" w:eastAsia="Calibri" w:hAnsi="Arial" w:cs="Arial"/>
          <w:color w:val="000000" w:themeColor="text1"/>
          <w:sz w:val="23"/>
          <w:szCs w:val="23"/>
        </w:rPr>
        <w:t xml:space="preserve"> per cent</w:t>
      </w:r>
      <w:r w:rsidRPr="00554A8B">
        <w:rPr>
          <w:rFonts w:ascii="Arial" w:eastAsia="Calibri" w:hAnsi="Arial" w:cs="Arial"/>
          <w:color w:val="000000" w:themeColor="text1"/>
          <w:sz w:val="23"/>
          <w:szCs w:val="23"/>
        </w:rPr>
        <w:t xml:space="preserve"> of respondents reported that they were forced to move out of their last home because of discrimination or harassment. Moreover, over 70 </w:t>
      </w:r>
      <w:r w:rsidR="001459D2">
        <w:rPr>
          <w:rFonts w:ascii="Arial" w:eastAsia="Calibri" w:hAnsi="Arial" w:cs="Arial"/>
          <w:color w:val="000000" w:themeColor="text1"/>
          <w:sz w:val="23"/>
          <w:szCs w:val="23"/>
        </w:rPr>
        <w:t>per cent</w:t>
      </w:r>
      <w:r w:rsidRPr="00554A8B">
        <w:rPr>
          <w:rFonts w:ascii="Arial" w:eastAsia="Calibri" w:hAnsi="Arial" w:cs="Arial"/>
          <w:color w:val="000000" w:themeColor="text1"/>
          <w:sz w:val="23"/>
          <w:szCs w:val="23"/>
        </w:rPr>
        <w:t xml:space="preserve"> of respondents reported living in unsuitable housing conditions, and 37 </w:t>
      </w:r>
      <w:r w:rsidR="001459D2">
        <w:rPr>
          <w:rFonts w:ascii="Arial" w:eastAsia="Calibri" w:hAnsi="Arial" w:cs="Arial"/>
          <w:color w:val="000000" w:themeColor="text1"/>
          <w:sz w:val="23"/>
          <w:szCs w:val="23"/>
        </w:rPr>
        <w:t>per cent</w:t>
      </w:r>
      <w:r w:rsidRPr="00554A8B">
        <w:rPr>
          <w:rFonts w:ascii="Arial" w:eastAsia="Calibri" w:hAnsi="Arial" w:cs="Arial"/>
          <w:color w:val="000000" w:themeColor="text1"/>
          <w:sz w:val="23"/>
          <w:szCs w:val="23"/>
        </w:rPr>
        <w:t xml:space="preserve"> reported experiencing an eviction, many of whom did not have access to legal support at the time they were evicted.</w:t>
      </w:r>
      <w:r w:rsidRPr="00554A8B">
        <w:rPr>
          <w:rStyle w:val="FootnoteReference"/>
          <w:rFonts w:ascii="Arial" w:eastAsia="Calibri" w:hAnsi="Arial" w:cs="Arial"/>
          <w:color w:val="000000" w:themeColor="text1"/>
          <w:sz w:val="23"/>
          <w:szCs w:val="23"/>
        </w:rPr>
        <w:footnoteReference w:id="22"/>
      </w:r>
      <w:r w:rsidRPr="00554A8B">
        <w:rPr>
          <w:rFonts w:ascii="Arial" w:eastAsia="Calibri" w:hAnsi="Arial" w:cs="Arial"/>
          <w:color w:val="000000" w:themeColor="text1"/>
          <w:sz w:val="23"/>
          <w:szCs w:val="23"/>
        </w:rPr>
        <w:t xml:space="preserve"> </w:t>
      </w:r>
    </w:p>
    <w:p w14:paraId="41F7624D" w14:textId="354FC8E2" w:rsidR="000E158E" w:rsidRPr="00554A8B" w:rsidRDefault="000E158E" w:rsidP="231684A5">
      <w:pPr>
        <w:pStyle w:val="ListParagraph"/>
        <w:shd w:val="clear" w:color="auto" w:fill="FFFFFF" w:themeFill="background1"/>
        <w:spacing w:beforeAutospacing="1" w:afterAutospacing="1" w:line="240" w:lineRule="auto"/>
        <w:rPr>
          <w:rFonts w:ascii="Arial" w:eastAsia="Calibri" w:hAnsi="Arial" w:cs="Arial"/>
          <w:color w:val="000000" w:themeColor="text1"/>
          <w:sz w:val="23"/>
          <w:szCs w:val="23"/>
          <w:vertAlign w:val="superscript"/>
        </w:rPr>
      </w:pPr>
    </w:p>
    <w:p w14:paraId="2DCBE94F" w14:textId="1320F377" w:rsidR="000E158E" w:rsidRPr="007120CC" w:rsidRDefault="000E158E" w:rsidP="00E11A96">
      <w:pPr>
        <w:pStyle w:val="ListParagraph"/>
        <w:numPr>
          <w:ilvl w:val="0"/>
          <w:numId w:val="13"/>
        </w:numPr>
        <w:shd w:val="clear" w:color="auto" w:fill="FFFFFF" w:themeFill="background1"/>
        <w:spacing w:before="100" w:beforeAutospacing="1" w:after="100" w:afterAutospacing="1" w:line="240" w:lineRule="auto"/>
        <w:rPr>
          <w:rFonts w:ascii="Arial" w:eastAsia="Calibri" w:hAnsi="Arial" w:cs="Arial"/>
          <w:color w:val="000000" w:themeColor="text1"/>
          <w:vertAlign w:val="superscript"/>
        </w:rPr>
      </w:pPr>
      <w:r w:rsidRPr="00554A8B">
        <w:rPr>
          <w:rFonts w:ascii="Arial" w:eastAsia="Calibri" w:hAnsi="Arial" w:cs="Arial"/>
          <w:color w:val="000000" w:themeColor="text1"/>
          <w:sz w:val="23"/>
          <w:szCs w:val="23"/>
        </w:rPr>
        <w:t xml:space="preserve">Across Canadian shelter systems, there are very few women-specific emergency shelter beds. </w:t>
      </w:r>
      <w:r w:rsidR="001459D2">
        <w:rPr>
          <w:rFonts w:ascii="Arial" w:eastAsia="Calibri" w:hAnsi="Arial" w:cs="Arial"/>
          <w:color w:val="000000" w:themeColor="text1"/>
          <w:sz w:val="23"/>
          <w:szCs w:val="23"/>
        </w:rPr>
        <w:t>Sixty-five per cent</w:t>
      </w:r>
      <w:r w:rsidRPr="00554A8B">
        <w:rPr>
          <w:rFonts w:ascii="Arial" w:eastAsia="Calibri" w:hAnsi="Arial" w:cs="Arial"/>
          <w:color w:val="000000" w:themeColor="text1"/>
          <w:sz w:val="23"/>
          <w:szCs w:val="23"/>
        </w:rPr>
        <w:t xml:space="preserve"> of all shelter beds are open to all genders (40</w:t>
      </w:r>
      <w:r w:rsidR="001459D2">
        <w:rPr>
          <w:rFonts w:ascii="Arial" w:eastAsia="Calibri" w:hAnsi="Arial" w:cs="Arial"/>
          <w:color w:val="000000" w:themeColor="text1"/>
          <w:sz w:val="23"/>
          <w:szCs w:val="23"/>
        </w:rPr>
        <w:t xml:space="preserve"> per cent</w:t>
      </w:r>
      <w:r w:rsidRPr="00554A8B">
        <w:rPr>
          <w:rFonts w:ascii="Arial" w:eastAsia="Calibri" w:hAnsi="Arial" w:cs="Arial"/>
          <w:color w:val="000000" w:themeColor="text1"/>
          <w:sz w:val="23"/>
          <w:szCs w:val="23"/>
        </w:rPr>
        <w:t>)</w:t>
      </w:r>
      <w:r w:rsidR="00F82B70">
        <w:rPr>
          <w:rFonts w:ascii="Arial" w:eastAsia="Calibri" w:hAnsi="Arial" w:cs="Arial"/>
          <w:color w:val="000000" w:themeColor="text1"/>
          <w:sz w:val="23"/>
          <w:szCs w:val="23"/>
        </w:rPr>
        <w:t xml:space="preserve"> </w:t>
      </w:r>
      <w:r w:rsidRPr="00554A8B">
        <w:rPr>
          <w:rFonts w:ascii="Arial" w:eastAsia="Calibri" w:hAnsi="Arial" w:cs="Arial"/>
          <w:color w:val="000000" w:themeColor="text1"/>
          <w:sz w:val="23"/>
          <w:szCs w:val="23"/>
        </w:rPr>
        <w:t xml:space="preserve">or designated for men only, compared to nine per cent dedicated specifically for women. There are close to three times the amount of emergency shelter beds available to men (4,628) compared to women (1,687) across the country, while some jurisdictions – such as Yukon – report having no women-specific emergency </w:t>
      </w:r>
      <w:r w:rsidRPr="007120CC">
        <w:rPr>
          <w:rFonts w:ascii="Arial" w:eastAsia="Calibri" w:hAnsi="Arial" w:cs="Arial"/>
          <w:color w:val="000000" w:themeColor="text1"/>
        </w:rPr>
        <w:t>homeless shelters.</w:t>
      </w:r>
      <w:r w:rsidRPr="007120CC">
        <w:rPr>
          <w:rStyle w:val="FootnoteReference"/>
          <w:rFonts w:ascii="Arial" w:eastAsia="Calibri" w:hAnsi="Arial" w:cs="Arial"/>
          <w:color w:val="000000" w:themeColor="text1"/>
        </w:rPr>
        <w:footnoteReference w:id="23"/>
      </w:r>
    </w:p>
    <w:p w14:paraId="3DAF8E1F" w14:textId="27C1ED0E" w:rsidR="000E158E" w:rsidRPr="003261EB" w:rsidRDefault="000E158E" w:rsidP="003261EB">
      <w:pPr>
        <w:pStyle w:val="Heading2"/>
      </w:pPr>
      <w:bookmarkStart w:id="3" w:name="_Toc176530412"/>
      <w:r w:rsidRPr="003261EB">
        <w:t>Impact of the COVID-19 Pandemic</w:t>
      </w:r>
      <w:bookmarkEnd w:id="3"/>
      <w:r w:rsidRPr="003261EB">
        <w:t xml:space="preserve"> </w:t>
      </w:r>
    </w:p>
    <w:p w14:paraId="4A788EFC" w14:textId="135F9741" w:rsidR="000E158E" w:rsidRPr="00554A8B" w:rsidRDefault="000E158E" w:rsidP="00E11A96">
      <w:pPr>
        <w:pStyle w:val="ListParagraph"/>
        <w:numPr>
          <w:ilvl w:val="0"/>
          <w:numId w:val="13"/>
        </w:numPr>
        <w:shd w:val="clear" w:color="auto" w:fill="FFFFFF" w:themeFill="background1"/>
        <w:spacing w:before="100" w:beforeAutospacing="1" w:after="100" w:afterAutospacing="1" w:line="240" w:lineRule="auto"/>
        <w:rPr>
          <w:rFonts w:ascii="Arial" w:eastAsia="Calibri" w:hAnsi="Arial" w:cs="Arial"/>
          <w:i/>
          <w:iCs/>
          <w:color w:val="000000" w:themeColor="text1"/>
          <w:sz w:val="23"/>
          <w:szCs w:val="23"/>
        </w:rPr>
      </w:pPr>
      <w:r w:rsidRPr="00554A8B">
        <w:rPr>
          <w:rFonts w:ascii="Arial" w:eastAsia="Calibri" w:hAnsi="Arial" w:cs="Arial"/>
          <w:sz w:val="23"/>
          <w:szCs w:val="23"/>
        </w:rPr>
        <w:t>Women’s housing need and precarity were further exacerbated by the COVID-19 pandemic, as women were disproportionately affected by job loss and other economic factors, in addition to experiencing greater risks of eviction and increased rates of GBV. For its part, Canada failed to implement specific policies or programs to address these urgent needs, undermining women’s right to housing.</w:t>
      </w:r>
      <w:r w:rsidRPr="00554A8B">
        <w:rPr>
          <w:rStyle w:val="FootnoteReference"/>
          <w:rFonts w:ascii="Arial" w:eastAsia="Calibri" w:hAnsi="Arial" w:cs="Arial"/>
          <w:sz w:val="23"/>
          <w:szCs w:val="23"/>
        </w:rPr>
        <w:footnoteReference w:id="24"/>
      </w:r>
    </w:p>
    <w:p w14:paraId="370E4148" w14:textId="77777777" w:rsidR="000E158E" w:rsidRPr="00554A8B" w:rsidRDefault="000E158E" w:rsidP="00E11A96">
      <w:pPr>
        <w:pStyle w:val="ListParagraph"/>
        <w:shd w:val="clear" w:color="auto" w:fill="FFFFFF" w:themeFill="background1"/>
        <w:spacing w:before="100" w:beforeAutospacing="1" w:after="100" w:afterAutospacing="1" w:line="240" w:lineRule="auto"/>
        <w:rPr>
          <w:rFonts w:ascii="Arial" w:eastAsia="Calibri" w:hAnsi="Arial" w:cs="Arial"/>
          <w:i/>
          <w:iCs/>
          <w:color w:val="000000" w:themeColor="text1"/>
          <w:sz w:val="23"/>
          <w:szCs w:val="23"/>
        </w:rPr>
      </w:pPr>
    </w:p>
    <w:p w14:paraId="6552875D" w14:textId="553A5587" w:rsidR="000E158E" w:rsidRPr="00554A8B" w:rsidRDefault="000E158E" w:rsidP="00C3029E">
      <w:pPr>
        <w:pStyle w:val="ListParagraph"/>
        <w:numPr>
          <w:ilvl w:val="0"/>
          <w:numId w:val="13"/>
        </w:numPr>
        <w:shd w:val="clear" w:color="auto" w:fill="FFFFFF" w:themeFill="background1"/>
        <w:spacing w:before="100" w:beforeAutospacing="1" w:after="100" w:afterAutospacing="1" w:line="240" w:lineRule="auto"/>
        <w:rPr>
          <w:rFonts w:ascii="Arial" w:eastAsia="Calibri" w:hAnsi="Arial" w:cs="Arial"/>
          <w:sz w:val="23"/>
          <w:szCs w:val="23"/>
        </w:rPr>
      </w:pPr>
      <w:r w:rsidRPr="00554A8B">
        <w:rPr>
          <w:rFonts w:ascii="Arial" w:eastAsia="Calibri" w:hAnsi="Arial" w:cs="Arial"/>
          <w:sz w:val="23"/>
          <w:szCs w:val="23"/>
        </w:rPr>
        <w:t xml:space="preserve">More than 20,000 women left the workforce between February and October 2020, while about 68,000 men joined the workforce during that </w:t>
      </w:r>
      <w:proofErr w:type="gramStart"/>
      <w:r w:rsidRPr="00554A8B">
        <w:rPr>
          <w:rFonts w:ascii="Arial" w:eastAsia="Calibri" w:hAnsi="Arial" w:cs="Arial"/>
          <w:sz w:val="23"/>
          <w:szCs w:val="23"/>
        </w:rPr>
        <w:t>time period</w:t>
      </w:r>
      <w:proofErr w:type="gramEnd"/>
      <w:r w:rsidRPr="00554A8B">
        <w:rPr>
          <w:rFonts w:ascii="Arial" w:eastAsia="Calibri" w:hAnsi="Arial" w:cs="Arial"/>
          <w:sz w:val="23"/>
          <w:szCs w:val="23"/>
        </w:rPr>
        <w:t xml:space="preserve">. While women make up just under half of all workers, they accounted for nearly two-thirds of all job losses during the pandemic and 70 </w:t>
      </w:r>
      <w:r w:rsidR="001459D2">
        <w:rPr>
          <w:rFonts w:ascii="Arial" w:eastAsia="Calibri" w:hAnsi="Arial" w:cs="Arial"/>
          <w:sz w:val="23"/>
          <w:szCs w:val="23"/>
        </w:rPr>
        <w:t>per cent</w:t>
      </w:r>
      <w:r w:rsidRPr="00554A8B">
        <w:rPr>
          <w:rFonts w:ascii="Arial" w:eastAsia="Calibri" w:hAnsi="Arial" w:cs="Arial"/>
          <w:sz w:val="23"/>
          <w:szCs w:val="23"/>
        </w:rPr>
        <w:t xml:space="preserve"> of all job losses among workers aged 25 to 54. The pandemic highlighted that women are more often employed in marginal jobs, tend to make less money than men for doing the same jobs, and are more likely to work part-time jobs and in sectors that were negatively impacted by the pandemic. Women are also more likely to work minimum wage jobs, and as such, are less likely to have financial savings.</w:t>
      </w:r>
      <w:r w:rsidRPr="00554A8B">
        <w:rPr>
          <w:rStyle w:val="FootnoteReference"/>
          <w:rFonts w:ascii="Arial" w:eastAsia="Calibri" w:hAnsi="Arial" w:cs="Arial"/>
          <w:sz w:val="23"/>
          <w:szCs w:val="23"/>
        </w:rPr>
        <w:footnoteReference w:id="25"/>
      </w:r>
    </w:p>
    <w:p w14:paraId="6B02CBD4" w14:textId="77777777" w:rsidR="000E158E" w:rsidRPr="00554A8B" w:rsidRDefault="000E158E" w:rsidP="00C7291D">
      <w:pPr>
        <w:pStyle w:val="ListParagraph"/>
        <w:shd w:val="clear" w:color="auto" w:fill="FFFFFF" w:themeFill="background1"/>
        <w:spacing w:before="100" w:beforeAutospacing="1" w:after="100" w:afterAutospacing="1" w:line="240" w:lineRule="auto"/>
        <w:rPr>
          <w:rFonts w:ascii="Arial" w:eastAsia="Calibri" w:hAnsi="Arial" w:cs="Arial"/>
          <w:sz w:val="23"/>
          <w:szCs w:val="23"/>
        </w:rPr>
      </w:pPr>
    </w:p>
    <w:p w14:paraId="7BC98738" w14:textId="1E1D10D1" w:rsidR="000E158E" w:rsidRPr="003261EB" w:rsidRDefault="000E158E" w:rsidP="003261EB">
      <w:pPr>
        <w:pStyle w:val="ListParagraph"/>
        <w:numPr>
          <w:ilvl w:val="0"/>
          <w:numId w:val="13"/>
        </w:numPr>
        <w:shd w:val="clear" w:color="auto" w:fill="FFFFFF" w:themeFill="background1"/>
        <w:spacing w:before="100" w:beforeAutospacing="1" w:after="100" w:afterAutospacing="1" w:line="240" w:lineRule="auto"/>
        <w:rPr>
          <w:rFonts w:ascii="Arial" w:eastAsia="Calibri" w:hAnsi="Arial" w:cs="Arial"/>
          <w:sz w:val="23"/>
          <w:szCs w:val="23"/>
        </w:rPr>
      </w:pPr>
      <w:r w:rsidRPr="00554A8B">
        <w:rPr>
          <w:rFonts w:ascii="Arial" w:eastAsia="Calibri" w:hAnsi="Arial" w:cs="Arial"/>
          <w:sz w:val="23"/>
          <w:szCs w:val="23"/>
        </w:rPr>
        <w:t xml:space="preserve">The loss of jobs and incomes contributed to an arrears and eviction crisis. Due to pandemic-related job losses and the lack of savings, women across the country bore the brunt of the pandemic and were forced to choose between paying rent or paying for other life necessities. Due to rising rents, emergency pandemic income supports were not sufficient to protect women-led households from eviction due to rental arrears. As a result, women experienced greater housing precarity and risk of </w:t>
      </w:r>
      <w:r w:rsidRPr="00554A8B">
        <w:rPr>
          <w:rFonts w:ascii="Arial" w:eastAsia="Calibri" w:hAnsi="Arial" w:cs="Arial"/>
          <w:sz w:val="23"/>
          <w:szCs w:val="23"/>
        </w:rPr>
        <w:lastRenderedPageBreak/>
        <w:t>homelessness due to the inability to pay rent, both during and beyond the pandemic.</w:t>
      </w:r>
      <w:r w:rsidRPr="00554A8B">
        <w:rPr>
          <w:rStyle w:val="FootnoteReference"/>
          <w:rFonts w:ascii="Arial" w:eastAsia="Calibri" w:hAnsi="Arial" w:cs="Arial"/>
          <w:sz w:val="23"/>
          <w:szCs w:val="23"/>
        </w:rPr>
        <w:footnoteReference w:id="26"/>
      </w:r>
    </w:p>
    <w:p w14:paraId="5C17257B" w14:textId="238FE49B" w:rsidR="000E158E" w:rsidRPr="003261EB" w:rsidRDefault="000E158E" w:rsidP="003261EB">
      <w:pPr>
        <w:pStyle w:val="Heading2"/>
      </w:pPr>
      <w:bookmarkStart w:id="4" w:name="_Toc176530413"/>
      <w:r w:rsidRPr="003261EB">
        <w:t>Canada’s Response to the Housing and Homelessness Crisis in Law, Policy, and Programs</w:t>
      </w:r>
      <w:bookmarkEnd w:id="4"/>
      <w:r w:rsidRPr="003261EB">
        <w:t xml:space="preserve"> </w:t>
      </w:r>
    </w:p>
    <w:p w14:paraId="786FF9F6" w14:textId="35D3B57E" w:rsidR="000E158E" w:rsidRPr="003261EB" w:rsidRDefault="000E158E" w:rsidP="003261EB">
      <w:pPr>
        <w:pStyle w:val="Heading3"/>
      </w:pPr>
      <w:bookmarkStart w:id="5" w:name="_Toc176530414"/>
      <w:r w:rsidRPr="003261EB">
        <w:t>National Housing Strategy Act Accountability Mechanisms</w:t>
      </w:r>
      <w:bookmarkEnd w:id="5"/>
      <w:r w:rsidRPr="003261EB">
        <w:t xml:space="preserve"> </w:t>
      </w:r>
    </w:p>
    <w:p w14:paraId="6D64C22D" w14:textId="7A2061FF" w:rsidR="000E158E" w:rsidRPr="00554A8B" w:rsidRDefault="000E158E" w:rsidP="00E11A96">
      <w:pPr>
        <w:pStyle w:val="ListParagraph"/>
        <w:numPr>
          <w:ilvl w:val="0"/>
          <w:numId w:val="13"/>
        </w:numPr>
        <w:spacing w:line="259" w:lineRule="auto"/>
        <w:rPr>
          <w:rFonts w:ascii="Arial" w:hAnsi="Arial" w:cs="Arial"/>
          <w:sz w:val="23"/>
          <w:szCs w:val="23"/>
        </w:rPr>
      </w:pPr>
      <w:r w:rsidRPr="00554A8B">
        <w:rPr>
          <w:rFonts w:ascii="Arial" w:hAnsi="Arial" w:cs="Arial"/>
          <w:sz w:val="23"/>
          <w:szCs w:val="23"/>
        </w:rPr>
        <w:t>The</w:t>
      </w:r>
      <w:r w:rsidRPr="00554A8B">
        <w:rPr>
          <w:rFonts w:ascii="Arial" w:hAnsi="Arial" w:cs="Arial"/>
          <w:i/>
          <w:iCs/>
          <w:sz w:val="23"/>
          <w:szCs w:val="23"/>
        </w:rPr>
        <w:t xml:space="preserve"> National Housing Strategy Act</w:t>
      </w:r>
      <w:r w:rsidRPr="00554A8B">
        <w:rPr>
          <w:rStyle w:val="FootnoteReference"/>
          <w:rFonts w:ascii="Arial" w:hAnsi="Arial" w:cs="Arial"/>
          <w:i/>
          <w:iCs/>
          <w:sz w:val="23"/>
          <w:szCs w:val="23"/>
        </w:rPr>
        <w:footnoteReference w:id="27"/>
      </w:r>
      <w:r w:rsidRPr="00554A8B">
        <w:rPr>
          <w:rFonts w:ascii="Arial" w:hAnsi="Arial" w:cs="Arial"/>
          <w:sz w:val="23"/>
          <w:szCs w:val="23"/>
        </w:rPr>
        <w:t xml:space="preserve"> (NHSA) is federal legislation that was adopted</w:t>
      </w:r>
      <w:r w:rsidR="00714943">
        <w:rPr>
          <w:rFonts w:ascii="Arial" w:hAnsi="Arial" w:cs="Arial"/>
          <w:sz w:val="23"/>
          <w:szCs w:val="23"/>
        </w:rPr>
        <w:t xml:space="preserve"> by the federal government</w:t>
      </w:r>
      <w:r w:rsidRPr="00554A8B">
        <w:rPr>
          <w:rFonts w:ascii="Arial" w:hAnsi="Arial" w:cs="Arial"/>
          <w:sz w:val="23"/>
          <w:szCs w:val="23"/>
        </w:rPr>
        <w:t xml:space="preserve"> in 2019</w:t>
      </w:r>
      <w:r w:rsidR="005A2ABE">
        <w:rPr>
          <w:rFonts w:ascii="Arial" w:hAnsi="Arial" w:cs="Arial"/>
          <w:sz w:val="23"/>
          <w:szCs w:val="23"/>
        </w:rPr>
        <w:t>.</w:t>
      </w:r>
      <w:r w:rsidRPr="00554A8B">
        <w:rPr>
          <w:rFonts w:ascii="Arial" w:hAnsi="Arial" w:cs="Arial"/>
          <w:sz w:val="23"/>
          <w:szCs w:val="23"/>
        </w:rPr>
        <w:t xml:space="preserve"> The NHSA recognizes the right to housing as “a fundamental human right affirmed in international law.” It states that “housing is essential to the inherent dignity and well-being of the person,” and commits the federal government to “further the progressive realization of the right to adequate housing as recognized in the International Covenant on Economic, Social and Cultural Rights.”</w:t>
      </w:r>
      <w:r w:rsidRPr="00554A8B">
        <w:rPr>
          <w:rStyle w:val="FootnoteReference"/>
          <w:rFonts w:ascii="Arial" w:hAnsi="Arial" w:cs="Arial"/>
          <w:sz w:val="23"/>
          <w:szCs w:val="23"/>
        </w:rPr>
        <w:footnoteReference w:id="28"/>
      </w:r>
    </w:p>
    <w:p w14:paraId="4D7A2C1D" w14:textId="77777777" w:rsidR="000E158E" w:rsidRPr="00554A8B" w:rsidRDefault="000E158E" w:rsidP="00E11A96">
      <w:pPr>
        <w:pStyle w:val="ListParagraph"/>
        <w:rPr>
          <w:rFonts w:ascii="Arial" w:hAnsi="Arial" w:cs="Arial"/>
          <w:sz w:val="23"/>
          <w:szCs w:val="23"/>
        </w:rPr>
      </w:pPr>
    </w:p>
    <w:p w14:paraId="62FB2070" w14:textId="115DEE86" w:rsidR="000E158E" w:rsidRPr="00554A8B" w:rsidRDefault="000E158E" w:rsidP="00E11A96">
      <w:pPr>
        <w:pStyle w:val="ListParagraph"/>
        <w:numPr>
          <w:ilvl w:val="0"/>
          <w:numId w:val="13"/>
        </w:numPr>
        <w:spacing w:after="0" w:line="259" w:lineRule="auto"/>
        <w:rPr>
          <w:rFonts w:ascii="Arial" w:hAnsi="Arial" w:cs="Arial"/>
          <w:sz w:val="23"/>
          <w:szCs w:val="23"/>
        </w:rPr>
      </w:pPr>
      <w:r w:rsidRPr="00554A8B">
        <w:rPr>
          <w:rFonts w:ascii="Arial" w:hAnsi="Arial" w:cs="Arial"/>
          <w:sz w:val="23"/>
          <w:szCs w:val="23"/>
        </w:rPr>
        <w:t>The NHSA also requires the government to adopt and maintain a rights-based National Housing Strategy to support the progressive realization of the right to housing. The Strategy must include national goals, timelines and desired outcomes</w:t>
      </w:r>
      <w:r w:rsidR="3C0EAA6C" w:rsidRPr="3C0EAA6C">
        <w:rPr>
          <w:rFonts w:ascii="Arial" w:hAnsi="Arial" w:cs="Arial"/>
          <w:sz w:val="23"/>
          <w:szCs w:val="23"/>
        </w:rPr>
        <w:t>,</w:t>
      </w:r>
      <w:r w:rsidRPr="00554A8B">
        <w:rPr>
          <w:rFonts w:ascii="Arial" w:hAnsi="Arial" w:cs="Arial"/>
          <w:sz w:val="23"/>
          <w:szCs w:val="23"/>
        </w:rPr>
        <w:t xml:space="preserve"> focus on improving housing outcomes for persons in greatest need</w:t>
      </w:r>
      <w:r w:rsidR="3C0EAA6C" w:rsidRPr="3C0EAA6C">
        <w:rPr>
          <w:rFonts w:ascii="Arial" w:hAnsi="Arial" w:cs="Arial"/>
          <w:sz w:val="23"/>
          <w:szCs w:val="23"/>
        </w:rPr>
        <w:t>,</w:t>
      </w:r>
      <w:r w:rsidRPr="00554A8B">
        <w:rPr>
          <w:rFonts w:ascii="Arial" w:hAnsi="Arial" w:cs="Arial"/>
          <w:sz w:val="23"/>
          <w:szCs w:val="23"/>
        </w:rPr>
        <w:t xml:space="preserve"> and provide for participatory processes to ensure the ongoing inclusion and engagement of civil society, stakeholders, vulnerable groups, and persons with lived experience of housing need, as well as those with lived experience of homelessness. A National Housing Strategy was presented by the government in 2017 (two years prior to the passing of the NHSA), but to date has not been updated to reflect the right to housing as reflected in the </w:t>
      </w:r>
      <w:r w:rsidR="3C0EAA6C" w:rsidRPr="3C0EAA6C">
        <w:rPr>
          <w:rFonts w:ascii="Arial" w:hAnsi="Arial" w:cs="Arial"/>
          <w:sz w:val="23"/>
          <w:szCs w:val="23"/>
        </w:rPr>
        <w:t>International Covenant on Economic, Social and Cultural Rights (</w:t>
      </w:r>
      <w:r w:rsidRPr="00554A8B">
        <w:rPr>
          <w:rFonts w:ascii="Arial" w:hAnsi="Arial" w:cs="Arial"/>
          <w:sz w:val="23"/>
          <w:szCs w:val="23"/>
        </w:rPr>
        <w:t>ICESCR</w:t>
      </w:r>
      <w:r w:rsidR="3C0EAA6C" w:rsidRPr="3C0EAA6C">
        <w:rPr>
          <w:rFonts w:ascii="Arial" w:hAnsi="Arial" w:cs="Arial"/>
          <w:sz w:val="23"/>
          <w:szCs w:val="23"/>
        </w:rPr>
        <w:t>)</w:t>
      </w:r>
      <w:r w:rsidRPr="00554A8B">
        <w:rPr>
          <w:rFonts w:ascii="Arial" w:hAnsi="Arial" w:cs="Arial"/>
          <w:sz w:val="23"/>
          <w:szCs w:val="23"/>
        </w:rPr>
        <w:t xml:space="preserve"> and required by the NHSA. </w:t>
      </w:r>
    </w:p>
    <w:p w14:paraId="5718429A" w14:textId="77777777" w:rsidR="000E158E" w:rsidRPr="00554A8B" w:rsidRDefault="000E158E" w:rsidP="00E11A96">
      <w:pPr>
        <w:spacing w:after="0" w:line="240" w:lineRule="auto"/>
        <w:rPr>
          <w:rFonts w:ascii="Arial" w:hAnsi="Arial" w:cs="Arial"/>
          <w:sz w:val="23"/>
          <w:szCs w:val="23"/>
        </w:rPr>
      </w:pPr>
    </w:p>
    <w:p w14:paraId="58BFE696" w14:textId="77777777" w:rsidR="000E158E" w:rsidRPr="00554A8B" w:rsidRDefault="000E158E" w:rsidP="00E11A96">
      <w:pPr>
        <w:pStyle w:val="ListParagraph"/>
        <w:numPr>
          <w:ilvl w:val="0"/>
          <w:numId w:val="13"/>
        </w:numPr>
        <w:spacing w:after="0" w:line="240" w:lineRule="auto"/>
        <w:rPr>
          <w:rFonts w:ascii="Arial" w:hAnsi="Arial" w:cs="Arial"/>
          <w:sz w:val="23"/>
          <w:szCs w:val="23"/>
        </w:rPr>
      </w:pPr>
      <w:r w:rsidRPr="00554A8B">
        <w:rPr>
          <w:rFonts w:ascii="Arial" w:hAnsi="Arial" w:cs="Arial"/>
          <w:sz w:val="23"/>
          <w:szCs w:val="23"/>
        </w:rPr>
        <w:t>The NHSA also requires the appointment of:</w:t>
      </w:r>
      <w:r w:rsidRPr="00554A8B">
        <w:rPr>
          <w:rFonts w:ascii="Arial" w:hAnsi="Arial" w:cs="Arial"/>
          <w:sz w:val="23"/>
          <w:szCs w:val="23"/>
        </w:rPr>
        <w:br/>
      </w:r>
    </w:p>
    <w:p w14:paraId="54FDDDC2" w14:textId="5BEE63BE" w:rsidR="000E158E" w:rsidRPr="00554A8B" w:rsidRDefault="000E158E" w:rsidP="00E11A96">
      <w:pPr>
        <w:pStyle w:val="ListParagraph"/>
        <w:numPr>
          <w:ilvl w:val="0"/>
          <w:numId w:val="11"/>
        </w:numPr>
        <w:spacing w:after="0" w:line="240" w:lineRule="auto"/>
        <w:rPr>
          <w:rFonts w:ascii="Arial" w:hAnsi="Arial" w:cs="Arial"/>
          <w:sz w:val="23"/>
          <w:szCs w:val="23"/>
        </w:rPr>
      </w:pPr>
      <w:r w:rsidRPr="00554A8B">
        <w:rPr>
          <w:rFonts w:ascii="Arial" w:hAnsi="Arial" w:cs="Arial"/>
          <w:sz w:val="23"/>
          <w:szCs w:val="23"/>
        </w:rPr>
        <w:t xml:space="preserve">A </w:t>
      </w:r>
      <w:r w:rsidRPr="00554A8B">
        <w:rPr>
          <w:rFonts w:ascii="Arial" w:hAnsi="Arial" w:cs="Arial"/>
          <w:b/>
          <w:sz w:val="23"/>
          <w:szCs w:val="23"/>
        </w:rPr>
        <w:t>Federal Housing Advocate</w:t>
      </w:r>
      <w:r w:rsidRPr="00554A8B">
        <w:rPr>
          <w:rFonts w:ascii="Arial" w:hAnsi="Arial" w:cs="Arial"/>
          <w:sz w:val="23"/>
          <w:szCs w:val="23"/>
        </w:rPr>
        <w:t xml:space="preserve"> who receives and reviews submissions on systemic issues</w:t>
      </w:r>
      <w:r w:rsidR="3C0EAA6C" w:rsidRPr="3C0EAA6C">
        <w:rPr>
          <w:rFonts w:ascii="Arial" w:hAnsi="Arial" w:cs="Arial"/>
          <w:sz w:val="23"/>
          <w:szCs w:val="23"/>
        </w:rPr>
        <w:t xml:space="preserve"> </w:t>
      </w:r>
      <w:r w:rsidRPr="00554A8B">
        <w:rPr>
          <w:rFonts w:ascii="Arial" w:hAnsi="Arial" w:cs="Arial"/>
          <w:sz w:val="23"/>
          <w:szCs w:val="23"/>
        </w:rPr>
        <w:t xml:space="preserve">and submits findings and recommendations to the Minister of </w:t>
      </w:r>
      <w:proofErr w:type="gramStart"/>
      <w:r w:rsidRPr="00554A8B">
        <w:rPr>
          <w:rFonts w:ascii="Arial" w:hAnsi="Arial" w:cs="Arial"/>
          <w:sz w:val="23"/>
          <w:szCs w:val="23"/>
        </w:rPr>
        <w:t>Housing;</w:t>
      </w:r>
      <w:proofErr w:type="gramEnd"/>
    </w:p>
    <w:p w14:paraId="2A315071" w14:textId="3ADD9343" w:rsidR="000E158E" w:rsidRPr="00554A8B" w:rsidRDefault="000E158E" w:rsidP="00E11A96">
      <w:pPr>
        <w:pStyle w:val="ListParagraph"/>
        <w:numPr>
          <w:ilvl w:val="0"/>
          <w:numId w:val="11"/>
        </w:numPr>
        <w:spacing w:line="259" w:lineRule="auto"/>
        <w:rPr>
          <w:rFonts w:ascii="Arial" w:hAnsi="Arial" w:cs="Arial"/>
          <w:sz w:val="23"/>
          <w:szCs w:val="23"/>
        </w:rPr>
      </w:pPr>
      <w:r w:rsidRPr="00554A8B">
        <w:rPr>
          <w:rFonts w:ascii="Arial" w:hAnsi="Arial" w:cs="Arial"/>
          <w:sz w:val="23"/>
          <w:szCs w:val="23"/>
        </w:rPr>
        <w:t xml:space="preserve">A </w:t>
      </w:r>
      <w:r w:rsidRPr="00554A8B">
        <w:rPr>
          <w:rFonts w:ascii="Arial" w:hAnsi="Arial" w:cs="Arial"/>
          <w:b/>
          <w:sz w:val="23"/>
          <w:szCs w:val="23"/>
        </w:rPr>
        <w:t>National Housing Council</w:t>
      </w:r>
      <w:r w:rsidRPr="00554A8B">
        <w:rPr>
          <w:rFonts w:ascii="Arial" w:hAnsi="Arial" w:cs="Arial"/>
          <w:sz w:val="23"/>
          <w:szCs w:val="23"/>
        </w:rPr>
        <w:t xml:space="preserve"> to advise the Minister on changes needed to the National</w:t>
      </w:r>
      <w:r w:rsidR="3C0EAA6C" w:rsidRPr="3C0EAA6C">
        <w:rPr>
          <w:rFonts w:ascii="Arial" w:hAnsi="Arial" w:cs="Arial"/>
          <w:sz w:val="23"/>
          <w:szCs w:val="23"/>
        </w:rPr>
        <w:t xml:space="preserve"> </w:t>
      </w:r>
      <w:r w:rsidRPr="00554A8B">
        <w:rPr>
          <w:rFonts w:ascii="Arial" w:hAnsi="Arial" w:cs="Arial"/>
          <w:sz w:val="23"/>
          <w:szCs w:val="23"/>
        </w:rPr>
        <w:t>Housing Strategy; and</w:t>
      </w:r>
    </w:p>
    <w:p w14:paraId="40E7C748" w14:textId="45F2B254" w:rsidR="000E158E" w:rsidRPr="00554A8B" w:rsidRDefault="000E158E" w:rsidP="00E11A96">
      <w:pPr>
        <w:pStyle w:val="ListParagraph"/>
        <w:numPr>
          <w:ilvl w:val="0"/>
          <w:numId w:val="11"/>
        </w:numPr>
        <w:spacing w:line="259" w:lineRule="auto"/>
        <w:rPr>
          <w:rFonts w:ascii="Arial" w:hAnsi="Arial" w:cs="Arial"/>
          <w:sz w:val="23"/>
          <w:szCs w:val="23"/>
        </w:rPr>
      </w:pPr>
      <w:r w:rsidRPr="00554A8B">
        <w:rPr>
          <w:rFonts w:ascii="Arial" w:hAnsi="Arial" w:cs="Arial"/>
          <w:sz w:val="23"/>
          <w:szCs w:val="23"/>
        </w:rPr>
        <w:t xml:space="preserve">A </w:t>
      </w:r>
      <w:r w:rsidRPr="00554A8B">
        <w:rPr>
          <w:rFonts w:ascii="Arial" w:hAnsi="Arial" w:cs="Arial"/>
          <w:b/>
          <w:sz w:val="23"/>
          <w:szCs w:val="23"/>
        </w:rPr>
        <w:t>Review Panel</w:t>
      </w:r>
      <w:r w:rsidRPr="00554A8B">
        <w:rPr>
          <w:rFonts w:ascii="Arial" w:hAnsi="Arial" w:cs="Arial"/>
          <w:sz w:val="23"/>
          <w:szCs w:val="23"/>
        </w:rPr>
        <w:t xml:space="preserve"> of three members, appointed by and from the National Housing Council, to hold participatory hearings into systemic issues referred </w:t>
      </w:r>
      <w:r w:rsidR="3C0EAA6C" w:rsidRPr="3C0EAA6C">
        <w:rPr>
          <w:rFonts w:ascii="Arial" w:hAnsi="Arial" w:cs="Arial"/>
          <w:sz w:val="23"/>
          <w:szCs w:val="23"/>
        </w:rPr>
        <w:t xml:space="preserve">to </w:t>
      </w:r>
      <w:r w:rsidRPr="00554A8B">
        <w:rPr>
          <w:rFonts w:ascii="Arial" w:hAnsi="Arial" w:cs="Arial"/>
          <w:sz w:val="23"/>
          <w:szCs w:val="23"/>
        </w:rPr>
        <w:t>by the Federal Housing Advocate and submits opinions and recommended measures to the federal government.</w:t>
      </w:r>
    </w:p>
    <w:p w14:paraId="16D4F2E5" w14:textId="77777777" w:rsidR="000E158E" w:rsidRPr="00554A8B" w:rsidRDefault="000E158E" w:rsidP="00E11A96">
      <w:pPr>
        <w:pStyle w:val="ListParagraph"/>
        <w:rPr>
          <w:rFonts w:ascii="Arial" w:hAnsi="Arial" w:cs="Arial"/>
          <w:sz w:val="23"/>
          <w:szCs w:val="23"/>
        </w:rPr>
      </w:pPr>
    </w:p>
    <w:p w14:paraId="0276F796" w14:textId="59047244" w:rsidR="000E158E" w:rsidRDefault="000E158E" w:rsidP="00E11A96">
      <w:pPr>
        <w:pStyle w:val="ListParagraph"/>
        <w:numPr>
          <w:ilvl w:val="0"/>
          <w:numId w:val="13"/>
        </w:numPr>
        <w:spacing w:line="259" w:lineRule="auto"/>
        <w:rPr>
          <w:rFonts w:ascii="Arial" w:hAnsi="Arial" w:cs="Arial"/>
          <w:sz w:val="23"/>
          <w:szCs w:val="23"/>
        </w:rPr>
      </w:pPr>
      <w:r w:rsidRPr="00554A8B">
        <w:rPr>
          <w:rFonts w:ascii="Arial" w:hAnsi="Arial" w:cs="Arial"/>
          <w:sz w:val="23"/>
          <w:szCs w:val="23"/>
        </w:rPr>
        <w:t xml:space="preserve">The NHSA was the result of years of civil society advocacy and urging from UN treaty bodies and successive Special Rapporteurs on the Right to Adequate Housing. It should be noted that the legislation as first introduced by the </w:t>
      </w:r>
      <w:r w:rsidR="3C0EAA6C" w:rsidRPr="3C0EAA6C">
        <w:rPr>
          <w:rFonts w:ascii="Arial" w:hAnsi="Arial" w:cs="Arial"/>
          <w:sz w:val="23"/>
          <w:szCs w:val="23"/>
        </w:rPr>
        <w:t>Government</w:t>
      </w:r>
      <w:r w:rsidRPr="00554A8B">
        <w:rPr>
          <w:rFonts w:ascii="Arial" w:hAnsi="Arial" w:cs="Arial"/>
          <w:sz w:val="23"/>
          <w:szCs w:val="23"/>
        </w:rPr>
        <w:t xml:space="preserve"> </w:t>
      </w:r>
      <w:r w:rsidRPr="00554A8B">
        <w:rPr>
          <w:rFonts w:ascii="Arial" w:hAnsi="Arial" w:cs="Arial"/>
          <w:sz w:val="23"/>
          <w:szCs w:val="23"/>
        </w:rPr>
        <w:lastRenderedPageBreak/>
        <w:t>of Canada failed to provide for meaningful accountability or hearings into systemic violations of the right to housing</w:t>
      </w:r>
      <w:r w:rsidR="3C0EAA6C" w:rsidRPr="3C0EAA6C">
        <w:rPr>
          <w:rFonts w:ascii="Arial" w:hAnsi="Arial" w:cs="Arial"/>
          <w:sz w:val="23"/>
          <w:szCs w:val="23"/>
        </w:rPr>
        <w:t>. However,</w:t>
      </w:r>
      <w:r w:rsidRPr="00554A8B">
        <w:rPr>
          <w:rFonts w:ascii="Arial" w:hAnsi="Arial" w:cs="Arial"/>
          <w:sz w:val="23"/>
          <w:szCs w:val="23"/>
        </w:rPr>
        <w:t xml:space="preserve"> after interventions from civil society and by the UN Special Rapporteur on the Right to Adequate Housing, amendments were introduced to ensure access to hearings, reviews by the independent Advocate, findings and recommendations requiring a response from </w:t>
      </w:r>
      <w:r w:rsidR="3C0EAA6C" w:rsidRPr="3C0EAA6C">
        <w:rPr>
          <w:rFonts w:ascii="Arial" w:hAnsi="Arial" w:cs="Arial"/>
          <w:sz w:val="23"/>
          <w:szCs w:val="23"/>
        </w:rPr>
        <w:t xml:space="preserve">the </w:t>
      </w:r>
      <w:r w:rsidRPr="00554A8B">
        <w:rPr>
          <w:rFonts w:ascii="Arial" w:hAnsi="Arial" w:cs="Arial"/>
          <w:sz w:val="23"/>
          <w:szCs w:val="23"/>
        </w:rPr>
        <w:t>government. The</w:t>
      </w:r>
      <w:r w:rsidR="00D074D7">
        <w:rPr>
          <w:rFonts w:ascii="Arial" w:hAnsi="Arial" w:cs="Arial"/>
          <w:sz w:val="23"/>
          <w:szCs w:val="23"/>
        </w:rPr>
        <w:t>se</w:t>
      </w:r>
      <w:r w:rsidRPr="00554A8B">
        <w:rPr>
          <w:rFonts w:ascii="Arial" w:hAnsi="Arial" w:cs="Arial"/>
          <w:sz w:val="23"/>
          <w:szCs w:val="23"/>
        </w:rPr>
        <w:t xml:space="preserve"> innovative mechanisms for access to justice outside of the court system are seen internationally as an important initiative that may be applied in other countries. The mechanisms address systemic issues that are often neglected when courts adjudicate individual claims. However, they rely on adequate support for rights claimants and good faith engagement by governments.  </w:t>
      </w:r>
    </w:p>
    <w:p w14:paraId="56F62F2D" w14:textId="77777777" w:rsidR="00217CA8" w:rsidRPr="00554A8B" w:rsidRDefault="00217CA8" w:rsidP="00217CA8">
      <w:pPr>
        <w:pStyle w:val="ListParagraph"/>
        <w:spacing w:line="259" w:lineRule="auto"/>
        <w:rPr>
          <w:rFonts w:ascii="Arial" w:hAnsi="Arial" w:cs="Arial"/>
          <w:sz w:val="23"/>
          <w:szCs w:val="23"/>
        </w:rPr>
      </w:pPr>
    </w:p>
    <w:p w14:paraId="2904F868" w14:textId="0E0770FA" w:rsidR="000E158E" w:rsidRPr="00554A8B" w:rsidRDefault="000E158E" w:rsidP="00E11A96">
      <w:pPr>
        <w:pStyle w:val="ListParagraph"/>
        <w:rPr>
          <w:rFonts w:ascii="Arial" w:eastAsia="Aptos" w:hAnsi="Arial" w:cs="Arial"/>
          <w:sz w:val="23"/>
          <w:szCs w:val="23"/>
        </w:rPr>
      </w:pPr>
      <w:r w:rsidRPr="00554A8B">
        <w:rPr>
          <w:rFonts w:ascii="Arial" w:hAnsi="Arial" w:cs="Arial"/>
          <w:noProof/>
          <w:sz w:val="23"/>
          <w:szCs w:val="23"/>
        </w:rPr>
        <w:drawing>
          <wp:inline distT="0" distB="0" distL="0" distR="0" wp14:anchorId="256D6022" wp14:editId="23D3A6AB">
            <wp:extent cx="5487145" cy="3095625"/>
            <wp:effectExtent l="0" t="0" r="0" b="0"/>
            <wp:docPr id="1001338941"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487145" cy="3095625"/>
                    </a:xfrm>
                    <a:prstGeom prst="rect">
                      <a:avLst/>
                    </a:prstGeom>
                    <a:noFill/>
                    <a:ln>
                      <a:noFill/>
                    </a:ln>
                  </pic:spPr>
                </pic:pic>
              </a:graphicData>
            </a:graphic>
          </wp:inline>
        </w:drawing>
      </w:r>
    </w:p>
    <w:p w14:paraId="1D61518D" w14:textId="2A0894AD" w:rsidR="000E158E" w:rsidRPr="00554A8B" w:rsidRDefault="000E158E" w:rsidP="00880FE8">
      <w:pPr>
        <w:rPr>
          <w:rFonts w:ascii="Arial" w:hAnsi="Arial" w:cs="Arial"/>
          <w:sz w:val="23"/>
          <w:szCs w:val="23"/>
        </w:rPr>
      </w:pPr>
    </w:p>
    <w:p w14:paraId="63800BC9" w14:textId="0D018729" w:rsidR="000E158E" w:rsidRPr="00554A8B" w:rsidRDefault="000E158E" w:rsidP="00C7291D">
      <w:pPr>
        <w:pStyle w:val="ListParagraph"/>
        <w:numPr>
          <w:ilvl w:val="0"/>
          <w:numId w:val="13"/>
        </w:numPr>
        <w:rPr>
          <w:rFonts w:ascii="Arial" w:hAnsi="Arial" w:cs="Arial"/>
          <w:sz w:val="23"/>
          <w:szCs w:val="23"/>
        </w:rPr>
      </w:pPr>
      <w:r w:rsidRPr="00554A8B">
        <w:rPr>
          <w:rFonts w:ascii="Arial" w:hAnsi="Arial" w:cs="Arial"/>
          <w:sz w:val="23"/>
          <w:szCs w:val="23"/>
        </w:rPr>
        <w:t xml:space="preserve">Through the first Review Panel, which </w:t>
      </w:r>
      <w:r w:rsidR="3C0EAA6C" w:rsidRPr="3C0EAA6C">
        <w:rPr>
          <w:rFonts w:ascii="Arial" w:hAnsi="Arial" w:cs="Arial"/>
          <w:sz w:val="23"/>
          <w:szCs w:val="23"/>
        </w:rPr>
        <w:t xml:space="preserve">examined the </w:t>
      </w:r>
      <w:r w:rsidRPr="00554A8B">
        <w:rPr>
          <w:rFonts w:ascii="Arial" w:hAnsi="Arial" w:cs="Arial"/>
          <w:sz w:val="23"/>
          <w:szCs w:val="23"/>
        </w:rPr>
        <w:t xml:space="preserve">financialization of purpose-built </w:t>
      </w:r>
      <w:r w:rsidR="3C0EAA6C" w:rsidRPr="3C0EAA6C">
        <w:rPr>
          <w:rFonts w:ascii="Arial" w:hAnsi="Arial" w:cs="Arial"/>
          <w:sz w:val="23"/>
          <w:szCs w:val="23"/>
        </w:rPr>
        <w:t>rental housing</w:t>
      </w:r>
      <w:r w:rsidRPr="00554A8B">
        <w:rPr>
          <w:rFonts w:ascii="Arial" w:hAnsi="Arial" w:cs="Arial"/>
          <w:sz w:val="23"/>
          <w:szCs w:val="23"/>
        </w:rPr>
        <w:t xml:space="preserve">, and the Federal Housing Advocate’s first review, which </w:t>
      </w:r>
      <w:r w:rsidR="3C0EAA6C" w:rsidRPr="3C0EAA6C">
        <w:rPr>
          <w:rFonts w:ascii="Arial" w:hAnsi="Arial" w:cs="Arial"/>
          <w:sz w:val="23"/>
          <w:szCs w:val="23"/>
        </w:rPr>
        <w:t>examined</w:t>
      </w:r>
      <w:r w:rsidRPr="00554A8B">
        <w:rPr>
          <w:rFonts w:ascii="Arial" w:hAnsi="Arial" w:cs="Arial"/>
          <w:sz w:val="23"/>
          <w:szCs w:val="23"/>
        </w:rPr>
        <w:t xml:space="preserve"> homeless encampments in 2023, right holders in Canada participated in unprecedented accountability mechanisms committed to identifying and remedying systemic violations of the right to housing. </w:t>
      </w:r>
    </w:p>
    <w:p w14:paraId="4A3C4A8E" w14:textId="77777777" w:rsidR="000E158E" w:rsidRPr="00554A8B" w:rsidRDefault="000E158E" w:rsidP="00C7291D">
      <w:pPr>
        <w:pStyle w:val="ListParagraph"/>
        <w:rPr>
          <w:rFonts w:ascii="Arial" w:hAnsi="Arial" w:cs="Arial"/>
          <w:sz w:val="23"/>
          <w:szCs w:val="23"/>
        </w:rPr>
      </w:pPr>
    </w:p>
    <w:p w14:paraId="1C759BAD" w14:textId="5E7F98E3" w:rsidR="000E158E" w:rsidRPr="00554A8B" w:rsidRDefault="000E158E" w:rsidP="00747E51">
      <w:pPr>
        <w:pStyle w:val="ListParagraph"/>
        <w:numPr>
          <w:ilvl w:val="0"/>
          <w:numId w:val="13"/>
        </w:numPr>
        <w:rPr>
          <w:rFonts w:ascii="Arial" w:hAnsi="Arial" w:cs="Arial"/>
          <w:sz w:val="23"/>
          <w:szCs w:val="23"/>
        </w:rPr>
      </w:pPr>
      <w:r w:rsidRPr="00554A8B">
        <w:rPr>
          <w:rFonts w:ascii="Arial" w:hAnsi="Arial" w:cs="Arial"/>
          <w:sz w:val="23"/>
          <w:szCs w:val="23"/>
        </w:rPr>
        <w:t xml:space="preserve">While civil society engagement was one of the strongest components of the Review Panel on financialization, the noticeable absence of key government departments and elected officials from all levels of government represents a critical weak link in the review panel process. Importantly, </w:t>
      </w:r>
      <w:r w:rsidR="3C0EAA6C" w:rsidRPr="3C0EAA6C">
        <w:rPr>
          <w:rFonts w:ascii="Arial" w:hAnsi="Arial" w:cs="Arial"/>
          <w:sz w:val="23"/>
          <w:szCs w:val="23"/>
        </w:rPr>
        <w:t xml:space="preserve">participation </w:t>
      </w:r>
      <w:r w:rsidRPr="00554A8B">
        <w:rPr>
          <w:rFonts w:ascii="Arial" w:hAnsi="Arial" w:cs="Arial"/>
          <w:sz w:val="23"/>
          <w:szCs w:val="23"/>
        </w:rPr>
        <w:t xml:space="preserve">from </w:t>
      </w:r>
      <w:r w:rsidR="3C0EAA6C" w:rsidRPr="3C0EAA6C">
        <w:rPr>
          <w:rFonts w:ascii="Arial" w:hAnsi="Arial" w:cs="Arial"/>
          <w:sz w:val="23"/>
          <w:szCs w:val="23"/>
        </w:rPr>
        <w:t>the Canada</w:t>
      </w:r>
      <w:r w:rsidRPr="00554A8B">
        <w:rPr>
          <w:rFonts w:ascii="Arial" w:hAnsi="Arial" w:cs="Arial"/>
          <w:sz w:val="23"/>
          <w:szCs w:val="23"/>
        </w:rPr>
        <w:t xml:space="preserve"> Mortgage </w:t>
      </w:r>
      <w:r w:rsidR="3C0EAA6C" w:rsidRPr="3C0EAA6C">
        <w:rPr>
          <w:rFonts w:ascii="Arial" w:hAnsi="Arial" w:cs="Arial"/>
          <w:sz w:val="23"/>
          <w:szCs w:val="23"/>
        </w:rPr>
        <w:t xml:space="preserve">and Housing </w:t>
      </w:r>
      <w:r w:rsidRPr="00554A8B">
        <w:rPr>
          <w:rFonts w:ascii="Arial" w:hAnsi="Arial" w:cs="Arial"/>
          <w:sz w:val="23"/>
          <w:szCs w:val="23"/>
        </w:rPr>
        <w:t xml:space="preserve">Corporation (CMHC), Economic and Social Development Canada (ESDC), Women and Gender </w:t>
      </w:r>
      <w:r w:rsidR="3C0EAA6C" w:rsidRPr="3C0EAA6C">
        <w:rPr>
          <w:rFonts w:ascii="Arial" w:hAnsi="Arial" w:cs="Arial"/>
          <w:sz w:val="23"/>
          <w:szCs w:val="23"/>
        </w:rPr>
        <w:t xml:space="preserve">Equality Canada </w:t>
      </w:r>
      <w:r w:rsidRPr="00554A8B">
        <w:rPr>
          <w:rFonts w:ascii="Arial" w:hAnsi="Arial" w:cs="Arial"/>
          <w:sz w:val="23"/>
          <w:szCs w:val="23"/>
        </w:rPr>
        <w:t xml:space="preserve">(WAGE), and </w:t>
      </w:r>
      <w:r w:rsidR="3C0EAA6C" w:rsidRPr="3C0EAA6C">
        <w:rPr>
          <w:rFonts w:ascii="Arial" w:hAnsi="Arial" w:cs="Arial"/>
          <w:sz w:val="23"/>
          <w:szCs w:val="23"/>
        </w:rPr>
        <w:t xml:space="preserve">Housing, </w:t>
      </w:r>
      <w:r w:rsidRPr="00554A8B">
        <w:rPr>
          <w:rFonts w:ascii="Arial" w:hAnsi="Arial" w:cs="Arial"/>
          <w:sz w:val="23"/>
          <w:szCs w:val="23"/>
        </w:rPr>
        <w:t xml:space="preserve">Infrastructure </w:t>
      </w:r>
      <w:r w:rsidR="3C0EAA6C" w:rsidRPr="3C0EAA6C">
        <w:rPr>
          <w:rFonts w:ascii="Arial" w:hAnsi="Arial" w:cs="Arial"/>
          <w:sz w:val="23"/>
          <w:szCs w:val="23"/>
        </w:rPr>
        <w:t xml:space="preserve">and Communities Canada (HICC) </w:t>
      </w:r>
      <w:r w:rsidRPr="00554A8B">
        <w:rPr>
          <w:rFonts w:ascii="Arial" w:hAnsi="Arial" w:cs="Arial"/>
          <w:sz w:val="23"/>
          <w:szCs w:val="23"/>
        </w:rPr>
        <w:t xml:space="preserve">can help </w:t>
      </w:r>
      <w:r w:rsidR="3C0EAA6C" w:rsidRPr="3C0EAA6C">
        <w:rPr>
          <w:rFonts w:ascii="Arial" w:hAnsi="Arial" w:cs="Arial"/>
          <w:sz w:val="23"/>
          <w:szCs w:val="23"/>
        </w:rPr>
        <w:t>future Review Panels to create</w:t>
      </w:r>
      <w:r w:rsidRPr="00554A8B">
        <w:rPr>
          <w:rFonts w:ascii="Arial" w:hAnsi="Arial" w:cs="Arial"/>
          <w:sz w:val="23"/>
          <w:szCs w:val="23"/>
        </w:rPr>
        <w:t xml:space="preserve"> more informed recommendations that narrow in on remedying structural gaps, barriers and </w:t>
      </w:r>
      <w:r w:rsidRPr="00554A8B">
        <w:rPr>
          <w:rFonts w:ascii="Arial" w:hAnsi="Arial" w:cs="Arial"/>
          <w:sz w:val="23"/>
          <w:szCs w:val="23"/>
        </w:rPr>
        <w:lastRenderedPageBreak/>
        <w:t xml:space="preserve">challenges to eliminate violations </w:t>
      </w:r>
      <w:r w:rsidR="3C0EAA6C" w:rsidRPr="3C0EAA6C">
        <w:rPr>
          <w:rFonts w:ascii="Arial" w:hAnsi="Arial" w:cs="Arial"/>
          <w:sz w:val="23"/>
          <w:szCs w:val="23"/>
        </w:rPr>
        <w:t>of</w:t>
      </w:r>
      <w:r w:rsidRPr="00554A8B">
        <w:rPr>
          <w:rFonts w:ascii="Arial" w:hAnsi="Arial" w:cs="Arial"/>
          <w:sz w:val="23"/>
          <w:szCs w:val="23"/>
        </w:rPr>
        <w:t xml:space="preserve"> the right to housing of women and gender-diverse people in greatest need. </w:t>
      </w:r>
    </w:p>
    <w:p w14:paraId="550E30DE" w14:textId="77777777" w:rsidR="000E158E" w:rsidRPr="00554A8B" w:rsidRDefault="000E158E" w:rsidP="00C7291D">
      <w:pPr>
        <w:pStyle w:val="ListParagraph"/>
        <w:rPr>
          <w:rFonts w:ascii="Arial" w:hAnsi="Arial" w:cs="Arial"/>
          <w:sz w:val="23"/>
          <w:szCs w:val="23"/>
        </w:rPr>
      </w:pPr>
    </w:p>
    <w:p w14:paraId="3AE4DAB1" w14:textId="2FE6F530" w:rsidR="000E158E" w:rsidRPr="00554A8B" w:rsidRDefault="000E158E" w:rsidP="00C7291D">
      <w:pPr>
        <w:pStyle w:val="ListParagraph"/>
        <w:numPr>
          <w:ilvl w:val="0"/>
          <w:numId w:val="13"/>
        </w:numPr>
        <w:rPr>
          <w:rFonts w:ascii="Arial" w:hAnsi="Arial" w:cs="Arial"/>
          <w:sz w:val="23"/>
          <w:szCs w:val="23"/>
        </w:rPr>
      </w:pPr>
      <w:r w:rsidRPr="00554A8B">
        <w:rPr>
          <w:rFonts w:ascii="Arial" w:hAnsi="Arial" w:cs="Arial"/>
          <w:sz w:val="23"/>
          <w:szCs w:val="23"/>
        </w:rPr>
        <w:t>Ultimately, the strength of the recommendations generated from these processes is the biggest test of the processes’ ability to drive the progressive realization of housing as a human right. With reports from the first Review Panel released, rights holders are voicing concerns that the recommendations fall short of presenting housing solutions that would address the urgency and direness of the crisis.</w:t>
      </w:r>
      <w:r w:rsidRPr="00554A8B">
        <w:rPr>
          <w:rStyle w:val="FootnoteReference"/>
          <w:rFonts w:ascii="Arial" w:hAnsi="Arial" w:cs="Arial"/>
          <w:sz w:val="23"/>
          <w:szCs w:val="23"/>
        </w:rPr>
        <w:footnoteReference w:id="29"/>
      </w:r>
      <w:r w:rsidRPr="00554A8B">
        <w:rPr>
          <w:rFonts w:ascii="Arial" w:hAnsi="Arial" w:cs="Arial"/>
          <w:sz w:val="23"/>
          <w:szCs w:val="23"/>
        </w:rPr>
        <w:t xml:space="preserve"> </w:t>
      </w:r>
    </w:p>
    <w:p w14:paraId="50448C13" w14:textId="1B81352B" w:rsidR="000E158E" w:rsidRPr="003261EB" w:rsidRDefault="000E158E" w:rsidP="003261EB">
      <w:pPr>
        <w:pStyle w:val="Heading3"/>
      </w:pPr>
      <w:bookmarkStart w:id="6" w:name="_Toc176530415"/>
      <w:r w:rsidRPr="003261EB">
        <w:t>Federal Policies and Programs</w:t>
      </w:r>
      <w:bookmarkEnd w:id="6"/>
      <w:r w:rsidRPr="003261EB">
        <w:t xml:space="preserve"> </w:t>
      </w:r>
    </w:p>
    <w:p w14:paraId="2A4F7498" w14:textId="54C8B682" w:rsidR="000E158E" w:rsidRPr="00554A8B" w:rsidRDefault="000E158E" w:rsidP="00C7291D">
      <w:pPr>
        <w:pStyle w:val="ListParagraph"/>
        <w:numPr>
          <w:ilvl w:val="0"/>
          <w:numId w:val="13"/>
        </w:numPr>
        <w:spacing w:before="240" w:after="240"/>
        <w:rPr>
          <w:rFonts w:ascii="Arial" w:hAnsi="Arial" w:cs="Arial"/>
          <w:sz w:val="23"/>
          <w:szCs w:val="23"/>
        </w:rPr>
      </w:pPr>
      <w:r w:rsidRPr="00554A8B">
        <w:rPr>
          <w:rFonts w:ascii="Arial" w:eastAsia="Aptos" w:hAnsi="Arial" w:cs="Arial"/>
          <w:sz w:val="23"/>
          <w:szCs w:val="23"/>
        </w:rPr>
        <w:t xml:space="preserve">In 2017, the federal government launched Canada’s first National Housing Strategy, followed by the </w:t>
      </w:r>
      <w:proofErr w:type="gramStart"/>
      <w:r w:rsidRPr="00554A8B">
        <w:rPr>
          <w:rFonts w:ascii="Arial" w:eastAsia="Aptos" w:hAnsi="Arial" w:cs="Arial"/>
          <w:sz w:val="23"/>
          <w:szCs w:val="23"/>
        </w:rPr>
        <w:t>aforementioned 2019</w:t>
      </w:r>
      <w:proofErr w:type="gramEnd"/>
      <w:r w:rsidRPr="00554A8B">
        <w:rPr>
          <w:rFonts w:ascii="Arial" w:eastAsia="Aptos" w:hAnsi="Arial" w:cs="Arial"/>
          <w:sz w:val="23"/>
          <w:szCs w:val="23"/>
        </w:rPr>
        <w:t xml:space="preserve"> </w:t>
      </w:r>
      <w:r w:rsidRPr="00217948">
        <w:rPr>
          <w:rFonts w:ascii="Arial" w:eastAsia="Aptos" w:hAnsi="Arial" w:cs="Arial"/>
          <w:sz w:val="23"/>
          <w:szCs w:val="23"/>
        </w:rPr>
        <w:t>NHSA</w:t>
      </w:r>
      <w:r w:rsidRPr="00554A8B">
        <w:rPr>
          <w:rFonts w:ascii="Arial" w:eastAsia="Aptos" w:hAnsi="Arial" w:cs="Arial"/>
          <w:sz w:val="23"/>
          <w:szCs w:val="23"/>
        </w:rPr>
        <w:t>, recognizing the progressive realization of the human right to adequate housing. The 2017 Strategy committed 25 per cent of investments to women and girls, but since then, governments have made few efforts to monitor or measure if this target is being met. In addition, homelessness programs under the strategy do not reflect gendered experiences of homelessness, such as hidden homelessness.</w:t>
      </w:r>
      <w:r w:rsidRPr="00554A8B">
        <w:rPr>
          <w:rStyle w:val="FootnoteReference"/>
          <w:rFonts w:ascii="Arial" w:eastAsia="Aptos" w:hAnsi="Arial" w:cs="Arial"/>
          <w:sz w:val="23"/>
          <w:szCs w:val="23"/>
        </w:rPr>
        <w:footnoteReference w:id="30"/>
      </w:r>
    </w:p>
    <w:p w14:paraId="733A8B33" w14:textId="5D6C7FB5" w:rsidR="000E158E" w:rsidRPr="00554A8B" w:rsidRDefault="000E158E" w:rsidP="231684A5">
      <w:pPr>
        <w:pStyle w:val="ListParagraph"/>
        <w:spacing w:before="240" w:after="240"/>
        <w:rPr>
          <w:rFonts w:ascii="Arial" w:hAnsi="Arial" w:cs="Arial"/>
          <w:sz w:val="23"/>
          <w:szCs w:val="23"/>
        </w:rPr>
      </w:pPr>
    </w:p>
    <w:p w14:paraId="6DB4015B" w14:textId="78D71645" w:rsidR="000E158E" w:rsidRPr="00554A8B" w:rsidRDefault="000E158E" w:rsidP="231684A5">
      <w:pPr>
        <w:pStyle w:val="ListParagraph"/>
        <w:numPr>
          <w:ilvl w:val="0"/>
          <w:numId w:val="13"/>
        </w:numPr>
        <w:spacing w:before="240" w:after="240"/>
        <w:rPr>
          <w:rFonts w:ascii="Arial" w:hAnsi="Arial" w:cs="Arial"/>
          <w:sz w:val="23"/>
          <w:szCs w:val="23"/>
        </w:rPr>
      </w:pPr>
      <w:r w:rsidRPr="00554A8B">
        <w:rPr>
          <w:rFonts w:ascii="Arial" w:eastAsia="Aptos" w:hAnsi="Arial" w:cs="Arial"/>
          <w:sz w:val="23"/>
          <w:szCs w:val="23"/>
        </w:rPr>
        <w:t xml:space="preserve">The Government of Canada has not yet adopted a strategy to prevent and end homelessness amongst </w:t>
      </w:r>
      <w:r w:rsidRPr="00554A8B">
        <w:rPr>
          <w:rFonts w:ascii="Arial" w:hAnsi="Arial" w:cs="Arial"/>
          <w:sz w:val="23"/>
          <w:szCs w:val="23"/>
        </w:rPr>
        <w:t xml:space="preserve">women and gender-diverse persons in Canada. The existing federal commitment to end chronic homelessness by 2030 does not specify how this target will be reached for women and gender-diverse persons, especially given that chronic homelessness is commonly hidden for this population (e.g., chronic situations of abuse, couch-surfing, and/or relying on dangerous survival strategies to pay rent, such as trading sex for payment). As has been documented extensively elsewhere, current data collection methods (e.g., Point in Time Counts, Street Needs Assessments, By-Name Lists) are largely unable to capture experiences of hidden homelessness. As a result, these gendered experiences are inadvertently </w:t>
      </w:r>
      <w:proofErr w:type="spellStart"/>
      <w:r w:rsidRPr="00554A8B">
        <w:rPr>
          <w:rFonts w:ascii="Arial" w:hAnsi="Arial" w:cs="Arial"/>
          <w:sz w:val="23"/>
          <w:szCs w:val="23"/>
        </w:rPr>
        <w:t>invisibilized</w:t>
      </w:r>
      <w:proofErr w:type="spellEnd"/>
      <w:r w:rsidRPr="00554A8B">
        <w:rPr>
          <w:rFonts w:ascii="Arial" w:hAnsi="Arial" w:cs="Arial"/>
          <w:sz w:val="23"/>
          <w:szCs w:val="23"/>
        </w:rPr>
        <w:t>, making it difficult to track progress towards the elimination of homelessness amongst women and gender-diverse people.</w:t>
      </w:r>
      <w:r w:rsidRPr="00554A8B">
        <w:rPr>
          <w:rStyle w:val="FootnoteReference"/>
          <w:rFonts w:ascii="Arial" w:hAnsi="Arial" w:cs="Arial"/>
          <w:sz w:val="23"/>
          <w:szCs w:val="23"/>
        </w:rPr>
        <w:footnoteReference w:id="31"/>
      </w:r>
    </w:p>
    <w:p w14:paraId="74BB54EA" w14:textId="6EE8C566" w:rsidR="000E158E" w:rsidRPr="00554A8B" w:rsidRDefault="000E158E" w:rsidP="231684A5">
      <w:pPr>
        <w:pStyle w:val="ListParagraph"/>
        <w:spacing w:before="240" w:after="240"/>
        <w:rPr>
          <w:rFonts w:ascii="Arial" w:hAnsi="Arial" w:cs="Arial"/>
          <w:sz w:val="23"/>
          <w:szCs w:val="23"/>
        </w:rPr>
      </w:pPr>
    </w:p>
    <w:p w14:paraId="16591303" w14:textId="4B2681EE" w:rsidR="000E158E" w:rsidRPr="00554A8B" w:rsidRDefault="000E158E" w:rsidP="231684A5">
      <w:pPr>
        <w:pStyle w:val="ListParagraph"/>
        <w:numPr>
          <w:ilvl w:val="0"/>
          <w:numId w:val="13"/>
        </w:numPr>
        <w:spacing w:before="240" w:after="240"/>
        <w:rPr>
          <w:rFonts w:ascii="Arial" w:hAnsi="Arial" w:cs="Arial"/>
          <w:sz w:val="23"/>
          <w:szCs w:val="23"/>
        </w:rPr>
      </w:pPr>
      <w:r w:rsidRPr="00554A8B">
        <w:rPr>
          <w:rFonts w:ascii="Arial" w:hAnsi="Arial" w:cs="Arial"/>
          <w:sz w:val="23"/>
          <w:szCs w:val="23"/>
        </w:rPr>
        <w:t xml:space="preserve">In the Canadian context, governments tend to focus on addressing visible homelessness, often in the form of rough sleeping (or ‘unsheltered homelessness’), </w:t>
      </w:r>
      <w:r w:rsidRPr="00554A8B">
        <w:rPr>
          <w:rFonts w:ascii="Arial" w:hAnsi="Arial" w:cs="Arial"/>
          <w:sz w:val="23"/>
          <w:szCs w:val="23"/>
        </w:rPr>
        <w:lastRenderedPageBreak/>
        <w:t xml:space="preserve">with investments and programs targeting people experiencing chronic homelessness. </w:t>
      </w:r>
      <w:r w:rsidR="3C0EAA6C" w:rsidRPr="3C0EAA6C">
        <w:rPr>
          <w:rFonts w:ascii="Arial" w:hAnsi="Arial" w:cs="Arial"/>
          <w:sz w:val="23"/>
          <w:szCs w:val="23"/>
        </w:rPr>
        <w:t>Reaching Home, Canada’s current homelessness strategy,</w:t>
      </w:r>
      <w:r w:rsidRPr="00554A8B">
        <w:rPr>
          <w:rFonts w:ascii="Arial" w:hAnsi="Arial" w:cs="Arial"/>
          <w:sz w:val="23"/>
          <w:szCs w:val="23"/>
        </w:rPr>
        <w:t xml:space="preserve"> and its predecessor, the Homelessness Partnering Strategy, prioritize addressing chronic homelessness in its programs</w:t>
      </w:r>
      <w:r w:rsidR="3C0EAA6C" w:rsidRPr="3C0EAA6C">
        <w:rPr>
          <w:rFonts w:ascii="Arial" w:hAnsi="Arial" w:cs="Arial"/>
          <w:sz w:val="23"/>
          <w:szCs w:val="23"/>
        </w:rPr>
        <w:t>. In</w:t>
      </w:r>
      <w:r w:rsidRPr="00554A8B">
        <w:rPr>
          <w:rFonts w:ascii="Arial" w:hAnsi="Arial" w:cs="Arial"/>
          <w:sz w:val="23"/>
          <w:szCs w:val="23"/>
        </w:rPr>
        <w:t xml:space="preserve"> </w:t>
      </w:r>
      <w:r w:rsidR="3C0EAA6C" w:rsidRPr="3C0EAA6C">
        <w:rPr>
          <w:rFonts w:ascii="Arial" w:hAnsi="Arial" w:cs="Arial"/>
          <w:sz w:val="23"/>
          <w:szCs w:val="23"/>
        </w:rPr>
        <w:t xml:space="preserve">its </w:t>
      </w:r>
      <w:r w:rsidRPr="00554A8B">
        <w:rPr>
          <w:rFonts w:ascii="Arial" w:hAnsi="Arial" w:cs="Arial"/>
          <w:sz w:val="23"/>
          <w:szCs w:val="23"/>
        </w:rPr>
        <w:t xml:space="preserve">2020 Speech </w:t>
      </w:r>
      <w:r w:rsidR="3C0EAA6C" w:rsidRPr="3C0EAA6C">
        <w:rPr>
          <w:rFonts w:ascii="Arial" w:hAnsi="Arial" w:cs="Arial"/>
          <w:sz w:val="23"/>
          <w:szCs w:val="23"/>
        </w:rPr>
        <w:t xml:space="preserve">from the Throne, the federal government </w:t>
      </w:r>
      <w:proofErr w:type="gramStart"/>
      <w:r w:rsidRPr="00554A8B">
        <w:rPr>
          <w:rFonts w:ascii="Arial" w:hAnsi="Arial" w:cs="Arial"/>
          <w:sz w:val="23"/>
          <w:szCs w:val="23"/>
        </w:rPr>
        <w:t>committed  to</w:t>
      </w:r>
      <w:proofErr w:type="gramEnd"/>
      <w:r w:rsidRPr="00554A8B">
        <w:rPr>
          <w:rFonts w:ascii="Arial" w:hAnsi="Arial" w:cs="Arial"/>
          <w:sz w:val="23"/>
          <w:szCs w:val="23"/>
        </w:rPr>
        <w:t xml:space="preserve"> ending chronic homelessness in Canada. However, the definition of chronic homelessness used </w:t>
      </w:r>
      <w:r w:rsidR="3C0EAA6C" w:rsidRPr="3C0EAA6C">
        <w:rPr>
          <w:rFonts w:ascii="Arial" w:hAnsi="Arial" w:cs="Arial"/>
          <w:sz w:val="23"/>
          <w:szCs w:val="23"/>
        </w:rPr>
        <w:t xml:space="preserve">in </w:t>
      </w:r>
      <w:r w:rsidRPr="00554A8B">
        <w:rPr>
          <w:rFonts w:ascii="Arial" w:hAnsi="Arial" w:cs="Arial"/>
          <w:sz w:val="23"/>
          <w:szCs w:val="23"/>
        </w:rPr>
        <w:t>Reaching Home fails to account for the often</w:t>
      </w:r>
      <w:r w:rsidR="3C0EAA6C" w:rsidRPr="3C0EAA6C">
        <w:rPr>
          <w:rFonts w:ascii="Arial" w:hAnsi="Arial" w:cs="Arial"/>
          <w:sz w:val="23"/>
          <w:szCs w:val="23"/>
        </w:rPr>
        <w:t>-</w:t>
      </w:r>
      <w:r w:rsidRPr="00554A8B">
        <w:rPr>
          <w:rFonts w:ascii="Arial" w:hAnsi="Arial" w:cs="Arial"/>
          <w:sz w:val="23"/>
          <w:szCs w:val="23"/>
        </w:rPr>
        <w:t>hidden forms of homelessness that women, girls, women-led families, and gender-diverse persons experience. These include conditions such as:</w:t>
      </w:r>
    </w:p>
    <w:p w14:paraId="0CB7BF16" w14:textId="7D74F2E4" w:rsidR="000E158E" w:rsidRPr="00554A8B" w:rsidRDefault="000E158E" w:rsidP="231684A5">
      <w:pPr>
        <w:pStyle w:val="ListParagraph"/>
        <w:numPr>
          <w:ilvl w:val="1"/>
          <w:numId w:val="13"/>
        </w:numPr>
        <w:spacing w:before="240" w:after="240"/>
        <w:rPr>
          <w:rFonts w:ascii="Arial" w:hAnsi="Arial" w:cs="Arial"/>
          <w:sz w:val="23"/>
          <w:szCs w:val="23"/>
        </w:rPr>
      </w:pPr>
      <w:r w:rsidRPr="00554A8B">
        <w:rPr>
          <w:rFonts w:ascii="Arial" w:hAnsi="Arial" w:cs="Arial"/>
          <w:sz w:val="23"/>
          <w:szCs w:val="23"/>
        </w:rPr>
        <w:t xml:space="preserve">“Remaining in an abusive relationship </w:t>
      </w:r>
      <w:proofErr w:type="gramStart"/>
      <w:r w:rsidRPr="00554A8B">
        <w:rPr>
          <w:rFonts w:ascii="Arial" w:hAnsi="Arial" w:cs="Arial"/>
          <w:sz w:val="23"/>
          <w:szCs w:val="23"/>
        </w:rPr>
        <w:t>in order to</w:t>
      </w:r>
      <w:proofErr w:type="gramEnd"/>
      <w:r w:rsidRPr="00554A8B">
        <w:rPr>
          <w:rFonts w:ascii="Arial" w:hAnsi="Arial" w:cs="Arial"/>
          <w:sz w:val="23"/>
          <w:szCs w:val="23"/>
        </w:rPr>
        <w:t xml:space="preserve"> maintain housing</w:t>
      </w:r>
      <w:r w:rsidR="3C0EAA6C" w:rsidRPr="3C0EAA6C">
        <w:rPr>
          <w:rFonts w:ascii="Arial" w:hAnsi="Arial" w:cs="Arial"/>
          <w:sz w:val="23"/>
          <w:szCs w:val="23"/>
        </w:rPr>
        <w:t>.</w:t>
      </w:r>
    </w:p>
    <w:p w14:paraId="147E23DC" w14:textId="1F536726" w:rsidR="000E158E" w:rsidRPr="00554A8B" w:rsidRDefault="000E158E" w:rsidP="231684A5">
      <w:pPr>
        <w:pStyle w:val="ListParagraph"/>
        <w:numPr>
          <w:ilvl w:val="1"/>
          <w:numId w:val="13"/>
        </w:numPr>
        <w:spacing w:before="240" w:after="240"/>
        <w:rPr>
          <w:rFonts w:ascii="Arial" w:hAnsi="Arial" w:cs="Arial"/>
          <w:sz w:val="23"/>
          <w:szCs w:val="23"/>
        </w:rPr>
      </w:pPr>
      <w:r w:rsidRPr="00554A8B">
        <w:rPr>
          <w:rFonts w:ascii="Arial" w:hAnsi="Arial" w:cs="Arial"/>
          <w:sz w:val="23"/>
          <w:szCs w:val="23"/>
        </w:rPr>
        <w:t xml:space="preserve">Living in inadequate or dangerous housing </w:t>
      </w:r>
      <w:proofErr w:type="gramStart"/>
      <w:r w:rsidRPr="00554A8B">
        <w:rPr>
          <w:rFonts w:ascii="Arial" w:hAnsi="Arial" w:cs="Arial"/>
          <w:sz w:val="23"/>
          <w:szCs w:val="23"/>
        </w:rPr>
        <w:t>in order to</w:t>
      </w:r>
      <w:proofErr w:type="gramEnd"/>
      <w:r w:rsidRPr="00554A8B">
        <w:rPr>
          <w:rFonts w:ascii="Arial" w:hAnsi="Arial" w:cs="Arial"/>
          <w:sz w:val="23"/>
          <w:szCs w:val="23"/>
        </w:rPr>
        <w:t xml:space="preserve"> keep the family together or</w:t>
      </w:r>
      <w:r w:rsidR="3C0EAA6C" w:rsidRPr="3C0EAA6C">
        <w:rPr>
          <w:rFonts w:ascii="Arial" w:hAnsi="Arial" w:cs="Arial"/>
          <w:sz w:val="23"/>
          <w:szCs w:val="23"/>
        </w:rPr>
        <w:t xml:space="preserve"> maintain custody over one’s children.</w:t>
      </w:r>
    </w:p>
    <w:p w14:paraId="28DBD4C9" w14:textId="750F4F70" w:rsidR="000E158E" w:rsidRPr="00554A8B" w:rsidRDefault="000E158E" w:rsidP="231684A5">
      <w:pPr>
        <w:pStyle w:val="ListParagraph"/>
        <w:numPr>
          <w:ilvl w:val="1"/>
          <w:numId w:val="13"/>
        </w:numPr>
        <w:spacing w:before="240" w:after="240"/>
        <w:rPr>
          <w:rFonts w:ascii="Arial" w:hAnsi="Arial" w:cs="Arial"/>
          <w:sz w:val="23"/>
          <w:szCs w:val="23"/>
        </w:rPr>
      </w:pPr>
      <w:r w:rsidRPr="00554A8B">
        <w:rPr>
          <w:rFonts w:ascii="Arial" w:hAnsi="Arial" w:cs="Arial"/>
          <w:sz w:val="23"/>
          <w:szCs w:val="23"/>
        </w:rPr>
        <w:t xml:space="preserve">Engaging in survival sex </w:t>
      </w:r>
      <w:proofErr w:type="gramStart"/>
      <w:r w:rsidRPr="00554A8B">
        <w:rPr>
          <w:rFonts w:ascii="Arial" w:hAnsi="Arial" w:cs="Arial"/>
          <w:sz w:val="23"/>
          <w:szCs w:val="23"/>
        </w:rPr>
        <w:t>in order to</w:t>
      </w:r>
      <w:proofErr w:type="gramEnd"/>
      <w:r w:rsidRPr="00554A8B">
        <w:rPr>
          <w:rFonts w:ascii="Arial" w:hAnsi="Arial" w:cs="Arial"/>
          <w:sz w:val="23"/>
          <w:szCs w:val="23"/>
        </w:rPr>
        <w:t xml:space="preserve"> access housing</w:t>
      </w:r>
      <w:r w:rsidR="3C0EAA6C" w:rsidRPr="3C0EAA6C">
        <w:rPr>
          <w:rFonts w:ascii="Arial" w:hAnsi="Arial" w:cs="Arial"/>
          <w:sz w:val="23"/>
          <w:szCs w:val="23"/>
        </w:rPr>
        <w:t>.</w:t>
      </w:r>
    </w:p>
    <w:p w14:paraId="0169B3BC" w14:textId="5B7D67A1" w:rsidR="000E158E" w:rsidRPr="00554A8B" w:rsidRDefault="000E158E" w:rsidP="231684A5">
      <w:pPr>
        <w:pStyle w:val="ListParagraph"/>
        <w:numPr>
          <w:ilvl w:val="1"/>
          <w:numId w:val="13"/>
        </w:numPr>
        <w:spacing w:before="240" w:after="240"/>
        <w:rPr>
          <w:rFonts w:ascii="Arial" w:hAnsi="Arial" w:cs="Arial"/>
          <w:sz w:val="23"/>
          <w:szCs w:val="23"/>
        </w:rPr>
      </w:pPr>
      <w:r w:rsidRPr="00554A8B">
        <w:rPr>
          <w:rFonts w:ascii="Arial" w:hAnsi="Arial" w:cs="Arial"/>
          <w:sz w:val="23"/>
          <w:szCs w:val="23"/>
        </w:rPr>
        <w:t xml:space="preserve">Couchsurfing with family, friends, or strangers </w:t>
      </w:r>
      <w:proofErr w:type="gramStart"/>
      <w:r w:rsidRPr="00554A8B">
        <w:rPr>
          <w:rFonts w:ascii="Arial" w:hAnsi="Arial" w:cs="Arial"/>
          <w:sz w:val="23"/>
          <w:szCs w:val="23"/>
        </w:rPr>
        <w:t>in order to</w:t>
      </w:r>
      <w:proofErr w:type="gramEnd"/>
      <w:r w:rsidRPr="00554A8B">
        <w:rPr>
          <w:rFonts w:ascii="Arial" w:hAnsi="Arial" w:cs="Arial"/>
          <w:sz w:val="23"/>
          <w:szCs w:val="23"/>
        </w:rPr>
        <w:t xml:space="preserve"> avoid shelters, or because shelter services and affordable housing are unavailable or unsafe.”</w:t>
      </w:r>
      <w:r w:rsidRPr="00554A8B">
        <w:rPr>
          <w:rStyle w:val="FootnoteReference"/>
          <w:rFonts w:ascii="Arial" w:hAnsi="Arial" w:cs="Arial"/>
          <w:sz w:val="23"/>
          <w:szCs w:val="23"/>
        </w:rPr>
        <w:footnoteReference w:id="32"/>
      </w:r>
    </w:p>
    <w:p w14:paraId="541011A3" w14:textId="07808121" w:rsidR="000E158E" w:rsidRPr="00554A8B" w:rsidRDefault="000E158E" w:rsidP="231684A5">
      <w:pPr>
        <w:pStyle w:val="ListParagraph"/>
        <w:spacing w:before="240" w:after="240"/>
        <w:rPr>
          <w:rFonts w:ascii="Arial" w:hAnsi="Arial" w:cs="Arial"/>
          <w:sz w:val="23"/>
          <w:szCs w:val="23"/>
        </w:rPr>
      </w:pPr>
    </w:p>
    <w:p w14:paraId="4CC614A3" w14:textId="5B39CC49" w:rsidR="000E158E" w:rsidRPr="00554A8B" w:rsidRDefault="000E158E" w:rsidP="231684A5">
      <w:pPr>
        <w:spacing w:before="240" w:after="240"/>
        <w:rPr>
          <w:rFonts w:ascii="Arial" w:hAnsi="Arial" w:cs="Arial"/>
          <w:sz w:val="23"/>
          <w:szCs w:val="23"/>
        </w:rPr>
      </w:pPr>
      <w:r>
        <w:rPr>
          <w:noProof/>
        </w:rPr>
        <w:drawing>
          <wp:inline distT="0" distB="0" distL="0" distR="0" wp14:anchorId="21C15699" wp14:editId="0881F078">
            <wp:extent cx="5943600" cy="3495675"/>
            <wp:effectExtent l="0" t="0" r="0" b="0"/>
            <wp:docPr id="224884481" name="Picture 224884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84481"/>
                    <pic:cNvPicPr/>
                  </pic:nvPicPr>
                  <pic:blipFill>
                    <a:blip r:embed="rId16">
                      <a:extLst>
                        <a:ext uri="{28A0092B-C50C-407E-A947-70E740481C1C}">
                          <a14:useLocalDpi xmlns:a14="http://schemas.microsoft.com/office/drawing/2010/main" val="0"/>
                        </a:ext>
                      </a:extLst>
                    </a:blip>
                    <a:stretch>
                      <a:fillRect/>
                    </a:stretch>
                  </pic:blipFill>
                  <pic:spPr>
                    <a:xfrm>
                      <a:off x="0" y="0"/>
                      <a:ext cx="5943600" cy="3495675"/>
                    </a:xfrm>
                    <a:prstGeom prst="rect">
                      <a:avLst/>
                    </a:prstGeom>
                  </pic:spPr>
                </pic:pic>
              </a:graphicData>
            </a:graphic>
          </wp:inline>
        </w:drawing>
      </w:r>
      <w:r w:rsidRPr="00554A8B">
        <w:rPr>
          <w:rFonts w:ascii="Arial" w:hAnsi="Arial" w:cs="Arial"/>
          <w:sz w:val="23"/>
          <w:szCs w:val="23"/>
        </w:rPr>
        <w:t xml:space="preserve">Figure 1: Hidden Homelessness </w:t>
      </w:r>
      <w:r w:rsidR="3C0EAA6C" w:rsidRPr="3C0EAA6C">
        <w:rPr>
          <w:rFonts w:ascii="Arial" w:hAnsi="Arial" w:cs="Arial"/>
          <w:sz w:val="23"/>
          <w:szCs w:val="23"/>
        </w:rPr>
        <w:t>Amongst</w:t>
      </w:r>
      <w:r w:rsidRPr="00554A8B">
        <w:rPr>
          <w:rFonts w:ascii="Arial" w:hAnsi="Arial" w:cs="Arial"/>
          <w:sz w:val="23"/>
          <w:szCs w:val="23"/>
        </w:rPr>
        <w:t xml:space="preserve"> Women, Girls and Gender-Diverse People. </w:t>
      </w:r>
    </w:p>
    <w:p w14:paraId="2CC3D5A2" w14:textId="26CB76ED" w:rsidR="000E158E" w:rsidRPr="00554A8B" w:rsidRDefault="000E158E" w:rsidP="231684A5">
      <w:pPr>
        <w:pStyle w:val="ListParagraph"/>
        <w:numPr>
          <w:ilvl w:val="0"/>
          <w:numId w:val="13"/>
        </w:numPr>
        <w:spacing w:before="240" w:after="240"/>
        <w:rPr>
          <w:rFonts w:ascii="Arial" w:hAnsi="Arial" w:cs="Arial"/>
          <w:sz w:val="23"/>
          <w:szCs w:val="23"/>
        </w:rPr>
      </w:pPr>
      <w:r w:rsidRPr="00554A8B">
        <w:rPr>
          <w:rFonts w:ascii="Arial" w:hAnsi="Arial" w:cs="Arial"/>
          <w:sz w:val="23"/>
          <w:szCs w:val="23"/>
        </w:rPr>
        <w:t xml:space="preserve">This failure to capture the unique experiences of women and gender-diverse persons within federal definitions of homelessness and chronic homelessness likely contributes to gender-based inequities in funding, and contributes to severe gaps in supports, services, and emergency housing. Further, it means that women and </w:t>
      </w:r>
      <w:r w:rsidRPr="00554A8B">
        <w:rPr>
          <w:rFonts w:ascii="Arial" w:hAnsi="Arial" w:cs="Arial"/>
          <w:sz w:val="23"/>
          <w:szCs w:val="23"/>
        </w:rPr>
        <w:lastRenderedPageBreak/>
        <w:t xml:space="preserve">gender-diverse people may not be considered candidates for “priority housing lists” and Housing First programs because the ways in which they experience chronic homelessness are often distinct (e.g., multiple years trapped in a violent home vs. chronic shelter users). As such, the effect of the current definition of chronic homelessness contravenes the obligation that governments guarantee substantive equality and non-discrimination </w:t>
      </w:r>
      <w:proofErr w:type="gramStart"/>
      <w:r w:rsidRPr="00554A8B">
        <w:rPr>
          <w:rFonts w:ascii="Arial" w:hAnsi="Arial" w:cs="Arial"/>
          <w:sz w:val="23"/>
          <w:szCs w:val="23"/>
        </w:rPr>
        <w:t>in the area of</w:t>
      </w:r>
      <w:proofErr w:type="gramEnd"/>
      <w:r w:rsidRPr="00554A8B">
        <w:rPr>
          <w:rFonts w:ascii="Arial" w:hAnsi="Arial" w:cs="Arial"/>
          <w:sz w:val="23"/>
          <w:szCs w:val="23"/>
        </w:rPr>
        <w:t xml:space="preserve"> housing.</w:t>
      </w:r>
      <w:r w:rsidRPr="00554A8B">
        <w:rPr>
          <w:rStyle w:val="FootnoteReference"/>
          <w:rFonts w:ascii="Arial" w:hAnsi="Arial" w:cs="Arial"/>
          <w:sz w:val="23"/>
          <w:szCs w:val="23"/>
        </w:rPr>
        <w:footnoteReference w:id="33"/>
      </w:r>
    </w:p>
    <w:p w14:paraId="0FF82C49" w14:textId="7037CED3" w:rsidR="000E158E" w:rsidRPr="00554A8B" w:rsidRDefault="000E158E" w:rsidP="231684A5">
      <w:pPr>
        <w:pStyle w:val="ListParagraph"/>
        <w:spacing w:before="240" w:after="240"/>
        <w:rPr>
          <w:rFonts w:ascii="Arial" w:hAnsi="Arial" w:cs="Arial"/>
          <w:sz w:val="23"/>
          <w:szCs w:val="23"/>
        </w:rPr>
      </w:pPr>
    </w:p>
    <w:p w14:paraId="2C36B373" w14:textId="4545C465" w:rsidR="000E158E" w:rsidRPr="00554A8B" w:rsidRDefault="000E158E" w:rsidP="231684A5">
      <w:pPr>
        <w:pStyle w:val="ListParagraph"/>
        <w:numPr>
          <w:ilvl w:val="0"/>
          <w:numId w:val="13"/>
        </w:numPr>
        <w:spacing w:before="240" w:after="240"/>
        <w:rPr>
          <w:rFonts w:ascii="Arial" w:hAnsi="Arial" w:cs="Arial"/>
          <w:sz w:val="23"/>
          <w:szCs w:val="23"/>
        </w:rPr>
      </w:pPr>
      <w:r w:rsidRPr="00554A8B">
        <w:rPr>
          <w:rFonts w:ascii="Arial" w:hAnsi="Arial" w:cs="Arial"/>
          <w:sz w:val="23"/>
          <w:szCs w:val="23"/>
        </w:rPr>
        <w:t xml:space="preserve">Under the NHSA and international human rights law, the Government of Canada is required to establish human rights-based targets, timelines, outcomes, and indicators regarding the immediate elimination of homelessness and the progressive realization of the right to housing. While the federal government </w:t>
      </w:r>
      <w:r w:rsidR="00217948" w:rsidRPr="00554A8B">
        <w:rPr>
          <w:rFonts w:ascii="Arial" w:hAnsi="Arial" w:cs="Arial"/>
          <w:sz w:val="23"/>
          <w:szCs w:val="23"/>
        </w:rPr>
        <w:t>committed</w:t>
      </w:r>
      <w:r w:rsidRPr="00554A8B">
        <w:rPr>
          <w:rFonts w:ascii="Arial" w:hAnsi="Arial" w:cs="Arial"/>
          <w:sz w:val="23"/>
          <w:szCs w:val="23"/>
        </w:rPr>
        <w:t xml:space="preserve"> to eliminate chronic homelessness by 2030, it has failed to set many other targets (e.g., timeline for the elimination of children’s homelessness). Similarly, while the federal government has committed to allocating “33</w:t>
      </w:r>
      <w:r w:rsidR="00217948">
        <w:rPr>
          <w:rFonts w:ascii="Arial" w:hAnsi="Arial" w:cs="Arial"/>
          <w:sz w:val="23"/>
          <w:szCs w:val="23"/>
        </w:rPr>
        <w:t xml:space="preserve"> </w:t>
      </w:r>
      <w:r w:rsidRPr="00554A8B">
        <w:rPr>
          <w:rFonts w:ascii="Arial" w:hAnsi="Arial" w:cs="Arial"/>
          <w:sz w:val="23"/>
          <w:szCs w:val="23"/>
        </w:rPr>
        <w:t>per cent of the Strategy’s investments, with a minimum of 25 per cent towards serving the unique needs of women and their children,” it remains unclear how this</w:t>
      </w:r>
      <w:r w:rsidR="00217948">
        <w:rPr>
          <w:rFonts w:ascii="Arial" w:hAnsi="Arial" w:cs="Arial"/>
          <w:sz w:val="23"/>
          <w:szCs w:val="23"/>
        </w:rPr>
        <w:t xml:space="preserve"> 33 per cent (let alone 25 per cent)</w:t>
      </w:r>
      <w:r w:rsidRPr="00554A8B">
        <w:rPr>
          <w:rFonts w:ascii="Arial" w:hAnsi="Arial" w:cs="Arial"/>
          <w:sz w:val="23"/>
          <w:szCs w:val="23"/>
        </w:rPr>
        <w:t xml:space="preserve"> has been achieved with respect to homelessness specifically. In CMHC’s 2020 progress report on the National Housing Strategy, gender-specific outcomes were noted for only one program – the National Co-Investment Fund – which does not address homelessness. More broadly, much reporting to date on the impact of the National Housing Strategy has taken the form of reporting on dollars spent rather than outcomes, such as the number of individuals and families lifted out of core housing need and homelessness.</w:t>
      </w:r>
      <w:r w:rsidRPr="00554A8B">
        <w:rPr>
          <w:rStyle w:val="FootnoteReference"/>
          <w:rFonts w:ascii="Arial" w:hAnsi="Arial" w:cs="Arial"/>
          <w:sz w:val="23"/>
          <w:szCs w:val="23"/>
        </w:rPr>
        <w:footnoteReference w:id="34"/>
      </w:r>
    </w:p>
    <w:p w14:paraId="396594EA" w14:textId="77777777" w:rsidR="000E158E" w:rsidRPr="00554A8B" w:rsidRDefault="000E158E" w:rsidP="00666C57">
      <w:pPr>
        <w:pStyle w:val="ListParagraph"/>
        <w:spacing w:before="240" w:after="240"/>
        <w:rPr>
          <w:rFonts w:ascii="Arial" w:eastAsia="Aptos" w:hAnsi="Arial" w:cs="Arial"/>
          <w:sz w:val="23"/>
          <w:szCs w:val="23"/>
        </w:rPr>
      </w:pPr>
    </w:p>
    <w:p w14:paraId="2B3905F8" w14:textId="39ABBDC6" w:rsidR="000E158E" w:rsidRPr="00554A8B" w:rsidRDefault="000E158E" w:rsidP="00666C57">
      <w:pPr>
        <w:pStyle w:val="ListParagraph"/>
        <w:numPr>
          <w:ilvl w:val="0"/>
          <w:numId w:val="13"/>
        </w:numPr>
        <w:spacing w:before="100" w:beforeAutospacing="1" w:after="100" w:afterAutospacing="1" w:line="240" w:lineRule="auto"/>
        <w:rPr>
          <w:rFonts w:ascii="Arial" w:eastAsia="Calibri" w:hAnsi="Arial" w:cs="Arial"/>
          <w:b/>
          <w:bCs/>
          <w:sz w:val="23"/>
          <w:szCs w:val="23"/>
        </w:rPr>
      </w:pPr>
      <w:r w:rsidRPr="00554A8B">
        <w:rPr>
          <w:rFonts w:ascii="Arial" w:eastAsia="Calibri" w:hAnsi="Arial" w:cs="Arial"/>
          <w:b/>
          <w:bCs/>
          <w:sz w:val="23"/>
          <w:szCs w:val="23"/>
        </w:rPr>
        <w:t>Critically for this review, in 2016, the CEDAW Committee recommended that Canada, “[e]</w:t>
      </w:r>
      <w:proofErr w:type="spellStart"/>
      <w:r w:rsidRPr="00554A8B">
        <w:rPr>
          <w:rFonts w:ascii="Arial" w:eastAsia="Calibri" w:hAnsi="Arial" w:cs="Arial"/>
          <w:b/>
          <w:bCs/>
          <w:sz w:val="23"/>
          <w:szCs w:val="23"/>
        </w:rPr>
        <w:t>nsure</w:t>
      </w:r>
      <w:proofErr w:type="spellEnd"/>
      <w:r w:rsidRPr="00554A8B">
        <w:rPr>
          <w:rFonts w:ascii="Arial" w:eastAsia="Calibri" w:hAnsi="Arial" w:cs="Arial"/>
          <w:b/>
          <w:bCs/>
          <w:sz w:val="23"/>
          <w:szCs w:val="23"/>
        </w:rPr>
        <w:t xml:space="preserve"> that the national poverty reduction strategy and the national housing strategy protect the rights of all women, with a focus on the most disadvantaged and vulnerable groups, by integrating a human rights-based and gender-based approach.”</w:t>
      </w:r>
    </w:p>
    <w:p w14:paraId="7C081CC1" w14:textId="77777777" w:rsidR="000E158E" w:rsidRPr="00554A8B" w:rsidRDefault="000E158E" w:rsidP="00C7291D">
      <w:pPr>
        <w:pStyle w:val="ListParagraph"/>
        <w:spacing w:before="240" w:after="240"/>
        <w:rPr>
          <w:rFonts w:ascii="Arial" w:eastAsia="Aptos" w:hAnsi="Arial" w:cs="Arial"/>
          <w:sz w:val="23"/>
          <w:szCs w:val="23"/>
        </w:rPr>
      </w:pPr>
    </w:p>
    <w:p w14:paraId="2DA294DF" w14:textId="3B2258CE" w:rsidR="000E158E" w:rsidRPr="00554A8B" w:rsidRDefault="000E158E" w:rsidP="00484E67">
      <w:pPr>
        <w:pStyle w:val="ListParagraph"/>
        <w:numPr>
          <w:ilvl w:val="0"/>
          <w:numId w:val="13"/>
        </w:numPr>
        <w:spacing w:before="240" w:after="240"/>
        <w:rPr>
          <w:rFonts w:ascii="Arial" w:hAnsi="Arial" w:cs="Arial"/>
          <w:sz w:val="23"/>
          <w:szCs w:val="23"/>
        </w:rPr>
      </w:pPr>
      <w:r w:rsidRPr="00554A8B">
        <w:rPr>
          <w:rFonts w:ascii="Arial" w:eastAsia="Aptos" w:hAnsi="Arial" w:cs="Arial"/>
          <w:sz w:val="23"/>
          <w:szCs w:val="23"/>
        </w:rPr>
        <w:t>The federal government’s 2024 budget (and updated National Housing Strategy, now known as Canada’s Housing Plan) does include some measures to address Canada's housing crisis, which, though incremental, are welcome commitments. This includes a Tenant Protection Fund to empower tenants’ rights organizations, a Renters’ Bill of Rights, funding for non-market housing (i.e., $1.5 million for a Rental Protection Fund), and increased investment in Canada’s homelessness strategy (including human rights and Housing First responses to encampments). More recently, the government launched the long-awaited Co-operative Housing Development Program, and</w:t>
      </w:r>
      <w:r w:rsidRPr="00554A8B">
        <w:rPr>
          <w:rFonts w:ascii="Arial" w:hAnsi="Arial" w:cs="Arial"/>
          <w:sz w:val="23"/>
          <w:szCs w:val="23"/>
        </w:rPr>
        <w:t xml:space="preserve"> is expected to launch the Urban, Rural and Northern Indigenous Housing Strategy soon. However, recent </w:t>
      </w:r>
      <w:r w:rsidRPr="00554A8B">
        <w:rPr>
          <w:rStyle w:val="normaltextrun"/>
          <w:rFonts w:ascii="Arial" w:hAnsi="Arial" w:cs="Arial"/>
          <w:color w:val="000000"/>
          <w:sz w:val="23"/>
          <w:szCs w:val="23"/>
          <w:shd w:val="clear" w:color="auto" w:fill="FFFFFF"/>
        </w:rPr>
        <w:t xml:space="preserve">funding announcements did not </w:t>
      </w:r>
      <w:r w:rsidRPr="00554A8B">
        <w:rPr>
          <w:rStyle w:val="normaltextrun"/>
          <w:rFonts w:ascii="Arial" w:hAnsi="Arial" w:cs="Arial"/>
          <w:color w:val="000000"/>
          <w:sz w:val="23"/>
          <w:szCs w:val="23"/>
          <w:shd w:val="clear" w:color="auto" w:fill="FFFFFF"/>
        </w:rPr>
        <w:lastRenderedPageBreak/>
        <w:t>include any gender or human rights-based targets, goals, or data collection, despite the Strategy’s commitment to ensuring 25 per cent of investments reach women and girls. </w:t>
      </w:r>
      <w:r w:rsidRPr="00554A8B">
        <w:rPr>
          <w:rStyle w:val="eop"/>
          <w:rFonts w:ascii="Arial" w:hAnsi="Arial" w:cs="Arial"/>
          <w:color w:val="000000"/>
          <w:sz w:val="23"/>
          <w:szCs w:val="23"/>
          <w:shd w:val="clear" w:color="auto" w:fill="FFFFFF"/>
        </w:rPr>
        <w:t> </w:t>
      </w:r>
    </w:p>
    <w:p w14:paraId="73CD7F89" w14:textId="77777777" w:rsidR="000E158E" w:rsidRPr="00554A8B" w:rsidRDefault="000E158E" w:rsidP="00C7291D">
      <w:pPr>
        <w:pStyle w:val="ListParagraph"/>
        <w:spacing w:before="240" w:after="240"/>
        <w:rPr>
          <w:rFonts w:ascii="Arial" w:hAnsi="Arial" w:cs="Arial"/>
          <w:sz w:val="23"/>
          <w:szCs w:val="23"/>
        </w:rPr>
      </w:pPr>
    </w:p>
    <w:p w14:paraId="612F9D31" w14:textId="28534095" w:rsidR="003261EB" w:rsidRPr="003261EB" w:rsidRDefault="000E158E" w:rsidP="003261EB">
      <w:pPr>
        <w:pStyle w:val="ListParagraph"/>
        <w:numPr>
          <w:ilvl w:val="0"/>
          <w:numId w:val="13"/>
        </w:numPr>
        <w:spacing w:before="240" w:after="240"/>
        <w:rPr>
          <w:rFonts w:ascii="Arial" w:hAnsi="Arial" w:cs="Arial"/>
          <w:sz w:val="23"/>
          <w:szCs w:val="23"/>
        </w:rPr>
      </w:pPr>
      <w:r w:rsidRPr="00554A8B">
        <w:rPr>
          <w:rFonts w:ascii="Arial" w:eastAsia="Aptos" w:hAnsi="Arial" w:cs="Arial"/>
          <w:sz w:val="23"/>
          <w:szCs w:val="23"/>
        </w:rPr>
        <w:t xml:space="preserve">While there is reason to celebrate these federal investments, they pale in comparison to investments in the private housing sector, such as the additional $15 billion allocated to the Apartment Construction Loan Program in Budget 2024. Additionally, while the Renters’ Bill of Rights presents the opportunity for federal leadership to establish minimum standards of renter protections across the country over the long-term, Canada's rent control measures remain inconsistent and fragmented at the provincial and territorial level. Housing advocates across Canada have noted that without sharp gender-based and human-rights focused implementation, monitoring, and tracking mechanisms, Budget 2024 measures will fall short of addressing the housing needs </w:t>
      </w:r>
      <w:r w:rsidR="3C0EAA6C" w:rsidRPr="3C0EAA6C">
        <w:rPr>
          <w:rFonts w:ascii="Arial" w:eastAsia="Aptos" w:hAnsi="Arial" w:cs="Arial"/>
          <w:sz w:val="23"/>
          <w:szCs w:val="23"/>
        </w:rPr>
        <w:t xml:space="preserve">of </w:t>
      </w:r>
      <w:r w:rsidRPr="00554A8B">
        <w:rPr>
          <w:rFonts w:ascii="Arial" w:eastAsia="Aptos" w:hAnsi="Arial" w:cs="Arial"/>
          <w:sz w:val="23"/>
          <w:szCs w:val="23"/>
        </w:rPr>
        <w:t>women and gender-diverse people in greatest need.</w:t>
      </w:r>
      <w:r w:rsidRPr="00554A8B">
        <w:rPr>
          <w:rStyle w:val="FootnoteReference"/>
          <w:rFonts w:ascii="Arial" w:eastAsia="Aptos" w:hAnsi="Arial" w:cs="Arial"/>
          <w:sz w:val="23"/>
          <w:szCs w:val="23"/>
        </w:rPr>
        <w:footnoteReference w:id="35"/>
      </w:r>
      <w:r w:rsidRPr="00554A8B">
        <w:rPr>
          <w:rFonts w:ascii="Arial" w:eastAsia="Aptos" w:hAnsi="Arial" w:cs="Arial"/>
          <w:sz w:val="23"/>
          <w:szCs w:val="23"/>
        </w:rPr>
        <w:t xml:space="preserve"> </w:t>
      </w:r>
    </w:p>
    <w:p w14:paraId="6196FA0E" w14:textId="77777777" w:rsidR="003261EB" w:rsidRDefault="003261EB" w:rsidP="003261EB">
      <w:pPr>
        <w:pStyle w:val="ListParagraph"/>
        <w:rPr>
          <w:rFonts w:ascii="Arial" w:eastAsia="Calibri" w:hAnsi="Arial" w:cs="Arial"/>
          <w:b/>
          <w:bCs/>
          <w:sz w:val="23"/>
          <w:szCs w:val="23"/>
          <w:u w:val="single"/>
        </w:rPr>
      </w:pPr>
    </w:p>
    <w:p w14:paraId="0C45174D" w14:textId="43DC1927" w:rsidR="003261EB" w:rsidRPr="003261EB" w:rsidRDefault="000E158E" w:rsidP="003261EB">
      <w:pPr>
        <w:pStyle w:val="ListParagraph"/>
        <w:numPr>
          <w:ilvl w:val="0"/>
          <w:numId w:val="13"/>
        </w:numPr>
        <w:rPr>
          <w:rFonts w:ascii="Arial" w:eastAsia="Calibri" w:hAnsi="Arial" w:cs="Arial"/>
          <w:b/>
          <w:bCs/>
          <w:sz w:val="23"/>
          <w:szCs w:val="23"/>
          <w:u w:val="single"/>
        </w:rPr>
      </w:pPr>
      <w:r w:rsidRPr="00CA2B00">
        <w:rPr>
          <w:rFonts w:ascii="Arial" w:eastAsia="Calibri" w:hAnsi="Arial" w:cs="Arial"/>
          <w:b/>
          <w:bCs/>
          <w:sz w:val="23"/>
          <w:szCs w:val="23"/>
          <w:u w:val="single"/>
        </w:rPr>
        <w:t xml:space="preserve">RECOMMENDATIONS </w:t>
      </w:r>
    </w:p>
    <w:p w14:paraId="273D2A3C" w14:textId="77777777" w:rsidR="003261EB" w:rsidRPr="003261EB" w:rsidRDefault="003261EB" w:rsidP="003261EB">
      <w:pPr>
        <w:pStyle w:val="ListParagraph"/>
        <w:spacing w:line="278" w:lineRule="auto"/>
        <w:rPr>
          <w:rFonts w:ascii="Arial" w:hAnsi="Arial" w:cs="Arial"/>
          <w:b/>
          <w:bCs/>
          <w:sz w:val="23"/>
          <w:szCs w:val="23"/>
        </w:rPr>
      </w:pPr>
    </w:p>
    <w:p w14:paraId="5B58DB69" w14:textId="6DBDD910" w:rsidR="000E158E" w:rsidRPr="00554A8B" w:rsidRDefault="000E158E" w:rsidP="00C3029E">
      <w:pPr>
        <w:pStyle w:val="ListParagraph"/>
        <w:numPr>
          <w:ilvl w:val="0"/>
          <w:numId w:val="16"/>
        </w:numPr>
        <w:spacing w:line="278" w:lineRule="auto"/>
        <w:rPr>
          <w:rFonts w:ascii="Arial" w:hAnsi="Arial" w:cs="Arial"/>
          <w:b/>
          <w:bCs/>
          <w:sz w:val="23"/>
          <w:szCs w:val="23"/>
        </w:rPr>
      </w:pPr>
      <w:r w:rsidRPr="00554A8B">
        <w:rPr>
          <w:rFonts w:ascii="Arial" w:eastAsia="Aptos" w:hAnsi="Arial" w:cs="Arial"/>
          <w:b/>
          <w:bCs/>
          <w:sz w:val="23"/>
          <w:szCs w:val="23"/>
        </w:rPr>
        <w:t xml:space="preserve">Commend the government of Canada on the passing and implementation of the </w:t>
      </w:r>
      <w:r w:rsidRPr="00EB448F">
        <w:rPr>
          <w:rFonts w:ascii="Arial" w:eastAsia="Aptos" w:hAnsi="Arial" w:cs="Arial"/>
          <w:b/>
          <w:bCs/>
          <w:i/>
          <w:iCs/>
          <w:sz w:val="23"/>
          <w:szCs w:val="23"/>
        </w:rPr>
        <w:t>National Housing Strategy Act</w:t>
      </w:r>
      <w:r w:rsidRPr="00554A8B">
        <w:rPr>
          <w:rFonts w:ascii="Arial" w:eastAsia="Aptos" w:hAnsi="Arial" w:cs="Arial"/>
          <w:b/>
          <w:bCs/>
          <w:sz w:val="23"/>
          <w:szCs w:val="23"/>
        </w:rPr>
        <w:t xml:space="preserve">. </w:t>
      </w:r>
      <w:r w:rsidRPr="00554A8B">
        <w:rPr>
          <w:rFonts w:ascii="Arial" w:hAnsi="Arial" w:cs="Arial"/>
          <w:b/>
          <w:bCs/>
          <w:sz w:val="23"/>
          <w:szCs w:val="23"/>
        </w:rPr>
        <w:t xml:space="preserve">With a second review panel on </w:t>
      </w:r>
      <w:r w:rsidR="3C0EAA6C" w:rsidRPr="3C0EAA6C">
        <w:rPr>
          <w:rFonts w:ascii="Arial" w:hAnsi="Arial" w:cs="Arial"/>
          <w:b/>
          <w:bCs/>
          <w:sz w:val="23"/>
          <w:szCs w:val="23"/>
        </w:rPr>
        <w:t xml:space="preserve">the </w:t>
      </w:r>
      <w:r w:rsidRPr="00554A8B">
        <w:rPr>
          <w:rFonts w:ascii="Arial" w:hAnsi="Arial" w:cs="Arial"/>
          <w:b/>
          <w:bCs/>
          <w:sz w:val="23"/>
          <w:szCs w:val="23"/>
        </w:rPr>
        <w:t xml:space="preserve">Government’s Failure to Eliminate Homelessness for Women and Gender-Diverse People fast approaching, it is critical that </w:t>
      </w:r>
      <w:r w:rsidR="3C0EAA6C" w:rsidRPr="3C0EAA6C">
        <w:rPr>
          <w:rFonts w:ascii="Arial" w:hAnsi="Arial" w:cs="Arial"/>
          <w:b/>
          <w:bCs/>
          <w:sz w:val="23"/>
          <w:szCs w:val="23"/>
        </w:rPr>
        <w:t xml:space="preserve">the </w:t>
      </w:r>
      <w:r w:rsidRPr="00554A8B">
        <w:rPr>
          <w:rFonts w:ascii="Arial" w:hAnsi="Arial" w:cs="Arial"/>
          <w:b/>
          <w:bCs/>
          <w:sz w:val="23"/>
          <w:szCs w:val="23"/>
        </w:rPr>
        <w:t>shortcomings of the review panel process are recognized and adequately corrected – including the need for government to appear in front of panel members. Identifying systemic violations to the right to housing for women and gender-diverse people would require the review panel to narrow in on structural challenges like feminization of poverty, multiple forms of gender-based violence</w:t>
      </w:r>
      <w:r w:rsidR="3C0EAA6C" w:rsidRPr="3C0EAA6C">
        <w:rPr>
          <w:rFonts w:ascii="Arial" w:hAnsi="Arial" w:cs="Arial"/>
          <w:b/>
          <w:bCs/>
          <w:sz w:val="23"/>
          <w:szCs w:val="23"/>
        </w:rPr>
        <w:t xml:space="preserve"> (GBV),</w:t>
      </w:r>
      <w:r w:rsidRPr="00554A8B">
        <w:rPr>
          <w:rFonts w:ascii="Arial" w:hAnsi="Arial" w:cs="Arial"/>
          <w:b/>
          <w:bCs/>
          <w:sz w:val="23"/>
          <w:szCs w:val="23"/>
        </w:rPr>
        <w:t xml:space="preserve"> marginalization rooted in </w:t>
      </w:r>
      <w:r w:rsidR="3C0EAA6C" w:rsidRPr="3C0EAA6C">
        <w:rPr>
          <w:rFonts w:ascii="Arial" w:hAnsi="Arial" w:cs="Arial"/>
          <w:b/>
          <w:bCs/>
          <w:sz w:val="23"/>
          <w:szCs w:val="23"/>
        </w:rPr>
        <w:t>racism</w:t>
      </w:r>
      <w:r w:rsidRPr="00554A8B">
        <w:rPr>
          <w:rFonts w:ascii="Arial" w:hAnsi="Arial" w:cs="Arial"/>
          <w:b/>
          <w:bCs/>
          <w:sz w:val="23"/>
          <w:szCs w:val="23"/>
        </w:rPr>
        <w:t xml:space="preserve"> and </w:t>
      </w:r>
      <w:r w:rsidR="3C0EAA6C" w:rsidRPr="3C0EAA6C">
        <w:rPr>
          <w:rFonts w:ascii="Arial" w:hAnsi="Arial" w:cs="Arial"/>
          <w:b/>
          <w:bCs/>
          <w:sz w:val="23"/>
          <w:szCs w:val="23"/>
        </w:rPr>
        <w:t>ableism</w:t>
      </w:r>
      <w:r w:rsidRPr="00554A8B">
        <w:rPr>
          <w:rFonts w:ascii="Arial" w:hAnsi="Arial" w:cs="Arial"/>
          <w:b/>
          <w:bCs/>
          <w:sz w:val="23"/>
          <w:szCs w:val="23"/>
        </w:rPr>
        <w:t xml:space="preserve"> and harms created through state and colonial institutions. </w:t>
      </w:r>
    </w:p>
    <w:p w14:paraId="5792A45B" w14:textId="77777777" w:rsidR="000E158E" w:rsidRPr="00554A8B" w:rsidRDefault="000E158E" w:rsidP="00C3029E">
      <w:pPr>
        <w:pStyle w:val="ListParagraph"/>
        <w:spacing w:line="278" w:lineRule="auto"/>
        <w:rPr>
          <w:rFonts w:ascii="Arial" w:hAnsi="Arial" w:cs="Arial"/>
          <w:b/>
          <w:bCs/>
          <w:sz w:val="23"/>
          <w:szCs w:val="23"/>
        </w:rPr>
      </w:pPr>
    </w:p>
    <w:p w14:paraId="4992E3E8" w14:textId="26F829AD" w:rsidR="000E158E" w:rsidRPr="00554A8B" w:rsidRDefault="000E158E" w:rsidP="00C3029E">
      <w:pPr>
        <w:pStyle w:val="ListParagraph"/>
        <w:numPr>
          <w:ilvl w:val="0"/>
          <w:numId w:val="16"/>
        </w:numPr>
        <w:spacing w:after="0" w:line="278" w:lineRule="auto"/>
        <w:rPr>
          <w:rFonts w:ascii="Arial" w:eastAsia="Aptos" w:hAnsi="Arial" w:cs="Arial"/>
          <w:b/>
          <w:bCs/>
          <w:sz w:val="23"/>
          <w:szCs w:val="23"/>
        </w:rPr>
      </w:pPr>
      <w:r w:rsidRPr="00554A8B">
        <w:rPr>
          <w:rFonts w:ascii="Arial" w:eastAsia="Aptos" w:hAnsi="Arial" w:cs="Arial"/>
          <w:b/>
          <w:bCs/>
          <w:sz w:val="23"/>
          <w:szCs w:val="23"/>
        </w:rPr>
        <w:t>Ensure gender-based equity in funding under Canada’s Housing Plan and prioritize investments in affordable housing that address the deep poverty experienced by women and gender-diverse people. This includes greater investment in the Affordable Housing Fund and Co-operative Housing Program and increasing access to these programs by women-led and women-focused organizations, non-profits, and housing providers.</w:t>
      </w:r>
      <w:r w:rsidRPr="00554A8B">
        <w:rPr>
          <w:rFonts w:ascii="Arial" w:eastAsia="Aptos" w:hAnsi="Arial" w:cs="Arial"/>
          <w:b/>
          <w:bCs/>
          <w:sz w:val="23"/>
          <w:szCs w:val="23"/>
          <w:vertAlign w:val="superscript"/>
        </w:rPr>
        <w:footnoteReference w:id="36"/>
      </w:r>
      <w:r w:rsidRPr="00554A8B">
        <w:rPr>
          <w:rFonts w:ascii="Arial" w:eastAsia="Aptos" w:hAnsi="Arial" w:cs="Arial"/>
          <w:b/>
          <w:bCs/>
          <w:sz w:val="23"/>
          <w:szCs w:val="23"/>
          <w:vertAlign w:val="superscript"/>
        </w:rPr>
        <w:t xml:space="preserve"> </w:t>
      </w:r>
      <w:r w:rsidRPr="00554A8B">
        <w:rPr>
          <w:rFonts w:ascii="Arial" w:eastAsia="Aptos" w:hAnsi="Arial" w:cs="Arial"/>
          <w:b/>
          <w:bCs/>
          <w:sz w:val="23"/>
          <w:szCs w:val="23"/>
        </w:rPr>
        <w:t xml:space="preserve"> </w:t>
      </w:r>
    </w:p>
    <w:p w14:paraId="4395576B" w14:textId="77777777" w:rsidR="000E158E" w:rsidRPr="00554A8B" w:rsidRDefault="000E158E" w:rsidP="00C3029E">
      <w:pPr>
        <w:spacing w:after="0" w:line="278" w:lineRule="auto"/>
        <w:rPr>
          <w:rFonts w:ascii="Arial" w:eastAsia="Aptos" w:hAnsi="Arial" w:cs="Arial"/>
          <w:b/>
          <w:bCs/>
          <w:sz w:val="23"/>
          <w:szCs w:val="23"/>
        </w:rPr>
      </w:pPr>
    </w:p>
    <w:p w14:paraId="5265B5CC" w14:textId="6A07FFEE" w:rsidR="000E158E" w:rsidRPr="00554A8B" w:rsidRDefault="000E158E" w:rsidP="00C3029E">
      <w:pPr>
        <w:pStyle w:val="ListParagraph"/>
        <w:numPr>
          <w:ilvl w:val="0"/>
          <w:numId w:val="16"/>
        </w:numPr>
        <w:spacing w:line="278" w:lineRule="auto"/>
        <w:rPr>
          <w:rFonts w:ascii="Arial" w:hAnsi="Arial" w:cs="Arial"/>
          <w:b/>
          <w:bCs/>
          <w:sz w:val="23"/>
          <w:szCs w:val="23"/>
        </w:rPr>
      </w:pPr>
      <w:r w:rsidRPr="00554A8B">
        <w:rPr>
          <w:rFonts w:ascii="Arial" w:hAnsi="Arial" w:cs="Arial"/>
          <w:b/>
          <w:bCs/>
          <w:sz w:val="23"/>
          <w:szCs w:val="23"/>
        </w:rPr>
        <w:lastRenderedPageBreak/>
        <w:t xml:space="preserve">Develop a robust monitoring system to ensure that funding under Canada’s Housing Plan goes towards women, girls and gender-diverse people in greatest need.  </w:t>
      </w:r>
    </w:p>
    <w:p w14:paraId="2049FA0C" w14:textId="77777777" w:rsidR="000E158E" w:rsidRPr="00554A8B" w:rsidRDefault="000E158E" w:rsidP="00D879B5">
      <w:pPr>
        <w:pStyle w:val="ListParagraph"/>
        <w:rPr>
          <w:rFonts w:ascii="Arial" w:hAnsi="Arial" w:cs="Arial"/>
          <w:b/>
          <w:bCs/>
          <w:sz w:val="23"/>
          <w:szCs w:val="23"/>
        </w:rPr>
      </w:pPr>
    </w:p>
    <w:p w14:paraId="2EFBB423" w14:textId="4FF23636" w:rsidR="000E158E" w:rsidRPr="00554A8B" w:rsidRDefault="000E158E" w:rsidP="231684A5">
      <w:pPr>
        <w:pStyle w:val="ListParagraph"/>
        <w:numPr>
          <w:ilvl w:val="0"/>
          <w:numId w:val="16"/>
        </w:numPr>
        <w:spacing w:line="278" w:lineRule="auto"/>
        <w:rPr>
          <w:rFonts w:ascii="Arial" w:hAnsi="Arial" w:cs="Arial"/>
          <w:b/>
          <w:bCs/>
          <w:sz w:val="23"/>
          <w:szCs w:val="23"/>
        </w:rPr>
      </w:pPr>
      <w:r w:rsidRPr="00554A8B">
        <w:rPr>
          <w:rFonts w:ascii="Arial" w:hAnsi="Arial" w:cs="Arial"/>
          <w:b/>
          <w:bCs/>
          <w:sz w:val="23"/>
          <w:szCs w:val="23"/>
        </w:rPr>
        <w:t>Establish a gender-responsive budgeting processes to address differing impacts on the housing experiences of women and gender</w:t>
      </w:r>
      <w:r w:rsidR="3C0EAA6C" w:rsidRPr="3C0EAA6C">
        <w:rPr>
          <w:rFonts w:ascii="Arial" w:hAnsi="Arial" w:cs="Arial"/>
          <w:b/>
          <w:bCs/>
          <w:sz w:val="23"/>
          <w:szCs w:val="23"/>
        </w:rPr>
        <w:t>-</w:t>
      </w:r>
      <w:r w:rsidRPr="00554A8B">
        <w:rPr>
          <w:rFonts w:ascii="Arial" w:hAnsi="Arial" w:cs="Arial"/>
          <w:b/>
          <w:bCs/>
          <w:sz w:val="23"/>
          <w:szCs w:val="23"/>
        </w:rPr>
        <w:t xml:space="preserve">diverse persons to ensure compliance with the “maximum available resources” and “all appropriate means” </w:t>
      </w:r>
      <w:r w:rsidR="3C0EAA6C" w:rsidRPr="3C0EAA6C">
        <w:rPr>
          <w:rFonts w:ascii="Arial" w:hAnsi="Arial" w:cs="Arial"/>
          <w:b/>
          <w:bCs/>
          <w:sz w:val="23"/>
          <w:szCs w:val="23"/>
        </w:rPr>
        <w:t>standards. This includes</w:t>
      </w:r>
      <w:r w:rsidRPr="00554A8B">
        <w:rPr>
          <w:rFonts w:ascii="Arial" w:hAnsi="Arial" w:cs="Arial"/>
          <w:b/>
          <w:bCs/>
          <w:sz w:val="23"/>
          <w:szCs w:val="23"/>
        </w:rPr>
        <w:t xml:space="preserve"> recognizing the distinctive and urgent obligation to protect the right to life of Indigenous women, girls and gender</w:t>
      </w:r>
      <w:r w:rsidR="3C0EAA6C" w:rsidRPr="3C0EAA6C">
        <w:rPr>
          <w:rFonts w:ascii="Arial" w:hAnsi="Arial" w:cs="Arial"/>
          <w:b/>
          <w:bCs/>
          <w:sz w:val="23"/>
          <w:szCs w:val="23"/>
        </w:rPr>
        <w:t>-</w:t>
      </w:r>
      <w:r w:rsidRPr="00554A8B">
        <w:rPr>
          <w:rFonts w:ascii="Arial" w:hAnsi="Arial" w:cs="Arial"/>
          <w:b/>
          <w:bCs/>
          <w:sz w:val="23"/>
          <w:szCs w:val="23"/>
        </w:rPr>
        <w:t>diverse people in accordance with the Calls to Justice</w:t>
      </w:r>
      <w:r w:rsidR="3C0EAA6C" w:rsidRPr="3C0EAA6C">
        <w:rPr>
          <w:rFonts w:ascii="Arial" w:hAnsi="Arial" w:cs="Arial"/>
          <w:b/>
          <w:bCs/>
          <w:sz w:val="23"/>
          <w:szCs w:val="23"/>
        </w:rPr>
        <w:t xml:space="preserve"> from the MMIWG Inquiry Report</w:t>
      </w:r>
      <w:r w:rsidRPr="00554A8B">
        <w:rPr>
          <w:rFonts w:ascii="Arial" w:hAnsi="Arial" w:cs="Arial"/>
          <w:b/>
          <w:bCs/>
          <w:sz w:val="23"/>
          <w:szCs w:val="23"/>
        </w:rPr>
        <w:t>.</w:t>
      </w:r>
    </w:p>
    <w:p w14:paraId="710D86DD" w14:textId="77777777" w:rsidR="000E158E" w:rsidRPr="00554A8B" w:rsidRDefault="000E158E" w:rsidP="00F0147A">
      <w:pPr>
        <w:pStyle w:val="ListParagraph"/>
        <w:spacing w:line="278" w:lineRule="auto"/>
        <w:rPr>
          <w:rFonts w:ascii="Arial" w:hAnsi="Arial" w:cs="Arial"/>
          <w:b/>
          <w:bCs/>
          <w:sz w:val="23"/>
          <w:szCs w:val="23"/>
        </w:rPr>
      </w:pPr>
    </w:p>
    <w:p w14:paraId="5D38A35B" w14:textId="1C5ADA73" w:rsidR="00C3029E" w:rsidRPr="00554A8B" w:rsidRDefault="00C3029E" w:rsidP="00C3029E">
      <w:pPr>
        <w:pStyle w:val="ListParagraph"/>
        <w:numPr>
          <w:ilvl w:val="0"/>
          <w:numId w:val="16"/>
        </w:numPr>
        <w:spacing w:line="278" w:lineRule="auto"/>
        <w:rPr>
          <w:rFonts w:ascii="Arial" w:hAnsi="Arial" w:cs="Arial"/>
          <w:b/>
          <w:bCs/>
          <w:sz w:val="23"/>
          <w:szCs w:val="23"/>
        </w:rPr>
      </w:pPr>
      <w:r w:rsidRPr="00554A8B">
        <w:rPr>
          <w:rFonts w:ascii="Arial" w:hAnsi="Arial" w:cs="Arial"/>
          <w:b/>
          <w:bCs/>
          <w:sz w:val="23"/>
          <w:szCs w:val="23"/>
        </w:rPr>
        <w:t>Invest in more social housing for low-income households</w:t>
      </w:r>
      <w:r w:rsidR="3C0EAA6C" w:rsidRPr="3C0EAA6C">
        <w:rPr>
          <w:rFonts w:ascii="Arial" w:hAnsi="Arial" w:cs="Arial"/>
          <w:b/>
          <w:bCs/>
          <w:sz w:val="23"/>
          <w:szCs w:val="23"/>
        </w:rPr>
        <w:t>,</w:t>
      </w:r>
      <w:r w:rsidRPr="00554A8B">
        <w:rPr>
          <w:rFonts w:ascii="Arial" w:hAnsi="Arial" w:cs="Arial"/>
          <w:b/>
          <w:bCs/>
          <w:sz w:val="23"/>
          <w:szCs w:val="23"/>
        </w:rPr>
        <w:t xml:space="preserve"> which are disproportionately women-led. </w:t>
      </w:r>
    </w:p>
    <w:p w14:paraId="645D5D00" w14:textId="77777777" w:rsidR="00C3029E" w:rsidRPr="00554A8B" w:rsidRDefault="00C3029E" w:rsidP="00C3029E">
      <w:pPr>
        <w:pStyle w:val="ListParagraph"/>
        <w:rPr>
          <w:rFonts w:ascii="Arial" w:hAnsi="Arial" w:cs="Arial"/>
          <w:b/>
          <w:bCs/>
          <w:sz w:val="23"/>
          <w:szCs w:val="23"/>
        </w:rPr>
      </w:pPr>
    </w:p>
    <w:p w14:paraId="56DE7D9A" w14:textId="6E289192" w:rsidR="00C3029E" w:rsidRPr="00554A8B" w:rsidRDefault="00C3029E" w:rsidP="00C3029E">
      <w:pPr>
        <w:pStyle w:val="ListParagraph"/>
        <w:numPr>
          <w:ilvl w:val="0"/>
          <w:numId w:val="16"/>
        </w:numPr>
        <w:spacing w:line="278" w:lineRule="auto"/>
        <w:rPr>
          <w:rFonts w:ascii="Arial" w:hAnsi="Arial" w:cs="Arial"/>
          <w:b/>
          <w:bCs/>
          <w:sz w:val="23"/>
          <w:szCs w:val="23"/>
        </w:rPr>
      </w:pPr>
      <w:r w:rsidRPr="00554A8B">
        <w:rPr>
          <w:rFonts w:ascii="Arial" w:hAnsi="Arial" w:cs="Arial"/>
          <w:b/>
          <w:bCs/>
          <w:sz w:val="23"/>
          <w:szCs w:val="23"/>
        </w:rPr>
        <w:t xml:space="preserve">Invest in more </w:t>
      </w:r>
      <w:r w:rsidR="3C0EAA6C" w:rsidRPr="3C0EAA6C">
        <w:rPr>
          <w:rFonts w:ascii="Arial" w:hAnsi="Arial" w:cs="Arial"/>
          <w:b/>
          <w:bCs/>
          <w:sz w:val="23"/>
          <w:szCs w:val="23"/>
        </w:rPr>
        <w:t>permanent</w:t>
      </w:r>
      <w:r w:rsidRPr="00554A8B">
        <w:rPr>
          <w:rFonts w:ascii="Arial" w:hAnsi="Arial" w:cs="Arial"/>
          <w:b/>
          <w:bCs/>
          <w:sz w:val="23"/>
          <w:szCs w:val="23"/>
        </w:rPr>
        <w:t xml:space="preserve"> supportive housing options for women and gender-diverse people experiencing homelessness and fleeing </w:t>
      </w:r>
      <w:r w:rsidR="3C0EAA6C" w:rsidRPr="3C0EAA6C">
        <w:rPr>
          <w:rFonts w:ascii="Arial" w:hAnsi="Arial" w:cs="Arial"/>
          <w:b/>
          <w:bCs/>
          <w:sz w:val="23"/>
          <w:szCs w:val="23"/>
        </w:rPr>
        <w:t>GBV</w:t>
      </w:r>
      <w:r w:rsidRPr="00554A8B">
        <w:rPr>
          <w:rFonts w:ascii="Arial" w:hAnsi="Arial" w:cs="Arial"/>
          <w:b/>
          <w:bCs/>
          <w:sz w:val="23"/>
          <w:szCs w:val="23"/>
        </w:rPr>
        <w:t xml:space="preserve">. </w:t>
      </w:r>
    </w:p>
    <w:p w14:paraId="69696912" w14:textId="77777777" w:rsidR="00C3029E" w:rsidRPr="00554A8B" w:rsidRDefault="00C3029E" w:rsidP="00C3029E">
      <w:pPr>
        <w:pStyle w:val="ListParagraph"/>
        <w:spacing w:line="278" w:lineRule="auto"/>
        <w:rPr>
          <w:rFonts w:ascii="Arial" w:hAnsi="Arial" w:cs="Arial"/>
          <w:b/>
          <w:bCs/>
          <w:sz w:val="23"/>
          <w:szCs w:val="23"/>
        </w:rPr>
      </w:pPr>
    </w:p>
    <w:p w14:paraId="6EAD7642" w14:textId="795A44DB" w:rsidR="00A13CFB" w:rsidRPr="00554A8B" w:rsidRDefault="00C3029E" w:rsidP="00FB5B6B">
      <w:pPr>
        <w:pStyle w:val="ListParagraph"/>
        <w:numPr>
          <w:ilvl w:val="0"/>
          <w:numId w:val="16"/>
        </w:numPr>
        <w:spacing w:line="278" w:lineRule="auto"/>
        <w:rPr>
          <w:rFonts w:ascii="Arial" w:hAnsi="Arial" w:cs="Arial"/>
          <w:b/>
          <w:bCs/>
          <w:sz w:val="23"/>
          <w:szCs w:val="23"/>
        </w:rPr>
      </w:pPr>
      <w:r w:rsidRPr="00554A8B">
        <w:rPr>
          <w:rFonts w:ascii="Arial" w:hAnsi="Arial" w:cs="Arial"/>
          <w:b/>
          <w:bCs/>
          <w:sz w:val="23"/>
          <w:szCs w:val="23"/>
        </w:rPr>
        <w:t xml:space="preserve">Ensure that the development of recently announced new protections for tenants, such as the Tenant Protection Fund and the </w:t>
      </w:r>
      <w:r w:rsidR="3C0EAA6C" w:rsidRPr="3C0EAA6C">
        <w:rPr>
          <w:rFonts w:ascii="Arial" w:hAnsi="Arial" w:cs="Arial"/>
          <w:b/>
          <w:bCs/>
          <w:sz w:val="23"/>
          <w:szCs w:val="23"/>
        </w:rPr>
        <w:t>Renters’</w:t>
      </w:r>
      <w:r w:rsidRPr="00554A8B">
        <w:rPr>
          <w:rFonts w:ascii="Arial" w:hAnsi="Arial" w:cs="Arial"/>
          <w:b/>
          <w:bCs/>
          <w:sz w:val="23"/>
          <w:szCs w:val="23"/>
        </w:rPr>
        <w:t xml:space="preserve"> Bill of Rights, is informed by structural barriers faced by women and gender-diverse people, leading to national standards on rent and vacancy control. </w:t>
      </w:r>
    </w:p>
    <w:p w14:paraId="2DA6A35D" w14:textId="3192D640" w:rsidR="00970045" w:rsidRPr="003261EB" w:rsidRDefault="231684A5" w:rsidP="003261EB">
      <w:pPr>
        <w:pStyle w:val="Heading2"/>
      </w:pPr>
      <w:bookmarkStart w:id="7" w:name="_Toc176530416"/>
      <w:r w:rsidRPr="003261EB">
        <w:t>Feminization of Poverty and Experiences of Homelessness</w:t>
      </w:r>
      <w:bookmarkEnd w:id="7"/>
      <w:r w:rsidRPr="003261EB">
        <w:t xml:space="preserve"> </w:t>
      </w:r>
    </w:p>
    <w:p w14:paraId="79443622" w14:textId="5432478C" w:rsidR="231684A5" w:rsidRPr="00554A8B" w:rsidRDefault="231684A5" w:rsidP="231684A5">
      <w:pPr>
        <w:pStyle w:val="ListParagraph"/>
        <w:numPr>
          <w:ilvl w:val="0"/>
          <w:numId w:val="13"/>
        </w:numPr>
        <w:spacing w:before="240" w:after="240"/>
        <w:rPr>
          <w:rFonts w:ascii="Arial" w:hAnsi="Arial" w:cs="Arial"/>
          <w:sz w:val="23"/>
          <w:szCs w:val="23"/>
        </w:rPr>
      </w:pPr>
      <w:r w:rsidRPr="00554A8B">
        <w:rPr>
          <w:rFonts w:ascii="Arial" w:hAnsi="Arial" w:cs="Arial"/>
          <w:sz w:val="23"/>
          <w:szCs w:val="23"/>
        </w:rPr>
        <w:t>The feminization of poverty has been well-documented in Canada, with data indicating women often survive on lower incomes, are overrepresented in minimum-wage and part-time jobs, assume disproportionate responsibilities for housework and childcare, and their employment and income is more likely to be interrupted in the event of pregnancy and/or child rearing. Income inequality is particularly evident for Indigenous and racialized women, with research indicating that racialized women in Canada earn only 55.6 per cent of the income earned by non-racialized men. This gendered economic inequality, in the context of overheated housing markets, means many women and their children are forced to remain in situations of violence and/or inadequate housing. Research demonstrates women will remain in abusive situations for years because they cannot afford any other housing in their community, or available housing does not meet their children’s needs (e.g., proximity to transportation, schools), and/or they fear for their children’s safety in the care of their partners. Mothers who do leave situations of intimate partner violence with their children often experience housing need and profound systemic challenges in accessing supports and regaining housing stability.</w:t>
      </w:r>
      <w:r w:rsidRPr="00554A8B">
        <w:rPr>
          <w:rStyle w:val="FootnoteReference"/>
          <w:rFonts w:ascii="Arial" w:hAnsi="Arial" w:cs="Arial"/>
          <w:sz w:val="23"/>
          <w:szCs w:val="23"/>
        </w:rPr>
        <w:footnoteReference w:id="37"/>
      </w:r>
    </w:p>
    <w:p w14:paraId="65A8CD2C" w14:textId="37B8371F" w:rsidR="231684A5" w:rsidRPr="00554A8B" w:rsidRDefault="231684A5" w:rsidP="231684A5">
      <w:pPr>
        <w:pStyle w:val="ListParagraph"/>
        <w:spacing w:before="240" w:after="240"/>
        <w:rPr>
          <w:rFonts w:ascii="Arial" w:hAnsi="Arial" w:cs="Arial"/>
          <w:sz w:val="23"/>
          <w:szCs w:val="23"/>
        </w:rPr>
      </w:pPr>
    </w:p>
    <w:p w14:paraId="0F2724A9" w14:textId="542D16E2" w:rsidR="231684A5" w:rsidRPr="00554A8B" w:rsidRDefault="231684A5" w:rsidP="231684A5">
      <w:pPr>
        <w:pStyle w:val="ListParagraph"/>
        <w:numPr>
          <w:ilvl w:val="0"/>
          <w:numId w:val="13"/>
        </w:numPr>
        <w:spacing w:before="240" w:after="240"/>
        <w:rPr>
          <w:rFonts w:ascii="Arial" w:hAnsi="Arial" w:cs="Arial"/>
          <w:sz w:val="23"/>
          <w:szCs w:val="23"/>
        </w:rPr>
      </w:pPr>
      <w:r w:rsidRPr="00554A8B">
        <w:rPr>
          <w:rFonts w:ascii="Arial" w:hAnsi="Arial" w:cs="Arial"/>
          <w:sz w:val="23"/>
          <w:szCs w:val="23"/>
        </w:rPr>
        <w:t>Single mothers face overwhelming structural challenges to accessing safe, affordable, and adequate housing in Canada.</w:t>
      </w:r>
      <w:r w:rsidR="00075663">
        <w:rPr>
          <w:rFonts w:ascii="Arial" w:hAnsi="Arial" w:cs="Arial"/>
          <w:sz w:val="23"/>
          <w:szCs w:val="23"/>
        </w:rPr>
        <w:t xml:space="preserve"> As noted above,</w:t>
      </w:r>
      <w:r w:rsidRPr="00554A8B">
        <w:rPr>
          <w:rFonts w:ascii="Arial" w:hAnsi="Arial" w:cs="Arial"/>
          <w:sz w:val="23"/>
          <w:szCs w:val="23"/>
        </w:rPr>
        <w:t xml:space="preserve"> women-led, lone-parent family households are more likely to be in core housing need than men-led households (27 per cent vs. 16 per cent), and that single mothers experience greater levels of poverty than other demographic groups. Canadian Census of Population (2016) data indicates that “lone-parent households, particularly lone-parent households led by women, are far more likely to be in core housing need than other family types,” with research showing “36 per cent of those in lone-parent families were in core housing need, a far higher rate than couples without children (5 per cent) and couples with children (8per cent).” Housing need and homelessness is often heightened for women and children experiencing multiple forms of marginalization, particularly Indigenous women, girls, Two-Spirit, and gender-diverse people. For example, the rate of shelter use for Indigenous children (ages 0-15) is 9.2 times higher than for non-Indigenous children, and research consistently shows that Indigenous mothers face unique burdens to regaining housing stability, such as racist and discriminatory treatment by landlords.</w:t>
      </w:r>
      <w:r w:rsidRPr="00554A8B">
        <w:rPr>
          <w:rStyle w:val="FootnoteReference"/>
          <w:rFonts w:ascii="Arial" w:hAnsi="Arial" w:cs="Arial"/>
          <w:sz w:val="23"/>
          <w:szCs w:val="23"/>
        </w:rPr>
        <w:footnoteReference w:id="38"/>
      </w:r>
    </w:p>
    <w:p w14:paraId="7B2326B5" w14:textId="1CFE0C2B" w:rsidR="231684A5" w:rsidRPr="00554A8B" w:rsidRDefault="231684A5" w:rsidP="231684A5">
      <w:pPr>
        <w:pStyle w:val="ListParagraph"/>
        <w:spacing w:before="240" w:after="240"/>
        <w:rPr>
          <w:rFonts w:ascii="Arial" w:hAnsi="Arial" w:cs="Arial"/>
          <w:sz w:val="23"/>
          <w:szCs w:val="23"/>
        </w:rPr>
      </w:pPr>
    </w:p>
    <w:p w14:paraId="70420325" w14:textId="6460A15B" w:rsidR="231684A5" w:rsidRPr="00554A8B" w:rsidRDefault="231684A5" w:rsidP="231684A5">
      <w:pPr>
        <w:pStyle w:val="ListParagraph"/>
        <w:numPr>
          <w:ilvl w:val="0"/>
          <w:numId w:val="13"/>
        </w:numPr>
        <w:spacing w:before="240" w:after="240"/>
        <w:rPr>
          <w:rFonts w:ascii="Arial" w:hAnsi="Arial" w:cs="Arial"/>
          <w:sz w:val="23"/>
          <w:szCs w:val="23"/>
        </w:rPr>
      </w:pPr>
      <w:r w:rsidRPr="00554A8B">
        <w:rPr>
          <w:rFonts w:ascii="Arial" w:hAnsi="Arial" w:cs="Arial"/>
          <w:sz w:val="23"/>
          <w:szCs w:val="23"/>
        </w:rPr>
        <w:t xml:space="preserve">The combination of poverty, violence, and inadequate housing creates the conditions for child welfare involvement – including because poverty and housing conditions are frequently conflated with neglect in child welfare investigations. Housing instability is frequently perceived as an indicator of adverse parenting </w:t>
      </w:r>
      <w:proofErr w:type="spellStart"/>
      <w:r w:rsidRPr="00554A8B">
        <w:rPr>
          <w:rFonts w:ascii="Arial" w:hAnsi="Arial" w:cs="Arial"/>
          <w:sz w:val="23"/>
          <w:szCs w:val="23"/>
        </w:rPr>
        <w:t>behaviours</w:t>
      </w:r>
      <w:proofErr w:type="spellEnd"/>
      <w:r w:rsidRPr="00554A8B">
        <w:rPr>
          <w:rFonts w:ascii="Arial" w:hAnsi="Arial" w:cs="Arial"/>
          <w:sz w:val="23"/>
          <w:szCs w:val="23"/>
        </w:rPr>
        <w:t>, specifically neglect, resulting in apprehension of children.</w:t>
      </w:r>
      <w:r w:rsidRPr="00554A8B">
        <w:rPr>
          <w:rStyle w:val="FootnoteReference"/>
          <w:rFonts w:ascii="Arial" w:hAnsi="Arial" w:cs="Arial"/>
          <w:sz w:val="23"/>
          <w:szCs w:val="23"/>
        </w:rPr>
        <w:footnoteReference w:id="39"/>
      </w:r>
    </w:p>
    <w:p w14:paraId="4EB0E0A5" w14:textId="1C253576" w:rsidR="231684A5" w:rsidRPr="00554A8B" w:rsidRDefault="231684A5" w:rsidP="231684A5">
      <w:pPr>
        <w:pStyle w:val="ListParagraph"/>
        <w:spacing w:before="240" w:after="240"/>
        <w:rPr>
          <w:rFonts w:ascii="Arial" w:hAnsi="Arial" w:cs="Arial"/>
          <w:sz w:val="23"/>
          <w:szCs w:val="23"/>
        </w:rPr>
      </w:pPr>
    </w:p>
    <w:p w14:paraId="258FA3AF" w14:textId="41DB96FE" w:rsidR="231684A5" w:rsidRPr="00554A8B" w:rsidRDefault="231684A5" w:rsidP="231684A5">
      <w:pPr>
        <w:pStyle w:val="ListParagraph"/>
        <w:numPr>
          <w:ilvl w:val="0"/>
          <w:numId w:val="13"/>
        </w:numPr>
        <w:spacing w:before="240" w:after="240"/>
        <w:rPr>
          <w:rFonts w:ascii="Arial" w:hAnsi="Arial" w:cs="Arial"/>
          <w:sz w:val="23"/>
          <w:szCs w:val="23"/>
        </w:rPr>
      </w:pPr>
      <w:r w:rsidRPr="00554A8B">
        <w:rPr>
          <w:rFonts w:ascii="Arial" w:hAnsi="Arial" w:cs="Arial"/>
          <w:sz w:val="23"/>
          <w:szCs w:val="23"/>
        </w:rPr>
        <w:t>Studies indicate that children and youth with experiences of child welfare involvement are at greater risk of becoming homeless as young people, and that losing custody of one’s child is a traumatic crisis that can precipitate homelessness for some women. Child welfare involvement has been linked to lifelong experiences of eviction, and studies indicate child and youth experiences of housing instability and violence are predictive of adult homelessness, parent child separation, and violent victimization. This suggests that chronic homelessness, adult homelessness, and intergenerational homelessness are linked to experiences of homelessness during childhood and youth, which are often inseparable from mothers’ experiences of inadequate housing.</w:t>
      </w:r>
      <w:r w:rsidRPr="00554A8B">
        <w:rPr>
          <w:rStyle w:val="FootnoteReference"/>
          <w:rFonts w:ascii="Arial" w:hAnsi="Arial" w:cs="Arial"/>
          <w:sz w:val="23"/>
          <w:szCs w:val="23"/>
        </w:rPr>
        <w:footnoteReference w:id="40"/>
      </w:r>
    </w:p>
    <w:p w14:paraId="3222CE33" w14:textId="24A21963" w:rsidR="231684A5" w:rsidRPr="00554A8B" w:rsidRDefault="231684A5" w:rsidP="231684A5">
      <w:pPr>
        <w:pStyle w:val="ListParagraph"/>
        <w:spacing w:before="240" w:after="240"/>
        <w:rPr>
          <w:rFonts w:ascii="Arial" w:hAnsi="Arial" w:cs="Arial"/>
          <w:sz w:val="23"/>
          <w:szCs w:val="23"/>
        </w:rPr>
      </w:pPr>
    </w:p>
    <w:p w14:paraId="05AB4712" w14:textId="0F2BB346" w:rsidR="0021287E" w:rsidRPr="0021287E" w:rsidRDefault="231684A5" w:rsidP="0021287E">
      <w:pPr>
        <w:pStyle w:val="ListParagraph"/>
        <w:numPr>
          <w:ilvl w:val="0"/>
          <w:numId w:val="13"/>
        </w:numPr>
        <w:spacing w:before="240" w:after="240"/>
        <w:rPr>
          <w:rFonts w:ascii="Arial" w:eastAsia="Calibri" w:hAnsi="Arial" w:cs="Arial"/>
          <w:sz w:val="23"/>
          <w:szCs w:val="23"/>
          <w:lang w:val="en-CA"/>
        </w:rPr>
      </w:pPr>
      <w:r w:rsidRPr="00554A8B">
        <w:rPr>
          <w:rFonts w:ascii="Arial" w:eastAsia="Calibri" w:hAnsi="Arial" w:cs="Arial"/>
          <w:sz w:val="23"/>
          <w:szCs w:val="23"/>
          <w:lang w:val="en-CA"/>
        </w:rPr>
        <w:t xml:space="preserve">In 2023, </w:t>
      </w:r>
      <w:r w:rsidR="3C0EAA6C" w:rsidRPr="3C0EAA6C">
        <w:rPr>
          <w:rFonts w:ascii="Arial" w:eastAsia="Calibri" w:hAnsi="Arial" w:cs="Arial"/>
          <w:sz w:val="23"/>
          <w:szCs w:val="23"/>
          <w:lang w:val="en-CA"/>
        </w:rPr>
        <w:t>advocates</w:t>
      </w:r>
      <w:r w:rsidRPr="00554A8B">
        <w:rPr>
          <w:rFonts w:ascii="Arial" w:eastAsia="Calibri" w:hAnsi="Arial" w:cs="Arial"/>
          <w:sz w:val="23"/>
          <w:szCs w:val="23"/>
          <w:lang w:val="en-CA"/>
        </w:rPr>
        <w:t xml:space="preserve"> welcomed the design of the Canada Disability Benefit Act </w:t>
      </w:r>
      <w:r w:rsidR="3C0EAA6C" w:rsidRPr="3C0EAA6C">
        <w:rPr>
          <w:rFonts w:ascii="Arial" w:eastAsia="Calibri" w:hAnsi="Arial" w:cs="Arial"/>
          <w:sz w:val="23"/>
          <w:szCs w:val="23"/>
          <w:lang w:val="en-CA"/>
        </w:rPr>
        <w:t xml:space="preserve">(CDBA), </w:t>
      </w:r>
      <w:r w:rsidRPr="00554A8B">
        <w:rPr>
          <w:rFonts w:ascii="Arial" w:eastAsia="Calibri" w:hAnsi="Arial" w:cs="Arial"/>
          <w:sz w:val="23"/>
          <w:szCs w:val="23"/>
          <w:lang w:val="en-CA"/>
        </w:rPr>
        <w:t xml:space="preserve">which </w:t>
      </w:r>
      <w:r w:rsidR="3C0EAA6C" w:rsidRPr="3C0EAA6C">
        <w:rPr>
          <w:rFonts w:ascii="Arial" w:eastAsia="Calibri" w:hAnsi="Arial" w:cs="Arial"/>
          <w:sz w:val="23"/>
          <w:szCs w:val="23"/>
          <w:lang w:val="en-CA"/>
        </w:rPr>
        <w:t>aims</w:t>
      </w:r>
      <w:r w:rsidRPr="00554A8B">
        <w:rPr>
          <w:rFonts w:ascii="Arial" w:eastAsia="Calibri" w:hAnsi="Arial" w:cs="Arial"/>
          <w:sz w:val="23"/>
          <w:szCs w:val="23"/>
          <w:lang w:val="en-CA"/>
        </w:rPr>
        <w:t xml:space="preserve"> to </w:t>
      </w:r>
      <w:r w:rsidR="3C0EAA6C" w:rsidRPr="3C0EAA6C">
        <w:rPr>
          <w:rFonts w:ascii="Arial" w:eastAsia="Calibri" w:hAnsi="Arial" w:cs="Arial"/>
          <w:sz w:val="23"/>
          <w:szCs w:val="23"/>
          <w:lang w:val="en-CA"/>
        </w:rPr>
        <w:t>provide</w:t>
      </w:r>
      <w:r w:rsidRPr="00554A8B">
        <w:rPr>
          <w:rFonts w:ascii="Arial" w:eastAsia="Calibri" w:hAnsi="Arial" w:cs="Arial"/>
          <w:sz w:val="23"/>
          <w:szCs w:val="23"/>
          <w:lang w:val="en-CA"/>
        </w:rPr>
        <w:t xml:space="preserve"> income support for persons with disabilities</w:t>
      </w:r>
      <w:r w:rsidR="001B11A4">
        <w:rPr>
          <w:rFonts w:ascii="Arial" w:eastAsia="Calibri" w:hAnsi="Arial" w:cs="Arial"/>
          <w:sz w:val="23"/>
          <w:szCs w:val="23"/>
          <w:lang w:val="en-CA"/>
        </w:rPr>
        <w:t xml:space="preserve">. </w:t>
      </w:r>
      <w:r w:rsidRPr="00554A8B">
        <w:rPr>
          <w:rFonts w:ascii="Arial" w:eastAsia="Calibri" w:hAnsi="Arial" w:cs="Arial"/>
          <w:sz w:val="23"/>
          <w:szCs w:val="23"/>
          <w:lang w:val="en-CA"/>
        </w:rPr>
        <w:t xml:space="preserve">The </w:t>
      </w:r>
      <w:r w:rsidR="3C0EAA6C" w:rsidRPr="3C0EAA6C">
        <w:rPr>
          <w:rFonts w:ascii="Arial" w:eastAsia="Calibri" w:hAnsi="Arial" w:cs="Arial"/>
          <w:sz w:val="23"/>
          <w:szCs w:val="23"/>
          <w:lang w:val="en-CA"/>
        </w:rPr>
        <w:lastRenderedPageBreak/>
        <w:t>CDBA</w:t>
      </w:r>
      <w:r w:rsidRPr="00554A8B">
        <w:rPr>
          <w:rFonts w:ascii="Arial" w:eastAsia="Calibri" w:hAnsi="Arial" w:cs="Arial"/>
          <w:sz w:val="23"/>
          <w:szCs w:val="23"/>
          <w:lang w:val="en-CA"/>
        </w:rPr>
        <w:t xml:space="preserve"> states that, in setting the amount of the benefit, the Governor in Council must take into consideration</w:t>
      </w:r>
      <w:r w:rsidR="0021287E">
        <w:rPr>
          <w:rFonts w:ascii="Arial" w:eastAsia="Calibri" w:hAnsi="Arial" w:cs="Arial"/>
          <w:sz w:val="23"/>
          <w:szCs w:val="23"/>
          <w:lang w:val="en-CA"/>
        </w:rPr>
        <w:t>:</w:t>
      </w:r>
    </w:p>
    <w:p w14:paraId="1B3FE916" w14:textId="1C004561" w:rsidR="231684A5" w:rsidRPr="00554A8B" w:rsidRDefault="3C0EAA6C" w:rsidP="231684A5">
      <w:pPr>
        <w:pStyle w:val="ListParagraph"/>
        <w:numPr>
          <w:ilvl w:val="1"/>
          <w:numId w:val="13"/>
        </w:numPr>
        <w:spacing w:before="240" w:after="240"/>
        <w:rPr>
          <w:rFonts w:ascii="Arial" w:eastAsia="Calibri" w:hAnsi="Arial" w:cs="Arial"/>
          <w:sz w:val="23"/>
          <w:szCs w:val="23"/>
          <w:lang w:val="en-CA"/>
        </w:rPr>
      </w:pPr>
      <w:r w:rsidRPr="3C0EAA6C">
        <w:rPr>
          <w:rFonts w:ascii="Arial" w:eastAsia="Calibri" w:hAnsi="Arial" w:cs="Arial"/>
          <w:sz w:val="23"/>
          <w:szCs w:val="23"/>
          <w:lang w:val="en-CA"/>
        </w:rPr>
        <w:t>the </w:t>
      </w:r>
      <w:r w:rsidRPr="3C0EAA6C">
        <w:rPr>
          <w:rFonts w:ascii="Arial" w:eastAsia="Calibri" w:hAnsi="Arial" w:cs="Arial"/>
          <w:i/>
          <w:iCs/>
          <w:sz w:val="23"/>
          <w:szCs w:val="23"/>
          <w:lang w:val="en-CA"/>
        </w:rPr>
        <w:t>Official Poverty Line</w:t>
      </w:r>
      <w:r w:rsidRPr="3C0EAA6C">
        <w:rPr>
          <w:rFonts w:ascii="Arial" w:eastAsia="Calibri" w:hAnsi="Arial" w:cs="Arial"/>
          <w:sz w:val="23"/>
          <w:szCs w:val="23"/>
          <w:lang w:val="en-CA"/>
        </w:rPr>
        <w:t> as defined in section 2 of the </w:t>
      </w:r>
      <w:hyperlink r:id="rId17" w:history="1">
        <w:r w:rsidRPr="3C0EAA6C">
          <w:rPr>
            <w:rStyle w:val="Hyperlink"/>
            <w:rFonts w:ascii="Arial" w:eastAsia="Calibri" w:hAnsi="Arial" w:cs="Arial"/>
            <w:i/>
            <w:iCs/>
            <w:sz w:val="23"/>
            <w:szCs w:val="23"/>
            <w:lang w:val="en-CA"/>
          </w:rPr>
          <w:t>Poverty Reduction Act;</w:t>
        </w:r>
      </w:hyperlink>
    </w:p>
    <w:p w14:paraId="6857569F" w14:textId="1E9BAD58" w:rsidR="231684A5" w:rsidRPr="00554A8B" w:rsidRDefault="231684A5" w:rsidP="231684A5">
      <w:pPr>
        <w:pStyle w:val="ListParagraph"/>
        <w:numPr>
          <w:ilvl w:val="1"/>
          <w:numId w:val="13"/>
        </w:numPr>
        <w:spacing w:before="240" w:after="240"/>
        <w:rPr>
          <w:rFonts w:ascii="Arial" w:eastAsia="Calibri" w:hAnsi="Arial" w:cs="Arial"/>
          <w:sz w:val="23"/>
          <w:szCs w:val="23"/>
          <w:lang w:val="en-CA"/>
        </w:rPr>
      </w:pPr>
      <w:r w:rsidRPr="00554A8B">
        <w:rPr>
          <w:rFonts w:ascii="Arial" w:eastAsia="Calibri" w:hAnsi="Arial" w:cs="Arial"/>
          <w:sz w:val="23"/>
          <w:szCs w:val="23"/>
          <w:lang w:val="en-CA"/>
        </w:rPr>
        <w:t xml:space="preserve">the additional costs associated with living with a </w:t>
      </w:r>
      <w:proofErr w:type="gramStart"/>
      <w:r w:rsidRPr="00554A8B">
        <w:rPr>
          <w:rFonts w:ascii="Arial" w:eastAsia="Calibri" w:hAnsi="Arial" w:cs="Arial"/>
          <w:sz w:val="23"/>
          <w:szCs w:val="23"/>
          <w:lang w:val="en-CA"/>
        </w:rPr>
        <w:t>disability;</w:t>
      </w:r>
      <w:proofErr w:type="gramEnd"/>
    </w:p>
    <w:p w14:paraId="703190BF" w14:textId="2D0048C3" w:rsidR="231684A5" w:rsidRPr="00554A8B" w:rsidRDefault="231684A5" w:rsidP="231684A5">
      <w:pPr>
        <w:pStyle w:val="ListParagraph"/>
        <w:numPr>
          <w:ilvl w:val="1"/>
          <w:numId w:val="13"/>
        </w:numPr>
        <w:spacing w:before="240" w:after="240"/>
        <w:rPr>
          <w:rFonts w:ascii="Arial" w:eastAsia="Calibri" w:hAnsi="Arial" w:cs="Arial"/>
          <w:sz w:val="23"/>
          <w:szCs w:val="23"/>
          <w:lang w:val="en-CA"/>
        </w:rPr>
      </w:pPr>
      <w:r w:rsidRPr="00554A8B">
        <w:rPr>
          <w:rFonts w:ascii="Arial" w:eastAsia="Calibri" w:hAnsi="Arial" w:cs="Arial"/>
          <w:sz w:val="23"/>
          <w:szCs w:val="23"/>
          <w:lang w:val="en-CA"/>
        </w:rPr>
        <w:t xml:space="preserve">the challenges faced by those living with a disability in earning an income from </w:t>
      </w:r>
      <w:proofErr w:type="gramStart"/>
      <w:r w:rsidRPr="00554A8B">
        <w:rPr>
          <w:rFonts w:ascii="Arial" w:eastAsia="Calibri" w:hAnsi="Arial" w:cs="Arial"/>
          <w:sz w:val="23"/>
          <w:szCs w:val="23"/>
          <w:lang w:val="en-CA"/>
        </w:rPr>
        <w:t>work;</w:t>
      </w:r>
      <w:proofErr w:type="gramEnd"/>
    </w:p>
    <w:p w14:paraId="5168DE88" w14:textId="090BD28E" w:rsidR="231684A5" w:rsidRPr="00554A8B" w:rsidRDefault="231684A5" w:rsidP="231684A5">
      <w:pPr>
        <w:pStyle w:val="ListParagraph"/>
        <w:numPr>
          <w:ilvl w:val="1"/>
          <w:numId w:val="13"/>
        </w:numPr>
        <w:spacing w:before="240" w:after="240"/>
        <w:rPr>
          <w:rFonts w:ascii="Arial" w:eastAsia="Calibri" w:hAnsi="Arial" w:cs="Arial"/>
          <w:sz w:val="23"/>
          <w:szCs w:val="23"/>
          <w:lang w:val="en-CA"/>
        </w:rPr>
      </w:pPr>
      <w:r w:rsidRPr="00554A8B">
        <w:rPr>
          <w:rFonts w:ascii="Arial" w:eastAsia="Calibri" w:hAnsi="Arial" w:cs="Arial"/>
          <w:sz w:val="23"/>
          <w:szCs w:val="23"/>
          <w:lang w:val="en-CA"/>
        </w:rPr>
        <w:t>the intersectional needs of disadvantaged individuals and groups; and</w:t>
      </w:r>
    </w:p>
    <w:p w14:paraId="036FDDE6" w14:textId="3FDCF103" w:rsidR="231684A5" w:rsidRPr="00554A8B" w:rsidRDefault="231684A5" w:rsidP="231684A5">
      <w:pPr>
        <w:pStyle w:val="ListParagraph"/>
        <w:numPr>
          <w:ilvl w:val="1"/>
          <w:numId w:val="13"/>
        </w:numPr>
        <w:spacing w:before="240" w:after="240"/>
        <w:rPr>
          <w:rFonts w:ascii="Arial" w:eastAsia="Calibri" w:hAnsi="Arial" w:cs="Arial"/>
          <w:sz w:val="23"/>
          <w:szCs w:val="23"/>
          <w:lang w:val="en-CA"/>
        </w:rPr>
      </w:pPr>
      <w:r w:rsidRPr="00554A8B">
        <w:rPr>
          <w:rFonts w:ascii="Arial" w:eastAsia="Calibri" w:hAnsi="Arial" w:cs="Arial"/>
          <w:sz w:val="23"/>
          <w:szCs w:val="23"/>
          <w:lang w:val="en-CA"/>
        </w:rPr>
        <w:t>Canada’s international human rights obligations.</w:t>
      </w:r>
    </w:p>
    <w:p w14:paraId="4829F373" w14:textId="3A7EF0C5" w:rsidR="231684A5" w:rsidRPr="00554A8B" w:rsidRDefault="231684A5" w:rsidP="231684A5">
      <w:pPr>
        <w:pStyle w:val="ListParagraph"/>
        <w:spacing w:before="240" w:after="240"/>
        <w:rPr>
          <w:rFonts w:ascii="Arial" w:eastAsia="Calibri" w:hAnsi="Arial" w:cs="Arial"/>
          <w:sz w:val="23"/>
          <w:szCs w:val="23"/>
          <w:lang w:val="en-CA"/>
        </w:rPr>
      </w:pPr>
    </w:p>
    <w:p w14:paraId="2E1FAE3F" w14:textId="51F3EDD0" w:rsidR="231684A5" w:rsidRPr="00554A8B" w:rsidRDefault="231684A5" w:rsidP="231684A5">
      <w:pPr>
        <w:pStyle w:val="ListParagraph"/>
        <w:numPr>
          <w:ilvl w:val="0"/>
          <w:numId w:val="13"/>
        </w:numPr>
        <w:spacing w:before="240" w:after="240"/>
        <w:rPr>
          <w:rFonts w:ascii="Arial" w:eastAsia="Calibri" w:hAnsi="Arial" w:cs="Arial"/>
          <w:sz w:val="23"/>
          <w:szCs w:val="23"/>
          <w:lang w:val="en-CA"/>
        </w:rPr>
      </w:pPr>
      <w:r w:rsidRPr="00554A8B">
        <w:rPr>
          <w:rFonts w:ascii="Arial" w:eastAsia="Calibri" w:hAnsi="Arial" w:cs="Arial"/>
          <w:sz w:val="23"/>
          <w:szCs w:val="23"/>
          <w:lang w:val="en-CA"/>
        </w:rPr>
        <w:t>The Disability Benefit amount</w:t>
      </w:r>
      <w:r w:rsidR="3C0EAA6C" w:rsidRPr="3C0EAA6C">
        <w:rPr>
          <w:rFonts w:ascii="Arial" w:eastAsia="Calibri" w:hAnsi="Arial" w:cs="Arial"/>
          <w:sz w:val="23"/>
          <w:szCs w:val="23"/>
          <w:lang w:val="en-CA"/>
        </w:rPr>
        <w:t xml:space="preserve"> ($2,400 per year),</w:t>
      </w:r>
      <w:r w:rsidRPr="00554A8B">
        <w:rPr>
          <w:rFonts w:ascii="Arial" w:eastAsia="Calibri" w:hAnsi="Arial" w:cs="Arial"/>
          <w:sz w:val="23"/>
          <w:szCs w:val="23"/>
          <w:lang w:val="en-CA"/>
        </w:rPr>
        <w:t xml:space="preserve"> set in </w:t>
      </w:r>
      <w:r w:rsidR="3C0EAA6C" w:rsidRPr="3C0EAA6C">
        <w:rPr>
          <w:rFonts w:ascii="Arial" w:eastAsia="Calibri" w:hAnsi="Arial" w:cs="Arial"/>
          <w:sz w:val="23"/>
          <w:szCs w:val="23"/>
          <w:lang w:val="en-CA"/>
        </w:rPr>
        <w:t>the 2024 federal budget</w:t>
      </w:r>
      <w:r w:rsidRPr="00554A8B">
        <w:rPr>
          <w:rFonts w:ascii="Arial" w:eastAsia="Calibri" w:hAnsi="Arial" w:cs="Arial"/>
          <w:sz w:val="23"/>
          <w:szCs w:val="23"/>
          <w:lang w:val="en-CA"/>
        </w:rPr>
        <w:t xml:space="preserve">, bears no reasonable relationship to the criteria </w:t>
      </w:r>
      <w:r w:rsidR="3C0EAA6C" w:rsidRPr="3C0EAA6C">
        <w:rPr>
          <w:rFonts w:ascii="Arial" w:eastAsia="Calibri" w:hAnsi="Arial" w:cs="Arial"/>
          <w:sz w:val="23"/>
          <w:szCs w:val="23"/>
          <w:lang w:val="en-CA"/>
        </w:rPr>
        <w:t>outlined above.</w:t>
      </w:r>
      <w:r w:rsidRPr="00554A8B">
        <w:rPr>
          <w:rFonts w:ascii="Arial" w:eastAsia="Calibri" w:hAnsi="Arial" w:cs="Arial"/>
          <w:sz w:val="23"/>
          <w:szCs w:val="23"/>
          <w:lang w:val="en-CA"/>
        </w:rPr>
        <w:t xml:space="preserve"> </w:t>
      </w:r>
      <w:r w:rsidR="3C0EAA6C" w:rsidRPr="3C0EAA6C">
        <w:rPr>
          <w:rFonts w:ascii="Arial" w:eastAsia="Calibri" w:hAnsi="Arial" w:cs="Arial"/>
          <w:sz w:val="23"/>
          <w:szCs w:val="23"/>
          <w:lang w:val="en-CA"/>
        </w:rPr>
        <w:t xml:space="preserve">Under the previous </w:t>
      </w:r>
      <w:r w:rsidR="3C0EAA6C" w:rsidRPr="3C0EAA6C">
        <w:rPr>
          <w:rFonts w:ascii="Arial" w:eastAsia="Calibri" w:hAnsi="Arial" w:cs="Arial"/>
          <w:i/>
          <w:iCs/>
          <w:sz w:val="23"/>
          <w:szCs w:val="23"/>
          <w:lang w:val="en-CA"/>
        </w:rPr>
        <w:t>Canada Assistance Plan Act,</w:t>
      </w:r>
      <w:r w:rsidR="3C0EAA6C" w:rsidRPr="3C0EAA6C">
        <w:rPr>
          <w:rFonts w:ascii="Arial" w:eastAsia="Calibri" w:hAnsi="Arial" w:cs="Arial"/>
          <w:sz w:val="23"/>
          <w:szCs w:val="23"/>
          <w:lang w:val="en-CA"/>
        </w:rPr>
        <w:t xml:space="preserve"> governments were obligated</w:t>
      </w:r>
      <w:r w:rsidRPr="00554A8B">
        <w:rPr>
          <w:rFonts w:ascii="Arial" w:eastAsia="Calibri" w:hAnsi="Arial" w:cs="Arial"/>
          <w:sz w:val="23"/>
          <w:szCs w:val="23"/>
          <w:lang w:val="en-CA"/>
        </w:rPr>
        <w:t xml:space="preserve"> to set social assistance rates at an amount that </w:t>
      </w:r>
      <w:r w:rsidR="3C0EAA6C" w:rsidRPr="3C0EAA6C">
        <w:rPr>
          <w:rFonts w:ascii="Arial" w:eastAsia="Calibri" w:hAnsi="Arial" w:cs="Arial"/>
          <w:sz w:val="23"/>
          <w:szCs w:val="23"/>
          <w:lang w:val="en-CA"/>
        </w:rPr>
        <w:t>considers</w:t>
      </w:r>
      <w:r w:rsidRPr="00554A8B">
        <w:rPr>
          <w:rFonts w:ascii="Arial" w:eastAsia="Calibri" w:hAnsi="Arial" w:cs="Arial"/>
          <w:sz w:val="23"/>
          <w:szCs w:val="23"/>
          <w:lang w:val="en-CA"/>
        </w:rPr>
        <w:t xml:space="preserve"> the basic requirements of a household</w:t>
      </w:r>
      <w:r w:rsidR="3C0EAA6C" w:rsidRPr="3C0EAA6C">
        <w:rPr>
          <w:rFonts w:ascii="Arial" w:eastAsia="Calibri" w:hAnsi="Arial" w:cs="Arial"/>
          <w:sz w:val="23"/>
          <w:szCs w:val="23"/>
          <w:lang w:val="en-CA"/>
        </w:rPr>
        <w:t>.</w:t>
      </w:r>
      <w:r w:rsidR="00F40C2E">
        <w:rPr>
          <w:rFonts w:ascii="Arial" w:eastAsia="Calibri" w:hAnsi="Arial" w:cs="Arial"/>
          <w:sz w:val="23"/>
          <w:szCs w:val="23"/>
          <w:lang w:val="en-CA"/>
        </w:rPr>
        <w:t xml:space="preserve"> </w:t>
      </w:r>
      <w:r w:rsidR="3C0EAA6C" w:rsidRPr="3C0EAA6C">
        <w:rPr>
          <w:rFonts w:ascii="Arial" w:eastAsia="Calibri" w:hAnsi="Arial" w:cs="Arial"/>
          <w:sz w:val="23"/>
          <w:szCs w:val="23"/>
          <w:lang w:val="en-CA"/>
        </w:rPr>
        <w:t>The</w:t>
      </w:r>
      <w:r w:rsidRPr="00554A8B">
        <w:rPr>
          <w:rFonts w:ascii="Arial" w:eastAsia="Calibri" w:hAnsi="Arial" w:cs="Arial"/>
          <w:sz w:val="23"/>
          <w:szCs w:val="23"/>
          <w:lang w:val="en-CA"/>
        </w:rPr>
        <w:t xml:space="preserve"> Supreme Court of Canada </w:t>
      </w:r>
      <w:r w:rsidR="3C0EAA6C" w:rsidRPr="3C0EAA6C">
        <w:rPr>
          <w:rFonts w:ascii="Arial" w:eastAsia="Calibri" w:hAnsi="Arial" w:cs="Arial"/>
          <w:sz w:val="23"/>
          <w:szCs w:val="23"/>
          <w:lang w:val="en-CA"/>
        </w:rPr>
        <w:t xml:space="preserve">clarified </w:t>
      </w:r>
      <w:r w:rsidRPr="00554A8B">
        <w:rPr>
          <w:rFonts w:ascii="Arial" w:eastAsia="Calibri" w:hAnsi="Arial" w:cs="Arial"/>
          <w:sz w:val="23"/>
          <w:szCs w:val="23"/>
          <w:lang w:val="en-CA"/>
        </w:rPr>
        <w:t xml:space="preserve">that </w:t>
      </w:r>
      <w:r w:rsidR="3C0EAA6C" w:rsidRPr="3C0EAA6C">
        <w:rPr>
          <w:rFonts w:ascii="Arial" w:eastAsia="Calibri" w:hAnsi="Arial" w:cs="Arial"/>
          <w:sz w:val="23"/>
          <w:szCs w:val="23"/>
          <w:lang w:val="en-CA"/>
        </w:rPr>
        <w:t>considering</w:t>
      </w:r>
      <w:r w:rsidRPr="00554A8B">
        <w:rPr>
          <w:rFonts w:ascii="Arial" w:eastAsia="Calibri" w:hAnsi="Arial" w:cs="Arial"/>
          <w:sz w:val="23"/>
          <w:szCs w:val="23"/>
          <w:lang w:val="en-CA"/>
        </w:rPr>
        <w:t xml:space="preserve"> basic requirements did not dictate a precise amount</w:t>
      </w:r>
      <w:r w:rsidR="3C0EAA6C" w:rsidRPr="3C0EAA6C">
        <w:rPr>
          <w:rFonts w:ascii="Arial" w:eastAsia="Calibri" w:hAnsi="Arial" w:cs="Arial"/>
          <w:sz w:val="23"/>
          <w:szCs w:val="23"/>
          <w:lang w:val="en-CA"/>
        </w:rPr>
        <w:t>, but</w:t>
      </w:r>
      <w:r w:rsidRPr="00554A8B">
        <w:rPr>
          <w:rFonts w:ascii="Arial" w:eastAsia="Calibri" w:hAnsi="Arial" w:cs="Arial"/>
          <w:sz w:val="23"/>
          <w:szCs w:val="23"/>
          <w:lang w:val="en-CA"/>
        </w:rPr>
        <w:t xml:space="preserve"> it required </w:t>
      </w:r>
      <w:r w:rsidR="3C0EAA6C" w:rsidRPr="3C0EAA6C">
        <w:rPr>
          <w:rFonts w:ascii="Arial" w:eastAsia="Calibri" w:hAnsi="Arial" w:cs="Arial"/>
          <w:sz w:val="23"/>
          <w:szCs w:val="23"/>
          <w:lang w:val="en-CA"/>
        </w:rPr>
        <w:t xml:space="preserve">the </w:t>
      </w:r>
      <w:r w:rsidRPr="00554A8B">
        <w:rPr>
          <w:rFonts w:ascii="Arial" w:eastAsia="Calibri" w:hAnsi="Arial" w:cs="Arial"/>
          <w:sz w:val="23"/>
          <w:szCs w:val="23"/>
          <w:lang w:val="en-CA"/>
        </w:rPr>
        <w:t xml:space="preserve">provision of assistance “that is compatible, or consistent, with an individual's basic requirements.”  </w:t>
      </w:r>
    </w:p>
    <w:p w14:paraId="7F8D2E90" w14:textId="155D84F9" w:rsidR="231684A5" w:rsidRPr="00554A8B" w:rsidRDefault="231684A5" w:rsidP="231684A5">
      <w:pPr>
        <w:pStyle w:val="ListParagraph"/>
        <w:spacing w:beforeAutospacing="1" w:afterAutospacing="1" w:line="240" w:lineRule="auto"/>
        <w:rPr>
          <w:rFonts w:ascii="Arial" w:eastAsia="Calibri" w:hAnsi="Arial" w:cs="Arial"/>
          <w:sz w:val="23"/>
          <w:szCs w:val="23"/>
          <w:lang w:val="en-CA"/>
        </w:rPr>
      </w:pPr>
    </w:p>
    <w:p w14:paraId="65712331" w14:textId="75FD9FD4" w:rsidR="001D4C16" w:rsidRPr="003261EB" w:rsidRDefault="231684A5" w:rsidP="003261EB">
      <w:pPr>
        <w:pStyle w:val="ListParagraph"/>
        <w:numPr>
          <w:ilvl w:val="0"/>
          <w:numId w:val="13"/>
        </w:numPr>
        <w:spacing w:beforeAutospacing="1" w:afterAutospacing="1" w:line="240" w:lineRule="auto"/>
        <w:rPr>
          <w:rFonts w:ascii="Arial" w:eastAsia="Calibri" w:hAnsi="Arial" w:cs="Arial"/>
          <w:sz w:val="23"/>
          <w:szCs w:val="23"/>
          <w:lang w:val="en-CA"/>
        </w:rPr>
      </w:pPr>
      <w:r w:rsidRPr="00554A8B">
        <w:rPr>
          <w:rFonts w:ascii="Arial" w:eastAsia="Calibri" w:hAnsi="Arial" w:cs="Arial"/>
          <w:sz w:val="23"/>
          <w:szCs w:val="23"/>
          <w:lang w:val="en-CA"/>
        </w:rPr>
        <w:t xml:space="preserve">This is particularly pressing for women and gender-diverse people, as research shows </w:t>
      </w:r>
      <w:r w:rsidRPr="00554A8B">
        <w:rPr>
          <w:rFonts w:ascii="Arial" w:hAnsi="Arial" w:cs="Arial"/>
          <w:sz w:val="23"/>
          <w:szCs w:val="23"/>
          <w:lang w:val="en-CA"/>
        </w:rPr>
        <w:t>that over 75 per cent of women and gender-diverse people experiencing housing insecurity report some form of disability. The current Disability Benefit amount will not be able to lift women and gender-diverse people with a disability out of housing insecurity or homelessness.</w:t>
      </w:r>
      <w:r w:rsidRPr="00554A8B">
        <w:rPr>
          <w:rStyle w:val="FootnoteReference"/>
          <w:rFonts w:ascii="Arial" w:eastAsia="Calibri" w:hAnsi="Arial" w:cs="Arial"/>
          <w:sz w:val="23"/>
          <w:szCs w:val="23"/>
          <w:lang w:val="en-CA"/>
        </w:rPr>
        <w:footnoteReference w:id="41"/>
      </w:r>
      <w:r w:rsidRPr="00554A8B">
        <w:rPr>
          <w:rFonts w:ascii="Arial" w:eastAsia="Calibri" w:hAnsi="Arial" w:cs="Arial"/>
          <w:sz w:val="23"/>
          <w:szCs w:val="23"/>
          <w:lang w:val="en-CA"/>
        </w:rPr>
        <w:t xml:space="preserve"> The benefit amount</w:t>
      </w:r>
      <w:r w:rsidR="00F40C2E">
        <w:rPr>
          <w:rFonts w:ascii="Arial" w:eastAsia="Calibri" w:hAnsi="Arial" w:cs="Arial"/>
          <w:sz w:val="23"/>
          <w:szCs w:val="23"/>
          <w:lang w:val="en-CA"/>
        </w:rPr>
        <w:t xml:space="preserve"> </w:t>
      </w:r>
      <w:r w:rsidRPr="00554A8B">
        <w:rPr>
          <w:rFonts w:ascii="Arial" w:eastAsia="Calibri" w:hAnsi="Arial" w:cs="Arial"/>
          <w:sz w:val="23"/>
          <w:szCs w:val="23"/>
          <w:lang w:val="en-CA"/>
        </w:rPr>
        <w:t>does not reflect the official poverty line and does not align with international human rights law requirements related to the right to adequate housing and to live independently with dignity in the community.</w:t>
      </w:r>
    </w:p>
    <w:p w14:paraId="40600410" w14:textId="3C64207C" w:rsidR="001D4C16" w:rsidRPr="001D4C16" w:rsidRDefault="001D4C16" w:rsidP="001D4C16">
      <w:pPr>
        <w:ind w:left="360"/>
        <w:rPr>
          <w:rFonts w:ascii="Arial" w:eastAsia="Calibri" w:hAnsi="Arial" w:cs="Arial"/>
          <w:b/>
          <w:bCs/>
          <w:sz w:val="23"/>
          <w:szCs w:val="23"/>
          <w:u w:val="single"/>
        </w:rPr>
      </w:pPr>
      <w:r w:rsidRPr="001D4C16">
        <w:rPr>
          <w:rFonts w:ascii="Arial" w:eastAsia="Calibri" w:hAnsi="Arial" w:cs="Arial"/>
          <w:b/>
          <w:bCs/>
          <w:sz w:val="23"/>
          <w:szCs w:val="23"/>
          <w:u w:val="single"/>
        </w:rPr>
        <w:t xml:space="preserve">RECOMMENDATIONS </w:t>
      </w:r>
    </w:p>
    <w:p w14:paraId="2A7C91F1" w14:textId="1E688F73" w:rsidR="001D4C16" w:rsidRDefault="001D4C16" w:rsidP="001D4C16">
      <w:pPr>
        <w:pStyle w:val="ListParagraph"/>
        <w:numPr>
          <w:ilvl w:val="0"/>
          <w:numId w:val="16"/>
        </w:numPr>
        <w:spacing w:line="278" w:lineRule="auto"/>
        <w:rPr>
          <w:rFonts w:ascii="Arial" w:hAnsi="Arial" w:cs="Arial"/>
          <w:b/>
          <w:bCs/>
          <w:sz w:val="23"/>
          <w:szCs w:val="23"/>
        </w:rPr>
      </w:pPr>
      <w:r w:rsidRPr="00554A8B">
        <w:rPr>
          <w:rFonts w:ascii="Arial" w:hAnsi="Arial" w:cs="Arial"/>
          <w:b/>
          <w:bCs/>
          <w:sz w:val="23"/>
          <w:szCs w:val="23"/>
        </w:rPr>
        <w:t>Strengthen income supports to address the depth of poverty experienced by women and gender-diverse people and their families.</w:t>
      </w:r>
    </w:p>
    <w:p w14:paraId="300B145B" w14:textId="77777777" w:rsidR="001D4C16" w:rsidRDefault="001D4C16" w:rsidP="001D4C16">
      <w:pPr>
        <w:pStyle w:val="ListParagraph"/>
        <w:spacing w:line="278" w:lineRule="auto"/>
        <w:rPr>
          <w:rFonts w:ascii="Arial" w:hAnsi="Arial" w:cs="Arial"/>
          <w:b/>
          <w:bCs/>
          <w:sz w:val="23"/>
          <w:szCs w:val="23"/>
        </w:rPr>
      </w:pPr>
    </w:p>
    <w:p w14:paraId="49D37820" w14:textId="38A18985" w:rsidR="001D4C16" w:rsidRPr="00554A8B" w:rsidRDefault="00307A3B" w:rsidP="001D4C16">
      <w:pPr>
        <w:pStyle w:val="ListParagraph"/>
        <w:numPr>
          <w:ilvl w:val="0"/>
          <w:numId w:val="16"/>
        </w:numPr>
        <w:spacing w:line="278" w:lineRule="auto"/>
        <w:rPr>
          <w:rFonts w:ascii="Arial" w:hAnsi="Arial" w:cs="Arial"/>
          <w:b/>
          <w:bCs/>
          <w:sz w:val="23"/>
          <w:szCs w:val="23"/>
        </w:rPr>
      </w:pPr>
      <w:r w:rsidRPr="00307A3B">
        <w:rPr>
          <w:rFonts w:ascii="Arial" w:hAnsi="Arial" w:cs="Arial"/>
          <w:b/>
          <w:bCs/>
          <w:sz w:val="23"/>
          <w:szCs w:val="23"/>
        </w:rPr>
        <w:t xml:space="preserve">Increase the amount of the Canada Disability Benefit to an amount that is consistent with </w:t>
      </w:r>
      <w:r w:rsidR="3C0EAA6C" w:rsidRPr="3C0EAA6C">
        <w:rPr>
          <w:rFonts w:ascii="Arial" w:hAnsi="Arial" w:cs="Arial"/>
          <w:b/>
          <w:bCs/>
          <w:sz w:val="23"/>
          <w:szCs w:val="23"/>
        </w:rPr>
        <w:t>CDBA</w:t>
      </w:r>
      <w:r w:rsidRPr="00307A3B">
        <w:rPr>
          <w:rFonts w:ascii="Arial" w:hAnsi="Arial" w:cs="Arial"/>
          <w:b/>
          <w:bCs/>
          <w:sz w:val="23"/>
          <w:szCs w:val="23"/>
        </w:rPr>
        <w:t>, which requires that the benefit be set at an amount that is consistent with the poverty line and with the requirements of the right to adequate housing and to live independently with dignity in the community under international human rights law</w:t>
      </w:r>
      <w:r>
        <w:rPr>
          <w:rFonts w:ascii="Arial" w:hAnsi="Arial" w:cs="Arial"/>
          <w:b/>
          <w:bCs/>
          <w:sz w:val="23"/>
          <w:szCs w:val="23"/>
        </w:rPr>
        <w:t xml:space="preserve">. </w:t>
      </w:r>
    </w:p>
    <w:p w14:paraId="1B56A10D" w14:textId="3507B909" w:rsidR="231684A5" w:rsidRPr="00554A8B" w:rsidRDefault="231684A5" w:rsidP="231684A5">
      <w:pPr>
        <w:spacing w:before="240" w:after="240"/>
        <w:rPr>
          <w:rFonts w:ascii="Arial" w:hAnsi="Arial" w:cs="Arial"/>
          <w:sz w:val="23"/>
          <w:szCs w:val="23"/>
        </w:rPr>
      </w:pPr>
    </w:p>
    <w:p w14:paraId="4138A081" w14:textId="0755E97B" w:rsidR="66C83D34" w:rsidRPr="00554A8B" w:rsidRDefault="66C83D34" w:rsidP="005F01AD">
      <w:pPr>
        <w:spacing w:before="100" w:beforeAutospacing="1" w:after="100" w:afterAutospacing="1" w:line="240" w:lineRule="auto"/>
        <w:rPr>
          <w:rFonts w:ascii="Arial" w:eastAsia="Times New Roman" w:hAnsi="Arial" w:cs="Arial"/>
          <w:color w:val="000000" w:themeColor="text1"/>
          <w:sz w:val="23"/>
          <w:szCs w:val="23"/>
          <w:lang w:val="en-CA"/>
        </w:rPr>
      </w:pPr>
    </w:p>
    <w:sectPr w:rsidR="66C83D34" w:rsidRPr="00554A8B">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D71038" w14:textId="77777777" w:rsidR="00C0798F" w:rsidRDefault="00C0798F">
      <w:pPr>
        <w:spacing w:after="0" w:line="240" w:lineRule="auto"/>
      </w:pPr>
      <w:r>
        <w:separator/>
      </w:r>
    </w:p>
  </w:endnote>
  <w:endnote w:type="continuationSeparator" w:id="0">
    <w:p w14:paraId="36FF540E" w14:textId="77777777" w:rsidR="00C0798F" w:rsidRDefault="00C0798F">
      <w:pPr>
        <w:spacing w:after="0" w:line="240" w:lineRule="auto"/>
      </w:pPr>
      <w:r>
        <w:continuationSeparator/>
      </w:r>
    </w:p>
  </w:endnote>
  <w:endnote w:type="continuationNotice" w:id="1">
    <w:p w14:paraId="04630420" w14:textId="77777777" w:rsidR="00C0798F" w:rsidRDefault="00C079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6810569"/>
      <w:docPartObj>
        <w:docPartGallery w:val="Page Numbers (Bottom of Page)"/>
        <w:docPartUnique/>
      </w:docPartObj>
    </w:sdtPr>
    <w:sdtEndPr>
      <w:rPr>
        <w:noProof/>
      </w:rPr>
    </w:sdtEndPr>
    <w:sdtContent>
      <w:p w14:paraId="564D9B0B" w14:textId="362E5923" w:rsidR="00217106" w:rsidRDefault="002171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9C7DE5" w14:textId="77777777" w:rsidR="00217106" w:rsidRDefault="002171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5E0A40" w14:textId="77777777" w:rsidR="00C0798F" w:rsidRDefault="00C0798F">
      <w:pPr>
        <w:spacing w:after="0" w:line="240" w:lineRule="auto"/>
      </w:pPr>
      <w:r>
        <w:separator/>
      </w:r>
    </w:p>
  </w:footnote>
  <w:footnote w:type="continuationSeparator" w:id="0">
    <w:p w14:paraId="3679D0E8" w14:textId="77777777" w:rsidR="00C0798F" w:rsidRDefault="00C0798F">
      <w:pPr>
        <w:spacing w:after="0" w:line="240" w:lineRule="auto"/>
      </w:pPr>
      <w:r>
        <w:continuationSeparator/>
      </w:r>
    </w:p>
  </w:footnote>
  <w:footnote w:type="continuationNotice" w:id="1">
    <w:p w14:paraId="6CEFDC01" w14:textId="77777777" w:rsidR="00C0798F" w:rsidRDefault="00C0798F">
      <w:pPr>
        <w:spacing w:after="0" w:line="240" w:lineRule="auto"/>
      </w:pPr>
    </w:p>
  </w:footnote>
  <w:footnote w:id="2">
    <w:p w14:paraId="63578FA6" w14:textId="31444029" w:rsidR="000E158E" w:rsidRPr="000C1DE1" w:rsidRDefault="000E158E" w:rsidP="000C1DE1">
      <w:pPr>
        <w:spacing w:after="0" w:line="278" w:lineRule="auto"/>
        <w:rPr>
          <w:rFonts w:ascii="Aptos" w:eastAsia="Aptos" w:hAnsi="Aptos" w:cs="Aptos"/>
          <w:sz w:val="20"/>
          <w:szCs w:val="20"/>
        </w:rPr>
      </w:pPr>
      <w:r w:rsidRPr="40491EC3">
        <w:rPr>
          <w:rStyle w:val="FootnoteReference"/>
        </w:rPr>
        <w:footnoteRef/>
      </w:r>
      <w:r>
        <w:t xml:space="preserve"> </w:t>
      </w:r>
      <w:r w:rsidRPr="40491EC3">
        <w:rPr>
          <w:rFonts w:ascii="Aptos" w:eastAsia="Aptos" w:hAnsi="Aptos" w:cs="Aptos"/>
          <w:sz w:val="20"/>
          <w:szCs w:val="20"/>
        </w:rPr>
        <w:t>National Indigenous Women’s Housing Network (2022). “</w:t>
      </w:r>
      <w:r w:rsidRPr="40491EC3">
        <w:rPr>
          <w:rFonts w:ascii="Aptos" w:eastAsia="Aptos" w:hAnsi="Aptos" w:cs="Aptos"/>
          <w:i/>
          <w:iCs/>
          <w:sz w:val="20"/>
          <w:szCs w:val="20"/>
        </w:rPr>
        <w:t xml:space="preserve">Homeless on Homelands: Upholding Housing </w:t>
      </w:r>
      <w:proofErr w:type="gramStart"/>
      <w:r w:rsidRPr="40491EC3">
        <w:rPr>
          <w:rFonts w:ascii="Aptos" w:eastAsia="Aptos" w:hAnsi="Aptos" w:cs="Aptos"/>
          <w:i/>
          <w:iCs/>
          <w:sz w:val="20"/>
          <w:szCs w:val="20"/>
        </w:rPr>
        <w:t>as  Human</w:t>
      </w:r>
      <w:proofErr w:type="gramEnd"/>
      <w:r w:rsidRPr="40491EC3">
        <w:rPr>
          <w:rFonts w:ascii="Aptos" w:eastAsia="Aptos" w:hAnsi="Aptos" w:cs="Aptos"/>
          <w:i/>
          <w:iCs/>
          <w:sz w:val="20"/>
          <w:szCs w:val="20"/>
        </w:rPr>
        <w:t xml:space="preserve"> Right for Indigenous Women, Girls, Two-Spirit and Gender-Diverse People</w:t>
      </w:r>
      <w:r w:rsidRPr="40491EC3">
        <w:rPr>
          <w:rFonts w:ascii="Aptos" w:eastAsia="Aptos" w:hAnsi="Aptos" w:cs="Aptos"/>
          <w:sz w:val="20"/>
          <w:szCs w:val="20"/>
        </w:rPr>
        <w:t xml:space="preserve">.” </w:t>
      </w:r>
      <w:hyperlink r:id="rId1" w:history="1">
        <w:hyperlink r:id="rId2" w:history="1">
          <w:r w:rsidRPr="40491EC3">
            <w:rPr>
              <w:rStyle w:val="Hyperlink"/>
              <w:rFonts w:ascii="Aptos" w:eastAsia="Aptos" w:hAnsi="Aptos" w:cs="Aptos"/>
              <w:sz w:val="20"/>
              <w:szCs w:val="20"/>
            </w:rPr>
            <w:t>https://womenshomelessness.ca/wp-content/uploads/Indigenous-Housing-Claim-June-15-2022.pdf</w:t>
          </w:r>
        </w:hyperlink>
      </w:hyperlink>
    </w:p>
  </w:footnote>
  <w:footnote w:id="3">
    <w:p w14:paraId="029596B2" w14:textId="092C9D3A" w:rsidR="000E158E" w:rsidRDefault="000E158E" w:rsidP="00F771F8">
      <w:pPr>
        <w:pStyle w:val="FootnoteText"/>
      </w:pPr>
      <w:r w:rsidRPr="45FEEEFA">
        <w:rPr>
          <w:rStyle w:val="FootnoteReference"/>
        </w:rPr>
        <w:footnoteRef/>
      </w:r>
      <w:r>
        <w:t xml:space="preserve"> </w:t>
      </w:r>
      <w:r w:rsidR="000A27D1">
        <w:t xml:space="preserve">CEDAW Committee, </w:t>
      </w:r>
      <w:r>
        <w:t>Concluding Observations</w:t>
      </w:r>
      <w:r w:rsidR="000A27D1">
        <w:t xml:space="preserve"> to Canada (2016). </w:t>
      </w:r>
    </w:p>
  </w:footnote>
  <w:footnote w:id="4">
    <w:p w14:paraId="05245A3B" w14:textId="7AEF8745" w:rsidR="000E158E" w:rsidRDefault="000E158E" w:rsidP="00F771F8">
      <w:pPr>
        <w:pStyle w:val="FootnoteText"/>
      </w:pPr>
      <w:r w:rsidRPr="45FEEEFA">
        <w:rPr>
          <w:rStyle w:val="FootnoteReference"/>
        </w:rPr>
        <w:footnoteRef/>
      </w:r>
      <w:r>
        <w:t xml:space="preserve"> </w:t>
      </w:r>
      <w:r w:rsidR="000A27D1" w:rsidRPr="000A27D1">
        <w:rPr>
          <w:i/>
          <w:iCs/>
        </w:rPr>
        <w:t>Ibid</w:t>
      </w:r>
      <w:r w:rsidR="000A27D1">
        <w:t xml:space="preserve">. </w:t>
      </w:r>
    </w:p>
  </w:footnote>
  <w:footnote w:id="5">
    <w:p w14:paraId="2CA11759" w14:textId="2C56D48D" w:rsidR="000E158E" w:rsidRDefault="000E158E" w:rsidP="231684A5">
      <w:pPr>
        <w:pStyle w:val="FootnoteText"/>
      </w:pPr>
      <w:r w:rsidRPr="231684A5">
        <w:rPr>
          <w:rStyle w:val="FootnoteReference"/>
        </w:rPr>
        <w:footnoteRef/>
      </w:r>
      <w:r>
        <w:t xml:space="preserve"> </w:t>
      </w:r>
      <w:r w:rsidR="00D373AA">
        <w:t xml:space="preserve">CBC News (5 June 2023). </w:t>
      </w:r>
      <w:r w:rsidR="00D373AA">
        <w:rPr>
          <w:lang w:val="en-CA"/>
        </w:rPr>
        <w:t xml:space="preserve">“A report card on the MMIWG inquiry’s calls for justice.” </w:t>
      </w:r>
      <w:hyperlink r:id="rId3" w:history="1">
        <w:r w:rsidR="00AC48CC" w:rsidRPr="009B603F">
          <w:rPr>
            <w:rStyle w:val="Hyperlink"/>
            <w:rFonts w:ascii="Aptos" w:eastAsia="Aptos" w:hAnsi="Aptos" w:cs="Aptos"/>
            <w:sz w:val="19"/>
            <w:szCs w:val="19"/>
          </w:rPr>
          <w:t>https://www.cbc.ca/newsinteractives/features/cfj-report-cards/cfj1</w:t>
        </w:r>
      </w:hyperlink>
      <w:r w:rsidR="00AC48CC">
        <w:rPr>
          <w:rFonts w:ascii="Aptos" w:eastAsia="Aptos" w:hAnsi="Aptos" w:cs="Aptos"/>
          <w:color w:val="000000" w:themeColor="text1"/>
          <w:sz w:val="19"/>
          <w:szCs w:val="19"/>
        </w:rPr>
        <w:t xml:space="preserve"> </w:t>
      </w:r>
    </w:p>
  </w:footnote>
  <w:footnote w:id="6">
    <w:p w14:paraId="2245A11D" w14:textId="3F656306" w:rsidR="000E158E" w:rsidRDefault="000E158E" w:rsidP="231684A5">
      <w:pPr>
        <w:pStyle w:val="FootnoteText"/>
      </w:pPr>
      <w:r w:rsidRPr="231684A5">
        <w:rPr>
          <w:rStyle w:val="FootnoteReference"/>
        </w:rPr>
        <w:footnoteRef/>
      </w:r>
      <w:r>
        <w:t xml:space="preserve"> </w:t>
      </w:r>
      <w:r w:rsidR="00AC48CC" w:rsidRPr="00AC48CC">
        <w:t>Olivia Stefanovich</w:t>
      </w:r>
      <w:r w:rsidR="00AC48CC">
        <w:t xml:space="preserve"> (8 May 2023), “Ottawa announces $103M for Indigenous women’s shelters,”</w:t>
      </w:r>
      <w:r w:rsidR="00AC48CC" w:rsidRPr="00AC48CC">
        <w:t xml:space="preserve">  </w:t>
      </w:r>
      <w:hyperlink r:id="rId4" w:anchor=":~:text=The%20funding%20comes,according%20to%20CMHC" w:history="1">
        <w:r w:rsidR="00AC48CC" w:rsidRPr="009B603F">
          <w:rPr>
            <w:rStyle w:val="Hyperlink"/>
            <w:rFonts w:ascii="Aptos" w:eastAsia="Aptos" w:hAnsi="Aptos" w:cs="Aptos"/>
            <w:sz w:val="19"/>
            <w:szCs w:val="19"/>
          </w:rPr>
          <w:t>https://www.cbc.ca/news/politics/indigenous-womens-shelters-103-million-1.6836034#:~:text=The%20funding%20comes,according%20to%20CMHC</w:t>
        </w:r>
      </w:hyperlink>
      <w:r w:rsidRPr="231684A5">
        <w:rPr>
          <w:rFonts w:ascii="Aptos" w:eastAsia="Aptos" w:hAnsi="Aptos" w:cs="Aptos"/>
          <w:color w:val="000000" w:themeColor="text1"/>
          <w:sz w:val="19"/>
          <w:szCs w:val="19"/>
        </w:rPr>
        <w:t>.</w:t>
      </w:r>
      <w:r w:rsidR="00AC48CC">
        <w:rPr>
          <w:rFonts w:ascii="Aptos" w:eastAsia="Aptos" w:hAnsi="Aptos" w:cs="Aptos"/>
          <w:color w:val="000000" w:themeColor="text1"/>
          <w:sz w:val="19"/>
          <w:szCs w:val="19"/>
        </w:rPr>
        <w:t xml:space="preserve"> </w:t>
      </w:r>
    </w:p>
  </w:footnote>
  <w:footnote w:id="7">
    <w:p w14:paraId="20143FF8" w14:textId="5D9D156F" w:rsidR="000E158E" w:rsidRDefault="000E158E" w:rsidP="231684A5">
      <w:pPr>
        <w:pStyle w:val="FootnoteText"/>
      </w:pPr>
      <w:r w:rsidRPr="231684A5">
        <w:rPr>
          <w:rStyle w:val="FootnoteReference"/>
        </w:rPr>
        <w:footnoteRef/>
      </w:r>
      <w:r>
        <w:t xml:space="preserve"> </w:t>
      </w:r>
      <w:r w:rsidR="00D314EE">
        <w:t xml:space="preserve">Women of the Métis Nation, </w:t>
      </w:r>
      <w:r w:rsidR="00E83EEA">
        <w:t>“An Examination of Métis Women’s and 2SLGBTAAIA+</w:t>
      </w:r>
      <w:r w:rsidR="00974EEE">
        <w:t xml:space="preserve"> Folks’ </w:t>
      </w:r>
      <w:r w:rsidR="000D36A4">
        <w:t>Housing</w:t>
      </w:r>
      <w:r w:rsidR="00974EEE">
        <w:t xml:space="preserve"> Needs and Experiences,” </w:t>
      </w:r>
      <w:hyperlink r:id="rId5" w:history="1">
        <w:r w:rsidR="00974EEE" w:rsidRPr="009B603F">
          <w:rPr>
            <w:rStyle w:val="Hyperlink"/>
          </w:rPr>
          <w:t>https://metiswomen.org/wp-content/uploads/2021/06/Housing-Literature-Review-converted.pdf</w:t>
        </w:r>
      </w:hyperlink>
      <w:r>
        <w:t xml:space="preserve"> </w:t>
      </w:r>
      <w:r w:rsidR="00974EEE">
        <w:t xml:space="preserve">at </w:t>
      </w:r>
      <w:r>
        <w:t>p. 6</w:t>
      </w:r>
    </w:p>
  </w:footnote>
  <w:footnote w:id="8">
    <w:p w14:paraId="61A821BF" w14:textId="1A40BFE0" w:rsidR="000E158E" w:rsidRDefault="000E158E" w:rsidP="231684A5">
      <w:pPr>
        <w:pStyle w:val="FootnoteText"/>
      </w:pPr>
      <w:r w:rsidRPr="231684A5">
        <w:rPr>
          <w:rStyle w:val="FootnoteReference"/>
        </w:rPr>
        <w:footnoteRef/>
      </w:r>
      <w:r>
        <w:t xml:space="preserve"> </w:t>
      </w:r>
      <w:r w:rsidR="00D3489F">
        <w:t xml:space="preserve">CMHC, “Urban Rural, and Norther Indigenous Housing Strategy,” </w:t>
      </w:r>
      <w:hyperlink r:id="rId6" w:history="1">
        <w:r w:rsidR="005612EA" w:rsidRPr="009B603F">
          <w:rPr>
            <w:rStyle w:val="Hyperlink"/>
          </w:rPr>
          <w:t>https://www.cmhc-schl.gc.ca/professionals/project-funding-and-mortgage-financing/funding-programs/indigenous/urban-rural-northern-indigenous-housing-strategy</w:t>
        </w:r>
      </w:hyperlink>
      <w:r w:rsidR="005612EA">
        <w:t xml:space="preserve"> </w:t>
      </w:r>
    </w:p>
  </w:footnote>
  <w:footnote w:id="9">
    <w:p w14:paraId="35B6A471" w14:textId="30EC4308" w:rsidR="000E158E" w:rsidRDefault="000E158E" w:rsidP="231684A5">
      <w:pPr>
        <w:pStyle w:val="FootnoteText"/>
      </w:pPr>
      <w:r w:rsidRPr="231684A5">
        <w:rPr>
          <w:rStyle w:val="FootnoteReference"/>
        </w:rPr>
        <w:footnoteRef/>
      </w:r>
      <w:r>
        <w:t xml:space="preserve"> </w:t>
      </w:r>
      <w:r w:rsidR="00D93803">
        <w:t>The Canadian Press</w:t>
      </w:r>
      <w:r w:rsidR="0094035D">
        <w:t xml:space="preserve"> (27 May 2023)</w:t>
      </w:r>
      <w:r w:rsidR="00D93803">
        <w:t>,</w:t>
      </w:r>
      <w:r w:rsidR="00163437">
        <w:t xml:space="preserve"> “Indigenous groups hope for infrastructure </w:t>
      </w:r>
      <w:r w:rsidR="002449A0">
        <w:t>dollars and economic development in budget,”</w:t>
      </w:r>
      <w:r w:rsidR="00D93803">
        <w:t xml:space="preserve"> </w:t>
      </w:r>
      <w:hyperlink r:id="rId7" w:anchor=":~:text=Ahead%20of%20the,reserve%20housing%20needs" w:history="1">
        <w:r w:rsidR="002449A0" w:rsidRPr="009B603F">
          <w:rPr>
            <w:rStyle w:val="Hyperlink"/>
            <w:rFonts w:ascii="Aptos" w:eastAsia="Aptos" w:hAnsi="Aptos" w:cs="Aptos"/>
            <w:sz w:val="19"/>
            <w:szCs w:val="19"/>
          </w:rPr>
          <w:t>https://www.cbc.ca/news/indigenous/indigenous-federal-budget-asks-1.6792785#:~:text=Ahead%20of%20the,reserve%20housing%20needs</w:t>
        </w:r>
      </w:hyperlink>
    </w:p>
  </w:footnote>
  <w:footnote w:id="10">
    <w:p w14:paraId="52C00B41" w14:textId="5971BFF9" w:rsidR="000E158E" w:rsidRDefault="000E158E" w:rsidP="231684A5">
      <w:pPr>
        <w:pStyle w:val="FootnoteText"/>
      </w:pPr>
      <w:r w:rsidRPr="231684A5">
        <w:rPr>
          <w:rStyle w:val="FootnoteReference"/>
        </w:rPr>
        <w:footnoteRef/>
      </w:r>
      <w:r>
        <w:t xml:space="preserve"> </w:t>
      </w:r>
      <w:r w:rsidR="004516B7">
        <w:t>N</w:t>
      </w:r>
      <w:r w:rsidR="00180711">
        <w:t xml:space="preserve">ative </w:t>
      </w:r>
      <w:r w:rsidR="004516B7">
        <w:t>W</w:t>
      </w:r>
      <w:r w:rsidR="00180711">
        <w:t xml:space="preserve">omen’s </w:t>
      </w:r>
      <w:r w:rsidR="004516B7">
        <w:t>A</w:t>
      </w:r>
      <w:r w:rsidR="00180711">
        <w:t xml:space="preserve">ssociation of Canada, </w:t>
      </w:r>
      <w:r w:rsidR="002B29CD">
        <w:t>“Canada’s MMIWG2s National Action Plan – Annual Scorecard,”</w:t>
      </w:r>
      <w:r w:rsidR="004516B7">
        <w:t xml:space="preserve"> </w:t>
      </w:r>
      <w:hyperlink r:id="rId8" w:history="1">
        <w:r w:rsidR="002B29CD" w:rsidRPr="009B603F">
          <w:rPr>
            <w:rStyle w:val="Hyperlink"/>
            <w:rFonts w:ascii="Aptos" w:eastAsia="Aptos" w:hAnsi="Aptos" w:cs="Aptos"/>
          </w:rPr>
          <w:t>https://nwac.ca/assets-knowledge-centre/FEDERAL_ANNUAL_SCORECARD_ACTIONPLAN_2022_2022-06-03-132116_mfnq.pdf</w:t>
        </w:r>
      </w:hyperlink>
      <w:r w:rsidR="002B29CD">
        <w:rPr>
          <w:rFonts w:ascii="Aptos" w:eastAsia="Aptos" w:hAnsi="Aptos" w:cs="Aptos"/>
          <w:color w:val="000000" w:themeColor="text1"/>
        </w:rPr>
        <w:t xml:space="preserve"> </w:t>
      </w:r>
    </w:p>
  </w:footnote>
  <w:footnote w:id="11">
    <w:p w14:paraId="41AE0015" w14:textId="4BF619A4" w:rsidR="00492AD0" w:rsidRPr="00492AD0" w:rsidRDefault="00492AD0">
      <w:pPr>
        <w:pStyle w:val="FootnoteText"/>
        <w:rPr>
          <w:lang w:val="en-CA"/>
        </w:rPr>
      </w:pPr>
      <w:r>
        <w:rPr>
          <w:rStyle w:val="FootnoteReference"/>
        </w:rPr>
        <w:footnoteRef/>
      </w:r>
      <w:r>
        <w:t xml:space="preserve"> </w:t>
      </w:r>
      <w:r w:rsidR="00F07192">
        <w:rPr>
          <w:lang w:val="en-CA"/>
        </w:rPr>
        <w:t>National Housing Council (31 March 2022), “Report and recommendations to the Minister of Housing</w:t>
      </w:r>
      <w:r w:rsidR="00CA386B">
        <w:rPr>
          <w:lang w:val="en-CA"/>
        </w:rPr>
        <w:t xml:space="preserve">, Diversity, and Inclusion on Urban, Rural, and Northern Indigenous Housing,” </w:t>
      </w:r>
      <w:hyperlink r:id="rId9" w:history="1">
        <w:r w:rsidR="00DE4779" w:rsidRPr="009B603F">
          <w:rPr>
            <w:rStyle w:val="Hyperlink"/>
            <w:lang w:val="en-CA"/>
          </w:rPr>
          <w:t>https://cms.nhc-cnl.ca/media/PDFs/report-recommendations-minister-housing-diversity-inclusion-urban-rural-nih-en.pdf</w:t>
        </w:r>
      </w:hyperlink>
      <w:r w:rsidR="00DE4779">
        <w:rPr>
          <w:lang w:val="en-CA"/>
        </w:rPr>
        <w:t xml:space="preserve"> </w:t>
      </w:r>
    </w:p>
  </w:footnote>
  <w:footnote w:id="12">
    <w:p w14:paraId="71ACEEDE" w14:textId="6D6126C7" w:rsidR="000E158E" w:rsidRDefault="000E158E" w:rsidP="231684A5">
      <w:pPr>
        <w:pStyle w:val="FootnoteText"/>
      </w:pPr>
      <w:r w:rsidRPr="231684A5">
        <w:rPr>
          <w:rStyle w:val="FootnoteReference"/>
        </w:rPr>
        <w:footnoteRef/>
      </w:r>
      <w:r>
        <w:t xml:space="preserve"> </w:t>
      </w:r>
      <w:r w:rsidR="005C6C12">
        <w:t xml:space="preserve">Women of the Métis Nation, “An Examination of Métis Women’s and 2SLGBTAAIA+ Folks’ Housing Needs and Experiences,” </w:t>
      </w:r>
      <w:hyperlink r:id="rId10" w:history="1">
        <w:r w:rsidR="005C6C12" w:rsidRPr="009B603F">
          <w:rPr>
            <w:rStyle w:val="Hyperlink"/>
          </w:rPr>
          <w:t>https://metiswomen.org/wp-content/uploads/2021/06/Housing-Literature-Review-converted.pdf</w:t>
        </w:r>
      </w:hyperlink>
      <w:r w:rsidR="005C6C12">
        <w:t xml:space="preserve">, p. </w:t>
      </w:r>
      <w:r>
        <w:t>14</w:t>
      </w:r>
    </w:p>
  </w:footnote>
  <w:footnote w:id="13">
    <w:p w14:paraId="2546A859" w14:textId="5C45F4E7" w:rsidR="000E158E" w:rsidRDefault="000E158E" w:rsidP="231684A5">
      <w:pPr>
        <w:pStyle w:val="FootnoteText"/>
      </w:pPr>
      <w:r w:rsidRPr="231684A5">
        <w:rPr>
          <w:rStyle w:val="FootnoteReference"/>
        </w:rPr>
        <w:footnoteRef/>
      </w:r>
      <w:r>
        <w:t xml:space="preserve"> </w:t>
      </w:r>
      <w:r w:rsidR="004C5414">
        <w:t>Statistics Canada</w:t>
      </w:r>
      <w:r w:rsidR="000F134B">
        <w:t xml:space="preserve"> (4 April 2023)</w:t>
      </w:r>
      <w:r w:rsidR="004C5414">
        <w:t xml:space="preserve">, </w:t>
      </w:r>
      <w:r w:rsidR="000F134B" w:rsidRPr="00FF184C">
        <w:t>“</w:t>
      </w:r>
      <w:r w:rsidR="000F134B" w:rsidRPr="00FF184C">
        <w:rPr>
          <w:lang w:val="en-CA"/>
        </w:rPr>
        <w:t>Housing experiences and measures of health and well-being among First Nations people living off reserve, Métis and Inuit: findings from the 2018 Canadian Housing Survey</w:t>
      </w:r>
      <w:r w:rsidR="00FF184C">
        <w:rPr>
          <w:lang w:val="en-CA"/>
        </w:rPr>
        <w:t>,</w:t>
      </w:r>
      <w:r w:rsidR="000F134B" w:rsidRPr="00FF184C">
        <w:rPr>
          <w:lang w:val="en-CA"/>
        </w:rPr>
        <w:t>”</w:t>
      </w:r>
      <w:r w:rsidR="00FF184C">
        <w:rPr>
          <w:lang w:val="en-CA"/>
        </w:rPr>
        <w:t xml:space="preserve"> </w:t>
      </w:r>
      <w:r w:rsidR="00802E22">
        <w:rPr>
          <w:lang w:val="en-CA"/>
        </w:rPr>
        <w:t>h</w:t>
      </w:r>
      <w:r w:rsidRPr="231684A5">
        <w:rPr>
          <w:rFonts w:ascii="Aptos" w:eastAsia="Aptos" w:hAnsi="Aptos" w:cs="Aptos"/>
          <w:color w:val="000000" w:themeColor="text1"/>
          <w:sz w:val="19"/>
          <w:szCs w:val="19"/>
        </w:rPr>
        <w:t>ttps://www150.statcan.gc.ca/n1/pub/41-20-0002/412000022023001-eng.htm</w:t>
      </w:r>
    </w:p>
  </w:footnote>
  <w:footnote w:id="14">
    <w:p w14:paraId="3A63ECE8" w14:textId="0D9F2543" w:rsidR="000E158E" w:rsidRDefault="000E158E" w:rsidP="231684A5">
      <w:pPr>
        <w:pStyle w:val="FootnoteText"/>
      </w:pPr>
      <w:r w:rsidRPr="231684A5">
        <w:rPr>
          <w:rStyle w:val="FootnoteReference"/>
        </w:rPr>
        <w:footnoteRef/>
      </w:r>
      <w:r>
        <w:t xml:space="preserve"> </w:t>
      </w:r>
      <w:r w:rsidR="008A5121" w:rsidRPr="008A5121">
        <w:t xml:space="preserve">Schwan, K., Vaccaro, M., Reid, L., Ali, N., &amp; Baig, K. (2021). </w:t>
      </w:r>
      <w:r w:rsidR="009068B6">
        <w:t>“</w:t>
      </w:r>
      <w:r w:rsidR="008A5121" w:rsidRPr="008A5121">
        <w:t>The Pan-Canadian Women’s Housing &amp; Homelessness Survey</w:t>
      </w:r>
      <w:r w:rsidR="009068B6">
        <w:t xml:space="preserve">,” </w:t>
      </w:r>
      <w:hyperlink r:id="rId11" w:history="1">
        <w:r w:rsidR="00C22F5B" w:rsidRPr="009B603F">
          <w:rPr>
            <w:rStyle w:val="Hyperlink"/>
          </w:rPr>
          <w:t>https://womenshomelessness.ca/wp-content/uploads/EN-Pan-Canadian-Womens-Housing-Homelessness-Survey-FINAL-28-Sept-2021.pdf</w:t>
        </w:r>
      </w:hyperlink>
      <w:r w:rsidR="00C22F5B">
        <w:t xml:space="preserve"> </w:t>
      </w:r>
      <w:r w:rsidR="00456C81">
        <w:t>(Pan-Canadian Women’s Housing &amp; Homelessness Survey)</w:t>
      </w:r>
    </w:p>
  </w:footnote>
  <w:footnote w:id="15">
    <w:p w14:paraId="7CE9EC29" w14:textId="45CFB90F" w:rsidR="000E158E" w:rsidRDefault="000E158E" w:rsidP="231684A5">
      <w:pPr>
        <w:pStyle w:val="FootnoteText"/>
      </w:pPr>
      <w:r w:rsidRPr="231684A5">
        <w:rPr>
          <w:rStyle w:val="FootnoteReference"/>
        </w:rPr>
        <w:footnoteRef/>
      </w:r>
      <w:r>
        <w:t xml:space="preserve"> </w:t>
      </w:r>
      <w:r w:rsidR="003E06ED">
        <w:t>Women’s National Housing and Homelessness Network</w:t>
      </w:r>
      <w:r w:rsidR="00636159">
        <w:t xml:space="preserve"> (2022)</w:t>
      </w:r>
      <w:r w:rsidR="003E06ED">
        <w:t>,</w:t>
      </w:r>
      <w:r w:rsidR="00817239">
        <w:t xml:space="preserve"> “Human Rights Claims,”</w:t>
      </w:r>
      <w:r w:rsidR="003966C5">
        <w:t xml:space="preserve"> </w:t>
      </w:r>
      <w:hyperlink r:id="rId12" w:history="1">
        <w:r w:rsidR="003966C5" w:rsidRPr="009B603F">
          <w:rPr>
            <w:rStyle w:val="Hyperlink"/>
          </w:rPr>
          <w:t>https://womenshomelessness.ca/humanrightsclaims/</w:t>
        </w:r>
      </w:hyperlink>
      <w:r w:rsidR="003966C5">
        <w:t xml:space="preserve"> </w:t>
      </w:r>
    </w:p>
  </w:footnote>
  <w:footnote w:id="16">
    <w:p w14:paraId="5852D526" w14:textId="5F51B65A" w:rsidR="000E158E" w:rsidRPr="00ED68F5" w:rsidRDefault="000E158E" w:rsidP="76866C9B">
      <w:pPr>
        <w:pStyle w:val="FootnoteText"/>
        <w:rPr>
          <w:rFonts w:ascii="Calibri" w:hAnsi="Calibri" w:cs="Calibri"/>
        </w:rPr>
      </w:pPr>
      <w:r w:rsidRPr="00ED68F5">
        <w:rPr>
          <w:rStyle w:val="FootnoteReference"/>
          <w:rFonts w:ascii="Calibri" w:hAnsi="Calibri" w:cs="Calibri"/>
        </w:rPr>
        <w:footnoteRef/>
      </w:r>
      <w:r w:rsidRPr="00ED68F5">
        <w:rPr>
          <w:rFonts w:ascii="Calibri" w:hAnsi="Calibri" w:cs="Calibri"/>
        </w:rPr>
        <w:t xml:space="preserve"> </w:t>
      </w:r>
      <w:r w:rsidR="00B656E1" w:rsidRPr="00B656E1">
        <w:rPr>
          <w:rFonts w:ascii="Calibri" w:hAnsi="Calibri" w:cs="Calibri"/>
        </w:rPr>
        <w:t xml:space="preserve">Schwan, K., Versteegh, A., Perri, M., Caplan, R., Baig, K., Dej, E., Jenkinson, J., Brais, H., </w:t>
      </w:r>
      <w:proofErr w:type="spellStart"/>
      <w:r w:rsidR="00B656E1" w:rsidRPr="00B656E1">
        <w:rPr>
          <w:rFonts w:ascii="Calibri" w:hAnsi="Calibri" w:cs="Calibri"/>
        </w:rPr>
        <w:t>Eiboff</w:t>
      </w:r>
      <w:proofErr w:type="spellEnd"/>
      <w:r w:rsidR="00B656E1" w:rsidRPr="00B656E1">
        <w:rPr>
          <w:rFonts w:ascii="Calibri" w:hAnsi="Calibri" w:cs="Calibri"/>
        </w:rPr>
        <w:t xml:space="preserve">, F., &amp; </w:t>
      </w:r>
      <w:proofErr w:type="spellStart"/>
      <w:r w:rsidR="00B656E1" w:rsidRPr="00B656E1">
        <w:rPr>
          <w:rFonts w:ascii="Calibri" w:hAnsi="Calibri" w:cs="Calibri"/>
        </w:rPr>
        <w:t>Pahlevan</w:t>
      </w:r>
      <w:proofErr w:type="spellEnd"/>
      <w:r w:rsidR="00B656E1" w:rsidRPr="00B656E1">
        <w:rPr>
          <w:rFonts w:ascii="Calibri" w:hAnsi="Calibri" w:cs="Calibri"/>
        </w:rPr>
        <w:t xml:space="preserve"> </w:t>
      </w:r>
      <w:proofErr w:type="spellStart"/>
      <w:r w:rsidR="00B656E1" w:rsidRPr="00B656E1">
        <w:rPr>
          <w:rFonts w:ascii="Calibri" w:hAnsi="Calibri" w:cs="Calibri"/>
        </w:rPr>
        <w:t>Chaleshtari</w:t>
      </w:r>
      <w:proofErr w:type="spellEnd"/>
      <w:r w:rsidR="00B656E1" w:rsidRPr="00B656E1">
        <w:rPr>
          <w:rFonts w:ascii="Calibri" w:hAnsi="Calibri" w:cs="Calibri"/>
        </w:rPr>
        <w:t>, T. (2020). The State of Women’s Housing Need &amp; Homelessness in Canada: A Literature Review. Hache, A., Nelson, A., Kratochvil, E., &amp; Malenfant, J. (Eds)</w:t>
      </w:r>
      <w:r w:rsidR="00B656E1">
        <w:rPr>
          <w:rFonts w:ascii="Calibri" w:hAnsi="Calibri" w:cs="Calibri"/>
        </w:rPr>
        <w:t xml:space="preserve">, </w:t>
      </w:r>
      <w:hyperlink r:id="rId13" w:history="1">
        <w:r w:rsidR="00B656E1" w:rsidRPr="00B00501">
          <w:rPr>
            <w:rStyle w:val="Hyperlink"/>
            <w:rFonts w:ascii="Calibri" w:hAnsi="Calibri" w:cs="Calibri"/>
          </w:rPr>
          <w:t>https://womenshomelessness.ca/wp-content/uploads/State-of-Womens-Homelessness-Literature-Review.pdf</w:t>
        </w:r>
      </w:hyperlink>
      <w:r w:rsidR="006C6044">
        <w:rPr>
          <w:rFonts w:ascii="Calibri" w:hAnsi="Calibri" w:cs="Calibri"/>
        </w:rPr>
        <w:t xml:space="preserve"> (State of Women’s Housing Need &amp; Homelessness)</w:t>
      </w:r>
    </w:p>
  </w:footnote>
  <w:footnote w:id="17">
    <w:p w14:paraId="2997E6B9" w14:textId="2C9892EE" w:rsidR="000E158E" w:rsidRDefault="000E158E" w:rsidP="76866C9B">
      <w:pPr>
        <w:pStyle w:val="FootnoteText"/>
      </w:pPr>
      <w:r w:rsidRPr="00ED68F5">
        <w:rPr>
          <w:rStyle w:val="FootnoteReference"/>
          <w:rFonts w:ascii="Calibri" w:hAnsi="Calibri" w:cs="Calibri"/>
        </w:rPr>
        <w:footnoteRef/>
      </w:r>
      <w:r w:rsidRPr="00ED68F5">
        <w:rPr>
          <w:rFonts w:ascii="Calibri" w:hAnsi="Calibri" w:cs="Calibri"/>
        </w:rPr>
        <w:t xml:space="preserve"> </w:t>
      </w:r>
      <w:r w:rsidR="006169CA">
        <w:rPr>
          <w:rFonts w:ascii="Calibri" w:hAnsi="Calibri" w:cs="Calibri"/>
        </w:rPr>
        <w:t>Krystle Maki (</w:t>
      </w:r>
      <w:r w:rsidR="000F50AF">
        <w:rPr>
          <w:rFonts w:ascii="Calibri" w:hAnsi="Calibri" w:cs="Calibri"/>
        </w:rPr>
        <w:t>August 2017)</w:t>
      </w:r>
      <w:r w:rsidR="006169CA">
        <w:rPr>
          <w:rFonts w:ascii="Calibri" w:hAnsi="Calibri" w:cs="Calibri"/>
        </w:rPr>
        <w:t>, “</w:t>
      </w:r>
      <w:r w:rsidR="000F50AF">
        <w:rPr>
          <w:rFonts w:ascii="Calibri" w:hAnsi="Calibri" w:cs="Calibri"/>
        </w:rPr>
        <w:t xml:space="preserve">Housing, Homelessness, and Violence Against Women,” </w:t>
      </w:r>
      <w:hyperlink r:id="rId14" w:history="1">
        <w:r w:rsidR="000F50AF" w:rsidRPr="00B00501">
          <w:rPr>
            <w:rStyle w:val="Hyperlink"/>
            <w:rFonts w:ascii="Calibri" w:hAnsi="Calibri" w:cs="Calibri"/>
          </w:rPr>
          <w:t>https://endvaw.ca/wp-content/uploads/2017/09/Housing-Homelessness-and-VAW-Discussion-Paper-Aug-2017.pdf</w:t>
        </w:r>
      </w:hyperlink>
      <w:r>
        <w:t xml:space="preserve"> </w:t>
      </w:r>
    </w:p>
  </w:footnote>
  <w:footnote w:id="18">
    <w:p w14:paraId="48AAB28A" w14:textId="36523AD0" w:rsidR="000E158E" w:rsidRPr="00741AB3" w:rsidRDefault="000E158E">
      <w:pPr>
        <w:pStyle w:val="FootnoteText"/>
        <w:rPr>
          <w:lang w:val="en-CA"/>
        </w:rPr>
      </w:pPr>
      <w:r>
        <w:rPr>
          <w:rStyle w:val="FootnoteReference"/>
        </w:rPr>
        <w:footnoteRef/>
      </w:r>
      <w:r>
        <w:t xml:space="preserve"> </w:t>
      </w:r>
      <w:r w:rsidR="00A35C60">
        <w:t xml:space="preserve">Marta </w:t>
      </w:r>
      <w:proofErr w:type="spellStart"/>
      <w:r w:rsidR="00904026" w:rsidRPr="00904026">
        <w:t>Burczycka</w:t>
      </w:r>
      <w:proofErr w:type="spellEnd"/>
      <w:r w:rsidR="00904026">
        <w:t>,</w:t>
      </w:r>
      <w:r w:rsidR="0064011E">
        <w:t xml:space="preserve"> (</w:t>
      </w:r>
      <w:r w:rsidR="00782640">
        <w:t xml:space="preserve">12 December </w:t>
      </w:r>
      <w:r w:rsidR="00782640" w:rsidRPr="00782640">
        <w:t>2019)</w:t>
      </w:r>
      <w:r w:rsidR="00904026" w:rsidRPr="00782640">
        <w:t xml:space="preserve"> “</w:t>
      </w:r>
      <w:r w:rsidR="0064011E" w:rsidRPr="00782640">
        <w:rPr>
          <w:lang w:val="en-CA"/>
        </w:rPr>
        <w:t>Section 2: Police-reported intimate partner violence in Canada, 2018,”</w:t>
      </w:r>
      <w:r w:rsidR="00782640">
        <w:rPr>
          <w:b/>
          <w:bCs/>
          <w:lang w:val="en-CA"/>
        </w:rPr>
        <w:t xml:space="preserve"> </w:t>
      </w:r>
      <w:hyperlink r:id="rId15" w:history="1">
        <w:r w:rsidR="00904026" w:rsidRPr="00B565A4">
          <w:rPr>
            <w:rStyle w:val="Hyperlink"/>
          </w:rPr>
          <w:t>https://www150.statcan.gc.ca/n1/pub/85-002-x/2019001/article/00018/02-eng.htm</w:t>
        </w:r>
      </w:hyperlink>
      <w:r>
        <w:t xml:space="preserve"> </w:t>
      </w:r>
    </w:p>
  </w:footnote>
  <w:footnote w:id="19">
    <w:p w14:paraId="3BB3EFD0" w14:textId="0BC8E4D3" w:rsidR="000E158E" w:rsidRPr="00741AB3" w:rsidRDefault="000E158E">
      <w:pPr>
        <w:pStyle w:val="FootnoteText"/>
        <w:rPr>
          <w:lang w:val="en-CA"/>
        </w:rPr>
      </w:pPr>
      <w:r>
        <w:rPr>
          <w:rStyle w:val="FootnoteReference"/>
        </w:rPr>
        <w:footnoteRef/>
      </w:r>
      <w:r>
        <w:t xml:space="preserve"> </w:t>
      </w:r>
      <w:r w:rsidR="006C6044">
        <w:rPr>
          <w:rFonts w:ascii="Calibri" w:hAnsi="Calibri" w:cs="Calibri"/>
        </w:rPr>
        <w:t xml:space="preserve">State of Women’s Housing Need &amp; Homelessness, Supra, note 15. </w:t>
      </w:r>
    </w:p>
  </w:footnote>
  <w:footnote w:id="20">
    <w:p w14:paraId="3411DF98" w14:textId="351DFAC4" w:rsidR="000E158E" w:rsidRPr="00C82134" w:rsidRDefault="000E158E">
      <w:pPr>
        <w:pStyle w:val="FootnoteText"/>
        <w:rPr>
          <w:lang w:val="en-CA"/>
        </w:rPr>
      </w:pPr>
      <w:r>
        <w:rPr>
          <w:rStyle w:val="FootnoteReference"/>
        </w:rPr>
        <w:footnoteRef/>
      </w:r>
      <w:r w:rsidR="00092862">
        <w:t xml:space="preserve"> </w:t>
      </w:r>
      <w:r w:rsidR="00092862" w:rsidRPr="00092862">
        <w:t xml:space="preserve">Schwan, K., Versteegh, A., Perri, M., Caplan, R., Baig, K., Dej, E., Jenkinson, J., Brais, H., </w:t>
      </w:r>
      <w:proofErr w:type="spellStart"/>
      <w:r w:rsidR="00092862" w:rsidRPr="00092862">
        <w:t>Eiboff</w:t>
      </w:r>
      <w:proofErr w:type="spellEnd"/>
      <w:r w:rsidR="00092862" w:rsidRPr="00092862">
        <w:t xml:space="preserve">, F., &amp; </w:t>
      </w:r>
      <w:proofErr w:type="spellStart"/>
      <w:r w:rsidR="00092862" w:rsidRPr="00092862">
        <w:t>Pahlevan</w:t>
      </w:r>
      <w:proofErr w:type="spellEnd"/>
      <w:r w:rsidR="00092862" w:rsidRPr="00092862">
        <w:t xml:space="preserve"> </w:t>
      </w:r>
      <w:proofErr w:type="spellStart"/>
      <w:r w:rsidR="00092862" w:rsidRPr="00092862">
        <w:t>Chaleshtari</w:t>
      </w:r>
      <w:proofErr w:type="spellEnd"/>
      <w:r w:rsidR="00092862" w:rsidRPr="00092862">
        <w:t>, T. (2020). The State of Women’s Housing Need &amp; Homelessness in Canada: Key Findings. Hache, A., Nelson, A., Kratochvil, E., &amp; Malenfant, J. (Eds).</w:t>
      </w:r>
      <w:r>
        <w:t xml:space="preserve"> </w:t>
      </w:r>
      <w:hyperlink r:id="rId16" w:history="1">
        <w:r w:rsidR="00AB10E0" w:rsidRPr="00A97B62">
          <w:rPr>
            <w:rStyle w:val="Hyperlink"/>
          </w:rPr>
          <w:t>https://womenshomelessness.ca/wp-content/uploads/Key-Findings-State-of-Womens-Homelessness.pdf</w:t>
        </w:r>
      </w:hyperlink>
    </w:p>
  </w:footnote>
  <w:footnote w:id="21">
    <w:p w14:paraId="34D8E94E" w14:textId="3BCC024D" w:rsidR="000E158E" w:rsidRPr="004D2BE2" w:rsidRDefault="000E158E" w:rsidP="76866C9B">
      <w:pPr>
        <w:pStyle w:val="FootnoteText"/>
        <w:rPr>
          <w:rFonts w:ascii="Calibri" w:hAnsi="Calibri" w:cs="Calibri"/>
        </w:rPr>
      </w:pPr>
      <w:r w:rsidRPr="004D2BE2">
        <w:rPr>
          <w:rStyle w:val="FootnoteReference"/>
          <w:rFonts w:ascii="Calibri" w:hAnsi="Calibri" w:cs="Calibri"/>
        </w:rPr>
        <w:footnoteRef/>
      </w:r>
      <w:r w:rsidRPr="004D2BE2">
        <w:rPr>
          <w:rFonts w:ascii="Calibri" w:hAnsi="Calibri" w:cs="Calibri"/>
        </w:rPr>
        <w:t xml:space="preserve"> </w:t>
      </w:r>
      <w:r w:rsidR="006C6044">
        <w:rPr>
          <w:rFonts w:ascii="Calibri" w:hAnsi="Calibri" w:cs="Calibri"/>
        </w:rPr>
        <w:t>State of Women’s Housing Need &amp; Homelessness, Supra, note 15.</w:t>
      </w:r>
    </w:p>
  </w:footnote>
  <w:footnote w:id="22">
    <w:p w14:paraId="6B355FAD" w14:textId="50B14923" w:rsidR="000E158E" w:rsidRPr="004D2BE2" w:rsidRDefault="000E158E" w:rsidP="00D231C1">
      <w:pPr>
        <w:pStyle w:val="FootnoteText"/>
        <w:rPr>
          <w:rFonts w:ascii="Calibri" w:eastAsia="Calibri" w:hAnsi="Calibri" w:cs="Calibri"/>
          <w:color w:val="000000" w:themeColor="text1"/>
        </w:rPr>
      </w:pPr>
      <w:r w:rsidRPr="004D2BE2">
        <w:rPr>
          <w:rStyle w:val="FootnoteReference"/>
          <w:rFonts w:ascii="Calibri" w:hAnsi="Calibri" w:cs="Calibri"/>
        </w:rPr>
        <w:footnoteRef/>
      </w:r>
      <w:r w:rsidRPr="004D2BE2">
        <w:rPr>
          <w:rFonts w:ascii="Calibri" w:hAnsi="Calibri" w:cs="Calibri"/>
        </w:rPr>
        <w:t xml:space="preserve"> </w:t>
      </w:r>
      <w:r w:rsidR="00456C81">
        <w:t xml:space="preserve">Pan-Canadian Women’s Housing &amp; Homelessness Survey, Supra, note 15. </w:t>
      </w:r>
    </w:p>
  </w:footnote>
  <w:footnote w:id="23">
    <w:p w14:paraId="0755750C" w14:textId="4E0405C7" w:rsidR="000E158E" w:rsidRPr="004D2BE2" w:rsidRDefault="000E158E" w:rsidP="76866C9B">
      <w:pPr>
        <w:pStyle w:val="FootnoteText"/>
        <w:rPr>
          <w:rFonts w:ascii="Calibri" w:hAnsi="Calibri" w:cs="Calibri"/>
        </w:rPr>
      </w:pPr>
      <w:r w:rsidRPr="004D2BE2">
        <w:rPr>
          <w:rStyle w:val="FootnoteReference"/>
          <w:rFonts w:ascii="Calibri" w:hAnsi="Calibri" w:cs="Calibri"/>
        </w:rPr>
        <w:footnoteRef/>
      </w:r>
      <w:r w:rsidRPr="004D2BE2">
        <w:rPr>
          <w:rFonts w:ascii="Calibri" w:hAnsi="Calibri" w:cs="Calibri"/>
        </w:rPr>
        <w:t xml:space="preserve"> </w:t>
      </w:r>
      <w:r w:rsidR="00A80259">
        <w:rPr>
          <w:rFonts w:ascii="Calibri" w:hAnsi="Calibri" w:cs="Calibri"/>
        </w:rPr>
        <w:t xml:space="preserve">Infrastructure Canada (05 December 2023), “Homeless Shelter Capacity in Canada from 2016 to 2022, infrastructure Canada,” </w:t>
      </w:r>
      <w:hyperlink r:id="rId17" w:history="1">
        <w:r w:rsidR="00A80259" w:rsidRPr="00B565A4">
          <w:rPr>
            <w:rStyle w:val="Hyperlink"/>
            <w:rFonts w:ascii="Calibri" w:hAnsi="Calibri" w:cs="Calibri"/>
          </w:rPr>
          <w:t>https://doi.org/10.25318/1410035301-eng</w:t>
        </w:r>
      </w:hyperlink>
    </w:p>
  </w:footnote>
  <w:footnote w:id="24">
    <w:p w14:paraId="273B18C6" w14:textId="43107C8C" w:rsidR="000E158E" w:rsidRPr="00ED68F5" w:rsidRDefault="000E158E" w:rsidP="76866C9B">
      <w:pPr>
        <w:pStyle w:val="FootnoteText"/>
        <w:rPr>
          <w:rFonts w:ascii="Calibri" w:hAnsi="Calibri" w:cs="Calibri"/>
        </w:rPr>
      </w:pPr>
      <w:r w:rsidRPr="00ED68F5">
        <w:rPr>
          <w:rStyle w:val="FootnoteReference"/>
          <w:rFonts w:ascii="Calibri" w:hAnsi="Calibri" w:cs="Calibri"/>
        </w:rPr>
        <w:footnoteRef/>
      </w:r>
      <w:r w:rsidRPr="00ED68F5">
        <w:rPr>
          <w:rFonts w:ascii="Calibri" w:hAnsi="Calibri" w:cs="Calibri"/>
        </w:rPr>
        <w:t xml:space="preserve"> </w:t>
      </w:r>
      <w:r w:rsidR="00AE799A">
        <w:rPr>
          <w:rFonts w:ascii="Calibri" w:hAnsi="Calibri" w:cs="Calibri"/>
        </w:rPr>
        <w:t xml:space="preserve">Centre for Equality Rights in </w:t>
      </w:r>
      <w:r w:rsidR="00130FC4">
        <w:rPr>
          <w:rFonts w:ascii="Calibri" w:hAnsi="Calibri" w:cs="Calibri"/>
        </w:rPr>
        <w:t>Accommodation (CCHR) (July 2021), “</w:t>
      </w:r>
      <w:r w:rsidR="003308E8">
        <w:rPr>
          <w:rFonts w:ascii="Calibri" w:hAnsi="Calibri" w:cs="Calibri"/>
        </w:rPr>
        <w:t xml:space="preserve"> Communication to United Nations Commission on the Status of Women - </w:t>
      </w:r>
      <w:r w:rsidR="00130FC4">
        <w:rPr>
          <w:rFonts w:ascii="Calibri" w:hAnsi="Calibri" w:cs="Calibri"/>
        </w:rPr>
        <w:t xml:space="preserve">Setbacks in realizing Women’s Right to Housing in Canada,” </w:t>
      </w:r>
      <w:hyperlink r:id="rId18" w:history="1">
        <w:r w:rsidR="00130FC4" w:rsidRPr="00B565A4">
          <w:rPr>
            <w:rStyle w:val="Hyperlink"/>
            <w:rFonts w:ascii="Calibri" w:hAnsi="Calibri" w:cs="Calibri"/>
          </w:rPr>
          <w:t>https://housingrightscanada.com/wp-content/uploads/2022/08/CERA-CSWSubmission-July2021-final.pdf</w:t>
        </w:r>
      </w:hyperlink>
      <w:r w:rsidRPr="00ED68F5">
        <w:rPr>
          <w:rFonts w:ascii="Calibri" w:hAnsi="Calibri" w:cs="Calibri"/>
        </w:rPr>
        <w:t xml:space="preserve"> </w:t>
      </w:r>
    </w:p>
  </w:footnote>
  <w:footnote w:id="25">
    <w:p w14:paraId="00718064" w14:textId="692A038D" w:rsidR="000E158E" w:rsidRPr="00ED68F5" w:rsidRDefault="000E158E" w:rsidP="76866C9B">
      <w:pPr>
        <w:pStyle w:val="FootnoteText"/>
        <w:rPr>
          <w:rFonts w:ascii="Calibri" w:hAnsi="Calibri" w:cs="Calibri"/>
        </w:rPr>
      </w:pPr>
      <w:r w:rsidRPr="00ED68F5">
        <w:rPr>
          <w:rStyle w:val="FootnoteReference"/>
          <w:rFonts w:ascii="Calibri" w:hAnsi="Calibri" w:cs="Calibri"/>
        </w:rPr>
        <w:footnoteRef/>
      </w:r>
      <w:r w:rsidRPr="00ED68F5">
        <w:rPr>
          <w:rFonts w:ascii="Calibri" w:hAnsi="Calibri" w:cs="Calibri"/>
        </w:rPr>
        <w:t xml:space="preserve"> </w:t>
      </w:r>
      <w:r w:rsidR="003308E8" w:rsidRPr="003308E8">
        <w:rPr>
          <w:rFonts w:ascii="Calibri" w:hAnsi="Calibri" w:cs="Calibri"/>
          <w:i/>
          <w:iCs/>
        </w:rPr>
        <w:t>Ibid.</w:t>
      </w:r>
      <w:r w:rsidR="003308E8">
        <w:rPr>
          <w:rFonts w:ascii="Calibri" w:hAnsi="Calibri" w:cs="Calibri"/>
        </w:rPr>
        <w:t xml:space="preserve"> </w:t>
      </w:r>
      <w:r w:rsidRPr="00ED68F5">
        <w:rPr>
          <w:rFonts w:ascii="Calibri" w:hAnsi="Calibri" w:cs="Calibri"/>
        </w:rPr>
        <w:t xml:space="preserve"> </w:t>
      </w:r>
    </w:p>
  </w:footnote>
  <w:footnote w:id="26">
    <w:p w14:paraId="721FEF75" w14:textId="51C654CA" w:rsidR="000E158E" w:rsidRDefault="000E158E" w:rsidP="76866C9B">
      <w:pPr>
        <w:pStyle w:val="FootnoteText"/>
      </w:pPr>
      <w:r w:rsidRPr="00ED68F5">
        <w:rPr>
          <w:rStyle w:val="FootnoteReference"/>
          <w:rFonts w:ascii="Calibri" w:hAnsi="Calibri" w:cs="Calibri"/>
        </w:rPr>
        <w:footnoteRef/>
      </w:r>
      <w:r w:rsidR="003308E8">
        <w:t xml:space="preserve"> </w:t>
      </w:r>
      <w:r w:rsidR="003308E8" w:rsidRPr="003308E8">
        <w:rPr>
          <w:i/>
          <w:iCs/>
        </w:rPr>
        <w:t>Ibid.</w:t>
      </w:r>
      <w:r w:rsidR="003308E8">
        <w:t xml:space="preserve"> </w:t>
      </w:r>
    </w:p>
  </w:footnote>
  <w:footnote w:id="27">
    <w:p w14:paraId="488A8A83" w14:textId="77777777" w:rsidR="000E158E" w:rsidRPr="00156196" w:rsidRDefault="000E158E" w:rsidP="00E11A96">
      <w:pPr>
        <w:pStyle w:val="FootnoteText"/>
      </w:pPr>
      <w:r w:rsidRPr="00156196">
        <w:rPr>
          <w:rStyle w:val="FootnoteReference"/>
        </w:rPr>
        <w:footnoteRef/>
      </w:r>
      <w:r w:rsidRPr="00156196">
        <w:t xml:space="preserve"> National Housing Strategy Act S.C. 2019, c. 29, s. 313, Assented to 2019-06-21.</w:t>
      </w:r>
    </w:p>
  </w:footnote>
  <w:footnote w:id="28">
    <w:p w14:paraId="05F0939E" w14:textId="77777777" w:rsidR="000E158E" w:rsidRPr="00156196" w:rsidRDefault="000E158E" w:rsidP="00E11A96">
      <w:pPr>
        <w:pStyle w:val="FootnoteText"/>
      </w:pPr>
      <w:r w:rsidRPr="00156196">
        <w:rPr>
          <w:rStyle w:val="FootnoteReference"/>
        </w:rPr>
        <w:footnoteRef/>
      </w:r>
      <w:r w:rsidRPr="00156196">
        <w:t xml:space="preserve"> </w:t>
      </w:r>
      <w:r w:rsidRPr="00156196">
        <w:rPr>
          <w:i/>
          <w:iCs/>
        </w:rPr>
        <w:t>Ibid.</w:t>
      </w:r>
      <w:r w:rsidRPr="00156196">
        <w:t xml:space="preserve"> </w:t>
      </w:r>
    </w:p>
  </w:footnote>
  <w:footnote w:id="29">
    <w:p w14:paraId="5F346675" w14:textId="56E9BAC3" w:rsidR="000E158E" w:rsidRDefault="000E158E" w:rsidP="00880FE8">
      <w:pPr>
        <w:pStyle w:val="FootnoteText"/>
      </w:pPr>
      <w:r>
        <w:rPr>
          <w:rStyle w:val="FootnoteReference"/>
        </w:rPr>
        <w:footnoteRef/>
      </w:r>
      <w:r>
        <w:t xml:space="preserve"> Farha L. &amp; Perucca J (2024)</w:t>
      </w:r>
      <w:proofErr w:type="gramStart"/>
      <w:r>
        <w:t xml:space="preserve">, </w:t>
      </w:r>
      <w:r>
        <w:rPr>
          <w:i/>
          <w:iCs/>
        </w:rPr>
        <w:t>”National</w:t>
      </w:r>
      <w:proofErr w:type="gramEnd"/>
      <w:r>
        <w:rPr>
          <w:i/>
          <w:iCs/>
        </w:rPr>
        <w:t xml:space="preserve"> Housing Council’s Missed Opportunity”</w:t>
      </w:r>
      <w:r>
        <w:t xml:space="preserve">. </w:t>
      </w:r>
      <w:hyperlink r:id="rId19" w:history="1">
        <w:r w:rsidR="003308E8" w:rsidRPr="00B565A4">
          <w:rPr>
            <w:rStyle w:val="Hyperlink"/>
          </w:rPr>
          <w:t>https://www.hilltimes.com/story/2024/06/10/national-housing-councils-missed-opportunity/424530/</w:t>
        </w:r>
      </w:hyperlink>
      <w:r>
        <w:t xml:space="preserve"> </w:t>
      </w:r>
    </w:p>
  </w:footnote>
  <w:footnote w:id="30">
    <w:p w14:paraId="784B71B0" w14:textId="77777777" w:rsidR="000E158E" w:rsidRDefault="000E158E" w:rsidP="00880FE8">
      <w:pPr>
        <w:pStyle w:val="FootnoteText"/>
      </w:pPr>
      <w:r>
        <w:rPr>
          <w:rStyle w:val="FootnoteReference"/>
        </w:rPr>
        <w:footnoteRef/>
      </w:r>
      <w:r>
        <w:t xml:space="preserve"> Centre for Equality Rights in Accommodation (2021)</w:t>
      </w:r>
      <w:proofErr w:type="gramStart"/>
      <w:r>
        <w:t>. ”</w:t>
      </w:r>
      <w:proofErr w:type="gramEnd"/>
      <w:r>
        <w:t xml:space="preserve"> Setbacks</w:t>
      </w:r>
      <w:r>
        <w:rPr>
          <w:i/>
          <w:iCs/>
        </w:rPr>
        <w:t xml:space="preserve"> in Realizing Women’s Right to Housing in Canada”. </w:t>
      </w:r>
      <w:hyperlink r:id="rId20" w:history="1">
        <w:r>
          <w:rPr>
            <w:rStyle w:val="Hyperlink"/>
          </w:rPr>
          <w:t>https://housingrightscanada.com/wp-content/uploads/2022/08/CERA-CSWSubmission-July2021-final.pdf</w:t>
        </w:r>
      </w:hyperlink>
      <w:r>
        <w:t xml:space="preserve">  </w:t>
      </w:r>
    </w:p>
  </w:footnote>
  <w:footnote w:id="31">
    <w:p w14:paraId="14E00D55" w14:textId="57E89E1F" w:rsidR="000E158E" w:rsidRDefault="000E158E" w:rsidP="231684A5">
      <w:pPr>
        <w:pStyle w:val="FootnoteText"/>
      </w:pPr>
      <w:r w:rsidRPr="231684A5">
        <w:rPr>
          <w:rStyle w:val="FootnoteReference"/>
        </w:rPr>
        <w:footnoteRef/>
      </w:r>
      <w:r>
        <w:t xml:space="preserve"> </w:t>
      </w:r>
      <w:r w:rsidR="00EF0B6C">
        <w:t>Women’s National Housing and Homelessness Network</w:t>
      </w:r>
      <w:r w:rsidR="001F3BB4">
        <w:t xml:space="preserve"> (June 2022)</w:t>
      </w:r>
      <w:r w:rsidR="00EF0B6C">
        <w:t>, “</w:t>
      </w:r>
      <w:r w:rsidR="00C822FB" w:rsidRPr="00C822FB">
        <w:t>The Crisis Ends with Us:  Request for a Review into the Systemic Denial of the Equal Right to Housing of Women and Gender-Diverse People in Canada</w:t>
      </w:r>
      <w:r w:rsidR="002124E1">
        <w:t>,”</w:t>
      </w:r>
      <w:r w:rsidR="000A6A4B">
        <w:t xml:space="preserve"> </w:t>
      </w:r>
      <w:hyperlink r:id="rId21" w:history="1">
        <w:r w:rsidR="001F3BB4" w:rsidRPr="00B565A4">
          <w:rPr>
            <w:rStyle w:val="Hyperlink"/>
          </w:rPr>
          <w:t>https://womenshomelessness.ca/wp-content/uploads/WNHHN-Housing-Claim-14-June-2022.pdf</w:t>
        </w:r>
      </w:hyperlink>
      <w:r w:rsidR="001F3BB4">
        <w:t xml:space="preserve"> (Crisis Ends with Us)</w:t>
      </w:r>
    </w:p>
  </w:footnote>
  <w:footnote w:id="32">
    <w:p w14:paraId="3EA3EB6A" w14:textId="6908FFE3" w:rsidR="000E158E" w:rsidRDefault="000E158E" w:rsidP="231684A5">
      <w:pPr>
        <w:pStyle w:val="FootnoteText"/>
      </w:pPr>
      <w:r w:rsidRPr="231684A5">
        <w:rPr>
          <w:rStyle w:val="FootnoteReference"/>
        </w:rPr>
        <w:footnoteRef/>
      </w:r>
      <w:r>
        <w:t xml:space="preserve"> </w:t>
      </w:r>
      <w:r w:rsidR="001F3BB4">
        <w:t>Crisis Ends with Us</w:t>
      </w:r>
      <w:r w:rsidR="001F3BB4" w:rsidRPr="001F3BB4">
        <w:rPr>
          <w:i/>
          <w:iCs/>
        </w:rPr>
        <w:t>, Supra,</w:t>
      </w:r>
      <w:r w:rsidR="001F3BB4">
        <w:t xml:space="preserve"> note 30. </w:t>
      </w:r>
    </w:p>
  </w:footnote>
  <w:footnote w:id="33">
    <w:p w14:paraId="0D18BD81" w14:textId="3556535C" w:rsidR="000E158E" w:rsidRDefault="000E158E" w:rsidP="231684A5">
      <w:pPr>
        <w:pStyle w:val="FootnoteText"/>
      </w:pPr>
      <w:r w:rsidRPr="231684A5">
        <w:rPr>
          <w:rStyle w:val="FootnoteReference"/>
        </w:rPr>
        <w:footnoteRef/>
      </w:r>
      <w:r>
        <w:t xml:space="preserve"> </w:t>
      </w:r>
      <w:r w:rsidR="001F3BB4">
        <w:t>Crisis Ends with Us</w:t>
      </w:r>
      <w:r w:rsidR="001F3BB4" w:rsidRPr="001F3BB4">
        <w:rPr>
          <w:i/>
          <w:iCs/>
        </w:rPr>
        <w:t>, Supra,</w:t>
      </w:r>
      <w:r w:rsidR="001F3BB4">
        <w:t xml:space="preserve"> note 30.</w:t>
      </w:r>
    </w:p>
  </w:footnote>
  <w:footnote w:id="34">
    <w:p w14:paraId="67027FCD" w14:textId="700A2943" w:rsidR="000E158E" w:rsidRDefault="000E158E" w:rsidP="231684A5">
      <w:pPr>
        <w:pStyle w:val="FootnoteText"/>
      </w:pPr>
      <w:r w:rsidRPr="231684A5">
        <w:rPr>
          <w:rStyle w:val="FootnoteReference"/>
        </w:rPr>
        <w:footnoteRef/>
      </w:r>
      <w:r>
        <w:t xml:space="preserve"> </w:t>
      </w:r>
      <w:r w:rsidR="001F3BB4">
        <w:t>Crisis Ends with Us</w:t>
      </w:r>
      <w:r w:rsidR="001F3BB4" w:rsidRPr="001F3BB4">
        <w:rPr>
          <w:i/>
          <w:iCs/>
        </w:rPr>
        <w:t>, Supra,</w:t>
      </w:r>
      <w:r w:rsidR="001F3BB4">
        <w:t xml:space="preserve"> note 30.</w:t>
      </w:r>
    </w:p>
  </w:footnote>
  <w:footnote w:id="35">
    <w:p w14:paraId="01556F51" w14:textId="77777777" w:rsidR="000E158E" w:rsidRDefault="000E158E" w:rsidP="00880FE8">
      <w:pPr>
        <w:pStyle w:val="FootnoteText"/>
      </w:pPr>
      <w:r>
        <w:rPr>
          <w:rStyle w:val="FootnoteReference"/>
        </w:rPr>
        <w:footnoteRef/>
      </w:r>
      <w:r>
        <w:t xml:space="preserve"> Baig &amp; Seccia (2024). </w:t>
      </w:r>
      <w:r>
        <w:rPr>
          <w:i/>
          <w:iCs/>
        </w:rPr>
        <w:t>WNHHN welcomes ambitious Budget 2024, calls for urgency to meet gender-based targets</w:t>
      </w:r>
      <w:r>
        <w:t xml:space="preserve">. </w:t>
      </w:r>
      <w:hyperlink r:id="rId22" w:history="1">
        <w:r>
          <w:rPr>
            <w:rStyle w:val="Hyperlink"/>
          </w:rPr>
          <w:t>https://womenshomelessness.ca/budget2024/</w:t>
        </w:r>
      </w:hyperlink>
      <w:r>
        <w:t xml:space="preserve"> </w:t>
      </w:r>
    </w:p>
  </w:footnote>
  <w:footnote w:id="36">
    <w:p w14:paraId="216C4489" w14:textId="77777777" w:rsidR="000E158E" w:rsidRDefault="000E158E" w:rsidP="001D4FF8">
      <w:pPr>
        <w:pStyle w:val="FootnoteText"/>
      </w:pPr>
      <w:r>
        <w:rPr>
          <w:rStyle w:val="FootnoteReference"/>
        </w:rPr>
        <w:footnoteRef/>
      </w:r>
      <w:r>
        <w:t xml:space="preserve"> Women’s National Housing and Homelessness Network et al (2023). </w:t>
      </w:r>
      <w:proofErr w:type="gramStart"/>
      <w:r>
        <w:t>”</w:t>
      </w:r>
      <w:r>
        <w:rPr>
          <w:i/>
          <w:iCs/>
        </w:rPr>
        <w:t>An</w:t>
      </w:r>
      <w:proofErr w:type="gramEnd"/>
      <w:r>
        <w:rPr>
          <w:i/>
          <w:iCs/>
        </w:rPr>
        <w:t xml:space="preserve"> Intersectional Housing Agenda for Canada</w:t>
      </w:r>
      <w:r>
        <w:t xml:space="preserve">.” </w:t>
      </w:r>
      <w:hyperlink r:id="rId23" w:history="1">
        <w:r>
          <w:rPr>
            <w:rStyle w:val="Hyperlink"/>
          </w:rPr>
          <w:t>https://womenshomelessness.ca/wp-content/uploads/An-Intersectional-Feminist-Housing-Agenda.pdf</w:t>
        </w:r>
      </w:hyperlink>
      <w:r>
        <w:t xml:space="preserve"> </w:t>
      </w:r>
    </w:p>
  </w:footnote>
  <w:footnote w:id="37">
    <w:p w14:paraId="5AA3C19D" w14:textId="5B167E16" w:rsidR="231684A5" w:rsidRDefault="231684A5" w:rsidP="231684A5">
      <w:pPr>
        <w:pStyle w:val="FootnoteText"/>
      </w:pPr>
      <w:r w:rsidRPr="231684A5">
        <w:rPr>
          <w:rStyle w:val="FootnoteReference"/>
        </w:rPr>
        <w:footnoteRef/>
      </w:r>
      <w:r>
        <w:t xml:space="preserve"> </w:t>
      </w:r>
      <w:r w:rsidR="0021287E">
        <w:t>Crisis Ends with Us</w:t>
      </w:r>
      <w:r w:rsidR="0021287E" w:rsidRPr="001F3BB4">
        <w:rPr>
          <w:i/>
          <w:iCs/>
        </w:rPr>
        <w:t>, Supra,</w:t>
      </w:r>
      <w:r w:rsidR="0021287E">
        <w:t xml:space="preserve"> note 30.</w:t>
      </w:r>
    </w:p>
  </w:footnote>
  <w:footnote w:id="38">
    <w:p w14:paraId="5D46E413" w14:textId="3BB81E15" w:rsidR="231684A5" w:rsidRDefault="231684A5" w:rsidP="231684A5">
      <w:pPr>
        <w:pStyle w:val="FootnoteText"/>
      </w:pPr>
      <w:r w:rsidRPr="231684A5">
        <w:rPr>
          <w:rStyle w:val="FootnoteReference"/>
        </w:rPr>
        <w:footnoteRef/>
      </w:r>
      <w:r>
        <w:t xml:space="preserve"> </w:t>
      </w:r>
      <w:r w:rsidR="0021287E" w:rsidRPr="0021287E">
        <w:rPr>
          <w:i/>
          <w:iCs/>
        </w:rPr>
        <w:t>Ibid.</w:t>
      </w:r>
      <w:r w:rsidR="0021287E">
        <w:t xml:space="preserve"> </w:t>
      </w:r>
    </w:p>
  </w:footnote>
  <w:footnote w:id="39">
    <w:p w14:paraId="5B86AB83" w14:textId="03F96160" w:rsidR="231684A5" w:rsidRDefault="231684A5" w:rsidP="231684A5">
      <w:pPr>
        <w:pStyle w:val="FootnoteText"/>
      </w:pPr>
      <w:r w:rsidRPr="231684A5">
        <w:rPr>
          <w:rStyle w:val="FootnoteReference"/>
        </w:rPr>
        <w:footnoteRef/>
      </w:r>
      <w:r>
        <w:t xml:space="preserve"> </w:t>
      </w:r>
      <w:r w:rsidR="0021287E" w:rsidRPr="0021287E">
        <w:rPr>
          <w:i/>
          <w:iCs/>
        </w:rPr>
        <w:t>Ibid.</w:t>
      </w:r>
      <w:r w:rsidR="0021287E">
        <w:t xml:space="preserve"> </w:t>
      </w:r>
    </w:p>
  </w:footnote>
  <w:footnote w:id="40">
    <w:p w14:paraId="30C6EB04" w14:textId="7D30D628" w:rsidR="231684A5" w:rsidRDefault="231684A5" w:rsidP="231684A5">
      <w:pPr>
        <w:pStyle w:val="FootnoteText"/>
      </w:pPr>
      <w:r w:rsidRPr="231684A5">
        <w:rPr>
          <w:rStyle w:val="FootnoteReference"/>
        </w:rPr>
        <w:footnoteRef/>
      </w:r>
      <w:r>
        <w:t xml:space="preserve"> </w:t>
      </w:r>
      <w:r w:rsidR="00B630D7" w:rsidRPr="00B630D7">
        <w:rPr>
          <w:i/>
          <w:iCs/>
        </w:rPr>
        <w:t>Ibid.</w:t>
      </w:r>
      <w:r w:rsidR="00B630D7">
        <w:t xml:space="preserve"> </w:t>
      </w:r>
    </w:p>
  </w:footnote>
  <w:footnote w:id="41">
    <w:p w14:paraId="5EE1A75E" w14:textId="377997A1" w:rsidR="231684A5" w:rsidRDefault="231684A5" w:rsidP="231684A5">
      <w:pPr>
        <w:pStyle w:val="FootnoteText"/>
      </w:pPr>
      <w:r w:rsidRPr="231684A5">
        <w:rPr>
          <w:rStyle w:val="FootnoteReference"/>
        </w:rPr>
        <w:footnoteRef/>
      </w:r>
      <w:r>
        <w:t xml:space="preserve"> https://womenshomelessness.ca/wp-content/uploads/Pre-Budget-Submission_WNHHN_NIWHN_Aug-2024.pdf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7C178"/>
    <w:multiLevelType w:val="hybridMultilevel"/>
    <w:tmpl w:val="F91E8B18"/>
    <w:lvl w:ilvl="0" w:tplc="918E7AD8">
      <w:start w:val="1"/>
      <w:numFmt w:val="bullet"/>
      <w:lvlText w:val=""/>
      <w:lvlJc w:val="left"/>
      <w:pPr>
        <w:ind w:left="1080" w:hanging="360"/>
      </w:pPr>
      <w:rPr>
        <w:rFonts w:ascii="Symbol" w:hAnsi="Symbol" w:hint="default"/>
      </w:rPr>
    </w:lvl>
    <w:lvl w:ilvl="1" w:tplc="2DF0A68A">
      <w:start w:val="1"/>
      <w:numFmt w:val="bullet"/>
      <w:lvlText w:val="o"/>
      <w:lvlJc w:val="left"/>
      <w:pPr>
        <w:ind w:left="1440" w:hanging="360"/>
      </w:pPr>
      <w:rPr>
        <w:rFonts w:ascii="Courier New" w:hAnsi="Courier New" w:hint="default"/>
      </w:rPr>
    </w:lvl>
    <w:lvl w:ilvl="2" w:tplc="8C003D0C">
      <w:start w:val="1"/>
      <w:numFmt w:val="bullet"/>
      <w:lvlText w:val=""/>
      <w:lvlJc w:val="left"/>
      <w:pPr>
        <w:ind w:left="2160" w:hanging="360"/>
      </w:pPr>
      <w:rPr>
        <w:rFonts w:ascii="Wingdings" w:hAnsi="Wingdings" w:hint="default"/>
      </w:rPr>
    </w:lvl>
    <w:lvl w:ilvl="3" w:tplc="7526A50A">
      <w:start w:val="1"/>
      <w:numFmt w:val="bullet"/>
      <w:lvlText w:val=""/>
      <w:lvlJc w:val="left"/>
      <w:pPr>
        <w:ind w:left="2880" w:hanging="360"/>
      </w:pPr>
      <w:rPr>
        <w:rFonts w:ascii="Symbol" w:hAnsi="Symbol" w:hint="default"/>
      </w:rPr>
    </w:lvl>
    <w:lvl w:ilvl="4" w:tplc="13D8A590">
      <w:start w:val="1"/>
      <w:numFmt w:val="bullet"/>
      <w:lvlText w:val="o"/>
      <w:lvlJc w:val="left"/>
      <w:pPr>
        <w:ind w:left="3600" w:hanging="360"/>
      </w:pPr>
      <w:rPr>
        <w:rFonts w:ascii="Courier New" w:hAnsi="Courier New" w:hint="default"/>
      </w:rPr>
    </w:lvl>
    <w:lvl w:ilvl="5" w:tplc="01CEB93E">
      <w:start w:val="1"/>
      <w:numFmt w:val="bullet"/>
      <w:lvlText w:val=""/>
      <w:lvlJc w:val="left"/>
      <w:pPr>
        <w:ind w:left="4320" w:hanging="360"/>
      </w:pPr>
      <w:rPr>
        <w:rFonts w:ascii="Wingdings" w:hAnsi="Wingdings" w:hint="default"/>
      </w:rPr>
    </w:lvl>
    <w:lvl w:ilvl="6" w:tplc="057CC4F6">
      <w:start w:val="1"/>
      <w:numFmt w:val="bullet"/>
      <w:lvlText w:val=""/>
      <w:lvlJc w:val="left"/>
      <w:pPr>
        <w:ind w:left="5040" w:hanging="360"/>
      </w:pPr>
      <w:rPr>
        <w:rFonts w:ascii="Symbol" w:hAnsi="Symbol" w:hint="default"/>
      </w:rPr>
    </w:lvl>
    <w:lvl w:ilvl="7" w:tplc="C3624118">
      <w:start w:val="1"/>
      <w:numFmt w:val="bullet"/>
      <w:lvlText w:val="o"/>
      <w:lvlJc w:val="left"/>
      <w:pPr>
        <w:ind w:left="5760" w:hanging="360"/>
      </w:pPr>
      <w:rPr>
        <w:rFonts w:ascii="Courier New" w:hAnsi="Courier New" w:hint="default"/>
      </w:rPr>
    </w:lvl>
    <w:lvl w:ilvl="8" w:tplc="AC1663C6">
      <w:start w:val="1"/>
      <w:numFmt w:val="bullet"/>
      <w:lvlText w:val=""/>
      <w:lvlJc w:val="left"/>
      <w:pPr>
        <w:ind w:left="6480" w:hanging="360"/>
      </w:pPr>
      <w:rPr>
        <w:rFonts w:ascii="Wingdings" w:hAnsi="Wingdings" w:hint="default"/>
      </w:rPr>
    </w:lvl>
  </w:abstractNum>
  <w:abstractNum w:abstractNumId="1" w15:restartNumberingAfterBreak="0">
    <w:nsid w:val="07600F7D"/>
    <w:multiLevelType w:val="hybridMultilevel"/>
    <w:tmpl w:val="BBE6FBFA"/>
    <w:lvl w:ilvl="0" w:tplc="65A4B5D0">
      <w:start w:val="1"/>
      <w:numFmt w:val="decimal"/>
      <w:lvlText w:val="%1."/>
      <w:lvlJc w:val="left"/>
      <w:pPr>
        <w:ind w:left="720" w:hanging="360"/>
      </w:pPr>
      <w:rPr>
        <w:rFonts w:hint="default"/>
        <w:i w:val="0"/>
        <w:iCs w:val="0"/>
        <w:vertAlign w:val="baseline"/>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92A4A97"/>
    <w:multiLevelType w:val="hybridMultilevel"/>
    <w:tmpl w:val="96FCAA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D35F089"/>
    <w:multiLevelType w:val="hybridMultilevel"/>
    <w:tmpl w:val="5FE8B9E4"/>
    <w:lvl w:ilvl="0" w:tplc="0ADCEE9A">
      <w:start w:val="1"/>
      <w:numFmt w:val="decimal"/>
      <w:lvlText w:val="%1."/>
      <w:lvlJc w:val="left"/>
      <w:pPr>
        <w:ind w:left="720" w:hanging="360"/>
      </w:pPr>
    </w:lvl>
    <w:lvl w:ilvl="1" w:tplc="4C48E242">
      <w:start w:val="1"/>
      <w:numFmt w:val="lowerLetter"/>
      <w:lvlText w:val="%2."/>
      <w:lvlJc w:val="left"/>
      <w:pPr>
        <w:ind w:left="1440" w:hanging="360"/>
      </w:pPr>
    </w:lvl>
    <w:lvl w:ilvl="2" w:tplc="8474F69E">
      <w:start w:val="1"/>
      <w:numFmt w:val="lowerRoman"/>
      <w:lvlText w:val="%3."/>
      <w:lvlJc w:val="right"/>
      <w:pPr>
        <w:ind w:left="2160" w:hanging="180"/>
      </w:pPr>
    </w:lvl>
    <w:lvl w:ilvl="3" w:tplc="A5A8B0C4">
      <w:start w:val="1"/>
      <w:numFmt w:val="decimal"/>
      <w:lvlText w:val="%4."/>
      <w:lvlJc w:val="left"/>
      <w:pPr>
        <w:ind w:left="2880" w:hanging="360"/>
      </w:pPr>
    </w:lvl>
    <w:lvl w:ilvl="4" w:tplc="C9EE543A">
      <w:start w:val="1"/>
      <w:numFmt w:val="lowerLetter"/>
      <w:lvlText w:val="%5."/>
      <w:lvlJc w:val="left"/>
      <w:pPr>
        <w:ind w:left="3600" w:hanging="360"/>
      </w:pPr>
    </w:lvl>
    <w:lvl w:ilvl="5" w:tplc="BFFA6E64">
      <w:start w:val="1"/>
      <w:numFmt w:val="lowerRoman"/>
      <w:lvlText w:val="%6."/>
      <w:lvlJc w:val="right"/>
      <w:pPr>
        <w:ind w:left="4320" w:hanging="180"/>
      </w:pPr>
    </w:lvl>
    <w:lvl w:ilvl="6" w:tplc="5CDE1C4A">
      <w:start w:val="1"/>
      <w:numFmt w:val="decimal"/>
      <w:lvlText w:val="%7."/>
      <w:lvlJc w:val="left"/>
      <w:pPr>
        <w:ind w:left="5040" w:hanging="360"/>
      </w:pPr>
    </w:lvl>
    <w:lvl w:ilvl="7" w:tplc="84B6B1AA">
      <w:start w:val="1"/>
      <w:numFmt w:val="lowerLetter"/>
      <w:lvlText w:val="%8."/>
      <w:lvlJc w:val="left"/>
      <w:pPr>
        <w:ind w:left="5760" w:hanging="360"/>
      </w:pPr>
    </w:lvl>
    <w:lvl w:ilvl="8" w:tplc="39F867B0">
      <w:start w:val="1"/>
      <w:numFmt w:val="lowerRoman"/>
      <w:lvlText w:val="%9."/>
      <w:lvlJc w:val="right"/>
      <w:pPr>
        <w:ind w:left="6480" w:hanging="180"/>
      </w:pPr>
    </w:lvl>
  </w:abstractNum>
  <w:abstractNum w:abstractNumId="4" w15:restartNumberingAfterBreak="0">
    <w:nsid w:val="25BC450C"/>
    <w:multiLevelType w:val="multilevel"/>
    <w:tmpl w:val="1A5CA5C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97C284A"/>
    <w:multiLevelType w:val="hybridMultilevel"/>
    <w:tmpl w:val="5E1269FC"/>
    <w:lvl w:ilvl="0" w:tplc="89F88DA0">
      <w:start w:val="1"/>
      <w:numFmt w:val="decimal"/>
      <w:lvlText w:val="%1."/>
      <w:lvlJc w:val="left"/>
      <w:pPr>
        <w:ind w:left="720"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DE714D9"/>
    <w:multiLevelType w:val="hybridMultilevel"/>
    <w:tmpl w:val="C9D0D7CE"/>
    <w:lvl w:ilvl="0" w:tplc="A6E41DFE">
      <w:start w:val="1"/>
      <w:numFmt w:val="upperLetter"/>
      <w:lvlText w:val="%1."/>
      <w:lvlJc w:val="left"/>
      <w:pPr>
        <w:ind w:left="720" w:hanging="360"/>
      </w:pPr>
    </w:lvl>
    <w:lvl w:ilvl="1" w:tplc="FE2A5246">
      <w:start w:val="1"/>
      <w:numFmt w:val="lowerLetter"/>
      <w:lvlText w:val="%2."/>
      <w:lvlJc w:val="left"/>
      <w:pPr>
        <w:ind w:left="1440" w:hanging="360"/>
      </w:pPr>
    </w:lvl>
    <w:lvl w:ilvl="2" w:tplc="D3FAC6AA">
      <w:start w:val="1"/>
      <w:numFmt w:val="lowerRoman"/>
      <w:lvlText w:val="%3."/>
      <w:lvlJc w:val="right"/>
      <w:pPr>
        <w:ind w:left="2160" w:hanging="180"/>
      </w:pPr>
    </w:lvl>
    <w:lvl w:ilvl="3" w:tplc="F592A3E0">
      <w:start w:val="1"/>
      <w:numFmt w:val="decimal"/>
      <w:lvlText w:val="%4."/>
      <w:lvlJc w:val="left"/>
      <w:pPr>
        <w:ind w:left="2880" w:hanging="360"/>
      </w:pPr>
    </w:lvl>
    <w:lvl w:ilvl="4" w:tplc="35B6FDEE">
      <w:start w:val="1"/>
      <w:numFmt w:val="lowerLetter"/>
      <w:lvlText w:val="%5."/>
      <w:lvlJc w:val="left"/>
      <w:pPr>
        <w:ind w:left="3600" w:hanging="360"/>
      </w:pPr>
    </w:lvl>
    <w:lvl w:ilvl="5" w:tplc="590811B8">
      <w:start w:val="1"/>
      <w:numFmt w:val="lowerRoman"/>
      <w:lvlText w:val="%6."/>
      <w:lvlJc w:val="right"/>
      <w:pPr>
        <w:ind w:left="4320" w:hanging="180"/>
      </w:pPr>
    </w:lvl>
    <w:lvl w:ilvl="6" w:tplc="337800BC">
      <w:start w:val="1"/>
      <w:numFmt w:val="decimal"/>
      <w:lvlText w:val="%7."/>
      <w:lvlJc w:val="left"/>
      <w:pPr>
        <w:ind w:left="5040" w:hanging="360"/>
      </w:pPr>
    </w:lvl>
    <w:lvl w:ilvl="7" w:tplc="6E3AFF38">
      <w:start w:val="1"/>
      <w:numFmt w:val="lowerLetter"/>
      <w:lvlText w:val="%8."/>
      <w:lvlJc w:val="left"/>
      <w:pPr>
        <w:ind w:left="5760" w:hanging="360"/>
      </w:pPr>
    </w:lvl>
    <w:lvl w:ilvl="8" w:tplc="C8AE364E">
      <w:start w:val="1"/>
      <w:numFmt w:val="lowerRoman"/>
      <w:lvlText w:val="%9."/>
      <w:lvlJc w:val="right"/>
      <w:pPr>
        <w:ind w:left="6480" w:hanging="180"/>
      </w:pPr>
    </w:lvl>
  </w:abstractNum>
  <w:abstractNum w:abstractNumId="7" w15:restartNumberingAfterBreak="0">
    <w:nsid w:val="2F22CC34"/>
    <w:multiLevelType w:val="multilevel"/>
    <w:tmpl w:val="B76641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FC85EA2"/>
    <w:multiLevelType w:val="hybridMultilevel"/>
    <w:tmpl w:val="E0F84314"/>
    <w:lvl w:ilvl="0" w:tplc="D48EFF78">
      <w:start w:val="1"/>
      <w:numFmt w:val="decimal"/>
      <w:lvlText w:val="%1."/>
      <w:lvlJc w:val="left"/>
      <w:pPr>
        <w:ind w:left="720" w:hanging="360"/>
      </w:pPr>
    </w:lvl>
    <w:lvl w:ilvl="1" w:tplc="3B3AAEE8">
      <w:start w:val="1"/>
      <w:numFmt w:val="lowerLetter"/>
      <w:lvlText w:val="%2."/>
      <w:lvlJc w:val="left"/>
      <w:pPr>
        <w:ind w:left="1440" w:hanging="360"/>
      </w:pPr>
    </w:lvl>
    <w:lvl w:ilvl="2" w:tplc="88F21CC2">
      <w:start w:val="1"/>
      <w:numFmt w:val="lowerRoman"/>
      <w:lvlText w:val="%3."/>
      <w:lvlJc w:val="right"/>
      <w:pPr>
        <w:ind w:left="2160" w:hanging="180"/>
      </w:pPr>
    </w:lvl>
    <w:lvl w:ilvl="3" w:tplc="C3DC43F8">
      <w:start w:val="1"/>
      <w:numFmt w:val="decimal"/>
      <w:lvlText w:val="%4."/>
      <w:lvlJc w:val="left"/>
      <w:pPr>
        <w:ind w:left="2880" w:hanging="360"/>
      </w:pPr>
    </w:lvl>
    <w:lvl w:ilvl="4" w:tplc="110EB580">
      <w:start w:val="1"/>
      <w:numFmt w:val="lowerLetter"/>
      <w:lvlText w:val="%5."/>
      <w:lvlJc w:val="left"/>
      <w:pPr>
        <w:ind w:left="3600" w:hanging="360"/>
      </w:pPr>
    </w:lvl>
    <w:lvl w:ilvl="5" w:tplc="762E50EC">
      <w:start w:val="1"/>
      <w:numFmt w:val="lowerRoman"/>
      <w:lvlText w:val="%6."/>
      <w:lvlJc w:val="right"/>
      <w:pPr>
        <w:ind w:left="4320" w:hanging="180"/>
      </w:pPr>
    </w:lvl>
    <w:lvl w:ilvl="6" w:tplc="D11A4768">
      <w:start w:val="1"/>
      <w:numFmt w:val="decimal"/>
      <w:lvlText w:val="%7."/>
      <w:lvlJc w:val="left"/>
      <w:pPr>
        <w:ind w:left="5040" w:hanging="360"/>
      </w:pPr>
    </w:lvl>
    <w:lvl w:ilvl="7" w:tplc="B61850BC">
      <w:start w:val="1"/>
      <w:numFmt w:val="lowerLetter"/>
      <w:lvlText w:val="%8."/>
      <w:lvlJc w:val="left"/>
      <w:pPr>
        <w:ind w:left="5760" w:hanging="360"/>
      </w:pPr>
    </w:lvl>
    <w:lvl w:ilvl="8" w:tplc="903CB8A4">
      <w:start w:val="1"/>
      <w:numFmt w:val="lowerRoman"/>
      <w:lvlText w:val="%9."/>
      <w:lvlJc w:val="right"/>
      <w:pPr>
        <w:ind w:left="6480" w:hanging="180"/>
      </w:pPr>
    </w:lvl>
  </w:abstractNum>
  <w:abstractNum w:abstractNumId="9" w15:restartNumberingAfterBreak="0">
    <w:nsid w:val="373A9B78"/>
    <w:multiLevelType w:val="multilevel"/>
    <w:tmpl w:val="BF7C68C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73D64A1"/>
    <w:multiLevelType w:val="hybridMultilevel"/>
    <w:tmpl w:val="0FAEEEF6"/>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4058369E"/>
    <w:multiLevelType w:val="hybridMultilevel"/>
    <w:tmpl w:val="A8B01A2E"/>
    <w:lvl w:ilvl="0" w:tplc="D7B48CA8">
      <w:start w:val="1"/>
      <w:numFmt w:val="lowerLetter"/>
      <w:pStyle w:val="Heading3"/>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4BE3799E"/>
    <w:multiLevelType w:val="hybridMultilevel"/>
    <w:tmpl w:val="5F6290C6"/>
    <w:lvl w:ilvl="0" w:tplc="7312F446">
      <w:start w:val="1"/>
      <w:numFmt w:val="lowerRoman"/>
      <w:pStyle w:val="Heading2"/>
      <w:lvlText w:val="%1."/>
      <w:lvlJc w:val="left"/>
      <w:pPr>
        <w:ind w:left="720" w:hanging="360"/>
      </w:pPr>
      <w:rPr>
        <w:rFonts w:ascii="Calibri" w:eastAsia="Aptos" w:hAnsi="Calibri" w:cs="Calibri"/>
        <w:color w:val="auto"/>
        <w:vertAlign w:val="baseli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rPr>
        <w:b w:val="0"/>
        <w:bCs/>
        <w:color w:val="auto"/>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59B51655"/>
    <w:multiLevelType w:val="hybridMultilevel"/>
    <w:tmpl w:val="A6F22390"/>
    <w:lvl w:ilvl="0" w:tplc="943E9918">
      <w:start w:val="1"/>
      <w:numFmt w:val="bullet"/>
      <w:lvlText w:val=""/>
      <w:lvlJc w:val="left"/>
      <w:pPr>
        <w:ind w:left="1080" w:hanging="360"/>
      </w:pPr>
      <w:rPr>
        <w:rFonts w:ascii="Symbol" w:hAnsi="Symbol" w:hint="default"/>
      </w:rPr>
    </w:lvl>
    <w:lvl w:ilvl="1" w:tplc="C89CC5B8">
      <w:start w:val="1"/>
      <w:numFmt w:val="bullet"/>
      <w:lvlText w:val="o"/>
      <w:lvlJc w:val="left"/>
      <w:pPr>
        <w:ind w:left="1440" w:hanging="360"/>
      </w:pPr>
      <w:rPr>
        <w:rFonts w:ascii="Courier New" w:hAnsi="Courier New" w:hint="default"/>
      </w:rPr>
    </w:lvl>
    <w:lvl w:ilvl="2" w:tplc="CDE69AAA">
      <w:start w:val="1"/>
      <w:numFmt w:val="bullet"/>
      <w:lvlText w:val=""/>
      <w:lvlJc w:val="left"/>
      <w:pPr>
        <w:ind w:left="2160" w:hanging="360"/>
      </w:pPr>
      <w:rPr>
        <w:rFonts w:ascii="Wingdings" w:hAnsi="Wingdings" w:hint="default"/>
      </w:rPr>
    </w:lvl>
    <w:lvl w:ilvl="3" w:tplc="1748AB2E">
      <w:start w:val="1"/>
      <w:numFmt w:val="bullet"/>
      <w:lvlText w:val=""/>
      <w:lvlJc w:val="left"/>
      <w:pPr>
        <w:ind w:left="2880" w:hanging="360"/>
      </w:pPr>
      <w:rPr>
        <w:rFonts w:ascii="Symbol" w:hAnsi="Symbol" w:hint="default"/>
      </w:rPr>
    </w:lvl>
    <w:lvl w:ilvl="4" w:tplc="B4F6C6E6">
      <w:start w:val="1"/>
      <w:numFmt w:val="bullet"/>
      <w:lvlText w:val="o"/>
      <w:lvlJc w:val="left"/>
      <w:pPr>
        <w:ind w:left="3600" w:hanging="360"/>
      </w:pPr>
      <w:rPr>
        <w:rFonts w:ascii="Courier New" w:hAnsi="Courier New" w:hint="default"/>
      </w:rPr>
    </w:lvl>
    <w:lvl w:ilvl="5" w:tplc="F89E57BA">
      <w:start w:val="1"/>
      <w:numFmt w:val="bullet"/>
      <w:lvlText w:val=""/>
      <w:lvlJc w:val="left"/>
      <w:pPr>
        <w:ind w:left="4320" w:hanging="360"/>
      </w:pPr>
      <w:rPr>
        <w:rFonts w:ascii="Wingdings" w:hAnsi="Wingdings" w:hint="default"/>
      </w:rPr>
    </w:lvl>
    <w:lvl w:ilvl="6" w:tplc="F73C50D0">
      <w:start w:val="1"/>
      <w:numFmt w:val="bullet"/>
      <w:lvlText w:val=""/>
      <w:lvlJc w:val="left"/>
      <w:pPr>
        <w:ind w:left="5040" w:hanging="360"/>
      </w:pPr>
      <w:rPr>
        <w:rFonts w:ascii="Symbol" w:hAnsi="Symbol" w:hint="default"/>
      </w:rPr>
    </w:lvl>
    <w:lvl w:ilvl="7" w:tplc="A8EE62FC">
      <w:start w:val="1"/>
      <w:numFmt w:val="bullet"/>
      <w:lvlText w:val="o"/>
      <w:lvlJc w:val="left"/>
      <w:pPr>
        <w:ind w:left="5760" w:hanging="360"/>
      </w:pPr>
      <w:rPr>
        <w:rFonts w:ascii="Courier New" w:hAnsi="Courier New" w:hint="default"/>
      </w:rPr>
    </w:lvl>
    <w:lvl w:ilvl="8" w:tplc="ED3E2986">
      <w:start w:val="1"/>
      <w:numFmt w:val="bullet"/>
      <w:lvlText w:val=""/>
      <w:lvlJc w:val="left"/>
      <w:pPr>
        <w:ind w:left="6480" w:hanging="360"/>
      </w:pPr>
      <w:rPr>
        <w:rFonts w:ascii="Wingdings" w:hAnsi="Wingdings" w:hint="default"/>
      </w:rPr>
    </w:lvl>
  </w:abstractNum>
  <w:abstractNum w:abstractNumId="14" w15:restartNumberingAfterBreak="0">
    <w:nsid w:val="633E0046"/>
    <w:multiLevelType w:val="hybridMultilevel"/>
    <w:tmpl w:val="B58402F4"/>
    <w:lvl w:ilvl="0" w:tplc="83A83746">
      <w:start w:val="1"/>
      <w:numFmt w:val="lowerRoman"/>
      <w:lvlText w:val="%1."/>
      <w:lvlJc w:val="left"/>
      <w:pPr>
        <w:ind w:left="720" w:hanging="360"/>
      </w:pPr>
      <w:rPr>
        <w:rFonts w:ascii="Calibri" w:eastAsia="Aptos" w:hAnsi="Calibri" w:cs="Calibri"/>
        <w:b w:val="0"/>
        <w:bCs/>
        <w:color w:val="auto"/>
        <w:vertAlign w:val="baseli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rPr>
        <w:b w:val="0"/>
        <w:bCs/>
        <w:color w:val="auto"/>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65CCFFB2"/>
    <w:multiLevelType w:val="hybridMultilevel"/>
    <w:tmpl w:val="671AD8B4"/>
    <w:lvl w:ilvl="0" w:tplc="F79CB17A">
      <w:start w:val="1"/>
      <w:numFmt w:val="lowerRoman"/>
      <w:lvlText w:val="%1."/>
      <w:lvlJc w:val="left"/>
      <w:pPr>
        <w:ind w:left="720" w:hanging="360"/>
      </w:pPr>
      <w:rPr>
        <w:rFonts w:ascii="Calibri" w:eastAsia="Aptos" w:hAnsi="Calibri" w:cs="Calibri"/>
        <w:color w:val="auto"/>
        <w:vertAlign w:val="baseline"/>
      </w:rPr>
    </w:lvl>
    <w:lvl w:ilvl="1" w:tplc="EE665944">
      <w:start w:val="1"/>
      <w:numFmt w:val="lowerLetter"/>
      <w:lvlText w:val="%2."/>
      <w:lvlJc w:val="left"/>
      <w:pPr>
        <w:ind w:left="1440" w:hanging="360"/>
      </w:pPr>
    </w:lvl>
    <w:lvl w:ilvl="2" w:tplc="F63A9D62">
      <w:start w:val="1"/>
      <w:numFmt w:val="lowerRoman"/>
      <w:lvlText w:val="%3."/>
      <w:lvlJc w:val="right"/>
      <w:pPr>
        <w:ind w:left="2160" w:hanging="180"/>
      </w:pPr>
      <w:rPr>
        <w:b w:val="0"/>
        <w:bCs/>
        <w:color w:val="auto"/>
      </w:rPr>
    </w:lvl>
    <w:lvl w:ilvl="3" w:tplc="8EEEBD5A">
      <w:start w:val="1"/>
      <w:numFmt w:val="decimal"/>
      <w:lvlText w:val="%4."/>
      <w:lvlJc w:val="left"/>
      <w:pPr>
        <w:ind w:left="2880" w:hanging="360"/>
      </w:pPr>
    </w:lvl>
    <w:lvl w:ilvl="4" w:tplc="C2F49AC8">
      <w:start w:val="1"/>
      <w:numFmt w:val="lowerLetter"/>
      <w:lvlText w:val="%5."/>
      <w:lvlJc w:val="left"/>
      <w:pPr>
        <w:ind w:left="3600" w:hanging="360"/>
      </w:pPr>
    </w:lvl>
    <w:lvl w:ilvl="5" w:tplc="5DC25FCA">
      <w:start w:val="1"/>
      <w:numFmt w:val="lowerRoman"/>
      <w:lvlText w:val="%6."/>
      <w:lvlJc w:val="right"/>
      <w:pPr>
        <w:ind w:left="4320" w:hanging="180"/>
      </w:pPr>
    </w:lvl>
    <w:lvl w:ilvl="6" w:tplc="60D42E76">
      <w:start w:val="1"/>
      <w:numFmt w:val="decimal"/>
      <w:lvlText w:val="%7."/>
      <w:lvlJc w:val="left"/>
      <w:pPr>
        <w:ind w:left="5040" w:hanging="360"/>
      </w:pPr>
    </w:lvl>
    <w:lvl w:ilvl="7" w:tplc="CD84BE9A">
      <w:start w:val="1"/>
      <w:numFmt w:val="lowerLetter"/>
      <w:lvlText w:val="%8."/>
      <w:lvlJc w:val="left"/>
      <w:pPr>
        <w:ind w:left="5760" w:hanging="360"/>
      </w:pPr>
    </w:lvl>
    <w:lvl w:ilvl="8" w:tplc="B4D25034">
      <w:start w:val="1"/>
      <w:numFmt w:val="lowerRoman"/>
      <w:lvlText w:val="%9."/>
      <w:lvlJc w:val="right"/>
      <w:pPr>
        <w:ind w:left="6480" w:hanging="180"/>
      </w:pPr>
    </w:lvl>
  </w:abstractNum>
  <w:abstractNum w:abstractNumId="16" w15:restartNumberingAfterBreak="0">
    <w:nsid w:val="79271123"/>
    <w:multiLevelType w:val="hybridMultilevel"/>
    <w:tmpl w:val="9282300E"/>
    <w:lvl w:ilvl="0" w:tplc="FFFFFFFF">
      <w:start w:val="1"/>
      <w:numFmt w:val="lowerRoman"/>
      <w:lvlText w:val="%1."/>
      <w:lvlJc w:val="left"/>
      <w:pPr>
        <w:ind w:left="720" w:hanging="360"/>
      </w:pPr>
      <w:rPr>
        <w:rFonts w:ascii="Calibri" w:eastAsia="Aptos" w:hAnsi="Calibri" w:cs="Calibri"/>
        <w:color w:val="auto"/>
        <w:vertAlign w:val="baseli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B30392C"/>
    <w:multiLevelType w:val="hybridMultilevel"/>
    <w:tmpl w:val="1B5ACC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7B37E5CC"/>
    <w:multiLevelType w:val="hybridMultilevel"/>
    <w:tmpl w:val="1932EC96"/>
    <w:lvl w:ilvl="0" w:tplc="EB40A266">
      <w:start w:val="1"/>
      <w:numFmt w:val="decimal"/>
      <w:lvlText w:val="%1."/>
      <w:lvlJc w:val="left"/>
      <w:pPr>
        <w:ind w:left="720" w:hanging="360"/>
      </w:pPr>
    </w:lvl>
    <w:lvl w:ilvl="1" w:tplc="9272A4EC">
      <w:start w:val="1"/>
      <w:numFmt w:val="lowerLetter"/>
      <w:lvlText w:val="%2."/>
      <w:lvlJc w:val="left"/>
      <w:pPr>
        <w:ind w:left="1440" w:hanging="360"/>
      </w:pPr>
    </w:lvl>
    <w:lvl w:ilvl="2" w:tplc="7C706FEA">
      <w:start w:val="1"/>
      <w:numFmt w:val="lowerRoman"/>
      <w:lvlText w:val="%3."/>
      <w:lvlJc w:val="right"/>
      <w:pPr>
        <w:ind w:left="2160" w:hanging="180"/>
      </w:pPr>
    </w:lvl>
    <w:lvl w:ilvl="3" w:tplc="FCA86140">
      <w:start w:val="1"/>
      <w:numFmt w:val="decimal"/>
      <w:lvlText w:val="%4."/>
      <w:lvlJc w:val="left"/>
      <w:pPr>
        <w:ind w:left="2880" w:hanging="360"/>
      </w:pPr>
    </w:lvl>
    <w:lvl w:ilvl="4" w:tplc="4ADAF6FC">
      <w:start w:val="1"/>
      <w:numFmt w:val="lowerLetter"/>
      <w:lvlText w:val="%5."/>
      <w:lvlJc w:val="left"/>
      <w:pPr>
        <w:ind w:left="3600" w:hanging="360"/>
      </w:pPr>
    </w:lvl>
    <w:lvl w:ilvl="5" w:tplc="D4E6106C">
      <w:start w:val="1"/>
      <w:numFmt w:val="lowerRoman"/>
      <w:lvlText w:val="%6."/>
      <w:lvlJc w:val="right"/>
      <w:pPr>
        <w:ind w:left="4320" w:hanging="180"/>
      </w:pPr>
    </w:lvl>
    <w:lvl w:ilvl="6" w:tplc="3B0C9100">
      <w:start w:val="1"/>
      <w:numFmt w:val="decimal"/>
      <w:lvlText w:val="%7."/>
      <w:lvlJc w:val="left"/>
      <w:pPr>
        <w:ind w:left="5040" w:hanging="360"/>
      </w:pPr>
    </w:lvl>
    <w:lvl w:ilvl="7" w:tplc="35A0B74A">
      <w:start w:val="1"/>
      <w:numFmt w:val="lowerLetter"/>
      <w:lvlText w:val="%8."/>
      <w:lvlJc w:val="left"/>
      <w:pPr>
        <w:ind w:left="5760" w:hanging="360"/>
      </w:pPr>
    </w:lvl>
    <w:lvl w:ilvl="8" w:tplc="12A49D20">
      <w:start w:val="1"/>
      <w:numFmt w:val="lowerRoman"/>
      <w:lvlText w:val="%9."/>
      <w:lvlJc w:val="right"/>
      <w:pPr>
        <w:ind w:left="6480" w:hanging="180"/>
      </w:pPr>
    </w:lvl>
  </w:abstractNum>
  <w:num w:numId="1" w16cid:durableId="586618753">
    <w:abstractNumId w:val="18"/>
  </w:num>
  <w:num w:numId="2" w16cid:durableId="1326085875">
    <w:abstractNumId w:val="15"/>
  </w:num>
  <w:num w:numId="3" w16cid:durableId="837959987">
    <w:abstractNumId w:val="6"/>
  </w:num>
  <w:num w:numId="4" w16cid:durableId="1620063367">
    <w:abstractNumId w:val="0"/>
  </w:num>
  <w:num w:numId="5" w16cid:durableId="306474867">
    <w:abstractNumId w:val="13"/>
  </w:num>
  <w:num w:numId="6" w16cid:durableId="669648298">
    <w:abstractNumId w:val="7"/>
  </w:num>
  <w:num w:numId="7" w16cid:durableId="1132215265">
    <w:abstractNumId w:val="9"/>
  </w:num>
  <w:num w:numId="8" w16cid:durableId="1608194676">
    <w:abstractNumId w:val="4"/>
  </w:num>
  <w:num w:numId="9" w16cid:durableId="120535087">
    <w:abstractNumId w:val="3"/>
  </w:num>
  <w:num w:numId="10" w16cid:durableId="1598438296">
    <w:abstractNumId w:val="2"/>
  </w:num>
  <w:num w:numId="11" w16cid:durableId="1755782862">
    <w:abstractNumId w:val="17"/>
  </w:num>
  <w:num w:numId="12" w16cid:durableId="996999794">
    <w:abstractNumId w:val="5"/>
  </w:num>
  <w:num w:numId="13" w16cid:durableId="749276834">
    <w:abstractNumId w:val="1"/>
  </w:num>
  <w:num w:numId="14" w16cid:durableId="24645172">
    <w:abstractNumId w:val="10"/>
  </w:num>
  <w:num w:numId="15" w16cid:durableId="10624867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5008611">
    <w:abstractNumId w:val="16"/>
  </w:num>
  <w:num w:numId="17" w16cid:durableId="859271143">
    <w:abstractNumId w:val="14"/>
  </w:num>
  <w:num w:numId="18" w16cid:durableId="2071733935">
    <w:abstractNumId w:val="12"/>
  </w:num>
  <w:num w:numId="19" w16cid:durableId="107265450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3CB9F4"/>
    <w:rsid w:val="00004447"/>
    <w:rsid w:val="00021AB6"/>
    <w:rsid w:val="0004380D"/>
    <w:rsid w:val="00046782"/>
    <w:rsid w:val="00075663"/>
    <w:rsid w:val="0009100D"/>
    <w:rsid w:val="00092862"/>
    <w:rsid w:val="000942C0"/>
    <w:rsid w:val="000A27D1"/>
    <w:rsid w:val="000A6024"/>
    <w:rsid w:val="000A6A4B"/>
    <w:rsid w:val="000A7CC5"/>
    <w:rsid w:val="000B4DF0"/>
    <w:rsid w:val="000C1DE1"/>
    <w:rsid w:val="000D1DCF"/>
    <w:rsid w:val="000D36A4"/>
    <w:rsid w:val="000E158E"/>
    <w:rsid w:val="000E3006"/>
    <w:rsid w:val="000E49ED"/>
    <w:rsid w:val="000F134B"/>
    <w:rsid w:val="000F50AF"/>
    <w:rsid w:val="000F5D9B"/>
    <w:rsid w:val="000F6DD8"/>
    <w:rsid w:val="00121E30"/>
    <w:rsid w:val="001225A7"/>
    <w:rsid w:val="00126007"/>
    <w:rsid w:val="00130FC4"/>
    <w:rsid w:val="00133292"/>
    <w:rsid w:val="00133B88"/>
    <w:rsid w:val="00145171"/>
    <w:rsid w:val="001459D2"/>
    <w:rsid w:val="00147EEC"/>
    <w:rsid w:val="001576BB"/>
    <w:rsid w:val="00160996"/>
    <w:rsid w:val="00163437"/>
    <w:rsid w:val="001651F7"/>
    <w:rsid w:val="00177B83"/>
    <w:rsid w:val="00180711"/>
    <w:rsid w:val="001807BE"/>
    <w:rsid w:val="001835B6"/>
    <w:rsid w:val="0019748D"/>
    <w:rsid w:val="001B11A4"/>
    <w:rsid w:val="001C0434"/>
    <w:rsid w:val="001D1CB8"/>
    <w:rsid w:val="001D4C16"/>
    <w:rsid w:val="001D4FF8"/>
    <w:rsid w:val="001E156A"/>
    <w:rsid w:val="001E40C7"/>
    <w:rsid w:val="001F2414"/>
    <w:rsid w:val="001F3BB4"/>
    <w:rsid w:val="0021193A"/>
    <w:rsid w:val="002124E1"/>
    <w:rsid w:val="0021287E"/>
    <w:rsid w:val="00217106"/>
    <w:rsid w:val="00217948"/>
    <w:rsid w:val="00217CA8"/>
    <w:rsid w:val="00220174"/>
    <w:rsid w:val="002210C7"/>
    <w:rsid w:val="0023198B"/>
    <w:rsid w:val="00237204"/>
    <w:rsid w:val="00240CF3"/>
    <w:rsid w:val="002449A0"/>
    <w:rsid w:val="00275144"/>
    <w:rsid w:val="00275F9E"/>
    <w:rsid w:val="0027699E"/>
    <w:rsid w:val="002810F4"/>
    <w:rsid w:val="002968C0"/>
    <w:rsid w:val="002B29CD"/>
    <w:rsid w:val="002B34EE"/>
    <w:rsid w:val="002D0539"/>
    <w:rsid w:val="002D5CCB"/>
    <w:rsid w:val="002E1C39"/>
    <w:rsid w:val="002F5000"/>
    <w:rsid w:val="0030049F"/>
    <w:rsid w:val="00307A3B"/>
    <w:rsid w:val="00311196"/>
    <w:rsid w:val="00320D74"/>
    <w:rsid w:val="003261EB"/>
    <w:rsid w:val="003308E8"/>
    <w:rsid w:val="00366057"/>
    <w:rsid w:val="00371790"/>
    <w:rsid w:val="00393767"/>
    <w:rsid w:val="00394715"/>
    <w:rsid w:val="003948E9"/>
    <w:rsid w:val="003964B4"/>
    <w:rsid w:val="003966C5"/>
    <w:rsid w:val="003A1D70"/>
    <w:rsid w:val="003A2A4B"/>
    <w:rsid w:val="003A72AC"/>
    <w:rsid w:val="003B057D"/>
    <w:rsid w:val="003B4663"/>
    <w:rsid w:val="003C61C1"/>
    <w:rsid w:val="003C72AD"/>
    <w:rsid w:val="003E06ED"/>
    <w:rsid w:val="004311D9"/>
    <w:rsid w:val="004516B7"/>
    <w:rsid w:val="004523E5"/>
    <w:rsid w:val="004555DD"/>
    <w:rsid w:val="00455A3B"/>
    <w:rsid w:val="00456C81"/>
    <w:rsid w:val="004625B9"/>
    <w:rsid w:val="00466BFA"/>
    <w:rsid w:val="00483EE9"/>
    <w:rsid w:val="00484E67"/>
    <w:rsid w:val="00492AD0"/>
    <w:rsid w:val="0049300C"/>
    <w:rsid w:val="004A405B"/>
    <w:rsid w:val="004A72A3"/>
    <w:rsid w:val="004B15E2"/>
    <w:rsid w:val="004B1809"/>
    <w:rsid w:val="004B2A4B"/>
    <w:rsid w:val="004B6BD0"/>
    <w:rsid w:val="004C5414"/>
    <w:rsid w:val="004C64F5"/>
    <w:rsid w:val="004D1ABC"/>
    <w:rsid w:val="004D2BE2"/>
    <w:rsid w:val="004E2274"/>
    <w:rsid w:val="004E6360"/>
    <w:rsid w:val="004F14EF"/>
    <w:rsid w:val="005003EF"/>
    <w:rsid w:val="00503B46"/>
    <w:rsid w:val="00504928"/>
    <w:rsid w:val="00543C75"/>
    <w:rsid w:val="00543FE7"/>
    <w:rsid w:val="0054654F"/>
    <w:rsid w:val="00554A8B"/>
    <w:rsid w:val="005612EA"/>
    <w:rsid w:val="00562C97"/>
    <w:rsid w:val="005636A3"/>
    <w:rsid w:val="005819F6"/>
    <w:rsid w:val="00590492"/>
    <w:rsid w:val="005A2ABE"/>
    <w:rsid w:val="005A44B1"/>
    <w:rsid w:val="005B453B"/>
    <w:rsid w:val="005C0779"/>
    <w:rsid w:val="005C2CEF"/>
    <w:rsid w:val="005C52FC"/>
    <w:rsid w:val="005C6C12"/>
    <w:rsid w:val="005D3035"/>
    <w:rsid w:val="005E06BE"/>
    <w:rsid w:val="005F01AD"/>
    <w:rsid w:val="006015B1"/>
    <w:rsid w:val="00605BD2"/>
    <w:rsid w:val="006169CA"/>
    <w:rsid w:val="00636159"/>
    <w:rsid w:val="0064011E"/>
    <w:rsid w:val="0064453C"/>
    <w:rsid w:val="00665450"/>
    <w:rsid w:val="00665C4B"/>
    <w:rsid w:val="00666C57"/>
    <w:rsid w:val="00695B72"/>
    <w:rsid w:val="006B17F9"/>
    <w:rsid w:val="006B5CD0"/>
    <w:rsid w:val="006C0D3C"/>
    <w:rsid w:val="006C6044"/>
    <w:rsid w:val="006E2694"/>
    <w:rsid w:val="006E6ABD"/>
    <w:rsid w:val="006F01CD"/>
    <w:rsid w:val="006F3104"/>
    <w:rsid w:val="007120CC"/>
    <w:rsid w:val="00714943"/>
    <w:rsid w:val="00715EC1"/>
    <w:rsid w:val="00717530"/>
    <w:rsid w:val="00724CD4"/>
    <w:rsid w:val="007323B8"/>
    <w:rsid w:val="00741AB3"/>
    <w:rsid w:val="00747AC6"/>
    <w:rsid w:val="00747E51"/>
    <w:rsid w:val="007577D0"/>
    <w:rsid w:val="00782640"/>
    <w:rsid w:val="00784B82"/>
    <w:rsid w:val="00793ECF"/>
    <w:rsid w:val="007A5B06"/>
    <w:rsid w:val="007B14DA"/>
    <w:rsid w:val="007B6BDD"/>
    <w:rsid w:val="007C1074"/>
    <w:rsid w:val="007C11AA"/>
    <w:rsid w:val="007C4431"/>
    <w:rsid w:val="007C7CB6"/>
    <w:rsid w:val="007E490A"/>
    <w:rsid w:val="007E71AA"/>
    <w:rsid w:val="00802E22"/>
    <w:rsid w:val="00802E49"/>
    <w:rsid w:val="00804773"/>
    <w:rsid w:val="00804870"/>
    <w:rsid w:val="00805C85"/>
    <w:rsid w:val="00814FA5"/>
    <w:rsid w:val="00817239"/>
    <w:rsid w:val="00825BF9"/>
    <w:rsid w:val="00827965"/>
    <w:rsid w:val="00835035"/>
    <w:rsid w:val="00836A15"/>
    <w:rsid w:val="00840401"/>
    <w:rsid w:val="00840D66"/>
    <w:rsid w:val="008434C0"/>
    <w:rsid w:val="0084695C"/>
    <w:rsid w:val="00850136"/>
    <w:rsid w:val="0087197F"/>
    <w:rsid w:val="00871AF7"/>
    <w:rsid w:val="00880911"/>
    <w:rsid w:val="00880FE8"/>
    <w:rsid w:val="0088733A"/>
    <w:rsid w:val="00894CE1"/>
    <w:rsid w:val="0089794B"/>
    <w:rsid w:val="008A5121"/>
    <w:rsid w:val="008A5839"/>
    <w:rsid w:val="008C2B2C"/>
    <w:rsid w:val="008C72E6"/>
    <w:rsid w:val="008E50E8"/>
    <w:rsid w:val="008F06EC"/>
    <w:rsid w:val="008F27CB"/>
    <w:rsid w:val="00904026"/>
    <w:rsid w:val="009068B6"/>
    <w:rsid w:val="0091070E"/>
    <w:rsid w:val="0092017B"/>
    <w:rsid w:val="00926E48"/>
    <w:rsid w:val="009355FC"/>
    <w:rsid w:val="0094035D"/>
    <w:rsid w:val="009406C2"/>
    <w:rsid w:val="009465B5"/>
    <w:rsid w:val="00946CEA"/>
    <w:rsid w:val="00957DDD"/>
    <w:rsid w:val="00964E92"/>
    <w:rsid w:val="009672B9"/>
    <w:rsid w:val="00970045"/>
    <w:rsid w:val="009704B6"/>
    <w:rsid w:val="00971CC5"/>
    <w:rsid w:val="00973310"/>
    <w:rsid w:val="009740EE"/>
    <w:rsid w:val="00974EEE"/>
    <w:rsid w:val="00982967"/>
    <w:rsid w:val="009A07EF"/>
    <w:rsid w:val="009B503A"/>
    <w:rsid w:val="009F1C4E"/>
    <w:rsid w:val="009F7F07"/>
    <w:rsid w:val="00A13073"/>
    <w:rsid w:val="00A13CFB"/>
    <w:rsid w:val="00A14163"/>
    <w:rsid w:val="00A170BF"/>
    <w:rsid w:val="00A25A11"/>
    <w:rsid w:val="00A35C60"/>
    <w:rsid w:val="00A531F4"/>
    <w:rsid w:val="00A744E8"/>
    <w:rsid w:val="00A80259"/>
    <w:rsid w:val="00A92E88"/>
    <w:rsid w:val="00A96A7F"/>
    <w:rsid w:val="00AA2761"/>
    <w:rsid w:val="00AB10E0"/>
    <w:rsid w:val="00AC48CC"/>
    <w:rsid w:val="00AE2B22"/>
    <w:rsid w:val="00AE799A"/>
    <w:rsid w:val="00B036A8"/>
    <w:rsid w:val="00B05863"/>
    <w:rsid w:val="00B2238F"/>
    <w:rsid w:val="00B27E0C"/>
    <w:rsid w:val="00B3646C"/>
    <w:rsid w:val="00B44827"/>
    <w:rsid w:val="00B474AD"/>
    <w:rsid w:val="00B56AAD"/>
    <w:rsid w:val="00B630D7"/>
    <w:rsid w:val="00B656E1"/>
    <w:rsid w:val="00B8364E"/>
    <w:rsid w:val="00B83CBF"/>
    <w:rsid w:val="00B9771B"/>
    <w:rsid w:val="00BA0DAE"/>
    <w:rsid w:val="00BA0EE5"/>
    <w:rsid w:val="00BC6395"/>
    <w:rsid w:val="00BE1A06"/>
    <w:rsid w:val="00BE6CF2"/>
    <w:rsid w:val="00C038C8"/>
    <w:rsid w:val="00C0798F"/>
    <w:rsid w:val="00C22F5B"/>
    <w:rsid w:val="00C2722D"/>
    <w:rsid w:val="00C3029E"/>
    <w:rsid w:val="00C36622"/>
    <w:rsid w:val="00C52B45"/>
    <w:rsid w:val="00C53B73"/>
    <w:rsid w:val="00C54F45"/>
    <w:rsid w:val="00C6014B"/>
    <w:rsid w:val="00C6271E"/>
    <w:rsid w:val="00C71E67"/>
    <w:rsid w:val="00C7291D"/>
    <w:rsid w:val="00C8017E"/>
    <w:rsid w:val="00C82134"/>
    <w:rsid w:val="00C822FB"/>
    <w:rsid w:val="00CA08E9"/>
    <w:rsid w:val="00CA2B00"/>
    <w:rsid w:val="00CA386B"/>
    <w:rsid w:val="00CA75B7"/>
    <w:rsid w:val="00CB218A"/>
    <w:rsid w:val="00CB5351"/>
    <w:rsid w:val="00CC4220"/>
    <w:rsid w:val="00CC45B4"/>
    <w:rsid w:val="00CC751A"/>
    <w:rsid w:val="00CF4224"/>
    <w:rsid w:val="00D04691"/>
    <w:rsid w:val="00D074D7"/>
    <w:rsid w:val="00D14240"/>
    <w:rsid w:val="00D231C1"/>
    <w:rsid w:val="00D314EE"/>
    <w:rsid w:val="00D3489F"/>
    <w:rsid w:val="00D373AA"/>
    <w:rsid w:val="00D4061D"/>
    <w:rsid w:val="00D41EDD"/>
    <w:rsid w:val="00D508B8"/>
    <w:rsid w:val="00D5299C"/>
    <w:rsid w:val="00D75531"/>
    <w:rsid w:val="00D815E5"/>
    <w:rsid w:val="00D82D38"/>
    <w:rsid w:val="00D837F3"/>
    <w:rsid w:val="00D879B5"/>
    <w:rsid w:val="00D93803"/>
    <w:rsid w:val="00DA190E"/>
    <w:rsid w:val="00DA2163"/>
    <w:rsid w:val="00DA28A7"/>
    <w:rsid w:val="00DA3C38"/>
    <w:rsid w:val="00DA408F"/>
    <w:rsid w:val="00DA4787"/>
    <w:rsid w:val="00DB441F"/>
    <w:rsid w:val="00DC7043"/>
    <w:rsid w:val="00DC7090"/>
    <w:rsid w:val="00DD270F"/>
    <w:rsid w:val="00DE4779"/>
    <w:rsid w:val="00DF4DCE"/>
    <w:rsid w:val="00E11A96"/>
    <w:rsid w:val="00E14CBC"/>
    <w:rsid w:val="00E16730"/>
    <w:rsid w:val="00E26707"/>
    <w:rsid w:val="00E307CF"/>
    <w:rsid w:val="00E52F89"/>
    <w:rsid w:val="00E54600"/>
    <w:rsid w:val="00E61E3E"/>
    <w:rsid w:val="00E708D6"/>
    <w:rsid w:val="00E75B28"/>
    <w:rsid w:val="00E83EEA"/>
    <w:rsid w:val="00E925B1"/>
    <w:rsid w:val="00EB448F"/>
    <w:rsid w:val="00EC218E"/>
    <w:rsid w:val="00ED28EB"/>
    <w:rsid w:val="00ED68F5"/>
    <w:rsid w:val="00EF0B6C"/>
    <w:rsid w:val="00EF1854"/>
    <w:rsid w:val="00EF6C47"/>
    <w:rsid w:val="00F0147A"/>
    <w:rsid w:val="00F03B10"/>
    <w:rsid w:val="00F051F3"/>
    <w:rsid w:val="00F07192"/>
    <w:rsid w:val="00F1350E"/>
    <w:rsid w:val="00F221A3"/>
    <w:rsid w:val="00F40C2E"/>
    <w:rsid w:val="00F43232"/>
    <w:rsid w:val="00F443DF"/>
    <w:rsid w:val="00F60E58"/>
    <w:rsid w:val="00F61AEC"/>
    <w:rsid w:val="00F6792C"/>
    <w:rsid w:val="00F771F8"/>
    <w:rsid w:val="00F81936"/>
    <w:rsid w:val="00F82821"/>
    <w:rsid w:val="00F82B70"/>
    <w:rsid w:val="00FA3F27"/>
    <w:rsid w:val="00FB1F6F"/>
    <w:rsid w:val="00FB5B6B"/>
    <w:rsid w:val="00FC4308"/>
    <w:rsid w:val="00FD0307"/>
    <w:rsid w:val="00FD49A5"/>
    <w:rsid w:val="00FE3D5C"/>
    <w:rsid w:val="00FE5A9D"/>
    <w:rsid w:val="00FE7D24"/>
    <w:rsid w:val="00FF0F2D"/>
    <w:rsid w:val="00FF184C"/>
    <w:rsid w:val="00FF4792"/>
    <w:rsid w:val="0105DD81"/>
    <w:rsid w:val="013DFB44"/>
    <w:rsid w:val="01BDD89A"/>
    <w:rsid w:val="01DC8280"/>
    <w:rsid w:val="02AC7E9A"/>
    <w:rsid w:val="0486AF0B"/>
    <w:rsid w:val="04926D8C"/>
    <w:rsid w:val="05E944E3"/>
    <w:rsid w:val="0626B658"/>
    <w:rsid w:val="062BD6EC"/>
    <w:rsid w:val="0693C5AE"/>
    <w:rsid w:val="0769EEC0"/>
    <w:rsid w:val="07940AF4"/>
    <w:rsid w:val="0ACBA08C"/>
    <w:rsid w:val="0BC1FEED"/>
    <w:rsid w:val="0F7DE23C"/>
    <w:rsid w:val="10829096"/>
    <w:rsid w:val="10BCE345"/>
    <w:rsid w:val="12EF1D8D"/>
    <w:rsid w:val="151C5D37"/>
    <w:rsid w:val="1527D89D"/>
    <w:rsid w:val="15E5F88A"/>
    <w:rsid w:val="1630F479"/>
    <w:rsid w:val="16E50AF8"/>
    <w:rsid w:val="178879C2"/>
    <w:rsid w:val="1BD601C7"/>
    <w:rsid w:val="1BED1CFE"/>
    <w:rsid w:val="1CA8388A"/>
    <w:rsid w:val="1E3CB9F4"/>
    <w:rsid w:val="1E3E73F3"/>
    <w:rsid w:val="1ED7BF2A"/>
    <w:rsid w:val="1F225501"/>
    <w:rsid w:val="1F49A076"/>
    <w:rsid w:val="2111728C"/>
    <w:rsid w:val="2214770C"/>
    <w:rsid w:val="22BECAB4"/>
    <w:rsid w:val="231684A5"/>
    <w:rsid w:val="24B8A4E6"/>
    <w:rsid w:val="26F2B5A8"/>
    <w:rsid w:val="2893D3E4"/>
    <w:rsid w:val="2B7AB2E0"/>
    <w:rsid w:val="2BA5BFBA"/>
    <w:rsid w:val="2C45BF7C"/>
    <w:rsid w:val="2ED74B0C"/>
    <w:rsid w:val="2FEE6551"/>
    <w:rsid w:val="30DD6160"/>
    <w:rsid w:val="31C52D2C"/>
    <w:rsid w:val="3221B263"/>
    <w:rsid w:val="3253A8CF"/>
    <w:rsid w:val="32E1C4F0"/>
    <w:rsid w:val="3456C8DD"/>
    <w:rsid w:val="356B72CC"/>
    <w:rsid w:val="35AA5267"/>
    <w:rsid w:val="367B638F"/>
    <w:rsid w:val="3806F9F3"/>
    <w:rsid w:val="396CB0FA"/>
    <w:rsid w:val="39D1B8E1"/>
    <w:rsid w:val="39FEA4DF"/>
    <w:rsid w:val="3C0EAA6C"/>
    <w:rsid w:val="3C5400B0"/>
    <w:rsid w:val="3CE66AB0"/>
    <w:rsid w:val="3D2132DC"/>
    <w:rsid w:val="3E8D10F0"/>
    <w:rsid w:val="3F05C879"/>
    <w:rsid w:val="3F3C3C4B"/>
    <w:rsid w:val="403048D6"/>
    <w:rsid w:val="40491EC3"/>
    <w:rsid w:val="422887FD"/>
    <w:rsid w:val="45FEEEFA"/>
    <w:rsid w:val="46EF98FE"/>
    <w:rsid w:val="47AF0947"/>
    <w:rsid w:val="47DA8F8E"/>
    <w:rsid w:val="484721AE"/>
    <w:rsid w:val="4BF33077"/>
    <w:rsid w:val="4C0BFBB0"/>
    <w:rsid w:val="4CBABE26"/>
    <w:rsid w:val="4D81DCD4"/>
    <w:rsid w:val="4D90C995"/>
    <w:rsid w:val="4FBE3194"/>
    <w:rsid w:val="51A982AA"/>
    <w:rsid w:val="5215351A"/>
    <w:rsid w:val="5255A666"/>
    <w:rsid w:val="54539CA4"/>
    <w:rsid w:val="54AD78CD"/>
    <w:rsid w:val="55549AA9"/>
    <w:rsid w:val="56E647D1"/>
    <w:rsid w:val="575F818A"/>
    <w:rsid w:val="579AF698"/>
    <w:rsid w:val="58BCC4FD"/>
    <w:rsid w:val="58D6E743"/>
    <w:rsid w:val="5907C649"/>
    <w:rsid w:val="59709284"/>
    <w:rsid w:val="5A66B6A2"/>
    <w:rsid w:val="5B459EE0"/>
    <w:rsid w:val="5B9E4C2E"/>
    <w:rsid w:val="5F78186C"/>
    <w:rsid w:val="6065FEB3"/>
    <w:rsid w:val="60C63DA0"/>
    <w:rsid w:val="612D766B"/>
    <w:rsid w:val="639752D0"/>
    <w:rsid w:val="641A7F8A"/>
    <w:rsid w:val="64BAB4C6"/>
    <w:rsid w:val="64E721EE"/>
    <w:rsid w:val="64E88364"/>
    <w:rsid w:val="669DEAAD"/>
    <w:rsid w:val="66ABD506"/>
    <w:rsid w:val="66C83D34"/>
    <w:rsid w:val="66DF0CAB"/>
    <w:rsid w:val="67495043"/>
    <w:rsid w:val="6801D475"/>
    <w:rsid w:val="6825D29F"/>
    <w:rsid w:val="698A3DF1"/>
    <w:rsid w:val="6A830E03"/>
    <w:rsid w:val="6AE39FF3"/>
    <w:rsid w:val="6BEA49F2"/>
    <w:rsid w:val="6C560D35"/>
    <w:rsid w:val="6D11BE04"/>
    <w:rsid w:val="70CAC394"/>
    <w:rsid w:val="722E4699"/>
    <w:rsid w:val="7281DB15"/>
    <w:rsid w:val="72918887"/>
    <w:rsid w:val="733ED2E1"/>
    <w:rsid w:val="73B118C0"/>
    <w:rsid w:val="73C4DEDF"/>
    <w:rsid w:val="7488C398"/>
    <w:rsid w:val="76866C9B"/>
    <w:rsid w:val="7AAF9B8A"/>
    <w:rsid w:val="7B10DE9F"/>
    <w:rsid w:val="7C59A770"/>
    <w:rsid w:val="7E76CCFC"/>
    <w:rsid w:val="7F6B365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CB9F4"/>
  <w15:chartTrackingRefBased/>
  <w15:docId w15:val="{7D064065-1F61-420E-A1F6-7006CA546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261EB"/>
    <w:pPr>
      <w:keepNext/>
      <w:keepLines/>
      <w:numPr>
        <w:numId w:val="18"/>
      </w:numPr>
      <w:spacing w:before="160" w:after="80"/>
      <w:outlineLvl w:val="1"/>
    </w:pPr>
    <w:rPr>
      <w:rFonts w:ascii="Arial" w:eastAsiaTheme="majorEastAsia" w:hAnsi="Arial" w:cs="Arial"/>
      <w:b/>
      <w:bCs/>
    </w:rPr>
  </w:style>
  <w:style w:type="paragraph" w:styleId="Heading3">
    <w:name w:val="heading 3"/>
    <w:basedOn w:val="Normal"/>
    <w:next w:val="Normal"/>
    <w:link w:val="Heading3Char"/>
    <w:uiPriority w:val="9"/>
    <w:unhideWhenUsed/>
    <w:qFormat/>
    <w:rsid w:val="003261EB"/>
    <w:pPr>
      <w:keepNext/>
      <w:keepLines/>
      <w:numPr>
        <w:numId w:val="19"/>
      </w:numPr>
      <w:spacing w:before="160" w:after="80"/>
      <w:outlineLvl w:val="2"/>
    </w:pPr>
    <w:rPr>
      <w:rFonts w:ascii="Arial" w:eastAsiaTheme="majorEastAsia" w:hAnsi="Arial" w:cs="Arial"/>
      <w:i/>
      <w:iCs/>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261EB"/>
    <w:rPr>
      <w:rFonts w:ascii="Arial" w:eastAsiaTheme="majorEastAsia" w:hAnsi="Arial" w:cs="Arial"/>
      <w:b/>
      <w:bCs/>
    </w:rPr>
  </w:style>
  <w:style w:type="character" w:customStyle="1" w:styleId="Heading3Char">
    <w:name w:val="Heading 3 Char"/>
    <w:basedOn w:val="DefaultParagraphFont"/>
    <w:link w:val="Heading3"/>
    <w:uiPriority w:val="9"/>
    <w:rsid w:val="003261EB"/>
    <w:rPr>
      <w:rFonts w:ascii="Arial" w:eastAsiaTheme="majorEastAsia" w:hAnsi="Arial" w:cs="Arial"/>
      <w:i/>
      <w:iCs/>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814F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FA5"/>
  </w:style>
  <w:style w:type="paragraph" w:styleId="Footer">
    <w:name w:val="footer"/>
    <w:basedOn w:val="Normal"/>
    <w:link w:val="FooterChar"/>
    <w:uiPriority w:val="99"/>
    <w:unhideWhenUsed/>
    <w:rsid w:val="00814F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FA5"/>
  </w:style>
  <w:style w:type="character" w:styleId="FollowedHyperlink">
    <w:name w:val="FollowedHyperlink"/>
    <w:basedOn w:val="DefaultParagraphFont"/>
    <w:uiPriority w:val="99"/>
    <w:semiHidden/>
    <w:unhideWhenUsed/>
    <w:rsid w:val="00A14163"/>
    <w:rPr>
      <w:color w:val="96607D" w:themeColor="followedHyperlink"/>
      <w:u w:val="single"/>
    </w:rPr>
  </w:style>
  <w:style w:type="character" w:styleId="UnresolvedMention">
    <w:name w:val="Unresolved Mention"/>
    <w:basedOn w:val="DefaultParagraphFont"/>
    <w:uiPriority w:val="99"/>
    <w:semiHidden/>
    <w:unhideWhenUsed/>
    <w:rsid w:val="00741AB3"/>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0E49ED"/>
    <w:rPr>
      <w:b/>
      <w:bCs/>
    </w:rPr>
  </w:style>
  <w:style w:type="character" w:customStyle="1" w:styleId="CommentSubjectChar">
    <w:name w:val="Comment Subject Char"/>
    <w:basedOn w:val="CommentTextChar"/>
    <w:link w:val="CommentSubject"/>
    <w:uiPriority w:val="99"/>
    <w:semiHidden/>
    <w:rsid w:val="000E49ED"/>
    <w:rPr>
      <w:b/>
      <w:bCs/>
      <w:sz w:val="20"/>
      <w:szCs w:val="20"/>
    </w:rPr>
  </w:style>
  <w:style w:type="paragraph" w:styleId="Revision">
    <w:name w:val="Revision"/>
    <w:hidden/>
    <w:uiPriority w:val="99"/>
    <w:semiHidden/>
    <w:rsid w:val="004B6BD0"/>
    <w:pPr>
      <w:spacing w:after="0" w:line="240" w:lineRule="auto"/>
    </w:pPr>
  </w:style>
  <w:style w:type="character" w:styleId="EndnoteReference">
    <w:name w:val="endnote reference"/>
    <w:basedOn w:val="DefaultParagraphFont"/>
    <w:uiPriority w:val="99"/>
    <w:semiHidden/>
    <w:unhideWhenUsed/>
    <w:rPr>
      <w:vertAlign w:val="superscript"/>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normaltextrun">
    <w:name w:val="normaltextrun"/>
    <w:basedOn w:val="DefaultParagraphFont"/>
    <w:rsid w:val="00880FE8"/>
  </w:style>
  <w:style w:type="character" w:customStyle="1" w:styleId="eop">
    <w:name w:val="eop"/>
    <w:basedOn w:val="DefaultParagraphFont"/>
    <w:rsid w:val="00880FE8"/>
  </w:style>
  <w:style w:type="paragraph" w:styleId="TOCHeading">
    <w:name w:val="TOC Heading"/>
    <w:basedOn w:val="Heading1"/>
    <w:next w:val="Normal"/>
    <w:uiPriority w:val="39"/>
    <w:unhideWhenUsed/>
    <w:qFormat/>
    <w:rsid w:val="00827965"/>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827965"/>
    <w:pPr>
      <w:spacing w:after="100"/>
    </w:pPr>
  </w:style>
  <w:style w:type="paragraph" w:styleId="TOC2">
    <w:name w:val="toc 2"/>
    <w:basedOn w:val="Normal"/>
    <w:next w:val="Normal"/>
    <w:autoRedefine/>
    <w:uiPriority w:val="39"/>
    <w:unhideWhenUsed/>
    <w:rsid w:val="00827965"/>
    <w:pPr>
      <w:spacing w:after="100"/>
      <w:ind w:left="240"/>
    </w:pPr>
  </w:style>
  <w:style w:type="paragraph" w:styleId="TOC3">
    <w:name w:val="toc 3"/>
    <w:basedOn w:val="Normal"/>
    <w:next w:val="Normal"/>
    <w:autoRedefine/>
    <w:uiPriority w:val="39"/>
    <w:unhideWhenUsed/>
    <w:rsid w:val="00145171"/>
    <w:pPr>
      <w:tabs>
        <w:tab w:val="right" w:leader="dot" w:pos="9350"/>
      </w:tabs>
      <w:spacing w:after="100"/>
      <w:ind w:left="480"/>
    </w:pPr>
    <w:rPr>
      <w:rFonts w:ascii="Arial" w:hAnsi="Arial" w:cs="Arial"/>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764153">
      <w:bodyDiv w:val="1"/>
      <w:marLeft w:val="0"/>
      <w:marRight w:val="0"/>
      <w:marTop w:val="0"/>
      <w:marBottom w:val="0"/>
      <w:divBdr>
        <w:top w:val="none" w:sz="0" w:space="0" w:color="auto"/>
        <w:left w:val="none" w:sz="0" w:space="0" w:color="auto"/>
        <w:bottom w:val="none" w:sz="0" w:space="0" w:color="auto"/>
        <w:right w:val="none" w:sz="0" w:space="0" w:color="auto"/>
      </w:divBdr>
    </w:div>
    <w:div w:id="527790566">
      <w:bodyDiv w:val="1"/>
      <w:marLeft w:val="0"/>
      <w:marRight w:val="0"/>
      <w:marTop w:val="0"/>
      <w:marBottom w:val="0"/>
      <w:divBdr>
        <w:top w:val="none" w:sz="0" w:space="0" w:color="auto"/>
        <w:left w:val="none" w:sz="0" w:space="0" w:color="auto"/>
        <w:bottom w:val="none" w:sz="0" w:space="0" w:color="auto"/>
        <w:right w:val="none" w:sz="0" w:space="0" w:color="auto"/>
      </w:divBdr>
    </w:div>
    <w:div w:id="557934654">
      <w:bodyDiv w:val="1"/>
      <w:marLeft w:val="0"/>
      <w:marRight w:val="0"/>
      <w:marTop w:val="0"/>
      <w:marBottom w:val="0"/>
      <w:divBdr>
        <w:top w:val="none" w:sz="0" w:space="0" w:color="auto"/>
        <w:left w:val="none" w:sz="0" w:space="0" w:color="auto"/>
        <w:bottom w:val="none" w:sz="0" w:space="0" w:color="auto"/>
        <w:right w:val="none" w:sz="0" w:space="0" w:color="auto"/>
      </w:divBdr>
    </w:div>
    <w:div w:id="854422607">
      <w:bodyDiv w:val="1"/>
      <w:marLeft w:val="0"/>
      <w:marRight w:val="0"/>
      <w:marTop w:val="0"/>
      <w:marBottom w:val="0"/>
      <w:divBdr>
        <w:top w:val="none" w:sz="0" w:space="0" w:color="auto"/>
        <w:left w:val="none" w:sz="0" w:space="0" w:color="auto"/>
        <w:bottom w:val="none" w:sz="0" w:space="0" w:color="auto"/>
        <w:right w:val="none" w:sz="0" w:space="0" w:color="auto"/>
      </w:divBdr>
    </w:div>
    <w:div w:id="1447886903">
      <w:bodyDiv w:val="1"/>
      <w:marLeft w:val="0"/>
      <w:marRight w:val="0"/>
      <w:marTop w:val="0"/>
      <w:marBottom w:val="0"/>
      <w:divBdr>
        <w:top w:val="none" w:sz="0" w:space="0" w:color="auto"/>
        <w:left w:val="none" w:sz="0" w:space="0" w:color="auto"/>
        <w:bottom w:val="none" w:sz="0" w:space="0" w:color="auto"/>
        <w:right w:val="none" w:sz="0" w:space="0" w:color="auto"/>
      </w:divBdr>
    </w:div>
    <w:div w:id="1458834510">
      <w:bodyDiv w:val="1"/>
      <w:marLeft w:val="0"/>
      <w:marRight w:val="0"/>
      <w:marTop w:val="0"/>
      <w:marBottom w:val="0"/>
      <w:divBdr>
        <w:top w:val="none" w:sz="0" w:space="0" w:color="auto"/>
        <w:left w:val="none" w:sz="0" w:space="0" w:color="auto"/>
        <w:bottom w:val="none" w:sz="0" w:space="0" w:color="auto"/>
        <w:right w:val="none" w:sz="0" w:space="0" w:color="auto"/>
      </w:divBdr>
    </w:div>
    <w:div w:id="1581061499">
      <w:bodyDiv w:val="1"/>
      <w:marLeft w:val="0"/>
      <w:marRight w:val="0"/>
      <w:marTop w:val="0"/>
      <w:marBottom w:val="0"/>
      <w:divBdr>
        <w:top w:val="none" w:sz="0" w:space="0" w:color="auto"/>
        <w:left w:val="none" w:sz="0" w:space="0" w:color="auto"/>
        <w:bottom w:val="none" w:sz="0" w:space="0" w:color="auto"/>
        <w:right w:val="none" w:sz="0" w:space="0" w:color="auto"/>
      </w:divBdr>
    </w:div>
    <w:div w:id="1620263610">
      <w:bodyDiv w:val="1"/>
      <w:marLeft w:val="0"/>
      <w:marRight w:val="0"/>
      <w:marTop w:val="0"/>
      <w:marBottom w:val="0"/>
      <w:divBdr>
        <w:top w:val="none" w:sz="0" w:space="0" w:color="auto"/>
        <w:left w:val="none" w:sz="0" w:space="0" w:color="auto"/>
        <w:bottom w:val="none" w:sz="0" w:space="0" w:color="auto"/>
        <w:right w:val="none" w:sz="0" w:space="0" w:color="auto"/>
      </w:divBdr>
    </w:div>
    <w:div w:id="1653412602">
      <w:bodyDiv w:val="1"/>
      <w:marLeft w:val="0"/>
      <w:marRight w:val="0"/>
      <w:marTop w:val="0"/>
      <w:marBottom w:val="0"/>
      <w:divBdr>
        <w:top w:val="none" w:sz="0" w:space="0" w:color="auto"/>
        <w:left w:val="none" w:sz="0" w:space="0" w:color="auto"/>
        <w:bottom w:val="none" w:sz="0" w:space="0" w:color="auto"/>
        <w:right w:val="none" w:sz="0" w:space="0" w:color="auto"/>
      </w:divBdr>
    </w:div>
    <w:div w:id="1715301405">
      <w:bodyDiv w:val="1"/>
      <w:marLeft w:val="0"/>
      <w:marRight w:val="0"/>
      <w:marTop w:val="0"/>
      <w:marBottom w:val="0"/>
      <w:divBdr>
        <w:top w:val="none" w:sz="0" w:space="0" w:color="auto"/>
        <w:left w:val="none" w:sz="0" w:space="0" w:color="auto"/>
        <w:bottom w:val="none" w:sz="0" w:space="0" w:color="auto"/>
        <w:right w:val="none" w:sz="0" w:space="0" w:color="auto"/>
      </w:divBdr>
    </w:div>
    <w:div w:id="1791582078">
      <w:bodyDiv w:val="1"/>
      <w:marLeft w:val="0"/>
      <w:marRight w:val="0"/>
      <w:marTop w:val="0"/>
      <w:marBottom w:val="0"/>
      <w:divBdr>
        <w:top w:val="none" w:sz="0" w:space="0" w:color="auto"/>
        <w:left w:val="none" w:sz="0" w:space="0" w:color="auto"/>
        <w:bottom w:val="none" w:sz="0" w:space="0" w:color="auto"/>
        <w:right w:val="none" w:sz="0" w:space="0" w:color="auto"/>
      </w:divBdr>
    </w:div>
    <w:div w:id="2137522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ws-lois.justice.gc.ca/eng/acts/P-16.81"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omenshomelessness.ca/humanrightsclaim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nwac.ca/assets-knowledge-centre/FEDERAL_ANNUAL_SCORECARD_ACTIONPLAN_2022_2022-06-03-132116_mfnq.pdf" TargetMode="External"/><Relationship Id="rId13" Type="http://schemas.openxmlformats.org/officeDocument/2006/relationships/hyperlink" Target="https://womenshomelessness.ca/wp-content/uploads/State-of-Womens-Homelessness-Literature-Review.pdf" TargetMode="External"/><Relationship Id="rId18" Type="http://schemas.openxmlformats.org/officeDocument/2006/relationships/hyperlink" Target="https://housingrightscanada.com/wp-content/uploads/2022/08/CERA-CSWSubmission-July2021-final.pdf" TargetMode="External"/><Relationship Id="rId3" Type="http://schemas.openxmlformats.org/officeDocument/2006/relationships/hyperlink" Target="https://www.cbc.ca/newsinteractives/features/cfj-report-cards/cfj1" TargetMode="External"/><Relationship Id="rId21" Type="http://schemas.openxmlformats.org/officeDocument/2006/relationships/hyperlink" Target="https://womenshomelessness.ca/wp-content/uploads/WNHHN-Housing-Claim-14-June-2022.pdf" TargetMode="External"/><Relationship Id="rId7" Type="http://schemas.openxmlformats.org/officeDocument/2006/relationships/hyperlink" Target="https://www.cbc.ca/news/indigenous/indigenous-federal-budget-asks-1.6792785" TargetMode="External"/><Relationship Id="rId12" Type="http://schemas.openxmlformats.org/officeDocument/2006/relationships/hyperlink" Target="https://womenshomelessness.ca/humanrightsclaims/" TargetMode="External"/><Relationship Id="rId17" Type="http://schemas.openxmlformats.org/officeDocument/2006/relationships/hyperlink" Target="https://doi.org/10.25318/1410035301-eng" TargetMode="External"/><Relationship Id="rId2" Type="http://schemas.openxmlformats.org/officeDocument/2006/relationships/hyperlink" Target="https://womenshomelessness.ca/wp-content/uploads/Indigenous-Housing-Claim-June-15-2022.pdf" TargetMode="External"/><Relationship Id="rId16" Type="http://schemas.openxmlformats.org/officeDocument/2006/relationships/hyperlink" Target="https://womenshomelessness.ca/wp-content/uploads/Key-Findings-State-of-Womens-Homelessness.pdf" TargetMode="External"/><Relationship Id="rId20" Type="http://schemas.openxmlformats.org/officeDocument/2006/relationships/hyperlink" Target="https://housingrightscanada.com/wp-content/uploads/2022/08/CERA-CSWSubmission-July2021-final.pdf" TargetMode="External"/><Relationship Id="rId1" Type="http://schemas.openxmlformats.org/officeDocument/2006/relationships/hyperlink" Target="https://womenshomelessness.ca/wp-content/uploads/Indigenous-Housing-Claim-June-15-2022.pdf" TargetMode="External"/><Relationship Id="rId6" Type="http://schemas.openxmlformats.org/officeDocument/2006/relationships/hyperlink" Target="https://www.cmhc-schl.gc.ca/professionals/project-funding-and-mortgage-financing/funding-programs/indigenous/urban-rural-northern-indigenous-housing-strategy" TargetMode="External"/><Relationship Id="rId11" Type="http://schemas.openxmlformats.org/officeDocument/2006/relationships/hyperlink" Target="https://womenshomelessness.ca/wp-content/uploads/EN-Pan-Canadian-Womens-Housing-Homelessness-Survey-FINAL-28-Sept-2021.pdf" TargetMode="External"/><Relationship Id="rId5" Type="http://schemas.openxmlformats.org/officeDocument/2006/relationships/hyperlink" Target="https://metiswomen.org/wp-content/uploads/2021/06/Housing-Literature-Review-converted.pdf" TargetMode="External"/><Relationship Id="rId15" Type="http://schemas.openxmlformats.org/officeDocument/2006/relationships/hyperlink" Target="https://www150.statcan.gc.ca/n1/pub/85-002-x/2019001/article/00018/02-eng.htm" TargetMode="External"/><Relationship Id="rId23" Type="http://schemas.openxmlformats.org/officeDocument/2006/relationships/hyperlink" Target="https://womenshomelessness.ca/wp-content/uploads/An-Intersectional-Feminist-Housing-Agenda.pdf" TargetMode="External"/><Relationship Id="rId10" Type="http://schemas.openxmlformats.org/officeDocument/2006/relationships/hyperlink" Target="https://metiswomen.org/wp-content/uploads/2021/06/Housing-Literature-Review-converted.pdf" TargetMode="External"/><Relationship Id="rId19" Type="http://schemas.openxmlformats.org/officeDocument/2006/relationships/hyperlink" Target="https://www.hilltimes.com/story/2024/06/10/national-housing-councils-missed-opportunity/424530/" TargetMode="External"/><Relationship Id="rId4" Type="http://schemas.openxmlformats.org/officeDocument/2006/relationships/hyperlink" Target="https://www.cbc.ca/news/politics/indigenous-womens-shelters-103-million-1.6836034" TargetMode="External"/><Relationship Id="rId9" Type="http://schemas.openxmlformats.org/officeDocument/2006/relationships/hyperlink" Target="https://cms.nhc-cnl.ca/media/PDFs/report-recommendations-minister-housing-diversity-inclusion-urban-rural-nih-en.pdf" TargetMode="External"/><Relationship Id="rId14" Type="http://schemas.openxmlformats.org/officeDocument/2006/relationships/hyperlink" Target="https://endvaw.ca/wp-content/uploads/2017/09/Housing-Homelessness-and-VAW-Discussion-Paper-Aug-2017.pdf" TargetMode="External"/><Relationship Id="rId22" Type="http://schemas.openxmlformats.org/officeDocument/2006/relationships/hyperlink" Target="https://womenshomelessness.ca/budget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9926d6b-938b-4af7-b041-aee0d57e6e3d">
      <Terms xmlns="http://schemas.microsoft.com/office/infopath/2007/PartnerControls"/>
    </lcf76f155ced4ddcb4097134ff3c332f>
    <TaxCatchAll xmlns="985ec44e-1bab-4c0b-9df0-6ba128686fc9" xsi:nil="true"/>
    <Document_x0020_Date xmlns="985ec44e-1bab-4c0b-9df0-6ba128686fc9">2024-09-17T07:10:51+00:00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82522A9-1784-4EF4-850F-2CF1A3356640}">
  <ds:schemaRefs>
    <ds:schemaRef ds:uri="http://schemas.microsoft.com/sharepoint/v3/contenttype/forms"/>
  </ds:schemaRefs>
</ds:datastoreItem>
</file>

<file path=customXml/itemProps2.xml><?xml version="1.0" encoding="utf-8"?>
<ds:datastoreItem xmlns:ds="http://schemas.openxmlformats.org/officeDocument/2006/customXml" ds:itemID="{57CB040C-465F-449B-9384-74DAE380138A}"/>
</file>

<file path=customXml/itemProps3.xml><?xml version="1.0" encoding="utf-8"?>
<ds:datastoreItem xmlns:ds="http://schemas.openxmlformats.org/officeDocument/2006/customXml" ds:itemID="{FDA66583-C42F-4738-A951-4548E792D0BB}">
  <ds:schemaRefs>
    <ds:schemaRef ds:uri="http://schemas.openxmlformats.org/officeDocument/2006/bibliography"/>
  </ds:schemaRefs>
</ds:datastoreItem>
</file>

<file path=customXml/itemProps4.xml><?xml version="1.0" encoding="utf-8"?>
<ds:datastoreItem xmlns:ds="http://schemas.openxmlformats.org/officeDocument/2006/customXml" ds:itemID="{AB33A916-07AA-491D-AF45-23846416F1A8}">
  <ds:schemaRefs>
    <ds:schemaRef ds:uri="http://schemas.microsoft.com/office/2006/metadata/properties"/>
    <ds:schemaRef ds:uri="http://schemas.microsoft.com/office/infopath/2007/PartnerControls"/>
    <ds:schemaRef ds:uri="4ebe5f28-4db5-4aba-81dd-ff20caa6c2c5"/>
    <ds:schemaRef ds:uri="dafbecd6-5b90-4e30-a018-27bbbca0616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5704</Words>
  <Characters>32515</Characters>
  <Application>Microsoft Office Word</Application>
  <DocSecurity>0</DocSecurity>
  <Lines>270</Lines>
  <Paragraphs>76</Paragraphs>
  <ScaleCrop>false</ScaleCrop>
  <Company/>
  <LinksUpToDate>false</LinksUpToDate>
  <CharactersWithSpaces>38143</CharactersWithSpaces>
  <SharedDoc>false</SharedDoc>
  <HLinks>
    <vt:vector size="198" baseType="variant">
      <vt:variant>
        <vt:i4>4456524</vt:i4>
      </vt:variant>
      <vt:variant>
        <vt:i4>54</vt:i4>
      </vt:variant>
      <vt:variant>
        <vt:i4>0</vt:i4>
      </vt:variant>
      <vt:variant>
        <vt:i4>5</vt:i4>
      </vt:variant>
      <vt:variant>
        <vt:lpwstr>https://laws-lois.justice.gc.ca/eng/acts/P-16.81</vt:lpwstr>
      </vt:variant>
      <vt:variant>
        <vt:lpwstr/>
      </vt:variant>
      <vt:variant>
        <vt:i4>1769491</vt:i4>
      </vt:variant>
      <vt:variant>
        <vt:i4>51</vt:i4>
      </vt:variant>
      <vt:variant>
        <vt:i4>0</vt:i4>
      </vt:variant>
      <vt:variant>
        <vt:i4>5</vt:i4>
      </vt:variant>
      <vt:variant>
        <vt:lpwstr>https://womenshomelessness.ca/humanrightsclaims/</vt:lpwstr>
      </vt:variant>
      <vt:variant>
        <vt:lpwstr/>
      </vt:variant>
      <vt:variant>
        <vt:i4>1835062</vt:i4>
      </vt:variant>
      <vt:variant>
        <vt:i4>44</vt:i4>
      </vt:variant>
      <vt:variant>
        <vt:i4>0</vt:i4>
      </vt:variant>
      <vt:variant>
        <vt:i4>5</vt:i4>
      </vt:variant>
      <vt:variant>
        <vt:lpwstr/>
      </vt:variant>
      <vt:variant>
        <vt:lpwstr>_Toc176528312</vt:lpwstr>
      </vt:variant>
      <vt:variant>
        <vt:i4>1835062</vt:i4>
      </vt:variant>
      <vt:variant>
        <vt:i4>38</vt:i4>
      </vt:variant>
      <vt:variant>
        <vt:i4>0</vt:i4>
      </vt:variant>
      <vt:variant>
        <vt:i4>5</vt:i4>
      </vt:variant>
      <vt:variant>
        <vt:lpwstr/>
      </vt:variant>
      <vt:variant>
        <vt:lpwstr>_Toc176528311</vt:lpwstr>
      </vt:variant>
      <vt:variant>
        <vt:i4>1835062</vt:i4>
      </vt:variant>
      <vt:variant>
        <vt:i4>32</vt:i4>
      </vt:variant>
      <vt:variant>
        <vt:i4>0</vt:i4>
      </vt:variant>
      <vt:variant>
        <vt:i4>5</vt:i4>
      </vt:variant>
      <vt:variant>
        <vt:lpwstr/>
      </vt:variant>
      <vt:variant>
        <vt:lpwstr>_Toc176528310</vt:lpwstr>
      </vt:variant>
      <vt:variant>
        <vt:i4>1900598</vt:i4>
      </vt:variant>
      <vt:variant>
        <vt:i4>26</vt:i4>
      </vt:variant>
      <vt:variant>
        <vt:i4>0</vt:i4>
      </vt:variant>
      <vt:variant>
        <vt:i4>5</vt:i4>
      </vt:variant>
      <vt:variant>
        <vt:lpwstr/>
      </vt:variant>
      <vt:variant>
        <vt:lpwstr>_Toc176528309</vt:lpwstr>
      </vt:variant>
      <vt:variant>
        <vt:i4>1900598</vt:i4>
      </vt:variant>
      <vt:variant>
        <vt:i4>20</vt:i4>
      </vt:variant>
      <vt:variant>
        <vt:i4>0</vt:i4>
      </vt:variant>
      <vt:variant>
        <vt:i4>5</vt:i4>
      </vt:variant>
      <vt:variant>
        <vt:lpwstr/>
      </vt:variant>
      <vt:variant>
        <vt:lpwstr>_Toc176528308</vt:lpwstr>
      </vt:variant>
      <vt:variant>
        <vt:i4>1900598</vt:i4>
      </vt:variant>
      <vt:variant>
        <vt:i4>14</vt:i4>
      </vt:variant>
      <vt:variant>
        <vt:i4>0</vt:i4>
      </vt:variant>
      <vt:variant>
        <vt:i4>5</vt:i4>
      </vt:variant>
      <vt:variant>
        <vt:lpwstr/>
      </vt:variant>
      <vt:variant>
        <vt:lpwstr>_Toc176528307</vt:lpwstr>
      </vt:variant>
      <vt:variant>
        <vt:i4>1900598</vt:i4>
      </vt:variant>
      <vt:variant>
        <vt:i4>8</vt:i4>
      </vt:variant>
      <vt:variant>
        <vt:i4>0</vt:i4>
      </vt:variant>
      <vt:variant>
        <vt:i4>5</vt:i4>
      </vt:variant>
      <vt:variant>
        <vt:lpwstr/>
      </vt:variant>
      <vt:variant>
        <vt:lpwstr>_Toc176528306</vt:lpwstr>
      </vt:variant>
      <vt:variant>
        <vt:i4>1900598</vt:i4>
      </vt:variant>
      <vt:variant>
        <vt:i4>2</vt:i4>
      </vt:variant>
      <vt:variant>
        <vt:i4>0</vt:i4>
      </vt:variant>
      <vt:variant>
        <vt:i4>5</vt:i4>
      </vt:variant>
      <vt:variant>
        <vt:lpwstr/>
      </vt:variant>
      <vt:variant>
        <vt:lpwstr>_Toc176528305</vt:lpwstr>
      </vt:variant>
      <vt:variant>
        <vt:i4>7274547</vt:i4>
      </vt:variant>
      <vt:variant>
        <vt:i4>66</vt:i4>
      </vt:variant>
      <vt:variant>
        <vt:i4>0</vt:i4>
      </vt:variant>
      <vt:variant>
        <vt:i4>5</vt:i4>
      </vt:variant>
      <vt:variant>
        <vt:lpwstr>https://womenshomelessness.ca/wp-content/uploads/An-Intersectional-Feminist-Housing-Agenda.pdf</vt:lpwstr>
      </vt:variant>
      <vt:variant>
        <vt:lpwstr/>
      </vt:variant>
      <vt:variant>
        <vt:i4>4980767</vt:i4>
      </vt:variant>
      <vt:variant>
        <vt:i4>63</vt:i4>
      </vt:variant>
      <vt:variant>
        <vt:i4>0</vt:i4>
      </vt:variant>
      <vt:variant>
        <vt:i4>5</vt:i4>
      </vt:variant>
      <vt:variant>
        <vt:lpwstr>https://womenshomelessness.ca/budget2024/</vt:lpwstr>
      </vt:variant>
      <vt:variant>
        <vt:lpwstr/>
      </vt:variant>
      <vt:variant>
        <vt:i4>131099</vt:i4>
      </vt:variant>
      <vt:variant>
        <vt:i4>60</vt:i4>
      </vt:variant>
      <vt:variant>
        <vt:i4>0</vt:i4>
      </vt:variant>
      <vt:variant>
        <vt:i4>5</vt:i4>
      </vt:variant>
      <vt:variant>
        <vt:lpwstr>https://womenshomelessness.ca/wp-content/uploads/WNHHN-Housing-Claim-14-June-2022.pdf</vt:lpwstr>
      </vt:variant>
      <vt:variant>
        <vt:lpwstr/>
      </vt:variant>
      <vt:variant>
        <vt:i4>786450</vt:i4>
      </vt:variant>
      <vt:variant>
        <vt:i4>57</vt:i4>
      </vt:variant>
      <vt:variant>
        <vt:i4>0</vt:i4>
      </vt:variant>
      <vt:variant>
        <vt:i4>5</vt:i4>
      </vt:variant>
      <vt:variant>
        <vt:lpwstr>https://housingrightscanada.com/wp-content/uploads/2022/08/CERA-CSWSubmission-July2021-final.pdf</vt:lpwstr>
      </vt:variant>
      <vt:variant>
        <vt:lpwstr/>
      </vt:variant>
      <vt:variant>
        <vt:i4>7274538</vt:i4>
      </vt:variant>
      <vt:variant>
        <vt:i4>54</vt:i4>
      </vt:variant>
      <vt:variant>
        <vt:i4>0</vt:i4>
      </vt:variant>
      <vt:variant>
        <vt:i4>5</vt:i4>
      </vt:variant>
      <vt:variant>
        <vt:lpwstr>https://www.hilltimes.com/story/2024/06/10/national-housing-councils-missed-opportunity/424530/</vt:lpwstr>
      </vt:variant>
      <vt:variant>
        <vt:lpwstr/>
      </vt:variant>
      <vt:variant>
        <vt:i4>786450</vt:i4>
      </vt:variant>
      <vt:variant>
        <vt:i4>51</vt:i4>
      </vt:variant>
      <vt:variant>
        <vt:i4>0</vt:i4>
      </vt:variant>
      <vt:variant>
        <vt:i4>5</vt:i4>
      </vt:variant>
      <vt:variant>
        <vt:lpwstr>https://housingrightscanada.com/wp-content/uploads/2022/08/CERA-CSWSubmission-July2021-final.pdf</vt:lpwstr>
      </vt:variant>
      <vt:variant>
        <vt:lpwstr/>
      </vt:variant>
      <vt:variant>
        <vt:i4>7471137</vt:i4>
      </vt:variant>
      <vt:variant>
        <vt:i4>48</vt:i4>
      </vt:variant>
      <vt:variant>
        <vt:i4>0</vt:i4>
      </vt:variant>
      <vt:variant>
        <vt:i4>5</vt:i4>
      </vt:variant>
      <vt:variant>
        <vt:lpwstr>https://doi.org/10.25318/1410035301-eng</vt:lpwstr>
      </vt:variant>
      <vt:variant>
        <vt:lpwstr/>
      </vt:variant>
      <vt:variant>
        <vt:i4>8257649</vt:i4>
      </vt:variant>
      <vt:variant>
        <vt:i4>45</vt:i4>
      </vt:variant>
      <vt:variant>
        <vt:i4>0</vt:i4>
      </vt:variant>
      <vt:variant>
        <vt:i4>5</vt:i4>
      </vt:variant>
      <vt:variant>
        <vt:lpwstr>https://womenshomelessness.ca/wp-content/uploads/Key-Findings-State-of-Womens-Homelessness.pdf</vt:lpwstr>
      </vt:variant>
      <vt:variant>
        <vt:lpwstr/>
      </vt:variant>
      <vt:variant>
        <vt:i4>262151</vt:i4>
      </vt:variant>
      <vt:variant>
        <vt:i4>42</vt:i4>
      </vt:variant>
      <vt:variant>
        <vt:i4>0</vt:i4>
      </vt:variant>
      <vt:variant>
        <vt:i4>5</vt:i4>
      </vt:variant>
      <vt:variant>
        <vt:lpwstr>https://www150.statcan.gc.ca/n1/pub/85-002-x/2019001/article/00018/02-eng.htm</vt:lpwstr>
      </vt:variant>
      <vt:variant>
        <vt:lpwstr/>
      </vt:variant>
      <vt:variant>
        <vt:i4>3473447</vt:i4>
      </vt:variant>
      <vt:variant>
        <vt:i4>39</vt:i4>
      </vt:variant>
      <vt:variant>
        <vt:i4>0</vt:i4>
      </vt:variant>
      <vt:variant>
        <vt:i4>5</vt:i4>
      </vt:variant>
      <vt:variant>
        <vt:lpwstr>https://endvaw.ca/wp-content/uploads/2017/09/Housing-Homelessness-and-VAW-Discussion-Paper-Aug-2017.pdf</vt:lpwstr>
      </vt:variant>
      <vt:variant>
        <vt:lpwstr/>
      </vt:variant>
      <vt:variant>
        <vt:i4>7929978</vt:i4>
      </vt:variant>
      <vt:variant>
        <vt:i4>36</vt:i4>
      </vt:variant>
      <vt:variant>
        <vt:i4>0</vt:i4>
      </vt:variant>
      <vt:variant>
        <vt:i4>5</vt:i4>
      </vt:variant>
      <vt:variant>
        <vt:lpwstr>https://womenshomelessness.ca/wp-content/uploads/State-of-Womens-Homelessness-Literature-Review.pdf</vt:lpwstr>
      </vt:variant>
      <vt:variant>
        <vt:lpwstr/>
      </vt:variant>
      <vt:variant>
        <vt:i4>1769491</vt:i4>
      </vt:variant>
      <vt:variant>
        <vt:i4>33</vt:i4>
      </vt:variant>
      <vt:variant>
        <vt:i4>0</vt:i4>
      </vt:variant>
      <vt:variant>
        <vt:i4>5</vt:i4>
      </vt:variant>
      <vt:variant>
        <vt:lpwstr>https://womenshomelessness.ca/humanrightsclaims/</vt:lpwstr>
      </vt:variant>
      <vt:variant>
        <vt:lpwstr/>
      </vt:variant>
      <vt:variant>
        <vt:i4>2818151</vt:i4>
      </vt:variant>
      <vt:variant>
        <vt:i4>30</vt:i4>
      </vt:variant>
      <vt:variant>
        <vt:i4>0</vt:i4>
      </vt:variant>
      <vt:variant>
        <vt:i4>5</vt:i4>
      </vt:variant>
      <vt:variant>
        <vt:lpwstr>https://womenshomelessness.ca/wp-content/uploads/EN-Pan-Canadian-Womens-Housing-Homelessness-Survey-FINAL-28-Sept-2021.pdf</vt:lpwstr>
      </vt:variant>
      <vt:variant>
        <vt:lpwstr/>
      </vt:variant>
      <vt:variant>
        <vt:i4>65548</vt:i4>
      </vt:variant>
      <vt:variant>
        <vt:i4>27</vt:i4>
      </vt:variant>
      <vt:variant>
        <vt:i4>0</vt:i4>
      </vt:variant>
      <vt:variant>
        <vt:i4>5</vt:i4>
      </vt:variant>
      <vt:variant>
        <vt:lpwstr>https://metiswomen.org/wp-content/uploads/2021/06/Housing-Literature-Review-converted.pdf</vt:lpwstr>
      </vt:variant>
      <vt:variant>
        <vt:lpwstr/>
      </vt:variant>
      <vt:variant>
        <vt:i4>4522004</vt:i4>
      </vt:variant>
      <vt:variant>
        <vt:i4>24</vt:i4>
      </vt:variant>
      <vt:variant>
        <vt:i4>0</vt:i4>
      </vt:variant>
      <vt:variant>
        <vt:i4>5</vt:i4>
      </vt:variant>
      <vt:variant>
        <vt:lpwstr>https://cms.nhc-cnl.ca/media/PDFs/report-recommendations-minister-housing-diversity-inclusion-urban-rural-nih-en.pdf</vt:lpwstr>
      </vt:variant>
      <vt:variant>
        <vt:lpwstr/>
      </vt:variant>
      <vt:variant>
        <vt:i4>7143524</vt:i4>
      </vt:variant>
      <vt:variant>
        <vt:i4>21</vt:i4>
      </vt:variant>
      <vt:variant>
        <vt:i4>0</vt:i4>
      </vt:variant>
      <vt:variant>
        <vt:i4>5</vt:i4>
      </vt:variant>
      <vt:variant>
        <vt:lpwstr>https://nwac.ca/assets-knowledge-centre/FEDERAL_ANNUAL_SCORECARD_ACTIONPLAN_2022_2022-06-03-132116_mfnq.pdf</vt:lpwstr>
      </vt:variant>
      <vt:variant>
        <vt:lpwstr/>
      </vt:variant>
      <vt:variant>
        <vt:i4>262169</vt:i4>
      </vt:variant>
      <vt:variant>
        <vt:i4>18</vt:i4>
      </vt:variant>
      <vt:variant>
        <vt:i4>0</vt:i4>
      </vt:variant>
      <vt:variant>
        <vt:i4>5</vt:i4>
      </vt:variant>
      <vt:variant>
        <vt:lpwstr>https://www.cbc.ca/news/indigenous/indigenous-federal-budget-asks-1.6792785</vt:lpwstr>
      </vt:variant>
      <vt:variant>
        <vt:lpwstr>:~:text=Ahead%20of%20the,reserve%20housing%20needs</vt:lpwstr>
      </vt:variant>
      <vt:variant>
        <vt:i4>5832783</vt:i4>
      </vt:variant>
      <vt:variant>
        <vt:i4>15</vt:i4>
      </vt:variant>
      <vt:variant>
        <vt:i4>0</vt:i4>
      </vt:variant>
      <vt:variant>
        <vt:i4>5</vt:i4>
      </vt:variant>
      <vt:variant>
        <vt:lpwstr>https://www.cmhc-schl.gc.ca/professionals/project-funding-and-mortgage-financing/funding-programs/indigenous/urban-rural-northern-indigenous-housing-strategy</vt:lpwstr>
      </vt:variant>
      <vt:variant>
        <vt:lpwstr/>
      </vt:variant>
      <vt:variant>
        <vt:i4>65548</vt:i4>
      </vt:variant>
      <vt:variant>
        <vt:i4>12</vt:i4>
      </vt:variant>
      <vt:variant>
        <vt:i4>0</vt:i4>
      </vt:variant>
      <vt:variant>
        <vt:i4>5</vt:i4>
      </vt:variant>
      <vt:variant>
        <vt:lpwstr>https://metiswomen.org/wp-content/uploads/2021/06/Housing-Literature-Review-converted.pdf</vt:lpwstr>
      </vt:variant>
      <vt:variant>
        <vt:lpwstr/>
      </vt:variant>
      <vt:variant>
        <vt:i4>2424880</vt:i4>
      </vt:variant>
      <vt:variant>
        <vt:i4>9</vt:i4>
      </vt:variant>
      <vt:variant>
        <vt:i4>0</vt:i4>
      </vt:variant>
      <vt:variant>
        <vt:i4>5</vt:i4>
      </vt:variant>
      <vt:variant>
        <vt:lpwstr>https://www.cbc.ca/news/politics/indigenous-womens-shelters-103-million-1.6836034</vt:lpwstr>
      </vt:variant>
      <vt:variant>
        <vt:lpwstr>:~:text=The%20funding%20comes,according%20to%20CMHC</vt:lpwstr>
      </vt:variant>
      <vt:variant>
        <vt:i4>6946919</vt:i4>
      </vt:variant>
      <vt:variant>
        <vt:i4>6</vt:i4>
      </vt:variant>
      <vt:variant>
        <vt:i4>0</vt:i4>
      </vt:variant>
      <vt:variant>
        <vt:i4>5</vt:i4>
      </vt:variant>
      <vt:variant>
        <vt:lpwstr>https://www.cbc.ca/newsinteractives/features/cfj-report-cards/cfj1</vt:lpwstr>
      </vt:variant>
      <vt:variant>
        <vt:lpwstr/>
      </vt:variant>
      <vt:variant>
        <vt:i4>7995516</vt:i4>
      </vt:variant>
      <vt:variant>
        <vt:i4>2</vt:i4>
      </vt:variant>
      <vt:variant>
        <vt:i4>0</vt:i4>
      </vt:variant>
      <vt:variant>
        <vt:i4>5</vt:i4>
      </vt:variant>
      <vt:variant>
        <vt:lpwstr>https://womenshomelessness.ca/wp-content/uploads/Indigenous-Housing-Claim-June-15-2022.pdf</vt:lpwstr>
      </vt:variant>
      <vt:variant>
        <vt:lpwstr/>
      </vt:variant>
      <vt:variant>
        <vt:i4>7995516</vt:i4>
      </vt:variant>
      <vt:variant>
        <vt:i4>0</vt:i4>
      </vt:variant>
      <vt:variant>
        <vt:i4>0</vt:i4>
      </vt:variant>
      <vt:variant>
        <vt:i4>5</vt:i4>
      </vt:variant>
      <vt:variant>
        <vt:lpwstr>https://womenshomelessness.ca/wp-content/uploads/Indigenous-Housing-Claim-June-15-2022.pdf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Seema Kawar</dc:creator>
  <cp:keywords/>
  <dc:description/>
  <cp:lastModifiedBy>Sara Beyer</cp:lastModifiedBy>
  <cp:revision>2</cp:revision>
  <dcterms:created xsi:type="dcterms:W3CDTF">2024-09-06T20:08:00Z</dcterms:created>
  <dcterms:modified xsi:type="dcterms:W3CDTF">2024-09-06T20:08:00Z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0x010100629DB37D27389348844CB027E8124558</vt:lpwstr>
  </property>
  <property fmtid="{D5CDD505-2E9C-101B-9397-08002B2CF9AE}" pid="3" name="MediaServiceImageTags">
    <vt:lpwstr/>
  </property>
</Properties>
</file>