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3D2" w:rsidRDefault="0039146F">
      <w:pPr>
        <w:spacing w:after="200"/>
        <w:jc w:val="center"/>
        <w:rPr>
          <w:b/>
          <w:sz w:val="24"/>
          <w:szCs w:val="24"/>
        </w:rPr>
      </w:pPr>
      <w:r>
        <w:rPr>
          <w:b/>
          <w:noProof/>
          <w:sz w:val="24"/>
          <w:szCs w:val="24"/>
          <w:lang w:val="es-AR"/>
        </w:rPr>
        <w:drawing>
          <wp:inline distT="114300" distB="114300" distL="114300" distR="114300">
            <wp:extent cx="1090613" cy="110080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90613" cy="1100805"/>
                    </a:xfrm>
                    <a:prstGeom prst="rect">
                      <a:avLst/>
                    </a:prstGeom>
                    <a:ln/>
                  </pic:spPr>
                </pic:pic>
              </a:graphicData>
            </a:graphic>
          </wp:inline>
        </w:drawing>
      </w:r>
      <w:r>
        <w:rPr>
          <w:b/>
          <w:noProof/>
          <w:sz w:val="24"/>
          <w:szCs w:val="24"/>
          <w:lang w:val="es-AR"/>
        </w:rPr>
        <w:drawing>
          <wp:inline distT="114300" distB="114300" distL="114300" distR="114300">
            <wp:extent cx="1138238" cy="1096847"/>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138238" cy="1096847"/>
                    </a:xfrm>
                    <a:prstGeom prst="rect">
                      <a:avLst/>
                    </a:prstGeom>
                    <a:ln/>
                  </pic:spPr>
                </pic:pic>
              </a:graphicData>
            </a:graphic>
          </wp:inline>
        </w:drawing>
      </w:r>
      <w:r>
        <w:rPr>
          <w:b/>
          <w:sz w:val="24"/>
          <w:szCs w:val="24"/>
        </w:rPr>
        <w:t xml:space="preserve"> </w:t>
      </w:r>
      <w:r>
        <w:rPr>
          <w:noProof/>
          <w:lang w:val="es-AR"/>
        </w:rPr>
        <w:drawing>
          <wp:inline distT="19050" distB="19050" distL="19050" distR="19050">
            <wp:extent cx="1057275" cy="1081088"/>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057275" cy="1081088"/>
                    </a:xfrm>
                    <a:prstGeom prst="rect">
                      <a:avLst/>
                    </a:prstGeom>
                    <a:ln/>
                  </pic:spPr>
                </pic:pic>
              </a:graphicData>
            </a:graphic>
          </wp:inline>
        </w:drawing>
      </w:r>
    </w:p>
    <w:p w:rsidR="00AD73D2" w:rsidRDefault="00AD73D2">
      <w:pPr>
        <w:spacing w:after="200"/>
        <w:jc w:val="center"/>
        <w:rPr>
          <w:b/>
          <w:sz w:val="26"/>
          <w:szCs w:val="26"/>
        </w:rPr>
      </w:pPr>
    </w:p>
    <w:p w:rsidR="00AD73D2" w:rsidRDefault="00AD73D2">
      <w:pPr>
        <w:spacing w:after="200"/>
        <w:jc w:val="center"/>
        <w:rPr>
          <w:b/>
          <w:sz w:val="26"/>
          <w:szCs w:val="26"/>
        </w:rPr>
      </w:pPr>
    </w:p>
    <w:p w:rsidR="00AD73D2" w:rsidRDefault="00AD73D2">
      <w:pPr>
        <w:spacing w:after="200"/>
        <w:jc w:val="center"/>
        <w:rPr>
          <w:b/>
          <w:sz w:val="26"/>
          <w:szCs w:val="26"/>
        </w:rPr>
      </w:pPr>
    </w:p>
    <w:p w:rsidR="00AD73D2" w:rsidRDefault="00AD73D2">
      <w:pPr>
        <w:spacing w:after="200"/>
        <w:jc w:val="center"/>
        <w:rPr>
          <w:b/>
          <w:sz w:val="26"/>
          <w:szCs w:val="26"/>
        </w:rPr>
      </w:pPr>
    </w:p>
    <w:p w:rsidR="00AD73D2" w:rsidRDefault="00AD73D2">
      <w:pPr>
        <w:spacing w:after="200"/>
        <w:jc w:val="center"/>
        <w:rPr>
          <w:b/>
          <w:sz w:val="26"/>
          <w:szCs w:val="26"/>
        </w:rPr>
      </w:pPr>
    </w:p>
    <w:p w:rsidR="00AD73D2" w:rsidRDefault="0039146F">
      <w:pPr>
        <w:spacing w:after="200"/>
        <w:jc w:val="center"/>
        <w:rPr>
          <w:b/>
          <w:sz w:val="26"/>
          <w:szCs w:val="26"/>
        </w:rPr>
      </w:pPr>
      <w:r>
        <w:rPr>
          <w:b/>
          <w:sz w:val="26"/>
          <w:szCs w:val="26"/>
        </w:rPr>
        <w:t>Comité para la Eliminación de la Discriminación contra la Mujer</w:t>
      </w:r>
    </w:p>
    <w:p w:rsidR="00AD73D2" w:rsidRDefault="00AD73D2">
      <w:pPr>
        <w:widowControl w:val="0"/>
        <w:spacing w:before="326" w:after="200" w:line="240" w:lineRule="auto"/>
        <w:ind w:right="-40"/>
        <w:jc w:val="center"/>
      </w:pPr>
    </w:p>
    <w:p w:rsidR="00AD73D2" w:rsidRDefault="0039146F">
      <w:pPr>
        <w:widowControl w:val="0"/>
        <w:spacing w:before="326" w:after="200" w:line="240" w:lineRule="auto"/>
        <w:ind w:right="-40"/>
        <w:jc w:val="center"/>
        <w:rPr>
          <w:b/>
          <w:sz w:val="36"/>
          <w:szCs w:val="36"/>
        </w:rPr>
      </w:pPr>
      <w:r>
        <w:rPr>
          <w:b/>
          <w:sz w:val="36"/>
          <w:szCs w:val="36"/>
        </w:rPr>
        <w:t>Informe alternativo</w:t>
      </w:r>
    </w:p>
    <w:p w:rsidR="00AD73D2" w:rsidRDefault="0039146F">
      <w:pPr>
        <w:widowControl w:val="0"/>
        <w:spacing w:before="326" w:after="200" w:line="240" w:lineRule="auto"/>
        <w:ind w:right="-40"/>
        <w:jc w:val="center"/>
      </w:pPr>
      <w:r>
        <w:t>presentado por:</w:t>
      </w:r>
    </w:p>
    <w:p w:rsidR="00AD73D2" w:rsidRDefault="00AD73D2">
      <w:pPr>
        <w:widowControl w:val="0"/>
        <w:spacing w:before="326" w:after="200" w:line="360" w:lineRule="auto"/>
        <w:ind w:right="-40"/>
        <w:jc w:val="center"/>
      </w:pPr>
    </w:p>
    <w:p w:rsidR="00AD73D2" w:rsidRDefault="0039146F">
      <w:pPr>
        <w:widowControl w:val="0"/>
        <w:spacing w:after="200" w:line="360" w:lineRule="auto"/>
        <w:ind w:right="-40"/>
        <w:jc w:val="center"/>
        <w:rPr>
          <w:b/>
          <w:vertAlign w:val="superscript"/>
        </w:rPr>
      </w:pPr>
      <w:r>
        <w:rPr>
          <w:b/>
        </w:rPr>
        <w:t xml:space="preserve">Mesa de Trabajo </w:t>
      </w:r>
      <w:bookmarkStart w:id="0" w:name="_GoBack"/>
      <w:bookmarkEnd w:id="0"/>
      <w:r w:rsidR="008A49B7">
        <w:rPr>
          <w:b/>
        </w:rPr>
        <w:t>en Discapacidad</w:t>
      </w:r>
      <w:r>
        <w:rPr>
          <w:b/>
        </w:rPr>
        <w:t xml:space="preserve"> y Derechos Humanos de Córdoba</w:t>
      </w:r>
    </w:p>
    <w:p w:rsidR="00AD73D2" w:rsidRDefault="0039146F">
      <w:pPr>
        <w:widowControl w:val="0"/>
        <w:spacing w:after="200" w:line="360" w:lineRule="auto"/>
        <w:ind w:right="-40"/>
        <w:jc w:val="center"/>
        <w:rPr>
          <w:b/>
        </w:rPr>
      </w:pPr>
      <w:r>
        <w:rPr>
          <w:b/>
        </w:rPr>
        <w:t>Observatorio de Salud Mental y Derechos Humanos de Córdoba</w:t>
      </w:r>
    </w:p>
    <w:p w:rsidR="00AD73D2" w:rsidRDefault="0039146F">
      <w:pPr>
        <w:widowControl w:val="0"/>
        <w:spacing w:after="200" w:line="360" w:lineRule="auto"/>
        <w:ind w:right="-40"/>
        <w:jc w:val="center"/>
      </w:pPr>
      <w:r>
        <w:rPr>
          <w:b/>
        </w:rPr>
        <w:t>Red por los Derechos de las Personas con Discapacidad (REDI)</w:t>
      </w:r>
    </w:p>
    <w:p w:rsidR="00AD73D2" w:rsidRDefault="00AD73D2">
      <w:pPr>
        <w:widowControl w:val="0"/>
        <w:spacing w:before="43" w:after="200"/>
        <w:ind w:right="-40"/>
        <w:jc w:val="center"/>
      </w:pPr>
    </w:p>
    <w:p w:rsidR="00AD73D2" w:rsidRDefault="00AD73D2">
      <w:pPr>
        <w:widowControl w:val="0"/>
        <w:spacing w:before="43" w:after="200"/>
        <w:ind w:right="-40"/>
        <w:jc w:val="center"/>
      </w:pPr>
    </w:p>
    <w:p w:rsidR="00AD73D2" w:rsidRDefault="00AD73D2">
      <w:pPr>
        <w:widowControl w:val="0"/>
        <w:spacing w:before="43" w:after="200"/>
        <w:ind w:right="-40"/>
        <w:jc w:val="center"/>
      </w:pPr>
    </w:p>
    <w:p w:rsidR="00AD73D2" w:rsidRDefault="00AD73D2">
      <w:pPr>
        <w:widowControl w:val="0"/>
        <w:spacing w:before="43" w:after="200"/>
        <w:ind w:right="-40"/>
        <w:jc w:val="center"/>
      </w:pPr>
    </w:p>
    <w:p w:rsidR="00AD73D2" w:rsidRDefault="00AD73D2">
      <w:pPr>
        <w:widowControl w:val="0"/>
        <w:spacing w:before="43" w:after="200"/>
        <w:ind w:right="-40"/>
        <w:jc w:val="center"/>
      </w:pPr>
    </w:p>
    <w:p w:rsidR="00AD73D2" w:rsidRDefault="00AD73D2">
      <w:pPr>
        <w:widowControl w:val="0"/>
        <w:spacing w:before="43" w:after="200"/>
        <w:ind w:right="-40"/>
        <w:jc w:val="center"/>
      </w:pPr>
    </w:p>
    <w:p w:rsidR="00AD73D2" w:rsidRDefault="0039146F">
      <w:pPr>
        <w:widowControl w:val="0"/>
        <w:spacing w:before="43" w:after="200"/>
        <w:ind w:right="-40"/>
        <w:jc w:val="center"/>
      </w:pPr>
      <w:r>
        <w:t>Argentina</w:t>
      </w:r>
    </w:p>
    <w:p w:rsidR="00AD73D2" w:rsidRDefault="0039146F">
      <w:pPr>
        <w:widowControl w:val="0"/>
        <w:spacing w:before="43" w:after="200"/>
        <w:ind w:right="-40"/>
        <w:jc w:val="center"/>
      </w:pPr>
      <w:r>
        <w:rPr>
          <w:b/>
        </w:rPr>
        <w:t>2022</w:t>
      </w:r>
      <w:r>
        <w:br w:type="page"/>
      </w:r>
    </w:p>
    <w:p w:rsidR="00AD73D2" w:rsidRDefault="0039146F">
      <w:pPr>
        <w:widowControl w:val="0"/>
        <w:spacing w:before="43" w:after="200"/>
        <w:ind w:right="-40"/>
        <w:jc w:val="both"/>
        <w:rPr>
          <w:b/>
        </w:rPr>
      </w:pPr>
      <w:r>
        <w:rPr>
          <w:b/>
        </w:rPr>
        <w:lastRenderedPageBreak/>
        <w:t>Organizaciones autoras:</w:t>
      </w:r>
    </w:p>
    <w:p w:rsidR="00AD73D2" w:rsidRDefault="0039146F">
      <w:pPr>
        <w:numPr>
          <w:ilvl w:val="0"/>
          <w:numId w:val="2"/>
        </w:numPr>
        <w:spacing w:line="240" w:lineRule="auto"/>
        <w:jc w:val="both"/>
      </w:pPr>
      <w:r>
        <w:rPr>
          <w:b/>
        </w:rPr>
        <w:t xml:space="preserve">Mesa de Trabajo en Discapacidad y Derechos Humanos de Córdoba: </w:t>
      </w:r>
      <w:r>
        <w:t>es un espacio de trabajo colectivo que se constituyó en 2013. Propone la apropiación, promoción y difusión del enfoque de los derechos humanos en el ámbito de la discapacidad. Participan personas con o sin discapacidad, familiares, trabajadores y/o represe</w:t>
      </w:r>
      <w:r>
        <w:t>ntantes de distintos sectores, vinculados al trabajo en materia de discapacidad. La Mesa trabaja generando estrategias de incidencia pública en relación a los discursos y representaciones sociales de quienes trabajan, directa o indirectamente, en el ámbito</w:t>
      </w:r>
      <w:r>
        <w:t xml:space="preserve"> de la discapacidad. </w:t>
      </w:r>
    </w:p>
    <w:p w:rsidR="00AD73D2" w:rsidRDefault="0039146F">
      <w:pPr>
        <w:spacing w:line="240" w:lineRule="auto"/>
        <w:ind w:left="720"/>
        <w:jc w:val="both"/>
      </w:pPr>
      <w:r>
        <w:t xml:space="preserve">Autoras y contactos: Lucía </w:t>
      </w:r>
      <w:proofErr w:type="spellStart"/>
      <w:r>
        <w:t>Bertona</w:t>
      </w:r>
      <w:proofErr w:type="spellEnd"/>
      <w:r>
        <w:t xml:space="preserve"> (</w:t>
      </w:r>
      <w:hyperlink r:id="rId11">
        <w:r>
          <w:rPr>
            <w:color w:val="1155CC"/>
            <w:u w:val="single"/>
          </w:rPr>
          <w:t>luciabertona@gmail.com</w:t>
        </w:r>
      </w:hyperlink>
      <w:r>
        <w:t>)</w:t>
      </w:r>
      <w:r>
        <w:rPr>
          <w:color w:val="0000FF"/>
        </w:rPr>
        <w:t xml:space="preserve"> </w:t>
      </w:r>
      <w:r>
        <w:t>y Mariana Gandolfo (</w:t>
      </w:r>
      <w:hyperlink r:id="rId12">
        <w:r>
          <w:rPr>
            <w:color w:val="1155CC"/>
            <w:u w:val="single"/>
          </w:rPr>
          <w:t>gandolfomariana@gmail.com</w:t>
        </w:r>
      </w:hyperlink>
      <w:r>
        <w:t>).</w:t>
      </w:r>
    </w:p>
    <w:p w:rsidR="00AD73D2" w:rsidRDefault="00AD73D2">
      <w:pPr>
        <w:spacing w:line="240" w:lineRule="auto"/>
        <w:ind w:left="720"/>
        <w:jc w:val="both"/>
      </w:pPr>
    </w:p>
    <w:p w:rsidR="00AD73D2" w:rsidRDefault="0039146F">
      <w:pPr>
        <w:numPr>
          <w:ilvl w:val="0"/>
          <w:numId w:val="1"/>
        </w:numPr>
        <w:spacing w:line="240" w:lineRule="auto"/>
        <w:jc w:val="both"/>
      </w:pPr>
      <w:r>
        <w:rPr>
          <w:b/>
        </w:rPr>
        <w:t>Observatorio de Salud Me</w:t>
      </w:r>
      <w:r>
        <w:rPr>
          <w:b/>
        </w:rPr>
        <w:t xml:space="preserve">ntal y Derechos Humanos Córdoba: </w:t>
      </w:r>
      <w:r>
        <w:t>es una organización de la sociedad civil que se crea en el año 2011 con el objetivo de monitorear las políticas de salud mental que se llevan adelante en la provincia de Córdoba y controlar el efectivo cumplimiento de las l</w:t>
      </w:r>
      <w:r>
        <w:t>eyes en salud mental (Ley Nacional N°26.657 y Ley Provincial N° 9.848). Está conformado por personas y organizaciones con diversas trayectorias e inserciones en el campo de la salud mental, que encuentran en el trabajo colectivo la vía posible para demanda</w:t>
      </w:r>
      <w:r>
        <w:t xml:space="preserve">r y construir una salud mental respetuosa de los derechos humanos. </w:t>
      </w:r>
    </w:p>
    <w:p w:rsidR="00AD73D2" w:rsidRDefault="0039146F">
      <w:pPr>
        <w:spacing w:line="240" w:lineRule="auto"/>
        <w:ind w:left="720"/>
        <w:jc w:val="both"/>
      </w:pPr>
      <w:r>
        <w:t xml:space="preserve">Autoras y contactos: Magdalena </w:t>
      </w:r>
      <w:proofErr w:type="spellStart"/>
      <w:r>
        <w:t>Arnao</w:t>
      </w:r>
      <w:proofErr w:type="spellEnd"/>
      <w:r>
        <w:t xml:space="preserve"> </w:t>
      </w:r>
      <w:proofErr w:type="spellStart"/>
      <w:r>
        <w:t>Bergero</w:t>
      </w:r>
      <w:proofErr w:type="spellEnd"/>
      <w:r>
        <w:t xml:space="preserve"> (</w:t>
      </w:r>
      <w:hyperlink r:id="rId13">
        <w:r>
          <w:rPr>
            <w:color w:val="1155CC"/>
            <w:u w:val="single"/>
          </w:rPr>
          <w:t>magdalena.arnao@unc.edu.ar</w:t>
        </w:r>
      </w:hyperlink>
      <w:r>
        <w:t>), Ana Heredia (</w:t>
      </w:r>
      <w:hyperlink r:id="rId14">
        <w:r>
          <w:rPr>
            <w:color w:val="1155CC"/>
            <w:u w:val="single"/>
          </w:rPr>
          <w:t>ana.heredia84@gmail.com</w:t>
        </w:r>
      </w:hyperlink>
      <w:r>
        <w:t xml:space="preserve">) y Solana </w:t>
      </w:r>
      <w:proofErr w:type="spellStart"/>
      <w:r>
        <w:t>Yoma</w:t>
      </w:r>
      <w:proofErr w:type="spellEnd"/>
      <w:r>
        <w:t xml:space="preserve"> (</w:t>
      </w:r>
      <w:hyperlink r:id="rId15">
        <w:r>
          <w:rPr>
            <w:color w:val="1155CC"/>
            <w:u w:val="single"/>
          </w:rPr>
          <w:t>solanayoma@gmail.com</w:t>
        </w:r>
      </w:hyperlink>
      <w:r>
        <w:t>).</w:t>
      </w:r>
    </w:p>
    <w:p w:rsidR="00AD73D2" w:rsidRDefault="00AD73D2">
      <w:pPr>
        <w:widowControl w:val="0"/>
        <w:spacing w:before="43" w:after="200"/>
        <w:ind w:right="-40"/>
        <w:jc w:val="both"/>
      </w:pPr>
    </w:p>
    <w:p w:rsidR="00AD73D2" w:rsidRDefault="0039146F">
      <w:pPr>
        <w:numPr>
          <w:ilvl w:val="0"/>
          <w:numId w:val="3"/>
        </w:numPr>
        <w:spacing w:line="240" w:lineRule="auto"/>
        <w:jc w:val="both"/>
      </w:pPr>
      <w:r>
        <w:rPr>
          <w:b/>
        </w:rPr>
        <w:t>Red por los Derechos de las Personas con Discapacidad (REDI):</w:t>
      </w:r>
      <w:r>
        <w:t xml:space="preserve"> es una organización de Derechos Hum</w:t>
      </w:r>
      <w:r>
        <w:t>anos fundada en 1998, cuya principal misión es incidir por el cumplimiento de los derechos de las personas con discapacidad bajo el paradigma del modelo social. Es una asociación civil sin fines de lucro integrada por personas con discapacidad y familiares</w:t>
      </w:r>
      <w:r>
        <w:t xml:space="preserve"> de personas con discapacidad. Se constituyen como nuestros principales objetivos, el divulgar la problemática del colectivo, promoviendo el protagonismo de las personas con discapacidad en la lucha por sus derechos civiles generales y específicos. Incidir</w:t>
      </w:r>
      <w:r>
        <w:t xml:space="preserve"> para lograr que las políticas públicas que directa o indirectamente nos afectan estén alineadas con la Convención. Emprender acciones judiciales, en tribunales nacionales e internacionales, en el caso que se detecten violaciones a los derechos de las pers</w:t>
      </w:r>
      <w:r>
        <w:t xml:space="preserve">onas. </w:t>
      </w:r>
    </w:p>
    <w:p w:rsidR="00AD73D2" w:rsidRDefault="0039146F">
      <w:pPr>
        <w:spacing w:line="240" w:lineRule="auto"/>
        <w:ind w:left="720"/>
        <w:jc w:val="both"/>
      </w:pPr>
      <w:r>
        <w:t xml:space="preserve">Autores y contacto: </w:t>
      </w:r>
      <w:hyperlink r:id="rId16">
        <w:r>
          <w:rPr>
            <w:color w:val="1155CC"/>
            <w:u w:val="single"/>
          </w:rPr>
          <w:t>rediderechosdiscapacidad@gmail.com</w:t>
        </w:r>
      </w:hyperlink>
      <w:r>
        <w:t xml:space="preserve"> </w:t>
      </w:r>
    </w:p>
    <w:p w:rsidR="00AD73D2" w:rsidRDefault="00AD73D2">
      <w:pPr>
        <w:widowControl w:val="0"/>
        <w:spacing w:before="43" w:after="200"/>
        <w:ind w:right="-40"/>
        <w:jc w:val="both"/>
      </w:pPr>
    </w:p>
    <w:p w:rsidR="00AD73D2" w:rsidRDefault="0039146F">
      <w:pPr>
        <w:widowControl w:val="0"/>
        <w:spacing w:before="43" w:after="200"/>
        <w:ind w:right="-40"/>
        <w:jc w:val="both"/>
        <w:rPr>
          <w:b/>
        </w:rPr>
      </w:pPr>
      <w:r>
        <w:t>Las organizaciones autoras agradecemos la oportunidad de presentar este informe de manera conjunta ante el Comité</w:t>
      </w:r>
      <w:r>
        <w:rPr>
          <w:b/>
        </w:rPr>
        <w:t xml:space="preserve"> </w:t>
      </w:r>
      <w:r>
        <w:t>para la Eliminaci</w:t>
      </w:r>
      <w:r>
        <w:t>ón de Discriminación contra la Mujer, sobre las medidas progresivas y regresivas del Estado Argentino respecto de sus obligaciones surgidas luego de la incorporación a su sistema legislativo de los pactos y convenciones internacionales (incluidas las obser</w:t>
      </w:r>
      <w:r>
        <w:t>vaciones del comité), que representan la garantía de derechos de las niñas y mujeres.</w:t>
      </w:r>
    </w:p>
    <w:p w:rsidR="00AD73D2" w:rsidRDefault="0039146F">
      <w:pPr>
        <w:rPr>
          <w:b/>
        </w:rPr>
      </w:pPr>
      <w:r>
        <w:br w:type="page"/>
      </w:r>
    </w:p>
    <w:p w:rsidR="00AD73D2" w:rsidRDefault="0039146F">
      <w:pPr>
        <w:widowControl w:val="0"/>
        <w:spacing w:before="331" w:after="200"/>
        <w:jc w:val="both"/>
        <w:rPr>
          <w:b/>
        </w:rPr>
      </w:pPr>
      <w:r>
        <w:rPr>
          <w:b/>
        </w:rPr>
        <w:lastRenderedPageBreak/>
        <w:t>Resumen ejecutivo</w:t>
      </w:r>
    </w:p>
    <w:p w:rsidR="00AD73D2" w:rsidRDefault="0039146F">
      <w:pPr>
        <w:widowControl w:val="0"/>
        <w:spacing w:after="200"/>
        <w:jc w:val="both"/>
      </w:pPr>
      <w:r>
        <w:t xml:space="preserve">Escribimos el presente informe organizaciones con </w:t>
      </w:r>
      <w:proofErr w:type="spellStart"/>
      <w:r>
        <w:t>basta</w:t>
      </w:r>
      <w:proofErr w:type="spellEnd"/>
      <w:r>
        <w:t xml:space="preserve"> experiencia en el activismo por los derechos de las personas con discapacidad y de les </w:t>
      </w:r>
      <w:proofErr w:type="spellStart"/>
      <w:r>
        <w:t>usuarie</w:t>
      </w:r>
      <w:r>
        <w:t>s</w:t>
      </w:r>
      <w:proofErr w:type="spellEnd"/>
      <w:r>
        <w:t xml:space="preserve"> de salud mental</w:t>
      </w:r>
      <w:r>
        <w:rPr>
          <w:vertAlign w:val="superscript"/>
        </w:rPr>
        <w:footnoteReference w:id="1"/>
      </w:r>
      <w:r>
        <w:t xml:space="preserve"> de la Argentina, quienes estamos </w:t>
      </w:r>
      <w:proofErr w:type="spellStart"/>
      <w:r>
        <w:t>convencides</w:t>
      </w:r>
      <w:proofErr w:type="spellEnd"/>
      <w:r>
        <w:rPr>
          <w:vertAlign w:val="superscript"/>
        </w:rPr>
        <w:footnoteReference w:id="2"/>
      </w:r>
      <w:r>
        <w:t xml:space="preserve"> de que la persistencia de la vulneración de los derechos, garantizados en nuestro sistema legislativo, representa una falta grave en la vida cotidiana de las personas. Pese a la enorme comple</w:t>
      </w:r>
      <w:r>
        <w:t>jidad que implica describir el presente escenario, es nuestra intención dar cuenta de las principales situaciones que urgen pronta consideración y actuación por parte del Estado Argentino en materia de garantía de derechos de las mujeres con discapacidad.</w:t>
      </w:r>
    </w:p>
    <w:p w:rsidR="00AD73D2" w:rsidRDefault="0039146F">
      <w:pPr>
        <w:widowControl w:val="0"/>
        <w:spacing w:after="200"/>
        <w:jc w:val="both"/>
      </w:pPr>
      <w:r>
        <w:t xml:space="preserve">Acordamos orientar el presente informe en tres ejes centrales y de profunda preocupación como son: </w:t>
      </w:r>
    </w:p>
    <w:p w:rsidR="00AD73D2" w:rsidRDefault="0039146F">
      <w:pPr>
        <w:widowControl w:val="0"/>
        <w:numPr>
          <w:ilvl w:val="0"/>
          <w:numId w:val="6"/>
        </w:numPr>
        <w:pBdr>
          <w:top w:val="nil"/>
          <w:left w:val="nil"/>
          <w:bottom w:val="nil"/>
          <w:right w:val="nil"/>
          <w:between w:val="nil"/>
        </w:pBdr>
        <w:jc w:val="both"/>
        <w:rPr>
          <w:color w:val="000000"/>
        </w:rPr>
      </w:pPr>
      <w:r>
        <w:rPr>
          <w:i/>
          <w:color w:val="000000"/>
        </w:rPr>
        <w:t>el sostenido empobrecimiento de las mujeres con discapacidad (en el marco de una constante feminización de la pobreza) y la falta de oportunidades de empleo pleno y de calidad</w:t>
      </w:r>
      <w:r>
        <w:rPr>
          <w:color w:val="000000"/>
        </w:rPr>
        <w:t>, con accesos limitados y precarizaciones constantes en el mundo del trabajo</w:t>
      </w:r>
      <w:r>
        <w:t>.</w:t>
      </w:r>
      <w:r>
        <w:rPr>
          <w:color w:val="000000"/>
        </w:rPr>
        <w:t xml:space="preserve"> </w:t>
      </w:r>
    </w:p>
    <w:p w:rsidR="00AD73D2" w:rsidRDefault="0039146F">
      <w:pPr>
        <w:widowControl w:val="0"/>
        <w:numPr>
          <w:ilvl w:val="0"/>
          <w:numId w:val="6"/>
        </w:numPr>
        <w:pBdr>
          <w:top w:val="nil"/>
          <w:left w:val="nil"/>
          <w:bottom w:val="nil"/>
          <w:right w:val="nil"/>
          <w:between w:val="nil"/>
        </w:pBdr>
        <w:jc w:val="both"/>
        <w:rPr>
          <w:color w:val="000000"/>
        </w:rPr>
      </w:pPr>
      <w:r>
        <w:rPr>
          <w:color w:val="000000"/>
        </w:rPr>
        <w:t>en</w:t>
      </w:r>
      <w:r>
        <w:rPr>
          <w:color w:val="000000"/>
        </w:rPr>
        <w:t xml:space="preserve"> un segundo punto destacamos </w:t>
      </w:r>
      <w:r>
        <w:rPr>
          <w:i/>
          <w:color w:val="000000"/>
        </w:rPr>
        <w:t>la exposición a situaciones de violencia de género hacia mujeres y niñas con discapacidad</w:t>
      </w:r>
      <w:r>
        <w:rPr>
          <w:color w:val="000000"/>
        </w:rPr>
        <w:t>, que comprometen su integridad psicofísica</w:t>
      </w:r>
      <w:r>
        <w:t>, así como el pleno goce de una vida libre de discriminación y violencia</w:t>
      </w:r>
      <w:r>
        <w:t xml:space="preserve"> </w:t>
      </w:r>
    </w:p>
    <w:p w:rsidR="00AD73D2" w:rsidRDefault="0039146F">
      <w:pPr>
        <w:widowControl w:val="0"/>
        <w:numPr>
          <w:ilvl w:val="0"/>
          <w:numId w:val="6"/>
        </w:numPr>
        <w:pBdr>
          <w:top w:val="nil"/>
          <w:left w:val="nil"/>
          <w:bottom w:val="nil"/>
          <w:right w:val="nil"/>
          <w:between w:val="nil"/>
        </w:pBdr>
        <w:spacing w:after="200"/>
        <w:jc w:val="both"/>
        <w:rPr>
          <w:color w:val="000000"/>
        </w:rPr>
      </w:pPr>
      <w:r>
        <w:rPr>
          <w:color w:val="000000"/>
        </w:rPr>
        <w:t>por</w:t>
      </w:r>
      <w:r>
        <w:rPr>
          <w:color w:val="000000"/>
        </w:rPr>
        <w:t xml:space="preserve"> último, hacemos hincapié en </w:t>
      </w:r>
      <w:r>
        <w:rPr>
          <w:i/>
          <w:color w:val="000000"/>
        </w:rPr>
        <w:t xml:space="preserve">los derechos sexuales y (no) reproductivos </w:t>
      </w:r>
      <w:r>
        <w:rPr>
          <w:color w:val="000000"/>
        </w:rPr>
        <w:t>como un eje de constantes vulneraciones</w:t>
      </w:r>
      <w:r>
        <w:rPr>
          <w:i/>
          <w:color w:val="000000"/>
        </w:rPr>
        <w:t xml:space="preserve"> </w:t>
      </w:r>
      <w:r>
        <w:rPr>
          <w:color w:val="000000"/>
        </w:rPr>
        <w:t xml:space="preserve">en este aspecto central de la vida de las mujeres con discapacidad. </w:t>
      </w:r>
    </w:p>
    <w:p w:rsidR="00AD73D2" w:rsidRDefault="0039146F">
      <w:pPr>
        <w:widowControl w:val="0"/>
        <w:spacing w:after="200"/>
        <w:jc w:val="both"/>
      </w:pPr>
      <w:r>
        <w:t>Los tres ejes se concentran en poner en cuestión las falencias del Estado a</w:t>
      </w:r>
      <w:r>
        <w:t>rgentino en la garantía de esos derechos y la ausencia de políticas públicas que efectivicen su ejercicio por parte de las mujeres con discapacidad. Luego de cada uno de los apartados, desarrollamos una serie de preguntas orientadoras hacia el Estado Argen</w:t>
      </w:r>
      <w:r>
        <w:t>tino, a fin de sostener la mirada sobre la exigibilidad de derechos de las mujeres con discapacidad de nuestro país.</w:t>
      </w:r>
    </w:p>
    <w:p w:rsidR="00AD73D2" w:rsidRDefault="0039146F">
      <w:pPr>
        <w:rPr>
          <w:b/>
        </w:rPr>
      </w:pPr>
      <w:r>
        <w:br w:type="page"/>
      </w:r>
    </w:p>
    <w:p w:rsidR="00AD73D2" w:rsidRDefault="0039146F">
      <w:pPr>
        <w:spacing w:after="200"/>
        <w:jc w:val="both"/>
        <w:rPr>
          <w:b/>
        </w:rPr>
      </w:pPr>
      <w:r>
        <w:rPr>
          <w:b/>
        </w:rPr>
        <w:lastRenderedPageBreak/>
        <w:t>Introducción</w:t>
      </w:r>
    </w:p>
    <w:p w:rsidR="00AD73D2" w:rsidRDefault="0039146F">
      <w:pPr>
        <w:spacing w:after="200"/>
        <w:jc w:val="both"/>
      </w:pPr>
      <w:r>
        <w:t xml:space="preserve">Actualmente, tanto a nivel mundial como regional, y particularmente en nuestro país, los movimientos de mujeres y población </w:t>
      </w:r>
      <w:r>
        <w:t xml:space="preserve">LGTBIQ+ vienen ocupando un rol central en la escena sociopolítica, cuestionando diversas dimensiones de la llamada violencia patriarcal y disputando los horizontes de ampliación de derechos conocidos hasta el momento. En este nuevo escenario, hasta lo que </w:t>
      </w:r>
      <w:r>
        <w:t xml:space="preserve">se enuncia bajo el signo de “feminismo” es objeto de disputa: permite por un lado la ampliación de acciones e imaginaciones políticas y, por el otro, su configuración hegemónica (clasista, racista y </w:t>
      </w:r>
      <w:proofErr w:type="spellStart"/>
      <w:r>
        <w:t>capacitista</w:t>
      </w:r>
      <w:proofErr w:type="spellEnd"/>
      <w:r>
        <w:t xml:space="preserve">) sigue produciendo múltiples exclusiones que </w:t>
      </w:r>
      <w:r>
        <w:t>son enunciadas desde diferentes activismos, particularmente el de las mujeres con discapacidad.</w:t>
      </w:r>
    </w:p>
    <w:p w:rsidR="00AD73D2" w:rsidRDefault="0039146F">
      <w:pPr>
        <w:spacing w:after="200"/>
        <w:jc w:val="both"/>
      </w:pPr>
      <w:r>
        <w:t xml:space="preserve">Es por esta razón que nos parece importante considerar la perspectiva </w:t>
      </w:r>
      <w:proofErr w:type="spellStart"/>
      <w:r>
        <w:t>interseccional</w:t>
      </w:r>
      <w:proofErr w:type="spellEnd"/>
      <w:r>
        <w:t xml:space="preserve"> para mostrar que la articulación múltiple y crucialmente simultánea de dife</w:t>
      </w:r>
      <w:r>
        <w:t xml:space="preserve">rentes fuentes estructurales de desigualdad profundiza la discriminación, el padecimiento y la inequidad que vivencian determinados grupos. Particularmente, nos interesa centrarnos en las violencias, exclusiones y vulneraciones que enfrentan las mujeres y </w:t>
      </w:r>
      <w:r>
        <w:t>niñas con discapacidad.</w:t>
      </w:r>
    </w:p>
    <w:p w:rsidR="00AD73D2" w:rsidRDefault="0039146F">
      <w:pPr>
        <w:spacing w:after="200"/>
        <w:jc w:val="both"/>
      </w:pPr>
      <w:r>
        <w:t>Aquí se vuelve clave destacar el rol de las organizaciones sociales, que en articulación pueden disputar la incidencia en la construcción de agendas políticas por los derechos de las personas con discapacidad en general y de las muj</w:t>
      </w:r>
      <w:r>
        <w:t xml:space="preserve">eres con discapacidad en particular. Resulta indispensable poder acercar nuestras miradas y aportes en estas instancias de monitoreo internacional de los derechos humanos, mediante informes nacionales y locales que aporten a la ampliación de derechos y al </w:t>
      </w:r>
      <w:r>
        <w:t xml:space="preserve">freno de las exclusiones, violencias y vulneraciones que enfrentan de manera constante determinadas personas y grupos. </w:t>
      </w:r>
    </w:p>
    <w:p w:rsidR="00AD73D2" w:rsidRDefault="0039146F">
      <w:pPr>
        <w:numPr>
          <w:ilvl w:val="0"/>
          <w:numId w:val="4"/>
        </w:numPr>
        <w:spacing w:after="200"/>
        <w:jc w:val="both"/>
        <w:rPr>
          <w:b/>
        </w:rPr>
      </w:pPr>
      <w:r>
        <w:rPr>
          <w:b/>
        </w:rPr>
        <w:t>Feminización creciente de la pobreza en mujeres con discapacidad</w:t>
      </w:r>
    </w:p>
    <w:p w:rsidR="00AD73D2" w:rsidRDefault="0039146F">
      <w:pPr>
        <w:spacing w:after="200"/>
        <w:jc w:val="both"/>
      </w:pPr>
      <w:r>
        <w:t>En un contexto de profunda crisis económica y social, las mujeres y niñ</w:t>
      </w:r>
      <w:r>
        <w:t>as con discapacidad están sujetas a múltiples situaciones que reducen significativamente sus posibilidades de acceder a derechos laborales, educativos, culturales y de salud. Así lo expresa el nuevo informe</w:t>
      </w:r>
      <w:r>
        <w:rPr>
          <w:vertAlign w:val="superscript"/>
        </w:rPr>
        <w:footnoteReference w:id="3"/>
      </w:r>
      <w:r>
        <w:t xml:space="preserve"> del Instituto Nacional de Estadística y Censos (</w:t>
      </w:r>
      <w:r>
        <w:t xml:space="preserve">INDEC, 2022) que muestra la evolución de la distribución del ingreso para el segundo trimestre de 2022 en Argentina según la Encuesta Permanente de Hogares. Allí se evidencia que la desigualdad (medida a partir del Coeficiente de </w:t>
      </w:r>
      <w:proofErr w:type="spellStart"/>
      <w:r>
        <w:t>Gini</w:t>
      </w:r>
      <w:proofErr w:type="spellEnd"/>
      <w:r>
        <w:t xml:space="preserve"> del ingreso per cápit</w:t>
      </w:r>
      <w:r>
        <w:t xml:space="preserve">a familiar) alcanzó a 0,451 en el segundo trimestre de 2020, disminuyendo a 0,413 en el cuarto trimestre del 2021 y volviendo a aumentar a 0,430 en el primer trimestre de 2022. </w:t>
      </w:r>
    </w:p>
    <w:p w:rsidR="00AD73D2" w:rsidRDefault="0039146F">
      <w:pPr>
        <w:spacing w:after="200"/>
        <w:jc w:val="both"/>
      </w:pPr>
      <w:r>
        <w:t>El frecuente aumento de la desigualdad, nos lleva a pensar en que el empobreci</w:t>
      </w:r>
      <w:r>
        <w:t>miento afecta principalmente a las mujeres, ya que la brecha para actividades laborales entre varones y mujeres (brecha de género de población ocupada) es del 27.7% en el segundo trimestre de 2022. A su vez, el 10% más pobre de nuestro país se compone mayo</w:t>
      </w:r>
      <w:r>
        <w:t>ritariamente por mujeres: un 6.4% de mujeres pobres y un 3.6% de varones pobres. Si a estos datos sumamos la desigualdad existente en el acceso a ingresos y bienes para mujeres y niñas con discapacidad, la situación es preocupante.</w:t>
      </w:r>
    </w:p>
    <w:p w:rsidR="00AD73D2" w:rsidRDefault="0039146F">
      <w:pPr>
        <w:spacing w:after="200"/>
        <w:jc w:val="both"/>
      </w:pPr>
      <w:r>
        <w:lastRenderedPageBreak/>
        <w:t xml:space="preserve">Aunque aún no hay datos </w:t>
      </w:r>
      <w:r>
        <w:t>desagregados por discapacidad en el Censo 2022, en los datos registrados por el INDEC en 2018</w:t>
      </w:r>
      <w:r>
        <w:rPr>
          <w:vertAlign w:val="superscript"/>
        </w:rPr>
        <w:footnoteReference w:id="4"/>
      </w:r>
      <w:r>
        <w:t xml:space="preserve">, a partir del Estudio Nacional sobre el Perfil de las Personas con Discapacidad se mostraba en relación con el ámbito laboral, que para una población de 14 años </w:t>
      </w:r>
      <w:r>
        <w:t>y más, la tasa de empleo era del 32,2 %, habiendo una gran diferencia entre varones (40,3%) y mujeres (25,8%) con discapacidad.</w:t>
      </w:r>
    </w:p>
    <w:p w:rsidR="00AD73D2" w:rsidRDefault="0039146F">
      <w:pPr>
        <w:spacing w:after="200"/>
        <w:jc w:val="both"/>
      </w:pPr>
      <w:r>
        <w:rPr>
          <w:b/>
        </w:rPr>
        <w:t>1.1. Cuidadas y cuidadoras. Tareas de cuidado e inequidad en mujeres con discapacidad</w:t>
      </w:r>
    </w:p>
    <w:p w:rsidR="00AD73D2" w:rsidRDefault="0039146F">
      <w:pPr>
        <w:spacing w:after="200"/>
        <w:jc w:val="both"/>
      </w:pPr>
      <w:r>
        <w:t>Por otro lado, la Encuesta Nacional del Uso del Tiempo de 2021 (ENUT)</w:t>
      </w:r>
      <w:r>
        <w:rPr>
          <w:vertAlign w:val="superscript"/>
        </w:rPr>
        <w:footnoteReference w:id="5"/>
      </w:r>
      <w:r>
        <w:t>, demuestra la desigualdad entre hombres y mujeres en lo que atañe a la distribución del tiempo total de un día completo (el que muchas veces sobrepasa las 24 horas). Mientras que para e</w:t>
      </w:r>
      <w:r>
        <w:t>l trabajo remunerado no se observan diferencias significativas por sexo, sí hay una diferencia respecto del trabajo no remunerado: las mujeres suman 1:42 horas con simultaneidad</w:t>
      </w:r>
      <w:r>
        <w:rPr>
          <w:vertAlign w:val="superscript"/>
        </w:rPr>
        <w:footnoteReference w:id="6"/>
      </w:r>
      <w:r>
        <w:t>, en tanto los varones aumentan 0:42 horas su carga de trabajo. En este sentid</w:t>
      </w:r>
      <w:r>
        <w:t xml:space="preserve">o, las mujeres son principalmente las que dedican más tiempo a las tareas no remuneradas (cuidado del hogar, tareas de cuidado dentro del hogar, cuidado de </w:t>
      </w:r>
      <w:proofErr w:type="spellStart"/>
      <w:r>
        <w:t>otres</w:t>
      </w:r>
      <w:proofErr w:type="spellEnd"/>
      <w:r>
        <w:t xml:space="preserve"> y la comunidad) y quienes realizan más de una actividad en simultáneo en el trabajo no remuner</w:t>
      </w:r>
      <w:r>
        <w:t xml:space="preserve">ado. Esta diferenciación sustancial en la distribución del tiempo impacta de manera negativa en la calidad de vida de las niñas y mujeres, a la vez que profundiza las dinámicas de empobrecimiento en este grupo y reproduce y sostiene estereotipos de género </w:t>
      </w:r>
      <w:r>
        <w:t>basados en la desigualdad y la discriminación.</w:t>
      </w:r>
    </w:p>
    <w:p w:rsidR="00AD73D2" w:rsidRDefault="0039146F">
      <w:pPr>
        <w:spacing w:after="240"/>
        <w:jc w:val="both"/>
      </w:pPr>
      <w:r>
        <w:t xml:space="preserve">Las mujeres con discapacidad son principalmente objetos de cuidados en nuestro país, generalmente son mujeres madres quienes cumplen este rol central de cuidado de </w:t>
      </w:r>
      <w:proofErr w:type="spellStart"/>
      <w:r>
        <w:t>otres</w:t>
      </w:r>
      <w:proofErr w:type="spellEnd"/>
      <w:r>
        <w:t xml:space="preserve"> y por tanto se vuelve imperativo revisa</w:t>
      </w:r>
      <w:r>
        <w:t xml:space="preserve">r la feminización de los cuidados y su constante </w:t>
      </w:r>
      <w:proofErr w:type="spellStart"/>
      <w:r>
        <w:t>invisibilización</w:t>
      </w:r>
      <w:proofErr w:type="spellEnd"/>
      <w:r>
        <w:t xml:space="preserve"> como la medida secundaria de trabajo no reconocido. Sin embargo, es importante mencionar que muchas mujeres con discapacidad ejercen también roles de cuidado en relación a sus </w:t>
      </w:r>
      <w:proofErr w:type="spellStart"/>
      <w:r>
        <w:t>hijes</w:t>
      </w:r>
      <w:proofErr w:type="spellEnd"/>
      <w:r>
        <w:t xml:space="preserve"> y otros </w:t>
      </w:r>
      <w:r>
        <w:t xml:space="preserve">familiares convivientes. No obstante, no contamos con datos oficiales que den cuenta de la situación específica de mujeres con discapacidad que </w:t>
      </w:r>
      <w:proofErr w:type="spellStart"/>
      <w:r>
        <w:t>maternan</w:t>
      </w:r>
      <w:proofErr w:type="spellEnd"/>
      <w:r>
        <w:t xml:space="preserve"> y/o cuidan, así como de las implicancias que esta intersección supone. Consideramos que esta falta de i</w:t>
      </w:r>
      <w:r>
        <w:t xml:space="preserve">nformación no es casual, ya que es producto de la </w:t>
      </w:r>
      <w:proofErr w:type="spellStart"/>
      <w:r>
        <w:t>invisibilización</w:t>
      </w:r>
      <w:proofErr w:type="spellEnd"/>
      <w:r>
        <w:t xml:space="preserve"> de esta población en su doble condición (mujeres con discapacidad y cuidadoras). Urge, por tanto, que el Estado pueda producir información fehaciente en relación a las tareas de cuidados qu</w:t>
      </w:r>
      <w:r>
        <w:t xml:space="preserve">e ejercen mujeres con discapacidad y sobre las brechas asociadas a dichas tareas. </w:t>
      </w:r>
    </w:p>
    <w:p w:rsidR="00AD73D2" w:rsidRDefault="0039146F">
      <w:pPr>
        <w:spacing w:after="240"/>
        <w:jc w:val="both"/>
      </w:pPr>
      <w:r>
        <w:t xml:space="preserve">Desde nuestros espacios fuimos </w:t>
      </w:r>
      <w:proofErr w:type="spellStart"/>
      <w:r>
        <w:t>convocades</w:t>
      </w:r>
      <w:proofErr w:type="spellEnd"/>
      <w:r>
        <w:t xml:space="preserve"> (en el mes de febrero de 2021) por el Ministerio de las Mujeres, Géneros y Diversidad, a reuniones iniciales para promover, a travé</w:t>
      </w:r>
      <w:r>
        <w:t xml:space="preserve">s de consultas estrechas, una nueva ley de cuidados (convocatoria única y sin continuidad). Allí destacamos que las personas con discapacidad no son sólo destinatarias de cuidados, sino </w:t>
      </w:r>
      <w:r>
        <w:lastRenderedPageBreak/>
        <w:t>que también pueden brindarlos y que, en ambos casos, pueden o no neces</w:t>
      </w:r>
      <w:r>
        <w:t>itar de apoyos. Destacar el rol de cuidadoras de las mujeres con discapacidad, nos lleva a sostener que esta es una ocupación laboral y que, por tanto, debe reconocerse como tal y no ser incompatible con la Pensión no Contributiva (lo cual sucede en la act</w:t>
      </w:r>
      <w:r>
        <w:t>ualidad con los trabajos registrados)</w:t>
      </w:r>
      <w:r>
        <w:rPr>
          <w:vertAlign w:val="superscript"/>
        </w:rPr>
        <w:footnoteReference w:id="7"/>
      </w:r>
      <w:r>
        <w:t>. Como ejemplo de ello, el programa “Potenciar Trabajo”</w:t>
      </w:r>
      <w:r>
        <w:rPr>
          <w:vertAlign w:val="superscript"/>
        </w:rPr>
        <w:footnoteReference w:id="8"/>
      </w:r>
      <w:r>
        <w:t>, en tanto asignación directa del Estado para revertir la brecha de desocupación, no resulta compatible con el cobro de las pensiones no contributivas (en tanto t</w:t>
      </w:r>
      <w:r>
        <w:t xml:space="preserve">ransferencia directa del estado para quienes poseen un discapacidad), lo cual se convierte en una contradicción importante en el diseño </w:t>
      </w:r>
      <w:proofErr w:type="spellStart"/>
      <w:r>
        <w:t>interseccional</w:t>
      </w:r>
      <w:proofErr w:type="spellEnd"/>
      <w:r>
        <w:t xml:space="preserve"> de la política pública.</w:t>
      </w:r>
    </w:p>
    <w:p w:rsidR="00AD73D2" w:rsidRDefault="0039146F">
      <w:pPr>
        <w:spacing w:after="200"/>
        <w:jc w:val="both"/>
        <w:rPr>
          <w:b/>
        </w:rPr>
      </w:pPr>
      <w:r>
        <w:rPr>
          <w:b/>
        </w:rPr>
        <w:t>Preguntas sugeridas para realizar al Estado Argentino</w:t>
      </w:r>
    </w:p>
    <w:p w:rsidR="00AD73D2" w:rsidRDefault="0039146F">
      <w:pPr>
        <w:numPr>
          <w:ilvl w:val="0"/>
          <w:numId w:val="5"/>
        </w:numPr>
        <w:jc w:val="both"/>
      </w:pPr>
      <w:r>
        <w:t>¿Qué medidas de continuidad</w:t>
      </w:r>
      <w:r>
        <w:t xml:space="preserve"> se prevén en el corto plazo para efectivizar una nueva ley de cuidados con perspectiva en discapacidad, su consecuente reglamentación y su </w:t>
      </w:r>
      <w:proofErr w:type="spellStart"/>
      <w:r>
        <w:t>efectivización</w:t>
      </w:r>
      <w:proofErr w:type="spellEnd"/>
      <w:r>
        <w:t xml:space="preserve"> en políticas públicas federales concretas? Sírvase especificar plazos.</w:t>
      </w:r>
    </w:p>
    <w:p w:rsidR="00AD73D2" w:rsidRDefault="0039146F">
      <w:pPr>
        <w:numPr>
          <w:ilvl w:val="0"/>
          <w:numId w:val="5"/>
        </w:numPr>
        <w:jc w:val="both"/>
      </w:pPr>
      <w:r>
        <w:t>¿Cómo se garantiza que la normativa vigente en relación a pensiones no contributivas que cobran las personas con discapacidad, sean compatibles con los programas específicos que favorecen la autonomía económica de las mujeres, como el programa “Potenciar T</w:t>
      </w:r>
      <w:r>
        <w:t>rabajo”?</w:t>
      </w:r>
    </w:p>
    <w:p w:rsidR="00AD73D2" w:rsidRDefault="0039146F">
      <w:pPr>
        <w:numPr>
          <w:ilvl w:val="0"/>
          <w:numId w:val="5"/>
        </w:numPr>
        <w:jc w:val="both"/>
      </w:pPr>
      <w:r>
        <w:t xml:space="preserve">¿Cómo garantizar la autonomía económica de mujeres con discapacidad considerando la histórica desigualdad en el acceso al trabajo, la desigualdad salarial y de oportunidades que las afecta integralmente? </w:t>
      </w:r>
    </w:p>
    <w:p w:rsidR="00AD73D2" w:rsidRDefault="00AD73D2">
      <w:pPr>
        <w:ind w:left="720"/>
        <w:jc w:val="both"/>
        <w:rPr>
          <w:b/>
        </w:rPr>
      </w:pPr>
    </w:p>
    <w:p w:rsidR="00AD73D2" w:rsidRDefault="0039146F">
      <w:pPr>
        <w:numPr>
          <w:ilvl w:val="0"/>
          <w:numId w:val="4"/>
        </w:numPr>
        <w:spacing w:after="200"/>
        <w:jc w:val="both"/>
        <w:rPr>
          <w:b/>
        </w:rPr>
      </w:pPr>
      <w:r>
        <w:rPr>
          <w:b/>
        </w:rPr>
        <w:t>Violencia por motivos de género hacia muj</w:t>
      </w:r>
      <w:r>
        <w:rPr>
          <w:b/>
        </w:rPr>
        <w:t>eres con discapacidad</w:t>
      </w:r>
    </w:p>
    <w:p w:rsidR="00AD73D2" w:rsidRDefault="0039146F">
      <w:pPr>
        <w:spacing w:after="200"/>
        <w:jc w:val="both"/>
      </w:pPr>
      <w:r>
        <w:t>En 2016, el Comité para la Eliminación de la Discriminación contra la Mujer</w:t>
      </w:r>
      <w:r>
        <w:rPr>
          <w:vertAlign w:val="superscript"/>
        </w:rPr>
        <w:footnoteReference w:id="9"/>
      </w:r>
      <w:r>
        <w:t>, advertía al Estado Argentino en el punto “Violencia por razón de género contra la mujer”, acerca de la falta de información sobre la accesibilidad en los ce</w:t>
      </w:r>
      <w:r>
        <w:t>ntros de acogida para mujeres con discapacidad y recomendaba al Estado velar para que estos centros presten servicios de asesoramiento jurídico, psicológico y otros servicios de apoyos que sean accesibles para las mujeres con discapacidad. Miramos con preo</w:t>
      </w:r>
      <w:r>
        <w:t xml:space="preserve">cupación la persistencia de esta vulneración del derecho a la accesibilidad en todas sus formas y la falta de información al respecto. </w:t>
      </w:r>
    </w:p>
    <w:p w:rsidR="00AD73D2" w:rsidRDefault="0039146F">
      <w:pPr>
        <w:spacing w:after="200"/>
        <w:jc w:val="both"/>
      </w:pPr>
      <w:r>
        <w:t>Es de destacar que uno de los cambios más significativos en materia de derechos de las mujeres y disidencias, así como d</w:t>
      </w:r>
      <w:r>
        <w:t>e las acciones vinculadas a erradicar las históricas desigualdades de género, fue la creación del Ministerio de las Mujeres, Géneros y Diversidad</w:t>
      </w:r>
      <w:r>
        <w:rPr>
          <w:vertAlign w:val="superscript"/>
        </w:rPr>
        <w:footnoteReference w:id="10"/>
      </w:r>
      <w:r>
        <w:t xml:space="preserve"> (</w:t>
      </w:r>
      <w:proofErr w:type="spellStart"/>
      <w:r>
        <w:t>MMGyD</w:t>
      </w:r>
      <w:proofErr w:type="spellEnd"/>
      <w:r>
        <w:t xml:space="preserve">). </w:t>
      </w:r>
    </w:p>
    <w:p w:rsidR="00AD73D2" w:rsidRDefault="0039146F">
      <w:pPr>
        <w:spacing w:after="200"/>
        <w:jc w:val="both"/>
      </w:pPr>
      <w:r>
        <w:lastRenderedPageBreak/>
        <w:t xml:space="preserve">Este Ministerio, redactó y promociona el Plan Nacional de Acción contra las Violencias por Motivos </w:t>
      </w:r>
      <w:r>
        <w:t>de Género previsto para los años 2020-2022</w:t>
      </w:r>
      <w:r>
        <w:rPr>
          <w:vertAlign w:val="superscript"/>
        </w:rPr>
        <w:footnoteReference w:id="11"/>
      </w:r>
      <w:r>
        <w:t xml:space="preserve">,  que cuenta con un abordaje integral e </w:t>
      </w:r>
      <w:proofErr w:type="spellStart"/>
      <w:r>
        <w:t>interseccional</w:t>
      </w:r>
      <w:proofErr w:type="spellEnd"/>
      <w:r>
        <w:t xml:space="preserve">. Sin embargo, asistimos aún, a inaccesibilidades relacionadas al acceso a la justicia y comunicacionales en las políticas públicas específicas de atención a </w:t>
      </w:r>
      <w:r>
        <w:t>las violencias de mujeres con discapacidad.</w:t>
      </w:r>
    </w:p>
    <w:p w:rsidR="00AD73D2" w:rsidRDefault="0039146F">
      <w:pPr>
        <w:spacing w:after="200"/>
        <w:jc w:val="both"/>
        <w:rPr>
          <w:b/>
        </w:rPr>
      </w:pPr>
      <w:r>
        <w:rPr>
          <w:b/>
        </w:rPr>
        <w:t>2.1. Diagnóstico y datos estadísticos sobre violencia por motivos de género en mujeres con discapacidad</w:t>
      </w:r>
    </w:p>
    <w:p w:rsidR="00AD73D2" w:rsidRDefault="0039146F">
      <w:pPr>
        <w:spacing w:after="200"/>
        <w:jc w:val="both"/>
      </w:pPr>
      <w:r>
        <w:t>En el referido Plan de Acción, se consigna como uno de los principales resultados del Informe del Registro N</w:t>
      </w:r>
      <w:r>
        <w:t xml:space="preserve">acional de </w:t>
      </w:r>
      <w:proofErr w:type="spellStart"/>
      <w:r>
        <w:t>Femicidios</w:t>
      </w:r>
      <w:proofErr w:type="spellEnd"/>
      <w:r>
        <w:t xml:space="preserve"> de la Justicia Argentina para el año 2019 la identificación de situaciones específicas y/o condiciones de vulnerabilidad de las víctimas de </w:t>
      </w:r>
      <w:proofErr w:type="spellStart"/>
      <w:r>
        <w:t>femicidios</w:t>
      </w:r>
      <w:proofErr w:type="spellEnd"/>
      <w:r>
        <w:t xml:space="preserve">: “Se identificaron 252 víctimas directas de </w:t>
      </w:r>
      <w:proofErr w:type="spellStart"/>
      <w:r>
        <w:t>femicidios</w:t>
      </w:r>
      <w:proofErr w:type="spellEnd"/>
      <w:r>
        <w:t xml:space="preserve"> en la República Argentina en</w:t>
      </w:r>
      <w:r>
        <w:t>tre el 1 de enero y el 31 de diciembre de 2019”, de las cuales “seis (...) eran personas con discapacidad”</w:t>
      </w:r>
      <w:r>
        <w:rPr>
          <w:vertAlign w:val="superscript"/>
        </w:rPr>
        <w:footnoteReference w:id="12"/>
      </w:r>
      <w:r>
        <w:t>.</w:t>
      </w:r>
    </w:p>
    <w:p w:rsidR="00AD73D2" w:rsidRDefault="0039146F">
      <w:pPr>
        <w:spacing w:after="200"/>
        <w:jc w:val="both"/>
      </w:pPr>
      <w:r>
        <w:t>Por otro lado, este mismo Plan de Acción da cuenta de un diagnóstico de los casos ingresados a la Línea Nacional 144 durante el año 2020. Según los</w:t>
      </w:r>
      <w:r>
        <w:t xml:space="preserve"> datos recabados de la “persona en situación de violencia”, se registran un total de 9692 casos de violencias por motivos de género entre enero y abril del año 2020, y se menciona que en 238 casos las personas en situación de violencias o familiares presen</w:t>
      </w:r>
      <w:r>
        <w:t>tes en el hecho de violencia relatado presentaban algún tipo de discapacidad.</w:t>
      </w:r>
    </w:p>
    <w:p w:rsidR="00AD73D2" w:rsidRDefault="0039146F">
      <w:pPr>
        <w:spacing w:after="200"/>
        <w:jc w:val="both"/>
      </w:pPr>
      <w:r>
        <w:t>Se destaca también en este diagnóstico un punto particular referido a “violencia laboral” por motivos de género, a partir de datos de encuestas de la Oficina de Asesoramiento sob</w:t>
      </w:r>
      <w:r>
        <w:t xml:space="preserve">re Violencia Laboral (OAVL) dependiente del Ministerio de Trabajo, Empleo y Seguridad Social de la Nación. En este sentido se indica que el 15% de las encuestadas afirmó que </w:t>
      </w:r>
      <w:proofErr w:type="gramStart"/>
      <w:r>
        <w:t>les</w:t>
      </w:r>
      <w:proofErr w:type="gramEnd"/>
      <w:r>
        <w:t xml:space="preserve"> solicitan favores sexuales a cambio de un beneficio laboral, duplicando estas </w:t>
      </w:r>
      <w:r>
        <w:t>experiencias entre las encuestadas con discapacidad (33%).</w:t>
      </w:r>
    </w:p>
    <w:p w:rsidR="00AD73D2" w:rsidRDefault="0039146F">
      <w:pPr>
        <w:spacing w:after="200"/>
        <w:jc w:val="both"/>
      </w:pPr>
      <w:r>
        <w:t>A partir de estos diagnósticos se reconoce un fuerte déficit para registrar con rigurosidad los ingresos de casos y consultas de la Línea 144, en los que la persona en situación de violencia presen</w:t>
      </w:r>
      <w:r>
        <w:t>ta una discapacidad. Se vuelve necesario entonces detectar brechas de acceso a los dispositivos de acompañamiento y asistencia a las personas en situación de violencia de género, fundamentalmente a mujeres sordas y mujeres con discapacidad intelectual, deb</w:t>
      </w:r>
      <w:r>
        <w:t>ido a las inaccesibilidades concretas en el proceso de denuncia.</w:t>
      </w:r>
    </w:p>
    <w:p w:rsidR="00AD73D2" w:rsidRDefault="0039146F">
      <w:pPr>
        <w:spacing w:after="200"/>
        <w:jc w:val="both"/>
      </w:pPr>
      <w:r>
        <w:t>En este marco surge el diseño del Sistema Integrado de Casos de Violencias por Motivos de Género, así como el nuevo desarrollo informático para el registro de comunicaciones a la Línea 144, e</w:t>
      </w:r>
      <w:r>
        <w:t xml:space="preserve">n los cuales se incluye un set de indicadores de discapacidad. En cuanto a estos indicadores, el nuevo Plan de Acción 2020-2022 indica que se relevarán elementos tales como: si la persona que consulta a la línea se encuentra en situación de violencias, si </w:t>
      </w:r>
      <w:r>
        <w:t xml:space="preserve">es persona con discapacidad, y si la deficiencia es consecuencia o secuela de las violencias. Además, se prevé indagar si la persona en situación de violencias que consulta a la línea </w:t>
      </w:r>
      <w:r>
        <w:lastRenderedPageBreak/>
        <w:t>tiene personas con discapacidad a cargo. También, si alguna de estas per</w:t>
      </w:r>
      <w:r>
        <w:t>sonas resultó afectada por la situación de violencia relatada.</w:t>
      </w:r>
    </w:p>
    <w:p w:rsidR="00AD73D2" w:rsidRDefault="0039146F">
      <w:pPr>
        <w:spacing w:after="200"/>
        <w:jc w:val="both"/>
      </w:pPr>
      <w:r>
        <w:t>En resumen, la recolección de datos estadísticos específicos sobre el número de mujeres con discapacidad que transitan situaciones de violencia de género está prevista en el Plan Nacional de Ac</w:t>
      </w:r>
      <w:r>
        <w:t>ción, lo que se constituye en un importante avance para la construcción de medidas y acciones específicas para la prevención y erradicación de la violencia hacia las mujeres con discapacidad. Esos datos estadísticos deberían servir para la toma de decision</w:t>
      </w:r>
      <w:r>
        <w:t>es en relación a medidas de acción positivas en cuanto a accesibilidad. Es necesario destacar aquí, que el Plan de Acción lleva dos años de ejecutado, pero sin embargo aún no existen datos públicos concretos sobre mujeres con discapacidad, ni tampoco sobre</w:t>
      </w:r>
      <w:r>
        <w:t xml:space="preserve"> medidas concretas de acción para la prevención de las violencias. </w:t>
      </w:r>
      <w:r>
        <w:rPr>
          <w:highlight w:val="white"/>
        </w:rPr>
        <w:t>El Estado argentino debe, entonces, dar cuenta concreta de las medidas adoptadas para generar estadísticas y políticas públicas en relación a las situaciones de violencia que las mujeres co</w:t>
      </w:r>
      <w:r>
        <w:rPr>
          <w:highlight w:val="white"/>
        </w:rPr>
        <w:t>n discapacidad transitan.</w:t>
      </w:r>
    </w:p>
    <w:p w:rsidR="00AD73D2" w:rsidRDefault="0039146F">
      <w:pPr>
        <w:spacing w:after="200"/>
        <w:jc w:val="both"/>
        <w:rPr>
          <w:b/>
        </w:rPr>
      </w:pPr>
      <w:r>
        <w:rPr>
          <w:b/>
        </w:rPr>
        <w:t>2.2. Acciones específicas y accesibles para la prevención de las violencias por motivos de género a mujeres con discapacidad</w:t>
      </w:r>
    </w:p>
    <w:p w:rsidR="00AD73D2" w:rsidRDefault="0039146F">
      <w:pPr>
        <w:jc w:val="both"/>
      </w:pPr>
      <w:r>
        <w:t xml:space="preserve">Aunque en el Plan de Acción anteriormente referido, puede verse desplegada la perspectiva de </w:t>
      </w:r>
      <w:proofErr w:type="spellStart"/>
      <w:r>
        <w:t>interseccion</w:t>
      </w:r>
      <w:r>
        <w:t>alidad</w:t>
      </w:r>
      <w:proofErr w:type="spellEnd"/>
      <w:r>
        <w:t xml:space="preserve"> en general, la perspectiva en discapacidad aparece puntualmente sólo en algunas secciones particulares como las de capacitación. En este sentido, en dicho plan, se enuncia la propuesta de desarrollo de acciones específicas para la prevención de las </w:t>
      </w:r>
      <w:r>
        <w:t xml:space="preserve">violencias por motivos de género en todas sus modalidades y tipos, como el de instrumentar capacitaciones para la deconstrucción de estereotipos de género en diversos ámbitos y dirigidos a grupos específicos, dentro de los cuales se enuncia el de personas </w:t>
      </w:r>
      <w:r>
        <w:t>con discapacidad.</w:t>
      </w:r>
    </w:p>
    <w:p w:rsidR="00AD73D2" w:rsidRDefault="00AD73D2">
      <w:pPr>
        <w:jc w:val="both"/>
      </w:pPr>
    </w:p>
    <w:p w:rsidR="00AD73D2" w:rsidRDefault="0039146F">
      <w:pPr>
        <w:jc w:val="both"/>
      </w:pPr>
      <w:r>
        <w:t>No obstante, en las principales medidas de acción y compensación de las desigualdades por motivos de género que incluyen planes de fortalecimiento para las personas víctimas de violencia, no está prevista la compatibilidad de estos plane</w:t>
      </w:r>
      <w:r>
        <w:t>s (como los Programas “Acompañar”</w:t>
      </w:r>
      <w:r>
        <w:rPr>
          <w:vertAlign w:val="superscript"/>
        </w:rPr>
        <w:footnoteReference w:id="13"/>
      </w:r>
      <w:r>
        <w:t xml:space="preserve"> y “Potenciar Trabajo”</w:t>
      </w:r>
      <w:r>
        <w:rPr>
          <w:vertAlign w:val="superscript"/>
        </w:rPr>
        <w:footnoteReference w:id="14"/>
      </w:r>
      <w:r>
        <w:t>) con los beneficios propios del colectivo de personas con discapacidad como por ejemplo las Pensiones No Contributivas</w:t>
      </w:r>
      <w:r>
        <w:rPr>
          <w:vertAlign w:val="superscript"/>
        </w:rPr>
        <w:footnoteReference w:id="15"/>
      </w:r>
      <w:r>
        <w:t>. Si el Plan de Acción se propone el fortalecimiento de las herramientas de asi</w:t>
      </w:r>
      <w:r>
        <w:t>stencia integral de las mujeres y personas LGBTI+ en situación de violencias por motivos de género, esta incompatibilidad debería ser revisada de manera urgente como primera acción para instrumentar herramientas específicas a grupos de mujeres y personas L</w:t>
      </w:r>
      <w:r>
        <w:t xml:space="preserve">GBTI+ y de personas con discapacidad. Este aspecto es crucial para favorecer la autonomía económica y la emancipación de las mujeres con discapacidad que transitan situaciones de violencia por motivos de género, desde una </w:t>
      </w:r>
      <w:r>
        <w:lastRenderedPageBreak/>
        <w:t xml:space="preserve">perspectiva </w:t>
      </w:r>
      <w:proofErr w:type="spellStart"/>
      <w:r>
        <w:t>interseccional</w:t>
      </w:r>
      <w:proofErr w:type="spellEnd"/>
      <w:r>
        <w:t xml:space="preserve"> y consi</w:t>
      </w:r>
      <w:r>
        <w:t>derando la histórica desigualdad salarial y de oportunidades que afecta a las mujeres en general y a las mujeres con discapacidad en particular.</w:t>
      </w:r>
    </w:p>
    <w:p w:rsidR="00AD73D2" w:rsidRDefault="00AD73D2">
      <w:pPr>
        <w:jc w:val="both"/>
      </w:pPr>
    </w:p>
    <w:p w:rsidR="00AD73D2" w:rsidRDefault="0039146F">
      <w:pPr>
        <w:jc w:val="both"/>
      </w:pPr>
      <w:r>
        <w:t>Otra de las acciones en las que se centra el Plan Nacional de Acción contra la Violencia por Motivos de Género, es el “Programa de modernización, optimización y difusión de la Línea 144”</w:t>
      </w:r>
      <w:r>
        <w:rPr>
          <w:vertAlign w:val="superscript"/>
        </w:rPr>
        <w:footnoteReference w:id="16"/>
      </w:r>
      <w:r>
        <w:t xml:space="preserve">. </w:t>
      </w:r>
      <w:r>
        <w:rPr>
          <w:highlight w:val="white"/>
        </w:rPr>
        <w:t>El mismo</w:t>
      </w:r>
      <w:r>
        <w:t xml:space="preserve"> implica el fortalecimiento de los recursos humanos especia</w:t>
      </w:r>
      <w:r>
        <w:t>lizados de la Línea 144, el armado y planificación de las capacitaciones en perspectiva de discapacidad para los mismos, la ampliación de los canales de atención y la optimización de la calidad y niveles de accesibilidad. Se prevé la puesta en marcha de un</w:t>
      </w:r>
      <w:r>
        <w:t xml:space="preserve">a aplicación digital de la Línea 144 con georreferencia de instituciones para el abordaje integral, difusión a nivel federal en medios de transporte, sitios web de organismos públicos, entre otros. </w:t>
      </w:r>
    </w:p>
    <w:p w:rsidR="00AD73D2" w:rsidRDefault="00AD73D2">
      <w:pPr>
        <w:jc w:val="both"/>
      </w:pPr>
    </w:p>
    <w:p w:rsidR="00AD73D2" w:rsidRDefault="0039146F">
      <w:pPr>
        <w:jc w:val="both"/>
      </w:pPr>
      <w:r>
        <w:t>Sin embargo, reconocemos que existen dos poblaciones con</w:t>
      </w:r>
      <w:r>
        <w:t>cretas como son las mujeres y niñas con discapacidad intelectual y usuarias de salud mental a las que las campañas en circulación no llegan, no existen campañas de difusión y prevención con lenguaje sencillo, ni centros de acogida con profesionales formado</w:t>
      </w:r>
      <w:r>
        <w:t>s para brindar el acceso a estas poblaciones y garantizar los ajustes de procedimiento que se requieran.</w:t>
      </w:r>
    </w:p>
    <w:p w:rsidR="00AD73D2" w:rsidRDefault="00AD73D2">
      <w:pPr>
        <w:jc w:val="both"/>
      </w:pPr>
    </w:p>
    <w:p w:rsidR="00AD73D2" w:rsidRDefault="0039146F">
      <w:pPr>
        <w:spacing w:after="200"/>
        <w:jc w:val="both"/>
        <w:rPr>
          <w:b/>
        </w:rPr>
      </w:pPr>
      <w:r>
        <w:rPr>
          <w:b/>
        </w:rPr>
        <w:t>2.3. Acceso a la justicia a mujeres con discapacidad en situación de violencia por motivos de género</w:t>
      </w:r>
    </w:p>
    <w:p w:rsidR="00AD73D2" w:rsidRDefault="0039146F">
      <w:pPr>
        <w:spacing w:after="200"/>
        <w:jc w:val="both"/>
      </w:pPr>
      <w:r>
        <w:t>Otra de las líneas de trabajo de este Plan de Acc</w:t>
      </w:r>
      <w:r>
        <w:t xml:space="preserve">ión es el fortalecimiento del acceso a la justicia. Para esto, el mismo se propone desarrollar herramientas tendientes a fomentar la accesibilidad de los procesos judiciales a personas con discapacidad en articulación con el Programa ADAJUS del Ministerio </w:t>
      </w:r>
      <w:r>
        <w:t>de Justicia y Derechos Humanos y se propone crear un registro de intérpretes para personas con discapacidad y guías de buenas prácticas con perspectiva de discapacidad, género y diversidad.</w:t>
      </w:r>
    </w:p>
    <w:p w:rsidR="00AD73D2" w:rsidRDefault="0039146F">
      <w:pPr>
        <w:jc w:val="both"/>
      </w:pPr>
      <w:r>
        <w:t>Sin embargo, no resulta claro qué tipo de mecanismos se implementa</w:t>
      </w:r>
      <w:r>
        <w:t>rán en el Plan para facilitar la denuncia y el acceso a la justicia de las mujeres, adolescentes y niñas con discapacidad que transitan situaciones de violencia por motivos de género. Tampoco se explicita el modo en que se proveerán los recursos económicos</w:t>
      </w:r>
      <w:r>
        <w:t xml:space="preserve">, técnicos y humanos adecuados para proteger y garantizar los derechos de las mujeres y niñas con discapacidad durante el proceso judicial y luego de su finalización.  </w:t>
      </w:r>
    </w:p>
    <w:p w:rsidR="00AD73D2" w:rsidRDefault="00AD73D2">
      <w:pPr>
        <w:jc w:val="both"/>
      </w:pPr>
    </w:p>
    <w:p w:rsidR="00AD73D2" w:rsidRDefault="0039146F">
      <w:pPr>
        <w:spacing w:after="200"/>
        <w:jc w:val="both"/>
        <w:rPr>
          <w:color w:val="FF0000"/>
        </w:rPr>
      </w:pPr>
      <w:r>
        <w:rPr>
          <w:b/>
        </w:rPr>
        <w:t>2.4. Sobre la situación de la institucionalización de mujeres con discapacidad y las v</w:t>
      </w:r>
      <w:r>
        <w:rPr>
          <w:b/>
        </w:rPr>
        <w:t>iolencias</w:t>
      </w:r>
    </w:p>
    <w:p w:rsidR="00AD73D2" w:rsidRDefault="0039146F">
      <w:pPr>
        <w:spacing w:after="200"/>
        <w:jc w:val="both"/>
      </w:pPr>
      <w:r>
        <w:t>En 2012 el Comité sobre los Derechos de las Personas con Discapacidad manifestó su inquietud por la falta de protección ante la violencia y el abuso que puedan sufrir las personas con discapacidad institucionalizadas. En este sentido, se recomend</w:t>
      </w:r>
      <w:r>
        <w:t>ó al Estado parte que indague sobre la construcción de datos que brinden información sobre violencia y abusos cometidos contra personas con discapacidad, con especial atención a las mujeres, infancias y personas institucionalizadas (Documento O.N.U. CRPD/C</w:t>
      </w:r>
      <w:r>
        <w:t>/ARG/CO/1).</w:t>
      </w:r>
    </w:p>
    <w:p w:rsidR="00AD73D2" w:rsidRDefault="0039146F">
      <w:pPr>
        <w:spacing w:after="200"/>
        <w:jc w:val="both"/>
      </w:pPr>
      <w:r>
        <w:lastRenderedPageBreak/>
        <w:t>En 2019 se realizó en nuestro país el 1° Censo Nacional de Personas Internadas por Motivos de Salud Mental en instituciones de internación monovalente públicas y privadas de 21 jurisdicciones del país</w:t>
      </w:r>
      <w:r>
        <w:rPr>
          <w:vertAlign w:val="superscript"/>
        </w:rPr>
        <w:footnoteReference w:id="17"/>
      </w:r>
      <w:r>
        <w:t>, en vistas al objetivo establecido para el</w:t>
      </w:r>
      <w:r>
        <w:t xml:space="preserve"> cierre definitivo de espacios monovalentes de internación para el año 2020, acorde a lo establecido en Decreto Reglamentario 603/13 de la Ley Nacional de Salud Mental N° 26.657</w:t>
      </w:r>
      <w:r>
        <w:rPr>
          <w:vertAlign w:val="superscript"/>
        </w:rPr>
        <w:footnoteReference w:id="18"/>
      </w:r>
      <w:r>
        <w:t>. Sin embargo, en cuanto a la situación diferencial de las mujeres y niñas con</w:t>
      </w:r>
      <w:r>
        <w:t xml:space="preserve"> discapacidad psicosocial, los datos publicados sólo dieron cuenta de la cantidad (o número absoluto) de varones, mujeres y otras identidades internadas en instituciones monovalentes, sin incorporar de manera transversal una perspectiva de género en el dis</w:t>
      </w:r>
      <w:r>
        <w:t>eño de la herramienta: el resto de los datos no se presentaron desagregados por género, lo cual imposibilitó conocer -mediante datos oficiales- la situación diferencial de discriminación, violencia y vulneración que enfrentan las mujeres institucionalizada</w:t>
      </w:r>
      <w:r>
        <w:t>s en centros de salud mental de nuestro país.</w:t>
      </w:r>
    </w:p>
    <w:p w:rsidR="00AD73D2" w:rsidRDefault="0039146F">
      <w:pPr>
        <w:spacing w:after="200"/>
        <w:jc w:val="both"/>
      </w:pPr>
      <w:r>
        <w:t>A partir de registros e investigaciones realizados por diversas organizaciones sociales y espacios académicos, manifestamos una especial preocupación por las violencias que se producen en los hospitales psiquiá</w:t>
      </w:r>
      <w:r>
        <w:t>tricos por razones vinculadas al género, las cuales profundizan las ya graves vulneraciones a los derechos humanos que enfrenta toda la población internada en esas instituciones. Las mujeres y niñas internadas por motivos de salud mental y/o con discapacid</w:t>
      </w:r>
      <w:r>
        <w:t xml:space="preserve">ad psicosocial, vivencian situaciones continuas de maltrato y son víctimas habituales de abusos sexuales. Pese a ello, una escasa proporción de tales delitos llegan a materializarse en denuncias concretas producto de los cuestionamientos a la credibilidad </w:t>
      </w:r>
      <w:r>
        <w:t xml:space="preserve">de la palabra de las usuarias (como consecuencia de los procesos de estigmatización subyacentes) y de las barreras para acceder a la justicia en el marco de estas internaciones involuntarias. </w:t>
      </w:r>
    </w:p>
    <w:p w:rsidR="00AD73D2" w:rsidRDefault="0039146F">
      <w:pPr>
        <w:spacing w:after="200"/>
        <w:jc w:val="both"/>
      </w:pPr>
      <w:r>
        <w:t>Por otra parte, los lugares de atención para mujeres en situaci</w:t>
      </w:r>
      <w:r>
        <w:t>ón de violencia de género no están preparados para atender las necesidades específicas de las mujeres con discapacidad. Por ejemplo, en Córdoba Capital, el Polo Integral de la Mujer en Situación de Violencia, dependiente del Ministerio de la Mujer, no atie</w:t>
      </w:r>
      <w:r>
        <w:t>nde en general a personas con diagnósticos de salud mental, salvo algunas excepciones alojadas por la buena predisposición de los equipos. En la mayoría de los casos, las mujeres con discapacidad psicosocial que son víctimas de violencia de género son deri</w:t>
      </w:r>
      <w:r>
        <w:t>vadas a hospitales psiquiátricos, los cuales se suponen instituciones preparadas para abordar problemáticas específicas de salud mental, aun cuando en tales circunstancias no exista situación de riesgo cierto e inminente y cuando la consulta al Polo haya s</w:t>
      </w:r>
      <w:r>
        <w:t xml:space="preserve">ido motivada por causales de violencia de género y no por motivos de salud mental. </w:t>
      </w:r>
    </w:p>
    <w:p w:rsidR="00AD73D2" w:rsidRDefault="0039146F">
      <w:pPr>
        <w:spacing w:after="200"/>
        <w:jc w:val="both"/>
      </w:pPr>
      <w:r>
        <w:t>En ese marco, las mujeres con discapacidad psicosocial que fueron víctimas de violencia de género quedan por fuera de las prestaciones que brinda el Polo para las mujeres q</w:t>
      </w:r>
      <w:r>
        <w:t xml:space="preserve">ue transitan situaciones de violencia (tales como ayudas económicas, subsidios para alquiler, becas de empleo, residencias de acogida temporal, etc.). Por el contrario, al derivarlas al hospital psiquiátrico, el acompañamiento durante la internación no se </w:t>
      </w:r>
      <w:r>
        <w:t xml:space="preserve">diferencia del que recibe </w:t>
      </w:r>
      <w:r>
        <w:lastRenderedPageBreak/>
        <w:t>cualquier otra persona que ingresa a una internación por motivos de salud mental: allí se aborda casi exclusivamente la patología y la sintomatología clínica y no existen protocolos para abordar situaciones de violencia de género,</w:t>
      </w:r>
      <w:r>
        <w:t xml:space="preserve"> ni abordajes diferenciales y específicos para las mujeres víctimas, quedando a criterio de cada equipo interdisciplinario las estrategias a implementar en estos casos, por tanto destacamos las medidas de inaccesibilidad y ausencia de perspectiva en discap</w:t>
      </w:r>
      <w:r>
        <w:t xml:space="preserve">acidad ante estos episodios. </w:t>
      </w:r>
    </w:p>
    <w:p w:rsidR="00AD73D2" w:rsidRDefault="0039146F">
      <w:pPr>
        <w:spacing w:after="200"/>
        <w:jc w:val="both"/>
        <w:rPr>
          <w:b/>
        </w:rPr>
      </w:pPr>
      <w:r>
        <w:rPr>
          <w:b/>
        </w:rPr>
        <w:t>Preguntas sugeridas para realizar al Estado Argentino</w:t>
      </w:r>
    </w:p>
    <w:p w:rsidR="00AD73D2" w:rsidRDefault="0039146F">
      <w:pPr>
        <w:numPr>
          <w:ilvl w:val="0"/>
          <w:numId w:val="5"/>
        </w:numPr>
        <w:jc w:val="both"/>
      </w:pPr>
      <w:r>
        <w:t>¿Cómo se planean construir dispositivos de asesoramiento, asistencia, acompañamiento y denuncia más integrales y sobre todo accesibles para las mujeres y niñas con discapac</w:t>
      </w:r>
      <w:r>
        <w:t>idad?, ¿Qué lugar se le piensa dar a los ajustes razonables y los apoyos necesarios en estos procesos?</w:t>
      </w:r>
    </w:p>
    <w:p w:rsidR="00AD73D2" w:rsidRDefault="0039146F">
      <w:pPr>
        <w:numPr>
          <w:ilvl w:val="0"/>
          <w:numId w:val="5"/>
        </w:numPr>
        <w:jc w:val="both"/>
      </w:pPr>
      <w:r>
        <w:t>¿</w:t>
      </w:r>
      <w:proofErr w:type="gramStart"/>
      <w:r>
        <w:t>Qué  posibilidades</w:t>
      </w:r>
      <w:proofErr w:type="gramEnd"/>
      <w:r>
        <w:t xml:space="preserve"> y acciones concretas de articulación existe entre el Ministerio de las Mujeres, Géneros y Diversidad y otras áreas del Estado para ga</w:t>
      </w:r>
      <w:r>
        <w:t>rantizar la accesibilidad de las mujeres con discapacidad al trabajo, a la vivienda, a la salud y la educación de manera integral para una vida libre de violencias?</w:t>
      </w:r>
    </w:p>
    <w:p w:rsidR="00AD73D2" w:rsidRDefault="0039146F">
      <w:pPr>
        <w:numPr>
          <w:ilvl w:val="0"/>
          <w:numId w:val="5"/>
        </w:numPr>
        <w:jc w:val="both"/>
      </w:pPr>
      <w:r>
        <w:t>¿Qué recursos económicos, técnicos y humanos adecuados se dispondrán para proteger y garant</w:t>
      </w:r>
      <w:r>
        <w:t>izar los derechos de las mujeres y niñas con discapacidad en el acceso a la justicia en situaciones de violencia por motivos de género?, ¿De qué modo se tienen en cuenta los ajustes razonables y apoyos necesarios para el libre ejercicio de la capacidad jur</w:t>
      </w:r>
      <w:r>
        <w:t xml:space="preserve">ídica de mujeres y niñas con discapacidad?  </w:t>
      </w:r>
    </w:p>
    <w:p w:rsidR="00AD73D2" w:rsidRDefault="0039146F">
      <w:pPr>
        <w:numPr>
          <w:ilvl w:val="0"/>
          <w:numId w:val="5"/>
        </w:numPr>
        <w:jc w:val="both"/>
      </w:pPr>
      <w:r>
        <w:t>¿Qué medidas concretas se están llevando a cabo para la creación de órganos de revisión locales en materia de salud mental para el monitoreo y supervisión de las internaciones e institucionalizaciones donde se v</w:t>
      </w:r>
      <w:r>
        <w:t xml:space="preserve">ulneran derechos de las mujeres y niñas con discapacidad psicosocial? </w:t>
      </w:r>
    </w:p>
    <w:p w:rsidR="00AD73D2" w:rsidRDefault="00AD73D2">
      <w:pPr>
        <w:ind w:left="720"/>
        <w:jc w:val="both"/>
      </w:pPr>
    </w:p>
    <w:p w:rsidR="00AD73D2" w:rsidRDefault="0039146F">
      <w:pPr>
        <w:spacing w:after="200"/>
        <w:jc w:val="both"/>
      </w:pPr>
      <w:r>
        <w:rPr>
          <w:b/>
        </w:rPr>
        <w:t xml:space="preserve">    3. </w:t>
      </w:r>
      <w:r>
        <w:rPr>
          <w:b/>
        </w:rPr>
        <w:tab/>
        <w:t>Derechos sexuales y (no) reproductivos</w:t>
      </w:r>
    </w:p>
    <w:p w:rsidR="00AD73D2" w:rsidRDefault="0039146F">
      <w:pPr>
        <w:spacing w:after="200"/>
        <w:jc w:val="both"/>
      </w:pPr>
      <w:r>
        <w:t xml:space="preserve">En Argentina en el año 2003 se sancionó la Ley 25.673 que garantiza los derechos de la salud sexual y reproductiva y, a raíz de dicha ley, se creó el Programa Nacional de Salud Sexual y Procreación Responsable en el Ministerio de Salud de la Nación. Dicha </w:t>
      </w:r>
      <w:r>
        <w:t>norma tiene como uno de sus objetivos: “[a]</w:t>
      </w:r>
      <w:proofErr w:type="spellStart"/>
      <w:r>
        <w:t>lcanzar</w:t>
      </w:r>
      <w:proofErr w:type="spellEnd"/>
      <w:r>
        <w:t xml:space="preserve"> para la población el nivel más elevado de salud sexual y procreación responsable con el fin de que pueda adoptar decisiones libres de discriminación, coacciones o violencia”. Sin embargo, a casi veinte año</w:t>
      </w:r>
      <w:r>
        <w:t>s de sancionada dicha ley, persisten barreras físicas, comunicacionales y actitudinales que dificultan el ejercicio de tales derechos en condiciones de igualdad por parte de las mujeres con discapacidad.</w:t>
      </w:r>
    </w:p>
    <w:p w:rsidR="00AD73D2" w:rsidRDefault="0039146F">
      <w:pPr>
        <w:spacing w:after="200"/>
        <w:jc w:val="both"/>
      </w:pPr>
      <w:r>
        <w:rPr>
          <w:b/>
        </w:rPr>
        <w:t>3.1. Infraestructura, comunicación e información</w:t>
      </w:r>
    </w:p>
    <w:p w:rsidR="00AD73D2" w:rsidRDefault="0039146F">
      <w:pPr>
        <w:spacing w:after="200"/>
        <w:jc w:val="both"/>
      </w:pPr>
      <w:r>
        <w:t>Los</w:t>
      </w:r>
      <w:r>
        <w:t xml:space="preserve"> establecimientos de salud públicos y privados han avanzado, aunque de manera dispar en las diferentes provincias del país, en materia de accesibilidad para el ingreso y permanencia en los mismos por parte de personas con discapacidad, aunque aún no se enc</w:t>
      </w:r>
      <w:r>
        <w:t>uentran adaptados del todo para posibilitar la accesibilidad específica de estas personas en lo referente a las consultas. En efecto, muchos de los servicios de ginecología y obstetricia no cuentan con mobiliario ni con camillas ginecológicas accesibles, t</w:t>
      </w:r>
      <w:r>
        <w:t xml:space="preserve">ampoco con aparatología </w:t>
      </w:r>
      <w:r>
        <w:lastRenderedPageBreak/>
        <w:t>adecuada que permita la realización de exámenes de control (tales como mamografías) a las mujeres con discapacidad motriz</w:t>
      </w:r>
      <w:r>
        <w:rPr>
          <w:vertAlign w:val="superscript"/>
        </w:rPr>
        <w:footnoteReference w:id="19"/>
      </w:r>
      <w:r>
        <w:t xml:space="preserve">. </w:t>
      </w:r>
    </w:p>
    <w:p w:rsidR="00AD73D2" w:rsidRDefault="0039146F">
      <w:pPr>
        <w:spacing w:after="200"/>
        <w:jc w:val="both"/>
      </w:pPr>
      <w:r>
        <w:t>En lo que respecta a la comunicación, tales establecimientos no cuentan con un servicio de intérpretes de L</w:t>
      </w:r>
      <w:r>
        <w:t>engua de Señas Argentina</w:t>
      </w:r>
      <w:r>
        <w:rPr>
          <w:vertAlign w:val="superscript"/>
        </w:rPr>
        <w:t xml:space="preserve"> </w:t>
      </w:r>
      <w:r>
        <w:t>(LSA)</w:t>
      </w:r>
      <w:r>
        <w:rPr>
          <w:vertAlign w:val="superscript"/>
        </w:rPr>
        <w:footnoteReference w:id="20"/>
      </w:r>
      <w:r>
        <w:t xml:space="preserve"> para las consultas y/o exámenes médicos disponible las 24 horas, tampoco con un sistema de señales icónicas</w:t>
      </w:r>
      <w:r>
        <w:rPr>
          <w:vertAlign w:val="superscript"/>
        </w:rPr>
        <w:footnoteReference w:id="21"/>
      </w:r>
      <w:r>
        <w:t xml:space="preserve"> que faciliten el acceso a los distintos servicios o la presencia de suelo </w:t>
      </w:r>
      <w:proofErr w:type="spellStart"/>
      <w:r>
        <w:t>podotáctil</w:t>
      </w:r>
      <w:proofErr w:type="spellEnd"/>
      <w:r>
        <w:rPr>
          <w:vertAlign w:val="superscript"/>
        </w:rPr>
        <w:footnoteReference w:id="22"/>
      </w:r>
      <w:r>
        <w:t xml:space="preserve">. Tampoco se registra aún una </w:t>
      </w:r>
      <w:r>
        <w:t xml:space="preserve">circulación masiva de materiales informativos accesibles sobre salud sexual y reproductiva para personas ciegas, sordas, </w:t>
      </w:r>
      <w:proofErr w:type="spellStart"/>
      <w:r>
        <w:t>hipoacúsicas</w:t>
      </w:r>
      <w:proofErr w:type="spellEnd"/>
      <w:r>
        <w:t xml:space="preserve"> o con discapacidad intelectual que sean producidos por el propio Estado. </w:t>
      </w:r>
    </w:p>
    <w:p w:rsidR="00AD73D2" w:rsidRDefault="0039146F">
      <w:pPr>
        <w:spacing w:after="200"/>
        <w:jc w:val="both"/>
      </w:pPr>
      <w:r>
        <w:t>Por su parte, las mujeres con discapacidad audit</w:t>
      </w:r>
      <w:r>
        <w:t>iva encuentran numerosas barreras comunicacionales para el cuidado de su salud sexual, reproductiva y no reproductiva, ya que les profesionales que brindan asistencia u orientación, desconocen sobre LSA. Por lo tanto, cuando una mujer sorda o con hipoacusi</w:t>
      </w:r>
      <w:r>
        <w:t xml:space="preserve">a acude a un consultorio de salud sexual y (no) reproductiva sin acompañamiento de un intérprete, no recibe asesoramiento de ningún tipo y la consulta suele terminar rápidamente, limitándose a la realización de estudios de rutina. Esto ha empeorado debido </w:t>
      </w:r>
      <w:r>
        <w:t>a los protocolos implementados en el marco de la pandemia por COVID-19, los cuales incluyen el uso de tapabocas que impiden la lectura de labios o la interpretación de la palabra dicha, complejizando el acceso a la comunicación de personas sordas o con baj</w:t>
      </w:r>
      <w:r>
        <w:t>a audición.</w:t>
      </w:r>
    </w:p>
    <w:p w:rsidR="00AD73D2" w:rsidRDefault="0039146F">
      <w:pPr>
        <w:spacing w:after="200"/>
        <w:jc w:val="both"/>
      </w:pPr>
      <w:r>
        <w:t>Las mujeres con discapacidad psicosocial que se encuentran institucionalizadas en hospitales psiquiátricos tienen, en general, escaso acceso a controles médicos-ginecológicos por falta de personal especializado, lo cual dificulta realizar un seguimiento pr</w:t>
      </w:r>
      <w:r>
        <w:t xml:space="preserve">eventivo de su situación de salud. En dichas instituciones se observa, además, una ausencia de información clara, completa y accesible para que las mujeres internadas puedan decidir de manera libre e informada sobre su sexualidad, persistiendo aún medidas </w:t>
      </w:r>
      <w:r>
        <w:t>de anticoncepción forzosas y sin el debido consentimiento informado.</w:t>
      </w:r>
    </w:p>
    <w:p w:rsidR="00AD73D2" w:rsidRDefault="0039146F">
      <w:pPr>
        <w:spacing w:after="200"/>
        <w:jc w:val="both"/>
      </w:pPr>
      <w:r>
        <w:rPr>
          <w:b/>
        </w:rPr>
        <w:t>3.2. Provisión y acceso a métodos anticonceptivos</w:t>
      </w:r>
    </w:p>
    <w:p w:rsidR="00AD73D2" w:rsidRDefault="0039146F">
      <w:pPr>
        <w:spacing w:after="200"/>
        <w:jc w:val="both"/>
      </w:pPr>
      <w:r>
        <w:t>Las mujeres con discapacidad visual se encuentran con barreras para acceder a los métodos anticonceptivos más comúnmente utilizados (tale</w:t>
      </w:r>
      <w:r>
        <w:t xml:space="preserve">s como pastillas), dado que, en general, las instrucciones para su utilización, así como los datos de fabricación y vencimiento suelen ser </w:t>
      </w:r>
      <w:r>
        <w:lastRenderedPageBreak/>
        <w:t>visuales</w:t>
      </w:r>
      <w:r>
        <w:rPr>
          <w:vertAlign w:val="superscript"/>
        </w:rPr>
        <w:footnoteReference w:id="23"/>
      </w:r>
      <w:r>
        <w:t xml:space="preserve">. Esta situación se replica en el caso de los </w:t>
      </w:r>
      <w:proofErr w:type="spellStart"/>
      <w:r>
        <w:t>tests</w:t>
      </w:r>
      <w:proofErr w:type="spellEnd"/>
      <w:r>
        <w:t xml:space="preserve"> de embarazo que también son visuales y dificultan su uti</w:t>
      </w:r>
      <w:r>
        <w:t xml:space="preserve">lización autónoma por parte de mujeres ciegas. </w:t>
      </w:r>
    </w:p>
    <w:p w:rsidR="00AD73D2" w:rsidRDefault="0039146F">
      <w:pPr>
        <w:spacing w:after="200"/>
        <w:jc w:val="both"/>
      </w:pPr>
      <w:r>
        <w:t>Las mujeres y adolescentes con discapacidad intelectual o psicosocial también encuentran obstáculos para acceder a métodos anticonceptivos, debido a que la mayoría de les agentes de salud no les brindan infor</w:t>
      </w:r>
      <w:r>
        <w:t xml:space="preserve">mación ni orientación adecuada en cuanto a los métodos existentes (DIU, implantes </w:t>
      </w:r>
      <w:proofErr w:type="spellStart"/>
      <w:r>
        <w:t>subdérmicos</w:t>
      </w:r>
      <w:proofErr w:type="spellEnd"/>
      <w:r>
        <w:t>, parches, etc.) debido a los prejuicios asociados a su sexualidad. Aquí, preocupan particularmente las barreras actitudinales hacia las mujeres con discapacidades</w:t>
      </w:r>
      <w:r>
        <w:t xml:space="preserve"> psicosociales e intelectuales por parte de integrantes de los equipos de salud, quienes muchas veces sostienen prejuicios y representaciones sociales respecto del carácter “asexuado” o carente de deseo sexual de estas mujeres; de que todos los embarazos e</w:t>
      </w:r>
      <w:r>
        <w:t xml:space="preserve">n esta población son productos de abusos; o bien, de que no deberían tener </w:t>
      </w:r>
      <w:proofErr w:type="spellStart"/>
      <w:r>
        <w:t>hijes</w:t>
      </w:r>
      <w:proofErr w:type="spellEnd"/>
      <w:r>
        <w:t xml:space="preserve"> debido a una supuesta incapacidad para </w:t>
      </w:r>
      <w:proofErr w:type="spellStart"/>
      <w:r>
        <w:t>maternar</w:t>
      </w:r>
      <w:proofErr w:type="spellEnd"/>
      <w:r>
        <w:t>. Estas concepciones se asocian a prácticas asistencialistas-tutelares que obturan el libre despliegue de la voluntad de las muj</w:t>
      </w:r>
      <w:r>
        <w:t>eres respecto de sus posibilidades de acceder a los métodos anticonceptivos que mejor se adapten a sus necesidades y deseos.</w:t>
      </w:r>
    </w:p>
    <w:p w:rsidR="00AD73D2" w:rsidRDefault="0039146F">
      <w:pPr>
        <w:spacing w:after="200"/>
        <w:jc w:val="both"/>
      </w:pPr>
      <w:r>
        <w:t>Adicionalmente, estos prejuicios se anudan con el suministro compulsivo de métodos anticonceptivos que son decididos por los equipo</w:t>
      </w:r>
      <w:r>
        <w:t>s de salud sin previa consulta con las mujeres con discapacidad. Como muestra cabal de ello, encontramos que en muchas instituciones psiquiátricas se colocan inyecciones anticonceptivas de manera inconsulta a todas las mujeres internadas o, bien, les brind</w:t>
      </w:r>
      <w:r>
        <w:t>an anticonceptivos orales junto con el resto de la medicación sin mediar información ni consentimiento al respecto.</w:t>
      </w:r>
    </w:p>
    <w:p w:rsidR="00AD73D2" w:rsidRDefault="0039146F">
      <w:pPr>
        <w:spacing w:after="200"/>
        <w:jc w:val="both"/>
        <w:rPr>
          <w:b/>
        </w:rPr>
      </w:pPr>
      <w:r>
        <w:rPr>
          <w:b/>
        </w:rPr>
        <w:t>3.3. Provisión y acceso a productos de gestión menstrual</w:t>
      </w:r>
    </w:p>
    <w:p w:rsidR="00AD73D2" w:rsidRDefault="0039146F">
      <w:pPr>
        <w:spacing w:after="200"/>
        <w:jc w:val="both"/>
      </w:pPr>
      <w:r>
        <w:t xml:space="preserve">Al igual que en el caso de los métodos anticonceptivos y los test de embarazo, las </w:t>
      </w:r>
      <w:r>
        <w:t>mujeres y adolescentes con discapacidad visual encuentran barreras para acceder a productos de higiene menstrual (toallitas, tampones, apósitos, etc.) debido a que sus envases y prospectos son visuales y -salvo excepciones- no incluyen formatos alternativo</w:t>
      </w:r>
      <w:r>
        <w:t xml:space="preserve">s o aumentativos de comunicación tales como el </w:t>
      </w:r>
      <w:proofErr w:type="gramStart"/>
      <w:r>
        <w:t>Braille  y</w:t>
      </w:r>
      <w:proofErr w:type="gramEnd"/>
      <w:r>
        <w:t xml:space="preserve"> códigos QR.</w:t>
      </w:r>
    </w:p>
    <w:p w:rsidR="00AD73D2" w:rsidRDefault="0039146F">
      <w:pPr>
        <w:spacing w:after="200"/>
        <w:jc w:val="both"/>
      </w:pPr>
      <w:r>
        <w:t xml:space="preserve">También se encuentran con barreras para acceder a productos de higiene menstrual las mujeres internadas en hospitales psiquiátricos que no cuentan con capacidad de pago o con referentes </w:t>
      </w:r>
      <w:r>
        <w:t>vinculares capaces de proveerlos y que, por tanto, se enfrentan a los vaivenes de su disponibilidad dentro de estas instituciones. Como consecuencia, algunas mujeres internadas sólo pueden optar por el uso de algodones durante su período, lo cual obstaculi</w:t>
      </w:r>
      <w:r>
        <w:t>za, además, sus posibilidades de circulación y de participación en espacios grupales de la institución</w:t>
      </w:r>
      <w:r>
        <w:rPr>
          <w:vertAlign w:val="superscript"/>
        </w:rPr>
        <w:footnoteReference w:id="24"/>
      </w:r>
      <w:r>
        <w:t>.</w:t>
      </w:r>
    </w:p>
    <w:p w:rsidR="00AD73D2" w:rsidRDefault="0039146F">
      <w:pPr>
        <w:spacing w:after="200"/>
        <w:jc w:val="both"/>
      </w:pPr>
      <w:r>
        <w:t xml:space="preserve">Es necesario mencionar que los productos de higiene menstrual en Argentina no son de acceso libre para las mujeres en general y para </w:t>
      </w:r>
      <w:proofErr w:type="gramStart"/>
      <w:r>
        <w:t>la mujeres</w:t>
      </w:r>
      <w:proofErr w:type="gramEnd"/>
      <w:r>
        <w:t xml:space="preserve"> con dis</w:t>
      </w:r>
      <w:r>
        <w:t xml:space="preserve">capacidad en particular, por lo que la intersección con la pobreza y la falta de acceso a ellos es de suma preocupación. </w:t>
      </w:r>
    </w:p>
    <w:p w:rsidR="00AD73D2" w:rsidRDefault="0039146F">
      <w:pPr>
        <w:spacing w:after="200"/>
        <w:jc w:val="both"/>
        <w:rPr>
          <w:b/>
        </w:rPr>
      </w:pPr>
      <w:r>
        <w:rPr>
          <w:b/>
        </w:rPr>
        <w:lastRenderedPageBreak/>
        <w:t xml:space="preserve">3.4. Contracepción quirúrgica y capacidad jurídica </w:t>
      </w:r>
    </w:p>
    <w:p w:rsidR="00AD73D2" w:rsidRDefault="0039146F">
      <w:pPr>
        <w:spacing w:after="200"/>
        <w:jc w:val="both"/>
      </w:pPr>
      <w:r>
        <w:t>En el año 2021, se modificó el Artículo 3 de la Ley N°26.130</w:t>
      </w:r>
      <w:r>
        <w:rPr>
          <w:vertAlign w:val="superscript"/>
        </w:rPr>
        <w:footnoteReference w:id="25"/>
      </w:r>
      <w:r>
        <w:t xml:space="preserve"> de Contracepción Qui</w:t>
      </w:r>
      <w:r>
        <w:t>rúrgica que exceptuaba del consentimiento informado a las personas declaradas “incapaces”</w:t>
      </w:r>
      <w:r>
        <w:rPr>
          <w:vertAlign w:val="superscript"/>
        </w:rPr>
        <w:footnoteReference w:id="26"/>
      </w:r>
      <w:r>
        <w:rPr>
          <w:vertAlign w:val="superscript"/>
        </w:rPr>
        <w:t xml:space="preserve"> </w:t>
      </w:r>
      <w:r>
        <w:t>y requería la “autorización judicial solicitada por un representante legal”. Cambiar esta norma fue una importante conquista del colectivo de personas con discapacid</w:t>
      </w:r>
      <w:r>
        <w:t xml:space="preserve">ad de nuestro país, ya que impide que prácticas como la vasectomía o la ligadura de trompas se hagan a pedido de las familias o de representantes legales y sin el consentimiento de las propias personas con discapacidad, lo cual era moneda corriente previo </w:t>
      </w:r>
      <w:r>
        <w:t xml:space="preserve">a la sanción de dicha ley. </w:t>
      </w:r>
    </w:p>
    <w:p w:rsidR="00AD73D2" w:rsidRDefault="0039146F">
      <w:pPr>
        <w:spacing w:after="200"/>
        <w:jc w:val="both"/>
      </w:pPr>
      <w:r>
        <w:t>A partir de este avance legislativo, el Estado debería monitorear las prácticas de contracepción quirúrgica en mujeres con discapacidad, de manera de garantizar que el consentimiento no se reduzca a un mero trámite administrativ</w:t>
      </w:r>
      <w:r>
        <w:t>o y que la firma de la persona en cuestión se obtenga siempre de manera libre e informada, con el objeto de evitar la persistencia de prácticas de esterilización forzada hacia este colectivo.</w:t>
      </w:r>
    </w:p>
    <w:p w:rsidR="00AD73D2" w:rsidRDefault="0039146F">
      <w:pPr>
        <w:spacing w:before="100" w:after="200"/>
        <w:jc w:val="both"/>
        <w:rPr>
          <w:b/>
        </w:rPr>
      </w:pPr>
      <w:r>
        <w:rPr>
          <w:b/>
        </w:rPr>
        <w:t>3.5. Derecho a la planificación familiar y a la Interrupción Vol</w:t>
      </w:r>
      <w:r>
        <w:rPr>
          <w:b/>
        </w:rPr>
        <w:t xml:space="preserve">untaria del Embarazo </w:t>
      </w:r>
    </w:p>
    <w:p w:rsidR="00AD73D2" w:rsidRDefault="0039146F">
      <w:pPr>
        <w:spacing w:after="200"/>
        <w:jc w:val="both"/>
      </w:pPr>
      <w:r>
        <w:t>En diciembre de 2020, el Congreso de la Nación Argentina sancionó la Ley N° 27.610</w:t>
      </w:r>
      <w:r>
        <w:rPr>
          <w:vertAlign w:val="superscript"/>
        </w:rPr>
        <w:footnoteReference w:id="27"/>
      </w:r>
      <w:r>
        <w:t>, que regula el acceso a la Interrupción Voluntaria del Embarazo (IVE). Aunque esta ley fue una importante conquista, en su Artículo 9 se expresa una g</w:t>
      </w:r>
      <w:r>
        <w:t xml:space="preserve">rave vulneración a los derechos de las personas con capacidad restringida (según el Art. 38 del </w:t>
      </w:r>
      <w:proofErr w:type="spellStart"/>
      <w:r>
        <w:t>CCyC</w:t>
      </w:r>
      <w:proofErr w:type="spellEnd"/>
      <w:r>
        <w:t xml:space="preserve">) o personas declaradas incapaces judicialmente (en virtud del Art. 32 del </w:t>
      </w:r>
      <w:proofErr w:type="spellStart"/>
      <w:r>
        <w:t>CCyC</w:t>
      </w:r>
      <w:proofErr w:type="spellEnd"/>
      <w:r>
        <w:t xml:space="preserve">). Dicho artículo detalla que en ambos casos el consentimiento para llevar a </w:t>
      </w:r>
      <w:r>
        <w:t xml:space="preserve">cabo la interrupción del embarazo, deberá ser prestado por la persona designada o nombrada representante o, a falta o ausencia de ésta, por una persona allegada. </w:t>
      </w:r>
      <w:r>
        <w:rPr>
          <w:highlight w:val="white"/>
        </w:rPr>
        <w:t xml:space="preserve">Amparadas en el art. 12 de la Convención sobre los Derechos de las Personas con Discapacidad, </w:t>
      </w:r>
      <w:r>
        <w:rPr>
          <w:highlight w:val="white"/>
        </w:rPr>
        <w:t xml:space="preserve">sostenemos que las mujeres con discapacidad, sin discriminación, deberían poder decidir sobre la IVE del mismo modo que las mujeres sin discapacidad, contando con los apoyos que requieran y con las debidas salvaguardias.   </w:t>
      </w:r>
      <w:r>
        <w:rPr>
          <w:rFonts w:ascii="Roboto" w:eastAsia="Roboto" w:hAnsi="Roboto" w:cs="Roboto"/>
          <w:sz w:val="21"/>
          <w:szCs w:val="21"/>
          <w:highlight w:val="white"/>
        </w:rPr>
        <w:t xml:space="preserve">             </w:t>
      </w:r>
    </w:p>
    <w:p w:rsidR="00AD73D2" w:rsidRDefault="0039146F">
      <w:pPr>
        <w:spacing w:after="200"/>
        <w:jc w:val="both"/>
      </w:pPr>
      <w:r>
        <w:t>El artículo 9 de di</w:t>
      </w:r>
      <w:r>
        <w:t>cha la Ley N° 27.610 también expresa que en ningún caso se deberá solicitar autorización judicial para acceder a la interrupción. Lamentablemente, no se ha incluido, como fue solicitado por el colectivo de personas con discapacidad, que siempre deba contar</w:t>
      </w:r>
      <w:r>
        <w:t xml:space="preserve">se con el consentimiento informado de la persona gestante para proceder a la interrupción del embarazo. </w:t>
      </w:r>
      <w:r>
        <w:rPr>
          <w:highlight w:val="white"/>
        </w:rPr>
        <w:t>Ninguna persona puede ser privada de su capacidad jurídica, en forma total o parcial, por motivos de discapacidad (artículo 12 de la Convención sobre lo</w:t>
      </w:r>
      <w:r>
        <w:rPr>
          <w:highlight w:val="white"/>
        </w:rPr>
        <w:t>s Derechos de las Personas con Discapacidad - CDPD). Ahora bien, si una persona con discapacidad tiene una restricción total o parcial de su capacidad jurídica, impuesta en violación a sus derechos, el Estado no puede utilizar estas restricciones como fund</w:t>
      </w:r>
      <w:r>
        <w:rPr>
          <w:highlight w:val="white"/>
        </w:rPr>
        <w:t xml:space="preserve">amento para violar su derecho a </w:t>
      </w:r>
      <w:r>
        <w:rPr>
          <w:highlight w:val="white"/>
        </w:rPr>
        <w:lastRenderedPageBreak/>
        <w:t>brindar su consentimiento libre e informado para la práctica de la interrupción del embarazo (artículo 25 de la CDPD).</w:t>
      </w:r>
    </w:p>
    <w:p w:rsidR="00AD73D2" w:rsidRDefault="0039146F">
      <w:pPr>
        <w:spacing w:after="200"/>
        <w:jc w:val="both"/>
      </w:pPr>
      <w:r>
        <w:t>Muchas instituciones psiquiátricas del país carecen de protocolos en salud sexual y (no) reproductiva ori</w:t>
      </w:r>
      <w:r>
        <w:t>entados a detectar embarazos o enfermedades de transmisión sexual antes, durante o después de una internación por motivos de salud mental, lo cual obstaculiza las posibilidades de acceder de manera oportuna a los controles prenatales correspondientes o, bi</w:t>
      </w:r>
      <w:r>
        <w:t>en, de tomar decisiones tempranas vinculadas a la interrupción legal o voluntaria de tales embarazos.</w:t>
      </w:r>
    </w:p>
    <w:p w:rsidR="00AD73D2" w:rsidRDefault="0039146F">
      <w:pPr>
        <w:spacing w:after="200"/>
        <w:jc w:val="both"/>
        <w:rPr>
          <w:b/>
        </w:rPr>
      </w:pPr>
      <w:r>
        <w:rPr>
          <w:b/>
        </w:rPr>
        <w:t>3.6. Derecho a la maternidad</w:t>
      </w:r>
    </w:p>
    <w:p w:rsidR="00AD73D2" w:rsidRDefault="0039146F">
      <w:pPr>
        <w:spacing w:after="200"/>
        <w:jc w:val="both"/>
        <w:rPr>
          <w:highlight w:val="white"/>
        </w:rPr>
      </w:pPr>
      <w:r>
        <w:t>La Ley Nacional N° 25.929 (2004)</w:t>
      </w:r>
      <w:r>
        <w:rPr>
          <w:vertAlign w:val="superscript"/>
        </w:rPr>
        <w:footnoteReference w:id="28"/>
      </w:r>
      <w:r>
        <w:t xml:space="preserve"> establece los parámetros del Parto Humanizado, donde se determina </w:t>
      </w:r>
      <w:r>
        <w:rPr>
          <w:highlight w:val="white"/>
        </w:rPr>
        <w:t>que las obras sociales re</w:t>
      </w:r>
      <w:r>
        <w:rPr>
          <w:highlight w:val="white"/>
        </w:rPr>
        <w:t>gidas por leyes nacionales y las entidades de medicina prepaga deberán brindar obligatoriamente determinadas prestaciones relacionadas con el embarazo, el trabajo de parto, el parto y el postparto, los derechos de la persona gestante, su acompañante y de l</w:t>
      </w:r>
      <w:r>
        <w:rPr>
          <w:highlight w:val="white"/>
        </w:rPr>
        <w:t>a persona recién nacida y que las mismas deberán incorporarse al Programa Médico Obligatorio. Dicha ley es de aplicación tanto en el ámbito público como privado de la atención de la salud en el territorio de la Nación y contraparte de la lucha contra la Vi</w:t>
      </w:r>
      <w:r>
        <w:rPr>
          <w:highlight w:val="white"/>
        </w:rPr>
        <w:t xml:space="preserve">olencia Obstétrica, tipificada como modalidad de Violencia de Género por la Ley N° 26.485. </w:t>
      </w:r>
    </w:p>
    <w:p w:rsidR="00AD73D2" w:rsidRDefault="0039146F">
      <w:pPr>
        <w:spacing w:after="200"/>
        <w:jc w:val="both"/>
      </w:pPr>
      <w:r>
        <w:rPr>
          <w:highlight w:val="white"/>
        </w:rPr>
        <w:t>En la letra de esta ley se observa un ítem específico vinculado al respeto de la diversidad cultural, pero no se contempla la perspectiva de discapacidad. De hecho,</w:t>
      </w:r>
      <w:r>
        <w:rPr>
          <w:highlight w:val="white"/>
        </w:rPr>
        <w:t xml:space="preserve"> no incorpora como parte de las obligaciones del sistema de salud y de las obras sociales para personas gestantes: la presencia de intérpretes de LSA,</w:t>
      </w:r>
      <w:r>
        <w:t xml:space="preserve"> información en lenguaje sencillo, personal capacitado para generar descripciones verbales para personas c</w:t>
      </w:r>
      <w:r>
        <w:t xml:space="preserve">iegas, cuadernillos de pre parto accesibles, espacios de intercambio con otras personas gestantes en similar situación antes y después de parir, etc. A su vez, prevalece en nuestro país un modelo fuertemente </w:t>
      </w:r>
      <w:proofErr w:type="spellStart"/>
      <w:r>
        <w:t>patologizante</w:t>
      </w:r>
      <w:proofErr w:type="spellEnd"/>
      <w:r>
        <w:t xml:space="preserve"> e intervencionista en las situacio</w:t>
      </w:r>
      <w:r>
        <w:t>nes de embarazo y parto, situación que atenta contra lo establecido en la presente ley y contradice las recomendaciones de la OMS para una experiencia positiva del parto. Tampoco existe información pública disponible y accesible respecto del ejercicio de l</w:t>
      </w:r>
      <w:r>
        <w:t>os derechos del parto en las personas gestantes con discapacidad.</w:t>
      </w:r>
    </w:p>
    <w:p w:rsidR="00AD73D2" w:rsidRDefault="0039146F">
      <w:pPr>
        <w:spacing w:after="200"/>
        <w:jc w:val="both"/>
      </w:pPr>
      <w:r>
        <w:t>En el año 2020, se sancionó por el Congreso de la Nación Argentina la Ley N° 27.611 de Atención y Cuidado Integral de la Salud durante el Embarazo y la Primera Infancia, también conocida com</w:t>
      </w:r>
      <w:r>
        <w:t>o “Plan de los 1000 días”</w:t>
      </w:r>
      <w:r>
        <w:rPr>
          <w:vertAlign w:val="superscript"/>
        </w:rPr>
        <w:footnoteReference w:id="29"/>
      </w:r>
      <w:r>
        <w:t>. Sin embargo, las asignaciones comprendidas en dicho plan, tales como la Asignación Universal por Hijo/Hija</w:t>
      </w:r>
      <w:r>
        <w:rPr>
          <w:vertAlign w:val="superscript"/>
        </w:rPr>
        <w:footnoteReference w:id="30"/>
      </w:r>
      <w:r>
        <w:t xml:space="preserve"> (AUH) y la Asignación por </w:t>
      </w:r>
      <w:r>
        <w:lastRenderedPageBreak/>
        <w:t>Embarazo para Protección social</w:t>
      </w:r>
      <w:r>
        <w:rPr>
          <w:vertAlign w:val="superscript"/>
        </w:rPr>
        <w:footnoteReference w:id="31"/>
      </w:r>
      <w:r>
        <w:t xml:space="preserve"> (AE); el Apoyo Alimentario</w:t>
      </w:r>
      <w:r>
        <w:rPr>
          <w:vertAlign w:val="superscript"/>
        </w:rPr>
        <w:footnoteReference w:id="32"/>
      </w:r>
      <w:r>
        <w:t xml:space="preserve"> y la estrategia Sueño Seguro</w:t>
      </w:r>
      <w:r>
        <w:rPr>
          <w:vertAlign w:val="superscript"/>
        </w:rPr>
        <w:footnoteReference w:id="33"/>
      </w:r>
      <w:r>
        <w:t xml:space="preserve"> (o Plan </w:t>
      </w:r>
      <w:proofErr w:type="spellStart"/>
      <w:r>
        <w:t>Qunita</w:t>
      </w:r>
      <w:proofErr w:type="spellEnd"/>
      <w:r>
        <w:t>), no son compatibles con el cobro de la Pensión No Contributiva (PNC), lo cual marca una asimetría en el acceso a estas herramientas de acompañamiento a la organización familiar por parte de las mujeres y personas con capacidad de gestar qu</w:t>
      </w:r>
      <w:r>
        <w:t>e se encuentran en situación de discapacidad y cobran una pensión no contributiva.</w:t>
      </w:r>
    </w:p>
    <w:p w:rsidR="00AD73D2" w:rsidRDefault="0039146F">
      <w:pPr>
        <w:spacing w:after="200"/>
        <w:jc w:val="both"/>
      </w:pPr>
      <w:r>
        <w:t>Sumado a ello, en la sociedad argentina el mandato social hacia las mujeres con discapacidad con relación a la maternidad es el de la prohibición. Muchas veces las mujeres c</w:t>
      </w:r>
      <w:r>
        <w:t xml:space="preserve">on discapacidad encuentran barreras a la hora de contar con los apoyos necesarios tanto para la concreción de embarazos deseados como para el ejercicio adecuado de la crianza de sus </w:t>
      </w:r>
      <w:proofErr w:type="spellStart"/>
      <w:r>
        <w:t>hijes</w:t>
      </w:r>
      <w:proofErr w:type="spellEnd"/>
      <w:r>
        <w:t xml:space="preserve"> por lo que, en muchos casos, son privadas de su responsabilidad mate</w:t>
      </w:r>
      <w:r>
        <w:t xml:space="preserve">rnal por decisión judicial y sus </w:t>
      </w:r>
      <w:proofErr w:type="spellStart"/>
      <w:r>
        <w:t>hijes</w:t>
      </w:r>
      <w:proofErr w:type="spellEnd"/>
      <w:r>
        <w:t xml:space="preserve"> son a menudo </w:t>
      </w:r>
      <w:proofErr w:type="spellStart"/>
      <w:r>
        <w:t>institucionalizades</w:t>
      </w:r>
      <w:proofErr w:type="spellEnd"/>
      <w:r>
        <w:t xml:space="preserve"> y </w:t>
      </w:r>
      <w:proofErr w:type="spellStart"/>
      <w:r>
        <w:t>alejades</w:t>
      </w:r>
      <w:proofErr w:type="spellEnd"/>
      <w:r>
        <w:t xml:space="preserve"> de sus madres </w:t>
      </w:r>
      <w:r>
        <w:rPr>
          <w:highlight w:val="white"/>
        </w:rPr>
        <w:t>sin mediar una situación de riesgo para elles</w:t>
      </w:r>
      <w:r>
        <w:rPr>
          <w:highlight w:val="white"/>
          <w:vertAlign w:val="superscript"/>
        </w:rPr>
        <w:footnoteReference w:id="34"/>
      </w:r>
      <w:r>
        <w:t xml:space="preserve">. </w:t>
      </w:r>
    </w:p>
    <w:p w:rsidR="00AD73D2" w:rsidRDefault="0039146F">
      <w:pPr>
        <w:spacing w:after="200"/>
        <w:jc w:val="both"/>
      </w:pPr>
      <w:r>
        <w:t>En relación a ello, muchas mujeres con discapacidad psicosocial o intelectual son víctimas de violencia obstét</w:t>
      </w:r>
      <w:r>
        <w:t xml:space="preserve">rica y separadas de sus </w:t>
      </w:r>
      <w:proofErr w:type="spellStart"/>
      <w:r>
        <w:t>hijes</w:t>
      </w:r>
      <w:proofErr w:type="spellEnd"/>
      <w:r>
        <w:t xml:space="preserve"> desde el momento del parto, como consecuencia de los prejuicios sobre su supuesta incapacidad para </w:t>
      </w:r>
      <w:proofErr w:type="spellStart"/>
      <w:r>
        <w:t>maternar</w:t>
      </w:r>
      <w:proofErr w:type="spellEnd"/>
      <w:r>
        <w:t xml:space="preserve">. Además, las mujeres institucionalizadas por motivos de salud mental enfrentan continuamente restricciones judiciales </w:t>
      </w:r>
      <w:r>
        <w:t xml:space="preserve">para sostener la vinculación con sus </w:t>
      </w:r>
      <w:proofErr w:type="spellStart"/>
      <w:r>
        <w:t>hijes</w:t>
      </w:r>
      <w:proofErr w:type="spellEnd"/>
      <w:r>
        <w:t xml:space="preserve"> menores de edad y, en los casos en que la justicia lo permite, acceden a visitas esporádicas, en espacios comunes, en las guardias, sin disponer de sitios adecuados que contemplen las particularidades y necesidade</w:t>
      </w:r>
      <w:r>
        <w:t>s para el desarrollo, sostenimiento y/o fortalecimiento del contacto</w:t>
      </w:r>
      <w:r>
        <w:rPr>
          <w:vertAlign w:val="superscript"/>
        </w:rPr>
        <w:footnoteReference w:id="35"/>
      </w:r>
      <w:r>
        <w:t xml:space="preserve">. </w:t>
      </w:r>
    </w:p>
    <w:p w:rsidR="00AD73D2" w:rsidRDefault="0039146F">
      <w:pPr>
        <w:spacing w:after="200"/>
        <w:jc w:val="both"/>
      </w:pPr>
      <w:r>
        <w:t>También se producen inhibiciones forzadas de la lactancia de mujeres institucionalizadas debido a la interrupción del vínculo producto de las internaciones prolongadas así como a la pr</w:t>
      </w:r>
      <w:r>
        <w:t>escripción de medicamentos que priorizan el abordaje de la sintomatología psiquiátrica en detrimento de otras alternativas que posibiliten sostener la lactancia materna exclusiva o mixta</w:t>
      </w:r>
      <w:r>
        <w:rPr>
          <w:vertAlign w:val="superscript"/>
        </w:rPr>
        <w:footnoteReference w:id="36"/>
      </w:r>
      <w:r>
        <w:t>.</w:t>
      </w:r>
    </w:p>
    <w:p w:rsidR="00AD73D2" w:rsidRDefault="0039146F">
      <w:pPr>
        <w:spacing w:after="200"/>
        <w:jc w:val="both"/>
        <w:rPr>
          <w:b/>
        </w:rPr>
      </w:pPr>
      <w:r>
        <w:t>Adicionalmente, se observa una carencia de políticas públicas nacio</w:t>
      </w:r>
      <w:r>
        <w:t xml:space="preserve">nales, provinciales y locales que incluyan sistemas de apoyo para el ejercicio de la maternidad de mujeres con </w:t>
      </w:r>
      <w:r>
        <w:lastRenderedPageBreak/>
        <w:t>discapacidad, tales como la provisión de acompañantes, asistentes personales, tecnologías de apoyo (por ejemplo “</w:t>
      </w:r>
      <w:proofErr w:type="spellStart"/>
      <w:r>
        <w:t>Baby</w:t>
      </w:r>
      <w:proofErr w:type="spellEnd"/>
      <w:r>
        <w:t xml:space="preserve"> </w:t>
      </w:r>
      <w:proofErr w:type="spellStart"/>
      <w:r>
        <w:t>Call</w:t>
      </w:r>
      <w:proofErr w:type="spellEnd"/>
      <w:r>
        <w:t>”), materiales en forma</w:t>
      </w:r>
      <w:r>
        <w:t xml:space="preserve">tos accesibles que ofrezcan información importante, espacios donde compartir vivencias y herramientas sobre maternidades, repensar las instituciones de internación para la efectiva convivencia de las mujeres con sus </w:t>
      </w:r>
      <w:proofErr w:type="spellStart"/>
      <w:r>
        <w:t>hijes</w:t>
      </w:r>
      <w:proofErr w:type="spellEnd"/>
      <w:r>
        <w:t xml:space="preserve">, etc. </w:t>
      </w:r>
    </w:p>
    <w:p w:rsidR="00AD73D2" w:rsidRDefault="0039146F">
      <w:pPr>
        <w:spacing w:after="200"/>
        <w:jc w:val="both"/>
        <w:rPr>
          <w:b/>
        </w:rPr>
      </w:pPr>
      <w:r>
        <w:rPr>
          <w:b/>
        </w:rPr>
        <w:t>Preguntas sugeridas para re</w:t>
      </w:r>
      <w:r>
        <w:rPr>
          <w:b/>
        </w:rPr>
        <w:t>alizar al Estado Argentino</w:t>
      </w:r>
    </w:p>
    <w:p w:rsidR="00AD73D2" w:rsidRDefault="0039146F">
      <w:pPr>
        <w:numPr>
          <w:ilvl w:val="0"/>
          <w:numId w:val="5"/>
        </w:numPr>
        <w:jc w:val="both"/>
      </w:pPr>
      <w:r>
        <w:t>¿Cuáles son las medidas que se han adoptado y se piensan adoptar para garantizar a las mujeres con discapacidad el acceso a insumos, servicios, programas e información accesibles en materia de salud sexual y reproductiva, en igua</w:t>
      </w:r>
      <w:r>
        <w:t>ldad de condiciones con las demás personas?</w:t>
      </w:r>
    </w:p>
    <w:p w:rsidR="00AD73D2" w:rsidRDefault="0039146F">
      <w:pPr>
        <w:numPr>
          <w:ilvl w:val="0"/>
          <w:numId w:val="5"/>
        </w:numPr>
        <w:jc w:val="both"/>
      </w:pPr>
      <w:r>
        <w:t xml:space="preserve">¿Qué adecuaciones jurídicas, legislativas y procedimentales se implementarán para evitar la sustitución de voluntad de las mujeres con discapacidad declaradas incapaces o con capacidad restringida en el ejercicio de su derecho a la Interrupción Voluntaria </w:t>
      </w:r>
      <w:r>
        <w:t>del Embarazo?</w:t>
      </w:r>
    </w:p>
    <w:p w:rsidR="00AD73D2" w:rsidRDefault="0039146F">
      <w:pPr>
        <w:numPr>
          <w:ilvl w:val="0"/>
          <w:numId w:val="5"/>
        </w:numPr>
        <w:jc w:val="both"/>
      </w:pPr>
      <w:r>
        <w:t>¿Qué políticas de cuidados y apoyos con enfoque en discapacidad se piensan diseñar e implementar para garantizar el ejercicio pleno de la maternidad de mujeres con discapacidad? ¿Qué estrategias de información y acompañamiento se prevén diseñ</w:t>
      </w:r>
      <w:r>
        <w:t>ar e implementar para promover y garantizar el derecho a la lactancia materna en personas con discapacidad?</w:t>
      </w:r>
    </w:p>
    <w:p w:rsidR="00AD73D2" w:rsidRDefault="0039146F">
      <w:pPr>
        <w:numPr>
          <w:ilvl w:val="0"/>
          <w:numId w:val="5"/>
        </w:numPr>
        <w:jc w:val="both"/>
      </w:pPr>
      <w:r>
        <w:t>¿Cómo repensar las prácticas de internación por motivos de salud mental de manera que garanticen el derecho a vivir en familia en un marco de acompa</w:t>
      </w:r>
      <w:r>
        <w:t>ñamiento y pleno goce del derecho a cuidar y ser cuidadas?</w:t>
      </w:r>
    </w:p>
    <w:p w:rsidR="00AD73D2" w:rsidRDefault="00AD73D2">
      <w:pPr>
        <w:jc w:val="both"/>
      </w:pPr>
    </w:p>
    <w:p w:rsidR="00AD73D2" w:rsidRDefault="00AD73D2">
      <w:pPr>
        <w:jc w:val="both"/>
      </w:pPr>
    </w:p>
    <w:p w:rsidR="00AD73D2" w:rsidRDefault="00AD73D2">
      <w:pPr>
        <w:spacing w:after="200"/>
        <w:jc w:val="both"/>
      </w:pPr>
    </w:p>
    <w:sectPr w:rsidR="00AD73D2">
      <w:head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46F" w:rsidRDefault="0039146F">
      <w:pPr>
        <w:spacing w:line="240" w:lineRule="auto"/>
      </w:pPr>
      <w:r>
        <w:separator/>
      </w:r>
    </w:p>
  </w:endnote>
  <w:endnote w:type="continuationSeparator" w:id="0">
    <w:p w:rsidR="0039146F" w:rsidRDefault="003914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Robot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46F" w:rsidRDefault="0039146F">
      <w:pPr>
        <w:spacing w:line="240" w:lineRule="auto"/>
      </w:pPr>
      <w:r>
        <w:separator/>
      </w:r>
    </w:p>
  </w:footnote>
  <w:footnote w:type="continuationSeparator" w:id="0">
    <w:p w:rsidR="0039146F" w:rsidRDefault="0039146F">
      <w:pPr>
        <w:spacing w:line="240" w:lineRule="auto"/>
      </w:pPr>
      <w:r>
        <w:continuationSeparator/>
      </w:r>
    </w:p>
  </w:footnote>
  <w:footnote w:id="1">
    <w:p w:rsidR="00AD73D2" w:rsidRDefault="0039146F">
      <w:pPr>
        <w:spacing w:line="240" w:lineRule="auto"/>
        <w:jc w:val="both"/>
        <w:rPr>
          <w:sz w:val="20"/>
          <w:szCs w:val="20"/>
        </w:rPr>
      </w:pPr>
      <w:r>
        <w:rPr>
          <w:vertAlign w:val="superscript"/>
        </w:rPr>
        <w:footnoteRef/>
      </w:r>
      <w:r>
        <w:rPr>
          <w:sz w:val="20"/>
          <w:szCs w:val="20"/>
        </w:rPr>
        <w:t xml:space="preserve"> </w:t>
      </w:r>
      <w:r>
        <w:rPr>
          <w:sz w:val="18"/>
          <w:szCs w:val="18"/>
        </w:rPr>
        <w:t>En este informe incluiremos también bajo el genérico “mujeres con discapacidad” a las mujeres usuarias de servicios de sa</w:t>
      </w:r>
      <w:r>
        <w:rPr>
          <w:sz w:val="18"/>
          <w:szCs w:val="18"/>
        </w:rPr>
        <w:t>lud mental y/o con discapacidad psicosocial, esto es, “aquellas que, con independencia de cómo se autodefinan o del diagnóstico de un problema de salud mental, soportan</w:t>
      </w:r>
      <w:r>
        <w:rPr>
          <w:sz w:val="16"/>
          <w:szCs w:val="16"/>
        </w:rPr>
        <w:t xml:space="preserve"> </w:t>
      </w:r>
      <w:r>
        <w:rPr>
          <w:sz w:val="18"/>
          <w:szCs w:val="18"/>
        </w:rPr>
        <w:t>restricciones al ejercicio de sus derechos y ven obstaculizada su participación en razó</w:t>
      </w:r>
      <w:r>
        <w:rPr>
          <w:sz w:val="18"/>
          <w:szCs w:val="18"/>
        </w:rPr>
        <w:t>n de una deficiencia, real o supuesta” (ACNUDH, 2017, p.4).</w:t>
      </w:r>
      <w:r>
        <w:rPr>
          <w:sz w:val="20"/>
          <w:szCs w:val="20"/>
        </w:rPr>
        <w:t xml:space="preserve"> </w:t>
      </w:r>
    </w:p>
  </w:footnote>
  <w:footnote w:id="2">
    <w:p w:rsidR="00AD73D2" w:rsidRDefault="0039146F">
      <w:pPr>
        <w:spacing w:line="240" w:lineRule="auto"/>
        <w:jc w:val="both"/>
        <w:rPr>
          <w:sz w:val="16"/>
          <w:szCs w:val="16"/>
        </w:rPr>
      </w:pPr>
      <w:r>
        <w:rPr>
          <w:vertAlign w:val="superscript"/>
        </w:rPr>
        <w:footnoteRef/>
      </w:r>
      <w:r>
        <w:rPr>
          <w:sz w:val="20"/>
          <w:szCs w:val="20"/>
        </w:rPr>
        <w:t xml:space="preserve"> </w:t>
      </w:r>
      <w:r>
        <w:rPr>
          <w:sz w:val="18"/>
          <w:szCs w:val="18"/>
        </w:rPr>
        <w:t>A lo largo del presente informe optamos por un uso del lenguaje inclusivo o no sexista, merced a una decisión político-teórica y epistemológica que nos lleva a problematizar la presencia del se</w:t>
      </w:r>
      <w:r>
        <w:rPr>
          <w:sz w:val="18"/>
          <w:szCs w:val="18"/>
        </w:rPr>
        <w:t xml:space="preserve">xismo en el lenguaje y a cuestionar el empleo del universal masculino que </w:t>
      </w:r>
      <w:proofErr w:type="spellStart"/>
      <w:r>
        <w:rPr>
          <w:sz w:val="18"/>
          <w:szCs w:val="18"/>
        </w:rPr>
        <w:t>invisibiliza</w:t>
      </w:r>
      <w:proofErr w:type="spellEnd"/>
      <w:r>
        <w:rPr>
          <w:sz w:val="18"/>
          <w:szCs w:val="18"/>
        </w:rPr>
        <w:t xml:space="preserve"> y excluye a otras identidades de género. Puntualmente, en los casos en los que no hagamos alusión específica a las mujeres con discapacidad, procuraremos emplear expresi</w:t>
      </w:r>
      <w:r>
        <w:rPr>
          <w:sz w:val="18"/>
          <w:szCs w:val="18"/>
        </w:rPr>
        <w:t>ones no nominativas o no designativas de género, así como el uso de la “e” en lugar de vocales que designan pertenencias de identidad de género históricamente normativizadas. Así, comprendemos a la construcción lingüística como una construcción social y co</w:t>
      </w:r>
      <w:r>
        <w:rPr>
          <w:sz w:val="18"/>
          <w:szCs w:val="18"/>
        </w:rPr>
        <w:t>mo producto de un devenir histórico-no-estático que trae consigo la posibilidad de producir transformaciones y de subvertir las lógicas de poder en las prácticas de habla y escritura.</w:t>
      </w:r>
    </w:p>
  </w:footnote>
  <w:footnote w:id="3">
    <w:p w:rsidR="00AD73D2" w:rsidRDefault="0039146F">
      <w:pPr>
        <w:spacing w:line="240" w:lineRule="auto"/>
        <w:rPr>
          <w:sz w:val="18"/>
          <w:szCs w:val="18"/>
        </w:rPr>
      </w:pPr>
      <w:r>
        <w:rPr>
          <w:vertAlign w:val="superscript"/>
        </w:rPr>
        <w:footnoteRef/>
      </w:r>
      <w:r>
        <w:rPr>
          <w:sz w:val="20"/>
          <w:szCs w:val="20"/>
        </w:rPr>
        <w:t xml:space="preserve"> </w:t>
      </w:r>
      <w:hyperlink r:id="rId1">
        <w:r>
          <w:rPr>
            <w:color w:val="1155CC"/>
            <w:sz w:val="18"/>
            <w:szCs w:val="18"/>
            <w:u w:val="single"/>
          </w:rPr>
          <w:t>Evolución de la distribución del ingreso (EPH). Segundo trimestre de 2022</w:t>
        </w:r>
      </w:hyperlink>
      <w:r>
        <w:rPr>
          <w:sz w:val="18"/>
          <w:szCs w:val="18"/>
        </w:rPr>
        <w:t xml:space="preserve"> </w:t>
      </w:r>
    </w:p>
  </w:footnote>
  <w:footnote w:id="4">
    <w:p w:rsidR="00AD73D2" w:rsidRDefault="0039146F">
      <w:pPr>
        <w:spacing w:line="240" w:lineRule="auto"/>
        <w:rPr>
          <w:sz w:val="18"/>
          <w:szCs w:val="18"/>
        </w:rPr>
      </w:pPr>
      <w:r>
        <w:rPr>
          <w:vertAlign w:val="superscript"/>
        </w:rPr>
        <w:footnoteRef/>
      </w:r>
      <w:r>
        <w:rPr>
          <w:sz w:val="20"/>
          <w:szCs w:val="20"/>
        </w:rPr>
        <w:t xml:space="preserve"> </w:t>
      </w:r>
      <w:hyperlink r:id="rId2">
        <w:r>
          <w:rPr>
            <w:color w:val="1155CC"/>
            <w:sz w:val="18"/>
            <w:szCs w:val="18"/>
            <w:u w:val="single"/>
          </w:rPr>
          <w:t>https://www.indec.gob.ar/ftp/cuadros/poblacion/estud</w:t>
        </w:r>
        <w:r>
          <w:rPr>
            <w:color w:val="1155CC"/>
            <w:sz w:val="18"/>
            <w:szCs w:val="18"/>
            <w:u w:val="single"/>
          </w:rPr>
          <w:t>io_discapacidad_12_18.pdf</w:t>
        </w:r>
      </w:hyperlink>
      <w:r>
        <w:rPr>
          <w:sz w:val="18"/>
          <w:szCs w:val="18"/>
        </w:rPr>
        <w:t xml:space="preserve"> </w:t>
      </w:r>
    </w:p>
  </w:footnote>
  <w:footnote w:id="5">
    <w:p w:rsidR="00AD73D2" w:rsidRDefault="0039146F">
      <w:pPr>
        <w:spacing w:line="240" w:lineRule="auto"/>
        <w:rPr>
          <w:sz w:val="18"/>
          <w:szCs w:val="18"/>
        </w:rPr>
      </w:pPr>
      <w:r>
        <w:rPr>
          <w:vertAlign w:val="superscript"/>
        </w:rPr>
        <w:footnoteRef/>
      </w:r>
      <w:r>
        <w:rPr>
          <w:sz w:val="20"/>
          <w:szCs w:val="20"/>
        </w:rPr>
        <w:t xml:space="preserve"> </w:t>
      </w:r>
      <w:r>
        <w:rPr>
          <w:sz w:val="18"/>
          <w:szCs w:val="18"/>
        </w:rPr>
        <w:t xml:space="preserve">ENUT (Encuesta Nacional de Uso del Tiempo 2021, Resultados definitivos, INDEC, octubre 2022. Disponible en: </w:t>
      </w:r>
      <w:hyperlink r:id="rId3">
        <w:r>
          <w:rPr>
            <w:color w:val="1155CC"/>
            <w:sz w:val="18"/>
            <w:szCs w:val="18"/>
            <w:u w:val="single"/>
          </w:rPr>
          <w:t>https://www.indec.gob.ar/indec/web/Nivel4-Tema-4-31-117</w:t>
        </w:r>
      </w:hyperlink>
      <w:r>
        <w:rPr>
          <w:sz w:val="18"/>
          <w:szCs w:val="18"/>
        </w:rPr>
        <w:t xml:space="preserve"> </w:t>
      </w:r>
    </w:p>
  </w:footnote>
  <w:footnote w:id="6">
    <w:p w:rsidR="00AD73D2" w:rsidRDefault="0039146F">
      <w:pPr>
        <w:spacing w:line="240" w:lineRule="auto"/>
        <w:jc w:val="both"/>
        <w:rPr>
          <w:sz w:val="20"/>
          <w:szCs w:val="20"/>
        </w:rPr>
      </w:pPr>
      <w:r>
        <w:rPr>
          <w:vertAlign w:val="superscript"/>
        </w:rPr>
        <w:footnoteRef/>
      </w:r>
      <w:r>
        <w:rPr>
          <w:sz w:val="20"/>
          <w:szCs w:val="20"/>
        </w:rPr>
        <w:t xml:space="preserve"> El tiempo con simultaneidad es una medida contemplada la ENUT (Encuesta Nacional del Uso del Tiempo) que surge de asignarle a cada actividad que se realiza en un mismo período el total del tiempo dedicado, y que busca represent</w:t>
      </w:r>
      <w:r>
        <w:rPr>
          <w:sz w:val="20"/>
          <w:szCs w:val="20"/>
        </w:rPr>
        <w:t xml:space="preserve">ar el impacto de las actividades que se realizan de manera simultánea (una o más a la vez) en el uso del tiempo desagregado por sexo. En base a la consideración de esta medida, el día podría durar más de 24 </w:t>
      </w:r>
      <w:proofErr w:type="spellStart"/>
      <w:r>
        <w:rPr>
          <w:sz w:val="20"/>
          <w:szCs w:val="20"/>
        </w:rPr>
        <w:t>hs</w:t>
      </w:r>
      <w:proofErr w:type="spellEnd"/>
      <w:r>
        <w:rPr>
          <w:sz w:val="20"/>
          <w:szCs w:val="20"/>
        </w:rPr>
        <w:t xml:space="preserve">. </w:t>
      </w:r>
    </w:p>
    <w:p w:rsidR="00AD73D2" w:rsidRDefault="00AD73D2">
      <w:pPr>
        <w:spacing w:line="240" w:lineRule="auto"/>
        <w:jc w:val="both"/>
        <w:rPr>
          <w:sz w:val="20"/>
          <w:szCs w:val="20"/>
        </w:rPr>
      </w:pPr>
    </w:p>
  </w:footnote>
  <w:footnote w:id="7">
    <w:p w:rsidR="00AD73D2" w:rsidRDefault="0039146F">
      <w:pPr>
        <w:spacing w:line="240" w:lineRule="auto"/>
        <w:jc w:val="both"/>
        <w:rPr>
          <w:sz w:val="18"/>
          <w:szCs w:val="18"/>
        </w:rPr>
      </w:pPr>
      <w:r>
        <w:rPr>
          <w:vertAlign w:val="superscript"/>
        </w:rPr>
        <w:footnoteRef/>
      </w:r>
      <w:r>
        <w:rPr>
          <w:sz w:val="20"/>
          <w:szCs w:val="20"/>
        </w:rPr>
        <w:t xml:space="preserve"> </w:t>
      </w:r>
      <w:r>
        <w:rPr>
          <w:sz w:val="18"/>
          <w:szCs w:val="18"/>
        </w:rPr>
        <w:t xml:space="preserve">Ver nota detallada de la participación en: </w:t>
      </w:r>
      <w:hyperlink r:id="rId4">
        <w:r>
          <w:rPr>
            <w:color w:val="1155CC"/>
            <w:sz w:val="18"/>
            <w:szCs w:val="18"/>
            <w:u w:val="single"/>
          </w:rPr>
          <w:t>https://latinta.</w:t>
        </w:r>
        <w:r>
          <w:rPr>
            <w:color w:val="1155CC"/>
            <w:sz w:val="18"/>
            <w:szCs w:val="18"/>
            <w:u w:val="single"/>
          </w:rPr>
          <w:t>com.ar/2021/03/cuidados-perspectiva-discapacidad/</w:t>
        </w:r>
      </w:hyperlink>
      <w:r>
        <w:rPr>
          <w:sz w:val="18"/>
          <w:szCs w:val="18"/>
        </w:rPr>
        <w:t xml:space="preserve"> </w:t>
      </w:r>
    </w:p>
  </w:footnote>
  <w:footnote w:id="8">
    <w:p w:rsidR="00AD73D2" w:rsidRDefault="0039146F">
      <w:pPr>
        <w:spacing w:line="240" w:lineRule="auto"/>
        <w:jc w:val="both"/>
        <w:rPr>
          <w:color w:val="FF0000"/>
          <w:sz w:val="18"/>
          <w:szCs w:val="18"/>
        </w:rPr>
      </w:pPr>
      <w:r>
        <w:rPr>
          <w:vertAlign w:val="superscript"/>
        </w:rPr>
        <w:footnoteRef/>
      </w:r>
      <w:r>
        <w:rPr>
          <w:sz w:val="20"/>
          <w:szCs w:val="20"/>
        </w:rPr>
        <w:t xml:space="preserve"> </w:t>
      </w:r>
      <w:r>
        <w:rPr>
          <w:sz w:val="18"/>
          <w:szCs w:val="18"/>
        </w:rPr>
        <w:t xml:space="preserve">El Programa Potenciar Trabajo está dirigido a promover la inclusión </w:t>
      </w:r>
      <w:proofErr w:type="spellStart"/>
      <w:r>
        <w:rPr>
          <w:sz w:val="18"/>
          <w:szCs w:val="18"/>
        </w:rPr>
        <w:t>socioproductiva</w:t>
      </w:r>
      <w:proofErr w:type="spellEnd"/>
      <w:r>
        <w:rPr>
          <w:sz w:val="18"/>
          <w:szCs w:val="18"/>
        </w:rPr>
        <w:t xml:space="preserve"> y el desarrollo local. Se contribuye a mejorar el empleo y generar nuevas propuestas productivas a través de la finaliz</w:t>
      </w:r>
      <w:r>
        <w:rPr>
          <w:sz w:val="18"/>
          <w:szCs w:val="18"/>
        </w:rPr>
        <w:t xml:space="preserve">ación de estudios, formación laboral y capacitación en oficios. </w:t>
      </w:r>
    </w:p>
  </w:footnote>
  <w:footnote w:id="9">
    <w:p w:rsidR="00AD73D2" w:rsidRDefault="0039146F">
      <w:pPr>
        <w:spacing w:line="240" w:lineRule="auto"/>
        <w:jc w:val="both"/>
        <w:rPr>
          <w:sz w:val="18"/>
          <w:szCs w:val="18"/>
        </w:rPr>
      </w:pPr>
      <w:r>
        <w:rPr>
          <w:vertAlign w:val="superscript"/>
        </w:rPr>
        <w:footnoteRef/>
      </w:r>
      <w:r>
        <w:rPr>
          <w:sz w:val="20"/>
          <w:szCs w:val="20"/>
        </w:rPr>
        <w:t xml:space="preserve"> </w:t>
      </w:r>
      <w:r>
        <w:rPr>
          <w:sz w:val="18"/>
          <w:szCs w:val="18"/>
        </w:rPr>
        <w:t xml:space="preserve">Observaciones finales sobre el séptimo informe periódico de la Argentina”, del 26 de noviembre de 2016, disponible en: </w:t>
      </w:r>
      <w:hyperlink r:id="rId5">
        <w:r>
          <w:rPr>
            <w:color w:val="1155CC"/>
            <w:sz w:val="18"/>
            <w:szCs w:val="18"/>
            <w:u w:val="single"/>
          </w:rPr>
          <w:t xml:space="preserve">https://tbinternet.ohchr.org/_layouts/15/treatybodyexternal/Download.aspx?symbolno=CEDAW/C/ARG/CO/7&amp;Lang=Sp </w:t>
        </w:r>
      </w:hyperlink>
    </w:p>
  </w:footnote>
  <w:footnote w:id="10">
    <w:p w:rsidR="00AD73D2" w:rsidRDefault="0039146F">
      <w:pPr>
        <w:spacing w:line="240" w:lineRule="auto"/>
        <w:jc w:val="both"/>
        <w:rPr>
          <w:sz w:val="18"/>
          <w:szCs w:val="18"/>
        </w:rPr>
      </w:pPr>
      <w:r>
        <w:rPr>
          <w:vertAlign w:val="superscript"/>
        </w:rPr>
        <w:footnoteRef/>
      </w:r>
      <w:r>
        <w:rPr>
          <w:rFonts w:ascii="Calibri" w:eastAsia="Calibri" w:hAnsi="Calibri" w:cs="Calibri"/>
          <w:color w:val="808080"/>
          <w:sz w:val="18"/>
          <w:szCs w:val="18"/>
        </w:rPr>
        <w:t xml:space="preserve"> </w:t>
      </w:r>
      <w:r>
        <w:rPr>
          <w:sz w:val="18"/>
          <w:szCs w:val="18"/>
          <w:highlight w:val="white"/>
        </w:rPr>
        <w:t>El Ministerio de las Mujeres, Géneros y Diversidad de </w:t>
      </w:r>
      <w:hyperlink r:id="rId6">
        <w:r>
          <w:rPr>
            <w:sz w:val="18"/>
            <w:szCs w:val="18"/>
            <w:highlight w:val="white"/>
          </w:rPr>
          <w:t>Argentina</w:t>
        </w:r>
      </w:hyperlink>
      <w:r>
        <w:rPr>
          <w:sz w:val="18"/>
          <w:szCs w:val="18"/>
          <w:highlight w:val="white"/>
        </w:rPr>
        <w:t xml:space="preserve"> es un ministerio dependiente del Poder Ejecutivo Nacional a cargo de la política de género del país. Fue creado bajo la presidencia de Alberto Fernández el 10 de diciembre de 2019, a través del Decreto 7/2019 que modificó la Ley </w:t>
      </w:r>
      <w:r>
        <w:rPr>
          <w:sz w:val="18"/>
          <w:szCs w:val="18"/>
          <w:highlight w:val="white"/>
        </w:rPr>
        <w:t>de Ministerios, transfiriendo las competencias del Instituto Nacional de las Mujeres (INAM), ente descentralizado creado a su vez en 2017, bajo la jurisdicción del Ministerio de Desarrollo Social.</w:t>
      </w:r>
    </w:p>
  </w:footnote>
  <w:footnote w:id="11">
    <w:p w:rsidR="00AD73D2" w:rsidRDefault="0039146F">
      <w:pPr>
        <w:spacing w:line="240" w:lineRule="auto"/>
        <w:rPr>
          <w:color w:val="0000FF"/>
          <w:sz w:val="18"/>
          <w:szCs w:val="18"/>
        </w:rPr>
      </w:pPr>
      <w:r>
        <w:rPr>
          <w:vertAlign w:val="superscript"/>
        </w:rPr>
        <w:footnoteRef/>
      </w:r>
      <w:r>
        <w:rPr>
          <w:sz w:val="20"/>
          <w:szCs w:val="20"/>
        </w:rPr>
        <w:t xml:space="preserve"> </w:t>
      </w:r>
      <w:r>
        <w:rPr>
          <w:sz w:val="18"/>
          <w:szCs w:val="18"/>
        </w:rPr>
        <w:t>Plan Nacional de Acción contra las Violencias por Motivos</w:t>
      </w:r>
      <w:r>
        <w:rPr>
          <w:sz w:val="18"/>
          <w:szCs w:val="18"/>
        </w:rPr>
        <w:t xml:space="preserve"> de Género 2020-2022, PDF:  </w:t>
      </w:r>
      <w:hyperlink r:id="rId7">
        <w:r>
          <w:rPr>
            <w:color w:val="0000FF"/>
            <w:sz w:val="18"/>
            <w:szCs w:val="18"/>
            <w:u w:val="single"/>
          </w:rPr>
          <w:t>https://www.argentina.gob.ar/sites/default/files/plan_nacional_de_accion_2020_2022.pdf</w:t>
        </w:r>
      </w:hyperlink>
    </w:p>
  </w:footnote>
  <w:footnote w:id="12">
    <w:p w:rsidR="00AD73D2" w:rsidRDefault="0039146F">
      <w:pPr>
        <w:spacing w:line="240" w:lineRule="auto"/>
        <w:jc w:val="both"/>
        <w:rPr>
          <w:sz w:val="18"/>
          <w:szCs w:val="18"/>
        </w:rPr>
      </w:pPr>
      <w:r>
        <w:rPr>
          <w:vertAlign w:val="superscript"/>
        </w:rPr>
        <w:footnoteRef/>
      </w:r>
      <w:r>
        <w:rPr>
          <w:sz w:val="18"/>
          <w:szCs w:val="18"/>
        </w:rPr>
        <w:t xml:space="preserve"> Corte Suprema de Justicia de Arge</w:t>
      </w:r>
      <w:r>
        <w:rPr>
          <w:sz w:val="18"/>
          <w:szCs w:val="18"/>
        </w:rPr>
        <w:t xml:space="preserve">ntina (2019). Registro Nacional de </w:t>
      </w:r>
      <w:proofErr w:type="spellStart"/>
      <w:r>
        <w:rPr>
          <w:sz w:val="18"/>
          <w:szCs w:val="18"/>
        </w:rPr>
        <w:t>Femicidios</w:t>
      </w:r>
      <w:proofErr w:type="spellEnd"/>
      <w:r>
        <w:rPr>
          <w:sz w:val="18"/>
          <w:szCs w:val="18"/>
        </w:rPr>
        <w:t xml:space="preserve"> de la Justicia Argentina para el año 2019, p. 26. Disponible en: https://www.csjn.gov.ar/omrecopilacion/docs/informefemicidios2019.pdf</w:t>
      </w:r>
    </w:p>
  </w:footnote>
  <w:footnote w:id="13">
    <w:p w:rsidR="00AD73D2" w:rsidRDefault="0039146F">
      <w:pPr>
        <w:spacing w:line="240" w:lineRule="auto"/>
        <w:jc w:val="both"/>
        <w:rPr>
          <w:sz w:val="18"/>
          <w:szCs w:val="18"/>
        </w:rPr>
      </w:pPr>
      <w:r>
        <w:rPr>
          <w:vertAlign w:val="superscript"/>
        </w:rPr>
        <w:footnoteRef/>
      </w:r>
      <w:r>
        <w:rPr>
          <w:sz w:val="20"/>
          <w:szCs w:val="20"/>
        </w:rPr>
        <w:t xml:space="preserve"> </w:t>
      </w:r>
      <w:r>
        <w:rPr>
          <w:sz w:val="18"/>
          <w:szCs w:val="18"/>
        </w:rPr>
        <w:t>El Programa Acompañar</w:t>
      </w:r>
      <w:r>
        <w:rPr>
          <w:b/>
          <w:sz w:val="18"/>
          <w:szCs w:val="18"/>
        </w:rPr>
        <w:t> </w:t>
      </w:r>
      <w:r>
        <w:rPr>
          <w:sz w:val="18"/>
          <w:szCs w:val="18"/>
        </w:rPr>
        <w:t>está dirigido a mujeres y LGBTTIQ+ en situación de violencia de género de todo el país. Su objetivo principal es fortalecer la independencia económica de mujeres y LGBTTIQ+ en situación de violencia de género. Consiste en: Apoyo económico equivalente al Sa</w:t>
      </w:r>
      <w:r>
        <w:rPr>
          <w:sz w:val="18"/>
          <w:szCs w:val="18"/>
        </w:rPr>
        <w:t>lario Mínimo, Vital y Móvil por 6 meses consecutivos a mujeres y LGBTTIQ+ que se encuentran en situación de violencia de género. Acompañamiento integral y acceso a dispositivos de fortalecimiento psicosocial para las personas incluidas en el programa, coor</w:t>
      </w:r>
      <w:r>
        <w:rPr>
          <w:sz w:val="18"/>
          <w:szCs w:val="18"/>
        </w:rPr>
        <w:t>dinado con los gobiernos provinciales y locales.</w:t>
      </w:r>
    </w:p>
  </w:footnote>
  <w:footnote w:id="14">
    <w:p w:rsidR="00AD73D2" w:rsidRDefault="0039146F">
      <w:pPr>
        <w:spacing w:line="240" w:lineRule="auto"/>
        <w:jc w:val="both"/>
        <w:rPr>
          <w:color w:val="FF0000"/>
          <w:sz w:val="18"/>
          <w:szCs w:val="18"/>
        </w:rPr>
      </w:pPr>
      <w:r>
        <w:rPr>
          <w:vertAlign w:val="superscript"/>
        </w:rPr>
        <w:footnoteRef/>
      </w:r>
      <w:r>
        <w:rPr>
          <w:sz w:val="20"/>
          <w:szCs w:val="20"/>
        </w:rPr>
        <w:t xml:space="preserve"> </w:t>
      </w:r>
      <w:r>
        <w:rPr>
          <w:sz w:val="18"/>
          <w:szCs w:val="18"/>
        </w:rPr>
        <w:t xml:space="preserve">Este programa en particular, aporta a la autonomía económica y la inclusión </w:t>
      </w:r>
      <w:proofErr w:type="spellStart"/>
      <w:r>
        <w:rPr>
          <w:sz w:val="18"/>
          <w:szCs w:val="18"/>
        </w:rPr>
        <w:t>socioproductiva</w:t>
      </w:r>
      <w:proofErr w:type="spellEnd"/>
      <w:r>
        <w:rPr>
          <w:sz w:val="18"/>
          <w:szCs w:val="18"/>
        </w:rPr>
        <w:t xml:space="preserve"> en general, y de manera indirecta también podría significar una posibilidad para mujeres con discapacidad en situ</w:t>
      </w:r>
      <w:r>
        <w:rPr>
          <w:sz w:val="18"/>
          <w:szCs w:val="18"/>
        </w:rPr>
        <w:t>ación de violencia por motivos de género.</w:t>
      </w:r>
      <w:r>
        <w:rPr>
          <w:color w:val="FF0000"/>
          <w:sz w:val="18"/>
          <w:szCs w:val="18"/>
        </w:rPr>
        <w:t xml:space="preserve"> </w:t>
      </w:r>
    </w:p>
  </w:footnote>
  <w:footnote w:id="15">
    <w:p w:rsidR="00AD73D2" w:rsidRDefault="0039146F">
      <w:pPr>
        <w:spacing w:line="240" w:lineRule="auto"/>
        <w:jc w:val="both"/>
        <w:rPr>
          <w:sz w:val="18"/>
          <w:szCs w:val="18"/>
        </w:rPr>
      </w:pPr>
      <w:r>
        <w:rPr>
          <w:vertAlign w:val="superscript"/>
        </w:rPr>
        <w:footnoteRef/>
      </w:r>
      <w:r>
        <w:rPr>
          <w:rFonts w:ascii="Calibri" w:eastAsia="Calibri" w:hAnsi="Calibri" w:cs="Calibri"/>
          <w:color w:val="808080"/>
          <w:sz w:val="18"/>
          <w:szCs w:val="18"/>
        </w:rPr>
        <w:t xml:space="preserve"> </w:t>
      </w:r>
      <w:r>
        <w:rPr>
          <w:sz w:val="18"/>
          <w:szCs w:val="18"/>
          <w:highlight w:val="white"/>
        </w:rPr>
        <w:t xml:space="preserve">Esta medida consiste en una prestación económica a la que tienen derecho </w:t>
      </w:r>
      <w:r>
        <w:rPr>
          <w:sz w:val="18"/>
          <w:szCs w:val="18"/>
          <w:highlight w:val="white"/>
        </w:rPr>
        <w:t>las personas que se encuentran en una situación de necesidad económica si tienen una invalidez o si no han cotizado a la Seguridad Social el mínimo de años legalmente exigidos.</w:t>
      </w:r>
    </w:p>
  </w:footnote>
  <w:footnote w:id="16">
    <w:p w:rsidR="00AD73D2" w:rsidRDefault="0039146F">
      <w:pPr>
        <w:spacing w:line="240" w:lineRule="auto"/>
        <w:rPr>
          <w:sz w:val="18"/>
          <w:szCs w:val="18"/>
        </w:rPr>
      </w:pPr>
      <w:r>
        <w:rPr>
          <w:vertAlign w:val="superscript"/>
        </w:rPr>
        <w:footnoteRef/>
      </w:r>
      <w:r>
        <w:rPr>
          <w:sz w:val="20"/>
          <w:szCs w:val="20"/>
        </w:rPr>
        <w:t xml:space="preserve"> </w:t>
      </w:r>
      <w:r>
        <w:rPr>
          <w:sz w:val="18"/>
          <w:szCs w:val="18"/>
          <w:highlight w:val="white"/>
        </w:rPr>
        <w:t>La línea 144 en Argentina es el número asignado para la atención, contención y asesoramiento en situaciones de violencia basada en género. Fue creada en virtud del Artículo 9 de la Ley 26.485 de "Protección Integral a las Mujeres", sancionada en el año 200</w:t>
      </w:r>
      <w:r>
        <w:rPr>
          <w:sz w:val="18"/>
          <w:szCs w:val="18"/>
          <w:highlight w:val="white"/>
        </w:rPr>
        <w:t xml:space="preserve">9. </w:t>
      </w:r>
    </w:p>
  </w:footnote>
  <w:footnote w:id="17">
    <w:p w:rsidR="00AD73D2" w:rsidRDefault="0039146F">
      <w:pPr>
        <w:spacing w:line="240" w:lineRule="auto"/>
        <w:jc w:val="both"/>
        <w:rPr>
          <w:sz w:val="18"/>
          <w:szCs w:val="18"/>
        </w:rPr>
      </w:pPr>
      <w:r>
        <w:rPr>
          <w:vertAlign w:val="superscript"/>
        </w:rPr>
        <w:footnoteRef/>
      </w:r>
      <w:r>
        <w:rPr>
          <w:sz w:val="20"/>
          <w:szCs w:val="20"/>
        </w:rPr>
        <w:t xml:space="preserve"> </w:t>
      </w:r>
      <w:r>
        <w:rPr>
          <w:sz w:val="18"/>
          <w:szCs w:val="18"/>
        </w:rPr>
        <w:t xml:space="preserve">Dirección Nacional de Salud Mental y Adicciones (2019). Primer censo nacional de personas internadas por motivos de salud mental. Buenos Aires: Ministerio de Salud y Desarrollo Social de la Nación. Disponible en : </w:t>
      </w:r>
      <w:hyperlink r:id="rId8">
        <w:r>
          <w:rPr>
            <w:color w:val="1155CC"/>
            <w:sz w:val="18"/>
            <w:szCs w:val="18"/>
            <w:u w:val="single"/>
          </w:rPr>
          <w:t>https://bancos.salud.gob.ar/sites/default/files/2020-01/primer-censo-nacionalpersonas-internadas-por-motivos-de-salud-mental-2019.pdf</w:t>
        </w:r>
      </w:hyperlink>
      <w:r>
        <w:rPr>
          <w:sz w:val="18"/>
          <w:szCs w:val="18"/>
        </w:rPr>
        <w:t xml:space="preserve"> </w:t>
      </w:r>
    </w:p>
  </w:footnote>
  <w:footnote w:id="18">
    <w:p w:rsidR="00AD73D2" w:rsidRDefault="0039146F">
      <w:pPr>
        <w:spacing w:line="240" w:lineRule="auto"/>
        <w:jc w:val="both"/>
        <w:rPr>
          <w:sz w:val="20"/>
          <w:szCs w:val="20"/>
        </w:rPr>
      </w:pPr>
      <w:r>
        <w:rPr>
          <w:vertAlign w:val="superscript"/>
        </w:rPr>
        <w:footnoteRef/>
      </w:r>
      <w:r>
        <w:rPr>
          <w:sz w:val="20"/>
          <w:szCs w:val="20"/>
        </w:rPr>
        <w:t xml:space="preserve"> </w:t>
      </w:r>
      <w:r>
        <w:rPr>
          <w:sz w:val="18"/>
          <w:szCs w:val="18"/>
        </w:rPr>
        <w:t xml:space="preserve">La Ley Nacional N°26.657 </w:t>
      </w:r>
      <w:r>
        <w:rPr>
          <w:sz w:val="18"/>
          <w:szCs w:val="18"/>
          <w:highlight w:val="white"/>
        </w:rPr>
        <w:t>es una legislación argentina que asegura el derecho a la protección de la salud mental de todas las personas, y los derechos humanos de aquella</w:t>
      </w:r>
      <w:r>
        <w:rPr>
          <w:sz w:val="18"/>
          <w:szCs w:val="18"/>
          <w:highlight w:val="white"/>
        </w:rPr>
        <w:t xml:space="preserve">s con padecimiento </w:t>
      </w:r>
      <w:proofErr w:type="gramStart"/>
      <w:r>
        <w:rPr>
          <w:sz w:val="18"/>
          <w:szCs w:val="18"/>
          <w:highlight w:val="white"/>
        </w:rPr>
        <w:t>mental.​</w:t>
      </w:r>
      <w:proofErr w:type="gramEnd"/>
      <w:r>
        <w:rPr>
          <w:sz w:val="18"/>
          <w:szCs w:val="18"/>
          <w:highlight w:val="white"/>
        </w:rPr>
        <w:t xml:space="preserve"> Fue sancionada el 25 de noviembre de 2010 y promulgada el 2 de diciembre de 2010.</w:t>
      </w:r>
    </w:p>
  </w:footnote>
  <w:footnote w:id="19">
    <w:p w:rsidR="00AD73D2" w:rsidRDefault="0039146F">
      <w:pPr>
        <w:spacing w:line="240" w:lineRule="auto"/>
        <w:jc w:val="both"/>
        <w:rPr>
          <w:sz w:val="18"/>
          <w:szCs w:val="18"/>
        </w:rPr>
      </w:pPr>
      <w:r>
        <w:rPr>
          <w:vertAlign w:val="superscript"/>
        </w:rPr>
        <w:footnoteRef/>
      </w:r>
      <w:r>
        <w:rPr>
          <w:sz w:val="18"/>
          <w:szCs w:val="18"/>
        </w:rPr>
        <w:t xml:space="preserve"> Información construida en el marco de un </w:t>
      </w:r>
      <w:r>
        <w:rPr>
          <w:sz w:val="18"/>
          <w:szCs w:val="18"/>
        </w:rPr>
        <w:t>proyecto específico con mujeres con discapacidad de Argentina coordinado por la</w:t>
      </w:r>
      <w:r>
        <w:rPr>
          <w:sz w:val="20"/>
          <w:szCs w:val="20"/>
        </w:rPr>
        <w:t xml:space="preserve"> </w:t>
      </w:r>
      <w:r>
        <w:rPr>
          <w:sz w:val="18"/>
          <w:szCs w:val="18"/>
        </w:rPr>
        <w:t xml:space="preserve">Red por los Derechos de las Personas con Discapacidad. Disponible en: </w:t>
      </w:r>
      <w:hyperlink r:id="rId9">
        <w:r>
          <w:rPr>
            <w:color w:val="1155CC"/>
            <w:sz w:val="18"/>
            <w:szCs w:val="18"/>
            <w:u w:val="single"/>
          </w:rPr>
          <w:t>http://genero.redi.org.ar/wp-content/uploads/2020/10/las-mujeres-con-discapacidad-contamos-nuestrlas-mujeres-con-discapacidad-contamos-nues</w:t>
        </w:r>
        <w:r>
          <w:rPr>
            <w:color w:val="1155CC"/>
            <w:sz w:val="18"/>
            <w:szCs w:val="18"/>
            <w:u w:val="single"/>
          </w:rPr>
          <w:t>tras-barreras-para-ejercer-derechos-sexuales-y-reproductivos.pdf</w:t>
        </w:r>
      </w:hyperlink>
      <w:r>
        <w:rPr>
          <w:sz w:val="18"/>
          <w:szCs w:val="18"/>
        </w:rPr>
        <w:t xml:space="preserve"> Buenos Aires, 2020. </w:t>
      </w:r>
    </w:p>
  </w:footnote>
  <w:footnote w:id="20">
    <w:p w:rsidR="00AD73D2" w:rsidRDefault="0039146F">
      <w:pPr>
        <w:widowControl w:val="0"/>
        <w:spacing w:line="240" w:lineRule="auto"/>
        <w:jc w:val="both"/>
        <w:rPr>
          <w:sz w:val="18"/>
          <w:szCs w:val="18"/>
        </w:rPr>
      </w:pPr>
      <w:r>
        <w:rPr>
          <w:vertAlign w:val="superscript"/>
        </w:rPr>
        <w:footnoteRef/>
      </w:r>
      <w:r>
        <w:rPr>
          <w:sz w:val="20"/>
          <w:szCs w:val="20"/>
          <w:highlight w:val="white"/>
        </w:rPr>
        <w:t xml:space="preserve"> </w:t>
      </w:r>
      <w:r>
        <w:rPr>
          <w:sz w:val="18"/>
          <w:szCs w:val="18"/>
          <w:highlight w:val="white"/>
        </w:rPr>
        <w:t>La</w:t>
      </w:r>
      <w:r>
        <w:rPr>
          <w:sz w:val="18"/>
          <w:szCs w:val="18"/>
          <w:highlight w:val="white"/>
        </w:rPr>
        <w:t> lengua de señas argentina o </w:t>
      </w:r>
      <w:proofErr w:type="gramStart"/>
      <w:r>
        <w:rPr>
          <w:sz w:val="18"/>
          <w:szCs w:val="18"/>
          <w:highlight w:val="white"/>
        </w:rPr>
        <w:t>LSA  es</w:t>
      </w:r>
      <w:proofErr w:type="gramEnd"/>
      <w:r>
        <w:rPr>
          <w:sz w:val="18"/>
          <w:szCs w:val="18"/>
          <w:highlight w:val="white"/>
        </w:rPr>
        <w:t xml:space="preserve"> la lengua de señas empleada por la comunidad sorda en Argentina. Es una lengua natural, con una gramática compleja, completa y distinta al </w:t>
      </w:r>
      <w:proofErr w:type="gramStart"/>
      <w:r>
        <w:rPr>
          <w:sz w:val="18"/>
          <w:szCs w:val="18"/>
          <w:highlight w:val="white"/>
        </w:rPr>
        <w:t>español.​</w:t>
      </w:r>
      <w:proofErr w:type="gramEnd"/>
      <w:r>
        <w:rPr>
          <w:sz w:val="18"/>
          <w:szCs w:val="18"/>
          <w:highlight w:val="white"/>
        </w:rPr>
        <w:t xml:space="preserve"> Su origen puede remontarse a la comunidad nacida en las primeras escue</w:t>
      </w:r>
      <w:r>
        <w:rPr>
          <w:sz w:val="18"/>
          <w:szCs w:val="18"/>
          <w:highlight w:val="white"/>
        </w:rPr>
        <w:t>las para sordos de Buenos Aires a finales del siglo XIX y comienzos del XX, como consecuencia de la fundación del Instituto Nacional de Sordomudos.</w:t>
      </w:r>
    </w:p>
  </w:footnote>
  <w:footnote w:id="21">
    <w:p w:rsidR="00AD73D2" w:rsidRDefault="0039146F">
      <w:pPr>
        <w:widowControl w:val="0"/>
        <w:spacing w:line="240" w:lineRule="auto"/>
        <w:jc w:val="both"/>
        <w:rPr>
          <w:sz w:val="18"/>
          <w:szCs w:val="18"/>
        </w:rPr>
      </w:pPr>
      <w:r>
        <w:rPr>
          <w:vertAlign w:val="superscript"/>
        </w:rPr>
        <w:footnoteRef/>
      </w:r>
      <w:r>
        <w:rPr>
          <w:color w:val="808080"/>
          <w:sz w:val="20"/>
          <w:szCs w:val="20"/>
          <w:highlight w:val="white"/>
        </w:rPr>
        <w:t xml:space="preserve"> </w:t>
      </w:r>
      <w:r>
        <w:rPr>
          <w:sz w:val="18"/>
          <w:szCs w:val="18"/>
          <w:highlight w:val="white"/>
        </w:rPr>
        <w:t>El lenguaje icónico puede definirse como una representación visual y discursiva que busca transmitir algún mensaje a través de la imagen. </w:t>
      </w:r>
    </w:p>
  </w:footnote>
  <w:footnote w:id="22">
    <w:p w:rsidR="00AD73D2" w:rsidRDefault="0039146F">
      <w:pPr>
        <w:widowControl w:val="0"/>
        <w:spacing w:line="240" w:lineRule="auto"/>
        <w:jc w:val="both"/>
        <w:rPr>
          <w:sz w:val="18"/>
          <w:szCs w:val="18"/>
        </w:rPr>
      </w:pPr>
      <w:r>
        <w:rPr>
          <w:vertAlign w:val="superscript"/>
        </w:rPr>
        <w:footnoteRef/>
      </w:r>
      <w:r>
        <w:rPr>
          <w:color w:val="808080"/>
          <w:sz w:val="20"/>
          <w:szCs w:val="20"/>
          <w:highlight w:val="white"/>
        </w:rPr>
        <w:t xml:space="preserve"> </w:t>
      </w:r>
      <w:r>
        <w:rPr>
          <w:sz w:val="18"/>
          <w:szCs w:val="18"/>
          <w:highlight w:val="white"/>
        </w:rPr>
        <w:t>Superficie con relieve particular incorporado en el suelo para que las personas con discapacidad visual puedan dete</w:t>
      </w:r>
      <w:r>
        <w:rPr>
          <w:sz w:val="18"/>
          <w:szCs w:val="18"/>
          <w:highlight w:val="white"/>
        </w:rPr>
        <w:t>ctarlo y reconocerlo como una señal de alerta.</w:t>
      </w:r>
    </w:p>
  </w:footnote>
  <w:footnote w:id="23">
    <w:p w:rsidR="00AD73D2" w:rsidRDefault="0039146F">
      <w:pPr>
        <w:spacing w:after="200" w:line="240" w:lineRule="auto"/>
        <w:jc w:val="both"/>
        <w:rPr>
          <w:sz w:val="18"/>
          <w:szCs w:val="18"/>
        </w:rPr>
      </w:pPr>
      <w:r>
        <w:rPr>
          <w:vertAlign w:val="superscript"/>
        </w:rPr>
        <w:footnoteRef/>
      </w:r>
      <w:r>
        <w:rPr>
          <w:color w:val="808080"/>
          <w:sz w:val="18"/>
          <w:szCs w:val="18"/>
        </w:rPr>
        <w:t xml:space="preserve"> </w:t>
      </w:r>
      <w:r>
        <w:rPr>
          <w:sz w:val="18"/>
          <w:szCs w:val="18"/>
        </w:rPr>
        <w:t>Cabe señalar que, ante la falta de legislación nacional, algunos laboratorios radicados en el país, respondiendo a una política corporativa de las propias empresas, han incorporado el sistema Braille en el n</w:t>
      </w:r>
      <w:r>
        <w:rPr>
          <w:sz w:val="18"/>
          <w:szCs w:val="18"/>
        </w:rPr>
        <w:t>ombre del producto, la fecha de vencimiento y otras informaciones básicas en algunos casos.</w:t>
      </w:r>
    </w:p>
  </w:footnote>
  <w:footnote w:id="24">
    <w:p w:rsidR="00AD73D2" w:rsidRDefault="0039146F">
      <w:pPr>
        <w:spacing w:line="240" w:lineRule="auto"/>
        <w:jc w:val="both"/>
        <w:rPr>
          <w:sz w:val="18"/>
          <w:szCs w:val="18"/>
        </w:rPr>
      </w:pPr>
      <w:r>
        <w:rPr>
          <w:vertAlign w:val="superscript"/>
        </w:rPr>
        <w:footnoteRef/>
      </w:r>
      <w:r>
        <w:rPr>
          <w:sz w:val="18"/>
          <w:szCs w:val="18"/>
        </w:rPr>
        <w:t xml:space="preserve"> Información construida por el Observatorio de Salud Mental y Derechos Humanos en el marco de una investigación realizada en 2019 en hospitales psiquiátricos de la provincia </w:t>
      </w:r>
      <w:hyperlink r:id="rId10">
        <w:r>
          <w:rPr>
            <w:color w:val="1155CC"/>
            <w:sz w:val="18"/>
            <w:szCs w:val="18"/>
            <w:u w:val="single"/>
          </w:rPr>
          <w:t>https://latinta.com.ar/2019/10/no-estamos-todas-mujeres-hospitales-psiquiatricos/</w:t>
        </w:r>
      </w:hyperlink>
      <w:r>
        <w:rPr>
          <w:sz w:val="18"/>
          <w:szCs w:val="18"/>
        </w:rPr>
        <w:t xml:space="preserve"> </w:t>
      </w:r>
    </w:p>
  </w:footnote>
  <w:footnote w:id="25">
    <w:p w:rsidR="00AD73D2" w:rsidRDefault="0039146F">
      <w:pPr>
        <w:spacing w:line="240" w:lineRule="auto"/>
        <w:jc w:val="both"/>
        <w:rPr>
          <w:sz w:val="18"/>
          <w:szCs w:val="18"/>
        </w:rPr>
      </w:pPr>
      <w:r>
        <w:rPr>
          <w:vertAlign w:val="superscript"/>
        </w:rPr>
        <w:footnoteRef/>
      </w:r>
      <w:r>
        <w:rPr>
          <w:color w:val="808080"/>
          <w:sz w:val="18"/>
          <w:szCs w:val="18"/>
        </w:rPr>
        <w:t xml:space="preserve"> </w:t>
      </w:r>
      <w:r>
        <w:rPr>
          <w:sz w:val="18"/>
          <w:szCs w:val="18"/>
        </w:rPr>
        <w:t>La Ley 26.130 fue sancionada en el año 2006 y permite la realización de las prácticas anticonceptivas de ligadura de trompas y vasectomía, requiriéndose para ello</w:t>
      </w:r>
      <w:r>
        <w:rPr>
          <w:sz w:val="18"/>
          <w:szCs w:val="18"/>
        </w:rPr>
        <w:t xml:space="preserve"> el consentimiento de la persona.</w:t>
      </w:r>
    </w:p>
  </w:footnote>
  <w:footnote w:id="26">
    <w:p w:rsidR="00AD73D2" w:rsidRDefault="0039146F">
      <w:pPr>
        <w:spacing w:line="240" w:lineRule="auto"/>
        <w:jc w:val="both"/>
        <w:rPr>
          <w:sz w:val="18"/>
          <w:szCs w:val="18"/>
        </w:rPr>
      </w:pPr>
      <w:r>
        <w:rPr>
          <w:vertAlign w:val="superscript"/>
        </w:rPr>
        <w:footnoteRef/>
      </w:r>
      <w:r>
        <w:rPr>
          <w:sz w:val="20"/>
          <w:szCs w:val="20"/>
        </w:rPr>
        <w:t xml:space="preserve"> </w:t>
      </w:r>
      <w:r>
        <w:rPr>
          <w:sz w:val="18"/>
          <w:szCs w:val="18"/>
        </w:rPr>
        <w:t>El Código Civil y Comercial de la Nación en su Art. 32 determina que: (</w:t>
      </w:r>
      <w:proofErr w:type="gramStart"/>
      <w:r>
        <w:rPr>
          <w:sz w:val="18"/>
          <w:szCs w:val="18"/>
        </w:rPr>
        <w:t>)”…</w:t>
      </w:r>
      <w:proofErr w:type="gramEnd"/>
      <w:r>
        <w:rPr>
          <w:sz w:val="18"/>
          <w:szCs w:val="18"/>
        </w:rPr>
        <w:t>Por excepción, cuando la persona se encuentre absolutamente imposibilitada de interaccionar con su entorno y expresar su voluntad por cualquier mo</w:t>
      </w:r>
      <w:r>
        <w:rPr>
          <w:sz w:val="18"/>
          <w:szCs w:val="18"/>
        </w:rPr>
        <w:t xml:space="preserve">do, medio o formato adecuado y el sistema de apoyos resulte ineficaz, el juez puede declarar la incapacidad y designar un curador”. Disponible en: </w:t>
      </w:r>
      <w:hyperlink r:id="rId11">
        <w:r>
          <w:rPr>
            <w:color w:val="1155CC"/>
            <w:sz w:val="18"/>
            <w:szCs w:val="18"/>
            <w:u w:val="single"/>
          </w:rPr>
          <w:t>http</w:t>
        </w:r>
        <w:r>
          <w:rPr>
            <w:color w:val="1155CC"/>
            <w:sz w:val="18"/>
            <w:szCs w:val="18"/>
            <w:u w:val="single"/>
          </w:rPr>
          <w:t>://servicios.infoleg.gob.ar/infolegInternet/anexos/235000-239999/235975/norma.htm</w:t>
        </w:r>
      </w:hyperlink>
      <w:r>
        <w:rPr>
          <w:sz w:val="18"/>
          <w:szCs w:val="18"/>
        </w:rPr>
        <w:t xml:space="preserve"> </w:t>
      </w:r>
    </w:p>
  </w:footnote>
  <w:footnote w:id="27">
    <w:p w:rsidR="00AD73D2" w:rsidRDefault="0039146F">
      <w:pPr>
        <w:spacing w:line="240" w:lineRule="auto"/>
        <w:jc w:val="both"/>
        <w:rPr>
          <w:sz w:val="18"/>
          <w:szCs w:val="18"/>
        </w:rPr>
      </w:pPr>
      <w:r>
        <w:rPr>
          <w:vertAlign w:val="superscript"/>
        </w:rPr>
        <w:footnoteRef/>
      </w:r>
      <w:r>
        <w:rPr>
          <w:sz w:val="20"/>
          <w:szCs w:val="20"/>
        </w:rPr>
        <w:t xml:space="preserve"> </w:t>
      </w:r>
      <w:r>
        <w:rPr>
          <w:sz w:val="18"/>
          <w:szCs w:val="18"/>
        </w:rPr>
        <w:t xml:space="preserve">Ley Nacional N°27.610 regula el acceso a la interrupción voluntaria del embarazo y a la atención postaborto. Las disposiciones de la ley son de orden público por lo tanto </w:t>
      </w:r>
      <w:r>
        <w:rPr>
          <w:sz w:val="18"/>
          <w:szCs w:val="18"/>
        </w:rPr>
        <w:t>de aplicación obligatoria en todo el territorio de la República Argentina.</w:t>
      </w:r>
    </w:p>
  </w:footnote>
  <w:footnote w:id="28">
    <w:p w:rsidR="00AD73D2" w:rsidRDefault="0039146F">
      <w:pPr>
        <w:spacing w:line="240" w:lineRule="auto"/>
        <w:jc w:val="both"/>
        <w:rPr>
          <w:sz w:val="18"/>
          <w:szCs w:val="18"/>
        </w:rPr>
      </w:pPr>
      <w:r>
        <w:rPr>
          <w:vertAlign w:val="superscript"/>
        </w:rPr>
        <w:footnoteRef/>
      </w:r>
      <w:r>
        <w:rPr>
          <w:rFonts w:ascii="Calibri" w:eastAsia="Calibri" w:hAnsi="Calibri" w:cs="Calibri"/>
          <w:sz w:val="20"/>
          <w:szCs w:val="20"/>
        </w:rPr>
        <w:t xml:space="preserve"> </w:t>
      </w:r>
      <w:r>
        <w:rPr>
          <w:sz w:val="18"/>
          <w:szCs w:val="18"/>
        </w:rPr>
        <w:t xml:space="preserve">Ley Nacional N° 25.929. Disponible en: </w:t>
      </w:r>
      <w:hyperlink r:id="rId12">
        <w:r>
          <w:rPr>
            <w:color w:val="1155CC"/>
            <w:sz w:val="18"/>
            <w:szCs w:val="18"/>
            <w:highlight w:val="white"/>
            <w:u w:val="single"/>
          </w:rPr>
          <w:t>https://www.argentina.gob.ar/normativa/nacional/ley</w:t>
        </w:r>
        <w:r>
          <w:rPr>
            <w:color w:val="1155CC"/>
            <w:sz w:val="18"/>
            <w:szCs w:val="18"/>
            <w:highlight w:val="white"/>
            <w:u w:val="single"/>
          </w:rPr>
          <w:t>-25929-98805/texto</w:t>
        </w:r>
      </w:hyperlink>
      <w:r>
        <w:rPr>
          <w:sz w:val="18"/>
          <w:szCs w:val="18"/>
          <w:highlight w:val="white"/>
        </w:rPr>
        <w:t xml:space="preserve"> </w:t>
      </w:r>
    </w:p>
  </w:footnote>
  <w:footnote w:id="29">
    <w:p w:rsidR="00AD73D2" w:rsidRDefault="0039146F">
      <w:pPr>
        <w:spacing w:line="240" w:lineRule="auto"/>
        <w:jc w:val="both"/>
        <w:rPr>
          <w:rFonts w:ascii="Calibri" w:eastAsia="Calibri" w:hAnsi="Calibri" w:cs="Calibri"/>
          <w:sz w:val="18"/>
          <w:szCs w:val="18"/>
        </w:rPr>
      </w:pPr>
      <w:r>
        <w:rPr>
          <w:vertAlign w:val="superscript"/>
        </w:rPr>
        <w:footnoteRef/>
      </w:r>
      <w:r>
        <w:rPr>
          <w:color w:val="808080"/>
          <w:sz w:val="20"/>
          <w:szCs w:val="20"/>
        </w:rPr>
        <w:t xml:space="preserve"> </w:t>
      </w:r>
      <w:r>
        <w:rPr>
          <w:sz w:val="18"/>
          <w:szCs w:val="18"/>
        </w:rPr>
        <w:t>El Plan de los 1000 días ofrece acompañamiento y asistencia en el embarazo y durante los primeros tres años de vida de los niños y las niñas a todas las personas gestantes que no cuenten con los recursos necesarios o se encuentren tra</w:t>
      </w:r>
      <w:r>
        <w:rPr>
          <w:sz w:val="18"/>
          <w:szCs w:val="18"/>
        </w:rPr>
        <w:t>nsitando situaciones específicas contempladas por el plan. Tiene por objetivo bajar la mortalidad, malnutrición y desnutrición, así como prevenir la violencia y proteger el desarrollo emocional y físico.</w:t>
      </w:r>
    </w:p>
  </w:footnote>
  <w:footnote w:id="30">
    <w:p w:rsidR="00AD73D2" w:rsidRDefault="0039146F">
      <w:pPr>
        <w:spacing w:line="240" w:lineRule="auto"/>
        <w:jc w:val="both"/>
        <w:rPr>
          <w:sz w:val="18"/>
          <w:szCs w:val="18"/>
          <w:highlight w:val="white"/>
        </w:rPr>
      </w:pPr>
      <w:r>
        <w:rPr>
          <w:vertAlign w:val="superscript"/>
        </w:rPr>
        <w:footnoteRef/>
      </w:r>
      <w:r>
        <w:rPr>
          <w:rFonts w:ascii="Calibri" w:eastAsia="Calibri" w:hAnsi="Calibri" w:cs="Calibri"/>
          <w:color w:val="808080"/>
          <w:sz w:val="18"/>
          <w:szCs w:val="18"/>
        </w:rPr>
        <w:t xml:space="preserve"> </w:t>
      </w:r>
      <w:r>
        <w:rPr>
          <w:sz w:val="18"/>
          <w:szCs w:val="18"/>
          <w:highlight w:val="white"/>
        </w:rPr>
        <w:t>La Asignación Universal por Hijo/Hija (AUH) para protección social es un seguro social de Argentina que otorga a personas desocupadas, que realizan trabajo no registrado o que ganan menos del salario mínimo, vital y móvil, un beneficio por cada hijo o hija</w:t>
      </w:r>
      <w:r>
        <w:rPr>
          <w:sz w:val="18"/>
          <w:szCs w:val="18"/>
          <w:highlight w:val="white"/>
        </w:rPr>
        <w:t xml:space="preserve"> menor de 18 años e hijo o hija con discapacidad.</w:t>
      </w:r>
    </w:p>
  </w:footnote>
  <w:footnote w:id="31">
    <w:p w:rsidR="00AD73D2" w:rsidRDefault="0039146F">
      <w:pPr>
        <w:spacing w:line="240" w:lineRule="auto"/>
        <w:jc w:val="both"/>
        <w:rPr>
          <w:sz w:val="18"/>
          <w:szCs w:val="18"/>
        </w:rPr>
      </w:pPr>
      <w:r>
        <w:rPr>
          <w:vertAlign w:val="superscript"/>
        </w:rPr>
        <w:footnoteRef/>
      </w:r>
      <w:r>
        <w:rPr>
          <w:color w:val="808080"/>
          <w:sz w:val="18"/>
          <w:szCs w:val="18"/>
        </w:rPr>
        <w:t xml:space="preserve"> </w:t>
      </w:r>
      <w:r>
        <w:rPr>
          <w:sz w:val="18"/>
          <w:szCs w:val="18"/>
        </w:rPr>
        <w:t>La Asignación por Embarazo para Protección Social (AE) es una suma mensual que puede cobrar la persona gestante desde el inicio de su embarazo hasta su interrupción o el nacimiento del hijo o hija. Se pue</w:t>
      </w:r>
      <w:r>
        <w:rPr>
          <w:sz w:val="18"/>
          <w:szCs w:val="18"/>
        </w:rPr>
        <w:t xml:space="preserve">den cobrar 9 meses como máximo y se debe solicitar a partir de la semana de gestación número 12. Se debe acreditar que tanto la persona gestante como su cónyuge o conviviente están desocupados, se desempeñan en la economía informal, están registrados como </w:t>
      </w:r>
      <w:proofErr w:type="spellStart"/>
      <w:r>
        <w:rPr>
          <w:sz w:val="18"/>
          <w:szCs w:val="18"/>
        </w:rPr>
        <w:t>monotributistas</w:t>
      </w:r>
      <w:proofErr w:type="spellEnd"/>
      <w:r>
        <w:rPr>
          <w:sz w:val="18"/>
          <w:szCs w:val="18"/>
        </w:rPr>
        <w:t xml:space="preserve"> sociales o en el régimen especial de contrato de trabajo para el personal de casas particulares.</w:t>
      </w:r>
    </w:p>
  </w:footnote>
  <w:footnote w:id="32">
    <w:p w:rsidR="00AD73D2" w:rsidRDefault="0039146F">
      <w:pPr>
        <w:spacing w:line="240" w:lineRule="auto"/>
        <w:jc w:val="both"/>
        <w:rPr>
          <w:sz w:val="18"/>
          <w:szCs w:val="18"/>
        </w:rPr>
      </w:pPr>
      <w:r>
        <w:rPr>
          <w:vertAlign w:val="superscript"/>
        </w:rPr>
        <w:footnoteRef/>
      </w:r>
      <w:r>
        <w:rPr>
          <w:rFonts w:ascii="Calibri" w:eastAsia="Calibri" w:hAnsi="Calibri" w:cs="Calibri"/>
          <w:color w:val="808080"/>
          <w:sz w:val="18"/>
          <w:szCs w:val="18"/>
        </w:rPr>
        <w:t xml:space="preserve"> </w:t>
      </w:r>
      <w:r>
        <w:rPr>
          <w:sz w:val="18"/>
          <w:szCs w:val="18"/>
          <w:highlight w:val="white"/>
        </w:rPr>
        <w:t>El Apoyo Alimentario consiste en una transferencia monetaria que busca acompañar el crecimiento y desarrollo adecuados de las personas gestan</w:t>
      </w:r>
      <w:r>
        <w:rPr>
          <w:sz w:val="18"/>
          <w:szCs w:val="18"/>
          <w:highlight w:val="white"/>
        </w:rPr>
        <w:t>tes y de los niños y niñas de hasta 3 años de edad. Este apoyo, tiene como objetivo garantizar la provisión alimentos saludables para estas etapas, pudiendo ser leche u otro alimento que la familia elija.</w:t>
      </w:r>
    </w:p>
  </w:footnote>
  <w:footnote w:id="33">
    <w:p w:rsidR="00AD73D2" w:rsidRDefault="0039146F">
      <w:pPr>
        <w:spacing w:line="240" w:lineRule="auto"/>
        <w:jc w:val="both"/>
        <w:rPr>
          <w:sz w:val="18"/>
          <w:szCs w:val="18"/>
        </w:rPr>
      </w:pPr>
      <w:r>
        <w:rPr>
          <w:vertAlign w:val="superscript"/>
        </w:rPr>
        <w:footnoteRef/>
      </w:r>
      <w:r>
        <w:rPr>
          <w:color w:val="808080"/>
          <w:sz w:val="20"/>
          <w:szCs w:val="20"/>
        </w:rPr>
        <w:t xml:space="preserve"> </w:t>
      </w:r>
      <w:r>
        <w:rPr>
          <w:sz w:val="18"/>
          <w:szCs w:val="18"/>
        </w:rPr>
        <w:t>P</w:t>
      </w:r>
      <w:hyperlink r:id="rId13">
        <w:r>
          <w:rPr>
            <w:sz w:val="18"/>
            <w:szCs w:val="18"/>
          </w:rPr>
          <w:t>lan de "Sueño Seguro"</w:t>
        </w:r>
      </w:hyperlink>
      <w:r>
        <w:rPr>
          <w:b/>
          <w:sz w:val="18"/>
          <w:szCs w:val="18"/>
        </w:rPr>
        <w:t xml:space="preserve"> </w:t>
      </w:r>
      <w:r>
        <w:rPr>
          <w:sz w:val="18"/>
          <w:szCs w:val="18"/>
        </w:rPr>
        <w:t>consiste en un kit que incluye</w:t>
      </w:r>
      <w:r>
        <w:rPr>
          <w:b/>
          <w:sz w:val="18"/>
          <w:szCs w:val="18"/>
        </w:rPr>
        <w:t xml:space="preserve"> </w:t>
      </w:r>
      <w:r>
        <w:rPr>
          <w:sz w:val="18"/>
          <w:szCs w:val="18"/>
        </w:rPr>
        <w:t>cuna-moisés, colchón, sábanas, frazadas, ropa, mochilas, entre otras cosas y que tiene como objetivos reduc</w:t>
      </w:r>
      <w:r>
        <w:rPr>
          <w:sz w:val="18"/>
          <w:szCs w:val="18"/>
        </w:rPr>
        <w:t>ir la tasa de muerte infantil domiciliaria, acompañar a las mujeres embarazadas durante su gestación, como también contribuir a la salud y al desarrollo del lactante. A su vez, tiene la intención de llevar un mejor control prenatal desde el primer trimestr</w:t>
      </w:r>
      <w:r>
        <w:rPr>
          <w:sz w:val="18"/>
          <w:szCs w:val="18"/>
        </w:rPr>
        <w:t>e y su seguimiento médico.</w:t>
      </w:r>
    </w:p>
  </w:footnote>
  <w:footnote w:id="34">
    <w:p w:rsidR="00AD73D2" w:rsidRDefault="0039146F">
      <w:pPr>
        <w:spacing w:line="240" w:lineRule="auto"/>
        <w:jc w:val="both"/>
        <w:rPr>
          <w:sz w:val="18"/>
          <w:szCs w:val="18"/>
        </w:rPr>
      </w:pPr>
      <w:r>
        <w:rPr>
          <w:vertAlign w:val="superscript"/>
        </w:rPr>
        <w:footnoteRef/>
      </w:r>
      <w:r>
        <w:rPr>
          <w:sz w:val="18"/>
          <w:szCs w:val="18"/>
        </w:rPr>
        <w:t xml:space="preserve"> </w:t>
      </w:r>
      <w:hyperlink r:id="rId14">
        <w:r>
          <w:rPr>
            <w:sz w:val="18"/>
            <w:szCs w:val="18"/>
          </w:rPr>
          <w:t>Resolución 03/19 del Órgano de Revisión Nacional de la Ley Nacional de Salud Mental n° 26.657. Aprob</w:t>
        </w:r>
        <w:r>
          <w:rPr>
            <w:sz w:val="18"/>
            <w:szCs w:val="18"/>
          </w:rPr>
          <w:t xml:space="preserve">ación del documento "Derechos sexuales y reproductivos. Derecho al </w:t>
        </w:r>
        <w:proofErr w:type="spellStart"/>
        <w:r>
          <w:rPr>
            <w:sz w:val="18"/>
            <w:szCs w:val="18"/>
          </w:rPr>
          <w:t>maternaje</w:t>
        </w:r>
        <w:proofErr w:type="spellEnd"/>
        <w:r>
          <w:rPr>
            <w:sz w:val="18"/>
            <w:szCs w:val="18"/>
          </w:rPr>
          <w:t xml:space="preserve"> de las mujeres y otras personas gestantes con discapacidad mental alojadas en establecimientos de salud mental"</w:t>
        </w:r>
      </w:hyperlink>
      <w:r>
        <w:rPr>
          <w:sz w:val="18"/>
          <w:szCs w:val="18"/>
        </w:rPr>
        <w:t xml:space="preserve"> Disponible en: </w:t>
      </w:r>
    </w:p>
    <w:p w:rsidR="00AD73D2" w:rsidRDefault="0039146F">
      <w:pPr>
        <w:spacing w:line="240" w:lineRule="auto"/>
        <w:jc w:val="both"/>
        <w:rPr>
          <w:sz w:val="18"/>
          <w:szCs w:val="18"/>
        </w:rPr>
      </w:pPr>
      <w:hyperlink r:id="rId15">
        <w:r>
          <w:rPr>
            <w:color w:val="1155CC"/>
            <w:sz w:val="18"/>
            <w:szCs w:val="18"/>
            <w:u w:val="single"/>
          </w:rPr>
          <w:t>https://www.mpd.gov.ar/pdf/saludmental/Res%20SE%2003%202019%20Recomendacion%20Maternaje.pdf</w:t>
        </w:r>
      </w:hyperlink>
      <w:r>
        <w:rPr>
          <w:sz w:val="18"/>
          <w:szCs w:val="18"/>
        </w:rPr>
        <w:t xml:space="preserve"> </w:t>
      </w:r>
    </w:p>
  </w:footnote>
  <w:footnote w:id="35">
    <w:p w:rsidR="00AD73D2" w:rsidRDefault="0039146F">
      <w:pPr>
        <w:spacing w:line="240" w:lineRule="auto"/>
        <w:jc w:val="both"/>
        <w:rPr>
          <w:sz w:val="18"/>
          <w:szCs w:val="18"/>
        </w:rPr>
      </w:pPr>
      <w:r>
        <w:rPr>
          <w:vertAlign w:val="superscript"/>
        </w:rPr>
        <w:footnoteRef/>
      </w:r>
      <w:r>
        <w:rPr>
          <w:sz w:val="18"/>
          <w:szCs w:val="18"/>
        </w:rPr>
        <w:t xml:space="preserve"> Resolución 03/19 Órgano de Revisión Nacional </w:t>
      </w:r>
      <w:hyperlink r:id="rId16">
        <w:r>
          <w:rPr>
            <w:sz w:val="18"/>
            <w:szCs w:val="18"/>
          </w:rPr>
          <w:t>de la Ley Nacional de Salud Mental n° 26.657</w:t>
        </w:r>
      </w:hyperlink>
      <w:r>
        <w:rPr>
          <w:sz w:val="18"/>
          <w:szCs w:val="18"/>
        </w:rPr>
        <w:t>.</w:t>
      </w:r>
    </w:p>
  </w:footnote>
  <w:footnote w:id="36">
    <w:p w:rsidR="00AD73D2" w:rsidRDefault="0039146F">
      <w:pPr>
        <w:spacing w:line="240" w:lineRule="auto"/>
        <w:jc w:val="both"/>
        <w:rPr>
          <w:sz w:val="18"/>
          <w:szCs w:val="18"/>
        </w:rPr>
      </w:pPr>
      <w:r>
        <w:rPr>
          <w:vertAlign w:val="superscript"/>
        </w:rPr>
        <w:footnoteRef/>
      </w:r>
      <w:r>
        <w:rPr>
          <w:sz w:val="18"/>
          <w:szCs w:val="18"/>
        </w:rPr>
        <w:t xml:space="preserve"> </w:t>
      </w:r>
      <w:proofErr w:type="spellStart"/>
      <w:r>
        <w:rPr>
          <w:sz w:val="18"/>
          <w:szCs w:val="18"/>
        </w:rPr>
        <w:t>Yoma</w:t>
      </w:r>
      <w:proofErr w:type="spellEnd"/>
      <w:r>
        <w:rPr>
          <w:sz w:val="18"/>
          <w:szCs w:val="18"/>
        </w:rPr>
        <w:t xml:space="preserve">, S.M., </w:t>
      </w:r>
      <w:proofErr w:type="spellStart"/>
      <w:r>
        <w:rPr>
          <w:sz w:val="18"/>
          <w:szCs w:val="18"/>
        </w:rPr>
        <w:t>Buhlman</w:t>
      </w:r>
      <w:proofErr w:type="spellEnd"/>
      <w:r>
        <w:rPr>
          <w:sz w:val="18"/>
          <w:szCs w:val="18"/>
        </w:rPr>
        <w:t xml:space="preserve">, S. &amp; </w:t>
      </w:r>
      <w:proofErr w:type="spellStart"/>
      <w:r>
        <w:rPr>
          <w:sz w:val="18"/>
          <w:szCs w:val="18"/>
        </w:rPr>
        <w:t>Burijovich</w:t>
      </w:r>
      <w:proofErr w:type="spellEnd"/>
      <w:r>
        <w:rPr>
          <w:sz w:val="18"/>
          <w:szCs w:val="18"/>
        </w:rPr>
        <w:t xml:space="preserve">, J. (2021). Aún no estamos todas… a algunas no nos ven. Las mujeres en los hospitales psiquiátricos. En Herrera, M., </w:t>
      </w:r>
      <w:proofErr w:type="spellStart"/>
      <w:r>
        <w:rPr>
          <w:sz w:val="18"/>
          <w:szCs w:val="18"/>
        </w:rPr>
        <w:t>Fernandez</w:t>
      </w:r>
      <w:proofErr w:type="spellEnd"/>
      <w:r>
        <w:rPr>
          <w:sz w:val="18"/>
          <w:szCs w:val="18"/>
        </w:rPr>
        <w:t xml:space="preserve">, S. &amp; de la Torre, N. (Dir.) Tratado de Géneros, derechos y justicia. Políticas Públicas y </w:t>
      </w:r>
      <w:proofErr w:type="spellStart"/>
      <w:r>
        <w:rPr>
          <w:sz w:val="18"/>
          <w:szCs w:val="18"/>
        </w:rPr>
        <w:t>Multidisciplina</w:t>
      </w:r>
      <w:proofErr w:type="spellEnd"/>
      <w:r>
        <w:rPr>
          <w:sz w:val="18"/>
          <w:szCs w:val="18"/>
        </w:rPr>
        <w:t xml:space="preserve">, (pp.151-167). Buenos Aires: </w:t>
      </w:r>
      <w:proofErr w:type="spellStart"/>
      <w:r>
        <w:rPr>
          <w:sz w:val="18"/>
          <w:szCs w:val="18"/>
        </w:rPr>
        <w:t>Rubinzal</w:t>
      </w:r>
      <w:proofErr w:type="spellEnd"/>
      <w:r>
        <w:rPr>
          <w:sz w:val="18"/>
          <w:szCs w:val="18"/>
        </w:rPr>
        <w:t xml:space="preserve"> </w:t>
      </w:r>
      <w:proofErr w:type="spellStart"/>
      <w:r>
        <w:rPr>
          <w:sz w:val="18"/>
          <w:szCs w:val="18"/>
        </w:rPr>
        <w:t>Culzoni</w:t>
      </w:r>
      <w:proofErr w:type="spellEnd"/>
      <w:r>
        <w:rPr>
          <w:sz w:val="18"/>
          <w:szCs w:val="18"/>
        </w:rPr>
        <w:t xml:space="preserve"> Editores.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3D2" w:rsidRDefault="00AD73D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0DD4"/>
    <w:multiLevelType w:val="multilevel"/>
    <w:tmpl w:val="418C2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F427D8"/>
    <w:multiLevelType w:val="multilevel"/>
    <w:tmpl w:val="6910E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114262"/>
    <w:multiLevelType w:val="multilevel"/>
    <w:tmpl w:val="DE363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331B1D"/>
    <w:multiLevelType w:val="multilevel"/>
    <w:tmpl w:val="C35EA9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C26648F"/>
    <w:multiLevelType w:val="multilevel"/>
    <w:tmpl w:val="13D8B77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15:restartNumberingAfterBreak="0">
    <w:nsid w:val="726D1E24"/>
    <w:multiLevelType w:val="multilevel"/>
    <w:tmpl w:val="28E2E1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3D2"/>
    <w:rsid w:val="0039146F"/>
    <w:rsid w:val="008A49B7"/>
    <w:rsid w:val="00AD73D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579BA9-C502-487D-96C6-52C2F3CEF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gdalena.arnao@unc.edu.a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andolfomariana@gmail.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rediderechosdiscapacidad@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ciabertona@gmail.com" TargetMode="External"/><Relationship Id="rId5" Type="http://schemas.openxmlformats.org/officeDocument/2006/relationships/webSettings" Target="webSettings.xml"/><Relationship Id="rId15" Type="http://schemas.openxmlformats.org/officeDocument/2006/relationships/hyperlink" Target="mailto:solanayoma@gmail.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ana.heredia84@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ancos.salud.gob.ar/sites/default/files/2020-01/primer-censo-nacionalpersonas-internadas-por-motivos-de-salud-mental-2019.pdf" TargetMode="External"/><Relationship Id="rId13" Type="http://schemas.openxmlformats.org/officeDocument/2006/relationships/hyperlink" Target="https://www.argentina.gob.ar/noticias/salud-pone-en-marcha-la-adquisicion-de-los-primeros-14-mil-kits-de-la-estrategia-sueno" TargetMode="External"/><Relationship Id="rId3" Type="http://schemas.openxmlformats.org/officeDocument/2006/relationships/hyperlink" Target="https://www.indec.gob.ar/indec/web/Nivel4-Tema-4-31-117" TargetMode="External"/><Relationship Id="rId7" Type="http://schemas.openxmlformats.org/officeDocument/2006/relationships/hyperlink" Target="https://www.argentina.gob.ar/sites/default/files/plan_nacional_de_accion_2020_2022.pdf" TargetMode="External"/><Relationship Id="rId12" Type="http://schemas.openxmlformats.org/officeDocument/2006/relationships/hyperlink" Target="https://www.argentina.gob.ar/normativa/nacional/ley-25929-98805/texto" TargetMode="External"/><Relationship Id="rId2" Type="http://schemas.openxmlformats.org/officeDocument/2006/relationships/hyperlink" Target="https://www.indec.gob.ar/ftp/cuadros/poblacion/estudio_discapacidad_12_18.pdf" TargetMode="External"/><Relationship Id="rId16" Type="http://schemas.openxmlformats.org/officeDocument/2006/relationships/hyperlink" Target="https://www.mpd.gov.ar/pdf/saludmental/Res%20SE%2003%202019%20Recomendacion%20Maternaje.pdf" TargetMode="External"/><Relationship Id="rId1" Type="http://schemas.openxmlformats.org/officeDocument/2006/relationships/hyperlink" Target="https://www.indec.gob.ar/uploads/informesdeprensa/ingresos_2trim22BF474C3CB1.pdf" TargetMode="External"/><Relationship Id="rId6" Type="http://schemas.openxmlformats.org/officeDocument/2006/relationships/hyperlink" Target="https://es.wikipedia.org/wiki/Argentina" TargetMode="External"/><Relationship Id="rId11" Type="http://schemas.openxmlformats.org/officeDocument/2006/relationships/hyperlink" Target="http://servicios.infoleg.gob.ar/infolegInternet/anexos/235000-239999/235975/norma.htm" TargetMode="External"/><Relationship Id="rId5" Type="http://schemas.openxmlformats.org/officeDocument/2006/relationships/hyperlink" Target="https://tbinternet.ohchr.org/_layouts/15/treatybodyexternal/Download.aspx?symbolno=CEDAW/C/ARG/CO/7&amp;Lang=Sp" TargetMode="External"/><Relationship Id="rId15" Type="http://schemas.openxmlformats.org/officeDocument/2006/relationships/hyperlink" Target="https://www.mpd.gov.ar/pdf/saludmental/Res%20SE%2003%202019%20Recomendacion%20Maternaje.pdf" TargetMode="External"/><Relationship Id="rId10" Type="http://schemas.openxmlformats.org/officeDocument/2006/relationships/hyperlink" Target="https://latinta.com.ar/2019/10/no-estamos-todas-mujeres-hospitales-psiquiatricos/" TargetMode="External"/><Relationship Id="rId4" Type="http://schemas.openxmlformats.org/officeDocument/2006/relationships/hyperlink" Target="https://latinta.com.ar/2021/03/cuidados-perspectiva-discapacidad/" TargetMode="External"/><Relationship Id="rId9" Type="http://schemas.openxmlformats.org/officeDocument/2006/relationships/hyperlink" Target="http://genero.redi.org.ar/wp-content/uploads/2020/10/las-mujeres-con-discapacidad-contamos-nuestrlas-mujeres-con-discapacidad-contamos-nuestras-barreras-para-ejercer-derechos-sexuales-y-reproductivos.pdf" TargetMode="External"/><Relationship Id="rId14" Type="http://schemas.openxmlformats.org/officeDocument/2006/relationships/hyperlink" Target="https://www.mpd.gov.ar/pdf/saludmental/Res%20SE%2003%202019%20Recomendacion%20Maternaj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oLh1cZsnbqSfq30cSDAVaLJCVQ==">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6849</Words>
  <Characters>37674</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Paola Gandolfo</dc:creator>
  <cp:lastModifiedBy>Mariana Paola Gandolfo</cp:lastModifiedBy>
  <cp:revision>2</cp:revision>
  <dcterms:created xsi:type="dcterms:W3CDTF">2022-12-22T12:36:00Z</dcterms:created>
  <dcterms:modified xsi:type="dcterms:W3CDTF">2022-12-22T12:36:00Z</dcterms:modified>
</cp:coreProperties>
</file>