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25BA4" w:rsidRDefault="00000000">
      <w:pPr>
        <w:spacing w:after="240"/>
        <w:rPr>
          <w:b/>
          <w:sz w:val="24"/>
          <w:szCs w:val="24"/>
        </w:rPr>
      </w:pP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p>
    <w:p w:rsidR="00125BA4" w:rsidRDefault="00000000">
      <w:pPr>
        <w:spacing w:before="240" w:after="240"/>
        <w:jc w:val="center"/>
        <w:rPr>
          <w:b/>
          <w:sz w:val="24"/>
          <w:szCs w:val="24"/>
        </w:rPr>
      </w:pPr>
      <w:r>
        <w:rPr>
          <w:b/>
          <w:sz w:val="24"/>
          <w:szCs w:val="24"/>
        </w:rPr>
        <w:t>Shadow Report Submission to the Committee on Economic, Social, and Cultural Rights</w:t>
      </w:r>
    </w:p>
    <w:p w:rsidR="00125BA4" w:rsidRDefault="00125BA4">
      <w:pPr>
        <w:spacing w:before="240" w:after="240"/>
        <w:jc w:val="center"/>
        <w:rPr>
          <w:b/>
          <w:sz w:val="24"/>
          <w:szCs w:val="24"/>
        </w:rPr>
      </w:pPr>
    </w:p>
    <w:p w:rsidR="00125BA4" w:rsidRDefault="00125BA4">
      <w:pPr>
        <w:spacing w:before="240" w:after="240"/>
        <w:jc w:val="center"/>
        <w:rPr>
          <w:b/>
          <w:sz w:val="24"/>
          <w:szCs w:val="24"/>
        </w:rPr>
      </w:pPr>
    </w:p>
    <w:p w:rsidR="00125BA4" w:rsidRDefault="00000000">
      <w:pPr>
        <w:spacing w:before="240" w:after="240"/>
        <w:jc w:val="center"/>
        <w:rPr>
          <w:b/>
          <w:sz w:val="24"/>
          <w:szCs w:val="24"/>
        </w:rPr>
      </w:pPr>
      <w:r>
        <w:rPr>
          <w:b/>
          <w:sz w:val="24"/>
          <w:szCs w:val="24"/>
        </w:rPr>
        <w:t>The State of Economic, Social, and Cultural Rights of Indigenous Peoples in the Philippines</w:t>
      </w:r>
    </w:p>
    <w:p w:rsidR="00125BA4" w:rsidRDefault="00125BA4">
      <w:pPr>
        <w:spacing w:before="240" w:after="240"/>
        <w:rPr>
          <w:b/>
          <w:sz w:val="24"/>
          <w:szCs w:val="24"/>
        </w:rPr>
      </w:pPr>
    </w:p>
    <w:p w:rsidR="00125BA4" w:rsidRDefault="00125BA4">
      <w:pPr>
        <w:spacing w:before="240" w:after="240"/>
        <w:rPr>
          <w:b/>
          <w:sz w:val="24"/>
          <w:szCs w:val="24"/>
        </w:rPr>
      </w:pPr>
    </w:p>
    <w:p w:rsidR="00125BA4" w:rsidRDefault="00125BA4">
      <w:pPr>
        <w:spacing w:before="240" w:after="240"/>
        <w:rPr>
          <w:b/>
          <w:sz w:val="24"/>
          <w:szCs w:val="24"/>
        </w:rPr>
      </w:pPr>
    </w:p>
    <w:p w:rsidR="00125BA4" w:rsidRDefault="00125BA4">
      <w:pPr>
        <w:spacing w:before="240" w:after="240"/>
        <w:rPr>
          <w:b/>
          <w:sz w:val="24"/>
          <w:szCs w:val="24"/>
        </w:rPr>
      </w:pPr>
    </w:p>
    <w:p w:rsidR="00125BA4" w:rsidRDefault="00125BA4">
      <w:pPr>
        <w:spacing w:before="240" w:after="240"/>
        <w:rPr>
          <w:b/>
          <w:sz w:val="24"/>
          <w:szCs w:val="24"/>
        </w:rPr>
      </w:pPr>
    </w:p>
    <w:p w:rsidR="00125BA4" w:rsidRDefault="00000000">
      <w:pPr>
        <w:spacing w:before="240" w:after="240"/>
        <w:rPr>
          <w:sz w:val="24"/>
          <w:szCs w:val="24"/>
        </w:rPr>
      </w:pPr>
      <w:r>
        <w:rPr>
          <w:b/>
          <w:sz w:val="24"/>
          <w:szCs w:val="24"/>
        </w:rPr>
        <w:t>Submitted by:</w:t>
      </w:r>
      <w:r>
        <w:rPr>
          <w:sz w:val="24"/>
          <w:szCs w:val="24"/>
        </w:rPr>
        <w:t xml:space="preserve"> Indigenous Peoples’ International Centre for Policy Research and Education (Tebtebba Foundation, Inc.) and </w:t>
      </w:r>
      <w:proofErr w:type="spellStart"/>
      <w:r>
        <w:rPr>
          <w:sz w:val="24"/>
          <w:szCs w:val="24"/>
        </w:rPr>
        <w:t>Ugnayang</w:t>
      </w:r>
      <w:proofErr w:type="spellEnd"/>
      <w:r>
        <w:rPr>
          <w:sz w:val="24"/>
          <w:szCs w:val="24"/>
        </w:rPr>
        <w:t xml:space="preserve"> Pambansa para </w:t>
      </w:r>
      <w:proofErr w:type="spellStart"/>
      <w:r>
        <w:rPr>
          <w:sz w:val="24"/>
          <w:szCs w:val="24"/>
        </w:rPr>
        <w:t>sa</w:t>
      </w:r>
      <w:proofErr w:type="spellEnd"/>
      <w:r>
        <w:rPr>
          <w:sz w:val="24"/>
          <w:szCs w:val="24"/>
        </w:rPr>
        <w:t xml:space="preserve"> </w:t>
      </w:r>
      <w:proofErr w:type="spellStart"/>
      <w:r>
        <w:rPr>
          <w:sz w:val="24"/>
          <w:szCs w:val="24"/>
        </w:rPr>
        <w:t>Katutubong</w:t>
      </w:r>
      <w:proofErr w:type="spellEnd"/>
      <w:r>
        <w:rPr>
          <w:sz w:val="24"/>
          <w:szCs w:val="24"/>
        </w:rPr>
        <w:t xml:space="preserve"> </w:t>
      </w:r>
      <w:proofErr w:type="spellStart"/>
      <w:r>
        <w:rPr>
          <w:sz w:val="24"/>
          <w:szCs w:val="24"/>
        </w:rPr>
        <w:t>Kaalaman</w:t>
      </w:r>
      <w:proofErr w:type="spellEnd"/>
      <w:r>
        <w:rPr>
          <w:sz w:val="24"/>
          <w:szCs w:val="24"/>
        </w:rPr>
        <w:t xml:space="preserve"> at </w:t>
      </w:r>
      <w:proofErr w:type="spellStart"/>
      <w:r>
        <w:rPr>
          <w:sz w:val="24"/>
          <w:szCs w:val="24"/>
        </w:rPr>
        <w:t>Talino</w:t>
      </w:r>
      <w:proofErr w:type="spellEnd"/>
      <w:r>
        <w:rPr>
          <w:sz w:val="24"/>
          <w:szCs w:val="24"/>
        </w:rPr>
        <w:t xml:space="preserve"> (UPAKAT) [</w:t>
      </w:r>
      <w:r>
        <w:rPr>
          <w:i/>
          <w:sz w:val="24"/>
          <w:szCs w:val="24"/>
        </w:rPr>
        <w:t>Philippine Traditional Knowledge Network</w:t>
      </w:r>
      <w:r>
        <w:rPr>
          <w:sz w:val="24"/>
          <w:szCs w:val="24"/>
        </w:rPr>
        <w:t>]</w:t>
      </w:r>
    </w:p>
    <w:p w:rsidR="00125BA4" w:rsidRDefault="00125BA4">
      <w:pPr>
        <w:spacing w:before="240" w:after="240"/>
        <w:rPr>
          <w:sz w:val="24"/>
          <w:szCs w:val="24"/>
        </w:rPr>
      </w:pPr>
    </w:p>
    <w:p w:rsidR="00125BA4" w:rsidRDefault="00000000">
      <w:pPr>
        <w:spacing w:before="240" w:after="240"/>
        <w:rPr>
          <w:sz w:val="24"/>
          <w:szCs w:val="24"/>
        </w:rPr>
      </w:pPr>
      <w:r>
        <w:rPr>
          <w:b/>
          <w:sz w:val="24"/>
          <w:szCs w:val="24"/>
        </w:rPr>
        <w:t xml:space="preserve">Date: </w:t>
      </w:r>
      <w:r>
        <w:rPr>
          <w:sz w:val="24"/>
          <w:szCs w:val="24"/>
        </w:rPr>
        <w:t>January 15, 2025</w:t>
      </w:r>
    </w:p>
    <w:p w:rsidR="00125BA4" w:rsidRDefault="00000000">
      <w:pPr>
        <w:spacing w:after="240"/>
        <w:rPr>
          <w:sz w:val="24"/>
          <w:szCs w:val="24"/>
        </w:rPr>
      </w:pPr>
      <w:r>
        <w:rPr>
          <w:sz w:val="24"/>
          <w:szCs w:val="24"/>
        </w:rPr>
        <w:br/>
      </w:r>
      <w:r>
        <w:rPr>
          <w:sz w:val="24"/>
          <w:szCs w:val="24"/>
        </w:rPr>
        <w:br/>
      </w:r>
      <w:r>
        <w:rPr>
          <w:sz w:val="24"/>
          <w:szCs w:val="24"/>
        </w:rPr>
        <w:br/>
      </w:r>
      <w:r>
        <w:rPr>
          <w:sz w:val="24"/>
          <w:szCs w:val="24"/>
        </w:rPr>
        <w:br/>
      </w:r>
    </w:p>
    <w:p w:rsidR="00125BA4" w:rsidRDefault="00000000">
      <w:pPr>
        <w:spacing w:after="240"/>
        <w:rPr>
          <w:b/>
          <w:sz w:val="24"/>
          <w:szCs w:val="24"/>
        </w:rPr>
      </w:pPr>
      <w:r>
        <w:rPr>
          <w:b/>
          <w:sz w:val="24"/>
          <w:szCs w:val="24"/>
        </w:rPr>
        <w:lastRenderedPageBreak/>
        <w:t>Executive Summary</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1. The Philippines passed Republic Act (RA) 8371 or "The Indigenous Peoples’ Rights Act of 1997," even before the adoption of the United Nations Declaration on the Rights of Indigenous Peoples (UNDRIP). While Indigenous Peoples in the Philippines celebrate this as a milestone, its full and effective implementation remains a challenge, impacting their economic, social, and cultural rights.</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2. The IPRA, as confirmed and elaborated by the UNDRIP, distinguishes the collective nature of the rights of indigenous peoples without invalidating their individual rights. This submission looks into these individual rights as provided by the International Covenant on Economic, Social and Cultural Rights (ICESCR) in the context of the collective and Indigenous Peoples’ perspectives.</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3. We acknowledge the state initiatives to fulfill its obligations under the covenant and the well-meaning efforts of government agencies and personnel. However, overlapping policies, lack of clear guidance, logistical issues like resource provision and state economic development priorities override the full enjoyment of their rights as set out by the covenant.</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4. In summary, current state initiatives to advance Indigenous Peoples' economic, social, and cultural rights, and to ensure no one is left behind, fall short of political will towards a rights-based legal reform and responsive, appropriate measures. Unless these issues and barriers are substantively addressed, access to the provisions of the covenant by Indigenous Peoples will remain bleak, consequently impacting the status and advancement of their civil and political rights.</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5. To quote the World Bank (2024) report</w:t>
      </w:r>
      <w:r>
        <w:rPr>
          <w:sz w:val="24"/>
          <w:szCs w:val="24"/>
          <w:vertAlign w:val="superscript"/>
        </w:rPr>
        <w:footnoteReference w:id="1"/>
      </w:r>
      <w:r>
        <w:rPr>
          <w:sz w:val="24"/>
          <w:szCs w:val="24"/>
        </w:rPr>
        <w:t xml:space="preserve"> about Indigenous Peoples' rights to their lands, territories, and resources, which are fundamental for facilitating effective access to the covenant by Indigenous Peoples:</w:t>
      </w:r>
    </w:p>
    <w:p w:rsidR="00125BA4" w:rsidRDefault="00000000">
      <w:pPr>
        <w:rPr>
          <w:sz w:val="24"/>
          <w:szCs w:val="24"/>
        </w:rPr>
      </w:pPr>
      <w:r>
        <w:rPr>
          <w:sz w:val="24"/>
          <w:szCs w:val="24"/>
        </w:rPr>
        <w:t xml:space="preserve"> </w:t>
      </w:r>
    </w:p>
    <w:p w:rsidR="00125BA4" w:rsidRDefault="00000000">
      <w:pPr>
        <w:ind w:left="720"/>
        <w:rPr>
          <w:sz w:val="24"/>
          <w:szCs w:val="24"/>
        </w:rPr>
      </w:pPr>
      <w:r>
        <w:rPr>
          <w:sz w:val="24"/>
          <w:szCs w:val="24"/>
        </w:rPr>
        <w:t xml:space="preserve">"...the Philippines has yet to ratify International </w:t>
      </w:r>
      <w:proofErr w:type="spellStart"/>
      <w:r>
        <w:rPr>
          <w:sz w:val="24"/>
          <w:szCs w:val="24"/>
        </w:rPr>
        <w:t>Labour</w:t>
      </w:r>
      <w:proofErr w:type="spellEnd"/>
      <w:r>
        <w:rPr>
          <w:sz w:val="24"/>
          <w:szCs w:val="24"/>
        </w:rPr>
        <w:t xml:space="preserve"> Organization Convention 169 on Indigenous and Tribal Peoples, indicating misalignment with international standards on IP rights. Moreover, despite the enormous amount of land covered by ADs in the Philippines, much of it remains in administrative limbo. The land under CADTs registered and non-registered yet represents around 20.5 percent of the country’s total land area, and based on NCIP data, there were 257 ADs </w:t>
      </w:r>
      <w:r>
        <w:rPr>
          <w:sz w:val="24"/>
          <w:szCs w:val="24"/>
        </w:rPr>
        <w:lastRenderedPageBreak/>
        <w:t>with approved CADTs as of early 2023. But only 55 (22 percent) of these CADTs were fully registered and 202 (78 percent) were still pending registration with the Land Registration Authority. These issues have consequences for the sustainable management of the country’s natural resources. For instance, CADTs overlap with 1.44 million hectares of protected areas and 1.35 million hectares of key biodiversity areas – around a third of all such areas in the Philippines – and intersect with 75 percent of the country’s remaining forest cover. Another 5 percent of protected areas are not listed as protected areas but managed by Indigenous Community Conservation groups."</w:t>
      </w:r>
    </w:p>
    <w:p w:rsidR="00125BA4" w:rsidRDefault="00125BA4">
      <w:pPr>
        <w:rPr>
          <w:sz w:val="24"/>
          <w:szCs w:val="24"/>
        </w:rPr>
      </w:pPr>
    </w:p>
    <w:p w:rsidR="00125BA4" w:rsidRDefault="00125BA4">
      <w:pPr>
        <w:rPr>
          <w:sz w:val="24"/>
          <w:szCs w:val="24"/>
        </w:rPr>
      </w:pPr>
    </w:p>
    <w:p w:rsidR="00125BA4" w:rsidRDefault="00125BA4">
      <w:pPr>
        <w:rPr>
          <w:sz w:val="24"/>
          <w:szCs w:val="24"/>
        </w:rPr>
      </w:pPr>
    </w:p>
    <w:p w:rsidR="00125BA4" w:rsidRDefault="00000000">
      <w:pPr>
        <w:spacing w:before="240" w:after="240"/>
        <w:rPr>
          <w:b/>
          <w:sz w:val="24"/>
          <w:szCs w:val="24"/>
        </w:rPr>
      </w:pPr>
      <w:r>
        <w:rPr>
          <w:b/>
          <w:sz w:val="24"/>
          <w:szCs w:val="24"/>
        </w:rPr>
        <w:t>List of Acronyms</w:t>
      </w:r>
    </w:p>
    <w:tbl>
      <w:tblPr>
        <w:tblStyle w:val="a"/>
        <w:tblW w:w="9195" w:type="dxa"/>
        <w:tblBorders>
          <w:top w:val="nil"/>
          <w:left w:val="nil"/>
          <w:bottom w:val="nil"/>
          <w:right w:val="nil"/>
          <w:insideH w:val="nil"/>
          <w:insideV w:val="nil"/>
        </w:tblBorders>
        <w:tblLayout w:type="fixed"/>
        <w:tblLook w:val="0600" w:firstRow="0" w:lastRow="0" w:firstColumn="0" w:lastColumn="0" w:noHBand="1" w:noVBand="1"/>
      </w:tblPr>
      <w:tblGrid>
        <w:gridCol w:w="1545"/>
        <w:gridCol w:w="7650"/>
      </w:tblGrid>
      <w:tr w:rsidR="00125BA4" w:rsidTr="00730861">
        <w:trPr>
          <w:trHeight w:val="249"/>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AD</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Ancestral Domain</w:t>
            </w:r>
          </w:p>
        </w:tc>
      </w:tr>
      <w:tr w:rsidR="00125BA4" w:rsidTr="00730861">
        <w:trPr>
          <w:trHeight w:val="229"/>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ADSDPP</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Ancestral Domain Sustainable Development and Protection Plan</w:t>
            </w:r>
          </w:p>
        </w:tc>
      </w:tr>
      <w:tr w:rsidR="00125BA4" w:rsidTr="00730861">
        <w:trPr>
          <w:trHeight w:val="237"/>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ASEAN</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Association of Southeast Asian Nations</w:t>
            </w:r>
          </w:p>
        </w:tc>
      </w:tr>
      <w:tr w:rsidR="00125BA4" w:rsidTr="00730861">
        <w:trPr>
          <w:trHeight w:val="271"/>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BARMM</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Bangsamoro Autonomous Region of Muslim Mindanao</w:t>
            </w:r>
          </w:p>
        </w:tc>
      </w:tr>
      <w:tr w:rsidR="00125BA4" w:rsidTr="00730861">
        <w:trPr>
          <w:trHeight w:val="204"/>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CADTs</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Certificate of Ancestral Domain Titles</w:t>
            </w:r>
          </w:p>
        </w:tc>
      </w:tr>
      <w:tr w:rsidR="00125BA4" w:rsidTr="00730861">
        <w:trPr>
          <w:trHeight w:val="155"/>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CARL</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Comprehensive Agrarian Reform Law</w:t>
            </w:r>
          </w:p>
        </w:tc>
      </w:tr>
      <w:tr w:rsidR="00125BA4" w:rsidTr="00730861">
        <w:trPr>
          <w:trHeight w:val="22"/>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CBFMA</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Community Based Forest Management Agreement</w:t>
            </w:r>
          </w:p>
        </w:tc>
      </w:tr>
      <w:tr w:rsidR="00125BA4" w:rsidTr="00730861">
        <w:trPr>
          <w:trHeight w:val="183"/>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DAR</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Department of Agrarian Reform</w:t>
            </w:r>
          </w:p>
        </w:tc>
      </w:tr>
      <w:tr w:rsidR="00125BA4" w:rsidTr="00730861">
        <w:trPr>
          <w:trHeight w:val="22"/>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DENR</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Department of Environment and Natural Resources</w:t>
            </w:r>
          </w:p>
        </w:tc>
      </w:tr>
      <w:tr w:rsidR="00125BA4" w:rsidTr="00730861">
        <w:trPr>
          <w:trHeight w:val="225"/>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FPIC</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Free, Prior, and Informed Consent</w:t>
            </w:r>
          </w:p>
        </w:tc>
      </w:tr>
      <w:tr w:rsidR="00125BA4" w:rsidTr="00730861">
        <w:trPr>
          <w:trHeight w:val="22"/>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ICCA</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Indigenous and Community Conserved Areas</w:t>
            </w:r>
          </w:p>
        </w:tc>
      </w:tr>
      <w:tr w:rsidR="00125BA4" w:rsidTr="00730861">
        <w:trPr>
          <w:trHeight w:val="22"/>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ICCPR</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International Covenant on Civil and Political Rights</w:t>
            </w:r>
          </w:p>
        </w:tc>
      </w:tr>
      <w:tr w:rsidR="00125BA4" w:rsidTr="00730861">
        <w:trPr>
          <w:trHeight w:val="75"/>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ICESCR</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International Covenant on Economic, Social and Cultural Rights</w:t>
            </w:r>
          </w:p>
        </w:tc>
      </w:tr>
      <w:tr w:rsidR="00125BA4" w:rsidTr="00730861">
        <w:trPr>
          <w:trHeight w:val="22"/>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IFMAs</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Integrated Forest Management Agreements</w:t>
            </w:r>
          </w:p>
        </w:tc>
      </w:tr>
      <w:tr w:rsidR="00125BA4">
        <w:trPr>
          <w:trHeight w:val="500"/>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IKSP</w:t>
            </w:r>
          </w:p>
          <w:p w:rsidR="00125BA4" w:rsidRDefault="00125BA4" w:rsidP="00730861">
            <w:pPr>
              <w:spacing w:line="240" w:lineRule="auto"/>
              <w:rPr>
                <w:sz w:val="24"/>
                <w:szCs w:val="24"/>
              </w:rPr>
            </w:pPr>
          </w:p>
          <w:p w:rsidR="00125BA4" w:rsidRDefault="00000000" w:rsidP="00730861">
            <w:pPr>
              <w:spacing w:line="240" w:lineRule="auto"/>
              <w:rPr>
                <w:sz w:val="24"/>
                <w:szCs w:val="24"/>
              </w:rPr>
            </w:pPr>
            <w:r>
              <w:rPr>
                <w:sz w:val="24"/>
                <w:szCs w:val="24"/>
              </w:rPr>
              <w:t>IPs</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Indigenous Knowledge Systems and Practices</w:t>
            </w:r>
          </w:p>
          <w:p w:rsidR="00730861" w:rsidRDefault="00730861" w:rsidP="00730861">
            <w:pPr>
              <w:spacing w:line="240" w:lineRule="auto"/>
              <w:rPr>
                <w:sz w:val="24"/>
                <w:szCs w:val="24"/>
              </w:rPr>
            </w:pPr>
          </w:p>
          <w:p w:rsidR="00125BA4" w:rsidRDefault="00000000" w:rsidP="00730861">
            <w:pPr>
              <w:spacing w:line="240" w:lineRule="auto"/>
              <w:rPr>
                <w:sz w:val="24"/>
                <w:szCs w:val="24"/>
              </w:rPr>
            </w:pPr>
            <w:r>
              <w:rPr>
                <w:sz w:val="24"/>
                <w:szCs w:val="24"/>
              </w:rPr>
              <w:t>Indigenous Peoples</w:t>
            </w:r>
          </w:p>
        </w:tc>
      </w:tr>
      <w:tr w:rsidR="00125BA4">
        <w:trPr>
          <w:trHeight w:val="500"/>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lastRenderedPageBreak/>
              <w:t>IPBSAP</w:t>
            </w:r>
          </w:p>
          <w:p w:rsidR="00125BA4" w:rsidRDefault="00125BA4" w:rsidP="00730861">
            <w:pPr>
              <w:spacing w:line="240" w:lineRule="auto"/>
              <w:rPr>
                <w:sz w:val="24"/>
                <w:szCs w:val="24"/>
              </w:rPr>
            </w:pPr>
          </w:p>
          <w:p w:rsidR="00125BA4" w:rsidRDefault="00000000" w:rsidP="00730861">
            <w:pPr>
              <w:spacing w:line="240" w:lineRule="auto"/>
              <w:rPr>
                <w:sz w:val="24"/>
                <w:szCs w:val="24"/>
              </w:rPr>
            </w:pPr>
            <w:r>
              <w:rPr>
                <w:sz w:val="24"/>
                <w:szCs w:val="24"/>
              </w:rPr>
              <w:t>IPOs</w:t>
            </w:r>
          </w:p>
          <w:p w:rsidR="00125BA4" w:rsidRDefault="00125BA4" w:rsidP="00730861">
            <w:pPr>
              <w:spacing w:line="240" w:lineRule="auto"/>
              <w:rPr>
                <w:sz w:val="24"/>
                <w:szCs w:val="24"/>
              </w:rPr>
            </w:pPr>
          </w:p>
          <w:p w:rsidR="00125BA4" w:rsidRDefault="00000000" w:rsidP="00730861">
            <w:pPr>
              <w:spacing w:line="240" w:lineRule="auto"/>
              <w:rPr>
                <w:sz w:val="24"/>
                <w:szCs w:val="24"/>
              </w:rPr>
            </w:pPr>
            <w:r>
              <w:rPr>
                <w:sz w:val="24"/>
                <w:szCs w:val="24"/>
              </w:rPr>
              <w:t>IPS</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Indigenous Peoples’ Biodiversity Strategy and Action Plan</w:t>
            </w:r>
          </w:p>
          <w:p w:rsidR="00125BA4" w:rsidRDefault="00125BA4" w:rsidP="00730861">
            <w:pPr>
              <w:spacing w:line="240" w:lineRule="auto"/>
              <w:rPr>
                <w:sz w:val="24"/>
                <w:szCs w:val="24"/>
              </w:rPr>
            </w:pPr>
          </w:p>
          <w:p w:rsidR="00125BA4" w:rsidRDefault="00000000" w:rsidP="00730861">
            <w:pPr>
              <w:spacing w:line="240" w:lineRule="auto"/>
              <w:rPr>
                <w:sz w:val="24"/>
                <w:szCs w:val="24"/>
              </w:rPr>
            </w:pPr>
            <w:r>
              <w:rPr>
                <w:sz w:val="24"/>
                <w:szCs w:val="24"/>
              </w:rPr>
              <w:t>Indigenous Peoples’ Organizations</w:t>
            </w:r>
          </w:p>
          <w:p w:rsidR="00125BA4" w:rsidRDefault="00125BA4" w:rsidP="00730861">
            <w:pPr>
              <w:spacing w:line="240" w:lineRule="auto"/>
              <w:rPr>
                <w:sz w:val="24"/>
                <w:szCs w:val="24"/>
              </w:rPr>
            </w:pPr>
          </w:p>
          <w:p w:rsidR="00125BA4" w:rsidRDefault="00000000" w:rsidP="00730861">
            <w:pPr>
              <w:spacing w:line="240" w:lineRule="auto"/>
              <w:rPr>
                <w:sz w:val="24"/>
                <w:szCs w:val="24"/>
              </w:rPr>
            </w:pPr>
            <w:r>
              <w:rPr>
                <w:sz w:val="24"/>
                <w:szCs w:val="24"/>
              </w:rPr>
              <w:t>Indigenous Political Structures</w:t>
            </w:r>
          </w:p>
        </w:tc>
      </w:tr>
      <w:tr w:rsidR="00125BA4" w:rsidTr="00730861">
        <w:trPr>
          <w:trHeight w:val="305"/>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IPMR</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Indigenous Peoples Mandatory Representatives</w:t>
            </w:r>
          </w:p>
        </w:tc>
      </w:tr>
      <w:tr w:rsidR="00125BA4" w:rsidTr="00730861">
        <w:trPr>
          <w:trHeight w:val="22"/>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IPRA</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Indigenous Peoples’ Rights Act of 1997</w:t>
            </w:r>
          </w:p>
        </w:tc>
      </w:tr>
      <w:tr w:rsidR="00125BA4" w:rsidTr="00730861">
        <w:trPr>
          <w:trHeight w:val="22"/>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ISF</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Integrated Social Forestry Program</w:t>
            </w:r>
          </w:p>
        </w:tc>
      </w:tr>
      <w:tr w:rsidR="00125BA4" w:rsidTr="00730861">
        <w:trPr>
          <w:trHeight w:val="22"/>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LRA</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Land Registration Authority</w:t>
            </w:r>
          </w:p>
        </w:tc>
      </w:tr>
      <w:tr w:rsidR="00125BA4" w:rsidTr="00730861">
        <w:trPr>
          <w:trHeight w:val="166"/>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LRC</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Legal Rights and Natural Resources Center</w:t>
            </w:r>
          </w:p>
        </w:tc>
      </w:tr>
      <w:tr w:rsidR="00125BA4" w:rsidTr="00730861">
        <w:trPr>
          <w:trHeight w:val="115"/>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NCIP</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National Commission on Indigenous Peoples</w:t>
            </w:r>
          </w:p>
        </w:tc>
      </w:tr>
      <w:tr w:rsidR="00125BA4">
        <w:trPr>
          <w:trHeight w:val="500"/>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NCIP ADO</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 xml:space="preserve">National Commission on Indigenous Peoples Ancestral Domains </w:t>
            </w:r>
          </w:p>
          <w:p w:rsidR="00125BA4" w:rsidRDefault="00000000" w:rsidP="00730861">
            <w:pPr>
              <w:spacing w:line="240" w:lineRule="auto"/>
              <w:rPr>
                <w:sz w:val="24"/>
                <w:szCs w:val="24"/>
              </w:rPr>
            </w:pPr>
            <w:r>
              <w:rPr>
                <w:sz w:val="24"/>
                <w:szCs w:val="24"/>
              </w:rPr>
              <w:t>Office</w:t>
            </w:r>
          </w:p>
        </w:tc>
      </w:tr>
      <w:tr w:rsidR="00125BA4" w:rsidTr="00730861">
        <w:trPr>
          <w:trHeight w:val="302"/>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NIPAS</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National Integrated Protected Areas System</w:t>
            </w:r>
          </w:p>
        </w:tc>
      </w:tr>
      <w:tr w:rsidR="00125BA4" w:rsidTr="00730861">
        <w:trPr>
          <w:trHeight w:val="366"/>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NTFPs</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Non-Timber Forest Products</w:t>
            </w:r>
          </w:p>
        </w:tc>
      </w:tr>
      <w:tr w:rsidR="00125BA4" w:rsidTr="00730861">
        <w:trPr>
          <w:trHeight w:val="374"/>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PD</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Presidential Decree</w:t>
            </w:r>
          </w:p>
        </w:tc>
      </w:tr>
      <w:tr w:rsidR="00125BA4" w:rsidTr="00730861">
        <w:trPr>
          <w:trHeight w:val="85"/>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RA</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Republic Act</w:t>
            </w:r>
          </w:p>
        </w:tc>
      </w:tr>
      <w:tr w:rsidR="00125BA4" w:rsidTr="00730861">
        <w:trPr>
          <w:trHeight w:val="460"/>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UPAKAT</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proofErr w:type="spellStart"/>
            <w:r>
              <w:rPr>
                <w:sz w:val="24"/>
                <w:szCs w:val="24"/>
              </w:rPr>
              <w:t>Ugnayang</w:t>
            </w:r>
            <w:proofErr w:type="spellEnd"/>
            <w:r>
              <w:rPr>
                <w:sz w:val="24"/>
                <w:szCs w:val="24"/>
              </w:rPr>
              <w:t xml:space="preserve"> Pambansa para </w:t>
            </w:r>
            <w:proofErr w:type="spellStart"/>
            <w:r>
              <w:rPr>
                <w:sz w:val="24"/>
                <w:szCs w:val="24"/>
              </w:rPr>
              <w:t>sa</w:t>
            </w:r>
            <w:proofErr w:type="spellEnd"/>
            <w:r>
              <w:rPr>
                <w:sz w:val="24"/>
                <w:szCs w:val="24"/>
              </w:rPr>
              <w:t xml:space="preserve"> </w:t>
            </w:r>
            <w:proofErr w:type="spellStart"/>
            <w:r>
              <w:rPr>
                <w:sz w:val="24"/>
                <w:szCs w:val="24"/>
              </w:rPr>
              <w:t>Katutubong</w:t>
            </w:r>
            <w:proofErr w:type="spellEnd"/>
            <w:r>
              <w:rPr>
                <w:sz w:val="24"/>
                <w:szCs w:val="24"/>
              </w:rPr>
              <w:t xml:space="preserve"> </w:t>
            </w:r>
            <w:proofErr w:type="spellStart"/>
            <w:r>
              <w:rPr>
                <w:sz w:val="24"/>
                <w:szCs w:val="24"/>
              </w:rPr>
              <w:t>Kaalaman</w:t>
            </w:r>
            <w:proofErr w:type="spellEnd"/>
            <w:r>
              <w:rPr>
                <w:sz w:val="24"/>
                <w:szCs w:val="24"/>
              </w:rPr>
              <w:t xml:space="preserve"> at </w:t>
            </w:r>
            <w:proofErr w:type="spellStart"/>
            <w:r>
              <w:rPr>
                <w:sz w:val="24"/>
                <w:szCs w:val="24"/>
              </w:rPr>
              <w:t>Talino</w:t>
            </w:r>
            <w:proofErr w:type="spellEnd"/>
          </w:p>
        </w:tc>
      </w:tr>
      <w:tr w:rsidR="00125BA4">
        <w:trPr>
          <w:trHeight w:val="500"/>
        </w:trPr>
        <w:tc>
          <w:tcPr>
            <w:tcW w:w="1545"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UNDRIP</w:t>
            </w:r>
          </w:p>
        </w:tc>
        <w:tc>
          <w:tcPr>
            <w:tcW w:w="7650" w:type="dxa"/>
            <w:tcBorders>
              <w:top w:val="nil"/>
              <w:left w:val="nil"/>
              <w:bottom w:val="nil"/>
              <w:right w:val="nil"/>
            </w:tcBorders>
            <w:tcMar>
              <w:top w:w="100" w:type="dxa"/>
              <w:left w:w="100" w:type="dxa"/>
              <w:bottom w:w="100" w:type="dxa"/>
              <w:right w:w="100" w:type="dxa"/>
            </w:tcMar>
          </w:tcPr>
          <w:p w:rsidR="00125BA4" w:rsidRDefault="00000000" w:rsidP="00730861">
            <w:pPr>
              <w:spacing w:line="240" w:lineRule="auto"/>
              <w:rPr>
                <w:sz w:val="24"/>
                <w:szCs w:val="24"/>
              </w:rPr>
            </w:pPr>
            <w:r>
              <w:rPr>
                <w:sz w:val="24"/>
                <w:szCs w:val="24"/>
              </w:rPr>
              <w:t>United Nations Declaration on the Rights of Indigenous Peoples</w:t>
            </w:r>
          </w:p>
        </w:tc>
      </w:tr>
    </w:tbl>
    <w:p w:rsidR="00125BA4" w:rsidRDefault="00125BA4">
      <w:pPr>
        <w:rPr>
          <w:sz w:val="24"/>
          <w:szCs w:val="24"/>
        </w:rPr>
      </w:pPr>
    </w:p>
    <w:p w:rsidR="00125BA4" w:rsidRDefault="00000000">
      <w:pPr>
        <w:rPr>
          <w:sz w:val="24"/>
          <w:szCs w:val="24"/>
        </w:rPr>
      </w:pPr>
      <w:r>
        <w:rPr>
          <w:sz w:val="24"/>
          <w:szCs w:val="24"/>
        </w:rPr>
        <w:t xml:space="preserve"> </w:t>
      </w:r>
    </w:p>
    <w:p w:rsidR="00125BA4" w:rsidRDefault="00125BA4">
      <w:pPr>
        <w:rPr>
          <w:sz w:val="24"/>
          <w:szCs w:val="24"/>
        </w:rPr>
      </w:pPr>
    </w:p>
    <w:p w:rsidR="00125BA4" w:rsidRDefault="00125BA4">
      <w:pPr>
        <w:rPr>
          <w:sz w:val="24"/>
          <w:szCs w:val="24"/>
        </w:rPr>
      </w:pPr>
    </w:p>
    <w:p w:rsidR="00125BA4" w:rsidRDefault="00125BA4">
      <w:pPr>
        <w:rPr>
          <w:sz w:val="24"/>
          <w:szCs w:val="24"/>
        </w:rPr>
      </w:pPr>
    </w:p>
    <w:p w:rsidR="00125BA4" w:rsidRDefault="00125BA4">
      <w:pPr>
        <w:rPr>
          <w:sz w:val="24"/>
          <w:szCs w:val="24"/>
        </w:rPr>
      </w:pPr>
    </w:p>
    <w:p w:rsidR="00125BA4" w:rsidRDefault="00125BA4">
      <w:pPr>
        <w:rPr>
          <w:sz w:val="24"/>
          <w:szCs w:val="24"/>
        </w:rPr>
      </w:pPr>
    </w:p>
    <w:p w:rsidR="00125BA4" w:rsidRDefault="00125BA4">
      <w:pPr>
        <w:rPr>
          <w:sz w:val="24"/>
          <w:szCs w:val="24"/>
        </w:rPr>
      </w:pPr>
    </w:p>
    <w:p w:rsidR="00730861" w:rsidRDefault="00730861">
      <w:pPr>
        <w:rPr>
          <w:sz w:val="24"/>
          <w:szCs w:val="24"/>
        </w:rPr>
      </w:pPr>
    </w:p>
    <w:p w:rsidR="00730861" w:rsidRDefault="00730861">
      <w:pPr>
        <w:rPr>
          <w:sz w:val="24"/>
          <w:szCs w:val="24"/>
        </w:rPr>
      </w:pPr>
    </w:p>
    <w:p w:rsidR="00730861" w:rsidRDefault="00730861">
      <w:pPr>
        <w:rPr>
          <w:sz w:val="24"/>
          <w:szCs w:val="24"/>
        </w:rPr>
      </w:pPr>
    </w:p>
    <w:p w:rsidR="00730861" w:rsidRDefault="00730861">
      <w:pPr>
        <w:rPr>
          <w:sz w:val="24"/>
          <w:szCs w:val="24"/>
        </w:rPr>
      </w:pPr>
    </w:p>
    <w:p w:rsidR="00125BA4" w:rsidRDefault="00125BA4">
      <w:pPr>
        <w:rPr>
          <w:sz w:val="24"/>
          <w:szCs w:val="24"/>
        </w:rPr>
      </w:pPr>
    </w:p>
    <w:p w:rsidR="00125BA4" w:rsidRDefault="00000000">
      <w:pPr>
        <w:rPr>
          <w:b/>
          <w:sz w:val="24"/>
          <w:szCs w:val="24"/>
        </w:rPr>
      </w:pPr>
      <w:r>
        <w:rPr>
          <w:b/>
          <w:sz w:val="24"/>
          <w:szCs w:val="24"/>
        </w:rPr>
        <w:lastRenderedPageBreak/>
        <w:t>Introduction</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 xml:space="preserve">6. The Indigenous Peoples’ International Centre for Policy Research and Education (Tebtebba Foundation, Inc.), an Indigenous Peoples' Organization based in the Philippines, together with the </w:t>
      </w:r>
      <w:proofErr w:type="spellStart"/>
      <w:r>
        <w:rPr>
          <w:sz w:val="24"/>
          <w:szCs w:val="24"/>
        </w:rPr>
        <w:t>Ugnayang</w:t>
      </w:r>
      <w:proofErr w:type="spellEnd"/>
      <w:r>
        <w:rPr>
          <w:sz w:val="24"/>
          <w:szCs w:val="24"/>
        </w:rPr>
        <w:t xml:space="preserve"> Pambansa para </w:t>
      </w:r>
      <w:proofErr w:type="spellStart"/>
      <w:r>
        <w:rPr>
          <w:sz w:val="24"/>
          <w:szCs w:val="24"/>
        </w:rPr>
        <w:t>sa</w:t>
      </w:r>
      <w:proofErr w:type="spellEnd"/>
      <w:r>
        <w:rPr>
          <w:sz w:val="24"/>
          <w:szCs w:val="24"/>
        </w:rPr>
        <w:t xml:space="preserve"> </w:t>
      </w:r>
      <w:proofErr w:type="spellStart"/>
      <w:r>
        <w:rPr>
          <w:sz w:val="24"/>
          <w:szCs w:val="24"/>
        </w:rPr>
        <w:t>Katutubong</w:t>
      </w:r>
      <w:proofErr w:type="spellEnd"/>
      <w:r>
        <w:rPr>
          <w:sz w:val="24"/>
          <w:szCs w:val="24"/>
        </w:rPr>
        <w:t xml:space="preserve"> </w:t>
      </w:r>
      <w:proofErr w:type="spellStart"/>
      <w:r>
        <w:rPr>
          <w:sz w:val="24"/>
          <w:szCs w:val="24"/>
        </w:rPr>
        <w:t>Kaalaman</w:t>
      </w:r>
      <w:proofErr w:type="spellEnd"/>
      <w:r>
        <w:rPr>
          <w:sz w:val="24"/>
          <w:szCs w:val="24"/>
        </w:rPr>
        <w:t xml:space="preserve"> at </w:t>
      </w:r>
      <w:proofErr w:type="spellStart"/>
      <w:r>
        <w:rPr>
          <w:sz w:val="24"/>
          <w:szCs w:val="24"/>
        </w:rPr>
        <w:t>Talino</w:t>
      </w:r>
      <w:proofErr w:type="spellEnd"/>
      <w:r>
        <w:rPr>
          <w:sz w:val="24"/>
          <w:szCs w:val="24"/>
        </w:rPr>
        <w:t xml:space="preserve"> (UPAKAT) [</w:t>
      </w:r>
      <w:r>
        <w:rPr>
          <w:i/>
          <w:sz w:val="24"/>
          <w:szCs w:val="24"/>
        </w:rPr>
        <w:t>Philippine Traditional Knowledge Network</w:t>
      </w:r>
      <w:r>
        <w:rPr>
          <w:sz w:val="24"/>
          <w:szCs w:val="24"/>
        </w:rPr>
        <w:t>], submit this joint shadow report to provide an updated assessment of the economic, social, and cultural rights of Indigenous Peoples in the Philippines. UPAKAT is a network of Indigenous Peoples’ Organizations (IPOs), including some Indigenous Political Structures (IPS) across the Philippines, promoting rights-based sustainable, and self-determined development for Indigenous Peoples.</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 xml:space="preserve">7. This report delves into the ongoing experiences of Indigenous Peoples in the Philippines under the UPAKAT network, shared from various dialogues, meetings, and activities since 2022. The report also draws from </w:t>
      </w:r>
      <w:proofErr w:type="spellStart"/>
      <w:r>
        <w:rPr>
          <w:sz w:val="24"/>
          <w:szCs w:val="24"/>
        </w:rPr>
        <w:t>Tebtebba’s</w:t>
      </w:r>
      <w:proofErr w:type="spellEnd"/>
      <w:r>
        <w:rPr>
          <w:sz w:val="24"/>
          <w:szCs w:val="24"/>
        </w:rPr>
        <w:t xml:space="preserve"> work with several indigenous communities in the country through the Indigenous Navigator project.</w:t>
      </w:r>
      <w:r>
        <w:rPr>
          <w:sz w:val="24"/>
          <w:szCs w:val="24"/>
          <w:vertAlign w:val="superscript"/>
        </w:rPr>
        <w:footnoteReference w:id="2"/>
      </w:r>
      <w:r>
        <w:rPr>
          <w:sz w:val="24"/>
          <w:szCs w:val="24"/>
        </w:rPr>
        <w:t xml:space="preserve"> </w:t>
      </w:r>
    </w:p>
    <w:p w:rsidR="00125BA4" w:rsidRDefault="00125BA4">
      <w:pPr>
        <w:rPr>
          <w:sz w:val="24"/>
          <w:szCs w:val="24"/>
        </w:rPr>
      </w:pPr>
    </w:p>
    <w:p w:rsidR="00125BA4" w:rsidRDefault="00000000">
      <w:pPr>
        <w:rPr>
          <w:sz w:val="24"/>
          <w:szCs w:val="24"/>
        </w:rPr>
      </w:pPr>
      <w:r>
        <w:rPr>
          <w:sz w:val="24"/>
          <w:szCs w:val="24"/>
        </w:rPr>
        <w:t>8. While the report attempts to respond to the specific articles of the Covenant, we note the collective nature of economic, social, and cultural rights for Indigenous Peoples, as well as the intersectionality of these rights, including their relation to the International Covenant on Civil and Political Rights (ICCPR).</w:t>
      </w:r>
    </w:p>
    <w:p w:rsidR="00125BA4" w:rsidRDefault="00000000">
      <w:pPr>
        <w:rPr>
          <w:sz w:val="24"/>
          <w:szCs w:val="24"/>
        </w:rPr>
      </w:pPr>
      <w:r>
        <w:rPr>
          <w:sz w:val="24"/>
          <w:szCs w:val="24"/>
        </w:rPr>
        <w:t xml:space="preserve"> </w:t>
      </w:r>
    </w:p>
    <w:p w:rsidR="00125BA4" w:rsidRDefault="00000000">
      <w:pPr>
        <w:rPr>
          <w:b/>
          <w:sz w:val="24"/>
          <w:szCs w:val="24"/>
        </w:rPr>
      </w:pPr>
      <w:r>
        <w:rPr>
          <w:b/>
          <w:sz w:val="24"/>
          <w:szCs w:val="24"/>
        </w:rPr>
        <w:t>Key Issues and Concerns</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9. The World Bank, in its 2024 report,</w:t>
      </w:r>
      <w:r>
        <w:rPr>
          <w:sz w:val="24"/>
          <w:szCs w:val="24"/>
          <w:vertAlign w:val="superscript"/>
        </w:rPr>
        <w:footnoteReference w:id="3"/>
      </w:r>
      <w:r>
        <w:rPr>
          <w:sz w:val="24"/>
          <w:szCs w:val="24"/>
        </w:rPr>
        <w:t xml:space="preserve"> cites the need for disaggregated data specific to Indigenous Peoples in the country. For Indigenous Peoples, this lack of disaggregated data is a manifestation of systemic discrimination despite the IPRA. It renders Indigenous Peoples invisible and undermines their distinct rights, diverse identities, roles, and contributions to national development. It also highlights the lack of capacity within government agencies to understand and respond to the specific needs of Indigenous Peoples. The Philippine state should invest in systematic data disaggregation specific to Indigenous Peoples to inform policy and responsive development planning, reporting, and benefit sharing.</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lastRenderedPageBreak/>
        <w:t>10. Despite the advancement of national laws and programs ensuring equal rights for men and women, behavioral barriers rooted in patriarchy, gender stereotyping, and an unequal playing field still exist. Among Indigenous Peoples, men generally dominate governance and decision-making structures within their communities, limiting women’s participation in critical decision-making processes. This affects their overall development as individuals and as women in their communities. Poverty of time among women and the lack of appropriate information and support services continue to hinder their capacity to benefit from laws and programs promoting equality.</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11. While Indigenous Peoples in the country may be found in various professions and work in the formal sector, most of them are engaged in traditional livelihoods, such as agriculture, non-timber forest products gathering, self-employment, and small-scale industries like weaving, which depend on their access to and the integrity of their lands and resources.</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12. Despite the IPRA, forestry programs [e.g., Integrated Forest Management Agreements (IFMAs)] and extractive industries allowed under Presidential Decree (PD) 705 (Revised Forestry Code of the Philippines) and RA 7942 (Philippine Mining Act of 1995) continue to impair or deny Indigenous Peoples the opportunity to earn a decent living with dignity. RA 3701 (An Act to Discourage Destruction of Forests) criminalizes engagement in traditional agroforestry and resource use. Despite its good intent, the law discriminates against Indigenous Peoples by denying their access to their basic sources of livelihoods. The following cases, documented by members of UPAKAT during the Indigenous Peoples’ Day Celebration in 2023, illustrate the absence of just and favorable conditions of work for Indigenous Peoples in the informal sector, particularly in agroforestry:</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 xml:space="preserve">     </w:t>
      </w:r>
      <w:r>
        <w:rPr>
          <w:sz w:val="24"/>
          <w:szCs w:val="24"/>
        </w:rPr>
        <w:tab/>
        <w:t xml:space="preserve">13. The </w:t>
      </w:r>
      <w:proofErr w:type="spellStart"/>
      <w:r>
        <w:rPr>
          <w:sz w:val="24"/>
          <w:szCs w:val="24"/>
        </w:rPr>
        <w:t>Tagbanuas</w:t>
      </w:r>
      <w:proofErr w:type="spellEnd"/>
      <w:r>
        <w:rPr>
          <w:sz w:val="24"/>
          <w:szCs w:val="24"/>
        </w:rPr>
        <w:t xml:space="preserve"> in Palawan face significant challenges in securing permits to harvest Non-Timber Forest Products (NTFPs) such as rattan, almaciga resin, and honey. The permitting process is lengthy, costly, and requires performance bonds beyond the financial capacity of most forest-dependent indigenous communities, forcing them to take loans at exorbitant interest rates;</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 xml:space="preserve">     </w:t>
      </w:r>
      <w:r>
        <w:rPr>
          <w:sz w:val="24"/>
          <w:szCs w:val="24"/>
        </w:rPr>
        <w:tab/>
        <w:t xml:space="preserve">14. Among the </w:t>
      </w:r>
      <w:proofErr w:type="spellStart"/>
      <w:r>
        <w:rPr>
          <w:sz w:val="24"/>
          <w:szCs w:val="24"/>
        </w:rPr>
        <w:t>Tinonanon</w:t>
      </w:r>
      <w:proofErr w:type="spellEnd"/>
      <w:r>
        <w:rPr>
          <w:sz w:val="24"/>
          <w:szCs w:val="24"/>
        </w:rPr>
        <w:t xml:space="preserve"> </w:t>
      </w:r>
      <w:proofErr w:type="spellStart"/>
      <w:r>
        <w:rPr>
          <w:sz w:val="24"/>
          <w:szCs w:val="24"/>
        </w:rPr>
        <w:t>Muvu</w:t>
      </w:r>
      <w:proofErr w:type="spellEnd"/>
      <w:r>
        <w:rPr>
          <w:sz w:val="24"/>
          <w:szCs w:val="24"/>
        </w:rPr>
        <w:t xml:space="preserve">, </w:t>
      </w:r>
      <w:proofErr w:type="spellStart"/>
      <w:r>
        <w:rPr>
          <w:sz w:val="24"/>
          <w:szCs w:val="24"/>
        </w:rPr>
        <w:t>Erumanen</w:t>
      </w:r>
      <w:proofErr w:type="spellEnd"/>
      <w:r>
        <w:rPr>
          <w:sz w:val="24"/>
          <w:szCs w:val="24"/>
        </w:rPr>
        <w:t xml:space="preserve"> ne </w:t>
      </w:r>
      <w:proofErr w:type="spellStart"/>
      <w:r>
        <w:rPr>
          <w:sz w:val="24"/>
          <w:szCs w:val="24"/>
        </w:rPr>
        <w:t>Menuvu</w:t>
      </w:r>
      <w:proofErr w:type="spellEnd"/>
      <w:r>
        <w:rPr>
          <w:sz w:val="24"/>
          <w:szCs w:val="24"/>
        </w:rPr>
        <w:t xml:space="preserve">, and </w:t>
      </w:r>
      <w:proofErr w:type="spellStart"/>
      <w:r>
        <w:rPr>
          <w:sz w:val="24"/>
          <w:szCs w:val="24"/>
        </w:rPr>
        <w:t>Teduray-Lambangian</w:t>
      </w:r>
      <w:proofErr w:type="spellEnd"/>
      <w:r>
        <w:rPr>
          <w:sz w:val="24"/>
          <w:szCs w:val="24"/>
        </w:rPr>
        <w:t xml:space="preserve"> in North Cotabato, ecosystem erosion, partly due to the ongoing adoption of commercial chemical-based agriculture (corn), monocropping (palm oil), and slow disaster response to climate change-induced flash floods, have adversely impacted the quality and quantity of water and agricultural lands, affecting productivity and food security;</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lastRenderedPageBreak/>
        <w:t xml:space="preserve">     </w:t>
      </w:r>
      <w:r>
        <w:rPr>
          <w:sz w:val="24"/>
          <w:szCs w:val="24"/>
        </w:rPr>
        <w:tab/>
        <w:t xml:space="preserve">15. The access road through </w:t>
      </w:r>
      <w:proofErr w:type="spellStart"/>
      <w:r>
        <w:rPr>
          <w:sz w:val="24"/>
          <w:szCs w:val="24"/>
        </w:rPr>
        <w:t>Candalaga</w:t>
      </w:r>
      <w:proofErr w:type="spellEnd"/>
      <w:r>
        <w:rPr>
          <w:sz w:val="24"/>
          <w:szCs w:val="24"/>
        </w:rPr>
        <w:t xml:space="preserve"> Mountain Range in </w:t>
      </w:r>
      <w:proofErr w:type="spellStart"/>
      <w:r>
        <w:rPr>
          <w:sz w:val="24"/>
          <w:szCs w:val="24"/>
        </w:rPr>
        <w:t>Maragusan</w:t>
      </w:r>
      <w:proofErr w:type="spellEnd"/>
      <w:r>
        <w:rPr>
          <w:sz w:val="24"/>
          <w:szCs w:val="24"/>
        </w:rPr>
        <w:t xml:space="preserve">, Davao de Oro, declared a protected area by the </w:t>
      </w:r>
      <w:proofErr w:type="spellStart"/>
      <w:r>
        <w:rPr>
          <w:sz w:val="24"/>
          <w:szCs w:val="24"/>
        </w:rPr>
        <w:t>Mansaka</w:t>
      </w:r>
      <w:proofErr w:type="spellEnd"/>
      <w:r>
        <w:rPr>
          <w:sz w:val="24"/>
          <w:szCs w:val="24"/>
        </w:rPr>
        <w:t xml:space="preserve">, has resulted in ecological destruction, including the destruction of sacred sites and agricultural farms. Landslides occur, and the water supply is affected. The road, intended for tourism and mining ventures, was opened without the Free, Prior, and Informed Consent (FPIC) of the </w:t>
      </w:r>
      <w:proofErr w:type="spellStart"/>
      <w:r>
        <w:rPr>
          <w:sz w:val="24"/>
          <w:szCs w:val="24"/>
        </w:rPr>
        <w:t>Mansaka</w:t>
      </w:r>
      <w:proofErr w:type="spellEnd"/>
      <w:r>
        <w:rPr>
          <w:sz w:val="24"/>
          <w:szCs w:val="24"/>
        </w:rPr>
        <w:t xml:space="preserve"> people;</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 xml:space="preserve">     </w:t>
      </w:r>
      <w:r>
        <w:rPr>
          <w:sz w:val="24"/>
          <w:szCs w:val="24"/>
        </w:rPr>
        <w:tab/>
        <w:t>16. There are reportedly 349 approved mining permits and contracts in the Philippines as of 2023, affecting 223,006 hectares of indigenous-held lands. Beyond the immediate benefits of mining, anxiety levels have risen among Indigenous Peoples, especially among Indigenous women, regarding its long-term impacts on their livelihoods, the environment, and the future of the youth;</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 xml:space="preserve">     </w:t>
      </w:r>
      <w:r>
        <w:rPr>
          <w:sz w:val="24"/>
          <w:szCs w:val="24"/>
        </w:rPr>
        <w:tab/>
        <w:t>17. In 2024, a municipal trial court allowed a commercial operator to fish within 15 kilometers of the Philippine coast (or so-called municipal waters) more than 7 fathoms deep, a decision affirmed by the Supreme Court due to a lack of appeal.</w:t>
      </w:r>
      <w:r>
        <w:rPr>
          <w:sz w:val="24"/>
          <w:szCs w:val="24"/>
          <w:vertAlign w:val="superscript"/>
        </w:rPr>
        <w:footnoteReference w:id="4"/>
      </w:r>
      <w:r>
        <w:rPr>
          <w:sz w:val="24"/>
          <w:szCs w:val="24"/>
        </w:rPr>
        <w:t xml:space="preserve"> By law (Philippine Fisheries Code of 1998</w:t>
      </w:r>
      <w:r>
        <w:rPr>
          <w:sz w:val="24"/>
          <w:szCs w:val="24"/>
          <w:highlight w:val="white"/>
        </w:rPr>
        <w:t>)</w:t>
      </w:r>
      <w:r>
        <w:rPr>
          <w:sz w:val="24"/>
          <w:szCs w:val="24"/>
        </w:rPr>
        <w:t>, small fisherfolk are given preferential rights to fish in municipal waters. It should be noted that at least 13.4% or 805,896.70 hectares of registered Certificate of Ancestral Domain Titles (CADTs) are ancestral waters and are found in the marine and coastal zones (NCIP ADO in IPBSAP, 2024, p.14).</w:t>
      </w:r>
      <w:r>
        <w:rPr>
          <w:sz w:val="24"/>
          <w:szCs w:val="24"/>
          <w:vertAlign w:val="superscript"/>
        </w:rPr>
        <w:footnoteReference w:id="5"/>
      </w:r>
      <w:r>
        <w:rPr>
          <w:sz w:val="24"/>
          <w:szCs w:val="24"/>
        </w:rPr>
        <w:t xml:space="preserve"> As such, the work of fisherfolk communities dependent on municipal waters for their livelihood and subsistence, including Indigenous Peoples, may be affected by this jurisprudence in the future if it will be used to argue in favor of commercial operators over small-scale fisherfolk.</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18. Tebtebba, in its 2024 report</w:t>
      </w:r>
      <w:r>
        <w:rPr>
          <w:sz w:val="24"/>
          <w:szCs w:val="24"/>
          <w:vertAlign w:val="superscript"/>
        </w:rPr>
        <w:footnoteReference w:id="6"/>
      </w:r>
      <w:r>
        <w:rPr>
          <w:sz w:val="24"/>
          <w:szCs w:val="24"/>
        </w:rPr>
        <w:t xml:space="preserve"> under the Indigenous Navigator initiative, acknowledges that “There are several laudable measures, programs, and projects by various government agencies that address the Indigenous Peoples rights to cultural integrity. However, there was a significant backslide with the recent decision of the current administration to abolish the teaching of mother tongue from the K-12 curriculum. This was done amidst the fact that many indigenous languages are already considered “endangered” or on the verge of vanishing.”</w:t>
      </w:r>
    </w:p>
    <w:p w:rsidR="00125BA4" w:rsidRDefault="00000000">
      <w:pPr>
        <w:rPr>
          <w:sz w:val="24"/>
          <w:szCs w:val="24"/>
        </w:rPr>
      </w:pPr>
      <w:r>
        <w:rPr>
          <w:sz w:val="24"/>
          <w:szCs w:val="24"/>
        </w:rPr>
        <w:lastRenderedPageBreak/>
        <w:t xml:space="preserve"> </w:t>
      </w:r>
    </w:p>
    <w:p w:rsidR="00125BA4" w:rsidRDefault="00000000">
      <w:pPr>
        <w:rPr>
          <w:sz w:val="24"/>
          <w:szCs w:val="24"/>
        </w:rPr>
      </w:pPr>
      <w:r>
        <w:rPr>
          <w:sz w:val="24"/>
          <w:szCs w:val="24"/>
        </w:rPr>
        <w:t xml:space="preserve">19. Despite the presence of several national programs and projects aimed at alleviating poverty among Indigenous Peoples, they remain the poorest 20% quintile of Philippine society. This is largely due to a lack of or no access to basic social services like education, health, potable water, and electricity. The same report cites that, according to the Philippine Journal of Science, only 30% of Indigenous Peoples reach tertiary education and only 8% graduate from college. In Palawan, </w:t>
      </w:r>
      <w:proofErr w:type="spellStart"/>
      <w:r>
        <w:rPr>
          <w:sz w:val="24"/>
          <w:szCs w:val="24"/>
        </w:rPr>
        <w:t>Tagbanua</w:t>
      </w:r>
      <w:proofErr w:type="spellEnd"/>
      <w:r>
        <w:rPr>
          <w:sz w:val="24"/>
          <w:szCs w:val="24"/>
        </w:rPr>
        <w:t xml:space="preserve"> children are often misidentified in local censuses, undermining their recognition as indigenous individuals. The discontinuation of mother-tongue instruction from kindergarten to Grade 3 (RA 12027) threatens the survival of traditional knowledge and identities.</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20. The situations of discrimination, lack of access to work, education, and social security, and various conflicts in Indigenous Peoples territories do not reflect effective protection and fulfillment of the right to an adequate standard of living for Indigenous Peoples, despite policies and programs in place, including those targeting women and the youth.</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21. It is estimated that one-third of land managed by Indigenous Peoples and local communities in the Philippines is in good ecological condition (WWF et al., 2021).</w:t>
      </w:r>
      <w:r>
        <w:rPr>
          <w:sz w:val="24"/>
          <w:szCs w:val="24"/>
          <w:vertAlign w:val="superscript"/>
        </w:rPr>
        <w:footnoteReference w:id="7"/>
      </w:r>
      <w:r>
        <w:rPr>
          <w:sz w:val="24"/>
          <w:szCs w:val="24"/>
        </w:rPr>
        <w:t xml:space="preserve"> Ancestral domains in the Philippines generate roughly </w:t>
      </w:r>
      <w:proofErr w:type="spellStart"/>
      <w:r>
        <w:rPr>
          <w:sz w:val="24"/>
          <w:szCs w:val="24"/>
        </w:rPr>
        <w:t>PhP</w:t>
      </w:r>
      <w:proofErr w:type="spellEnd"/>
      <w:r>
        <w:rPr>
          <w:sz w:val="24"/>
          <w:szCs w:val="24"/>
        </w:rPr>
        <w:t xml:space="preserve"> 20 trillion annually in terms of carbon social cost, oxygen provision, pollution control, health cost, ecotourism, water provision, soil conservation, and agroforestry provision, excluding intangible values and benefits such as sustaining lives, and the spiritual and cultural values enshrined in these (Legal Rights and Natural Resources Center, 2023).</w:t>
      </w:r>
      <w:r>
        <w:rPr>
          <w:sz w:val="24"/>
          <w:szCs w:val="24"/>
          <w:vertAlign w:val="superscript"/>
        </w:rPr>
        <w:footnoteReference w:id="8"/>
      </w:r>
    </w:p>
    <w:p w:rsidR="00125BA4" w:rsidRDefault="00000000">
      <w:pPr>
        <w:rPr>
          <w:sz w:val="24"/>
          <w:szCs w:val="24"/>
        </w:rPr>
      </w:pPr>
      <w:r>
        <w:rPr>
          <w:sz w:val="24"/>
          <w:szCs w:val="24"/>
        </w:rPr>
        <w:br/>
        <w:t>22. These statistics and stories from the ground complement the assertion of many Indigenous Peoples that, for them, an adequate standard of living refers, at the very least, to the integrity, security, control, and management of their territories and resources around which indigenous culture revolves. Intact territories mean there is always a place where they can stay or return to with the assurance of land for livelihood and security provided by the collective. Any encroachment into Indigenous Peoples’ territories without their knowledge and consent, therefore, impacts, either immediately or cumulatively, their right to an adequate standard of living.</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 xml:space="preserve">23. Respecting their right to an adequate standard of living is also connected to the vitality of their ancestral domain. Reports suggest that 23% of these areas are expected </w:t>
      </w:r>
      <w:r>
        <w:rPr>
          <w:sz w:val="24"/>
          <w:szCs w:val="24"/>
        </w:rPr>
        <w:lastRenderedPageBreak/>
        <w:t>to face high development pressure in the future (WWF et al., 2021, p. 42)</w:t>
      </w:r>
      <w:r>
        <w:rPr>
          <w:sz w:val="24"/>
          <w:szCs w:val="24"/>
          <w:vertAlign w:val="superscript"/>
        </w:rPr>
        <w:footnoteReference w:id="9"/>
      </w:r>
      <w:r>
        <w:rPr>
          <w:sz w:val="24"/>
          <w:szCs w:val="24"/>
        </w:rPr>
        <w:t xml:space="preserve"> and that 22% of CADT areas (or 1.33 million hectares) face significant risks of negative environmental impacts posed by projects within or near their proximity. These projects include mining, integrated forest management agreements (IFMAs), infrastructure, hydropower projects and dams, fossil fuel, land development, industrial, geothermal, and quarrying projects (LRC, 2023, p. 09).</w:t>
      </w:r>
      <w:r>
        <w:rPr>
          <w:sz w:val="24"/>
          <w:szCs w:val="24"/>
          <w:vertAlign w:val="superscript"/>
        </w:rPr>
        <w:footnoteReference w:id="10"/>
      </w:r>
      <w:r>
        <w:rPr>
          <w:sz w:val="24"/>
          <w:szCs w:val="24"/>
        </w:rPr>
        <w:t xml:space="preserve">  </w:t>
      </w:r>
    </w:p>
    <w:p w:rsidR="00125BA4" w:rsidRDefault="00125BA4">
      <w:pPr>
        <w:rPr>
          <w:sz w:val="24"/>
          <w:szCs w:val="24"/>
        </w:rPr>
      </w:pPr>
    </w:p>
    <w:p w:rsidR="00125BA4" w:rsidRDefault="00000000">
      <w:pPr>
        <w:rPr>
          <w:sz w:val="24"/>
          <w:szCs w:val="24"/>
        </w:rPr>
      </w:pPr>
      <w:r>
        <w:rPr>
          <w:sz w:val="24"/>
          <w:szCs w:val="24"/>
        </w:rPr>
        <w:t>24. The Indigenous Peoples’ Biodiversity Strategy and Action Plan</w:t>
      </w:r>
      <w:r>
        <w:rPr>
          <w:sz w:val="24"/>
          <w:szCs w:val="24"/>
          <w:vertAlign w:val="superscript"/>
        </w:rPr>
        <w:footnoteReference w:id="11"/>
      </w:r>
      <w:r>
        <w:rPr>
          <w:sz w:val="24"/>
          <w:szCs w:val="24"/>
        </w:rPr>
        <w:t xml:space="preserve"> in the Philippines cites the following cases of how project encroachment affects indigenous communities:</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 xml:space="preserve">     </w:t>
      </w:r>
      <w:r>
        <w:rPr>
          <w:sz w:val="24"/>
          <w:szCs w:val="24"/>
        </w:rPr>
        <w:tab/>
        <w:t>25. In the Cordillera, dams constructed since the 1960s have displaced indigenous communities, silted-up riverbeds, and inundated productive rice fields, forests, and sacred sites;</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 xml:space="preserve">     </w:t>
      </w:r>
      <w:r>
        <w:rPr>
          <w:sz w:val="24"/>
          <w:szCs w:val="24"/>
        </w:rPr>
        <w:tab/>
        <w:t xml:space="preserve">26. The </w:t>
      </w:r>
      <w:proofErr w:type="spellStart"/>
      <w:r>
        <w:rPr>
          <w:sz w:val="24"/>
          <w:szCs w:val="24"/>
        </w:rPr>
        <w:t>Agusan</w:t>
      </w:r>
      <w:proofErr w:type="spellEnd"/>
      <w:r>
        <w:rPr>
          <w:sz w:val="24"/>
          <w:szCs w:val="24"/>
        </w:rPr>
        <w:t xml:space="preserve"> Marsh, part of the ancestral domain of the Manobo Indigenous Peoples in </w:t>
      </w:r>
      <w:proofErr w:type="spellStart"/>
      <w:r>
        <w:rPr>
          <w:sz w:val="24"/>
          <w:szCs w:val="24"/>
        </w:rPr>
        <w:t>Agusan</w:t>
      </w:r>
      <w:proofErr w:type="spellEnd"/>
      <w:r>
        <w:rPr>
          <w:sz w:val="24"/>
          <w:szCs w:val="24"/>
        </w:rPr>
        <w:t xml:space="preserve"> del Sur, aside from being a protected area, Ramsar Wetland of International Importance, and ASEAN Heritage Park, is affected by mine tailings and other pollutants being discharged through the </w:t>
      </w:r>
      <w:proofErr w:type="spellStart"/>
      <w:r>
        <w:rPr>
          <w:sz w:val="24"/>
          <w:szCs w:val="24"/>
        </w:rPr>
        <w:t>Agusan</w:t>
      </w:r>
      <w:proofErr w:type="spellEnd"/>
      <w:r>
        <w:rPr>
          <w:sz w:val="24"/>
          <w:szCs w:val="24"/>
        </w:rPr>
        <w:t xml:space="preserve"> River;</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 xml:space="preserve">     </w:t>
      </w:r>
      <w:r>
        <w:rPr>
          <w:sz w:val="24"/>
          <w:szCs w:val="24"/>
        </w:rPr>
        <w:tab/>
        <w:t xml:space="preserve">27. The building of roads in the Mt. </w:t>
      </w:r>
      <w:proofErr w:type="spellStart"/>
      <w:r>
        <w:rPr>
          <w:sz w:val="24"/>
          <w:szCs w:val="24"/>
        </w:rPr>
        <w:t>Candalaga</w:t>
      </w:r>
      <w:proofErr w:type="spellEnd"/>
      <w:r>
        <w:rPr>
          <w:sz w:val="24"/>
          <w:szCs w:val="24"/>
        </w:rPr>
        <w:t xml:space="preserve"> Indigenous and Community Conserved Area (ICCA) has disturbed the sacred site of the </w:t>
      </w:r>
      <w:proofErr w:type="spellStart"/>
      <w:r>
        <w:rPr>
          <w:sz w:val="24"/>
          <w:szCs w:val="24"/>
        </w:rPr>
        <w:t>Mansaka</w:t>
      </w:r>
      <w:proofErr w:type="spellEnd"/>
      <w:r>
        <w:rPr>
          <w:sz w:val="24"/>
          <w:szCs w:val="24"/>
        </w:rPr>
        <w:t>, which also serves as nesting site for the Philippine Eagle.</w:t>
      </w:r>
    </w:p>
    <w:p w:rsidR="00125BA4" w:rsidRDefault="00000000">
      <w:pPr>
        <w:rPr>
          <w:sz w:val="24"/>
          <w:szCs w:val="24"/>
        </w:rPr>
      </w:pPr>
      <w:r>
        <w:rPr>
          <w:sz w:val="24"/>
          <w:szCs w:val="24"/>
        </w:rPr>
        <w:t xml:space="preserve"> </w:t>
      </w:r>
    </w:p>
    <w:p w:rsidR="00125BA4" w:rsidRDefault="00000000">
      <w:pPr>
        <w:ind w:firstLine="720"/>
        <w:rPr>
          <w:sz w:val="24"/>
          <w:szCs w:val="24"/>
        </w:rPr>
      </w:pPr>
      <w:r>
        <w:rPr>
          <w:sz w:val="24"/>
          <w:szCs w:val="24"/>
        </w:rPr>
        <w:t>28. Such cases illustrate how the encroachment of such activities impacts indigenous communities.</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29. Political and economic interests continue to fuel conflicts between the Moro and non-Moro Indigenous Peoples in the Bangsamoro Autonomous Region of Muslim Mindanao (BARMM), threatening the lives and limbs of Indigenous Peoples in the region.</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 xml:space="preserve">30. The </w:t>
      </w:r>
      <w:proofErr w:type="spellStart"/>
      <w:r>
        <w:rPr>
          <w:sz w:val="24"/>
          <w:szCs w:val="24"/>
        </w:rPr>
        <w:t>Timuay</w:t>
      </w:r>
      <w:proofErr w:type="spellEnd"/>
      <w:r>
        <w:rPr>
          <w:sz w:val="24"/>
          <w:szCs w:val="24"/>
        </w:rPr>
        <w:t xml:space="preserve"> Justice and Governance</w:t>
      </w:r>
      <w:r>
        <w:rPr>
          <w:sz w:val="24"/>
          <w:szCs w:val="24"/>
          <w:vertAlign w:val="superscript"/>
        </w:rPr>
        <w:footnoteReference w:id="12"/>
      </w:r>
      <w:r>
        <w:rPr>
          <w:sz w:val="24"/>
          <w:szCs w:val="24"/>
        </w:rPr>
        <w:t xml:space="preserve"> documented some 83 </w:t>
      </w:r>
      <w:proofErr w:type="spellStart"/>
      <w:r>
        <w:rPr>
          <w:sz w:val="24"/>
          <w:szCs w:val="24"/>
        </w:rPr>
        <w:t>Teduray</w:t>
      </w:r>
      <w:proofErr w:type="spellEnd"/>
      <w:r>
        <w:rPr>
          <w:sz w:val="24"/>
          <w:szCs w:val="24"/>
        </w:rPr>
        <w:t xml:space="preserve"> and </w:t>
      </w:r>
      <w:proofErr w:type="spellStart"/>
      <w:r>
        <w:rPr>
          <w:sz w:val="24"/>
          <w:szCs w:val="24"/>
        </w:rPr>
        <w:t>Lambangian</w:t>
      </w:r>
      <w:proofErr w:type="spellEnd"/>
      <w:r>
        <w:rPr>
          <w:sz w:val="24"/>
          <w:szCs w:val="24"/>
        </w:rPr>
        <w:t xml:space="preserve"> Indigenous Peoples killed from 2020 to August 2024 due to land-related attacks. Seven of these are women and seven are young adults and children. Some 3,000 were rendered homeless due to the same interest in 2021. Further, the </w:t>
      </w:r>
      <w:r>
        <w:rPr>
          <w:sz w:val="24"/>
          <w:szCs w:val="24"/>
        </w:rPr>
        <w:lastRenderedPageBreak/>
        <w:t>establishment of military camps, such as Camp Bader and Camp Omar, within the ancestral domain has resulted in the displacement of Indigenous Peoples. The presence of armed groups causes fear and insecurity among Indigenous Peoples in the area.</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 xml:space="preserve">31. On a broader scale, data from Indigenous Peoples alliance groups </w:t>
      </w:r>
      <w:proofErr w:type="spellStart"/>
      <w:r>
        <w:rPr>
          <w:sz w:val="24"/>
          <w:szCs w:val="24"/>
        </w:rPr>
        <w:t>Panaghiusa</w:t>
      </w:r>
      <w:proofErr w:type="spellEnd"/>
      <w:r>
        <w:rPr>
          <w:sz w:val="24"/>
          <w:szCs w:val="24"/>
        </w:rPr>
        <w:t xml:space="preserve"> and </w:t>
      </w:r>
      <w:proofErr w:type="spellStart"/>
      <w:r>
        <w:rPr>
          <w:sz w:val="24"/>
          <w:szCs w:val="24"/>
        </w:rPr>
        <w:t>Sandugo</w:t>
      </w:r>
      <w:proofErr w:type="spellEnd"/>
      <w:r>
        <w:rPr>
          <w:sz w:val="24"/>
          <w:szCs w:val="24"/>
        </w:rPr>
        <w:t xml:space="preserve"> revealed that human rights violations against Indigenous Peoples between 2016 and 2021 included 126 extrajudicial killings, 160 frustrated extrajudicial killings, 227 illegal arrests, 478 illegal detentions, six enforced disappearances, and 97,118 victims of forced displacement. Numerous Indigenous leaders faced false charges, terrorist labeling, abductions, and shoot-to-kill orders (The Indigenous World 2023: Philippines - IWGIA as cited in the Indigenous Navigator Report.).</w:t>
      </w:r>
      <w:r>
        <w:rPr>
          <w:sz w:val="24"/>
          <w:szCs w:val="24"/>
          <w:vertAlign w:val="superscript"/>
        </w:rPr>
        <w:footnoteReference w:id="13"/>
      </w:r>
      <w:r>
        <w:rPr>
          <w:sz w:val="24"/>
          <w:szCs w:val="24"/>
        </w:rPr>
        <w:t xml:space="preserve"> </w:t>
      </w:r>
    </w:p>
    <w:p w:rsidR="00125BA4" w:rsidRDefault="00125BA4">
      <w:pPr>
        <w:rPr>
          <w:sz w:val="24"/>
          <w:szCs w:val="24"/>
        </w:rPr>
      </w:pPr>
    </w:p>
    <w:p w:rsidR="00125BA4" w:rsidRDefault="00000000">
      <w:pPr>
        <w:rPr>
          <w:sz w:val="24"/>
          <w:szCs w:val="24"/>
        </w:rPr>
      </w:pPr>
      <w:r>
        <w:rPr>
          <w:sz w:val="24"/>
          <w:szCs w:val="24"/>
        </w:rPr>
        <w:t>32. The Legal Rights and Natural Resources Center, in its State of Indigenous Peoples Address in 2023, reports that of the total number of cases of non-lethal human rights violations, 27,430 (63.86%) are forced evacuations resulting in the continued displacement of Indigenous Peoples from their ancestral lands. Moreover, 16% of the total are reported cases of bombing, indiscriminate firing, and aerial bombing, while 10.59% are reported cases of threats, harassment, and intimidation. Drivers include dams, land grabbing, agribusiness, mining, logging, and climate change impacts.</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33. The situations above do not provide an enabling environment for the security of life, work, physical and mental health, education, and cultural rights, among others, for Indigenous Peoples.</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 xml:space="preserve">34. Indigenous children face barriers to education, including long travel distances (6-10 km) and discriminatory behavior against their use of indigenous languages. Some schools serving indigenous communities are managed by non-indigenous individuals, further alienating indigenous students. </w:t>
      </w:r>
    </w:p>
    <w:p w:rsidR="00125BA4" w:rsidRDefault="00125BA4">
      <w:pPr>
        <w:rPr>
          <w:sz w:val="24"/>
          <w:szCs w:val="24"/>
        </w:rPr>
      </w:pPr>
    </w:p>
    <w:p w:rsidR="00125BA4" w:rsidRDefault="00000000">
      <w:pPr>
        <w:rPr>
          <w:sz w:val="24"/>
          <w:szCs w:val="24"/>
        </w:rPr>
      </w:pPr>
      <w:r>
        <w:rPr>
          <w:sz w:val="24"/>
          <w:szCs w:val="24"/>
        </w:rPr>
        <w:t xml:space="preserve">35. Traditional governance systems, such as the </w:t>
      </w:r>
      <w:r>
        <w:rPr>
          <w:i/>
          <w:sz w:val="24"/>
          <w:szCs w:val="24"/>
        </w:rPr>
        <w:t>Dap-ay</w:t>
      </w:r>
      <w:r>
        <w:rPr>
          <w:sz w:val="24"/>
          <w:szCs w:val="24"/>
        </w:rPr>
        <w:t xml:space="preserve"> system in </w:t>
      </w:r>
      <w:proofErr w:type="spellStart"/>
      <w:r>
        <w:rPr>
          <w:sz w:val="24"/>
          <w:szCs w:val="24"/>
        </w:rPr>
        <w:t>Sagada</w:t>
      </w:r>
      <w:proofErr w:type="spellEnd"/>
      <w:r>
        <w:rPr>
          <w:sz w:val="24"/>
          <w:szCs w:val="24"/>
        </w:rPr>
        <w:t>, are declining due to limited youth participation and external pressures.</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 xml:space="preserve">36. While tourism development presents opportunities for employment and economic benefits for Indigenous Peoples communities, there are reported cases where such initiatives encroach on Indigenous Peoples sacred sites. For example, the </w:t>
      </w:r>
      <w:proofErr w:type="spellStart"/>
      <w:r>
        <w:rPr>
          <w:sz w:val="24"/>
          <w:szCs w:val="24"/>
        </w:rPr>
        <w:t>Dulangan</w:t>
      </w:r>
      <w:proofErr w:type="spellEnd"/>
      <w:r>
        <w:rPr>
          <w:sz w:val="24"/>
          <w:szCs w:val="24"/>
        </w:rPr>
        <w:t xml:space="preserve"> Manobo sacred sites have reportedly been converted into tourist spots and in </w:t>
      </w:r>
      <w:proofErr w:type="spellStart"/>
      <w:r>
        <w:rPr>
          <w:sz w:val="24"/>
          <w:szCs w:val="24"/>
        </w:rPr>
        <w:lastRenderedPageBreak/>
        <w:t>Saranggani</w:t>
      </w:r>
      <w:proofErr w:type="spellEnd"/>
      <w:r>
        <w:rPr>
          <w:sz w:val="24"/>
          <w:szCs w:val="24"/>
        </w:rPr>
        <w:t xml:space="preserve"> and Southern Davao, sacred areas of the </w:t>
      </w:r>
      <w:proofErr w:type="spellStart"/>
      <w:r>
        <w:rPr>
          <w:sz w:val="24"/>
          <w:szCs w:val="24"/>
        </w:rPr>
        <w:t>Tagakaulo</w:t>
      </w:r>
      <w:proofErr w:type="spellEnd"/>
      <w:r>
        <w:rPr>
          <w:sz w:val="24"/>
          <w:szCs w:val="24"/>
        </w:rPr>
        <w:t xml:space="preserve"> are managed by the state’s DENR. Indigenous Peoples sacred sites, including practices, are significant not only in terms of cultural value and their spirituality but also for their role in biological conservation, ecological balance, and resilience.</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 xml:space="preserve">37. Language is a crucial identity marker, especially for Indigenous Peoples. Recent developments in Philippine law, such as RA 12027 (An </w:t>
      </w:r>
      <w:proofErr w:type="gramStart"/>
      <w:r>
        <w:rPr>
          <w:sz w:val="24"/>
          <w:szCs w:val="24"/>
        </w:rPr>
        <w:t>Act  Discontinuing</w:t>
      </w:r>
      <w:proofErr w:type="gramEnd"/>
      <w:r>
        <w:rPr>
          <w:sz w:val="24"/>
          <w:szCs w:val="24"/>
        </w:rPr>
        <w:t xml:space="preserve">  the Use of the Mother Tongue as Medium of Instruction from Kindergarten to Grade 3), threaten the preservation of indigenous languages and traditional knowledge by discontinuing their use as mediums of instruction in early education.</w:t>
      </w:r>
      <w:r>
        <w:rPr>
          <w:sz w:val="24"/>
          <w:szCs w:val="24"/>
        </w:rPr>
        <w:br/>
      </w:r>
      <w:r>
        <w:rPr>
          <w:sz w:val="24"/>
          <w:szCs w:val="24"/>
        </w:rPr>
        <w:br/>
        <w:t>38. Moreover, given that there is a general recognition that biodiversity and culture (including languages) are inextricably linked, the weakening of intergenerational transmission of indigenous knowledge can also be linked with the loss of native biodiversity. In the Philippines, there are 175 local Philippine languages, some of which are already considered endangered.</w:t>
      </w:r>
      <w:r>
        <w:rPr>
          <w:sz w:val="24"/>
          <w:szCs w:val="24"/>
          <w:vertAlign w:val="superscript"/>
        </w:rPr>
        <w:footnoteReference w:id="14"/>
      </w:r>
      <w:r>
        <w:rPr>
          <w:sz w:val="24"/>
          <w:szCs w:val="24"/>
        </w:rPr>
        <w:t xml:space="preserve">  </w:t>
      </w:r>
    </w:p>
    <w:p w:rsidR="00125BA4" w:rsidRDefault="00000000">
      <w:pPr>
        <w:spacing w:before="240" w:after="240"/>
        <w:rPr>
          <w:sz w:val="24"/>
          <w:szCs w:val="24"/>
        </w:rPr>
      </w:pPr>
      <w:r>
        <w:rPr>
          <w:sz w:val="24"/>
          <w:szCs w:val="24"/>
        </w:rPr>
        <w:t>39. The Indigenous Peoples’ Biodiversity Strategy and Action Plan</w:t>
      </w:r>
      <w:r>
        <w:rPr>
          <w:sz w:val="24"/>
          <w:szCs w:val="24"/>
          <w:vertAlign w:val="superscript"/>
        </w:rPr>
        <w:footnoteReference w:id="15"/>
      </w:r>
      <w:r>
        <w:rPr>
          <w:sz w:val="24"/>
          <w:szCs w:val="24"/>
        </w:rPr>
        <w:t xml:space="preserve"> (2024) further states that: </w:t>
      </w:r>
    </w:p>
    <w:p w:rsidR="00125BA4" w:rsidRDefault="00000000">
      <w:pPr>
        <w:spacing w:before="240" w:after="240"/>
        <w:ind w:left="720"/>
        <w:rPr>
          <w:sz w:val="24"/>
          <w:szCs w:val="24"/>
        </w:rPr>
      </w:pPr>
      <w:r>
        <w:rPr>
          <w:sz w:val="24"/>
          <w:szCs w:val="24"/>
        </w:rPr>
        <w:t>“The loss and weakening of indigenous knowledge and values on conservation and sustainable use of resources, and its subsequent lack of transmission to younger generations, is caused by many factors. One of these is the introduction of inappropriate external interventions in indigenous communities. While there are responsive programs and appropriate technologies that address the needs of indigenous communities, there are also those that are imposed or indiscriminately promoted, contributing to the weakening of indigenous practices and loss of native biodiversity. Such programs include mono-crop agriculture that is dependent on heavy chemical inputs (</w:t>
      </w:r>
      <w:proofErr w:type="gramStart"/>
      <w:r>
        <w:rPr>
          <w:sz w:val="24"/>
          <w:szCs w:val="24"/>
        </w:rPr>
        <w:t>i.e.</w:t>
      </w:r>
      <w:proofErr w:type="gramEnd"/>
      <w:r>
        <w:rPr>
          <w:sz w:val="24"/>
          <w:szCs w:val="24"/>
        </w:rPr>
        <w:t xml:space="preserve"> petrochemicals), distribution of high-yielding varieties, and genetically modified organisms. and invasive species (e.g., BT-Corn, golden apple snail, </w:t>
      </w:r>
      <w:proofErr w:type="spellStart"/>
      <w:r>
        <w:rPr>
          <w:sz w:val="24"/>
          <w:szCs w:val="24"/>
        </w:rPr>
        <w:t>etc</w:t>
      </w:r>
      <w:proofErr w:type="spellEnd"/>
      <w:r>
        <w:rPr>
          <w:sz w:val="24"/>
          <w:szCs w:val="24"/>
        </w:rPr>
        <w:t>). These changes have affected soil fertility and threatened the abundance of traditional varieties of crops in ancestral domains.”</w:t>
      </w:r>
    </w:p>
    <w:p w:rsidR="00125BA4" w:rsidRDefault="00125BA4">
      <w:pPr>
        <w:spacing w:before="240" w:after="240"/>
        <w:ind w:left="720"/>
        <w:rPr>
          <w:sz w:val="24"/>
          <w:szCs w:val="24"/>
        </w:rPr>
      </w:pPr>
    </w:p>
    <w:p w:rsidR="00125BA4" w:rsidRDefault="00125BA4">
      <w:pPr>
        <w:spacing w:before="240" w:after="240"/>
        <w:ind w:left="720"/>
        <w:rPr>
          <w:sz w:val="24"/>
          <w:szCs w:val="24"/>
        </w:rPr>
      </w:pPr>
    </w:p>
    <w:p w:rsidR="00125BA4" w:rsidRDefault="00000000">
      <w:pPr>
        <w:rPr>
          <w:b/>
          <w:sz w:val="24"/>
          <w:szCs w:val="24"/>
        </w:rPr>
      </w:pPr>
      <w:r>
        <w:rPr>
          <w:b/>
          <w:sz w:val="24"/>
          <w:szCs w:val="24"/>
        </w:rPr>
        <w:t>Recommendations</w:t>
      </w:r>
    </w:p>
    <w:p w:rsidR="00125BA4" w:rsidRDefault="00000000">
      <w:pPr>
        <w:rPr>
          <w:sz w:val="24"/>
          <w:szCs w:val="24"/>
        </w:rPr>
      </w:pPr>
      <w:r>
        <w:rPr>
          <w:sz w:val="24"/>
          <w:szCs w:val="24"/>
        </w:rPr>
        <w:t xml:space="preserve"> </w:t>
      </w:r>
    </w:p>
    <w:p w:rsidR="00125BA4" w:rsidRDefault="00000000">
      <w:pPr>
        <w:rPr>
          <w:b/>
          <w:sz w:val="24"/>
          <w:szCs w:val="24"/>
        </w:rPr>
      </w:pPr>
      <w:r>
        <w:rPr>
          <w:b/>
          <w:sz w:val="24"/>
          <w:szCs w:val="24"/>
        </w:rPr>
        <w:t>Addressing Conflicting Laws and Policies Impacting Ancestral Domains</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40. The material basis of indigenous economies that sustains and ensures basic livelihoods, including income to support basic needs for an adequate standard of living, is rooted in the Indigenous Peoples ancestral domains. These need to be secured by respecting their collective rights, including their right to manage and control land and resource use. There is a need to substantively operationalize the UNDRIP through the IPRA. Indigenous Peoples have long identified conflicting laws, tenurial instruments, and programs, such as the Philippine Mining Act of 1995, National Integrated Protected Areas System (NIPAS) Act of 1992, Comprehensive Agrarian Reform Law (CARL) of 1988 or RA No. 6657, Community Based Forest Management Agreement (CBMFA), and Joint DAR-DENR-LRA-NCIP Administrative Order No. 01-12, among others, that continue to significantly impact the status of their lands and territories. They have been calling for legal and policy reform consistent with the IPRA. This includes the 2020 “Anti-Terrorism Law” or RA 11479, which puts indigenous peoples and their communities’ dissent as acts of terrorism. These not only impair Indigenous Peoples capacities to pursue their economic, social, and cultural activities but more significantly put them at risk.</w:t>
      </w:r>
    </w:p>
    <w:p w:rsidR="00125BA4" w:rsidRDefault="00125BA4">
      <w:pPr>
        <w:rPr>
          <w:sz w:val="24"/>
          <w:szCs w:val="24"/>
        </w:rPr>
      </w:pPr>
    </w:p>
    <w:p w:rsidR="00125BA4" w:rsidRDefault="00000000">
      <w:pPr>
        <w:rPr>
          <w:sz w:val="24"/>
          <w:szCs w:val="24"/>
        </w:rPr>
      </w:pPr>
      <w:r>
        <w:rPr>
          <w:sz w:val="24"/>
          <w:szCs w:val="24"/>
        </w:rPr>
        <w:t>Specifically:</w:t>
      </w:r>
    </w:p>
    <w:p w:rsidR="00125BA4" w:rsidRDefault="00125BA4">
      <w:pPr>
        <w:rPr>
          <w:sz w:val="24"/>
          <w:szCs w:val="24"/>
        </w:rPr>
      </w:pPr>
    </w:p>
    <w:p w:rsidR="00125BA4" w:rsidRDefault="00000000">
      <w:pPr>
        <w:rPr>
          <w:sz w:val="24"/>
          <w:szCs w:val="24"/>
        </w:rPr>
      </w:pPr>
      <w:r>
        <w:rPr>
          <w:sz w:val="24"/>
          <w:szCs w:val="24"/>
        </w:rPr>
        <w:t xml:space="preserve">     </w:t>
      </w:r>
      <w:r>
        <w:rPr>
          <w:sz w:val="24"/>
          <w:szCs w:val="24"/>
        </w:rPr>
        <w:tab/>
        <w:t>41. Fast-track the processing and recognition of CADTs applications.</w:t>
      </w:r>
    </w:p>
    <w:p w:rsidR="00125BA4" w:rsidRDefault="00000000">
      <w:pPr>
        <w:rPr>
          <w:sz w:val="24"/>
          <w:szCs w:val="24"/>
        </w:rPr>
      </w:pPr>
      <w:r>
        <w:rPr>
          <w:sz w:val="24"/>
          <w:szCs w:val="24"/>
        </w:rPr>
        <w:t xml:space="preserve">     </w:t>
      </w:r>
      <w:r>
        <w:rPr>
          <w:sz w:val="24"/>
          <w:szCs w:val="24"/>
        </w:rPr>
        <w:tab/>
        <w:t xml:space="preserve">42. Respect Indigenous Peoples rights to FPIC and self-determination by holding at bay all external interventions that may impact their lives (e.g., hydropower dams, extractive industries including energy transition minerals, </w:t>
      </w:r>
      <w:proofErr w:type="spellStart"/>
      <w:r>
        <w:rPr>
          <w:sz w:val="24"/>
          <w:szCs w:val="24"/>
        </w:rPr>
        <w:t>agroindustrial</w:t>
      </w:r>
      <w:proofErr w:type="spellEnd"/>
      <w:r>
        <w:rPr>
          <w:sz w:val="24"/>
          <w:szCs w:val="24"/>
        </w:rPr>
        <w:t xml:space="preserve"> concessions, and renewal of existing licenses like IFMA, CBFM, ISF, etc.) until Indigenous Peoples concerned consent.</w:t>
      </w:r>
    </w:p>
    <w:p w:rsidR="00125BA4" w:rsidRDefault="00000000">
      <w:pPr>
        <w:rPr>
          <w:sz w:val="24"/>
          <w:szCs w:val="24"/>
        </w:rPr>
      </w:pPr>
      <w:r>
        <w:rPr>
          <w:sz w:val="24"/>
          <w:szCs w:val="24"/>
        </w:rPr>
        <w:t xml:space="preserve">     </w:t>
      </w:r>
      <w:r>
        <w:rPr>
          <w:sz w:val="24"/>
          <w:szCs w:val="24"/>
        </w:rPr>
        <w:tab/>
        <w:t>43. Repeal unjust laws criminalizing Indigenous Peoples practices related to land, resources, and health.</w:t>
      </w:r>
    </w:p>
    <w:p w:rsidR="00125BA4" w:rsidRDefault="00000000">
      <w:pPr>
        <w:rPr>
          <w:sz w:val="24"/>
          <w:szCs w:val="24"/>
        </w:rPr>
      </w:pPr>
      <w:r>
        <w:rPr>
          <w:sz w:val="24"/>
          <w:szCs w:val="24"/>
        </w:rPr>
        <w:t xml:space="preserve">     </w:t>
      </w:r>
      <w:r>
        <w:rPr>
          <w:sz w:val="24"/>
          <w:szCs w:val="24"/>
        </w:rPr>
        <w:tab/>
        <w:t>44. Institutionalize a human-rights-based approach, culture, and gender-responsive measures in the enactment of policies and programs related to or affecting Indigenous Peoples.</w:t>
      </w:r>
    </w:p>
    <w:p w:rsidR="00125BA4" w:rsidRDefault="00000000">
      <w:pPr>
        <w:rPr>
          <w:sz w:val="24"/>
          <w:szCs w:val="24"/>
        </w:rPr>
      </w:pPr>
      <w:r>
        <w:rPr>
          <w:sz w:val="24"/>
          <w:szCs w:val="24"/>
        </w:rPr>
        <w:t xml:space="preserve">     </w:t>
      </w:r>
      <w:r>
        <w:rPr>
          <w:sz w:val="24"/>
          <w:szCs w:val="24"/>
        </w:rPr>
        <w:tab/>
        <w:t>45. Urge the state to look into the dire situation of economic, social, and cultural rights of the non-Moro Indigenous Peoples in the BARMM who continue to live amidst conflict and climate-induced disaster, which prevents them from further pursuing their development.</w:t>
      </w:r>
    </w:p>
    <w:p w:rsidR="00125BA4" w:rsidRDefault="00125BA4">
      <w:pPr>
        <w:rPr>
          <w:sz w:val="24"/>
          <w:szCs w:val="24"/>
        </w:rPr>
      </w:pPr>
    </w:p>
    <w:p w:rsidR="00125BA4" w:rsidRDefault="00000000">
      <w:pPr>
        <w:rPr>
          <w:sz w:val="24"/>
          <w:szCs w:val="24"/>
        </w:rPr>
      </w:pPr>
      <w:r>
        <w:rPr>
          <w:sz w:val="24"/>
          <w:szCs w:val="24"/>
        </w:rPr>
        <w:lastRenderedPageBreak/>
        <w:t xml:space="preserve">46. Recognize and Promote Indigenous Knowledge Systems and Practices (IKSP) and indigenous resource governance systems. The </w:t>
      </w:r>
      <w:proofErr w:type="spellStart"/>
      <w:r>
        <w:rPr>
          <w:i/>
          <w:sz w:val="24"/>
          <w:szCs w:val="24"/>
        </w:rPr>
        <w:t>sulagad</w:t>
      </w:r>
      <w:proofErr w:type="spellEnd"/>
      <w:r>
        <w:rPr>
          <w:sz w:val="24"/>
          <w:szCs w:val="24"/>
        </w:rPr>
        <w:t xml:space="preserve"> and the </w:t>
      </w:r>
      <w:r>
        <w:rPr>
          <w:i/>
          <w:sz w:val="24"/>
          <w:szCs w:val="24"/>
        </w:rPr>
        <w:t>um-a</w:t>
      </w:r>
      <w:r>
        <w:rPr>
          <w:sz w:val="24"/>
          <w:szCs w:val="24"/>
        </w:rPr>
        <w:t xml:space="preserve">, for example, are traditional agroforestry systems of the </w:t>
      </w:r>
      <w:proofErr w:type="spellStart"/>
      <w:r>
        <w:rPr>
          <w:sz w:val="24"/>
          <w:szCs w:val="24"/>
        </w:rPr>
        <w:t>Tedurays</w:t>
      </w:r>
      <w:proofErr w:type="spellEnd"/>
      <w:r>
        <w:rPr>
          <w:sz w:val="24"/>
          <w:szCs w:val="24"/>
        </w:rPr>
        <w:t xml:space="preserve"> and </w:t>
      </w:r>
      <w:proofErr w:type="spellStart"/>
      <w:r>
        <w:rPr>
          <w:sz w:val="24"/>
          <w:szCs w:val="24"/>
        </w:rPr>
        <w:t>Lambiangans</w:t>
      </w:r>
      <w:proofErr w:type="spellEnd"/>
      <w:r>
        <w:rPr>
          <w:sz w:val="24"/>
          <w:szCs w:val="24"/>
        </w:rPr>
        <w:t xml:space="preserve">, and the </w:t>
      </w:r>
      <w:proofErr w:type="spellStart"/>
      <w:r>
        <w:rPr>
          <w:sz w:val="24"/>
          <w:szCs w:val="24"/>
        </w:rPr>
        <w:t>Kankana-eys</w:t>
      </w:r>
      <w:proofErr w:type="spellEnd"/>
      <w:r>
        <w:rPr>
          <w:sz w:val="24"/>
          <w:szCs w:val="24"/>
        </w:rPr>
        <w:t xml:space="preserve">, respectively. Resource use in these systems is governed by indigenous values of reciprocity with land and nature and stewardship for the future generation. State agencies should support and strengthen these and be more critical of </w:t>
      </w:r>
      <w:proofErr w:type="gramStart"/>
      <w:r>
        <w:rPr>
          <w:sz w:val="24"/>
          <w:szCs w:val="24"/>
        </w:rPr>
        <w:t>introducing  new</w:t>
      </w:r>
      <w:proofErr w:type="gramEnd"/>
      <w:r>
        <w:rPr>
          <w:sz w:val="24"/>
          <w:szCs w:val="24"/>
        </w:rPr>
        <w:t xml:space="preserve"> species and varieties and/or technologies  in their effort to propel economic development in Indigenous Peoples’ communities.</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 xml:space="preserve">47. </w:t>
      </w:r>
      <w:r>
        <w:rPr>
          <w:b/>
          <w:sz w:val="24"/>
          <w:szCs w:val="24"/>
        </w:rPr>
        <w:t>Indigenous Peoples’ Representation:</w:t>
      </w:r>
      <w:r>
        <w:rPr>
          <w:sz w:val="24"/>
          <w:szCs w:val="24"/>
        </w:rPr>
        <w:t xml:space="preserve"> Institutionalize Indigenous Peoples representation, inclusive of </w:t>
      </w:r>
      <w:proofErr w:type="gramStart"/>
      <w:r>
        <w:rPr>
          <w:sz w:val="24"/>
          <w:szCs w:val="24"/>
        </w:rPr>
        <w:t>women,  in</w:t>
      </w:r>
      <w:proofErr w:type="gramEnd"/>
      <w:r>
        <w:rPr>
          <w:sz w:val="24"/>
          <w:szCs w:val="24"/>
        </w:rPr>
        <w:t xml:space="preserve"> governance  and management bodies related to all matters that affect them </w:t>
      </w:r>
      <w:proofErr w:type="spellStart"/>
      <w:r>
        <w:rPr>
          <w:sz w:val="24"/>
          <w:szCs w:val="24"/>
        </w:rPr>
        <w:t>i.e</w:t>
      </w:r>
      <w:proofErr w:type="spellEnd"/>
      <w:r>
        <w:rPr>
          <w:sz w:val="24"/>
          <w:szCs w:val="24"/>
        </w:rPr>
        <w:t xml:space="preserve"> design and delivery of social services, health and education programs land and  environment, including forests and marine protected </w:t>
      </w:r>
      <w:proofErr w:type="spellStart"/>
      <w:r>
        <w:rPr>
          <w:sz w:val="24"/>
          <w:szCs w:val="24"/>
        </w:rPr>
        <w:t>areas.This</w:t>
      </w:r>
      <w:proofErr w:type="spellEnd"/>
      <w:r>
        <w:rPr>
          <w:sz w:val="24"/>
          <w:szCs w:val="24"/>
        </w:rPr>
        <w:t xml:space="preserve"> is aside from the recently promulgated Indigenous Peoples Mandatory Representatives  (IPMRs) in the local government units. While this step ensures participation, representation is a challenge as the position has become politicized.</w:t>
      </w:r>
      <w:r>
        <w:rPr>
          <w:sz w:val="24"/>
          <w:szCs w:val="24"/>
          <w:vertAlign w:val="superscript"/>
        </w:rPr>
        <w:footnoteReference w:id="16"/>
      </w:r>
      <w:r>
        <w:rPr>
          <w:sz w:val="24"/>
          <w:szCs w:val="24"/>
        </w:rPr>
        <w:t xml:space="preserve"> We call for the government agencies concerned to clarify the roles of IPMRs and strengthen their capacities to effectively engage as Indigenous Peoples representatives in local governance bodies, specifically in policy reforms and development design and planning aligned to the IPRA.</w:t>
      </w:r>
    </w:p>
    <w:p w:rsidR="00125BA4" w:rsidRDefault="00125BA4">
      <w:pPr>
        <w:rPr>
          <w:sz w:val="24"/>
          <w:szCs w:val="24"/>
        </w:rPr>
      </w:pPr>
    </w:p>
    <w:p w:rsidR="00125BA4" w:rsidRDefault="00000000">
      <w:pPr>
        <w:rPr>
          <w:sz w:val="24"/>
          <w:szCs w:val="24"/>
        </w:rPr>
      </w:pPr>
      <w:r>
        <w:rPr>
          <w:sz w:val="24"/>
          <w:szCs w:val="24"/>
        </w:rPr>
        <w:t xml:space="preserve">48. </w:t>
      </w:r>
      <w:r>
        <w:rPr>
          <w:b/>
          <w:sz w:val="24"/>
          <w:szCs w:val="24"/>
        </w:rPr>
        <w:t xml:space="preserve">Collaborative </w:t>
      </w:r>
      <w:proofErr w:type="gramStart"/>
      <w:r>
        <w:rPr>
          <w:b/>
          <w:sz w:val="24"/>
          <w:szCs w:val="24"/>
        </w:rPr>
        <w:t>Governance:</w:t>
      </w:r>
      <w:r>
        <w:rPr>
          <w:sz w:val="24"/>
          <w:szCs w:val="24"/>
        </w:rPr>
        <w:t>.</w:t>
      </w:r>
      <w:proofErr w:type="gramEnd"/>
      <w:r>
        <w:rPr>
          <w:sz w:val="24"/>
          <w:szCs w:val="24"/>
        </w:rPr>
        <w:t xml:space="preserve"> Support and promote indigenous-led initiatives and plans, such as the Indigenous Peoples’ Biodiversity Strategy and Action Plan (IPBSAP).</w:t>
      </w:r>
    </w:p>
    <w:p w:rsidR="00125BA4" w:rsidRDefault="00000000">
      <w:pPr>
        <w:rPr>
          <w:sz w:val="24"/>
          <w:szCs w:val="24"/>
        </w:rPr>
      </w:pPr>
      <w:r>
        <w:rPr>
          <w:sz w:val="24"/>
          <w:szCs w:val="24"/>
        </w:rPr>
        <w:t xml:space="preserve">  </w:t>
      </w:r>
    </w:p>
    <w:p w:rsidR="00125BA4" w:rsidRDefault="00000000">
      <w:pPr>
        <w:rPr>
          <w:b/>
          <w:sz w:val="24"/>
          <w:szCs w:val="24"/>
        </w:rPr>
      </w:pPr>
      <w:r>
        <w:rPr>
          <w:b/>
          <w:sz w:val="24"/>
          <w:szCs w:val="24"/>
        </w:rPr>
        <w:t>Development Projects Impacting the Peoples and Environment</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 xml:space="preserve">49. </w:t>
      </w:r>
      <w:r>
        <w:rPr>
          <w:b/>
          <w:sz w:val="24"/>
          <w:szCs w:val="24"/>
        </w:rPr>
        <w:t>Transparency in FPIC:</w:t>
      </w:r>
      <w:r>
        <w:rPr>
          <w:sz w:val="24"/>
          <w:szCs w:val="24"/>
        </w:rPr>
        <w:t xml:space="preserve"> Ensure transparency and genuine community participation inclusive of women and youth in Free, Prior, and Informed Consent (FPIC) processes for projects such as farm-to-market roads and plantations, among many development projects in indigenous communities. The state must ensure full disclosure of project design, benefits, and risks. Indigenous Peoples have also cited gaps and flaws in the FPIC as operationalized, resulting in discord in communities.</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 xml:space="preserve">50. Strengthen state due diligence and accountability to Indigenous Peoples by </w:t>
      </w:r>
      <w:proofErr w:type="gramStart"/>
      <w:r>
        <w:rPr>
          <w:sz w:val="24"/>
          <w:szCs w:val="24"/>
        </w:rPr>
        <w:t>institutionalizing  participative</w:t>
      </w:r>
      <w:proofErr w:type="gramEnd"/>
      <w:r>
        <w:rPr>
          <w:sz w:val="24"/>
          <w:szCs w:val="24"/>
        </w:rPr>
        <w:t xml:space="preserve"> and transparent project/program monitoring systems and independent and accessible grievance mechanisms</w:t>
      </w:r>
      <w:r>
        <w:rPr>
          <w:b/>
          <w:sz w:val="24"/>
          <w:szCs w:val="24"/>
        </w:rPr>
        <w:t xml:space="preserve">. </w:t>
      </w:r>
      <w:r>
        <w:rPr>
          <w:sz w:val="24"/>
          <w:szCs w:val="24"/>
        </w:rPr>
        <w:t xml:space="preserve">The multidimensional risks and </w:t>
      </w:r>
      <w:r>
        <w:rPr>
          <w:sz w:val="24"/>
          <w:szCs w:val="24"/>
        </w:rPr>
        <w:lastRenderedPageBreak/>
        <w:t xml:space="preserve">impacts of extractive industries, oil palm plantations, resettlement projects, </w:t>
      </w:r>
      <w:proofErr w:type="spellStart"/>
      <w:r>
        <w:rPr>
          <w:sz w:val="24"/>
          <w:szCs w:val="24"/>
        </w:rPr>
        <w:t>agroindustries</w:t>
      </w:r>
      <w:proofErr w:type="spellEnd"/>
      <w:r>
        <w:rPr>
          <w:sz w:val="24"/>
          <w:szCs w:val="24"/>
        </w:rPr>
        <w:t xml:space="preserve"> and agrochemicals, among others, should </w:t>
      </w:r>
      <w:proofErr w:type="gramStart"/>
      <w:r>
        <w:rPr>
          <w:sz w:val="24"/>
          <w:szCs w:val="24"/>
        </w:rPr>
        <w:t>be  fully</w:t>
      </w:r>
      <w:proofErr w:type="gramEnd"/>
      <w:r>
        <w:rPr>
          <w:sz w:val="24"/>
          <w:szCs w:val="24"/>
        </w:rPr>
        <w:t xml:space="preserve"> taken into account.   </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 xml:space="preserve">51. </w:t>
      </w:r>
      <w:r>
        <w:rPr>
          <w:b/>
          <w:sz w:val="24"/>
          <w:szCs w:val="24"/>
        </w:rPr>
        <w:t>Community Empowerment:</w:t>
      </w:r>
      <w:r>
        <w:rPr>
          <w:sz w:val="24"/>
          <w:szCs w:val="24"/>
        </w:rPr>
        <w:t xml:space="preserve"> Strengthen Indigenous Peoples capacity to assert their rights under Section 58 of IPRA and integrate ADSDPPs into government land use and development plans. Strengthen access and delivery of social services </w:t>
      </w:r>
      <w:proofErr w:type="spellStart"/>
      <w:r>
        <w:rPr>
          <w:sz w:val="24"/>
          <w:szCs w:val="24"/>
        </w:rPr>
        <w:t>i.e</w:t>
      </w:r>
      <w:proofErr w:type="spellEnd"/>
      <w:r>
        <w:rPr>
          <w:sz w:val="24"/>
          <w:szCs w:val="24"/>
        </w:rPr>
        <w:t xml:space="preserve"> infrastructure, such as farm-to-market roads, with FPIC from affected communities, and provide resources to mitigate the impacts of climate change on indigenous livelihoods. Simplify the permitting process for indigenous forest-dependent communities harvesting NTFPs and provide financial and technical support for the further development and sustenance of these traditional livelihoods.</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52.</w:t>
      </w:r>
      <w:r>
        <w:rPr>
          <w:b/>
          <w:sz w:val="24"/>
          <w:szCs w:val="24"/>
        </w:rPr>
        <w:t xml:space="preserve"> Data Collection and Recognition:</w:t>
      </w:r>
      <w:r>
        <w:rPr>
          <w:sz w:val="24"/>
          <w:szCs w:val="24"/>
        </w:rPr>
        <w:t xml:space="preserve"> Implement comprehensive mechanisms to collect disaggregated data on Indigenous Peoples, specially by ethnicity and gender, and ensure their self-identification is respected in all government databases. The state should also strengthen collaboration with stakeholders to consolidate and share data on development projects affecting ancestral domains.</w:t>
      </w:r>
    </w:p>
    <w:p w:rsidR="00125BA4" w:rsidRDefault="00000000">
      <w:pPr>
        <w:rPr>
          <w:sz w:val="24"/>
          <w:szCs w:val="24"/>
        </w:rPr>
      </w:pPr>
      <w:r>
        <w:rPr>
          <w:sz w:val="24"/>
          <w:szCs w:val="24"/>
        </w:rPr>
        <w:t xml:space="preserve"> </w:t>
      </w:r>
    </w:p>
    <w:p w:rsidR="00125BA4" w:rsidRDefault="00000000">
      <w:pPr>
        <w:rPr>
          <w:sz w:val="24"/>
          <w:szCs w:val="24"/>
        </w:rPr>
      </w:pPr>
      <w:r>
        <w:rPr>
          <w:sz w:val="24"/>
          <w:szCs w:val="24"/>
        </w:rPr>
        <w:t>53.</w:t>
      </w:r>
      <w:r>
        <w:rPr>
          <w:b/>
          <w:sz w:val="24"/>
          <w:szCs w:val="24"/>
        </w:rPr>
        <w:t xml:space="preserve"> Cultural Preservation:</w:t>
      </w:r>
      <w:r>
        <w:rPr>
          <w:sz w:val="24"/>
          <w:szCs w:val="24"/>
        </w:rPr>
        <w:t xml:space="preserve"> Repeal RA 12027 or “An </w:t>
      </w:r>
      <w:proofErr w:type="gramStart"/>
      <w:r>
        <w:rPr>
          <w:sz w:val="24"/>
          <w:szCs w:val="24"/>
        </w:rPr>
        <w:t>Act  Discontinuing</w:t>
      </w:r>
      <w:proofErr w:type="gramEnd"/>
      <w:r>
        <w:rPr>
          <w:sz w:val="24"/>
          <w:szCs w:val="24"/>
        </w:rPr>
        <w:t xml:space="preserve">  the Use of the Mother Tongue as Medium of Instruction from Kindergarten to Grade 3.” Instead, reinstate and support mother-tongue instruction in early education and support the preservation of indigenous languages. Further, the state should </w:t>
      </w:r>
      <w:proofErr w:type="gramStart"/>
      <w:r>
        <w:rPr>
          <w:sz w:val="24"/>
          <w:szCs w:val="24"/>
        </w:rPr>
        <w:t>support  community</w:t>
      </w:r>
      <w:proofErr w:type="gramEnd"/>
      <w:r>
        <w:rPr>
          <w:sz w:val="24"/>
          <w:szCs w:val="24"/>
        </w:rPr>
        <w:t xml:space="preserve"> -based indigenous education  and initiatives grounded on indigenous language and knowledge, promote current tertiary level  indigenous studies initiatives  and  increase support for youth participation in traditional governance systems and cultural preservation activities.</w:t>
      </w:r>
    </w:p>
    <w:p w:rsidR="00125BA4" w:rsidRDefault="00125BA4">
      <w:pPr>
        <w:rPr>
          <w:sz w:val="24"/>
          <w:szCs w:val="24"/>
        </w:rPr>
      </w:pPr>
    </w:p>
    <w:p w:rsidR="00125BA4" w:rsidRDefault="00000000">
      <w:pPr>
        <w:rPr>
          <w:sz w:val="24"/>
          <w:szCs w:val="24"/>
        </w:rPr>
      </w:pPr>
      <w:r>
        <w:rPr>
          <w:sz w:val="24"/>
          <w:szCs w:val="24"/>
        </w:rPr>
        <w:t xml:space="preserve">54. </w:t>
      </w:r>
      <w:r>
        <w:rPr>
          <w:b/>
          <w:sz w:val="24"/>
          <w:szCs w:val="24"/>
        </w:rPr>
        <w:t>Health and other Social Services:</w:t>
      </w:r>
      <w:r>
        <w:rPr>
          <w:sz w:val="24"/>
          <w:szCs w:val="24"/>
        </w:rPr>
        <w:t xml:space="preserve"> Improve access to appropriate </w:t>
      </w:r>
      <w:proofErr w:type="gramStart"/>
      <w:r>
        <w:rPr>
          <w:sz w:val="24"/>
          <w:szCs w:val="24"/>
        </w:rPr>
        <w:t>information  and</w:t>
      </w:r>
      <w:proofErr w:type="gramEnd"/>
      <w:r>
        <w:rPr>
          <w:sz w:val="24"/>
          <w:szCs w:val="24"/>
        </w:rPr>
        <w:t xml:space="preserve"> culturally sensitive and gender responsive healthcare and other social services and recognize traditional healing practices. Institutionalize and </w:t>
      </w:r>
      <w:proofErr w:type="gramStart"/>
      <w:r>
        <w:rPr>
          <w:sz w:val="24"/>
          <w:szCs w:val="24"/>
        </w:rPr>
        <w:t>ensure  technical</w:t>
      </w:r>
      <w:proofErr w:type="gramEnd"/>
      <w:r>
        <w:rPr>
          <w:sz w:val="24"/>
          <w:szCs w:val="24"/>
        </w:rPr>
        <w:t xml:space="preserve"> services to ensure access by Indigenous Peoples in geographically isolated areas,  especially women, youth, elderly and persons with disabilities.</w:t>
      </w:r>
    </w:p>
    <w:p w:rsidR="00125BA4" w:rsidRDefault="00000000">
      <w:pPr>
        <w:rPr>
          <w:sz w:val="24"/>
          <w:szCs w:val="24"/>
        </w:rPr>
      </w:pPr>
      <w:r>
        <w:rPr>
          <w:sz w:val="24"/>
          <w:szCs w:val="24"/>
        </w:rPr>
        <w:t xml:space="preserve"> </w:t>
      </w:r>
    </w:p>
    <w:p w:rsidR="00125BA4" w:rsidRDefault="00000000">
      <w:pPr>
        <w:rPr>
          <w:b/>
          <w:sz w:val="24"/>
          <w:szCs w:val="24"/>
        </w:rPr>
      </w:pPr>
      <w:r>
        <w:rPr>
          <w:b/>
          <w:sz w:val="24"/>
          <w:szCs w:val="24"/>
        </w:rPr>
        <w:t>Conclusion</w:t>
      </w:r>
    </w:p>
    <w:p w:rsidR="00125BA4" w:rsidRDefault="00000000">
      <w:pPr>
        <w:spacing w:before="240" w:after="240"/>
        <w:rPr>
          <w:sz w:val="24"/>
          <w:szCs w:val="24"/>
        </w:rPr>
      </w:pPr>
      <w:r>
        <w:rPr>
          <w:sz w:val="24"/>
          <w:szCs w:val="24"/>
        </w:rPr>
        <w:t>55. Despite legal frameworks intended to protect Indigenous Peoples, significant gaps remain in their implementation. Tebtebba and UPAKAT urge the Committee to address these concerns to ensure the full realization of economic, social, and cultural rights for Indigenous Peoples in the Philippines.</w:t>
      </w:r>
    </w:p>
    <w:sectPr w:rsidR="00125BA4" w:rsidSect="00730861">
      <w:headerReference w:type="default" r:id="rId6"/>
      <w:pgSz w:w="12240" w:h="15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2B34" w:rsidRDefault="000A2B34">
      <w:pPr>
        <w:spacing w:line="240" w:lineRule="auto"/>
      </w:pPr>
      <w:r>
        <w:separator/>
      </w:r>
    </w:p>
  </w:endnote>
  <w:endnote w:type="continuationSeparator" w:id="0">
    <w:p w:rsidR="000A2B34" w:rsidRDefault="000A2B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2B34" w:rsidRDefault="000A2B34">
      <w:pPr>
        <w:spacing w:line="240" w:lineRule="auto"/>
      </w:pPr>
      <w:r>
        <w:separator/>
      </w:r>
    </w:p>
  </w:footnote>
  <w:footnote w:type="continuationSeparator" w:id="0">
    <w:p w:rsidR="000A2B34" w:rsidRDefault="000A2B34">
      <w:pPr>
        <w:spacing w:line="240" w:lineRule="auto"/>
      </w:pPr>
      <w:r>
        <w:continuationSeparator/>
      </w:r>
    </w:p>
  </w:footnote>
  <w:footnote w:id="1">
    <w:p w:rsidR="00125BA4" w:rsidRDefault="00000000">
      <w:pPr>
        <w:spacing w:line="240" w:lineRule="auto"/>
        <w:rPr>
          <w:sz w:val="20"/>
          <w:szCs w:val="20"/>
        </w:rPr>
      </w:pPr>
      <w:r>
        <w:rPr>
          <w:vertAlign w:val="superscript"/>
        </w:rPr>
        <w:footnoteRef/>
      </w:r>
      <w:r>
        <w:rPr>
          <w:sz w:val="20"/>
          <w:szCs w:val="20"/>
        </w:rPr>
        <w:t xml:space="preserve"> World Bank. (2024). No Data, No Story: Indigenous Peoples in the Philippines. </w:t>
      </w:r>
      <w:hyperlink r:id="rId1">
        <w:r>
          <w:rPr>
            <w:color w:val="1155CC"/>
            <w:sz w:val="20"/>
            <w:szCs w:val="20"/>
            <w:u w:val="single"/>
          </w:rPr>
          <w:t>https://thedocs.worldbank.org/en/doc/baa43cc91ec55266a538e9023c528bd7-0070062024/original/No-Data-No-Story-Indigenous-Peoples-in-the-Philippines.pdf</w:t>
        </w:r>
      </w:hyperlink>
      <w:r>
        <w:rPr>
          <w:sz w:val="20"/>
          <w:szCs w:val="20"/>
        </w:rPr>
        <w:t xml:space="preserve"> </w:t>
      </w:r>
    </w:p>
  </w:footnote>
  <w:footnote w:id="2">
    <w:p w:rsidR="00125BA4" w:rsidRDefault="00000000">
      <w:pPr>
        <w:spacing w:line="240" w:lineRule="auto"/>
        <w:rPr>
          <w:sz w:val="20"/>
          <w:szCs w:val="20"/>
        </w:rPr>
      </w:pPr>
      <w:r>
        <w:rPr>
          <w:vertAlign w:val="superscript"/>
        </w:rPr>
        <w:footnoteRef/>
      </w:r>
      <w:r>
        <w:rPr>
          <w:sz w:val="20"/>
          <w:szCs w:val="20"/>
        </w:rPr>
        <w:t xml:space="preserve"> Tebtebba. (2024). The Indigenous Navigator: Human Rights, Sustainable Development Goals and the Indigenous Peoples in the Philippines. </w:t>
      </w:r>
      <w:hyperlink r:id="rId2">
        <w:r>
          <w:rPr>
            <w:color w:val="1155CC"/>
            <w:sz w:val="20"/>
            <w:szCs w:val="20"/>
            <w:u w:val="single"/>
          </w:rPr>
          <w:t>https://indigenousnavigator.org/files/media/document/IN_Philippines_Report%20%28002%29.pdf</w:t>
        </w:r>
      </w:hyperlink>
      <w:r>
        <w:rPr>
          <w:sz w:val="20"/>
          <w:szCs w:val="20"/>
        </w:rPr>
        <w:t xml:space="preserve"> </w:t>
      </w:r>
    </w:p>
    <w:p w:rsidR="00125BA4" w:rsidRDefault="00125BA4">
      <w:pPr>
        <w:spacing w:line="240" w:lineRule="auto"/>
        <w:rPr>
          <w:sz w:val="20"/>
          <w:szCs w:val="20"/>
        </w:rPr>
      </w:pPr>
    </w:p>
  </w:footnote>
  <w:footnote w:id="3">
    <w:p w:rsidR="00125BA4" w:rsidRDefault="00000000">
      <w:pPr>
        <w:spacing w:line="240" w:lineRule="auto"/>
        <w:rPr>
          <w:sz w:val="20"/>
          <w:szCs w:val="20"/>
        </w:rPr>
      </w:pPr>
      <w:r>
        <w:rPr>
          <w:vertAlign w:val="superscript"/>
        </w:rPr>
        <w:footnoteRef/>
      </w:r>
      <w:r>
        <w:rPr>
          <w:sz w:val="20"/>
          <w:szCs w:val="20"/>
        </w:rPr>
        <w:t xml:space="preserve"> World Bank. (2024). No Data, No Story: Indigenous Peoples in the Philippines. </w:t>
      </w:r>
      <w:hyperlink r:id="rId3">
        <w:r>
          <w:rPr>
            <w:color w:val="1155CC"/>
            <w:sz w:val="20"/>
            <w:szCs w:val="20"/>
            <w:u w:val="single"/>
          </w:rPr>
          <w:t>https://thedocs.worldbank.org/en/doc/baa43cc91ec55266a538e9023c528bd7-0070062024/original/No-Data-No-Story-Indigenous-Peoples-in-the-Philippines.pdf</w:t>
        </w:r>
      </w:hyperlink>
      <w:r>
        <w:rPr>
          <w:sz w:val="20"/>
          <w:szCs w:val="20"/>
        </w:rPr>
        <w:t xml:space="preserve"> </w:t>
      </w:r>
    </w:p>
  </w:footnote>
  <w:footnote w:id="4">
    <w:p w:rsidR="00125BA4" w:rsidRDefault="00000000">
      <w:pPr>
        <w:spacing w:line="240" w:lineRule="auto"/>
        <w:rPr>
          <w:sz w:val="20"/>
          <w:szCs w:val="20"/>
        </w:rPr>
      </w:pPr>
      <w:r>
        <w:rPr>
          <w:vertAlign w:val="superscript"/>
        </w:rPr>
        <w:footnoteRef/>
      </w:r>
      <w:r>
        <w:rPr>
          <w:sz w:val="20"/>
          <w:szCs w:val="20"/>
        </w:rPr>
        <w:t xml:space="preserve"> </w:t>
      </w:r>
      <w:proofErr w:type="spellStart"/>
      <w:r>
        <w:rPr>
          <w:sz w:val="20"/>
          <w:szCs w:val="20"/>
        </w:rPr>
        <w:t>Guzom</w:t>
      </w:r>
      <w:proofErr w:type="spellEnd"/>
      <w:r>
        <w:rPr>
          <w:sz w:val="20"/>
          <w:szCs w:val="20"/>
        </w:rPr>
        <w:t xml:space="preserve">, </w:t>
      </w:r>
      <w:proofErr w:type="spellStart"/>
      <w:r>
        <w:rPr>
          <w:sz w:val="20"/>
          <w:szCs w:val="20"/>
        </w:rPr>
        <w:t>Iya</w:t>
      </w:r>
      <w:proofErr w:type="spellEnd"/>
      <w:r>
        <w:rPr>
          <w:sz w:val="20"/>
          <w:szCs w:val="20"/>
        </w:rPr>
        <w:t xml:space="preserve">. (2024). Big business allowed within waters where small fisherfolk fish, says SC. </w:t>
      </w:r>
      <w:hyperlink r:id="rId4">
        <w:r>
          <w:rPr>
            <w:color w:val="1155CC"/>
            <w:sz w:val="20"/>
            <w:szCs w:val="20"/>
            <w:u w:val="single"/>
          </w:rPr>
          <w:t>https://www.rappler.com/philippines/supreme-court-decision-commercial-fisher-allowed-municipal-waters/</w:t>
        </w:r>
      </w:hyperlink>
      <w:r>
        <w:rPr>
          <w:sz w:val="20"/>
          <w:szCs w:val="20"/>
        </w:rPr>
        <w:t xml:space="preserve"> </w:t>
      </w:r>
    </w:p>
    <w:p w:rsidR="00125BA4" w:rsidRDefault="00125BA4">
      <w:pPr>
        <w:spacing w:line="240" w:lineRule="auto"/>
        <w:rPr>
          <w:sz w:val="20"/>
          <w:szCs w:val="20"/>
        </w:rPr>
      </w:pPr>
    </w:p>
  </w:footnote>
  <w:footnote w:id="5">
    <w:p w:rsidR="00125BA4" w:rsidRDefault="00000000">
      <w:pPr>
        <w:spacing w:line="240" w:lineRule="auto"/>
        <w:rPr>
          <w:color w:val="1155CC"/>
          <w:sz w:val="20"/>
          <w:szCs w:val="20"/>
          <w:u w:val="single"/>
        </w:rPr>
      </w:pPr>
      <w:r>
        <w:rPr>
          <w:vertAlign w:val="superscript"/>
        </w:rPr>
        <w:footnoteRef/>
      </w:r>
      <w:r>
        <w:rPr>
          <w:sz w:val="20"/>
          <w:szCs w:val="20"/>
        </w:rPr>
        <w:t xml:space="preserve"> Indigenous Peoples &amp; Biodiversity Coalition Philippines. (2024). Indigenous Peoples’ Biodiversity Strategy and Action Plan (IPBSAP): An initiative.</w:t>
      </w:r>
      <w:hyperlink r:id="rId5">
        <w:r>
          <w:rPr>
            <w:sz w:val="20"/>
            <w:szCs w:val="20"/>
          </w:rPr>
          <w:t xml:space="preserve"> </w:t>
        </w:r>
      </w:hyperlink>
      <w:hyperlink r:id="rId6">
        <w:r>
          <w:rPr>
            <w:color w:val="1155CC"/>
            <w:sz w:val="20"/>
            <w:szCs w:val="20"/>
            <w:u w:val="single"/>
          </w:rPr>
          <w:t>https://drive.google.com/file/d/19lW98A_rloUHU9x8LlnxfV8xEABxkFWY/view</w:t>
        </w:r>
      </w:hyperlink>
    </w:p>
    <w:p w:rsidR="00125BA4" w:rsidRDefault="00125BA4">
      <w:pPr>
        <w:spacing w:line="240" w:lineRule="auto"/>
        <w:rPr>
          <w:sz w:val="20"/>
          <w:szCs w:val="20"/>
        </w:rPr>
      </w:pPr>
    </w:p>
  </w:footnote>
  <w:footnote w:id="6">
    <w:p w:rsidR="00125BA4" w:rsidRDefault="00000000">
      <w:pPr>
        <w:spacing w:line="240" w:lineRule="auto"/>
        <w:rPr>
          <w:sz w:val="20"/>
          <w:szCs w:val="20"/>
        </w:rPr>
      </w:pPr>
      <w:r>
        <w:rPr>
          <w:vertAlign w:val="superscript"/>
        </w:rPr>
        <w:footnoteRef/>
      </w:r>
      <w:r>
        <w:rPr>
          <w:sz w:val="20"/>
          <w:szCs w:val="20"/>
        </w:rPr>
        <w:t xml:space="preserve"> Tebtebba. (2024). The Indigenous Navigator: Human Rights, Sustainable Development Goals and the Indigenous Peoples in the Philippines. </w:t>
      </w:r>
      <w:hyperlink r:id="rId7">
        <w:r>
          <w:rPr>
            <w:color w:val="1155CC"/>
            <w:sz w:val="20"/>
            <w:szCs w:val="20"/>
            <w:u w:val="single"/>
          </w:rPr>
          <w:t>https://indigenousnavigator.org/files/media/document/IN_Philippines_Report%20%28002%29.pdf</w:t>
        </w:r>
      </w:hyperlink>
      <w:r>
        <w:rPr>
          <w:sz w:val="20"/>
          <w:szCs w:val="20"/>
        </w:rPr>
        <w:t xml:space="preserve"> </w:t>
      </w:r>
    </w:p>
  </w:footnote>
  <w:footnote w:id="7">
    <w:p w:rsidR="00125BA4" w:rsidRDefault="00000000">
      <w:pPr>
        <w:spacing w:line="240" w:lineRule="auto"/>
        <w:rPr>
          <w:sz w:val="20"/>
          <w:szCs w:val="20"/>
        </w:rPr>
      </w:pPr>
      <w:r>
        <w:rPr>
          <w:vertAlign w:val="superscript"/>
        </w:rPr>
        <w:footnoteRef/>
      </w:r>
      <w:r>
        <w:rPr>
          <w:sz w:val="20"/>
          <w:szCs w:val="20"/>
        </w:rPr>
        <w:t xml:space="preserve"> WWF et al. (2021). The State of Indigenous Peoples and Local Communities’ Lands and Territories. </w:t>
      </w:r>
    </w:p>
  </w:footnote>
  <w:footnote w:id="8">
    <w:p w:rsidR="00125BA4" w:rsidRDefault="00000000">
      <w:pPr>
        <w:spacing w:line="240" w:lineRule="auto"/>
        <w:rPr>
          <w:sz w:val="20"/>
          <w:szCs w:val="20"/>
        </w:rPr>
      </w:pPr>
      <w:r>
        <w:rPr>
          <w:vertAlign w:val="superscript"/>
        </w:rPr>
        <w:footnoteRef/>
      </w:r>
      <w:r>
        <w:rPr>
          <w:sz w:val="20"/>
          <w:szCs w:val="20"/>
        </w:rPr>
        <w:t xml:space="preserve"> </w:t>
      </w:r>
      <w:proofErr w:type="spellStart"/>
      <w:r>
        <w:rPr>
          <w:sz w:val="20"/>
          <w:szCs w:val="20"/>
        </w:rPr>
        <w:t>Taqueban</w:t>
      </w:r>
      <w:proofErr w:type="spellEnd"/>
      <w:r>
        <w:rPr>
          <w:sz w:val="20"/>
          <w:szCs w:val="20"/>
        </w:rPr>
        <w:t>, E.M. and Dulce, L. (December 2023). State of Indigenous Peoples Address 2023 Report. Legal Rights and Natural Resources Center. https://www.lrcksk.org/publications</w:t>
      </w:r>
    </w:p>
  </w:footnote>
  <w:footnote w:id="9">
    <w:p w:rsidR="00125BA4" w:rsidRDefault="00000000">
      <w:pPr>
        <w:spacing w:line="240" w:lineRule="auto"/>
        <w:rPr>
          <w:sz w:val="20"/>
          <w:szCs w:val="20"/>
        </w:rPr>
      </w:pPr>
      <w:r>
        <w:rPr>
          <w:vertAlign w:val="superscript"/>
        </w:rPr>
        <w:footnoteRef/>
      </w:r>
      <w:r>
        <w:rPr>
          <w:sz w:val="20"/>
          <w:szCs w:val="20"/>
        </w:rPr>
        <w:t xml:space="preserve"> WWF et al. (2021). The State of Indigenous Peoples and Local Communities’ Lands and Territories. </w:t>
      </w:r>
    </w:p>
  </w:footnote>
  <w:footnote w:id="10">
    <w:p w:rsidR="00125BA4" w:rsidRDefault="00000000">
      <w:pPr>
        <w:spacing w:line="240" w:lineRule="auto"/>
        <w:rPr>
          <w:sz w:val="20"/>
          <w:szCs w:val="20"/>
        </w:rPr>
      </w:pPr>
      <w:r>
        <w:rPr>
          <w:vertAlign w:val="superscript"/>
        </w:rPr>
        <w:footnoteRef/>
      </w:r>
      <w:r>
        <w:rPr>
          <w:sz w:val="20"/>
          <w:szCs w:val="20"/>
        </w:rPr>
        <w:t xml:space="preserve"> </w:t>
      </w:r>
      <w:proofErr w:type="spellStart"/>
      <w:r>
        <w:rPr>
          <w:sz w:val="20"/>
          <w:szCs w:val="20"/>
        </w:rPr>
        <w:t>Taqueban</w:t>
      </w:r>
      <w:proofErr w:type="spellEnd"/>
      <w:r>
        <w:rPr>
          <w:sz w:val="20"/>
          <w:szCs w:val="20"/>
        </w:rPr>
        <w:t>, E.M. and Dulce, L. (December 2023). State of Indigenous Peoples Address 2023 Report. Legal Rights and Natural Resources Center. https://www.lrcksk.org/publications</w:t>
      </w:r>
    </w:p>
  </w:footnote>
  <w:footnote w:id="11">
    <w:p w:rsidR="00125BA4" w:rsidRDefault="00000000">
      <w:pPr>
        <w:spacing w:line="240" w:lineRule="auto"/>
        <w:rPr>
          <w:sz w:val="20"/>
          <w:szCs w:val="20"/>
        </w:rPr>
      </w:pPr>
      <w:r>
        <w:rPr>
          <w:vertAlign w:val="superscript"/>
        </w:rPr>
        <w:footnoteRef/>
      </w:r>
      <w:r>
        <w:rPr>
          <w:sz w:val="20"/>
          <w:szCs w:val="20"/>
        </w:rPr>
        <w:t xml:space="preserve"> Indigenous Peoples &amp; Biodiversity Coalition Philippines. (2024). Indigenous Peoples’ Biodiversity Strategy and Action Plan (IPBSAP): An initiative.</w:t>
      </w:r>
    </w:p>
  </w:footnote>
  <w:footnote w:id="12">
    <w:p w:rsidR="00125BA4" w:rsidRDefault="00000000">
      <w:pPr>
        <w:spacing w:line="240" w:lineRule="auto"/>
        <w:rPr>
          <w:sz w:val="20"/>
          <w:szCs w:val="20"/>
        </w:rPr>
      </w:pPr>
      <w:r>
        <w:rPr>
          <w:vertAlign w:val="superscript"/>
        </w:rPr>
        <w:footnoteRef/>
      </w:r>
      <w:r>
        <w:rPr>
          <w:sz w:val="20"/>
          <w:szCs w:val="20"/>
        </w:rPr>
        <w:t xml:space="preserve"> See Facebook Page at </w:t>
      </w:r>
      <w:hyperlink r:id="rId8">
        <w:r>
          <w:rPr>
            <w:color w:val="1155CC"/>
            <w:sz w:val="20"/>
            <w:szCs w:val="20"/>
            <w:u w:val="single"/>
          </w:rPr>
          <w:t>https://www.facebook.com/tjg1995</w:t>
        </w:r>
      </w:hyperlink>
      <w:r>
        <w:rPr>
          <w:sz w:val="20"/>
          <w:szCs w:val="20"/>
        </w:rPr>
        <w:t>.</w:t>
      </w:r>
    </w:p>
  </w:footnote>
  <w:footnote w:id="13">
    <w:p w:rsidR="00125BA4" w:rsidRDefault="00000000">
      <w:pPr>
        <w:spacing w:line="240" w:lineRule="auto"/>
        <w:rPr>
          <w:sz w:val="20"/>
          <w:szCs w:val="20"/>
        </w:rPr>
      </w:pPr>
      <w:r>
        <w:rPr>
          <w:vertAlign w:val="superscript"/>
        </w:rPr>
        <w:footnoteRef/>
      </w:r>
      <w:r>
        <w:rPr>
          <w:sz w:val="20"/>
          <w:szCs w:val="20"/>
        </w:rPr>
        <w:t xml:space="preserve"> Tebtebba. (2024). The Indigenous Navigator: Human Rights, Sustainable Development Goals and the Indigenous Peoples in the Philippines. </w:t>
      </w:r>
      <w:hyperlink r:id="rId9">
        <w:r>
          <w:rPr>
            <w:color w:val="1155CC"/>
            <w:sz w:val="20"/>
            <w:szCs w:val="20"/>
            <w:u w:val="single"/>
          </w:rPr>
          <w:t>https://indigenousnavigator.org/files/media/document/IN_Philippines_Report%20%28002%29.pdf</w:t>
        </w:r>
      </w:hyperlink>
      <w:r>
        <w:rPr>
          <w:sz w:val="20"/>
          <w:szCs w:val="20"/>
        </w:rPr>
        <w:t xml:space="preserve"> </w:t>
      </w:r>
    </w:p>
  </w:footnote>
  <w:footnote w:id="14">
    <w:p w:rsidR="00125BA4" w:rsidRDefault="00000000">
      <w:pPr>
        <w:spacing w:line="240" w:lineRule="auto"/>
        <w:rPr>
          <w:sz w:val="20"/>
          <w:szCs w:val="20"/>
        </w:rPr>
      </w:pPr>
      <w:r>
        <w:rPr>
          <w:vertAlign w:val="superscript"/>
        </w:rPr>
        <w:footnoteRef/>
      </w:r>
      <w:r>
        <w:rPr>
          <w:sz w:val="20"/>
          <w:szCs w:val="20"/>
        </w:rPr>
        <w:t xml:space="preserve"> </w:t>
      </w:r>
      <w:r>
        <w:t xml:space="preserve">Eberhard, David M., Gary F. Simons, and Charles D. </w:t>
      </w:r>
      <w:proofErr w:type="spellStart"/>
      <w:r>
        <w:t>Fennig</w:t>
      </w:r>
      <w:proofErr w:type="spellEnd"/>
      <w:r>
        <w:t xml:space="preserve"> (eds.). (2024). </w:t>
      </w:r>
      <w:proofErr w:type="spellStart"/>
      <w:r>
        <w:t>Ethnologue</w:t>
      </w:r>
      <w:proofErr w:type="spellEnd"/>
      <w:r>
        <w:t xml:space="preserve">: Languages of the World. Twenty-seventh edition. Dallas, Texas: SIL International. Online version: </w:t>
      </w:r>
      <w:hyperlink r:id="rId10">
        <w:r>
          <w:rPr>
            <w:color w:val="1155CC"/>
            <w:u w:val="single"/>
          </w:rPr>
          <w:t>http://www.ethnologue.com</w:t>
        </w:r>
      </w:hyperlink>
      <w:r>
        <w:t xml:space="preserve"> </w:t>
      </w:r>
    </w:p>
  </w:footnote>
  <w:footnote w:id="15">
    <w:p w:rsidR="00125BA4" w:rsidRDefault="00000000">
      <w:pPr>
        <w:spacing w:line="240" w:lineRule="auto"/>
        <w:rPr>
          <w:sz w:val="20"/>
          <w:szCs w:val="20"/>
        </w:rPr>
      </w:pPr>
      <w:r>
        <w:rPr>
          <w:vertAlign w:val="superscript"/>
        </w:rPr>
        <w:footnoteRef/>
      </w:r>
      <w:r>
        <w:rPr>
          <w:sz w:val="20"/>
          <w:szCs w:val="20"/>
        </w:rPr>
        <w:t xml:space="preserve"> Indigenous Peoples &amp; Biodiversity Coalition Philippines. (2024). Indigenous Peoples’ Biodiversity Strategy and Action Plan (IPBSAP): An initiative.</w:t>
      </w:r>
      <w:hyperlink r:id="rId11">
        <w:r>
          <w:rPr>
            <w:sz w:val="20"/>
            <w:szCs w:val="20"/>
          </w:rPr>
          <w:t xml:space="preserve"> </w:t>
        </w:r>
      </w:hyperlink>
      <w:hyperlink r:id="rId12">
        <w:r>
          <w:rPr>
            <w:color w:val="1155CC"/>
            <w:sz w:val="20"/>
            <w:szCs w:val="20"/>
            <w:u w:val="single"/>
          </w:rPr>
          <w:t>https://drive.google.com/file/d/19lW98A_rloUHU9x8LlnxfV8xEABxkFWY/view</w:t>
        </w:r>
      </w:hyperlink>
    </w:p>
  </w:footnote>
  <w:footnote w:id="16">
    <w:p w:rsidR="00125BA4" w:rsidRDefault="00000000">
      <w:pPr>
        <w:spacing w:line="240" w:lineRule="auto"/>
        <w:rPr>
          <w:sz w:val="20"/>
          <w:szCs w:val="20"/>
        </w:rPr>
      </w:pPr>
      <w:r>
        <w:rPr>
          <w:vertAlign w:val="superscript"/>
        </w:rPr>
        <w:footnoteRef/>
      </w:r>
      <w:r>
        <w:rPr>
          <w:sz w:val="20"/>
          <w:szCs w:val="20"/>
        </w:rPr>
        <w:t xml:space="preserve"> Tebtebba. (2024). The Indigenous Navigator: Human Rights, Sustainable Development Goals and the Indigenous Peoples in the Philippines. </w:t>
      </w:r>
      <w:hyperlink r:id="rId13">
        <w:r>
          <w:rPr>
            <w:color w:val="1155CC"/>
            <w:sz w:val="20"/>
            <w:szCs w:val="20"/>
            <w:u w:val="single"/>
          </w:rPr>
          <w:t>https://indigenousnavigator.org/files/media/document/IN_Philippines_Report%20%28002%29.pdf</w:t>
        </w:r>
      </w:hyperlink>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BA4" w:rsidRDefault="00125BA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A4"/>
    <w:rsid w:val="000A2B34"/>
    <w:rsid w:val="00125BA4"/>
    <w:rsid w:val="00730861"/>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4:docId w14:val="586F427B"/>
  <w15:docId w15:val="{A5260EA3-6D83-5A48-B486-C0A4C3B82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facebook.com/tjg1995" TargetMode="External"/><Relationship Id="rId13" Type="http://schemas.openxmlformats.org/officeDocument/2006/relationships/hyperlink" Target="https://indigenousnavigator.org/files/media/document/IN_Philippines_Report%20%28002%29.pdf" TargetMode="External"/><Relationship Id="rId3" Type="http://schemas.openxmlformats.org/officeDocument/2006/relationships/hyperlink" Target="https://thedocs.worldbank.org/en/doc/baa43cc91ec55266a538e9023c528bd7-0070062024/original/No-Data-No-Story-Indigenous-Peoples-in-the-Philippines.pdf" TargetMode="External"/><Relationship Id="rId7" Type="http://schemas.openxmlformats.org/officeDocument/2006/relationships/hyperlink" Target="https://indigenousnavigator.org/files/media/document/IN_Philippines_Report%20%28002%29.pdf" TargetMode="External"/><Relationship Id="rId12" Type="http://schemas.openxmlformats.org/officeDocument/2006/relationships/hyperlink" Target="https://drive.google.com/file/d/19lW98A_rloUHU9x8LlnxfV8xEABxkFWY/view" TargetMode="External"/><Relationship Id="rId2" Type="http://schemas.openxmlformats.org/officeDocument/2006/relationships/hyperlink" Target="https://indigenousnavigator.org/files/media/document/IN_Philippines_Report%20%28002%29.pdf" TargetMode="External"/><Relationship Id="rId1" Type="http://schemas.openxmlformats.org/officeDocument/2006/relationships/hyperlink" Target="https://thedocs.worldbank.org/en/doc/baa43cc91ec55266a538e9023c528bd7-0070062024/original/No-Data-No-Story-Indigenous-Peoples-in-the-Philippines.pdf" TargetMode="External"/><Relationship Id="rId6" Type="http://schemas.openxmlformats.org/officeDocument/2006/relationships/hyperlink" Target="https://drive.google.com/file/d/19lW98A_rloUHU9x8LlnxfV8xEABxkFWY/view" TargetMode="External"/><Relationship Id="rId11" Type="http://schemas.openxmlformats.org/officeDocument/2006/relationships/hyperlink" Target="https://drive.google.com/file/d/19lW98A_rloUHU9x8LlnxfV8xEABxkFWY/view" TargetMode="External"/><Relationship Id="rId5" Type="http://schemas.openxmlformats.org/officeDocument/2006/relationships/hyperlink" Target="https://drive.google.com/file/d/19lW98A_rloUHU9x8LlnxfV8xEABxkFWY/view" TargetMode="External"/><Relationship Id="rId10" Type="http://schemas.openxmlformats.org/officeDocument/2006/relationships/hyperlink" Target="http://www.ethnologue.com" TargetMode="External"/><Relationship Id="rId4" Type="http://schemas.openxmlformats.org/officeDocument/2006/relationships/hyperlink" Target="https://www.rappler.com/philippines/supreme-court-decision-commercial-fisher-allowed-municipal-waters/" TargetMode="External"/><Relationship Id="rId9" Type="http://schemas.openxmlformats.org/officeDocument/2006/relationships/hyperlink" Target="https://indigenousnavigator.org/files/media/document/IN_Philippines_Report%20%28002%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14</Pages>
  <Words>4239</Words>
  <Characters>24166</Characters>
  <Application>Microsoft Office Word</Application>
  <DocSecurity>0</DocSecurity>
  <Lines>201</Lines>
  <Paragraphs>56</Paragraphs>
  <ScaleCrop>false</ScaleCrop>
  <Company/>
  <LinksUpToDate>false</LinksUpToDate>
  <CharactersWithSpaces>28349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mitch teofilo</cp:lastModifiedBy>
  <cp:revision>2</cp:revision>
  <dcterms:created xsi:type="dcterms:W3CDTF">2025-01-15T14:13:00Z</dcterms:created>
  <dcterms:modified xsi:type="dcterms:W3CDTF">2025-01-15T14:13:00Z</dcterms:modified>
</cp:coreProperties>
</file>