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C127" w14:textId="77777777" w:rsidR="0008506B" w:rsidRDefault="0008506B" w:rsidP="0008506B">
      <w:pPr>
        <w:pStyle w:val="NoSpacing"/>
      </w:pPr>
      <w:bookmarkStart w:id="0" w:name="_GoBack"/>
      <w:bookmarkEnd w:id="0"/>
    </w:p>
    <w:p w14:paraId="3C7C31A4" w14:textId="7ADF420F" w:rsidR="0008506B" w:rsidRDefault="0008506B" w:rsidP="0008506B">
      <w:pPr>
        <w:pStyle w:val="NoSpacing"/>
        <w:jc w:val="both"/>
      </w:pPr>
      <w:r>
        <w:rPr>
          <w:noProof/>
          <w:lang w:val="en-US"/>
        </w:rPr>
        <w:drawing>
          <wp:inline distT="0" distB="0" distL="0" distR="0" wp14:anchorId="2A40E043" wp14:editId="530A09CD">
            <wp:extent cx="1137920" cy="970280"/>
            <wp:effectExtent l="0" t="0" r="5080" b="0"/>
            <wp:docPr id="911277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37920" cy="970280"/>
                    </a:xfrm>
                    <a:prstGeom prst="rect">
                      <a:avLst/>
                    </a:prstGeom>
                  </pic:spPr>
                </pic:pic>
              </a:graphicData>
            </a:graphic>
          </wp:inline>
        </w:drawing>
      </w:r>
      <w:r w:rsidR="00D15D2D">
        <w:tab/>
      </w:r>
      <w:r w:rsidR="00D15D2D">
        <w:tab/>
        <w:t xml:space="preserve">      </w:t>
      </w:r>
      <w:r w:rsidR="00D15D2D">
        <w:tab/>
      </w:r>
      <w:r w:rsidR="00D15D2D">
        <w:tab/>
      </w:r>
      <w:r w:rsidR="00D15D2D">
        <w:tab/>
      </w:r>
      <w:r w:rsidR="00D15D2D">
        <w:tab/>
      </w:r>
      <w:r w:rsidR="00D15D2D">
        <w:rPr>
          <w:noProof/>
          <w:lang w:val="en-US"/>
        </w:rPr>
        <w:drawing>
          <wp:inline distT="0" distB="0" distL="0" distR="0" wp14:anchorId="5C5AFF40" wp14:editId="0A1FBFA5">
            <wp:extent cx="680720" cy="10845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649" cy="1086060"/>
                    </a:xfrm>
                    <a:prstGeom prst="rect">
                      <a:avLst/>
                    </a:prstGeom>
                    <a:noFill/>
                    <a:ln>
                      <a:noFill/>
                    </a:ln>
                  </pic:spPr>
                </pic:pic>
              </a:graphicData>
            </a:graphic>
          </wp:inline>
        </w:drawing>
      </w:r>
    </w:p>
    <w:p w14:paraId="6A731547" w14:textId="77777777" w:rsidR="0008506B" w:rsidRDefault="0008506B" w:rsidP="0008506B">
      <w:pPr>
        <w:pStyle w:val="NoSpacing"/>
        <w:jc w:val="both"/>
      </w:pPr>
    </w:p>
    <w:p w14:paraId="03893C4B" w14:textId="77777777" w:rsidR="0008506B" w:rsidRDefault="0008506B" w:rsidP="001571E5">
      <w:pPr>
        <w:pStyle w:val="NoSpacing"/>
        <w:jc w:val="both"/>
      </w:pPr>
    </w:p>
    <w:p w14:paraId="375CCB7C" w14:textId="57DA687C" w:rsidR="007C31DB" w:rsidRDefault="007C31DB" w:rsidP="007C31DB">
      <w:pPr>
        <w:pStyle w:val="NoSpacing"/>
        <w:ind w:left="6480"/>
        <w:jc w:val="both"/>
      </w:pPr>
      <w:r>
        <w:t xml:space="preserve">June </w:t>
      </w:r>
      <w:r w:rsidR="00AB39E4">
        <w:t>10</w:t>
      </w:r>
      <w:r>
        <w:t>, 2019</w:t>
      </w:r>
    </w:p>
    <w:p w14:paraId="0E4C3347" w14:textId="1B6BB4DB" w:rsidR="007C31DB" w:rsidRDefault="007C31DB" w:rsidP="007C31DB">
      <w:pPr>
        <w:pStyle w:val="NoSpacing"/>
        <w:jc w:val="both"/>
      </w:pPr>
    </w:p>
    <w:p w14:paraId="1A23CCC3" w14:textId="77777777" w:rsidR="0008506B" w:rsidRDefault="0008506B" w:rsidP="007C31DB">
      <w:pPr>
        <w:pStyle w:val="NoSpacing"/>
        <w:jc w:val="both"/>
      </w:pPr>
    </w:p>
    <w:p w14:paraId="0E05E43E" w14:textId="1311D839" w:rsidR="007C31DB" w:rsidRPr="00AE68C4" w:rsidRDefault="007C31DB" w:rsidP="007C31DB">
      <w:pPr>
        <w:pStyle w:val="NoSpacing"/>
        <w:jc w:val="both"/>
      </w:pPr>
      <w:r>
        <w:t>CEDAW Committee</w:t>
      </w:r>
    </w:p>
    <w:p w14:paraId="1C57EEC1" w14:textId="77777777" w:rsidR="007C31DB" w:rsidRPr="00AE68C4" w:rsidRDefault="007C31DB" w:rsidP="007C31DB">
      <w:pPr>
        <w:pStyle w:val="NoSpacing"/>
        <w:jc w:val="both"/>
      </w:pPr>
      <w:r w:rsidRPr="00AE68C4">
        <w:t>Human Rights Treaties Division, OHCHR</w:t>
      </w:r>
    </w:p>
    <w:p w14:paraId="746F3249" w14:textId="77777777" w:rsidR="007C31DB" w:rsidRPr="00AE68C4" w:rsidRDefault="007C31DB" w:rsidP="007C31DB">
      <w:pPr>
        <w:pStyle w:val="NoSpacing"/>
        <w:jc w:val="both"/>
      </w:pPr>
      <w:r w:rsidRPr="00AE68C4">
        <w:t>Palais Wilson</w:t>
      </w:r>
    </w:p>
    <w:p w14:paraId="68E901FE" w14:textId="77777777" w:rsidR="007C31DB" w:rsidRPr="00AE68C4" w:rsidRDefault="007C31DB" w:rsidP="007C31DB">
      <w:pPr>
        <w:pStyle w:val="NoSpacing"/>
        <w:jc w:val="both"/>
      </w:pPr>
      <w:r w:rsidRPr="00AE68C4">
        <w:t>52, rue des Paquis</w:t>
      </w:r>
    </w:p>
    <w:p w14:paraId="4DFE67A1" w14:textId="77777777" w:rsidR="007C31DB" w:rsidRPr="00AE68C4" w:rsidRDefault="007C31DB" w:rsidP="007C31DB">
      <w:pPr>
        <w:pStyle w:val="NoSpacing"/>
        <w:jc w:val="both"/>
      </w:pPr>
      <w:r w:rsidRPr="00AE68C4">
        <w:t xml:space="preserve">CH-1201 Geneva Switzerland </w:t>
      </w:r>
    </w:p>
    <w:p w14:paraId="33DA7D15" w14:textId="77777777" w:rsidR="007C31DB" w:rsidRDefault="007C31DB" w:rsidP="007C31DB">
      <w:pPr>
        <w:pStyle w:val="NoSpacing"/>
        <w:jc w:val="both"/>
        <w:rPr>
          <w:b/>
          <w:u w:val="single"/>
        </w:rPr>
      </w:pPr>
    </w:p>
    <w:p w14:paraId="5FFD5031" w14:textId="107405EA" w:rsidR="007C31DB" w:rsidRPr="00AE68C4" w:rsidRDefault="007C31DB" w:rsidP="007C31DB">
      <w:pPr>
        <w:pStyle w:val="NoSpacing"/>
        <w:jc w:val="both"/>
        <w:rPr>
          <w:b/>
          <w:u w:val="single"/>
        </w:rPr>
      </w:pPr>
      <w:r w:rsidRPr="00AE68C4">
        <w:rPr>
          <w:b/>
          <w:u w:val="single"/>
        </w:rPr>
        <w:t>Re:  Supplementary information for the adoption of the list of i</w:t>
      </w:r>
      <w:r>
        <w:rPr>
          <w:b/>
          <w:u w:val="single"/>
        </w:rPr>
        <w:t>ssues on Pakistan</w:t>
      </w:r>
      <w:r w:rsidRPr="00AE68C4">
        <w:rPr>
          <w:b/>
          <w:u w:val="single"/>
        </w:rPr>
        <w:t xml:space="preserve"> and for the consideration of the Committee </w:t>
      </w:r>
      <w:r>
        <w:rPr>
          <w:b/>
          <w:u w:val="single"/>
        </w:rPr>
        <w:t>in its 75</w:t>
      </w:r>
      <w:r w:rsidRPr="007C31DB">
        <w:rPr>
          <w:b/>
          <w:u w:val="single"/>
          <w:vertAlign w:val="superscript"/>
        </w:rPr>
        <w:t>th</w:t>
      </w:r>
      <w:r>
        <w:rPr>
          <w:b/>
          <w:u w:val="single"/>
        </w:rPr>
        <w:t xml:space="preserve"> session</w:t>
      </w:r>
    </w:p>
    <w:p w14:paraId="225AFE8C" w14:textId="77777777" w:rsidR="007C31DB" w:rsidRDefault="007C31DB">
      <w:pPr>
        <w:rPr>
          <w:rFonts w:ascii="Times New Roman" w:hAnsi="Times New Roman" w:cs="Times New Roman"/>
        </w:rPr>
      </w:pPr>
    </w:p>
    <w:p w14:paraId="7C85D20F" w14:textId="77777777" w:rsidR="007C31DB" w:rsidRDefault="007C31DB">
      <w:pPr>
        <w:rPr>
          <w:rFonts w:ascii="Times New Roman" w:hAnsi="Times New Roman" w:cs="Times New Roman"/>
        </w:rPr>
      </w:pPr>
    </w:p>
    <w:p w14:paraId="1766FCDE" w14:textId="2EA0B0F0" w:rsidR="00A0540A" w:rsidRPr="00782A3C" w:rsidRDefault="00616B0D">
      <w:pPr>
        <w:rPr>
          <w:rFonts w:ascii="Times New Roman" w:hAnsi="Times New Roman" w:cs="Times New Roman"/>
        </w:rPr>
      </w:pPr>
      <w:r w:rsidRPr="00782A3C">
        <w:rPr>
          <w:rFonts w:ascii="Times New Roman" w:hAnsi="Times New Roman" w:cs="Times New Roman"/>
        </w:rPr>
        <w:t xml:space="preserve">Dear </w:t>
      </w:r>
      <w:proofErr w:type="spellStart"/>
      <w:r w:rsidR="007C31DB">
        <w:rPr>
          <w:rFonts w:ascii="Times New Roman" w:hAnsi="Times New Roman" w:cs="Times New Roman"/>
        </w:rPr>
        <w:t>Honourable</w:t>
      </w:r>
      <w:proofErr w:type="spellEnd"/>
      <w:r w:rsidR="007C31DB">
        <w:rPr>
          <w:rFonts w:ascii="Times New Roman" w:hAnsi="Times New Roman" w:cs="Times New Roman"/>
        </w:rPr>
        <w:t xml:space="preserve"> </w:t>
      </w:r>
      <w:r w:rsidRPr="00782A3C">
        <w:rPr>
          <w:rFonts w:ascii="Times New Roman" w:hAnsi="Times New Roman" w:cs="Times New Roman"/>
        </w:rPr>
        <w:t xml:space="preserve">Committee Members, </w:t>
      </w:r>
    </w:p>
    <w:p w14:paraId="64FF955B" w14:textId="77777777" w:rsidR="00616B0D" w:rsidRPr="00782A3C" w:rsidRDefault="00616B0D">
      <w:pPr>
        <w:rPr>
          <w:rFonts w:ascii="Times New Roman" w:hAnsi="Times New Roman" w:cs="Times New Roman"/>
        </w:rPr>
      </w:pPr>
    </w:p>
    <w:p w14:paraId="3C11B38D" w14:textId="75EE5545" w:rsidR="00FC41B1" w:rsidRPr="00782A3C" w:rsidRDefault="007C31DB" w:rsidP="00B87DBC">
      <w:pPr>
        <w:jc w:val="both"/>
        <w:rPr>
          <w:rFonts w:ascii="Times New Roman" w:hAnsi="Times New Roman" w:cs="Times New Roman"/>
        </w:rPr>
      </w:pPr>
      <w:r>
        <w:rPr>
          <w:rFonts w:ascii="Times New Roman" w:hAnsi="Times New Roman" w:cs="Times New Roman"/>
        </w:rPr>
        <w:t>This letter intends to su</w:t>
      </w:r>
      <w:r w:rsidR="00616B0D" w:rsidRPr="00782A3C">
        <w:rPr>
          <w:rFonts w:ascii="Times New Roman" w:hAnsi="Times New Roman" w:cs="Times New Roman"/>
        </w:rPr>
        <w:t>p</w:t>
      </w:r>
      <w:r>
        <w:rPr>
          <w:rFonts w:ascii="Times New Roman" w:hAnsi="Times New Roman" w:cs="Times New Roman"/>
        </w:rPr>
        <w:t>plement the fifth</w:t>
      </w:r>
      <w:r w:rsidR="00616B0D" w:rsidRPr="00782A3C">
        <w:rPr>
          <w:rFonts w:ascii="Times New Roman" w:hAnsi="Times New Roman" w:cs="Times New Roman"/>
        </w:rPr>
        <w:t xml:space="preserve"> periodic report </w:t>
      </w:r>
      <w:r>
        <w:rPr>
          <w:rFonts w:ascii="Times New Roman" w:hAnsi="Times New Roman" w:cs="Times New Roman"/>
        </w:rPr>
        <w:t xml:space="preserve">of the Government of Pakistan (herein also referred to as </w:t>
      </w:r>
      <w:r w:rsidR="000007FB">
        <w:rPr>
          <w:rFonts w:ascii="Times New Roman" w:hAnsi="Times New Roman" w:cs="Times New Roman"/>
        </w:rPr>
        <w:t xml:space="preserve">the </w:t>
      </w:r>
      <w:r>
        <w:rPr>
          <w:rFonts w:ascii="Times New Roman" w:hAnsi="Times New Roman" w:cs="Times New Roman"/>
        </w:rPr>
        <w:t>State P</w:t>
      </w:r>
      <w:r w:rsidR="00616B0D" w:rsidRPr="00782A3C">
        <w:rPr>
          <w:rFonts w:ascii="Times New Roman" w:hAnsi="Times New Roman" w:cs="Times New Roman"/>
        </w:rPr>
        <w:t xml:space="preserve">arty), scheduled for </w:t>
      </w:r>
      <w:r>
        <w:rPr>
          <w:rFonts w:ascii="Times New Roman" w:hAnsi="Times New Roman" w:cs="Times New Roman"/>
        </w:rPr>
        <w:t xml:space="preserve">pre-session </w:t>
      </w:r>
      <w:r w:rsidR="00616B0D" w:rsidRPr="00782A3C">
        <w:rPr>
          <w:rFonts w:ascii="Times New Roman" w:hAnsi="Times New Roman" w:cs="Times New Roman"/>
        </w:rPr>
        <w:t>revi</w:t>
      </w:r>
      <w:r>
        <w:rPr>
          <w:rFonts w:ascii="Times New Roman" w:hAnsi="Times New Roman" w:cs="Times New Roman"/>
        </w:rPr>
        <w:t>ew</w:t>
      </w:r>
      <w:r w:rsidR="00615EF3">
        <w:rPr>
          <w:rFonts w:ascii="Times New Roman" w:hAnsi="Times New Roman" w:cs="Times New Roman"/>
        </w:rPr>
        <w:t xml:space="preserve"> </w:t>
      </w:r>
      <w:r>
        <w:rPr>
          <w:rFonts w:ascii="Times New Roman" w:hAnsi="Times New Roman" w:cs="Times New Roman"/>
        </w:rPr>
        <w:t>during the 75</w:t>
      </w:r>
      <w:r w:rsidRPr="007C31DB">
        <w:rPr>
          <w:rFonts w:ascii="Times New Roman" w:hAnsi="Times New Roman" w:cs="Times New Roman"/>
          <w:vertAlign w:val="superscript"/>
        </w:rPr>
        <w:t>th</w:t>
      </w:r>
      <w:r>
        <w:rPr>
          <w:rFonts w:ascii="Times New Roman" w:hAnsi="Times New Roman" w:cs="Times New Roman"/>
        </w:rPr>
        <w:t xml:space="preserve"> session of the </w:t>
      </w:r>
      <w:r w:rsidR="00615EF3">
        <w:rPr>
          <w:rFonts w:ascii="Times New Roman" w:hAnsi="Times New Roman" w:cs="Times New Roman"/>
        </w:rPr>
        <w:t xml:space="preserve">Committee on the Elimination of Discrimination Against Women (Committee). </w:t>
      </w:r>
      <w:r w:rsidR="00616B0D" w:rsidRPr="00782A3C">
        <w:rPr>
          <w:rFonts w:ascii="Times New Roman" w:hAnsi="Times New Roman" w:cs="Times New Roman"/>
        </w:rPr>
        <w:t xml:space="preserve">The Center for Reproductive Rights (the Center) </w:t>
      </w:r>
      <w:r w:rsidR="00F53EEE">
        <w:rPr>
          <w:rFonts w:ascii="Times New Roman" w:hAnsi="Times New Roman" w:cs="Times New Roman"/>
        </w:rPr>
        <w:t xml:space="preserve">and </w:t>
      </w:r>
      <w:proofErr w:type="spellStart"/>
      <w:r w:rsidR="00F53EEE">
        <w:rPr>
          <w:rFonts w:ascii="Times New Roman" w:hAnsi="Times New Roman" w:cs="Times New Roman"/>
        </w:rPr>
        <w:t>Shirkat</w:t>
      </w:r>
      <w:proofErr w:type="spellEnd"/>
      <w:r w:rsidR="00F53EEE">
        <w:rPr>
          <w:rFonts w:ascii="Times New Roman" w:hAnsi="Times New Roman" w:cs="Times New Roman"/>
        </w:rPr>
        <w:t xml:space="preserve"> </w:t>
      </w:r>
      <w:proofErr w:type="spellStart"/>
      <w:r w:rsidR="00F53EEE">
        <w:rPr>
          <w:rFonts w:ascii="Times New Roman" w:hAnsi="Times New Roman" w:cs="Times New Roman"/>
        </w:rPr>
        <w:t>Gah</w:t>
      </w:r>
      <w:proofErr w:type="spellEnd"/>
      <w:r w:rsidR="00F53EEE">
        <w:rPr>
          <w:rFonts w:ascii="Times New Roman" w:hAnsi="Times New Roman" w:cs="Times New Roman"/>
        </w:rPr>
        <w:t xml:space="preserve"> </w:t>
      </w:r>
      <w:r w:rsidR="00075DEB">
        <w:rPr>
          <w:rFonts w:ascii="Times New Roman" w:hAnsi="Times New Roman" w:cs="Times New Roman"/>
        </w:rPr>
        <w:t>Women’s Resource Centre</w:t>
      </w:r>
      <w:r w:rsidR="00FC41B1">
        <w:rPr>
          <w:rStyle w:val="EndnoteReference"/>
          <w:rFonts w:ascii="Times New Roman" w:hAnsi="Times New Roman" w:cs="Times New Roman"/>
        </w:rPr>
        <w:endnoteReference w:id="2"/>
      </w:r>
      <w:r w:rsidR="00FC41B1">
        <w:rPr>
          <w:rFonts w:ascii="Times New Roman" w:hAnsi="Times New Roman" w:cs="Times New Roman"/>
        </w:rPr>
        <w:t xml:space="preserve"> aim</w:t>
      </w:r>
      <w:r w:rsidR="00FC41B1" w:rsidRPr="00782A3C">
        <w:rPr>
          <w:rFonts w:ascii="Times New Roman" w:hAnsi="Times New Roman" w:cs="Times New Roman"/>
        </w:rPr>
        <w:t xml:space="preserve"> to </w:t>
      </w:r>
      <w:r w:rsidR="00FC41B1">
        <w:rPr>
          <w:rFonts w:ascii="Times New Roman" w:hAnsi="Times New Roman" w:cs="Times New Roman"/>
        </w:rPr>
        <w:t xml:space="preserve">support the Committee in its adoption of list of issues </w:t>
      </w:r>
      <w:r w:rsidR="00FC41B1" w:rsidRPr="00782A3C">
        <w:rPr>
          <w:rFonts w:ascii="Times New Roman" w:hAnsi="Times New Roman" w:cs="Times New Roman"/>
        </w:rPr>
        <w:t xml:space="preserve">by reporting information concerning reproductive rights in Pakistan protected in the Convention on the Elimination of All Forms of Discrimination </w:t>
      </w:r>
      <w:r w:rsidR="00FC41B1">
        <w:rPr>
          <w:rFonts w:ascii="Times New Roman" w:hAnsi="Times New Roman" w:cs="Times New Roman"/>
        </w:rPr>
        <w:t xml:space="preserve">against Women </w:t>
      </w:r>
      <w:r w:rsidR="00FC41B1" w:rsidRPr="00782A3C">
        <w:rPr>
          <w:rFonts w:ascii="Times New Roman" w:hAnsi="Times New Roman" w:cs="Times New Roman"/>
        </w:rPr>
        <w:t xml:space="preserve">(CEDAW).  </w:t>
      </w:r>
    </w:p>
    <w:p w14:paraId="0E220CDB" w14:textId="77777777" w:rsidR="00FC41B1" w:rsidRPr="00782A3C" w:rsidRDefault="00FC41B1" w:rsidP="00B87DBC">
      <w:pPr>
        <w:jc w:val="both"/>
        <w:rPr>
          <w:rFonts w:ascii="Times New Roman" w:hAnsi="Times New Roman" w:cs="Times New Roman"/>
        </w:rPr>
      </w:pPr>
    </w:p>
    <w:p w14:paraId="38BCB237" w14:textId="09B068E8" w:rsidR="00FC41B1" w:rsidRDefault="00FC41B1" w:rsidP="00B87DBC">
      <w:pPr>
        <w:jc w:val="both"/>
        <w:rPr>
          <w:rFonts w:ascii="Times New Roman" w:hAnsi="Times New Roman" w:cs="Times New Roman"/>
        </w:rPr>
      </w:pPr>
      <w:r>
        <w:rPr>
          <w:rFonts w:ascii="Times New Roman" w:hAnsi="Times New Roman" w:cs="Times New Roman"/>
        </w:rPr>
        <w:t>In its last set of Concluding Observations, the Committee recommended that the State Party strengthen its efforts to reduce the rate of maternal mortality, ensure access to affordable contraceptive methods, review its abortion legislation and raise the minimum age of marriage for girls to 18.</w:t>
      </w:r>
      <w:r>
        <w:rPr>
          <w:rStyle w:val="EndnoteReference"/>
          <w:rFonts w:ascii="Times New Roman" w:hAnsi="Times New Roman" w:cs="Times New Roman"/>
        </w:rPr>
        <w:endnoteReference w:id="3"/>
      </w:r>
      <w:r>
        <w:rPr>
          <w:rFonts w:ascii="Times New Roman" w:hAnsi="Times New Roman" w:cs="Times New Roman"/>
        </w:rPr>
        <w:t xml:space="preserve"> Although some progress has been made towards increasing access to reproductive health services since the Committee’s last review, </w:t>
      </w:r>
      <w:r w:rsidRPr="00782A3C">
        <w:rPr>
          <w:rFonts w:ascii="Times New Roman" w:hAnsi="Times New Roman" w:cs="Times New Roman"/>
        </w:rPr>
        <w:t xml:space="preserve">several reproductive </w:t>
      </w:r>
      <w:r>
        <w:rPr>
          <w:rFonts w:ascii="Times New Roman" w:hAnsi="Times New Roman" w:cs="Times New Roman"/>
        </w:rPr>
        <w:t>rights</w:t>
      </w:r>
      <w:r w:rsidRPr="00782A3C">
        <w:rPr>
          <w:rFonts w:ascii="Times New Roman" w:hAnsi="Times New Roman" w:cs="Times New Roman"/>
        </w:rPr>
        <w:t xml:space="preserve">-related recommendations made previously by this Committee for Pakistan have </w:t>
      </w:r>
      <w:r>
        <w:rPr>
          <w:rFonts w:ascii="Times New Roman" w:hAnsi="Times New Roman" w:cs="Times New Roman"/>
        </w:rPr>
        <w:t>yet to</w:t>
      </w:r>
      <w:r w:rsidRPr="00782A3C">
        <w:rPr>
          <w:rFonts w:ascii="Times New Roman" w:hAnsi="Times New Roman" w:cs="Times New Roman"/>
        </w:rPr>
        <w:t xml:space="preserve"> be addressed adequately. This letter will focus on three issues</w:t>
      </w:r>
      <w:r>
        <w:rPr>
          <w:rFonts w:ascii="Times New Roman" w:hAnsi="Times New Roman" w:cs="Times New Roman"/>
        </w:rPr>
        <w:t xml:space="preserve"> seriously affecting the reproductive health and rights of women and girls in Pakistan: (1)</w:t>
      </w:r>
      <w:r w:rsidRPr="00782A3C">
        <w:rPr>
          <w:rFonts w:ascii="Times New Roman" w:hAnsi="Times New Roman" w:cs="Times New Roman"/>
        </w:rPr>
        <w:t xml:space="preserve"> high prevalence of maternal mortality and m</w:t>
      </w:r>
      <w:r>
        <w:rPr>
          <w:rFonts w:ascii="Times New Roman" w:hAnsi="Times New Roman" w:cs="Times New Roman"/>
        </w:rPr>
        <w:t>orbidity</w:t>
      </w:r>
      <w:r w:rsidRPr="00782A3C">
        <w:rPr>
          <w:rFonts w:ascii="Times New Roman" w:hAnsi="Times New Roman" w:cs="Times New Roman"/>
        </w:rPr>
        <w:t xml:space="preserve">; (2) lack of access to safe abortion and post-abortion care services; and (3) barriers to access to </w:t>
      </w:r>
    </w:p>
    <w:p w14:paraId="69C0BFC9" w14:textId="3A0DC2DF" w:rsidR="00FC41B1" w:rsidRDefault="00FC41B1" w:rsidP="00B87DBC">
      <w:pPr>
        <w:jc w:val="both"/>
        <w:rPr>
          <w:rFonts w:ascii="Times New Roman" w:hAnsi="Times New Roman" w:cs="Times New Roman"/>
        </w:rPr>
      </w:pPr>
      <w:r w:rsidRPr="00782A3C">
        <w:rPr>
          <w:rFonts w:ascii="Times New Roman" w:hAnsi="Times New Roman" w:cs="Times New Roman"/>
        </w:rPr>
        <w:t xml:space="preserve">reproductive health services for adolescents. </w:t>
      </w:r>
      <w:r>
        <w:rPr>
          <w:rFonts w:ascii="Times New Roman" w:hAnsi="Times New Roman" w:cs="Times New Roman"/>
        </w:rPr>
        <w:t xml:space="preserve">This letter respectfully proposes questions to be addressed to the State Party by the Committee in its list of issues. </w:t>
      </w:r>
    </w:p>
    <w:p w14:paraId="649F2353" w14:textId="77777777" w:rsidR="00FC41B1" w:rsidRDefault="00FC41B1" w:rsidP="00B87DBC">
      <w:pPr>
        <w:jc w:val="both"/>
        <w:rPr>
          <w:rFonts w:ascii="Times New Roman" w:hAnsi="Times New Roman" w:cs="Times New Roman"/>
        </w:rPr>
      </w:pPr>
    </w:p>
    <w:p w14:paraId="481B1D3D" w14:textId="77777777" w:rsidR="00FC41B1" w:rsidRDefault="00FC41B1" w:rsidP="00B87DBC">
      <w:pPr>
        <w:jc w:val="both"/>
        <w:rPr>
          <w:rFonts w:ascii="Times New Roman" w:hAnsi="Times New Roman" w:cs="Times New Roman"/>
        </w:rPr>
      </w:pPr>
    </w:p>
    <w:p w14:paraId="533D9130" w14:textId="77777777" w:rsidR="00FC41B1" w:rsidRDefault="00FC41B1" w:rsidP="00B87DBC">
      <w:pPr>
        <w:jc w:val="both"/>
        <w:rPr>
          <w:rFonts w:ascii="Times New Roman" w:hAnsi="Times New Roman" w:cs="Times New Roman"/>
        </w:rPr>
      </w:pPr>
    </w:p>
    <w:p w14:paraId="55BDF3CF" w14:textId="77777777" w:rsidR="00FC41B1" w:rsidRPr="00555941" w:rsidRDefault="00FC41B1" w:rsidP="00B87DBC">
      <w:pPr>
        <w:jc w:val="both"/>
        <w:rPr>
          <w:rFonts w:ascii="Times New Roman" w:hAnsi="Times New Roman" w:cs="Times New Roman"/>
        </w:rPr>
      </w:pPr>
    </w:p>
    <w:p w14:paraId="7C90E31C" w14:textId="7238BB4C" w:rsidR="00FC41B1" w:rsidRPr="000F5BFF" w:rsidRDefault="00FC41B1" w:rsidP="00B87DBC">
      <w:pPr>
        <w:jc w:val="both"/>
        <w:rPr>
          <w:rFonts w:ascii="Times New Roman" w:hAnsi="Times New Roman" w:cs="Times New Roman"/>
          <w:b/>
          <w:i/>
        </w:rPr>
      </w:pPr>
      <w:r w:rsidRPr="000F5BFF">
        <w:rPr>
          <w:rFonts w:ascii="Times New Roman" w:hAnsi="Times New Roman" w:cs="Times New Roman"/>
          <w:b/>
        </w:rPr>
        <w:lastRenderedPageBreak/>
        <w:t>I.</w:t>
      </w:r>
      <w:r w:rsidRPr="000F5BFF">
        <w:rPr>
          <w:rFonts w:ascii="Times New Roman" w:hAnsi="Times New Roman" w:cs="Times New Roman"/>
          <w:b/>
          <w:i/>
        </w:rPr>
        <w:t xml:space="preserve">  </w:t>
      </w:r>
      <w:r w:rsidRPr="000F5BFF">
        <w:rPr>
          <w:rStyle w:val="BookTitle"/>
          <w:rFonts w:ascii="Times New Roman" w:hAnsi="Times New Roman" w:cs="Times New Roman"/>
        </w:rPr>
        <w:t xml:space="preserve">High Prevalence of Maternal Mortality and Morbidity (Articles </w:t>
      </w:r>
      <w:r>
        <w:rPr>
          <w:rStyle w:val="BookTitle"/>
          <w:rFonts w:ascii="Times New Roman" w:hAnsi="Times New Roman" w:cs="Times New Roman"/>
        </w:rPr>
        <w:t xml:space="preserve">1, 12 </w:t>
      </w:r>
      <w:r w:rsidRPr="000F5BFF">
        <w:rPr>
          <w:rStyle w:val="BookTitle"/>
          <w:rFonts w:ascii="Times New Roman" w:hAnsi="Times New Roman" w:cs="Times New Roman"/>
        </w:rPr>
        <w:t xml:space="preserve">&amp; 16)  </w:t>
      </w:r>
    </w:p>
    <w:p w14:paraId="5D6592E5" w14:textId="77777777" w:rsidR="00FC41B1" w:rsidRPr="00782A3C" w:rsidRDefault="00FC41B1" w:rsidP="00B87DBC">
      <w:pPr>
        <w:jc w:val="both"/>
        <w:rPr>
          <w:rFonts w:ascii="Times New Roman" w:hAnsi="Times New Roman" w:cs="Times New Roman"/>
        </w:rPr>
      </w:pPr>
    </w:p>
    <w:p w14:paraId="0DC03DE2" w14:textId="2F8B4AF1" w:rsidR="00FC41B1" w:rsidRDefault="00FC41B1" w:rsidP="00B87DBC">
      <w:pPr>
        <w:jc w:val="both"/>
        <w:rPr>
          <w:rFonts w:ascii="Times New Roman" w:hAnsi="Times New Roman" w:cs="Times New Roman"/>
        </w:rPr>
      </w:pPr>
      <w:r>
        <w:rPr>
          <w:rFonts w:ascii="Times New Roman" w:hAnsi="Times New Roman" w:cs="Times New Roman"/>
        </w:rPr>
        <w:t>The CEDAW Committee has repeatedly reaffirmed state obligations arising from the right to survive pregnancy and childbirth,</w:t>
      </w:r>
      <w:r>
        <w:rPr>
          <w:rStyle w:val="EndnoteReference"/>
          <w:rFonts w:ascii="Times New Roman" w:hAnsi="Times New Roman" w:cs="Times New Roman"/>
        </w:rPr>
        <w:endnoteReference w:id="4"/>
      </w:r>
      <w:r>
        <w:rPr>
          <w:rFonts w:ascii="Times New Roman" w:hAnsi="Times New Roman" w:cs="Times New Roman"/>
        </w:rPr>
        <w:t xml:space="preserve"> and has noted that it is “discriminatory for a State Party to refuse to provide legally for the performance of certain reproductive health services for women.”</w:t>
      </w:r>
      <w:r>
        <w:rPr>
          <w:rStyle w:val="EndnoteReference"/>
          <w:rFonts w:ascii="Times New Roman" w:hAnsi="Times New Roman" w:cs="Times New Roman"/>
        </w:rPr>
        <w:endnoteReference w:id="5"/>
      </w:r>
      <w:r>
        <w:rPr>
          <w:rFonts w:ascii="Times New Roman" w:hAnsi="Times New Roman" w:cs="Times New Roman"/>
        </w:rPr>
        <w:t>The CEDAW Committee has also found that persistently high maternal mortality rates violate states’ obligation to ensure non-discrimination in access to health care.</w:t>
      </w:r>
      <w:r>
        <w:rPr>
          <w:rStyle w:val="EndnoteReference"/>
          <w:rFonts w:ascii="Times New Roman" w:hAnsi="Times New Roman" w:cs="Times New Roman"/>
        </w:rPr>
        <w:endnoteReference w:id="6"/>
      </w:r>
      <w:r>
        <w:rPr>
          <w:rFonts w:ascii="Times New Roman" w:hAnsi="Times New Roman" w:cs="Times New Roman"/>
        </w:rPr>
        <w:t xml:space="preserve"> </w:t>
      </w:r>
    </w:p>
    <w:p w14:paraId="204D5449" w14:textId="77777777" w:rsidR="00FC41B1" w:rsidRDefault="00FC41B1" w:rsidP="00B87DBC">
      <w:pPr>
        <w:jc w:val="both"/>
        <w:rPr>
          <w:rFonts w:ascii="Times New Roman" w:hAnsi="Times New Roman" w:cs="Times New Roman"/>
        </w:rPr>
      </w:pPr>
    </w:p>
    <w:p w14:paraId="63AA028E" w14:textId="16E0D93B" w:rsidR="00FC41B1" w:rsidRDefault="00FC41B1" w:rsidP="00B87DBC">
      <w:pPr>
        <w:jc w:val="both"/>
        <w:rPr>
          <w:rFonts w:ascii="Times New Roman" w:hAnsi="Times New Roman" w:cs="Times New Roman"/>
        </w:rPr>
      </w:pPr>
      <w:r w:rsidRPr="00782A3C">
        <w:rPr>
          <w:rFonts w:ascii="Times New Roman" w:hAnsi="Times New Roman" w:cs="Times New Roman"/>
        </w:rPr>
        <w:t>Pakistan’s maternal mortality rat</w:t>
      </w:r>
      <w:r>
        <w:rPr>
          <w:rFonts w:ascii="Times New Roman" w:hAnsi="Times New Roman" w:cs="Times New Roman"/>
        </w:rPr>
        <w:t>io</w:t>
      </w:r>
      <w:r w:rsidRPr="00782A3C">
        <w:rPr>
          <w:rFonts w:ascii="Times New Roman" w:hAnsi="Times New Roman" w:cs="Times New Roman"/>
        </w:rPr>
        <w:t xml:space="preserve"> (MMR) </w:t>
      </w:r>
      <w:r>
        <w:rPr>
          <w:rFonts w:ascii="Times New Roman" w:hAnsi="Times New Roman" w:cs="Times New Roman"/>
        </w:rPr>
        <w:t xml:space="preserve">as of 2015 is estimated to be </w:t>
      </w:r>
      <w:r w:rsidRPr="00782A3C">
        <w:rPr>
          <w:rFonts w:ascii="Times New Roman" w:hAnsi="Times New Roman" w:cs="Times New Roman"/>
        </w:rPr>
        <w:t>178 d</w:t>
      </w:r>
      <w:r>
        <w:rPr>
          <w:rFonts w:ascii="Times New Roman" w:hAnsi="Times New Roman" w:cs="Times New Roman"/>
        </w:rPr>
        <w:t>eaths per 100,000 live births,</w:t>
      </w:r>
      <w:r>
        <w:rPr>
          <w:rStyle w:val="EndnoteReference"/>
          <w:rFonts w:ascii="Times New Roman" w:hAnsi="Times New Roman" w:cs="Times New Roman"/>
        </w:rPr>
        <w:endnoteReference w:id="7"/>
      </w:r>
      <w:r>
        <w:rPr>
          <w:rFonts w:ascii="Times New Roman" w:hAnsi="Times New Roman" w:cs="Times New Roman"/>
        </w:rPr>
        <w:t xml:space="preserve"> which is</w:t>
      </w:r>
      <w:r w:rsidRPr="00782A3C">
        <w:rPr>
          <w:rFonts w:ascii="Times New Roman" w:hAnsi="Times New Roman" w:cs="Times New Roman"/>
        </w:rPr>
        <w:t xml:space="preserve"> a decline from the MMR in 2007-08, which stood at 276 deaths per 100,000 live births.</w:t>
      </w:r>
      <w:r>
        <w:rPr>
          <w:rStyle w:val="EndnoteReference"/>
          <w:rFonts w:ascii="Times New Roman" w:hAnsi="Times New Roman" w:cs="Times New Roman"/>
        </w:rPr>
        <w:endnoteReference w:id="8"/>
      </w:r>
      <w:r w:rsidR="00C7689D">
        <w:rPr>
          <w:rFonts w:ascii="Times New Roman" w:hAnsi="Times New Roman" w:cs="Times New Roman"/>
        </w:rPr>
        <w:t xml:space="preserve"> </w:t>
      </w:r>
      <w:r>
        <w:rPr>
          <w:rFonts w:ascii="Times New Roman" w:hAnsi="Times New Roman" w:cs="Times New Roman"/>
        </w:rPr>
        <w:t xml:space="preserve">While the State Party’s efforts should be appreciated, </w:t>
      </w:r>
      <w:r w:rsidRPr="00782A3C">
        <w:rPr>
          <w:rFonts w:ascii="Times New Roman" w:hAnsi="Times New Roman" w:cs="Times New Roman"/>
        </w:rPr>
        <w:t xml:space="preserve">the MMR is still unacceptably high. </w:t>
      </w:r>
      <w:r>
        <w:rPr>
          <w:rFonts w:ascii="Times New Roman" w:hAnsi="Times New Roman" w:cs="Times New Roman"/>
        </w:rPr>
        <w:t xml:space="preserve">The World Bank has found that </w:t>
      </w:r>
      <w:r w:rsidRPr="00782A3C">
        <w:rPr>
          <w:rFonts w:ascii="Times New Roman" w:hAnsi="Times New Roman" w:cs="Times New Roman"/>
        </w:rPr>
        <w:t>Pakistan remains among the top ten countries in the world accounting for the most maternal deaths</w:t>
      </w:r>
      <w:r>
        <w:rPr>
          <w:rFonts w:ascii="Times New Roman" w:hAnsi="Times New Roman" w:cs="Times New Roman"/>
        </w:rPr>
        <w:t xml:space="preserve">, with </w:t>
      </w:r>
      <w:r w:rsidRPr="00910CC2">
        <w:rPr>
          <w:rFonts w:ascii="Times New Roman" w:hAnsi="Times New Roman" w:cs="Times New Roman"/>
        </w:rPr>
        <w:t>9,700 women dying of pregnancy</w:t>
      </w:r>
      <w:r>
        <w:rPr>
          <w:rFonts w:ascii="Times New Roman" w:hAnsi="Times New Roman" w:cs="Times New Roman"/>
        </w:rPr>
        <w:t>-</w:t>
      </w:r>
      <w:r w:rsidRPr="00910CC2">
        <w:rPr>
          <w:rFonts w:ascii="Times New Roman" w:hAnsi="Times New Roman" w:cs="Times New Roman"/>
        </w:rPr>
        <w:t>related causes in Pakistan every year.</w:t>
      </w:r>
      <w:r>
        <w:rPr>
          <w:rStyle w:val="EndnoteReference"/>
          <w:rFonts w:ascii="Times New Roman" w:hAnsi="Times New Roman" w:cs="Times New Roman"/>
        </w:rPr>
        <w:endnoteReference w:id="9"/>
      </w:r>
      <w:r>
        <w:rPr>
          <w:rFonts w:ascii="Times New Roman" w:hAnsi="Times New Roman" w:cs="Times New Roman"/>
          <w:b/>
        </w:rPr>
        <w:t xml:space="preserve"> </w:t>
      </w:r>
      <w:r>
        <w:rPr>
          <w:rFonts w:ascii="Times New Roman" w:hAnsi="Times New Roman" w:cs="Times New Roman"/>
        </w:rPr>
        <w:t xml:space="preserve">Thousands more </w:t>
      </w:r>
      <w:r w:rsidRPr="0093456B">
        <w:rPr>
          <w:rFonts w:ascii="Times New Roman" w:hAnsi="Times New Roman" w:cs="Times New Roman"/>
        </w:rPr>
        <w:t xml:space="preserve">face debilitating maternal morbidities due to </w:t>
      </w:r>
      <w:r>
        <w:rPr>
          <w:rFonts w:ascii="Times New Roman" w:hAnsi="Times New Roman" w:cs="Times New Roman"/>
        </w:rPr>
        <w:t>non-availability of quality and affordable</w:t>
      </w:r>
      <w:r w:rsidRPr="0093456B">
        <w:rPr>
          <w:rFonts w:ascii="Times New Roman" w:hAnsi="Times New Roman" w:cs="Times New Roman"/>
        </w:rPr>
        <w:t xml:space="preserve"> maternal healthcare. For example, it is estimated that 3000-5000 cases of fistula develop in Pakistan every year.</w:t>
      </w:r>
      <w:r>
        <w:rPr>
          <w:rStyle w:val="EndnoteReference"/>
          <w:rFonts w:ascii="Times New Roman" w:hAnsi="Times New Roman" w:cs="Times New Roman"/>
        </w:rPr>
        <w:endnoteReference w:id="10"/>
      </w:r>
      <w:r w:rsidRPr="0093456B">
        <w:rPr>
          <w:rFonts w:ascii="Times New Roman" w:hAnsi="Times New Roman" w:cs="Times New Roman"/>
        </w:rPr>
        <w:t xml:space="preserve"> These include cases of obstetric fistula, resulting</w:t>
      </w:r>
      <w:r>
        <w:rPr>
          <w:rFonts w:ascii="Times New Roman" w:hAnsi="Times New Roman" w:cs="Times New Roman"/>
        </w:rPr>
        <w:t xml:space="preserve"> from prolonged obstructed labo</w:t>
      </w:r>
      <w:r w:rsidRPr="0093456B">
        <w:rPr>
          <w:rFonts w:ascii="Times New Roman" w:hAnsi="Times New Roman" w:cs="Times New Roman"/>
        </w:rPr>
        <w:t>r in the absence of skilled birth attendance</w:t>
      </w:r>
      <w:r w:rsidRPr="00293B20">
        <w:rPr>
          <w:rFonts w:ascii="Times New Roman" w:hAnsi="Times New Roman" w:cs="Times New Roman"/>
        </w:rPr>
        <w:t>, as well as iatrogenic fistula,</w:t>
      </w:r>
      <w:r w:rsidRPr="0093456B">
        <w:rPr>
          <w:rFonts w:ascii="Times New Roman" w:hAnsi="Times New Roman" w:cs="Times New Roman"/>
        </w:rPr>
        <w:t xml:space="preserve"> which results from surgical negligence during a caesarian section or hysterectomy.</w:t>
      </w:r>
      <w:r w:rsidRPr="0093456B">
        <w:rPr>
          <w:rStyle w:val="EndnoteReference"/>
          <w:rFonts w:ascii="Times New Roman" w:hAnsi="Times New Roman" w:cs="Times New Roman"/>
        </w:rPr>
        <w:endnoteReference w:id="11"/>
      </w:r>
      <w:r>
        <w:rPr>
          <w:rFonts w:ascii="Times New Roman" w:hAnsi="Times New Roman" w:cs="Times New Roman"/>
        </w:rPr>
        <w:t xml:space="preserve"> </w:t>
      </w:r>
    </w:p>
    <w:p w14:paraId="29B583AF" w14:textId="77777777" w:rsidR="00FC41B1" w:rsidRDefault="00FC41B1" w:rsidP="00B87DBC">
      <w:pPr>
        <w:jc w:val="both"/>
        <w:rPr>
          <w:rFonts w:ascii="Times New Roman" w:hAnsi="Times New Roman" w:cs="Times New Roman"/>
        </w:rPr>
      </w:pPr>
    </w:p>
    <w:p w14:paraId="0CB44B3E" w14:textId="1ACC3BF2" w:rsidR="00FC41B1" w:rsidRDefault="00FC41B1" w:rsidP="00654115">
      <w:pPr>
        <w:jc w:val="both"/>
        <w:rPr>
          <w:rFonts w:ascii="Times New Roman" w:hAnsi="Times New Roman" w:cs="Times New Roman"/>
        </w:rPr>
      </w:pPr>
      <w:r>
        <w:rPr>
          <w:rFonts w:ascii="Times New Roman" w:hAnsi="Times New Roman" w:cs="Times New Roman"/>
        </w:rPr>
        <w:t xml:space="preserve">Furthermore, </w:t>
      </w:r>
      <w:r w:rsidRPr="00782A3C">
        <w:rPr>
          <w:rFonts w:ascii="Times New Roman" w:hAnsi="Times New Roman" w:cs="Times New Roman"/>
        </w:rPr>
        <w:t xml:space="preserve">Pakistan’s data collection on maternal mortality may underestimate maternal mortality </w:t>
      </w:r>
      <w:r>
        <w:rPr>
          <w:rFonts w:ascii="Times New Roman" w:hAnsi="Times New Roman" w:cs="Times New Roman"/>
        </w:rPr>
        <w:t>ratio as t</w:t>
      </w:r>
      <w:r w:rsidRPr="00782A3C">
        <w:rPr>
          <w:rFonts w:ascii="Times New Roman" w:hAnsi="Times New Roman" w:cs="Times New Roman"/>
        </w:rPr>
        <w:t>he health information systems have a number of shortcomings.</w:t>
      </w:r>
      <w:r>
        <w:rPr>
          <w:rStyle w:val="EndnoteReference"/>
          <w:rFonts w:ascii="Times New Roman" w:hAnsi="Times New Roman" w:cs="Times New Roman"/>
        </w:rPr>
        <w:endnoteReference w:id="12"/>
      </w:r>
      <w:r w:rsidRPr="00782A3C">
        <w:rPr>
          <w:rFonts w:ascii="Times New Roman" w:hAnsi="Times New Roman" w:cs="Times New Roman"/>
        </w:rPr>
        <w:t xml:space="preserve"> </w:t>
      </w:r>
      <w:r>
        <w:rPr>
          <w:rFonts w:ascii="Times New Roman" w:hAnsi="Times New Roman" w:cs="Times New Roman"/>
        </w:rPr>
        <w:t xml:space="preserve">For example, the District Health Information System (DHIS) does not incorporate data collected by </w:t>
      </w:r>
      <w:r w:rsidRPr="00782A3C">
        <w:rPr>
          <w:rFonts w:ascii="Times New Roman" w:hAnsi="Times New Roman" w:cs="Times New Roman"/>
        </w:rPr>
        <w:t>Lady Health Workers, a cadre of health workers trained by the government to provide primary health services.</w:t>
      </w:r>
      <w:r>
        <w:rPr>
          <w:rStyle w:val="EndnoteReference"/>
          <w:rFonts w:ascii="Times New Roman" w:hAnsi="Times New Roman" w:cs="Times New Roman"/>
        </w:rPr>
        <w:endnoteReference w:id="13"/>
      </w:r>
      <w:r w:rsidRPr="00782A3C">
        <w:rPr>
          <w:rFonts w:ascii="Times New Roman" w:hAnsi="Times New Roman" w:cs="Times New Roman"/>
        </w:rPr>
        <w:t xml:space="preserve"> </w:t>
      </w:r>
      <w:r>
        <w:rPr>
          <w:rFonts w:ascii="Times New Roman" w:hAnsi="Times New Roman" w:cs="Times New Roman"/>
        </w:rPr>
        <w:t xml:space="preserve">The </w:t>
      </w:r>
      <w:r w:rsidRPr="00782A3C">
        <w:rPr>
          <w:rFonts w:ascii="Times New Roman" w:hAnsi="Times New Roman" w:cs="Times New Roman"/>
        </w:rPr>
        <w:t xml:space="preserve">Demographic Health Surveys </w:t>
      </w:r>
      <w:r>
        <w:rPr>
          <w:rFonts w:ascii="Times New Roman" w:hAnsi="Times New Roman" w:cs="Times New Roman"/>
        </w:rPr>
        <w:t xml:space="preserve">also have limitations as they </w:t>
      </w:r>
      <w:r w:rsidRPr="00782A3C">
        <w:rPr>
          <w:rFonts w:ascii="Times New Roman" w:hAnsi="Times New Roman" w:cs="Times New Roman"/>
        </w:rPr>
        <w:t>rely on hous</w:t>
      </w:r>
      <w:r>
        <w:rPr>
          <w:rFonts w:ascii="Times New Roman" w:hAnsi="Times New Roman" w:cs="Times New Roman"/>
        </w:rPr>
        <w:t>ehold censuses, but this source</w:t>
      </w:r>
      <w:r w:rsidRPr="00782A3C">
        <w:rPr>
          <w:rFonts w:ascii="Times New Roman" w:hAnsi="Times New Roman" w:cs="Times New Roman"/>
        </w:rPr>
        <w:t xml:space="preserve"> has various limitations, including underestimates of deaths and the need for a large sample size.</w:t>
      </w:r>
      <w:r>
        <w:rPr>
          <w:rStyle w:val="EndnoteReference"/>
          <w:rFonts w:ascii="Times New Roman" w:hAnsi="Times New Roman" w:cs="Times New Roman"/>
        </w:rPr>
        <w:endnoteReference w:id="14"/>
      </w:r>
      <w:r w:rsidRPr="00782A3C">
        <w:rPr>
          <w:rFonts w:ascii="Times New Roman" w:hAnsi="Times New Roman" w:cs="Times New Roman"/>
        </w:rPr>
        <w:t xml:space="preserve"> </w:t>
      </w:r>
    </w:p>
    <w:p w14:paraId="3F83BC7C" w14:textId="77777777" w:rsidR="00FC41B1" w:rsidRDefault="00FC41B1" w:rsidP="00654115">
      <w:pPr>
        <w:jc w:val="both"/>
        <w:rPr>
          <w:rFonts w:ascii="Times New Roman" w:hAnsi="Times New Roman" w:cs="Times New Roman"/>
        </w:rPr>
      </w:pPr>
    </w:p>
    <w:p w14:paraId="4285A014" w14:textId="065782AD" w:rsidR="00FC41B1" w:rsidRDefault="00FC41B1" w:rsidP="00974738">
      <w:pPr>
        <w:jc w:val="both"/>
        <w:rPr>
          <w:rFonts w:ascii="Times New Roman" w:hAnsi="Times New Roman" w:cs="Times New Roman"/>
        </w:rPr>
      </w:pPr>
      <w:r>
        <w:rPr>
          <w:rFonts w:ascii="Times New Roman" w:hAnsi="Times New Roman" w:cs="Times New Roman"/>
        </w:rPr>
        <w:t>The State P</w:t>
      </w:r>
      <w:r w:rsidRPr="00782A3C">
        <w:rPr>
          <w:rFonts w:ascii="Times New Roman" w:hAnsi="Times New Roman" w:cs="Times New Roman"/>
        </w:rPr>
        <w:t xml:space="preserve">arty has introduced a series of health policies designed to improve maternal health, </w:t>
      </w:r>
      <w:r>
        <w:rPr>
          <w:rFonts w:ascii="Times New Roman" w:hAnsi="Times New Roman" w:cs="Times New Roman"/>
        </w:rPr>
        <w:t xml:space="preserve">such as the </w:t>
      </w:r>
      <w:r w:rsidRPr="00782A3C">
        <w:rPr>
          <w:rFonts w:ascii="Times New Roman" w:hAnsi="Times New Roman" w:cs="Times New Roman"/>
        </w:rPr>
        <w:t xml:space="preserve">Maternal, Newborn and Child Health </w:t>
      </w:r>
      <w:r>
        <w:rPr>
          <w:rFonts w:ascii="Times New Roman" w:hAnsi="Times New Roman" w:cs="Times New Roman"/>
        </w:rPr>
        <w:t xml:space="preserve">(MNCH) </w:t>
      </w:r>
      <w:r w:rsidRPr="00782A3C">
        <w:rPr>
          <w:rFonts w:ascii="Times New Roman" w:hAnsi="Times New Roman" w:cs="Times New Roman"/>
        </w:rPr>
        <w:t>Program</w:t>
      </w:r>
      <w:r>
        <w:rPr>
          <w:rFonts w:ascii="Times New Roman" w:hAnsi="Times New Roman" w:cs="Times New Roman"/>
        </w:rPr>
        <w:t xml:space="preserve"> of 2005</w:t>
      </w:r>
      <w:r w:rsidRPr="00782A3C">
        <w:rPr>
          <w:rFonts w:ascii="Times New Roman" w:hAnsi="Times New Roman" w:cs="Times New Roman"/>
        </w:rPr>
        <w:t>,</w:t>
      </w:r>
      <w:r>
        <w:rPr>
          <w:rFonts w:ascii="Times New Roman" w:hAnsi="Times New Roman" w:cs="Times New Roman"/>
        </w:rPr>
        <w:t xml:space="preserve"> which f</w:t>
      </w:r>
      <w:r w:rsidRPr="00782A3C">
        <w:rPr>
          <w:rFonts w:ascii="Times New Roman" w:hAnsi="Times New Roman" w:cs="Times New Roman"/>
        </w:rPr>
        <w:t>ocuses on improving</w:t>
      </w:r>
      <w:r>
        <w:rPr>
          <w:rFonts w:ascii="Times New Roman" w:hAnsi="Times New Roman" w:cs="Times New Roman"/>
        </w:rPr>
        <w:t xml:space="preserve"> accessibility of quality obstetric care</w:t>
      </w:r>
      <w:r w:rsidRPr="00782A3C">
        <w:rPr>
          <w:rFonts w:ascii="Times New Roman" w:hAnsi="Times New Roman" w:cs="Times New Roman"/>
        </w:rPr>
        <w:t xml:space="preserve"> services and strengthening existing district health systems.</w:t>
      </w:r>
      <w:r>
        <w:rPr>
          <w:rStyle w:val="EndnoteReference"/>
          <w:rFonts w:ascii="Times New Roman" w:hAnsi="Times New Roman" w:cs="Times New Roman"/>
        </w:rPr>
        <w:endnoteReference w:id="15"/>
      </w:r>
      <w:r>
        <w:rPr>
          <w:rFonts w:ascii="Times New Roman" w:hAnsi="Times New Roman" w:cs="Times New Roman"/>
        </w:rPr>
        <w:t xml:space="preserve"> In addition, some </w:t>
      </w:r>
      <w:r w:rsidRPr="00782A3C">
        <w:rPr>
          <w:rFonts w:ascii="Times New Roman" w:hAnsi="Times New Roman" w:cs="Times New Roman"/>
        </w:rPr>
        <w:t>province</w:t>
      </w:r>
      <w:r>
        <w:rPr>
          <w:rFonts w:ascii="Times New Roman" w:hAnsi="Times New Roman" w:cs="Times New Roman"/>
        </w:rPr>
        <w:t>s have</w:t>
      </w:r>
      <w:r w:rsidRPr="00782A3C">
        <w:rPr>
          <w:rFonts w:ascii="Times New Roman" w:hAnsi="Times New Roman" w:cs="Times New Roman"/>
        </w:rPr>
        <w:t xml:space="preserve"> </w:t>
      </w:r>
      <w:r>
        <w:rPr>
          <w:rFonts w:ascii="Times New Roman" w:hAnsi="Times New Roman" w:cs="Times New Roman"/>
        </w:rPr>
        <w:t>adopted Health Sector Strategies, which also contain</w:t>
      </w:r>
      <w:r w:rsidRPr="00782A3C">
        <w:rPr>
          <w:rFonts w:ascii="Times New Roman" w:hAnsi="Times New Roman" w:cs="Times New Roman"/>
        </w:rPr>
        <w:t xml:space="preserve"> commitments pertaining to maternal healthcare.</w:t>
      </w:r>
      <w:r>
        <w:rPr>
          <w:rStyle w:val="EndnoteReference"/>
          <w:rFonts w:ascii="Times New Roman" w:hAnsi="Times New Roman" w:cs="Times New Roman"/>
        </w:rPr>
        <w:endnoteReference w:id="16"/>
      </w:r>
      <w:r w:rsidRPr="00782A3C">
        <w:rPr>
          <w:rFonts w:ascii="Times New Roman" w:hAnsi="Times New Roman" w:cs="Times New Roman"/>
        </w:rPr>
        <w:t xml:space="preserve"> </w:t>
      </w:r>
      <w:r>
        <w:rPr>
          <w:rFonts w:ascii="Times New Roman" w:hAnsi="Times New Roman" w:cs="Times New Roman"/>
        </w:rPr>
        <w:t xml:space="preserve">The implementation of these policies remains weak, however, as evidenced by the persistently high rates of maternal mortality. </w:t>
      </w:r>
      <w:r w:rsidR="00974738">
        <w:rPr>
          <w:rFonts w:ascii="Times New Roman" w:hAnsi="Times New Roman" w:cs="Times New Roman"/>
        </w:rPr>
        <w:t>The section below will discuss barriers to implementation in more depth, including</w:t>
      </w:r>
      <w:r>
        <w:rPr>
          <w:rFonts w:ascii="Times New Roman" w:hAnsi="Times New Roman" w:cs="Times New Roman"/>
        </w:rPr>
        <w:t xml:space="preserve"> discrimination in accessibility to healthcare. Subsequent sections will discuss other challenges to reproductive health, specifically barriers to accessing safe abortions and adolescent sexual and reproductive health services. </w:t>
      </w:r>
    </w:p>
    <w:p w14:paraId="6F2662D3" w14:textId="77777777" w:rsidR="00FC41B1" w:rsidRDefault="00FC41B1" w:rsidP="00654115">
      <w:pPr>
        <w:jc w:val="both"/>
        <w:rPr>
          <w:rFonts w:ascii="Times New Roman" w:hAnsi="Times New Roman" w:cs="Times New Roman"/>
        </w:rPr>
      </w:pPr>
    </w:p>
    <w:p w14:paraId="528AC45B" w14:textId="65625B0C" w:rsidR="00FC41B1" w:rsidRDefault="00FC41B1" w:rsidP="00B51B46">
      <w:pPr>
        <w:jc w:val="both"/>
        <w:rPr>
          <w:rFonts w:ascii="Times New Roman" w:hAnsi="Times New Roman" w:cs="Times New Roman"/>
        </w:rPr>
      </w:pPr>
      <w:r>
        <w:rPr>
          <w:rFonts w:ascii="Times New Roman" w:hAnsi="Times New Roman" w:cs="Times New Roman"/>
          <w:b/>
          <w:bCs/>
        </w:rPr>
        <w:t>Disparities in access to maternal h</w:t>
      </w:r>
      <w:r w:rsidRPr="45037EFB">
        <w:rPr>
          <w:rFonts w:ascii="Times New Roman" w:hAnsi="Times New Roman" w:cs="Times New Roman"/>
          <w:b/>
          <w:bCs/>
        </w:rPr>
        <w:t>ealthcare</w:t>
      </w:r>
      <w:r>
        <w:rPr>
          <w:rFonts w:ascii="Times New Roman" w:hAnsi="Times New Roman" w:cs="Times New Roman"/>
          <w:b/>
          <w:bCs/>
        </w:rPr>
        <w:t xml:space="preserve"> and intersectional discrimination</w:t>
      </w:r>
      <w:r w:rsidRPr="45037EFB">
        <w:rPr>
          <w:rFonts w:ascii="Times New Roman" w:hAnsi="Times New Roman" w:cs="Times New Roman"/>
          <w:b/>
          <w:bCs/>
        </w:rPr>
        <w:t>.</w:t>
      </w:r>
      <w:r>
        <w:rPr>
          <w:rFonts w:ascii="Times New Roman" w:hAnsi="Times New Roman" w:cs="Times New Roman"/>
        </w:rPr>
        <w:t xml:space="preserve"> A deeper review of the persistently high maternal mortality ratio reveals severe disparities in access to maternal healthcare. Quality obstetric care services are beyond the reach of low-income women. A study of over 1000 cases of maternal death across the country found that an overwhelming majority of women and girls who died during pregnancy and childbirth were poor.</w:t>
      </w:r>
      <w:r>
        <w:rPr>
          <w:rStyle w:val="EndnoteReference"/>
          <w:rFonts w:ascii="Times New Roman" w:hAnsi="Times New Roman" w:cs="Times New Roman"/>
        </w:rPr>
        <w:endnoteReference w:id="17"/>
      </w:r>
      <w:r>
        <w:rPr>
          <w:rFonts w:ascii="Times New Roman" w:hAnsi="Times New Roman" w:cs="Times New Roman"/>
        </w:rPr>
        <w:t xml:space="preserve"> The study concluded that “accessibility of health services </w:t>
      </w:r>
      <w:r>
        <w:rPr>
          <w:rFonts w:ascii="Times New Roman" w:hAnsi="Times New Roman" w:cs="Times New Roman"/>
        </w:rPr>
        <w:lastRenderedPageBreak/>
        <w:t>was a big hindrance to obtaining medical care.”</w:t>
      </w:r>
      <w:r>
        <w:rPr>
          <w:rStyle w:val="EndnoteReference"/>
          <w:rFonts w:ascii="Times New Roman" w:hAnsi="Times New Roman" w:cs="Times New Roman"/>
        </w:rPr>
        <w:endnoteReference w:id="18"/>
      </w:r>
      <w:r>
        <w:rPr>
          <w:rFonts w:ascii="Times New Roman" w:hAnsi="Times New Roman" w:cs="Times New Roman"/>
        </w:rPr>
        <w:t xml:space="preserve"> The Pakistan Demographic and Health Survey 2017-18 (PDHS 2017-18) noted that wealth and educational status is “highly related to whether delivery is assisted by a skilled provider and whether birth is delivered in a health facility.”</w:t>
      </w:r>
      <w:r>
        <w:rPr>
          <w:rStyle w:val="EndnoteReference"/>
          <w:rFonts w:ascii="Times New Roman" w:hAnsi="Times New Roman" w:cs="Times New Roman"/>
        </w:rPr>
        <w:endnoteReference w:id="19"/>
      </w:r>
      <w:r>
        <w:rPr>
          <w:rFonts w:ascii="Times New Roman" w:hAnsi="Times New Roman" w:cs="Times New Roman"/>
        </w:rPr>
        <w:t xml:space="preserve"> It also found disparities in access to maternal healthcare between urban and rural women: while 84% of births to urban mothers were assisted by a skilled provider, only 63% of rural women were supported by a skilled provider.</w:t>
      </w:r>
      <w:r>
        <w:rPr>
          <w:rStyle w:val="EndnoteReference"/>
          <w:rFonts w:ascii="Times New Roman" w:hAnsi="Times New Roman" w:cs="Times New Roman"/>
        </w:rPr>
        <w:endnoteReference w:id="20"/>
      </w:r>
      <w:r>
        <w:rPr>
          <w:rFonts w:ascii="Times New Roman" w:hAnsi="Times New Roman" w:cs="Times New Roman"/>
        </w:rPr>
        <w:t xml:space="preserve">  </w:t>
      </w:r>
    </w:p>
    <w:p w14:paraId="41F23EDA" w14:textId="77777777" w:rsidR="00FC41B1" w:rsidRDefault="00FC41B1" w:rsidP="00B51B46">
      <w:pPr>
        <w:jc w:val="both"/>
        <w:rPr>
          <w:rFonts w:ascii="Times New Roman" w:hAnsi="Times New Roman" w:cs="Times New Roman"/>
        </w:rPr>
      </w:pPr>
    </w:p>
    <w:p w14:paraId="1BE3FA3D" w14:textId="094BC23D" w:rsidR="00FC41B1" w:rsidRDefault="00FC41B1" w:rsidP="00B51B46">
      <w:pPr>
        <w:jc w:val="both"/>
        <w:rPr>
          <w:rFonts w:ascii="Times New Roman" w:hAnsi="Times New Roman" w:cs="Times New Roman"/>
        </w:rPr>
      </w:pPr>
      <w:r w:rsidRPr="0003228B">
        <w:rPr>
          <w:rFonts w:ascii="Times New Roman" w:hAnsi="Times New Roman" w:cs="Times New Roman"/>
          <w:b/>
        </w:rPr>
        <w:t xml:space="preserve">Inadequate budget for health services. </w:t>
      </w:r>
      <w:r w:rsidRPr="008D1D07">
        <w:rPr>
          <w:rFonts w:ascii="Times New Roman" w:hAnsi="Times New Roman" w:cs="Times New Roman"/>
        </w:rPr>
        <w:t>Although most victims of maternal mortality and morbidity are poor women, government health services remain woefully under-funded.</w:t>
      </w:r>
      <w:r>
        <w:rPr>
          <w:rFonts w:ascii="Times New Roman" w:hAnsi="Times New Roman" w:cs="Times New Roman"/>
          <w:b/>
        </w:rPr>
        <w:t xml:space="preserve"> </w:t>
      </w:r>
      <w:r w:rsidRPr="00782A3C">
        <w:rPr>
          <w:rFonts w:ascii="Times New Roman" w:hAnsi="Times New Roman" w:cs="Times New Roman"/>
        </w:rPr>
        <w:t>The health system in Pakistan continues to suffer from a lack of investment by the government. Pakistan’s expenditure in healthcare stands at 1.12% of the GDP, which is well below the World Health Organization recommendation of 6%.</w:t>
      </w:r>
      <w:r>
        <w:rPr>
          <w:rStyle w:val="EndnoteReference"/>
          <w:rFonts w:ascii="Times New Roman" w:hAnsi="Times New Roman" w:cs="Times New Roman"/>
        </w:rPr>
        <w:endnoteReference w:id="21"/>
      </w:r>
      <w:r w:rsidRPr="00782A3C">
        <w:rPr>
          <w:rFonts w:ascii="Times New Roman" w:hAnsi="Times New Roman" w:cs="Times New Roman"/>
        </w:rPr>
        <w:t xml:space="preserve">  Although government hospitals </w:t>
      </w:r>
      <w:r>
        <w:rPr>
          <w:rFonts w:ascii="Times New Roman" w:hAnsi="Times New Roman" w:cs="Times New Roman"/>
        </w:rPr>
        <w:t>and</w:t>
      </w:r>
      <w:r w:rsidRPr="00782A3C">
        <w:rPr>
          <w:rFonts w:ascii="Times New Roman" w:hAnsi="Times New Roman" w:cs="Times New Roman"/>
        </w:rPr>
        <w:t xml:space="preserve"> basic health units exist at the district level to provide secondary and primary healthcare services, most expenditure in healthcar</w:t>
      </w:r>
      <w:r>
        <w:rPr>
          <w:rFonts w:ascii="Times New Roman" w:hAnsi="Times New Roman" w:cs="Times New Roman"/>
        </w:rPr>
        <w:t>e in Pakistan is out of pocket, and i</w:t>
      </w:r>
      <w:r w:rsidRPr="00782A3C">
        <w:rPr>
          <w:rFonts w:ascii="Times New Roman" w:hAnsi="Times New Roman" w:cs="Times New Roman"/>
        </w:rPr>
        <w:t>n spite of the pu</w:t>
      </w:r>
      <w:r>
        <w:rPr>
          <w:rFonts w:ascii="Times New Roman" w:hAnsi="Times New Roman" w:cs="Times New Roman"/>
        </w:rPr>
        <w:t>blic health infrastructure, a majority</w:t>
      </w:r>
      <w:r w:rsidRPr="00782A3C">
        <w:rPr>
          <w:rFonts w:ascii="Times New Roman" w:hAnsi="Times New Roman" w:cs="Times New Roman"/>
        </w:rPr>
        <w:t xml:space="preserve"> of Pakistan’s population relies on private healthcare facilities and providers.</w:t>
      </w:r>
      <w:r>
        <w:rPr>
          <w:rStyle w:val="EndnoteReference"/>
          <w:rFonts w:ascii="Times New Roman" w:hAnsi="Times New Roman" w:cs="Times New Roman"/>
        </w:rPr>
        <w:endnoteReference w:id="22"/>
      </w:r>
      <w:r>
        <w:rPr>
          <w:rFonts w:ascii="Times New Roman" w:hAnsi="Times New Roman" w:cs="Times New Roman"/>
        </w:rPr>
        <w:t xml:space="preserve"> </w:t>
      </w:r>
      <w:r w:rsidRPr="00782A3C">
        <w:rPr>
          <w:rFonts w:ascii="Times New Roman" w:hAnsi="Times New Roman" w:cs="Times New Roman"/>
        </w:rPr>
        <w:t>In its last set of Concluding Observations, the CEDAW Committee expressed concern regarding the “inadequate budget allocated to the health sector, in particular with regard to sexual and reproductive healthcare services, especially in rural remote areas.</w:t>
      </w:r>
      <w:r>
        <w:rPr>
          <w:rFonts w:ascii="Times New Roman" w:hAnsi="Times New Roman" w:cs="Times New Roman"/>
        </w:rPr>
        <w:t>”</w:t>
      </w:r>
      <w:r w:rsidRPr="00782A3C">
        <w:rPr>
          <w:rStyle w:val="EndnoteReference"/>
          <w:rFonts w:ascii="Times New Roman" w:hAnsi="Times New Roman" w:cs="Times New Roman"/>
        </w:rPr>
        <w:endnoteReference w:id="23"/>
      </w:r>
    </w:p>
    <w:p w14:paraId="201560EB" w14:textId="77777777" w:rsidR="00FC41B1" w:rsidRDefault="00FC41B1" w:rsidP="00B51B46">
      <w:pPr>
        <w:jc w:val="both"/>
        <w:rPr>
          <w:rFonts w:ascii="Times New Roman" w:hAnsi="Times New Roman" w:cs="Times New Roman"/>
        </w:rPr>
      </w:pPr>
    </w:p>
    <w:p w14:paraId="3404B575" w14:textId="3A6760B2" w:rsidR="00FC41B1" w:rsidRDefault="00FC41B1" w:rsidP="008A356A">
      <w:pPr>
        <w:jc w:val="both"/>
        <w:rPr>
          <w:rFonts w:ascii="Times New Roman" w:hAnsi="Times New Roman" w:cs="Times New Roman"/>
        </w:rPr>
      </w:pPr>
      <w:r w:rsidRPr="0003228B">
        <w:rPr>
          <w:rFonts w:ascii="Times New Roman" w:hAnsi="Times New Roman" w:cs="Times New Roman"/>
          <w:b/>
        </w:rPr>
        <w:t xml:space="preserve">Need for implementation of court orders to address fistula. </w:t>
      </w:r>
      <w:r>
        <w:rPr>
          <w:rFonts w:ascii="Times New Roman" w:hAnsi="Times New Roman" w:cs="Times New Roman"/>
        </w:rPr>
        <w:t>A constitutional petition filed in 2015 before a Provincial High Court on behalf of a woman who developed obstetric fistula requested that the government of Sindh province be directed to implement policies pertaining to obstetric care services in order to prevent the incidence of obstetric fistula.</w:t>
      </w:r>
      <w:r>
        <w:rPr>
          <w:rStyle w:val="EndnoteReference"/>
          <w:rFonts w:ascii="Times New Roman" w:hAnsi="Times New Roman" w:cs="Times New Roman"/>
        </w:rPr>
        <w:endnoteReference w:id="24"/>
      </w:r>
      <w:r>
        <w:rPr>
          <w:rFonts w:ascii="Times New Roman" w:hAnsi="Times New Roman" w:cs="Times New Roman"/>
        </w:rPr>
        <w:t xml:space="preserve"> The petition</w:t>
      </w:r>
      <w:r w:rsidR="00D05F08">
        <w:rPr>
          <w:rFonts w:ascii="Times New Roman" w:hAnsi="Times New Roman" w:cs="Times New Roman"/>
        </w:rPr>
        <w:t xml:space="preserve">, in the case of </w:t>
      </w:r>
      <w:r w:rsidR="00D05F08" w:rsidRPr="00BC69A8">
        <w:rPr>
          <w:rFonts w:ascii="Times New Roman" w:hAnsi="Times New Roman" w:cs="Times New Roman"/>
          <w:i/>
        </w:rPr>
        <w:t xml:space="preserve">Dr. </w:t>
      </w:r>
      <w:proofErr w:type="spellStart"/>
      <w:r w:rsidR="00D05F08" w:rsidRPr="00BC69A8">
        <w:rPr>
          <w:rFonts w:ascii="Times New Roman" w:hAnsi="Times New Roman" w:cs="Times New Roman"/>
          <w:i/>
        </w:rPr>
        <w:t>Shershah</w:t>
      </w:r>
      <w:proofErr w:type="spellEnd"/>
      <w:r w:rsidR="00D05F08" w:rsidRPr="00BC69A8">
        <w:rPr>
          <w:rFonts w:ascii="Times New Roman" w:hAnsi="Times New Roman" w:cs="Times New Roman"/>
          <w:i/>
        </w:rPr>
        <w:t xml:space="preserve"> Syed &amp; Another v. Province of Sindh &amp; Others</w:t>
      </w:r>
      <w:r w:rsidR="00D05F08">
        <w:rPr>
          <w:rFonts w:ascii="Times New Roman" w:hAnsi="Times New Roman" w:cs="Times New Roman"/>
        </w:rPr>
        <w:t xml:space="preserve"> (C.P. 4243 of 2015),</w:t>
      </w:r>
      <w:r>
        <w:rPr>
          <w:rFonts w:ascii="Times New Roman" w:hAnsi="Times New Roman" w:cs="Times New Roman"/>
        </w:rPr>
        <w:t xml:space="preserve"> also requested that the government of Sindh be directed to ensure access to affordable fistula repair surgery. During the pendency of the petition, the Sindh Government disclosed that more than 50% of the sanctioned posts for gynecologists in government hospitals in Sindh were vacant, indicating that comprehensive obstetric care was not available in a large number of government health facilities.</w:t>
      </w:r>
      <w:r>
        <w:rPr>
          <w:rStyle w:val="EndnoteReference"/>
          <w:rFonts w:ascii="Times New Roman" w:hAnsi="Times New Roman" w:cs="Times New Roman"/>
        </w:rPr>
        <w:endnoteReference w:id="25"/>
      </w:r>
      <w:r>
        <w:rPr>
          <w:rFonts w:ascii="Times New Roman" w:hAnsi="Times New Roman" w:cs="Times New Roman"/>
        </w:rPr>
        <w:t xml:space="preserve"> In 2019, the High Court of Sindh passed an order directing the Sindh government to establish four fistula repair centers across Sindh to increase access to fistula repair surgery and recruit gynecologists to fill vacancies in government hospitals across Sindh to increase availability of comprehensive obstetric care.</w:t>
      </w:r>
      <w:r>
        <w:rPr>
          <w:rStyle w:val="EndnoteReference"/>
          <w:rFonts w:ascii="Times New Roman" w:hAnsi="Times New Roman" w:cs="Times New Roman"/>
        </w:rPr>
        <w:endnoteReference w:id="26"/>
      </w:r>
      <w:r>
        <w:rPr>
          <w:rFonts w:ascii="Times New Roman" w:hAnsi="Times New Roman" w:cs="Times New Roman"/>
        </w:rPr>
        <w:t xml:space="preserve"> The order is yet to be fully implemented. A compliance report from the Sindh Government detailing the measures it has taken to comply with the orders of the High Court was due in May 2019; the report has not yet been submitted.  </w:t>
      </w:r>
    </w:p>
    <w:p w14:paraId="5EB0E05A" w14:textId="77777777" w:rsidR="00FC41B1" w:rsidRDefault="00FC41B1" w:rsidP="00B87DBC">
      <w:pPr>
        <w:jc w:val="both"/>
        <w:rPr>
          <w:rFonts w:ascii="Times New Roman" w:hAnsi="Times New Roman" w:cs="Times New Roman"/>
          <w:b/>
        </w:rPr>
      </w:pPr>
    </w:p>
    <w:p w14:paraId="1D2FC5EB" w14:textId="358D07BB" w:rsidR="00FC41B1" w:rsidRDefault="00FC41B1" w:rsidP="00B87DBC">
      <w:pPr>
        <w:jc w:val="both"/>
        <w:rPr>
          <w:rFonts w:ascii="Times New Roman" w:hAnsi="Times New Roman" w:cs="Times New Roman"/>
        </w:rPr>
      </w:pPr>
      <w:r w:rsidRPr="00654115">
        <w:rPr>
          <w:rFonts w:ascii="Times New Roman" w:hAnsi="Times New Roman" w:cs="Times New Roman"/>
          <w:b/>
        </w:rPr>
        <w:t>Attacks on Lady Health Workers</w:t>
      </w:r>
      <w:r w:rsidRPr="00654115">
        <w:rPr>
          <w:rFonts w:ascii="Times New Roman" w:hAnsi="Times New Roman" w:cs="Times New Roman"/>
          <w:b/>
          <w:i/>
        </w:rPr>
        <w:t>.</w:t>
      </w:r>
      <w:r>
        <w:rPr>
          <w:rFonts w:ascii="Times New Roman" w:hAnsi="Times New Roman" w:cs="Times New Roman"/>
          <w:b/>
        </w:rPr>
        <w:t xml:space="preserve"> </w:t>
      </w:r>
      <w:r w:rsidRPr="00782A3C">
        <w:rPr>
          <w:rFonts w:ascii="Times New Roman" w:hAnsi="Times New Roman" w:cs="Times New Roman"/>
        </w:rPr>
        <w:t>The Lady Health Worker program, which was implemented in 1994 by the Ministry of Health continues to provide primary healthcare services, including contraceptive services, through community health workers.</w:t>
      </w:r>
      <w:r>
        <w:rPr>
          <w:rStyle w:val="EndnoteReference"/>
          <w:rFonts w:ascii="Times New Roman" w:hAnsi="Times New Roman" w:cs="Times New Roman"/>
        </w:rPr>
        <w:endnoteReference w:id="27"/>
      </w:r>
      <w:r>
        <w:rPr>
          <w:rFonts w:ascii="Times New Roman" w:hAnsi="Times New Roman" w:cs="Times New Roman"/>
        </w:rPr>
        <w:t xml:space="preserve">  Pakistan should be commend</w:t>
      </w:r>
      <w:r w:rsidRPr="00782A3C">
        <w:rPr>
          <w:rFonts w:ascii="Times New Roman" w:hAnsi="Times New Roman" w:cs="Times New Roman"/>
        </w:rPr>
        <w:t>ed f</w:t>
      </w:r>
      <w:r>
        <w:rPr>
          <w:rFonts w:ascii="Times New Roman" w:hAnsi="Times New Roman" w:cs="Times New Roman"/>
        </w:rPr>
        <w:t xml:space="preserve">or the success of its Lady Health Worker (LHW) </w:t>
      </w:r>
      <w:r w:rsidRPr="00782A3C">
        <w:rPr>
          <w:rFonts w:ascii="Times New Roman" w:hAnsi="Times New Roman" w:cs="Times New Roman"/>
        </w:rPr>
        <w:t xml:space="preserve">program, </w:t>
      </w:r>
      <w:r>
        <w:rPr>
          <w:rFonts w:ascii="Times New Roman" w:hAnsi="Times New Roman" w:cs="Times New Roman"/>
        </w:rPr>
        <w:t>which has shown to be effective</w:t>
      </w:r>
      <w:r w:rsidRPr="00782A3C">
        <w:rPr>
          <w:rFonts w:ascii="Times New Roman" w:hAnsi="Times New Roman" w:cs="Times New Roman"/>
        </w:rPr>
        <w:t xml:space="preserve"> in improving maternal and child health.</w:t>
      </w:r>
      <w:r>
        <w:rPr>
          <w:rStyle w:val="EndnoteReference"/>
          <w:rFonts w:ascii="Times New Roman" w:hAnsi="Times New Roman" w:cs="Times New Roman"/>
        </w:rPr>
        <w:endnoteReference w:id="28"/>
      </w:r>
      <w:r w:rsidRPr="00782A3C">
        <w:rPr>
          <w:rFonts w:ascii="Times New Roman" w:hAnsi="Times New Roman" w:cs="Times New Roman"/>
        </w:rPr>
        <w:t xml:space="preserve"> </w:t>
      </w:r>
      <w:r>
        <w:rPr>
          <w:rFonts w:ascii="Times New Roman" w:hAnsi="Times New Roman" w:cs="Times New Roman"/>
        </w:rPr>
        <w:t>External reviews of the program confirm that populations served by LHWs have substantially better indicators than those that are not.</w:t>
      </w:r>
      <w:r>
        <w:rPr>
          <w:rStyle w:val="EndnoteReference"/>
          <w:rFonts w:ascii="Times New Roman" w:hAnsi="Times New Roman" w:cs="Times New Roman"/>
        </w:rPr>
        <w:endnoteReference w:id="29"/>
      </w:r>
      <w:r>
        <w:rPr>
          <w:rFonts w:ascii="Times New Roman" w:hAnsi="Times New Roman" w:cs="Times New Roman"/>
        </w:rPr>
        <w:t xml:space="preserve"> However, the government has not guaranteed sufficient protections for the LHWs, which limits the potential of the program to influence access to reproductive health services even more significantly. In many areas, </w:t>
      </w:r>
      <w:r w:rsidRPr="00782A3C">
        <w:rPr>
          <w:rFonts w:ascii="Times New Roman" w:hAnsi="Times New Roman" w:cs="Times New Roman"/>
        </w:rPr>
        <w:t>LHWs are vulnerable to sexual harassment and physical violence, and several have been killed while performing their duty.</w:t>
      </w:r>
      <w:r>
        <w:rPr>
          <w:rStyle w:val="EndnoteReference"/>
          <w:rFonts w:ascii="Times New Roman" w:hAnsi="Times New Roman" w:cs="Times New Roman"/>
        </w:rPr>
        <w:endnoteReference w:id="30"/>
      </w:r>
      <w:r w:rsidRPr="00782A3C">
        <w:rPr>
          <w:rFonts w:ascii="Times New Roman" w:hAnsi="Times New Roman" w:cs="Times New Roman"/>
        </w:rPr>
        <w:t xml:space="preserve"> </w:t>
      </w:r>
      <w:r>
        <w:rPr>
          <w:rFonts w:ascii="Times New Roman" w:hAnsi="Times New Roman" w:cs="Times New Roman"/>
        </w:rPr>
        <w:t xml:space="preserve">The threats to LHWs intensified </w:t>
      </w:r>
      <w:r>
        <w:rPr>
          <w:rFonts w:ascii="Times New Roman" w:hAnsi="Times New Roman" w:cs="Times New Roman"/>
        </w:rPr>
        <w:lastRenderedPageBreak/>
        <w:t>after militant groups began to target them in their campaign to disrupt polio vaccination drives.</w:t>
      </w:r>
      <w:r>
        <w:rPr>
          <w:rStyle w:val="EndnoteReference"/>
          <w:rFonts w:ascii="Times New Roman" w:hAnsi="Times New Roman" w:cs="Times New Roman"/>
        </w:rPr>
        <w:endnoteReference w:id="31"/>
      </w:r>
      <w:r>
        <w:rPr>
          <w:rFonts w:ascii="Times New Roman" w:hAnsi="Times New Roman" w:cs="Times New Roman"/>
        </w:rPr>
        <w:t xml:space="preserve"> Further, a</w:t>
      </w:r>
      <w:r w:rsidRPr="00782A3C">
        <w:rPr>
          <w:rFonts w:ascii="Times New Roman" w:hAnsi="Times New Roman" w:cs="Times New Roman"/>
        </w:rPr>
        <w:t xml:space="preserve"> proper service structure</w:t>
      </w:r>
      <w:r>
        <w:rPr>
          <w:rFonts w:ascii="Times New Roman" w:hAnsi="Times New Roman" w:cs="Times New Roman"/>
        </w:rPr>
        <w:t>, granting wage and benefits protections, f</w:t>
      </w:r>
      <w:r w:rsidRPr="00782A3C">
        <w:rPr>
          <w:rFonts w:ascii="Times New Roman" w:hAnsi="Times New Roman" w:cs="Times New Roman"/>
        </w:rPr>
        <w:t>or LHWs is yet to be implemented, and LHWs report long delays in payment of their wages.</w:t>
      </w:r>
      <w:r w:rsidRPr="00782A3C">
        <w:rPr>
          <w:rStyle w:val="EndnoteReference"/>
          <w:rFonts w:ascii="Times New Roman" w:hAnsi="Times New Roman" w:cs="Times New Roman"/>
        </w:rPr>
        <w:endnoteReference w:id="32"/>
      </w:r>
      <w:r w:rsidRPr="00782A3C">
        <w:rPr>
          <w:rFonts w:ascii="Times New Roman" w:hAnsi="Times New Roman" w:cs="Times New Roman"/>
        </w:rPr>
        <w:t xml:space="preserve">  </w:t>
      </w:r>
    </w:p>
    <w:p w14:paraId="7D48B673" w14:textId="2C974301" w:rsidR="00FC41B1" w:rsidRDefault="00FC41B1" w:rsidP="00B87DBC">
      <w:pPr>
        <w:jc w:val="both"/>
        <w:rPr>
          <w:rFonts w:ascii="Times New Roman" w:hAnsi="Times New Roman" w:cs="Times New Roman"/>
        </w:rPr>
      </w:pPr>
    </w:p>
    <w:p w14:paraId="7AA32E89" w14:textId="4EFFB2C4" w:rsidR="00FC41B1" w:rsidRDefault="00FC41B1" w:rsidP="00704475">
      <w:pPr>
        <w:jc w:val="both"/>
        <w:rPr>
          <w:rFonts w:ascii="Times New Roman" w:hAnsi="Times New Roman" w:cs="Times New Roman"/>
        </w:rPr>
      </w:pPr>
      <w:r w:rsidRPr="0003228B">
        <w:rPr>
          <w:rFonts w:ascii="Times New Roman" w:hAnsi="Times New Roman" w:cs="Times New Roman"/>
          <w:b/>
        </w:rPr>
        <w:t xml:space="preserve">Barriers </w:t>
      </w:r>
      <w:r>
        <w:rPr>
          <w:rFonts w:ascii="Times New Roman" w:hAnsi="Times New Roman" w:cs="Times New Roman"/>
          <w:b/>
        </w:rPr>
        <w:t>t</w:t>
      </w:r>
      <w:r w:rsidRPr="0003228B">
        <w:rPr>
          <w:rFonts w:ascii="Times New Roman" w:hAnsi="Times New Roman" w:cs="Times New Roman"/>
          <w:b/>
        </w:rPr>
        <w:t>o Contraception</w:t>
      </w:r>
      <w:r>
        <w:rPr>
          <w:rFonts w:ascii="Times New Roman" w:hAnsi="Times New Roman" w:cs="Times New Roman"/>
          <w:b/>
        </w:rPr>
        <w:t xml:space="preserve"> Information and Services</w:t>
      </w:r>
      <w:r w:rsidRPr="0003228B">
        <w:rPr>
          <w:rFonts w:ascii="Times New Roman" w:hAnsi="Times New Roman" w:cs="Times New Roman"/>
          <w:b/>
        </w:rPr>
        <w:t>.</w:t>
      </w:r>
      <w:r>
        <w:rPr>
          <w:rFonts w:ascii="Times New Roman" w:hAnsi="Times New Roman" w:cs="Times New Roman"/>
        </w:rPr>
        <w:t xml:space="preserve"> In spite of the policies and programs pertaining to the obstetric care, contraceptive prevalence rates in Pakistan remain low. This leads to high rates of unintended pregnancy, which contributes to the high MMR.</w:t>
      </w:r>
      <w:r>
        <w:rPr>
          <w:rStyle w:val="EndnoteReference"/>
          <w:rFonts w:ascii="Times New Roman" w:hAnsi="Times New Roman" w:cs="Times New Roman"/>
        </w:rPr>
        <w:endnoteReference w:id="33"/>
      </w:r>
      <w:r>
        <w:rPr>
          <w:rFonts w:ascii="Times New Roman" w:hAnsi="Times New Roman" w:cs="Times New Roman"/>
        </w:rPr>
        <w:t xml:space="preserve"> According to a 2012 study, nearly half of all pregnancies in Pakistan were unintended.</w:t>
      </w:r>
      <w:r>
        <w:rPr>
          <w:rStyle w:val="EndnoteReference"/>
          <w:rFonts w:ascii="Times New Roman" w:hAnsi="Times New Roman" w:cs="Times New Roman"/>
        </w:rPr>
        <w:endnoteReference w:id="34"/>
      </w:r>
      <w:r>
        <w:rPr>
          <w:rFonts w:ascii="Times New Roman" w:hAnsi="Times New Roman" w:cs="Times New Roman"/>
        </w:rPr>
        <w:t xml:space="preserve"> It is highly concerning that the use of contraceptive methods has remained stagnant over the past 5 years.</w:t>
      </w:r>
      <w:r>
        <w:rPr>
          <w:rStyle w:val="EndnoteReference"/>
          <w:rFonts w:ascii="Times New Roman" w:hAnsi="Times New Roman" w:cs="Times New Roman"/>
        </w:rPr>
        <w:endnoteReference w:id="35"/>
      </w:r>
      <w:r>
        <w:rPr>
          <w:rFonts w:ascii="Times New Roman" w:hAnsi="Times New Roman" w:cs="Times New Roman"/>
        </w:rPr>
        <w:t xml:space="preserve"> The CEDAW Committee has recognized that lack of access to contraceptives contributes to maternal mortality by denying women the ability to prevent unwanted pregnancies and by exposing them to the risk of pregnancy complications as well as unsafe abortion complications.</w:t>
      </w:r>
      <w:r>
        <w:rPr>
          <w:rStyle w:val="EndnoteReference"/>
          <w:rFonts w:ascii="Times New Roman" w:hAnsi="Times New Roman" w:cs="Times New Roman"/>
        </w:rPr>
        <w:endnoteReference w:id="36"/>
      </w:r>
      <w:r>
        <w:rPr>
          <w:rFonts w:ascii="Times New Roman" w:hAnsi="Times New Roman" w:cs="Times New Roman"/>
        </w:rPr>
        <w:t xml:space="preserve"> </w:t>
      </w:r>
    </w:p>
    <w:p w14:paraId="092A4BAA" w14:textId="77777777" w:rsidR="00FC41B1" w:rsidRDefault="00FC41B1" w:rsidP="0001701C">
      <w:pPr>
        <w:jc w:val="both"/>
        <w:rPr>
          <w:rFonts w:ascii="Times New Roman" w:hAnsi="Times New Roman" w:cs="Times New Roman"/>
        </w:rPr>
      </w:pPr>
    </w:p>
    <w:p w14:paraId="6CC23C3E" w14:textId="7E6E63E0" w:rsidR="00FC41B1" w:rsidRDefault="00FC41B1" w:rsidP="0001701C">
      <w:pPr>
        <w:jc w:val="both"/>
        <w:rPr>
          <w:rFonts w:ascii="Times New Roman" w:hAnsi="Times New Roman" w:cs="Times New Roman"/>
        </w:rPr>
      </w:pPr>
      <w:r w:rsidRPr="00782A3C">
        <w:rPr>
          <w:rFonts w:ascii="Times New Roman" w:hAnsi="Times New Roman" w:cs="Times New Roman"/>
        </w:rPr>
        <w:t>In its last set of Concluding Observations, the Committee expressed “concern about the high mortality rate” as well as “women’s lack of adequate access to family planning services.”</w:t>
      </w:r>
      <w:r>
        <w:rPr>
          <w:rStyle w:val="EndnoteReference"/>
          <w:rFonts w:ascii="Times New Roman" w:hAnsi="Times New Roman" w:cs="Times New Roman"/>
        </w:rPr>
        <w:endnoteReference w:id="37"/>
      </w:r>
      <w:r w:rsidRPr="00782A3C">
        <w:rPr>
          <w:rFonts w:ascii="Times New Roman" w:hAnsi="Times New Roman" w:cs="Times New Roman"/>
        </w:rPr>
        <w:t xml:space="preserve"> The Committee recommended that the State Party “improve women’s access to health-care facilities and medical assistance by trained personnel, especially in rural and remote areas, and ensure access to affordable contraceptive methods throughout the country.”</w:t>
      </w:r>
      <w:r>
        <w:rPr>
          <w:rStyle w:val="EndnoteReference"/>
          <w:rFonts w:ascii="Times New Roman" w:hAnsi="Times New Roman" w:cs="Times New Roman"/>
        </w:rPr>
        <w:endnoteReference w:id="38"/>
      </w:r>
      <w:r>
        <w:rPr>
          <w:rFonts w:ascii="Times New Roman" w:hAnsi="Times New Roman" w:cs="Times New Roman"/>
        </w:rPr>
        <w:t xml:space="preserve"> General Recommendation 24</w:t>
      </w:r>
      <w:r w:rsidRPr="00782A3C">
        <w:rPr>
          <w:rFonts w:ascii="Times New Roman" w:hAnsi="Times New Roman" w:cs="Times New Roman"/>
        </w:rPr>
        <w:t xml:space="preserve"> obligates states “to take appropriate legislative, judicial, administrative, budgetary, economic and other measures to the maximum extent of their available resources to ensure that women realize their rights to health care,”</w:t>
      </w:r>
      <w:r w:rsidRPr="00782A3C">
        <w:rPr>
          <w:rStyle w:val="EndnoteReference"/>
          <w:rFonts w:ascii="Times New Roman" w:hAnsi="Times New Roman" w:cs="Times New Roman"/>
        </w:rPr>
        <w:endnoteReference w:id="39"/>
      </w:r>
      <w:r w:rsidRPr="00782A3C">
        <w:rPr>
          <w:rFonts w:ascii="Times New Roman" w:hAnsi="Times New Roman" w:cs="Times New Roman"/>
        </w:rPr>
        <w:t xml:space="preserve"> and links high maternal mortality and morbidity rates with a failure to do so.</w:t>
      </w:r>
      <w:r w:rsidRPr="00782A3C">
        <w:rPr>
          <w:rStyle w:val="EndnoteReference"/>
          <w:rFonts w:ascii="Times New Roman" w:hAnsi="Times New Roman" w:cs="Times New Roman"/>
        </w:rPr>
        <w:endnoteReference w:id="40"/>
      </w:r>
      <w:r>
        <w:rPr>
          <w:rFonts w:ascii="Times New Roman" w:hAnsi="Times New Roman" w:cs="Times New Roman"/>
        </w:rPr>
        <w:t xml:space="preserve"> It is encouraging that the State Party’s report references a number of policies and programs initiated in order to address maternal health.</w:t>
      </w:r>
      <w:r>
        <w:rPr>
          <w:rStyle w:val="EndnoteReference"/>
          <w:rFonts w:ascii="Times New Roman" w:hAnsi="Times New Roman" w:cs="Times New Roman"/>
        </w:rPr>
        <w:endnoteReference w:id="41"/>
      </w:r>
      <w:r>
        <w:rPr>
          <w:rFonts w:ascii="Times New Roman" w:hAnsi="Times New Roman" w:cs="Times New Roman"/>
        </w:rPr>
        <w:t xml:space="preserve">  However, the report does not contain an assessment of these programs and the State Party should provide more information on the measures it has taken to ensure that policies and programs have an impact on accessibility and availability of reproductive health services. </w:t>
      </w:r>
    </w:p>
    <w:p w14:paraId="25321E6A" w14:textId="77777777" w:rsidR="00FC41B1" w:rsidRPr="00782A3C" w:rsidRDefault="00FC41B1" w:rsidP="00B87DBC">
      <w:pPr>
        <w:jc w:val="both"/>
        <w:rPr>
          <w:rFonts w:ascii="Times New Roman" w:hAnsi="Times New Roman" w:cs="Times New Roman"/>
        </w:rPr>
      </w:pPr>
    </w:p>
    <w:p w14:paraId="0EC599CF" w14:textId="0A51148E" w:rsidR="00FC41B1" w:rsidRPr="00F41177" w:rsidRDefault="00FC41B1" w:rsidP="00B87DBC">
      <w:pPr>
        <w:jc w:val="both"/>
        <w:rPr>
          <w:rStyle w:val="BookTitle"/>
          <w:rFonts w:ascii="Times New Roman" w:hAnsi="Times New Roman" w:cs="Times New Roman"/>
        </w:rPr>
      </w:pPr>
      <w:r>
        <w:rPr>
          <w:rFonts w:ascii="Times New Roman" w:hAnsi="Times New Roman" w:cs="Times New Roman"/>
          <w:b/>
        </w:rPr>
        <w:t xml:space="preserve">II.  </w:t>
      </w:r>
      <w:r w:rsidRPr="00F41177">
        <w:rPr>
          <w:rStyle w:val="BookTitle"/>
          <w:rFonts w:ascii="Times New Roman" w:hAnsi="Times New Roman" w:cs="Times New Roman"/>
        </w:rPr>
        <w:t xml:space="preserve">Barriers To Accessing Safe Abortion Services (Articles </w:t>
      </w:r>
      <w:r>
        <w:rPr>
          <w:rStyle w:val="BookTitle"/>
          <w:rFonts w:ascii="Times New Roman" w:hAnsi="Times New Roman" w:cs="Times New Roman"/>
        </w:rPr>
        <w:t>1, 12, 16</w:t>
      </w:r>
      <w:r w:rsidRPr="00F41177">
        <w:rPr>
          <w:rStyle w:val="BookTitle"/>
          <w:rFonts w:ascii="Times New Roman" w:hAnsi="Times New Roman" w:cs="Times New Roman"/>
        </w:rPr>
        <w:t>)</w:t>
      </w:r>
    </w:p>
    <w:p w14:paraId="4DAA50BF" w14:textId="77777777" w:rsidR="00FC41B1" w:rsidRPr="00782A3C" w:rsidRDefault="00FC41B1" w:rsidP="00B87DBC">
      <w:pPr>
        <w:jc w:val="both"/>
        <w:rPr>
          <w:rFonts w:ascii="Times New Roman" w:hAnsi="Times New Roman" w:cs="Times New Roman"/>
        </w:rPr>
      </w:pPr>
    </w:p>
    <w:p w14:paraId="7E912B92" w14:textId="15A6654C" w:rsidR="00FC41B1" w:rsidRPr="00696C72" w:rsidRDefault="00FC41B1" w:rsidP="00B87DBC">
      <w:pPr>
        <w:jc w:val="both"/>
        <w:rPr>
          <w:rFonts w:ascii="Times New Roman" w:hAnsi="Times New Roman" w:cs="Times New Roman"/>
        </w:rPr>
      </w:pPr>
      <w:r>
        <w:rPr>
          <w:rFonts w:ascii="Times New Roman" w:hAnsi="Times New Roman" w:cs="Times New Roman"/>
        </w:rPr>
        <w:t>The CEDAW Committee has found that restrictive abortion laws violate a range of human rights, including the right to non-discrimination in health-care (Article 12) and in all matters related to marriage and family relations (Article 16), and has recognized the connection between restrictive abortion laws, high rates of unsafe abortion and maternal mortality.</w:t>
      </w:r>
      <w:r>
        <w:rPr>
          <w:rStyle w:val="EndnoteReference"/>
          <w:rFonts w:ascii="Times New Roman" w:hAnsi="Times New Roman" w:cs="Times New Roman"/>
        </w:rPr>
        <w:endnoteReference w:id="42"/>
      </w:r>
      <w:r>
        <w:rPr>
          <w:rFonts w:ascii="Times New Roman" w:hAnsi="Times New Roman" w:cs="Times New Roman"/>
        </w:rPr>
        <w:t xml:space="preserve"> The CEDAW Committee has also recognized that at a minimum, abortion must be legal when a woman’s life or health is at risk, in cases of rape and incest, and in cases of severe or fatal fetal impairment.</w:t>
      </w:r>
      <w:r>
        <w:rPr>
          <w:rStyle w:val="EndnoteReference"/>
          <w:rFonts w:ascii="Times New Roman" w:hAnsi="Times New Roman" w:cs="Times New Roman"/>
        </w:rPr>
        <w:endnoteReference w:id="43"/>
      </w:r>
      <w:r>
        <w:rPr>
          <w:rFonts w:ascii="Times New Roman" w:hAnsi="Times New Roman" w:cs="Times New Roman"/>
        </w:rPr>
        <w:t xml:space="preserve"> </w:t>
      </w:r>
    </w:p>
    <w:p w14:paraId="469993FE" w14:textId="77777777" w:rsidR="00FC41B1" w:rsidRDefault="00FC41B1" w:rsidP="00B87DBC">
      <w:pPr>
        <w:jc w:val="both"/>
        <w:rPr>
          <w:rFonts w:ascii="Times New Roman" w:hAnsi="Times New Roman" w:cs="Times New Roman"/>
        </w:rPr>
      </w:pPr>
    </w:p>
    <w:p w14:paraId="0A3E383A" w14:textId="050DBEC4" w:rsidR="00FC41B1" w:rsidRPr="00782A3C" w:rsidRDefault="00FC41B1" w:rsidP="00C469C3">
      <w:pPr>
        <w:spacing w:after="240"/>
        <w:jc w:val="both"/>
        <w:rPr>
          <w:rFonts w:ascii="Times New Roman" w:hAnsi="Times New Roman" w:cs="Times New Roman"/>
        </w:rPr>
      </w:pPr>
      <w:r>
        <w:rPr>
          <w:rFonts w:ascii="Times New Roman" w:hAnsi="Times New Roman" w:cs="Times New Roman"/>
        </w:rPr>
        <w:t xml:space="preserve">Restrictive abortion laws in Pakistan deny women their right to access safe abortion services. </w:t>
      </w:r>
      <w:r w:rsidRPr="00782A3C">
        <w:rPr>
          <w:rFonts w:ascii="Times New Roman" w:hAnsi="Times New Roman" w:cs="Times New Roman"/>
        </w:rPr>
        <w:t xml:space="preserve">Abortion is criminalized under Pakistan’s Penal Code unless it is to save the life of the woman or provide “necessary treatment” </w:t>
      </w:r>
      <w:r>
        <w:rPr>
          <w:rFonts w:ascii="Times New Roman" w:hAnsi="Times New Roman" w:cs="Times New Roman"/>
        </w:rPr>
        <w:t xml:space="preserve">to a woman </w:t>
      </w:r>
      <w:r w:rsidRPr="00782A3C">
        <w:rPr>
          <w:rFonts w:ascii="Times New Roman" w:hAnsi="Times New Roman" w:cs="Times New Roman"/>
        </w:rPr>
        <w:t>before the organs of the fetus have been formed.</w:t>
      </w:r>
      <w:r>
        <w:rPr>
          <w:rStyle w:val="EndnoteReference"/>
          <w:rFonts w:ascii="Times New Roman" w:hAnsi="Times New Roman" w:cs="Times New Roman"/>
        </w:rPr>
        <w:endnoteReference w:id="44"/>
      </w:r>
      <w:r w:rsidRPr="00782A3C">
        <w:rPr>
          <w:rFonts w:ascii="Times New Roman" w:hAnsi="Times New Roman" w:cs="Times New Roman"/>
        </w:rPr>
        <w:t xml:space="preserve"> The law </w:t>
      </w:r>
      <w:r>
        <w:rPr>
          <w:rFonts w:ascii="Times New Roman" w:hAnsi="Times New Roman" w:cs="Times New Roman"/>
        </w:rPr>
        <w:t>does not define “necessary treatment”</w:t>
      </w:r>
      <w:r w:rsidR="00D05F08">
        <w:rPr>
          <w:rFonts w:ascii="Times New Roman" w:hAnsi="Times New Roman" w:cs="Times New Roman"/>
        </w:rPr>
        <w:t xml:space="preserve"> creating ambiguity for the providers and women about when abortion is not criminalized.</w:t>
      </w:r>
      <w:r w:rsidRPr="00782A3C">
        <w:rPr>
          <w:rFonts w:ascii="Times New Roman" w:hAnsi="Times New Roman" w:cs="Times New Roman"/>
        </w:rPr>
        <w:t xml:space="preserve"> Once the organs have been formed, abortion is permitted only to save the life of the pregnant woman.</w:t>
      </w:r>
      <w:r>
        <w:rPr>
          <w:rStyle w:val="EndnoteReference"/>
          <w:rFonts w:ascii="Times New Roman" w:hAnsi="Times New Roman" w:cs="Times New Roman"/>
        </w:rPr>
        <w:endnoteReference w:id="45"/>
      </w:r>
      <w:r w:rsidRPr="00782A3C">
        <w:rPr>
          <w:rFonts w:ascii="Times New Roman" w:hAnsi="Times New Roman" w:cs="Times New Roman"/>
        </w:rPr>
        <w:t xml:space="preserve">  Aside from these two exceptions, abortion remains criminalized</w:t>
      </w:r>
      <w:r>
        <w:rPr>
          <w:rFonts w:ascii="Times New Roman" w:hAnsi="Times New Roman" w:cs="Times New Roman"/>
        </w:rPr>
        <w:t>, and women undergoing abortions as well as service providers are liable to criminal penalties</w:t>
      </w:r>
      <w:r w:rsidRPr="00782A3C">
        <w:rPr>
          <w:rFonts w:ascii="Times New Roman" w:hAnsi="Times New Roman" w:cs="Times New Roman"/>
        </w:rPr>
        <w:t>.</w:t>
      </w:r>
      <w:r>
        <w:rPr>
          <w:rStyle w:val="EndnoteReference"/>
          <w:rFonts w:ascii="Times New Roman" w:hAnsi="Times New Roman" w:cs="Times New Roman"/>
        </w:rPr>
        <w:endnoteReference w:id="46"/>
      </w:r>
      <w:r w:rsidRPr="00782A3C">
        <w:rPr>
          <w:rFonts w:ascii="Times New Roman" w:hAnsi="Times New Roman" w:cs="Times New Roman"/>
        </w:rPr>
        <w:t xml:space="preserve"> </w:t>
      </w:r>
      <w:r>
        <w:rPr>
          <w:rFonts w:ascii="Times New Roman" w:hAnsi="Times New Roman" w:cs="Times New Roman"/>
        </w:rPr>
        <w:t xml:space="preserve">Although the government has taken some positive policy measures to promote safe </w:t>
      </w:r>
      <w:r>
        <w:rPr>
          <w:rFonts w:ascii="Times New Roman" w:hAnsi="Times New Roman" w:cs="Times New Roman"/>
        </w:rPr>
        <w:lastRenderedPageBreak/>
        <w:t>abortion services, these policies are in the form of guidelines to service providers that are not legally binding and do not contain provisions regarding monitoring and accountability.</w:t>
      </w:r>
      <w:r>
        <w:rPr>
          <w:rStyle w:val="EndnoteReference"/>
          <w:rFonts w:ascii="Times New Roman" w:hAnsi="Times New Roman" w:cs="Times New Roman"/>
        </w:rPr>
        <w:endnoteReference w:id="47"/>
      </w:r>
      <w:r>
        <w:rPr>
          <w:rFonts w:ascii="Times New Roman" w:hAnsi="Times New Roman" w:cs="Times New Roman"/>
        </w:rPr>
        <w:t xml:space="preserve"> The ambiguity in the law therefore persists, creating confusion and insecurity among service providers and leading to the denial of abortion services.</w:t>
      </w:r>
      <w:r>
        <w:rPr>
          <w:rStyle w:val="EndnoteReference"/>
          <w:rFonts w:ascii="Times New Roman" w:hAnsi="Times New Roman" w:cs="Times New Roman"/>
        </w:rPr>
        <w:endnoteReference w:id="48"/>
      </w:r>
      <w:r>
        <w:rPr>
          <w:rFonts w:ascii="Times New Roman" w:hAnsi="Times New Roman" w:cs="Times New Roman"/>
        </w:rPr>
        <w:t xml:space="preserve"> </w:t>
      </w:r>
    </w:p>
    <w:p w14:paraId="7EFAA889" w14:textId="6606E409" w:rsidR="00FC41B1" w:rsidRPr="00782A3C" w:rsidRDefault="00FC41B1" w:rsidP="00B87DBC">
      <w:pPr>
        <w:jc w:val="both"/>
        <w:rPr>
          <w:rFonts w:ascii="Times New Roman" w:hAnsi="Times New Roman" w:cs="Times New Roman"/>
        </w:rPr>
      </w:pPr>
      <w:r>
        <w:rPr>
          <w:rFonts w:ascii="Times New Roman" w:hAnsi="Times New Roman" w:cs="Times New Roman"/>
        </w:rPr>
        <w:t>Despite the narrow legal grounds for abortion, there were</w:t>
      </w:r>
      <w:r w:rsidRPr="00782A3C">
        <w:rPr>
          <w:rFonts w:ascii="Times New Roman" w:hAnsi="Times New Roman" w:cs="Times New Roman"/>
        </w:rPr>
        <w:t xml:space="preserve"> an estimated 2.2 million abortions in 2012, the last year fo</w:t>
      </w:r>
      <w:r>
        <w:rPr>
          <w:rFonts w:ascii="Times New Roman" w:hAnsi="Times New Roman" w:cs="Times New Roman"/>
        </w:rPr>
        <w:t>r which figures are available, and t</w:t>
      </w:r>
      <w:r w:rsidRPr="00782A3C">
        <w:rPr>
          <w:rFonts w:ascii="Times New Roman" w:hAnsi="Times New Roman" w:cs="Times New Roman"/>
        </w:rPr>
        <w:t>he abortion rate was 50 abortions per 1000 women aged 15-29</w:t>
      </w:r>
      <w:r>
        <w:rPr>
          <w:rFonts w:ascii="Times New Roman" w:hAnsi="Times New Roman" w:cs="Times New Roman"/>
        </w:rPr>
        <w:t>, which is one of the highest abortion rates in the world</w:t>
      </w:r>
      <w:r w:rsidRPr="00782A3C">
        <w:rPr>
          <w:rFonts w:ascii="Times New Roman" w:hAnsi="Times New Roman" w:cs="Times New Roman"/>
        </w:rPr>
        <w:t>.</w:t>
      </w:r>
      <w:r>
        <w:rPr>
          <w:rStyle w:val="EndnoteReference"/>
          <w:rFonts w:ascii="Times New Roman" w:hAnsi="Times New Roman" w:cs="Times New Roman"/>
        </w:rPr>
        <w:endnoteReference w:id="49"/>
      </w:r>
      <w:r w:rsidRPr="00782A3C">
        <w:rPr>
          <w:rFonts w:ascii="Times New Roman" w:hAnsi="Times New Roman" w:cs="Times New Roman"/>
        </w:rPr>
        <w:t xml:space="preserve"> </w:t>
      </w:r>
      <w:r>
        <w:rPr>
          <w:rFonts w:ascii="Times New Roman" w:hAnsi="Times New Roman" w:cs="Times New Roman"/>
        </w:rPr>
        <w:t>A majority of abortions in Pakistan are clandestine, which place the health and lives of women at risk.</w:t>
      </w:r>
      <w:r>
        <w:rPr>
          <w:rStyle w:val="EndnoteReference"/>
          <w:rFonts w:ascii="Times New Roman" w:hAnsi="Times New Roman" w:cs="Times New Roman"/>
        </w:rPr>
        <w:endnoteReference w:id="50"/>
      </w:r>
      <w:r>
        <w:rPr>
          <w:rFonts w:ascii="Times New Roman" w:hAnsi="Times New Roman" w:cs="Times New Roman"/>
        </w:rPr>
        <w:t xml:space="preserve"> In 2012, an estimated 623</w:t>
      </w:r>
      <w:r w:rsidRPr="00782A3C">
        <w:rPr>
          <w:rFonts w:ascii="Times New Roman" w:hAnsi="Times New Roman" w:cs="Times New Roman"/>
        </w:rPr>
        <w:t xml:space="preserve">,000 women were treated for </w:t>
      </w:r>
      <w:r>
        <w:rPr>
          <w:rFonts w:ascii="Times New Roman" w:hAnsi="Times New Roman" w:cs="Times New Roman"/>
        </w:rPr>
        <w:t>post-abortion complications</w:t>
      </w:r>
      <w:r w:rsidRPr="00782A3C">
        <w:rPr>
          <w:rFonts w:ascii="Times New Roman" w:hAnsi="Times New Roman" w:cs="Times New Roman"/>
        </w:rPr>
        <w:t>, the vast majority of which were performed by unqualified providers or involved traditional methods.</w:t>
      </w:r>
      <w:r>
        <w:rPr>
          <w:rStyle w:val="EndnoteReference"/>
          <w:rFonts w:ascii="Times New Roman" w:hAnsi="Times New Roman" w:cs="Times New Roman"/>
        </w:rPr>
        <w:endnoteReference w:id="51"/>
      </w:r>
      <w:r>
        <w:rPr>
          <w:rFonts w:ascii="Times New Roman" w:hAnsi="Times New Roman" w:cs="Times New Roman"/>
        </w:rPr>
        <w:t xml:space="preserve"> According to a 2012 study, a majority of women treated for post-abortion complications obtained care in a private facility,</w:t>
      </w:r>
      <w:r>
        <w:rPr>
          <w:rStyle w:val="EndnoteReference"/>
          <w:rFonts w:ascii="Times New Roman" w:hAnsi="Times New Roman" w:cs="Times New Roman"/>
        </w:rPr>
        <w:endnoteReference w:id="52"/>
      </w:r>
      <w:r>
        <w:rPr>
          <w:rFonts w:ascii="Times New Roman" w:hAnsi="Times New Roman" w:cs="Times New Roman"/>
        </w:rPr>
        <w:t xml:space="preserve"> suggesting that low-income women unable to afford treatment in private facilities were less likely to receive post-abortion care.  </w:t>
      </w:r>
    </w:p>
    <w:p w14:paraId="5B7A61E5" w14:textId="77777777" w:rsidR="00FC41B1" w:rsidRPr="00782A3C" w:rsidRDefault="00FC41B1" w:rsidP="00B87DBC">
      <w:pPr>
        <w:jc w:val="both"/>
        <w:rPr>
          <w:rFonts w:ascii="Times New Roman" w:hAnsi="Times New Roman" w:cs="Times New Roman"/>
        </w:rPr>
      </w:pPr>
    </w:p>
    <w:p w14:paraId="3FE2BB79" w14:textId="02BD41E9" w:rsidR="00FC41B1" w:rsidRDefault="00FC41B1" w:rsidP="00B87DBC">
      <w:pPr>
        <w:jc w:val="both"/>
        <w:rPr>
          <w:rFonts w:ascii="Times New Roman" w:hAnsi="Times New Roman" w:cs="Times New Roman"/>
        </w:rPr>
      </w:pPr>
      <w:r>
        <w:rPr>
          <w:rFonts w:ascii="Times New Roman" w:hAnsi="Times New Roman" w:cs="Times New Roman"/>
        </w:rPr>
        <w:t>In its 2013 Concluding Observations, the Committee recommended that Pakistan “review its abortion legislation with a view to expanding the grounds under which abortion is permitted, for example, cases of rape and incest, and prepare guidelines on post-abortion care to ensure that women have access to this type of service…”</w:t>
      </w:r>
      <w:r>
        <w:rPr>
          <w:rStyle w:val="EndnoteReference"/>
          <w:rFonts w:ascii="Times New Roman" w:hAnsi="Times New Roman" w:cs="Times New Roman"/>
        </w:rPr>
        <w:endnoteReference w:id="53"/>
      </w:r>
      <w:r>
        <w:rPr>
          <w:rFonts w:ascii="Times New Roman" w:hAnsi="Times New Roman" w:cs="Times New Roman"/>
        </w:rPr>
        <w:t xml:space="preserve"> </w:t>
      </w:r>
      <w:r w:rsidR="003453D8">
        <w:rPr>
          <w:rFonts w:ascii="Times New Roman" w:hAnsi="Times New Roman" w:cs="Times New Roman"/>
        </w:rPr>
        <w:t xml:space="preserve">Despite these recommendations, law reform has not occurred on abortion itself and the criminalization of abortion and persistent ambiguity and very limited exceptions in the law continue to violate women’s and girls’ rights. </w:t>
      </w:r>
    </w:p>
    <w:p w14:paraId="61670BEA" w14:textId="77777777" w:rsidR="00FC41B1" w:rsidRPr="00F41177" w:rsidRDefault="00FC41B1" w:rsidP="00B87DBC">
      <w:pPr>
        <w:jc w:val="both"/>
        <w:rPr>
          <w:rStyle w:val="BookTitle"/>
          <w:rFonts w:ascii="Times New Roman" w:hAnsi="Times New Roman" w:cs="Times New Roman"/>
        </w:rPr>
      </w:pPr>
    </w:p>
    <w:p w14:paraId="1172FCD1" w14:textId="28567BAC" w:rsidR="00FC41B1" w:rsidRPr="00F41177" w:rsidRDefault="00FC41B1" w:rsidP="00B87DBC">
      <w:pPr>
        <w:jc w:val="both"/>
        <w:rPr>
          <w:rStyle w:val="BookTitle"/>
          <w:rFonts w:ascii="Times New Roman" w:hAnsi="Times New Roman" w:cs="Times New Roman"/>
        </w:rPr>
      </w:pPr>
      <w:r>
        <w:rPr>
          <w:rStyle w:val="BookTitle"/>
          <w:rFonts w:ascii="Times New Roman" w:hAnsi="Times New Roman" w:cs="Times New Roman"/>
        </w:rPr>
        <w:t xml:space="preserve">III. </w:t>
      </w:r>
      <w:r w:rsidRPr="00F41177">
        <w:rPr>
          <w:rStyle w:val="BookTitle"/>
          <w:rFonts w:ascii="Times New Roman" w:hAnsi="Times New Roman" w:cs="Times New Roman"/>
        </w:rPr>
        <w:t>barriers to adolescents’ access to sexual and reproductive health services</w:t>
      </w:r>
      <w:r>
        <w:rPr>
          <w:rStyle w:val="BookTitle"/>
          <w:rFonts w:ascii="Times New Roman" w:hAnsi="Times New Roman" w:cs="Times New Roman"/>
        </w:rPr>
        <w:t xml:space="preserve"> (articles 1, 10, 12 &amp; 16)</w:t>
      </w:r>
    </w:p>
    <w:p w14:paraId="4ED7D7C6" w14:textId="77777777" w:rsidR="00FC41B1" w:rsidRDefault="00FC41B1" w:rsidP="00B87DBC">
      <w:pPr>
        <w:jc w:val="both"/>
        <w:rPr>
          <w:rFonts w:ascii="Times New Roman" w:hAnsi="Times New Roman" w:cs="Times New Roman"/>
        </w:rPr>
      </w:pPr>
    </w:p>
    <w:p w14:paraId="73093D2F" w14:textId="55BD23D8" w:rsidR="00FC41B1" w:rsidRDefault="00FC41B1" w:rsidP="00B87DBC">
      <w:pPr>
        <w:jc w:val="both"/>
        <w:rPr>
          <w:rFonts w:ascii="Times New Roman" w:hAnsi="Times New Roman" w:cs="Times New Roman"/>
        </w:rPr>
      </w:pPr>
      <w:r>
        <w:rPr>
          <w:rFonts w:ascii="Times New Roman" w:hAnsi="Times New Roman" w:cs="Times New Roman"/>
        </w:rPr>
        <w:t>The Committee has recognized that adolescent pregnancy is linked to high rates of maternal mortality – particularly when girls are subjected to child, early and forced marriages – noting that complications from pregnancy are the leading cause of death for adolescent girls aged 15-19 in developing countries.</w:t>
      </w:r>
      <w:r>
        <w:rPr>
          <w:rStyle w:val="EndnoteReference"/>
          <w:rFonts w:ascii="Times New Roman" w:hAnsi="Times New Roman" w:cs="Times New Roman"/>
        </w:rPr>
        <w:endnoteReference w:id="54"/>
      </w:r>
      <w:r>
        <w:rPr>
          <w:rFonts w:ascii="Times New Roman" w:hAnsi="Times New Roman" w:cs="Times New Roman"/>
        </w:rPr>
        <w:t xml:space="preserve"> Treaty monitoring bodies have also called on governments to guarantee the rights of adolescents to health, life, education and non-discrimination by ensuring that health systems are able to meet the sexual and reproductive health needs of adolescents, and by providing them comprehensive sexuality education that is scientifically accurate and objective, age appropriate, and free of prejudice and discrimination.</w:t>
      </w:r>
      <w:r>
        <w:rPr>
          <w:rStyle w:val="EndnoteReference"/>
          <w:rFonts w:ascii="Times New Roman" w:hAnsi="Times New Roman" w:cs="Times New Roman"/>
        </w:rPr>
        <w:endnoteReference w:id="55"/>
      </w:r>
    </w:p>
    <w:p w14:paraId="3926BBC4" w14:textId="77777777" w:rsidR="00FC41B1" w:rsidRDefault="00FC41B1" w:rsidP="00B87DBC">
      <w:pPr>
        <w:jc w:val="both"/>
        <w:rPr>
          <w:rFonts w:ascii="Times New Roman" w:hAnsi="Times New Roman" w:cs="Times New Roman"/>
        </w:rPr>
      </w:pPr>
    </w:p>
    <w:p w14:paraId="3B6EFA79" w14:textId="54150350" w:rsidR="00FC41B1" w:rsidRDefault="00FC41B1" w:rsidP="00B87DBC">
      <w:pPr>
        <w:jc w:val="both"/>
        <w:rPr>
          <w:rFonts w:ascii="Times New Roman" w:hAnsi="Times New Roman" w:cs="Times New Roman"/>
        </w:rPr>
      </w:pPr>
      <w:r>
        <w:rPr>
          <w:rFonts w:ascii="Times New Roman" w:hAnsi="Times New Roman" w:cs="Times New Roman"/>
        </w:rPr>
        <w:t>The 2017-18 PDHS notes that “[t]</w:t>
      </w:r>
      <w:proofErr w:type="spellStart"/>
      <w:r>
        <w:rPr>
          <w:rFonts w:ascii="Times New Roman" w:hAnsi="Times New Roman" w:cs="Times New Roman"/>
        </w:rPr>
        <w:t>eenage</w:t>
      </w:r>
      <w:proofErr w:type="spellEnd"/>
      <w:r>
        <w:rPr>
          <w:rFonts w:ascii="Times New Roman" w:hAnsi="Times New Roman" w:cs="Times New Roman"/>
        </w:rPr>
        <w:t xml:space="preserve"> mothers are more likely to experience adverse pregnancy outcomes and be constrained in their ability to pursue educational opportunities than young women who delay childbearing.”</w:t>
      </w:r>
      <w:r>
        <w:rPr>
          <w:rStyle w:val="EndnoteReference"/>
          <w:rFonts w:ascii="Times New Roman" w:hAnsi="Times New Roman" w:cs="Times New Roman"/>
        </w:rPr>
        <w:endnoteReference w:id="56"/>
      </w:r>
      <w:r>
        <w:rPr>
          <w:rFonts w:ascii="Times New Roman" w:hAnsi="Times New Roman" w:cs="Times New Roman"/>
        </w:rPr>
        <w:t xml:space="preserve"> The promotion of adolescent sexual health and reproductive rights in Pakistan is challenging due to a prohibitive legal and cultural environment, which creates circumstances where “there is little acknowledgment that adolescents have sex, whether consensual or coerced, before marriage and many believe that exposure to sexuality education will incite unwanted behavior.”</w:t>
      </w:r>
      <w:r>
        <w:rPr>
          <w:rStyle w:val="EndnoteReference"/>
          <w:rFonts w:ascii="Times New Roman" w:hAnsi="Times New Roman" w:cs="Times New Roman"/>
        </w:rPr>
        <w:endnoteReference w:id="57"/>
      </w:r>
      <w:r>
        <w:rPr>
          <w:rFonts w:ascii="Times New Roman" w:hAnsi="Times New Roman" w:cs="Times New Roman"/>
        </w:rPr>
        <w:t xml:space="preserve"> Despite the high incidence of child marriage in Pakistan, “there is also little acknowledgement that married adolescents need to be proactively prepared to meet their [sexual and reproductive health needs] and promote their well-being.”</w:t>
      </w:r>
      <w:r>
        <w:rPr>
          <w:rStyle w:val="EndnoteReference"/>
          <w:rFonts w:ascii="Times New Roman" w:hAnsi="Times New Roman" w:cs="Times New Roman"/>
        </w:rPr>
        <w:endnoteReference w:id="58"/>
      </w:r>
    </w:p>
    <w:p w14:paraId="2B8BC315" w14:textId="77777777" w:rsidR="00FC41B1" w:rsidRDefault="00FC41B1" w:rsidP="00B87DBC">
      <w:pPr>
        <w:jc w:val="both"/>
        <w:rPr>
          <w:rFonts w:ascii="Times New Roman" w:hAnsi="Times New Roman" w:cs="Times New Roman"/>
        </w:rPr>
      </w:pPr>
    </w:p>
    <w:p w14:paraId="40006539" w14:textId="4AA35611" w:rsidR="00FC41B1" w:rsidRDefault="00FC41B1" w:rsidP="00B87DBC">
      <w:pPr>
        <w:jc w:val="both"/>
        <w:rPr>
          <w:rFonts w:ascii="Times New Roman" w:hAnsi="Times New Roman" w:cs="Times New Roman"/>
        </w:rPr>
      </w:pPr>
      <w:r>
        <w:rPr>
          <w:rFonts w:ascii="Times New Roman" w:hAnsi="Times New Roman" w:cs="Times New Roman"/>
        </w:rPr>
        <w:t xml:space="preserve">The persistence of child marriage in Pakistan poses a grave risk to the reproductive health and rights of girls. Child marriage is linked to a continuum of reproductive and </w:t>
      </w:r>
      <w:r>
        <w:rPr>
          <w:rFonts w:ascii="Times New Roman" w:hAnsi="Times New Roman" w:cs="Times New Roman"/>
        </w:rPr>
        <w:lastRenderedPageBreak/>
        <w:t>sexual harms for girls, as it severely compromises their sexual and reproductive health and autonomy. Twenty one percent of girls in Pakistan are married by the time they reach the age of 18</w:t>
      </w:r>
      <w:r>
        <w:rPr>
          <w:rStyle w:val="EndnoteReference"/>
          <w:rFonts w:ascii="Times New Roman" w:hAnsi="Times New Roman" w:cs="Times New Roman"/>
        </w:rPr>
        <w:endnoteReference w:id="59"/>
      </w:r>
      <w:r>
        <w:rPr>
          <w:rFonts w:ascii="Times New Roman" w:hAnsi="Times New Roman" w:cs="Times New Roman"/>
        </w:rPr>
        <w:t xml:space="preserve"> and Pakistan ranks sixth in the world in terms of the highest absolute numbers of child marriage.</w:t>
      </w:r>
      <w:r>
        <w:rPr>
          <w:rStyle w:val="EndnoteReference"/>
          <w:rFonts w:ascii="Times New Roman" w:hAnsi="Times New Roman" w:cs="Times New Roman"/>
        </w:rPr>
        <w:endnoteReference w:id="60"/>
      </w:r>
      <w:r>
        <w:rPr>
          <w:rFonts w:ascii="Times New Roman" w:hAnsi="Times New Roman" w:cs="Times New Roman"/>
        </w:rPr>
        <w:t xml:space="preserve"> The Child Marriage Restraint Act 1929, (CMRA) which is applicable in most provinces of Pakistan, does not entirely prohibit child marriages as it permits the marriage of girls above the age of 16, while setting 18 as the minimum age of marriage for boys.</w:t>
      </w:r>
      <w:r>
        <w:rPr>
          <w:rStyle w:val="EndnoteReference"/>
          <w:rFonts w:ascii="Times New Roman" w:hAnsi="Times New Roman" w:cs="Times New Roman"/>
        </w:rPr>
        <w:endnoteReference w:id="61"/>
      </w:r>
      <w:r>
        <w:rPr>
          <w:rFonts w:ascii="Times New Roman" w:hAnsi="Times New Roman" w:cs="Times New Roman"/>
        </w:rPr>
        <w:t xml:space="preserve"> The only province in Pakistan with independent legislation on child marriage is Sindh, which passed the Sindh Child Marriage Restraint Act (SCMRA) in 2013.</w:t>
      </w:r>
      <w:r>
        <w:rPr>
          <w:rStyle w:val="EndnoteReference"/>
          <w:rFonts w:ascii="Times New Roman" w:hAnsi="Times New Roman" w:cs="Times New Roman"/>
        </w:rPr>
        <w:endnoteReference w:id="62"/>
      </w:r>
      <w:r>
        <w:rPr>
          <w:rFonts w:ascii="Times New Roman" w:hAnsi="Times New Roman" w:cs="Times New Roman"/>
        </w:rPr>
        <w:t xml:space="preserve"> The SCMRA sets a uniform age minimum age as 18 for both boys and girls. The implementation of the law is severely hampered, however, by the absence of support mechanisms for girls who wish to leave child marriages.</w:t>
      </w:r>
      <w:r>
        <w:rPr>
          <w:rStyle w:val="EndnoteReference"/>
          <w:rFonts w:ascii="Times New Roman" w:hAnsi="Times New Roman" w:cs="Times New Roman"/>
        </w:rPr>
        <w:endnoteReference w:id="63"/>
      </w:r>
      <w:r>
        <w:rPr>
          <w:rFonts w:ascii="Times New Roman" w:hAnsi="Times New Roman" w:cs="Times New Roman"/>
        </w:rPr>
        <w:t xml:space="preserve"> There is a severe shortage of child protection institutes and shelters for girls as well as an absence of effective legal aid and psycho-social counseling.</w:t>
      </w:r>
      <w:r>
        <w:rPr>
          <w:rStyle w:val="EndnoteReference"/>
          <w:rFonts w:ascii="Times New Roman" w:hAnsi="Times New Roman" w:cs="Times New Roman"/>
        </w:rPr>
        <w:endnoteReference w:id="64"/>
      </w:r>
      <w:r>
        <w:rPr>
          <w:rFonts w:ascii="Times New Roman" w:hAnsi="Times New Roman" w:cs="Times New Roman"/>
        </w:rPr>
        <w:t xml:space="preserve">  </w:t>
      </w:r>
    </w:p>
    <w:p w14:paraId="3A3188F9" w14:textId="77777777" w:rsidR="00FC41B1" w:rsidRDefault="00FC41B1" w:rsidP="00B87DBC">
      <w:pPr>
        <w:jc w:val="both"/>
        <w:rPr>
          <w:rFonts w:ascii="Times New Roman" w:hAnsi="Times New Roman" w:cs="Times New Roman"/>
        </w:rPr>
      </w:pPr>
    </w:p>
    <w:p w14:paraId="2C2636E2" w14:textId="695B32ED" w:rsidR="00FC41B1" w:rsidRDefault="00FC41B1" w:rsidP="00B87DBC">
      <w:pPr>
        <w:jc w:val="both"/>
        <w:rPr>
          <w:rFonts w:ascii="Times New Roman" w:hAnsi="Times New Roman" w:cs="Times New Roman"/>
        </w:rPr>
      </w:pPr>
      <w:r>
        <w:rPr>
          <w:rFonts w:ascii="Times New Roman" w:hAnsi="Times New Roman" w:cs="Times New Roman"/>
        </w:rPr>
        <w:t>The Committee has expressed concern about the “persistence of child and forced marriages and at the fact that the minimum age of marriage for girls is 16” in Pakistan.</w:t>
      </w:r>
      <w:r>
        <w:rPr>
          <w:rStyle w:val="EndnoteReference"/>
          <w:rFonts w:ascii="Times New Roman" w:hAnsi="Times New Roman" w:cs="Times New Roman"/>
        </w:rPr>
        <w:endnoteReference w:id="65"/>
      </w:r>
      <w:r>
        <w:rPr>
          <w:rFonts w:ascii="Times New Roman" w:hAnsi="Times New Roman" w:cs="Times New Roman"/>
        </w:rPr>
        <w:t xml:space="preserve"> It has recommended the State Party to “raise the minimum age of marriage for girls to 18.”</w:t>
      </w:r>
      <w:r>
        <w:rPr>
          <w:rStyle w:val="EndnoteReference"/>
          <w:rFonts w:ascii="Times New Roman" w:hAnsi="Times New Roman" w:cs="Times New Roman"/>
        </w:rPr>
        <w:endnoteReference w:id="66"/>
      </w:r>
      <w:r>
        <w:rPr>
          <w:rFonts w:ascii="Times New Roman" w:hAnsi="Times New Roman" w:cs="Times New Roman"/>
        </w:rPr>
        <w:t xml:space="preserve"> However, the federal CMRA, which is applicable in most parts of Pakistan, remains unamended. Recently, in a positive development, the Senate passed a bill amending the CMRA to increase the minimum age of marriage for girls to 18.</w:t>
      </w:r>
      <w:r>
        <w:rPr>
          <w:rStyle w:val="EndnoteReference"/>
          <w:rFonts w:ascii="Times New Roman" w:hAnsi="Times New Roman" w:cs="Times New Roman"/>
        </w:rPr>
        <w:endnoteReference w:id="67"/>
      </w:r>
      <w:r>
        <w:rPr>
          <w:rFonts w:ascii="Times New Roman" w:hAnsi="Times New Roman" w:cs="Times New Roman"/>
        </w:rPr>
        <w:t xml:space="preserve"> The bill cannot become law, however, until it passes in the National Assembly, where it has already faced considerable opposition.</w:t>
      </w:r>
      <w:r>
        <w:rPr>
          <w:rStyle w:val="EndnoteReference"/>
          <w:rFonts w:ascii="Times New Roman" w:hAnsi="Times New Roman" w:cs="Times New Roman"/>
        </w:rPr>
        <w:endnoteReference w:id="68"/>
      </w:r>
    </w:p>
    <w:p w14:paraId="29222B80" w14:textId="77777777" w:rsidR="00C81894" w:rsidRDefault="00C81894" w:rsidP="00B87DBC">
      <w:pPr>
        <w:jc w:val="both"/>
        <w:rPr>
          <w:rFonts w:ascii="Times New Roman" w:hAnsi="Times New Roman" w:cs="Times New Roman"/>
        </w:rPr>
      </w:pPr>
    </w:p>
    <w:p w14:paraId="4E5D8A5C" w14:textId="7591C3AF" w:rsidR="00C81894" w:rsidRPr="00F41177" w:rsidRDefault="00C81894" w:rsidP="00B87DBC">
      <w:pPr>
        <w:jc w:val="both"/>
        <w:rPr>
          <w:rStyle w:val="BookTitle"/>
          <w:rFonts w:ascii="Times New Roman" w:hAnsi="Times New Roman" w:cs="Times New Roman"/>
        </w:rPr>
      </w:pPr>
      <w:r w:rsidRPr="00F41177">
        <w:rPr>
          <w:rStyle w:val="BookTitle"/>
          <w:rFonts w:ascii="Times New Roman" w:hAnsi="Times New Roman" w:cs="Times New Roman"/>
        </w:rPr>
        <w:t>Proposed List of Issues</w:t>
      </w:r>
    </w:p>
    <w:p w14:paraId="3CCA5B45" w14:textId="77777777" w:rsidR="00BF54AF" w:rsidRDefault="00BF54AF" w:rsidP="00B87DBC">
      <w:pPr>
        <w:jc w:val="both"/>
        <w:rPr>
          <w:rFonts w:ascii="Times New Roman" w:hAnsi="Times New Roman" w:cs="Times New Roman"/>
        </w:rPr>
      </w:pPr>
    </w:p>
    <w:p w14:paraId="3A1C4B98" w14:textId="51500BEC" w:rsidR="00BF54AF" w:rsidRDefault="00C81894" w:rsidP="00B87DBC">
      <w:pPr>
        <w:jc w:val="both"/>
        <w:rPr>
          <w:rFonts w:ascii="Times New Roman" w:hAnsi="Times New Roman" w:cs="Times New Roman"/>
        </w:rPr>
      </w:pPr>
      <w:r>
        <w:rPr>
          <w:rFonts w:ascii="Times New Roman" w:hAnsi="Times New Roman" w:cs="Times New Roman"/>
        </w:rPr>
        <w:t>We respectfully request that the Committee raise the following issues with the delegation representing the Governme</w:t>
      </w:r>
      <w:r w:rsidR="00F41177">
        <w:rPr>
          <w:rFonts w:ascii="Times New Roman" w:hAnsi="Times New Roman" w:cs="Times New Roman"/>
        </w:rPr>
        <w:t>nt of Pakistan during its pre-</w:t>
      </w:r>
      <w:r>
        <w:rPr>
          <w:rFonts w:ascii="Times New Roman" w:hAnsi="Times New Roman" w:cs="Times New Roman"/>
        </w:rPr>
        <w:t>session</w:t>
      </w:r>
      <w:r w:rsidR="00F41177">
        <w:rPr>
          <w:rFonts w:ascii="Times New Roman" w:hAnsi="Times New Roman" w:cs="Times New Roman"/>
        </w:rPr>
        <w:t xml:space="preserve"> review</w:t>
      </w:r>
      <w:r>
        <w:rPr>
          <w:rFonts w:ascii="Times New Roman" w:hAnsi="Times New Roman" w:cs="Times New Roman"/>
        </w:rPr>
        <w:t xml:space="preserve">:  </w:t>
      </w:r>
    </w:p>
    <w:p w14:paraId="59E60517" w14:textId="77777777" w:rsidR="00C81894" w:rsidRDefault="00C81894" w:rsidP="00B87DBC">
      <w:pPr>
        <w:jc w:val="both"/>
        <w:rPr>
          <w:rFonts w:ascii="Times New Roman" w:hAnsi="Times New Roman" w:cs="Times New Roman"/>
        </w:rPr>
      </w:pPr>
    </w:p>
    <w:p w14:paraId="476FDD39" w14:textId="77777777" w:rsidR="00E966BB" w:rsidRDefault="00C81894" w:rsidP="007B6A7D">
      <w:pPr>
        <w:pStyle w:val="ListParagraph"/>
        <w:numPr>
          <w:ilvl w:val="0"/>
          <w:numId w:val="1"/>
        </w:numPr>
        <w:jc w:val="both"/>
        <w:rPr>
          <w:rFonts w:ascii="Times New Roman" w:hAnsi="Times New Roman" w:cs="Times New Roman"/>
        </w:rPr>
      </w:pPr>
      <w:r w:rsidRPr="007B6A7D">
        <w:rPr>
          <w:rFonts w:ascii="Times New Roman" w:hAnsi="Times New Roman" w:cs="Times New Roman"/>
        </w:rPr>
        <w:t xml:space="preserve">What steps have been taken by the State Party to improve maternal health, particularly for adolescents and poor women since the last periodic review? </w:t>
      </w:r>
    </w:p>
    <w:p w14:paraId="603CB98D" w14:textId="4CEEBFD8" w:rsidR="00606974" w:rsidRDefault="00C81894" w:rsidP="00BC69A8">
      <w:pPr>
        <w:pStyle w:val="ListParagraph"/>
        <w:numPr>
          <w:ilvl w:val="2"/>
          <w:numId w:val="1"/>
        </w:numPr>
        <w:jc w:val="both"/>
        <w:rPr>
          <w:rFonts w:ascii="Times New Roman" w:hAnsi="Times New Roman" w:cs="Times New Roman"/>
        </w:rPr>
      </w:pPr>
      <w:r w:rsidRPr="007B6A7D">
        <w:rPr>
          <w:rFonts w:ascii="Times New Roman" w:hAnsi="Times New Roman" w:cs="Times New Roman"/>
        </w:rPr>
        <w:t xml:space="preserve">What measures have been taken by the State Party to </w:t>
      </w:r>
      <w:r w:rsidR="00147F01">
        <w:rPr>
          <w:rFonts w:ascii="Times New Roman" w:hAnsi="Times New Roman" w:cs="Times New Roman"/>
        </w:rPr>
        <w:t>address high rates of maternal mortality and morbidity by ensuring</w:t>
      </w:r>
      <w:r w:rsidRPr="007B6A7D">
        <w:rPr>
          <w:rFonts w:ascii="Times New Roman" w:hAnsi="Times New Roman" w:cs="Times New Roman"/>
        </w:rPr>
        <w:t xml:space="preserve"> the implementation of </w:t>
      </w:r>
      <w:r w:rsidR="007B6A7D" w:rsidRPr="007B6A7D">
        <w:rPr>
          <w:rFonts w:ascii="Times New Roman" w:hAnsi="Times New Roman" w:cs="Times New Roman"/>
        </w:rPr>
        <w:t xml:space="preserve">policies pertaining to </w:t>
      </w:r>
      <w:r w:rsidR="00844407">
        <w:rPr>
          <w:rFonts w:ascii="Times New Roman" w:hAnsi="Times New Roman" w:cs="Times New Roman"/>
        </w:rPr>
        <w:t>basic and comprehensive care</w:t>
      </w:r>
      <w:r w:rsidR="00D05F08">
        <w:rPr>
          <w:rFonts w:ascii="Times New Roman" w:hAnsi="Times New Roman" w:cs="Times New Roman"/>
        </w:rPr>
        <w:t>, including addressing disparities in health care such as barriers faced by rural women</w:t>
      </w:r>
      <w:r w:rsidR="00844407">
        <w:rPr>
          <w:rFonts w:ascii="Times New Roman" w:hAnsi="Times New Roman" w:cs="Times New Roman"/>
        </w:rPr>
        <w:t>?</w:t>
      </w:r>
    </w:p>
    <w:p w14:paraId="7E02F3CA" w14:textId="14D516B8" w:rsidR="00C81894" w:rsidRDefault="00606974" w:rsidP="00BC69A8">
      <w:pPr>
        <w:pStyle w:val="ListParagraph"/>
        <w:numPr>
          <w:ilvl w:val="2"/>
          <w:numId w:val="1"/>
        </w:numPr>
        <w:jc w:val="both"/>
        <w:rPr>
          <w:rFonts w:ascii="Times New Roman" w:hAnsi="Times New Roman" w:cs="Times New Roman"/>
        </w:rPr>
      </w:pPr>
      <w:r>
        <w:rPr>
          <w:rFonts w:ascii="Times New Roman" w:hAnsi="Times New Roman" w:cs="Times New Roman"/>
        </w:rPr>
        <w:t>What measure</w:t>
      </w:r>
      <w:r w:rsidR="00A41F65">
        <w:rPr>
          <w:rFonts w:ascii="Times New Roman" w:hAnsi="Times New Roman" w:cs="Times New Roman"/>
        </w:rPr>
        <w:t>s</w:t>
      </w:r>
      <w:r>
        <w:rPr>
          <w:rFonts w:ascii="Times New Roman" w:hAnsi="Times New Roman" w:cs="Times New Roman"/>
        </w:rPr>
        <w:t xml:space="preserve"> have been taken by the State Party to ensure that government health facilities are </w:t>
      </w:r>
      <w:r w:rsidR="004C0AE5">
        <w:rPr>
          <w:rFonts w:ascii="Times New Roman" w:hAnsi="Times New Roman" w:cs="Times New Roman"/>
        </w:rPr>
        <w:t xml:space="preserve">properly </w:t>
      </w:r>
      <w:r>
        <w:rPr>
          <w:rFonts w:ascii="Times New Roman" w:hAnsi="Times New Roman" w:cs="Times New Roman"/>
        </w:rPr>
        <w:t>staffed and equipped to provide quality obstetric care and that</w:t>
      </w:r>
      <w:r w:rsidR="00147F01">
        <w:rPr>
          <w:rFonts w:ascii="Times New Roman" w:hAnsi="Times New Roman" w:cs="Times New Roman"/>
        </w:rPr>
        <w:t xml:space="preserve"> women</w:t>
      </w:r>
      <w:r>
        <w:rPr>
          <w:rFonts w:ascii="Times New Roman" w:hAnsi="Times New Roman" w:cs="Times New Roman"/>
        </w:rPr>
        <w:t>, particularly from low-income and rural backgrounds</w:t>
      </w:r>
      <w:r w:rsidR="00BD4DCC">
        <w:rPr>
          <w:rFonts w:ascii="Times New Roman" w:hAnsi="Times New Roman" w:cs="Times New Roman"/>
        </w:rPr>
        <w:t>,</w:t>
      </w:r>
      <w:r>
        <w:rPr>
          <w:rFonts w:ascii="Times New Roman" w:hAnsi="Times New Roman" w:cs="Times New Roman"/>
        </w:rPr>
        <w:t xml:space="preserve"> </w:t>
      </w:r>
      <w:r w:rsidR="00147F01">
        <w:rPr>
          <w:rFonts w:ascii="Times New Roman" w:hAnsi="Times New Roman" w:cs="Times New Roman"/>
        </w:rPr>
        <w:t>have access to affordable and quality healthcare facilities</w:t>
      </w:r>
      <w:r w:rsidR="004C0AE5">
        <w:rPr>
          <w:rFonts w:ascii="Times New Roman" w:hAnsi="Times New Roman" w:cs="Times New Roman"/>
        </w:rPr>
        <w:t xml:space="preserve"> for their reproductive health needs</w:t>
      </w:r>
      <w:r w:rsidR="00147F01">
        <w:rPr>
          <w:rFonts w:ascii="Times New Roman" w:hAnsi="Times New Roman" w:cs="Times New Roman"/>
        </w:rPr>
        <w:t xml:space="preserve">?  </w:t>
      </w:r>
    </w:p>
    <w:p w14:paraId="30D06D9B" w14:textId="78098CAC" w:rsidR="00E966BB" w:rsidRDefault="00E966BB" w:rsidP="00BC69A8">
      <w:pPr>
        <w:pStyle w:val="ListParagraph"/>
        <w:numPr>
          <w:ilvl w:val="2"/>
          <w:numId w:val="1"/>
        </w:numPr>
        <w:jc w:val="both"/>
        <w:rPr>
          <w:rFonts w:ascii="Times New Roman" w:hAnsi="Times New Roman" w:cs="Times New Roman"/>
        </w:rPr>
      </w:pPr>
      <w:r>
        <w:rPr>
          <w:rFonts w:ascii="Times New Roman" w:hAnsi="Times New Roman" w:cs="Times New Roman"/>
        </w:rPr>
        <w:t xml:space="preserve">What measures are being taken by the State Party to ensure implementation of the orders of the Sindh High Court in </w:t>
      </w:r>
      <w:r w:rsidRPr="00BC69A8">
        <w:rPr>
          <w:rFonts w:ascii="Times New Roman" w:hAnsi="Times New Roman" w:cs="Times New Roman"/>
          <w:i/>
        </w:rPr>
        <w:t xml:space="preserve">Dr. </w:t>
      </w:r>
      <w:proofErr w:type="spellStart"/>
      <w:r w:rsidRPr="00BC69A8">
        <w:rPr>
          <w:rFonts w:ascii="Times New Roman" w:hAnsi="Times New Roman" w:cs="Times New Roman"/>
          <w:i/>
        </w:rPr>
        <w:t>Shershah</w:t>
      </w:r>
      <w:proofErr w:type="spellEnd"/>
      <w:r w:rsidRPr="00BC69A8">
        <w:rPr>
          <w:rFonts w:ascii="Times New Roman" w:hAnsi="Times New Roman" w:cs="Times New Roman"/>
          <w:i/>
        </w:rPr>
        <w:t xml:space="preserve"> Syed &amp; Another v. Province of Sindh &amp; Others</w:t>
      </w:r>
      <w:r>
        <w:rPr>
          <w:rFonts w:ascii="Times New Roman" w:hAnsi="Times New Roman" w:cs="Times New Roman"/>
        </w:rPr>
        <w:t xml:space="preserve"> (C.P. 4243 of 2015), directing the Government of Sindh to establis</w:t>
      </w:r>
      <w:r w:rsidR="00BC69A8">
        <w:rPr>
          <w:rFonts w:ascii="Times New Roman" w:hAnsi="Times New Roman" w:cs="Times New Roman"/>
        </w:rPr>
        <w:t xml:space="preserve">h </w:t>
      </w:r>
      <w:r>
        <w:rPr>
          <w:rFonts w:ascii="Times New Roman" w:hAnsi="Times New Roman" w:cs="Times New Roman"/>
        </w:rPr>
        <w:t>four fistula repair centers and to fill vacancies in positions of gynecologists in government hospitals</w:t>
      </w:r>
      <w:r w:rsidR="00BC69A8">
        <w:rPr>
          <w:rFonts w:ascii="Times New Roman" w:hAnsi="Times New Roman" w:cs="Times New Roman"/>
        </w:rPr>
        <w:t>.</w:t>
      </w:r>
      <w:r w:rsidR="00D05F08">
        <w:rPr>
          <w:rFonts w:ascii="Times New Roman" w:hAnsi="Times New Roman" w:cs="Times New Roman"/>
        </w:rPr>
        <w:t xml:space="preserve"> Has the government submitted its report to the Court as directed, and what are the contents of this report?</w:t>
      </w:r>
    </w:p>
    <w:p w14:paraId="67A6B0E7" w14:textId="257A9921" w:rsidR="00624771" w:rsidRPr="007B6A7D" w:rsidRDefault="00624771" w:rsidP="00BC69A8">
      <w:pPr>
        <w:pStyle w:val="ListParagraph"/>
        <w:numPr>
          <w:ilvl w:val="2"/>
          <w:numId w:val="1"/>
        </w:numPr>
        <w:jc w:val="both"/>
        <w:rPr>
          <w:rFonts w:ascii="Times New Roman" w:hAnsi="Times New Roman" w:cs="Times New Roman"/>
        </w:rPr>
      </w:pPr>
      <w:r>
        <w:rPr>
          <w:rFonts w:ascii="Times New Roman" w:hAnsi="Times New Roman" w:cs="Times New Roman"/>
        </w:rPr>
        <w:lastRenderedPageBreak/>
        <w:t>What measures are being taken by the State Party to ensure that Lady Health Workers are paid regularly, are guaranteed work protections through a</w:t>
      </w:r>
      <w:r w:rsidR="00BD4DCC">
        <w:rPr>
          <w:rFonts w:ascii="Times New Roman" w:hAnsi="Times New Roman" w:cs="Times New Roman"/>
        </w:rPr>
        <w:t xml:space="preserve"> recognized service structure </w:t>
      </w:r>
      <w:r>
        <w:rPr>
          <w:rFonts w:ascii="Times New Roman" w:hAnsi="Times New Roman" w:cs="Times New Roman"/>
        </w:rPr>
        <w:t xml:space="preserve">and are protected against physical and sexual harassment and violence?  </w:t>
      </w:r>
    </w:p>
    <w:p w14:paraId="099C9C0A" w14:textId="6ABDA442" w:rsidR="007B6A7D" w:rsidRDefault="009A45BF" w:rsidP="007B6A7D">
      <w:pPr>
        <w:pStyle w:val="ListParagraph"/>
        <w:numPr>
          <w:ilvl w:val="0"/>
          <w:numId w:val="1"/>
        </w:numPr>
        <w:jc w:val="both"/>
        <w:rPr>
          <w:rFonts w:ascii="Times New Roman" w:hAnsi="Times New Roman" w:cs="Times New Roman"/>
        </w:rPr>
      </w:pPr>
      <w:r>
        <w:rPr>
          <w:rFonts w:ascii="Times New Roman" w:hAnsi="Times New Roman" w:cs="Times New Roman"/>
        </w:rPr>
        <w:t xml:space="preserve">What measures have been taken </w:t>
      </w:r>
      <w:r w:rsidR="007B6A7D">
        <w:rPr>
          <w:rFonts w:ascii="Times New Roman" w:hAnsi="Times New Roman" w:cs="Times New Roman"/>
        </w:rPr>
        <w:t>by the State Party t</w:t>
      </w:r>
      <w:r w:rsidR="00555941">
        <w:rPr>
          <w:rFonts w:ascii="Times New Roman" w:hAnsi="Times New Roman" w:cs="Times New Roman"/>
        </w:rPr>
        <w:t xml:space="preserve">o ensure access to safe abortion services? What measures have been taken by the State Party to provide clarity on the legal exception to abortion to save a woman’s life and in the course of </w:t>
      </w:r>
      <w:r w:rsidR="00502AD6">
        <w:rPr>
          <w:rFonts w:ascii="Times New Roman" w:hAnsi="Times New Roman" w:cs="Times New Roman"/>
        </w:rPr>
        <w:t>“</w:t>
      </w:r>
      <w:r w:rsidR="00555941">
        <w:rPr>
          <w:rFonts w:ascii="Times New Roman" w:hAnsi="Times New Roman" w:cs="Times New Roman"/>
        </w:rPr>
        <w:t>necessary treatment</w:t>
      </w:r>
      <w:r w:rsidR="00502AD6">
        <w:rPr>
          <w:rFonts w:ascii="Times New Roman" w:hAnsi="Times New Roman" w:cs="Times New Roman"/>
        </w:rPr>
        <w:t>”</w:t>
      </w:r>
      <w:r w:rsidR="00D05F08">
        <w:rPr>
          <w:rFonts w:ascii="Times New Roman" w:hAnsi="Times New Roman" w:cs="Times New Roman"/>
        </w:rPr>
        <w:t xml:space="preserve"> and address barriers from criminalization</w:t>
      </w:r>
      <w:r w:rsidR="00555941">
        <w:rPr>
          <w:rFonts w:ascii="Times New Roman" w:hAnsi="Times New Roman" w:cs="Times New Roman"/>
        </w:rPr>
        <w:t xml:space="preserve">? </w:t>
      </w:r>
    </w:p>
    <w:p w14:paraId="7AABEE8B" w14:textId="7A3C9C8E" w:rsidR="009A45BF" w:rsidRDefault="009A45BF" w:rsidP="007B6A7D">
      <w:pPr>
        <w:pStyle w:val="ListParagraph"/>
        <w:numPr>
          <w:ilvl w:val="0"/>
          <w:numId w:val="1"/>
        </w:numPr>
        <w:jc w:val="both"/>
        <w:rPr>
          <w:rFonts w:ascii="Times New Roman" w:hAnsi="Times New Roman" w:cs="Times New Roman"/>
        </w:rPr>
      </w:pPr>
      <w:r>
        <w:rPr>
          <w:rFonts w:ascii="Times New Roman" w:hAnsi="Times New Roman" w:cs="Times New Roman"/>
        </w:rPr>
        <w:t xml:space="preserve">What steps have been taken by the State Party to ensure dignified treatment and timely access to post-abortion care for women suffering complications from unsafe abortions?  </w:t>
      </w:r>
    </w:p>
    <w:p w14:paraId="118FB448" w14:textId="77777777" w:rsidR="00A41F65" w:rsidRDefault="009A45BF" w:rsidP="007B6A7D">
      <w:pPr>
        <w:pStyle w:val="ListParagraph"/>
        <w:numPr>
          <w:ilvl w:val="0"/>
          <w:numId w:val="1"/>
        </w:numPr>
        <w:jc w:val="both"/>
        <w:rPr>
          <w:rFonts w:ascii="Times New Roman" w:hAnsi="Times New Roman" w:cs="Times New Roman"/>
        </w:rPr>
      </w:pPr>
      <w:r>
        <w:rPr>
          <w:rFonts w:ascii="Times New Roman" w:hAnsi="Times New Roman" w:cs="Times New Roman"/>
        </w:rPr>
        <w:t>What measures have been taken by the State Party to remove barriers to adolescents’ access to sexual and reproductive health services</w:t>
      </w:r>
      <w:r w:rsidR="00A41F65">
        <w:rPr>
          <w:rFonts w:ascii="Times New Roman" w:hAnsi="Times New Roman" w:cs="Times New Roman"/>
        </w:rPr>
        <w:t xml:space="preserve">? Specifically:  </w:t>
      </w:r>
    </w:p>
    <w:p w14:paraId="1C3BCAE1" w14:textId="77777777" w:rsidR="00A41F65" w:rsidRDefault="00A41F65" w:rsidP="00A41F65">
      <w:pPr>
        <w:pStyle w:val="ListParagraph"/>
        <w:numPr>
          <w:ilvl w:val="2"/>
          <w:numId w:val="1"/>
        </w:numPr>
        <w:jc w:val="both"/>
        <w:rPr>
          <w:rFonts w:ascii="Times New Roman" w:hAnsi="Times New Roman" w:cs="Times New Roman"/>
        </w:rPr>
      </w:pPr>
      <w:r>
        <w:rPr>
          <w:rFonts w:ascii="Times New Roman" w:hAnsi="Times New Roman" w:cs="Times New Roman"/>
        </w:rPr>
        <w:t>W</w:t>
      </w:r>
      <w:r w:rsidR="00147F01">
        <w:rPr>
          <w:rFonts w:ascii="Times New Roman" w:hAnsi="Times New Roman" w:cs="Times New Roman"/>
        </w:rPr>
        <w:t>hat measures are being</w:t>
      </w:r>
      <w:r>
        <w:rPr>
          <w:rFonts w:ascii="Times New Roman" w:hAnsi="Times New Roman" w:cs="Times New Roman"/>
        </w:rPr>
        <w:t xml:space="preserve"> taken to provide adolescents comprehensive sexuality education?</w:t>
      </w:r>
    </w:p>
    <w:p w14:paraId="5B7A8EE6" w14:textId="77777777" w:rsidR="00555941" w:rsidRDefault="00A41F65" w:rsidP="00A41F65">
      <w:pPr>
        <w:pStyle w:val="ListParagraph"/>
        <w:numPr>
          <w:ilvl w:val="2"/>
          <w:numId w:val="1"/>
        </w:numPr>
        <w:jc w:val="both"/>
        <w:rPr>
          <w:rFonts w:ascii="Times New Roman" w:hAnsi="Times New Roman" w:cs="Times New Roman"/>
        </w:rPr>
      </w:pPr>
      <w:r>
        <w:rPr>
          <w:rFonts w:ascii="Times New Roman" w:hAnsi="Times New Roman" w:cs="Times New Roman"/>
        </w:rPr>
        <w:t>Wha</w:t>
      </w:r>
      <w:r w:rsidR="00555941">
        <w:rPr>
          <w:rFonts w:ascii="Times New Roman" w:hAnsi="Times New Roman" w:cs="Times New Roman"/>
        </w:rPr>
        <w:t xml:space="preserve">t measures are being taken to </w:t>
      </w:r>
      <w:r>
        <w:rPr>
          <w:rFonts w:ascii="Times New Roman" w:hAnsi="Times New Roman" w:cs="Times New Roman"/>
        </w:rPr>
        <w:t>address social and cultural taboos that prevent adoles</w:t>
      </w:r>
      <w:r w:rsidR="00555941">
        <w:rPr>
          <w:rFonts w:ascii="Times New Roman" w:hAnsi="Times New Roman" w:cs="Times New Roman"/>
        </w:rPr>
        <w:t xml:space="preserve">cents from accessing sexual and reproductive health services? </w:t>
      </w:r>
      <w:r w:rsidR="00147F01">
        <w:rPr>
          <w:rFonts w:ascii="Times New Roman" w:hAnsi="Times New Roman" w:cs="Times New Roman"/>
        </w:rPr>
        <w:t xml:space="preserve"> </w:t>
      </w:r>
    </w:p>
    <w:p w14:paraId="69DC30BC" w14:textId="03D83997" w:rsidR="008C7FC7" w:rsidRDefault="00555941" w:rsidP="004C0AE5">
      <w:pPr>
        <w:pStyle w:val="ListParagraph"/>
        <w:numPr>
          <w:ilvl w:val="2"/>
          <w:numId w:val="1"/>
        </w:numPr>
        <w:jc w:val="both"/>
        <w:rPr>
          <w:rFonts w:ascii="Times New Roman" w:hAnsi="Times New Roman" w:cs="Times New Roman"/>
        </w:rPr>
      </w:pPr>
      <w:r>
        <w:rPr>
          <w:rFonts w:ascii="Times New Roman" w:hAnsi="Times New Roman" w:cs="Times New Roman"/>
        </w:rPr>
        <w:t>What measures are being taken b</w:t>
      </w:r>
      <w:r w:rsidR="004C0AE5">
        <w:rPr>
          <w:rFonts w:ascii="Times New Roman" w:hAnsi="Times New Roman" w:cs="Times New Roman"/>
        </w:rPr>
        <w:t xml:space="preserve">y the State Party to end impunity for child marriage and ensure the availability of </w:t>
      </w:r>
      <w:r w:rsidR="0061557E">
        <w:rPr>
          <w:rFonts w:ascii="Times New Roman" w:hAnsi="Times New Roman" w:cs="Times New Roman"/>
        </w:rPr>
        <w:t xml:space="preserve">support and </w:t>
      </w:r>
      <w:r w:rsidR="004C0AE5">
        <w:rPr>
          <w:rFonts w:ascii="Times New Roman" w:hAnsi="Times New Roman" w:cs="Times New Roman"/>
        </w:rPr>
        <w:t xml:space="preserve">protection mechanisms for girls who are victims of child marriage? </w:t>
      </w:r>
    </w:p>
    <w:p w14:paraId="09D1AC8A" w14:textId="77777777" w:rsidR="004C0AE5" w:rsidRDefault="004C0AE5" w:rsidP="004C0AE5">
      <w:pPr>
        <w:pStyle w:val="ListParagraph"/>
        <w:ind w:left="2520"/>
        <w:jc w:val="both"/>
        <w:rPr>
          <w:rFonts w:ascii="Times New Roman" w:hAnsi="Times New Roman" w:cs="Times New Roman"/>
        </w:rPr>
      </w:pPr>
    </w:p>
    <w:p w14:paraId="4BEB4289" w14:textId="0208D2FC" w:rsidR="008C7FC7" w:rsidRDefault="008C7FC7" w:rsidP="008C7FC7">
      <w:pPr>
        <w:pStyle w:val="NoSpacing"/>
        <w:jc w:val="both"/>
      </w:pPr>
      <w:r>
        <w:t xml:space="preserve">If you have any questions on the information submitted herein, please contact Payal Shah, Acting Regional Director for Asia, Center for Reproductive Rights at </w:t>
      </w:r>
      <w:r w:rsidRPr="004F6701">
        <w:rPr>
          <w:rStyle w:val="Hyperlink"/>
          <w:color w:val="auto"/>
          <w:u w:val="none"/>
        </w:rPr>
        <w:t>pshah@reprorights.org</w:t>
      </w:r>
      <w:r w:rsidRPr="004F6701">
        <w:t xml:space="preserve"> </w:t>
      </w:r>
      <w:r>
        <w:t>and Sara Malkani, Advocacy Adviser Asia, Center for Reproductive Rights at smalkani@reprorights.org. Thank you for your consideration.</w:t>
      </w:r>
    </w:p>
    <w:p w14:paraId="1B645EFC" w14:textId="77777777" w:rsidR="008C7FC7" w:rsidRDefault="008C7FC7" w:rsidP="008C7FC7">
      <w:pPr>
        <w:pStyle w:val="NoSpacing"/>
        <w:jc w:val="both"/>
      </w:pPr>
    </w:p>
    <w:p w14:paraId="749C9B85" w14:textId="77777777" w:rsidR="008C7FC7" w:rsidRDefault="008C7FC7" w:rsidP="008C7FC7">
      <w:pPr>
        <w:pStyle w:val="NoSpacing"/>
        <w:jc w:val="both"/>
      </w:pPr>
      <w:r>
        <w:t>Respectfully submitted,</w:t>
      </w:r>
    </w:p>
    <w:p w14:paraId="7D38FBFE" w14:textId="77777777" w:rsidR="00FC41B1" w:rsidRDefault="00FC41B1" w:rsidP="008C7FC7">
      <w:pPr>
        <w:pStyle w:val="NoSpacing"/>
        <w:jc w:val="both"/>
      </w:pPr>
    </w:p>
    <w:p w14:paraId="37074370" w14:textId="77777777" w:rsidR="008C7FC7" w:rsidRDefault="008C7FC7" w:rsidP="008C7FC7">
      <w:pPr>
        <w:pStyle w:val="NoSpacing"/>
        <w:jc w:val="both"/>
      </w:pPr>
      <w:r>
        <w:t>Center for Reproductive Rights</w:t>
      </w:r>
    </w:p>
    <w:p w14:paraId="18CCA094" w14:textId="77777777" w:rsidR="00FC41B1" w:rsidRDefault="00FC41B1" w:rsidP="008C7FC7">
      <w:pPr>
        <w:pStyle w:val="NoSpacing"/>
        <w:jc w:val="both"/>
      </w:pPr>
    </w:p>
    <w:p w14:paraId="26E8CC1D" w14:textId="1223607D" w:rsidR="008C7FC7" w:rsidRPr="008C7FC7" w:rsidRDefault="00FC41B1" w:rsidP="008C7FC7">
      <w:pPr>
        <w:jc w:val="both"/>
        <w:rPr>
          <w:rFonts w:ascii="Times New Roman" w:hAnsi="Times New Roman" w:cs="Times New Roman"/>
        </w:rPr>
      </w:pPr>
      <w:proofErr w:type="spellStart"/>
      <w:r>
        <w:rPr>
          <w:rFonts w:ascii="Times New Roman" w:hAnsi="Times New Roman" w:cs="Times New Roman"/>
        </w:rPr>
        <w:t>Shirkat</w:t>
      </w:r>
      <w:proofErr w:type="spellEnd"/>
      <w:r>
        <w:rPr>
          <w:rFonts w:ascii="Times New Roman" w:hAnsi="Times New Roman" w:cs="Times New Roman"/>
        </w:rPr>
        <w:t xml:space="preserve"> </w:t>
      </w:r>
      <w:proofErr w:type="spellStart"/>
      <w:r>
        <w:rPr>
          <w:rFonts w:ascii="Times New Roman" w:hAnsi="Times New Roman" w:cs="Times New Roman"/>
        </w:rPr>
        <w:t>Gah</w:t>
      </w:r>
      <w:proofErr w:type="spellEnd"/>
      <w:r>
        <w:rPr>
          <w:rFonts w:ascii="Times New Roman" w:hAnsi="Times New Roman" w:cs="Times New Roman"/>
        </w:rPr>
        <w:t xml:space="preserve"> Women’s Resource Centre </w:t>
      </w:r>
    </w:p>
    <w:p w14:paraId="795220F3" w14:textId="77777777" w:rsidR="00560FFC" w:rsidRDefault="00560FFC" w:rsidP="00560FFC">
      <w:pPr>
        <w:ind w:left="720"/>
        <w:jc w:val="both"/>
        <w:rPr>
          <w:rFonts w:ascii="Times New Roman" w:hAnsi="Times New Roman" w:cs="Times New Roman"/>
        </w:rPr>
      </w:pPr>
    </w:p>
    <w:p w14:paraId="5C639B25" w14:textId="77777777" w:rsidR="00560FFC" w:rsidRPr="00560FFC" w:rsidRDefault="00560FFC" w:rsidP="00560FFC">
      <w:pPr>
        <w:ind w:left="720"/>
        <w:jc w:val="both"/>
        <w:rPr>
          <w:rFonts w:ascii="Times New Roman" w:hAnsi="Times New Roman" w:cs="Times New Roman"/>
        </w:rPr>
      </w:pPr>
    </w:p>
    <w:sectPr w:rsidR="00560FFC" w:rsidRPr="00560FFC" w:rsidSect="00F84A33">
      <w:headerReference w:type="even" r:id="rId10"/>
      <w:headerReference w:type="default" r:id="rId11"/>
      <w:footerReference w:type="even" r:id="rId12"/>
      <w:footerReference w:type="default" r:id="rId13"/>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0253" w14:textId="77777777" w:rsidR="00DA5885" w:rsidRDefault="00DA5885" w:rsidP="00170CA0">
      <w:r>
        <w:separator/>
      </w:r>
    </w:p>
  </w:endnote>
  <w:endnote w:type="continuationSeparator" w:id="0">
    <w:p w14:paraId="377186EA" w14:textId="77777777" w:rsidR="00DA5885" w:rsidRDefault="00DA5885" w:rsidP="00170CA0">
      <w:r>
        <w:continuationSeparator/>
      </w:r>
    </w:p>
  </w:endnote>
  <w:endnote w:type="continuationNotice" w:id="1">
    <w:p w14:paraId="680BA967" w14:textId="77777777" w:rsidR="00DA5885" w:rsidRDefault="00DA5885"/>
  </w:endnote>
  <w:endnote w:id="2">
    <w:p w14:paraId="321B80E0" w14:textId="3DB620F3"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The Center for Reproductive Rights is a global legal advocacy organization with offices in Nepal, Colombia, Kenya, Switzerland and the United States using the power of law to advance reproductive rights as fundamental rights around the world. Sh</w:t>
      </w:r>
      <w:r>
        <w:rPr>
          <w:sz w:val="22"/>
          <w:szCs w:val="22"/>
        </w:rPr>
        <w:t>irkat Gah Women’s Resource Cent</w:t>
      </w:r>
      <w:r w:rsidRPr="00FC41B1">
        <w:rPr>
          <w:sz w:val="22"/>
          <w:szCs w:val="22"/>
        </w:rPr>
        <w:t>r</w:t>
      </w:r>
      <w:r>
        <w:rPr>
          <w:sz w:val="22"/>
          <w:szCs w:val="22"/>
        </w:rPr>
        <w:t>e</w:t>
      </w:r>
      <w:r w:rsidRPr="00FC41B1">
        <w:rPr>
          <w:sz w:val="22"/>
          <w:szCs w:val="22"/>
        </w:rPr>
        <w:t xml:space="preserve"> is a women’s rights organization based in Pakistan with the mission to advocate and mobilize for gender equality and social justice.  </w:t>
      </w:r>
    </w:p>
  </w:endnote>
  <w:endnote w:id="3">
    <w:p w14:paraId="733F1D7E" w14:textId="77777777" w:rsidR="00FC41B1" w:rsidRPr="00FC41B1" w:rsidRDefault="00FC41B1" w:rsidP="002126A2">
      <w:pPr>
        <w:pStyle w:val="EndnoteText"/>
        <w:rPr>
          <w:i/>
          <w:sz w:val="22"/>
          <w:szCs w:val="22"/>
        </w:rPr>
      </w:pPr>
      <w:r w:rsidRPr="00FC41B1">
        <w:rPr>
          <w:rStyle w:val="EndnoteReference"/>
          <w:sz w:val="22"/>
          <w:szCs w:val="22"/>
        </w:rPr>
        <w:endnoteRef/>
      </w:r>
      <w:r w:rsidRPr="00FC41B1">
        <w:rPr>
          <w:sz w:val="22"/>
          <w:szCs w:val="22"/>
        </w:rPr>
        <w:t xml:space="preserve"> Committee on the Elimination of Discrimination against Women (CEDAW), </w:t>
      </w:r>
      <w:r w:rsidRPr="00FC41B1">
        <w:rPr>
          <w:i/>
          <w:sz w:val="22"/>
          <w:szCs w:val="22"/>
        </w:rPr>
        <w:t>Concluding</w:t>
      </w:r>
    </w:p>
    <w:p w14:paraId="4080A1D8" w14:textId="575B6E0C" w:rsidR="00FC41B1" w:rsidRPr="00FC41B1" w:rsidRDefault="00FC41B1" w:rsidP="002126A2">
      <w:pPr>
        <w:pStyle w:val="EndnoteText"/>
        <w:rPr>
          <w:i/>
          <w:sz w:val="22"/>
          <w:szCs w:val="22"/>
        </w:rPr>
      </w:pPr>
      <w:r w:rsidRPr="00FC41B1">
        <w:rPr>
          <w:i/>
          <w:sz w:val="22"/>
          <w:szCs w:val="22"/>
        </w:rPr>
        <w:t xml:space="preserve"> Observations: Pakistan</w:t>
      </w:r>
      <w:r w:rsidRPr="00FC41B1">
        <w:rPr>
          <w:sz w:val="22"/>
          <w:szCs w:val="22"/>
        </w:rPr>
        <w:t xml:space="preserve">, paras. 32, 38, CEDAW/C/PAK/CO/4 (2013) [hereinafter CEDAW Committee, </w:t>
      </w:r>
      <w:r w:rsidRPr="00FC41B1">
        <w:rPr>
          <w:i/>
          <w:sz w:val="22"/>
          <w:szCs w:val="22"/>
        </w:rPr>
        <w:t>Concluding Observations: Pakistan</w:t>
      </w:r>
      <w:r w:rsidRPr="00FC41B1">
        <w:rPr>
          <w:sz w:val="22"/>
          <w:szCs w:val="22"/>
        </w:rPr>
        <w:t xml:space="preserve"> (2013)].</w:t>
      </w:r>
    </w:p>
  </w:endnote>
  <w:endnote w:id="4">
    <w:p w14:paraId="72930B1A" w14:textId="5AE3661B"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See e.g.</w:t>
      </w:r>
      <w:r w:rsidRPr="00FC41B1">
        <w:rPr>
          <w:sz w:val="22"/>
          <w:szCs w:val="22"/>
        </w:rPr>
        <w:t xml:space="preserve"> CEDAW Committee, </w:t>
      </w:r>
      <w:r w:rsidRPr="00FC41B1">
        <w:rPr>
          <w:i/>
          <w:sz w:val="22"/>
          <w:szCs w:val="22"/>
        </w:rPr>
        <w:t>General Recommendation No. 24: Article 12 of the Convention (women and health)</w:t>
      </w:r>
      <w:r w:rsidRPr="00FC41B1">
        <w:rPr>
          <w:sz w:val="22"/>
          <w:szCs w:val="22"/>
        </w:rPr>
        <w:t>, (20</w:t>
      </w:r>
      <w:r w:rsidRPr="00FC41B1">
        <w:rPr>
          <w:sz w:val="22"/>
          <w:szCs w:val="22"/>
          <w:vertAlign w:val="superscript"/>
        </w:rPr>
        <w:t>th</w:t>
      </w:r>
      <w:r w:rsidRPr="00FC41B1">
        <w:rPr>
          <w:sz w:val="22"/>
          <w:szCs w:val="22"/>
        </w:rPr>
        <w:t xml:space="preserve"> Sess., 1999), U.N. Doc. HRI/GEN/1/Rev.9 (Vol II)(2008) [hereinafter CEDAW Committee, </w:t>
      </w:r>
      <w:r w:rsidRPr="00FC41B1">
        <w:rPr>
          <w:i/>
          <w:sz w:val="22"/>
          <w:szCs w:val="22"/>
        </w:rPr>
        <w:t>Gen. Recommendation No. 24</w:t>
      </w:r>
      <w:r w:rsidRPr="00FC41B1">
        <w:rPr>
          <w:sz w:val="22"/>
          <w:szCs w:val="22"/>
        </w:rPr>
        <w:t>]; Alyne da Silva Pimentel Teixeira v Brazil, CEDAW Committee, Comm’n No. 17/2008 U.N. Doc CEDAW/C/49/D/17/2008 (2011).</w:t>
      </w:r>
    </w:p>
  </w:endnote>
  <w:endnote w:id="5">
    <w:p w14:paraId="759E230F" w14:textId="3FE177FD"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sz w:val="22"/>
          <w:szCs w:val="22"/>
        </w:rPr>
        <w:t>Gen. Recommendation No. 24, supra</w:t>
      </w:r>
      <w:r w:rsidRPr="00FC41B1">
        <w:rPr>
          <w:sz w:val="22"/>
          <w:szCs w:val="22"/>
        </w:rPr>
        <w:t xml:space="preserve"> note 3, para. 11.  </w:t>
      </w:r>
    </w:p>
  </w:endnote>
  <w:endnote w:id="6">
    <w:p w14:paraId="6E98FD9C" w14:textId="125AB906"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See</w:t>
      </w:r>
      <w:r w:rsidRPr="00FC41B1">
        <w:rPr>
          <w:sz w:val="22"/>
          <w:szCs w:val="22"/>
        </w:rPr>
        <w:t xml:space="preserve"> CEDAW Committee, </w:t>
      </w:r>
      <w:r w:rsidRPr="00FC41B1">
        <w:rPr>
          <w:i/>
          <w:sz w:val="22"/>
          <w:szCs w:val="22"/>
        </w:rPr>
        <w:t>Concluding Observations: India</w:t>
      </w:r>
      <w:r w:rsidRPr="00FC41B1">
        <w:rPr>
          <w:sz w:val="22"/>
          <w:szCs w:val="22"/>
        </w:rPr>
        <w:t xml:space="preserve">, para. 30, UN Doc. CEDAW/C/IND/CO/4-5 (2014).  </w:t>
      </w:r>
    </w:p>
  </w:endnote>
  <w:endnote w:id="7">
    <w:p w14:paraId="36EEFC16" w14:textId="3D78CC42"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rStyle w:val="BookTitle"/>
          <w:b w:val="0"/>
          <w:sz w:val="22"/>
          <w:szCs w:val="22"/>
        </w:rPr>
        <w:t>World Bank, Maternal mortality ratio (modeled estimate, per 100,000 live births)</w:t>
      </w:r>
      <w:r w:rsidRPr="00FC41B1">
        <w:rPr>
          <w:i/>
          <w:sz w:val="22"/>
          <w:szCs w:val="22"/>
        </w:rPr>
        <w:t xml:space="preserve"> </w:t>
      </w:r>
      <w:r w:rsidRPr="00FC41B1">
        <w:rPr>
          <w:sz w:val="22"/>
          <w:szCs w:val="22"/>
        </w:rPr>
        <w:t xml:space="preserve">(2015), </w:t>
      </w:r>
      <w:r w:rsidRPr="00FC41B1">
        <w:rPr>
          <w:i/>
          <w:sz w:val="22"/>
          <w:szCs w:val="22"/>
        </w:rPr>
        <w:t>available at</w:t>
      </w:r>
      <w:r w:rsidRPr="00FC41B1">
        <w:rPr>
          <w:sz w:val="22"/>
          <w:szCs w:val="22"/>
        </w:rPr>
        <w:t xml:space="preserve"> https://data.worldbank.org/indicator/sh.sta.mmrt.</w:t>
      </w:r>
    </w:p>
  </w:endnote>
  <w:endnote w:id="8">
    <w:p w14:paraId="50619237" w14:textId="0F5E4988"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smallCaps/>
          <w:sz w:val="22"/>
          <w:szCs w:val="22"/>
        </w:rPr>
        <w:t>National Institute of Population Studies,</w:t>
      </w:r>
      <w:r w:rsidRPr="00FC41B1">
        <w:rPr>
          <w:sz w:val="22"/>
          <w:szCs w:val="22"/>
        </w:rPr>
        <w:t xml:space="preserve"> </w:t>
      </w:r>
      <w:r w:rsidRPr="00FC41B1">
        <w:rPr>
          <w:smallCaps/>
          <w:sz w:val="22"/>
          <w:szCs w:val="22"/>
        </w:rPr>
        <w:t>Pakistan: Demographic and Health Survey</w:t>
      </w:r>
      <w:r w:rsidRPr="00FC41B1">
        <w:rPr>
          <w:sz w:val="22"/>
          <w:szCs w:val="22"/>
        </w:rPr>
        <w:t xml:space="preserve"> 2006-07 177 (2008) [hereinafter PDHS 2006-07].</w:t>
      </w:r>
    </w:p>
  </w:endnote>
  <w:endnote w:id="9">
    <w:p w14:paraId="44301AD6" w14:textId="5CBD5C40" w:rsidR="00FC41B1" w:rsidRPr="00FC41B1" w:rsidRDefault="00FC41B1" w:rsidP="00741C43">
      <w:pPr>
        <w:pStyle w:val="EndnoteText"/>
        <w:rPr>
          <w:sz w:val="22"/>
          <w:szCs w:val="22"/>
        </w:rPr>
      </w:pPr>
      <w:r w:rsidRPr="00FC41B1">
        <w:rPr>
          <w:rStyle w:val="EndnoteReference"/>
          <w:sz w:val="22"/>
          <w:szCs w:val="22"/>
        </w:rPr>
        <w:endnoteRef/>
      </w:r>
      <w:r w:rsidRPr="00FC41B1">
        <w:rPr>
          <w:sz w:val="22"/>
          <w:szCs w:val="22"/>
        </w:rPr>
        <w:t xml:space="preserve"> World Bank, </w:t>
      </w:r>
      <w:r w:rsidRPr="00FC41B1">
        <w:rPr>
          <w:i/>
          <w:sz w:val="22"/>
          <w:szCs w:val="22"/>
        </w:rPr>
        <w:t xml:space="preserve">Number of maternal deaths </w:t>
      </w:r>
      <w:r w:rsidRPr="00FC41B1">
        <w:rPr>
          <w:sz w:val="22"/>
          <w:szCs w:val="22"/>
        </w:rPr>
        <w:t xml:space="preserve">(2015), </w:t>
      </w:r>
      <w:r w:rsidRPr="00FC41B1">
        <w:rPr>
          <w:i/>
          <w:sz w:val="22"/>
          <w:szCs w:val="22"/>
        </w:rPr>
        <w:t xml:space="preserve">available at </w:t>
      </w:r>
      <w:r w:rsidRPr="00FC41B1">
        <w:rPr>
          <w:sz w:val="22"/>
          <w:szCs w:val="22"/>
        </w:rPr>
        <w:t>https://data.worldbank.org/indicator/SH.MMR.DTHS?name_desc=true.</w:t>
      </w:r>
    </w:p>
  </w:endnote>
  <w:endnote w:id="10">
    <w:p w14:paraId="4EDBC289" w14:textId="32DE42CD"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Victims of Obstetric Fistula Continue to Suffer in Silence</w:t>
      </w:r>
      <w:r w:rsidRPr="00FC41B1">
        <w:rPr>
          <w:sz w:val="22"/>
          <w:szCs w:val="22"/>
        </w:rPr>
        <w:t>, The News, May 24, 2018</w:t>
      </w:r>
      <w:r w:rsidRPr="00FC41B1">
        <w:rPr>
          <w:i/>
          <w:sz w:val="22"/>
          <w:szCs w:val="22"/>
        </w:rPr>
        <w:t>, available at</w:t>
      </w:r>
      <w:r w:rsidRPr="00FC41B1">
        <w:rPr>
          <w:sz w:val="22"/>
          <w:szCs w:val="22"/>
        </w:rPr>
        <w:t xml:space="preserve"> https://www.thenews.com.pk/print/320649-victims-of-obstetric-fistula-continue-to-suffer-in-silence.</w:t>
      </w:r>
    </w:p>
  </w:endnote>
  <w:endnote w:id="11">
    <w:p w14:paraId="39D96506" w14:textId="0B960151"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12">
    <w:p w14:paraId="3699B0A6" w14:textId="5B8A7ADC" w:rsidR="00FC41B1" w:rsidRPr="00FC41B1" w:rsidRDefault="00FC41B1" w:rsidP="001E6C6B">
      <w:pPr>
        <w:pStyle w:val="EndnoteText"/>
        <w:rPr>
          <w:sz w:val="22"/>
          <w:szCs w:val="22"/>
        </w:rPr>
      </w:pPr>
      <w:r w:rsidRPr="00FC41B1">
        <w:rPr>
          <w:rStyle w:val="EndnoteReference"/>
          <w:sz w:val="22"/>
          <w:szCs w:val="22"/>
        </w:rPr>
        <w:endnoteRef/>
      </w:r>
      <w:r w:rsidRPr="00FC41B1">
        <w:rPr>
          <w:sz w:val="22"/>
          <w:szCs w:val="22"/>
        </w:rPr>
        <w:t xml:space="preserve"> Jasmin Anwar et al., </w:t>
      </w:r>
      <w:r w:rsidRPr="00FC41B1">
        <w:rPr>
          <w:i/>
          <w:sz w:val="22"/>
          <w:szCs w:val="22"/>
        </w:rPr>
        <w:t>Under-estimation of maternal and perinatal mortality revealed by an enhanced surveillance system: enumerating all births and deaths in Pakistan</w:t>
      </w:r>
      <w:r w:rsidRPr="00FC41B1">
        <w:rPr>
          <w:sz w:val="22"/>
          <w:szCs w:val="22"/>
        </w:rPr>
        <w:t xml:space="preserve">, 18 </w:t>
      </w:r>
      <w:r w:rsidRPr="00FC41B1">
        <w:rPr>
          <w:smallCaps/>
          <w:sz w:val="22"/>
          <w:szCs w:val="22"/>
        </w:rPr>
        <w:t xml:space="preserve">BMC Public Health </w:t>
      </w:r>
      <w:r w:rsidRPr="00FC41B1">
        <w:rPr>
          <w:sz w:val="22"/>
          <w:szCs w:val="22"/>
        </w:rPr>
        <w:t xml:space="preserve">428 (2018), </w:t>
      </w:r>
      <w:r w:rsidRPr="00FC41B1">
        <w:rPr>
          <w:i/>
          <w:sz w:val="22"/>
          <w:szCs w:val="22"/>
        </w:rPr>
        <w:t xml:space="preserve">available at </w:t>
      </w:r>
      <w:r w:rsidRPr="00FC41B1">
        <w:rPr>
          <w:sz w:val="22"/>
          <w:szCs w:val="22"/>
        </w:rPr>
        <w:t>https://www.ncbi.nlm.nih.gov/pmc/articles/PMC5880001/.</w:t>
      </w:r>
    </w:p>
  </w:endnote>
  <w:endnote w:id="13">
    <w:p w14:paraId="411A8FFE" w14:textId="6A984028" w:rsidR="00FC41B1" w:rsidRPr="00FC41B1" w:rsidRDefault="00FC41B1" w:rsidP="001E6C6B">
      <w:pPr>
        <w:pStyle w:val="EndnoteText"/>
        <w:rPr>
          <w:i/>
          <w:sz w:val="22"/>
          <w:szCs w:val="22"/>
        </w:rPr>
      </w:pPr>
      <w:r w:rsidRPr="00FC41B1">
        <w:rPr>
          <w:rStyle w:val="EndnoteReference"/>
          <w:i/>
          <w:sz w:val="22"/>
          <w:szCs w:val="22"/>
        </w:rPr>
        <w:endnoteRef/>
      </w:r>
      <w:r w:rsidRPr="00FC41B1">
        <w:rPr>
          <w:i/>
          <w:sz w:val="22"/>
          <w:szCs w:val="22"/>
        </w:rPr>
        <w:t xml:space="preserve"> </w:t>
      </w:r>
      <w:r w:rsidRPr="00FC41B1">
        <w:rPr>
          <w:sz w:val="22"/>
          <w:szCs w:val="22"/>
        </w:rPr>
        <w:t xml:space="preserve">Jasmin Anwar et al., </w:t>
      </w:r>
      <w:r w:rsidRPr="00FC41B1">
        <w:rPr>
          <w:i/>
          <w:sz w:val="22"/>
          <w:szCs w:val="22"/>
        </w:rPr>
        <w:t>Under-estimation of maternal and perinatal mortality revealed by an enhanced surveillance system: enumerating all births and deaths in Pakistan</w:t>
      </w:r>
      <w:r w:rsidRPr="00FC41B1">
        <w:rPr>
          <w:sz w:val="22"/>
          <w:szCs w:val="22"/>
        </w:rPr>
        <w:t xml:space="preserve">, 18 </w:t>
      </w:r>
      <w:r w:rsidRPr="00FC41B1">
        <w:rPr>
          <w:smallCaps/>
          <w:sz w:val="22"/>
          <w:szCs w:val="22"/>
        </w:rPr>
        <w:t xml:space="preserve">BMC Public Health </w:t>
      </w:r>
      <w:r w:rsidRPr="00FC41B1">
        <w:rPr>
          <w:sz w:val="22"/>
          <w:szCs w:val="22"/>
        </w:rPr>
        <w:t xml:space="preserve">428 (2018), </w:t>
      </w:r>
      <w:r w:rsidRPr="00FC41B1">
        <w:rPr>
          <w:i/>
          <w:sz w:val="22"/>
          <w:szCs w:val="22"/>
        </w:rPr>
        <w:t xml:space="preserve">available at </w:t>
      </w:r>
      <w:r w:rsidRPr="00FC41B1">
        <w:rPr>
          <w:sz w:val="22"/>
          <w:szCs w:val="22"/>
        </w:rPr>
        <w:t>https://www.ncbi.nlm.nih.gov/pmc/articles/PMC5880001/.</w:t>
      </w:r>
      <w:r w:rsidRPr="00FC41B1">
        <w:rPr>
          <w:i/>
          <w:sz w:val="22"/>
          <w:szCs w:val="22"/>
        </w:rPr>
        <w:t xml:space="preserve"> </w:t>
      </w:r>
    </w:p>
  </w:endnote>
  <w:endnote w:id="14">
    <w:p w14:paraId="3312EC40" w14:textId="2ECA3163" w:rsidR="00FC41B1" w:rsidRPr="00FC41B1" w:rsidRDefault="00FC41B1" w:rsidP="001E6C6B">
      <w:pPr>
        <w:pStyle w:val="EndnoteText"/>
        <w:rPr>
          <w:i/>
          <w:sz w:val="22"/>
          <w:szCs w:val="22"/>
        </w:rPr>
      </w:pPr>
      <w:r w:rsidRPr="00FC41B1">
        <w:rPr>
          <w:rStyle w:val="EndnoteReference"/>
          <w:i/>
          <w:sz w:val="22"/>
          <w:szCs w:val="22"/>
        </w:rPr>
        <w:endnoteRef/>
      </w:r>
      <w:r w:rsidRPr="00FC41B1">
        <w:rPr>
          <w:i/>
          <w:sz w:val="22"/>
          <w:szCs w:val="22"/>
        </w:rPr>
        <w:t xml:space="preserve"> Id.</w:t>
      </w:r>
      <w:r w:rsidRPr="00FC41B1">
        <w:rPr>
          <w:sz w:val="22"/>
          <w:szCs w:val="22"/>
        </w:rPr>
        <w:t xml:space="preserve"> </w:t>
      </w:r>
    </w:p>
  </w:endnote>
  <w:endnote w:id="15">
    <w:p w14:paraId="08C1AA96" w14:textId="77777777" w:rsidR="00FC41B1" w:rsidRPr="00FC41B1" w:rsidRDefault="00FC41B1" w:rsidP="0001701C">
      <w:pPr>
        <w:pStyle w:val="EndnoteText"/>
        <w:rPr>
          <w:sz w:val="22"/>
          <w:szCs w:val="22"/>
        </w:rPr>
      </w:pPr>
      <w:r w:rsidRPr="00FC41B1">
        <w:rPr>
          <w:rStyle w:val="EndnoteReference"/>
          <w:sz w:val="22"/>
          <w:szCs w:val="22"/>
        </w:rPr>
        <w:endnoteRef/>
      </w:r>
      <w:r w:rsidRPr="00FC41B1">
        <w:rPr>
          <w:sz w:val="22"/>
          <w:szCs w:val="22"/>
        </w:rPr>
        <w:t xml:space="preserve"> </w:t>
      </w:r>
      <w:r w:rsidRPr="00FC41B1">
        <w:rPr>
          <w:smallCaps/>
          <w:sz w:val="22"/>
          <w:szCs w:val="22"/>
        </w:rPr>
        <w:t>Planning Commission, Government of Pakistan, Pakistan Millennium Development Goals Report 2013</w:t>
      </w:r>
      <w:r w:rsidRPr="00FC41B1">
        <w:rPr>
          <w:i/>
          <w:sz w:val="22"/>
          <w:szCs w:val="22"/>
        </w:rPr>
        <w:t xml:space="preserve"> </w:t>
      </w:r>
      <w:r w:rsidRPr="00FC41B1">
        <w:rPr>
          <w:sz w:val="22"/>
          <w:szCs w:val="22"/>
        </w:rPr>
        <w:t>(2013),</w:t>
      </w:r>
      <w:r w:rsidRPr="00FC41B1">
        <w:rPr>
          <w:i/>
          <w:sz w:val="22"/>
          <w:szCs w:val="22"/>
        </w:rPr>
        <w:t xml:space="preserve"> available at </w:t>
      </w:r>
      <w:r w:rsidRPr="00FC41B1">
        <w:rPr>
          <w:sz w:val="22"/>
          <w:szCs w:val="22"/>
        </w:rPr>
        <w:t>http://www.undp.org/content/dam/pakistan/docs/MDGs/MDG2013Report/UNDP-Report13.pdf.</w:t>
      </w:r>
    </w:p>
  </w:endnote>
  <w:endnote w:id="16">
    <w:p w14:paraId="08B9E5C8" w14:textId="77777777" w:rsidR="00FC41B1" w:rsidRPr="00FC41B1" w:rsidRDefault="00FC41B1" w:rsidP="0001701C">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See e.g.</w:t>
      </w:r>
      <w:r w:rsidRPr="00FC41B1">
        <w:rPr>
          <w:sz w:val="22"/>
          <w:szCs w:val="22"/>
        </w:rPr>
        <w:t xml:space="preserve"> Government of Punjab, Punjab Health Sector Strategy 2012-20; Government of Sindh, Sindh Health Sector Strategy 2012-20.</w:t>
      </w:r>
    </w:p>
  </w:endnote>
  <w:endnote w:id="17">
    <w:p w14:paraId="63D4EB93" w14:textId="301F19CF" w:rsidR="00FC41B1" w:rsidRPr="00FC41B1" w:rsidRDefault="00FC41B1" w:rsidP="00B51B46">
      <w:pPr>
        <w:pStyle w:val="EndnoteText"/>
        <w:rPr>
          <w:sz w:val="22"/>
          <w:szCs w:val="22"/>
        </w:rPr>
      </w:pPr>
      <w:r w:rsidRPr="00FC41B1">
        <w:rPr>
          <w:rStyle w:val="EndnoteReference"/>
          <w:sz w:val="22"/>
          <w:szCs w:val="22"/>
        </w:rPr>
        <w:endnoteRef/>
      </w:r>
      <w:r w:rsidRPr="00FC41B1">
        <w:rPr>
          <w:sz w:val="22"/>
          <w:szCs w:val="22"/>
        </w:rPr>
        <w:t xml:space="preserve"> </w:t>
      </w:r>
      <w:r w:rsidRPr="00FC41B1">
        <w:rPr>
          <w:rStyle w:val="BookTitle"/>
          <w:b w:val="0"/>
          <w:sz w:val="22"/>
          <w:szCs w:val="22"/>
        </w:rPr>
        <w:t>Paiman &amp; USAID, Deaths of Women of Reproductive Age</w:t>
      </w:r>
      <w:r w:rsidRPr="00FC41B1">
        <w:rPr>
          <w:sz w:val="22"/>
          <w:szCs w:val="22"/>
        </w:rPr>
        <w:t>, 6 (2010).</w:t>
      </w:r>
    </w:p>
  </w:endnote>
  <w:endnote w:id="18">
    <w:p w14:paraId="7A5E42DC" w14:textId="77777777" w:rsidR="00FC41B1" w:rsidRPr="00FC41B1" w:rsidRDefault="00FC41B1" w:rsidP="00B51B46">
      <w:pPr>
        <w:pStyle w:val="EndnoteText"/>
        <w:rPr>
          <w:sz w:val="22"/>
          <w:szCs w:val="22"/>
        </w:rPr>
      </w:pPr>
      <w:r w:rsidRPr="00FC41B1">
        <w:rPr>
          <w:rStyle w:val="EndnoteReference"/>
          <w:sz w:val="22"/>
          <w:szCs w:val="22"/>
        </w:rPr>
        <w:endnoteRef/>
      </w:r>
      <w:r w:rsidRPr="00FC41B1">
        <w:rPr>
          <w:sz w:val="22"/>
          <w:szCs w:val="22"/>
        </w:rPr>
        <w:t xml:space="preserve"> </w:t>
      </w:r>
      <w:r w:rsidRPr="00FC41B1">
        <w:rPr>
          <w:i/>
          <w:iCs/>
          <w:sz w:val="22"/>
          <w:szCs w:val="22"/>
        </w:rPr>
        <w:t>Id.</w:t>
      </w:r>
      <w:r w:rsidRPr="00FC41B1">
        <w:rPr>
          <w:sz w:val="22"/>
          <w:szCs w:val="22"/>
        </w:rPr>
        <w:t xml:space="preserve"> at 15.   </w:t>
      </w:r>
    </w:p>
  </w:endnote>
  <w:endnote w:id="19">
    <w:p w14:paraId="0D37F7AC" w14:textId="48E6DCAC" w:rsidR="00FC41B1" w:rsidRPr="00FC41B1" w:rsidRDefault="00FC41B1" w:rsidP="00B51B46">
      <w:pPr>
        <w:pStyle w:val="EndnoteText"/>
        <w:rPr>
          <w:sz w:val="22"/>
          <w:szCs w:val="22"/>
        </w:rPr>
      </w:pPr>
      <w:r w:rsidRPr="00FC41B1">
        <w:rPr>
          <w:rStyle w:val="EndnoteReference"/>
          <w:sz w:val="22"/>
          <w:szCs w:val="22"/>
        </w:rPr>
        <w:endnoteRef/>
      </w:r>
      <w:r w:rsidRPr="00FC41B1">
        <w:rPr>
          <w:sz w:val="22"/>
          <w:szCs w:val="22"/>
        </w:rPr>
        <w:t xml:space="preserve"> </w:t>
      </w:r>
      <w:r w:rsidRPr="00FC41B1">
        <w:rPr>
          <w:smallCaps/>
          <w:sz w:val="22"/>
          <w:szCs w:val="22"/>
        </w:rPr>
        <w:t>National Institute of Population Studies,</w:t>
      </w:r>
      <w:r w:rsidRPr="00FC41B1">
        <w:rPr>
          <w:sz w:val="22"/>
          <w:szCs w:val="22"/>
        </w:rPr>
        <w:t xml:space="preserve"> </w:t>
      </w:r>
      <w:r w:rsidRPr="00FC41B1">
        <w:rPr>
          <w:smallCaps/>
          <w:sz w:val="22"/>
          <w:szCs w:val="22"/>
        </w:rPr>
        <w:t>Pakistan: Demographic and Health Survey</w:t>
      </w:r>
      <w:r w:rsidRPr="00FC41B1">
        <w:rPr>
          <w:sz w:val="22"/>
          <w:szCs w:val="22"/>
        </w:rPr>
        <w:t xml:space="preserve"> 2017-18 20 (2019) [hereinafter PDHS 2017-18].</w:t>
      </w:r>
    </w:p>
  </w:endnote>
  <w:endnote w:id="20">
    <w:p w14:paraId="37253DCD" w14:textId="77777777" w:rsidR="00FC41B1" w:rsidRPr="00FC41B1" w:rsidRDefault="00FC41B1" w:rsidP="00B51B46">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21">
    <w:p w14:paraId="6E92013A" w14:textId="77777777" w:rsidR="00FC41B1" w:rsidRPr="00FC41B1" w:rsidRDefault="00FC41B1" w:rsidP="00B51B46">
      <w:pPr>
        <w:pStyle w:val="EndnoteText"/>
        <w:rPr>
          <w:sz w:val="22"/>
          <w:szCs w:val="22"/>
        </w:rPr>
      </w:pPr>
      <w:r w:rsidRPr="00FC41B1">
        <w:rPr>
          <w:rStyle w:val="EndnoteReference"/>
          <w:sz w:val="22"/>
          <w:szCs w:val="22"/>
        </w:rPr>
        <w:endnoteRef/>
      </w:r>
      <w:r w:rsidRPr="00FC41B1">
        <w:rPr>
          <w:sz w:val="22"/>
          <w:szCs w:val="22"/>
        </w:rPr>
        <w:t xml:space="preserve"> Asma Ghani, </w:t>
      </w:r>
      <w:r w:rsidRPr="00FC41B1">
        <w:rPr>
          <w:i/>
          <w:sz w:val="22"/>
          <w:szCs w:val="22"/>
        </w:rPr>
        <w:t>Less than half of health budget used</w:t>
      </w:r>
      <w:r w:rsidRPr="00FC41B1">
        <w:rPr>
          <w:sz w:val="22"/>
          <w:szCs w:val="22"/>
        </w:rPr>
        <w:t>, Express Tribune, Apr. 27, 2018, available at https://tribune.com.pk/story/1696195/1-less-half-health-budget-used/.</w:t>
      </w:r>
    </w:p>
  </w:endnote>
  <w:endnote w:id="22">
    <w:p w14:paraId="7245EF8D" w14:textId="77777777" w:rsidR="00FC41B1" w:rsidRPr="00FC41B1" w:rsidRDefault="00FC41B1" w:rsidP="00B51B46">
      <w:pPr>
        <w:pStyle w:val="EndnoteText"/>
        <w:rPr>
          <w:sz w:val="22"/>
          <w:szCs w:val="22"/>
        </w:rPr>
      </w:pPr>
      <w:r w:rsidRPr="00FC41B1">
        <w:rPr>
          <w:rStyle w:val="EndnoteReference"/>
          <w:sz w:val="22"/>
          <w:szCs w:val="22"/>
        </w:rPr>
        <w:endnoteRef/>
      </w:r>
      <w:r w:rsidRPr="00FC41B1">
        <w:rPr>
          <w:sz w:val="22"/>
          <w:szCs w:val="22"/>
        </w:rPr>
        <w:t xml:space="preserve"> </w:t>
      </w:r>
      <w:r w:rsidRPr="00FC41B1">
        <w:rPr>
          <w:rStyle w:val="BookTitle"/>
          <w:b w:val="0"/>
          <w:sz w:val="22"/>
          <w:szCs w:val="22"/>
        </w:rPr>
        <w:t>World Bank, Out of Pocket Expenditure (% of current expenditure)</w:t>
      </w:r>
      <w:r w:rsidRPr="00FC41B1">
        <w:rPr>
          <w:sz w:val="22"/>
          <w:szCs w:val="22"/>
        </w:rPr>
        <w:t xml:space="preserve"> </w:t>
      </w:r>
      <w:r w:rsidRPr="00FC41B1">
        <w:rPr>
          <w:i/>
          <w:sz w:val="22"/>
          <w:szCs w:val="22"/>
        </w:rPr>
        <w:t xml:space="preserve">available at </w:t>
      </w:r>
      <w:r w:rsidRPr="00FC41B1">
        <w:rPr>
          <w:sz w:val="22"/>
          <w:szCs w:val="22"/>
        </w:rPr>
        <w:t>https://data.worldbank.org/indicator/SH.XPD.OOPC.CH.ZS</w:t>
      </w:r>
    </w:p>
  </w:endnote>
  <w:endnote w:id="23">
    <w:p w14:paraId="0003DA34" w14:textId="77777777" w:rsidR="00FC41B1" w:rsidRPr="00FC41B1" w:rsidRDefault="00FC41B1" w:rsidP="00B51B46">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sz w:val="22"/>
          <w:szCs w:val="22"/>
        </w:rPr>
        <w:t>Concluding Observations: Pakistan</w:t>
      </w:r>
      <w:r w:rsidRPr="00FC41B1">
        <w:rPr>
          <w:sz w:val="22"/>
          <w:szCs w:val="22"/>
        </w:rPr>
        <w:t xml:space="preserve"> (2013) </w:t>
      </w:r>
      <w:r w:rsidRPr="00FC41B1">
        <w:rPr>
          <w:i/>
          <w:sz w:val="22"/>
          <w:szCs w:val="22"/>
        </w:rPr>
        <w:t>supra</w:t>
      </w:r>
      <w:r w:rsidRPr="00FC41B1">
        <w:rPr>
          <w:sz w:val="22"/>
          <w:szCs w:val="22"/>
        </w:rPr>
        <w:t xml:space="preserve"> note 1.    </w:t>
      </w:r>
    </w:p>
  </w:endnote>
  <w:endnote w:id="24">
    <w:p w14:paraId="79513FBF" w14:textId="77777777" w:rsidR="00FC41B1" w:rsidRPr="00FC41B1" w:rsidRDefault="00FC41B1" w:rsidP="008A356A">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Shershah Syed &amp; Others v. Province of Sindh &amp; Another</w:t>
      </w:r>
      <w:r w:rsidRPr="00FC41B1">
        <w:rPr>
          <w:sz w:val="22"/>
          <w:szCs w:val="22"/>
        </w:rPr>
        <w:t xml:space="preserve">, C.P. 4243 of 2015 (copy of petition is available on file with the Center).  </w:t>
      </w:r>
    </w:p>
  </w:endnote>
  <w:endnote w:id="25">
    <w:p w14:paraId="2F3F858E" w14:textId="55ABFC52"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Copy of order of Sindh High Court dated December 18 2018 is available on file with the Center for Reproductive Rights; </w:t>
      </w:r>
      <w:r w:rsidRPr="00FC41B1">
        <w:rPr>
          <w:i/>
          <w:sz w:val="22"/>
          <w:szCs w:val="22"/>
        </w:rPr>
        <w:t>see also</w:t>
      </w:r>
      <w:r w:rsidRPr="00FC41B1">
        <w:rPr>
          <w:sz w:val="22"/>
          <w:szCs w:val="22"/>
        </w:rPr>
        <w:t xml:space="preserve"> </w:t>
      </w:r>
      <w:r w:rsidRPr="00FC41B1">
        <w:rPr>
          <w:i/>
          <w:sz w:val="22"/>
          <w:szCs w:val="22"/>
        </w:rPr>
        <w:t>SHC voices concern over 95 vacant posts of Gynecologists</w:t>
      </w:r>
      <w:r w:rsidRPr="00FC41B1">
        <w:rPr>
          <w:sz w:val="22"/>
          <w:szCs w:val="22"/>
        </w:rPr>
        <w:t xml:space="preserve">, </w:t>
      </w:r>
      <w:r w:rsidRPr="00FC41B1">
        <w:rPr>
          <w:rStyle w:val="BookTitle"/>
          <w:b w:val="0"/>
          <w:sz w:val="22"/>
          <w:szCs w:val="22"/>
        </w:rPr>
        <w:t>Express Tribune</w:t>
      </w:r>
      <w:r w:rsidRPr="00FC41B1">
        <w:rPr>
          <w:sz w:val="22"/>
          <w:szCs w:val="22"/>
        </w:rPr>
        <w:t xml:space="preserve">, December 19 2018 </w:t>
      </w:r>
      <w:r w:rsidRPr="00FC41B1">
        <w:rPr>
          <w:i/>
          <w:sz w:val="22"/>
          <w:szCs w:val="22"/>
        </w:rPr>
        <w:t>available at</w:t>
      </w:r>
      <w:r w:rsidRPr="00FC41B1">
        <w:rPr>
          <w:sz w:val="22"/>
          <w:szCs w:val="22"/>
        </w:rPr>
        <w:t xml:space="preserve"> https://www.thenews.com.pk/print/407675-shc-voices-concern-over-95-vacant-posts-of-gynaecologists</w:t>
      </w:r>
    </w:p>
  </w:endnote>
  <w:endnote w:id="26">
    <w:p w14:paraId="3D0768AA" w14:textId="6C97A52A" w:rsidR="00FC41B1" w:rsidRPr="00FC41B1" w:rsidRDefault="00FC41B1" w:rsidP="008A356A">
      <w:pPr>
        <w:pStyle w:val="EndnoteText"/>
        <w:rPr>
          <w:sz w:val="22"/>
          <w:szCs w:val="22"/>
        </w:rPr>
      </w:pPr>
      <w:r w:rsidRPr="00FC41B1">
        <w:rPr>
          <w:rStyle w:val="EndnoteReference"/>
          <w:sz w:val="22"/>
          <w:szCs w:val="22"/>
        </w:rPr>
        <w:endnoteRef/>
      </w:r>
      <w:r w:rsidRPr="00FC41B1">
        <w:rPr>
          <w:sz w:val="22"/>
          <w:szCs w:val="22"/>
        </w:rPr>
        <w:t xml:space="preserve"> Copy of order of Sindh High Court dated February 19 2019 is available on file with the Center for Reproductive Rights; see also </w:t>
      </w:r>
      <w:r w:rsidRPr="00FC41B1">
        <w:rPr>
          <w:i/>
          <w:sz w:val="22"/>
          <w:szCs w:val="22"/>
        </w:rPr>
        <w:t>SHC Directs Health Department To Prevent Incidence of Obstetric Fistula</w:t>
      </w:r>
      <w:r w:rsidRPr="00FC41B1">
        <w:rPr>
          <w:sz w:val="22"/>
          <w:szCs w:val="22"/>
        </w:rPr>
        <w:t xml:space="preserve">, </w:t>
      </w:r>
      <w:r w:rsidRPr="00FC41B1">
        <w:rPr>
          <w:rStyle w:val="BookTitle"/>
          <w:b w:val="0"/>
        </w:rPr>
        <w:t>The News</w:t>
      </w:r>
      <w:r w:rsidRPr="00FC41B1">
        <w:rPr>
          <w:sz w:val="22"/>
          <w:szCs w:val="22"/>
        </w:rPr>
        <w:t>, March 5, 2019, available at https://www.thenews.com.pk/print/439783-shc-directs-health-department-to-prevent-incidence-of-obstetric-fistula</w:t>
      </w:r>
    </w:p>
  </w:endnote>
  <w:endnote w:id="27">
    <w:p w14:paraId="73ED4875" w14:textId="0C25245D"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 xml:space="preserve">See </w:t>
      </w:r>
      <w:r w:rsidRPr="00FC41B1">
        <w:rPr>
          <w:smallCaps/>
          <w:sz w:val="22"/>
          <w:szCs w:val="22"/>
        </w:rPr>
        <w:t>Nina Zhu et al.,</w:t>
      </w:r>
      <w:r w:rsidRPr="00FC41B1">
        <w:rPr>
          <w:sz w:val="22"/>
          <w:szCs w:val="22"/>
        </w:rPr>
        <w:t xml:space="preserve"> </w:t>
      </w:r>
      <w:r w:rsidRPr="00FC41B1">
        <w:rPr>
          <w:smallCaps/>
          <w:sz w:val="22"/>
          <w:szCs w:val="22"/>
        </w:rPr>
        <w:t xml:space="preserve">Lady Health Workers in Pakistan: Improving access to health care for rural women and families </w:t>
      </w:r>
      <w:r w:rsidRPr="00FC41B1">
        <w:rPr>
          <w:sz w:val="22"/>
          <w:szCs w:val="22"/>
        </w:rPr>
        <w:t xml:space="preserve">3 (2014), available at </w:t>
      </w:r>
      <w:r w:rsidRPr="00FC41B1">
        <w:rPr>
          <w:i/>
          <w:sz w:val="22"/>
          <w:szCs w:val="22"/>
        </w:rPr>
        <w:t xml:space="preserve"> </w:t>
      </w:r>
      <w:r w:rsidRPr="00FC41B1">
        <w:rPr>
          <w:sz w:val="22"/>
          <w:szCs w:val="22"/>
        </w:rPr>
        <w:t xml:space="preserve">https://cdn2.sph.harvard.edu/wp-content/uploads/sites/32/2014/09/HSPH-Pakistan5.pdf. </w:t>
      </w:r>
    </w:p>
  </w:endnote>
  <w:endnote w:id="28">
    <w:p w14:paraId="3488AB04" w14:textId="67D1DA77"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at 5. </w:t>
      </w:r>
    </w:p>
  </w:endnote>
  <w:endnote w:id="29">
    <w:p w14:paraId="4FE079E4" w14:textId="7CB4A4AB"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30">
    <w:p w14:paraId="111164BB" w14:textId="77777777" w:rsidR="00FC41B1" w:rsidRPr="00FC41B1" w:rsidRDefault="00FC41B1" w:rsidP="00AF7675">
      <w:pPr>
        <w:pStyle w:val="EndnoteText"/>
        <w:rPr>
          <w:sz w:val="22"/>
          <w:szCs w:val="22"/>
        </w:rPr>
      </w:pPr>
      <w:r w:rsidRPr="00FC41B1">
        <w:rPr>
          <w:rStyle w:val="EndnoteReference"/>
          <w:sz w:val="22"/>
          <w:szCs w:val="22"/>
        </w:rPr>
        <w:endnoteRef/>
      </w:r>
      <w:r w:rsidRPr="00FC41B1">
        <w:rPr>
          <w:sz w:val="22"/>
          <w:szCs w:val="22"/>
        </w:rPr>
        <w:t xml:space="preserve"> Public Services International, </w:t>
      </w:r>
      <w:r w:rsidRPr="00FC41B1">
        <w:rPr>
          <w:i/>
          <w:sz w:val="22"/>
          <w:szCs w:val="22"/>
        </w:rPr>
        <w:t>Time to end attacks on Lady Health Workers in Pakistan</w:t>
      </w:r>
      <w:r w:rsidRPr="00FC41B1">
        <w:rPr>
          <w:sz w:val="22"/>
          <w:szCs w:val="22"/>
        </w:rPr>
        <w:t xml:space="preserve">, </w:t>
      </w:r>
      <w:r w:rsidRPr="00FC41B1">
        <w:rPr>
          <w:smallCaps/>
          <w:sz w:val="22"/>
          <w:szCs w:val="22"/>
        </w:rPr>
        <w:t>World-PSI.org,</w:t>
      </w:r>
      <w:r w:rsidRPr="00FC41B1">
        <w:rPr>
          <w:sz w:val="22"/>
          <w:szCs w:val="22"/>
        </w:rPr>
        <w:t xml:space="preserve"> Feb. 2, 2017 </w:t>
      </w:r>
      <w:r w:rsidRPr="00FC41B1">
        <w:rPr>
          <w:i/>
          <w:sz w:val="22"/>
          <w:szCs w:val="22"/>
        </w:rPr>
        <w:t>available at</w:t>
      </w:r>
      <w:r w:rsidRPr="00FC41B1">
        <w:rPr>
          <w:sz w:val="22"/>
          <w:szCs w:val="22"/>
        </w:rPr>
        <w:t xml:space="preserve"> http://www.world-psi.org/en/time-end-attacks-lady-health-workers-pakistan.</w:t>
      </w:r>
    </w:p>
  </w:endnote>
  <w:endnote w:id="31">
    <w:p w14:paraId="63521C78" w14:textId="2885235B" w:rsidR="00FC41B1" w:rsidRPr="00FC41B1" w:rsidRDefault="00FC41B1" w:rsidP="00AF7675">
      <w:pPr>
        <w:pStyle w:val="EndnoteText"/>
        <w:rPr>
          <w:sz w:val="22"/>
          <w:szCs w:val="22"/>
        </w:rPr>
      </w:pPr>
      <w:r w:rsidRPr="00FC41B1">
        <w:rPr>
          <w:rStyle w:val="EndnoteReference"/>
          <w:sz w:val="22"/>
          <w:szCs w:val="22"/>
        </w:rPr>
        <w:endnoteRef/>
      </w:r>
      <w:r w:rsidRPr="00FC41B1">
        <w:rPr>
          <w:sz w:val="22"/>
          <w:szCs w:val="22"/>
        </w:rPr>
        <w:t xml:space="preserve"> Hafsa Adil, </w:t>
      </w:r>
      <w:r w:rsidRPr="00FC41B1">
        <w:rPr>
          <w:i/>
          <w:sz w:val="22"/>
          <w:szCs w:val="22"/>
        </w:rPr>
        <w:t>The Plight of Pakistan’s Lady Health Workers</w:t>
      </w:r>
      <w:r w:rsidRPr="00FC41B1">
        <w:rPr>
          <w:sz w:val="22"/>
          <w:szCs w:val="22"/>
        </w:rPr>
        <w:t xml:space="preserve">, </w:t>
      </w:r>
      <w:r w:rsidRPr="00FC41B1">
        <w:rPr>
          <w:smallCaps/>
          <w:sz w:val="22"/>
          <w:szCs w:val="22"/>
        </w:rPr>
        <w:t>Al-Jazeera</w:t>
      </w:r>
      <w:r w:rsidRPr="00FC41B1">
        <w:rPr>
          <w:sz w:val="22"/>
          <w:szCs w:val="22"/>
        </w:rPr>
        <w:t xml:space="preserve">, April 10, 2018, https://www.aljazeera.com/indepth/features/plight-pakistan-lady-health-workers-180410085710330.html.   </w:t>
      </w:r>
    </w:p>
  </w:endnote>
  <w:endnote w:id="32">
    <w:p w14:paraId="05E274E2" w14:textId="4FB5EDE1"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33">
    <w:p w14:paraId="40CEEE71" w14:textId="77777777" w:rsidR="00FC41B1" w:rsidRPr="00FC41B1" w:rsidRDefault="00FC41B1" w:rsidP="00704475">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See e.g.</w:t>
      </w:r>
      <w:r w:rsidRPr="00FC41B1">
        <w:rPr>
          <w:sz w:val="22"/>
          <w:szCs w:val="22"/>
        </w:rPr>
        <w:t xml:space="preserve"> </w:t>
      </w:r>
      <w:r w:rsidRPr="00FC41B1">
        <w:rPr>
          <w:smallCaps/>
          <w:sz w:val="22"/>
          <w:szCs w:val="22"/>
        </w:rPr>
        <w:t>World Health Organization (WHO), The World Health Report 2005: Make Every Mother and Child Count</w:t>
      </w:r>
      <w:r w:rsidRPr="00FC41B1">
        <w:rPr>
          <w:sz w:val="22"/>
          <w:szCs w:val="22"/>
        </w:rPr>
        <w:t xml:space="preserve">, 48-50 (2005) </w:t>
      </w:r>
      <w:r w:rsidRPr="00FC41B1">
        <w:rPr>
          <w:i/>
          <w:sz w:val="22"/>
          <w:szCs w:val="22"/>
        </w:rPr>
        <w:t>available at</w:t>
      </w:r>
      <w:r w:rsidRPr="00FC41B1">
        <w:rPr>
          <w:sz w:val="22"/>
          <w:szCs w:val="22"/>
        </w:rPr>
        <w:t xml:space="preserve"> https://www.who.int/whr/2005/whr2005_en.pdf?ua=1.</w:t>
      </w:r>
    </w:p>
  </w:endnote>
  <w:endnote w:id="34">
    <w:p w14:paraId="4279D674" w14:textId="254C0A5F"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Sathar et. al. </w:t>
      </w:r>
      <w:r w:rsidRPr="00FC41B1">
        <w:rPr>
          <w:i/>
          <w:iCs/>
          <w:sz w:val="22"/>
          <w:szCs w:val="22"/>
        </w:rPr>
        <w:t>Induced Abortions and Unintended Pregnancies in Pakistan</w:t>
      </w:r>
      <w:r w:rsidRPr="00FC41B1">
        <w:rPr>
          <w:sz w:val="22"/>
          <w:szCs w:val="22"/>
        </w:rPr>
        <w:t xml:space="preserve">, </w:t>
      </w:r>
      <w:r w:rsidRPr="00FC41B1">
        <w:rPr>
          <w:rStyle w:val="BookTitle"/>
          <w:b w:val="0"/>
          <w:sz w:val="22"/>
          <w:szCs w:val="22"/>
        </w:rPr>
        <w:t>Studies in Family Planning,</w:t>
      </w:r>
      <w:r w:rsidRPr="00FC41B1">
        <w:rPr>
          <w:sz w:val="22"/>
          <w:szCs w:val="22"/>
        </w:rPr>
        <w:t xml:space="preserve"> 471-491, 483 (2014).</w:t>
      </w:r>
    </w:p>
  </w:endnote>
  <w:endnote w:id="35">
    <w:p w14:paraId="5D9E4C73" w14:textId="7B2AC02D" w:rsidR="00FC41B1" w:rsidRPr="00FC41B1" w:rsidRDefault="00FC41B1" w:rsidP="00704475">
      <w:pPr>
        <w:pStyle w:val="EndnoteText"/>
        <w:rPr>
          <w:sz w:val="22"/>
          <w:szCs w:val="22"/>
        </w:rPr>
      </w:pPr>
      <w:r w:rsidRPr="00FC41B1">
        <w:rPr>
          <w:rStyle w:val="EndnoteReference"/>
          <w:sz w:val="22"/>
          <w:szCs w:val="22"/>
        </w:rPr>
        <w:endnoteRef/>
      </w:r>
      <w:r w:rsidRPr="00FC41B1">
        <w:rPr>
          <w:sz w:val="22"/>
          <w:szCs w:val="22"/>
        </w:rPr>
        <w:t xml:space="preserve"> PDHS 2017-18, </w:t>
      </w:r>
      <w:r w:rsidRPr="00FC41B1">
        <w:rPr>
          <w:i/>
          <w:sz w:val="22"/>
          <w:szCs w:val="22"/>
        </w:rPr>
        <w:t>supra</w:t>
      </w:r>
      <w:r w:rsidRPr="00FC41B1">
        <w:rPr>
          <w:sz w:val="22"/>
          <w:szCs w:val="22"/>
        </w:rPr>
        <w:t xml:space="preserve"> note 18 at 20.  </w:t>
      </w:r>
    </w:p>
  </w:endnote>
  <w:endnote w:id="36">
    <w:p w14:paraId="1CE7CB18" w14:textId="77777777" w:rsidR="00FC41B1" w:rsidRPr="00FC41B1" w:rsidRDefault="00FC41B1" w:rsidP="00704475">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sz w:val="22"/>
          <w:szCs w:val="22"/>
        </w:rPr>
        <w:t>Concluding Observations: Pakistan</w:t>
      </w:r>
      <w:r w:rsidRPr="00FC41B1">
        <w:rPr>
          <w:sz w:val="22"/>
          <w:szCs w:val="22"/>
        </w:rPr>
        <w:t xml:space="preserve">, para. 41, U.N. Doc. CEDAW/C/PAK/CO/3 (2007).  </w:t>
      </w:r>
    </w:p>
  </w:endnote>
  <w:endnote w:id="37">
    <w:p w14:paraId="0B0036A4" w14:textId="7896666B" w:rsidR="00FC41B1" w:rsidRPr="00FC41B1" w:rsidRDefault="00FC41B1" w:rsidP="007162AD">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iCs/>
          <w:sz w:val="22"/>
          <w:szCs w:val="22"/>
        </w:rPr>
        <w:t>Concluding Observations: Pakistan</w:t>
      </w:r>
      <w:r w:rsidRPr="00FC41B1">
        <w:rPr>
          <w:sz w:val="22"/>
          <w:szCs w:val="22"/>
        </w:rPr>
        <w:t xml:space="preserve"> (2013), </w:t>
      </w:r>
      <w:r w:rsidRPr="00FC41B1">
        <w:rPr>
          <w:i/>
          <w:sz w:val="22"/>
          <w:szCs w:val="22"/>
        </w:rPr>
        <w:t xml:space="preserve">supra </w:t>
      </w:r>
      <w:r w:rsidRPr="00FC41B1">
        <w:rPr>
          <w:sz w:val="22"/>
          <w:szCs w:val="22"/>
        </w:rPr>
        <w:t xml:space="preserve">note 2 at para. 31.  </w:t>
      </w:r>
    </w:p>
  </w:endnote>
  <w:endnote w:id="38">
    <w:p w14:paraId="223CEEA6" w14:textId="77777777" w:rsidR="00FC41B1" w:rsidRPr="00FC41B1" w:rsidRDefault="00FC41B1" w:rsidP="007162AD">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39">
    <w:p w14:paraId="2D6D0ADB" w14:textId="312A3610" w:rsidR="00FC41B1" w:rsidRPr="00FC41B1" w:rsidRDefault="00FC41B1" w:rsidP="00576AB9">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sz w:val="22"/>
          <w:szCs w:val="22"/>
        </w:rPr>
        <w:t>Gen. Recommendation No. 24</w:t>
      </w:r>
      <w:r w:rsidRPr="00FC41B1">
        <w:rPr>
          <w:sz w:val="22"/>
          <w:szCs w:val="22"/>
        </w:rPr>
        <w:t xml:space="preserve">, </w:t>
      </w:r>
      <w:r w:rsidRPr="00FC41B1">
        <w:rPr>
          <w:i/>
          <w:sz w:val="22"/>
          <w:szCs w:val="22"/>
        </w:rPr>
        <w:t>supra</w:t>
      </w:r>
      <w:r w:rsidRPr="00FC41B1">
        <w:rPr>
          <w:sz w:val="22"/>
          <w:szCs w:val="22"/>
        </w:rPr>
        <w:t xml:space="preserve"> note 3 at para 17.</w:t>
      </w:r>
    </w:p>
  </w:endnote>
  <w:endnote w:id="40">
    <w:p w14:paraId="4B462EC0" w14:textId="77777777" w:rsidR="00FC41B1" w:rsidRPr="00FC41B1" w:rsidRDefault="00FC41B1" w:rsidP="00576AB9">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sz w:val="22"/>
          <w:szCs w:val="22"/>
        </w:rPr>
        <w:t>Concluding Observations: Bolivia</w:t>
      </w:r>
      <w:r w:rsidRPr="00FC41B1">
        <w:rPr>
          <w:sz w:val="22"/>
          <w:szCs w:val="22"/>
        </w:rPr>
        <w:t xml:space="preserve">, para.43 U.N. Doc CEDAW/C/BOL/CO/4 (2008).  </w:t>
      </w:r>
    </w:p>
  </w:endnote>
  <w:endnote w:id="41">
    <w:p w14:paraId="0851C4CB" w14:textId="6CC6722E" w:rsidR="00FC41B1" w:rsidRPr="00FC41B1" w:rsidRDefault="00FC41B1" w:rsidP="00654115">
      <w:pPr>
        <w:pStyle w:val="EndnoteText"/>
        <w:rPr>
          <w:sz w:val="22"/>
          <w:szCs w:val="22"/>
        </w:rPr>
      </w:pPr>
      <w:r w:rsidRPr="00FC41B1">
        <w:rPr>
          <w:rStyle w:val="EndnoteReference"/>
          <w:sz w:val="22"/>
          <w:szCs w:val="22"/>
        </w:rPr>
        <w:endnoteRef/>
      </w:r>
      <w:r w:rsidRPr="00FC41B1">
        <w:rPr>
          <w:sz w:val="22"/>
          <w:szCs w:val="22"/>
        </w:rPr>
        <w:t xml:space="preserve"> CEDAW, </w:t>
      </w:r>
      <w:r w:rsidRPr="00FC41B1">
        <w:rPr>
          <w:i/>
          <w:iCs/>
          <w:sz w:val="22"/>
          <w:szCs w:val="22"/>
        </w:rPr>
        <w:t>Fifth Periodic Report Submitted by Pakistan under Article 18 of the Convention</w:t>
      </w:r>
      <w:r w:rsidRPr="00FC41B1">
        <w:rPr>
          <w:sz w:val="22"/>
          <w:szCs w:val="22"/>
        </w:rPr>
        <w:t xml:space="preserve">, paras. 153-164, CEDAW/C/PAK/5 (2018).  </w:t>
      </w:r>
    </w:p>
  </w:endnote>
  <w:endnote w:id="42">
    <w:p w14:paraId="12CB1086" w14:textId="5F1C2FB7"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See e.g. L.C. v. Peru, CEDAW Committee, Commc’n No. 22/2009, para. 8.15, U.N. Doc. CEDAW/C/50/D/22/2009 (2011).</w:t>
      </w:r>
    </w:p>
  </w:endnote>
  <w:endnote w:id="43">
    <w:p w14:paraId="04F94DEF" w14:textId="6BF7CB49" w:rsidR="00FC41B1" w:rsidRPr="00FC41B1" w:rsidRDefault="00FC41B1">
      <w:pPr>
        <w:pStyle w:val="EndnoteText"/>
        <w:rPr>
          <w:i/>
          <w:iCs/>
          <w:sz w:val="22"/>
          <w:szCs w:val="22"/>
        </w:rPr>
      </w:pPr>
      <w:r w:rsidRPr="00FC41B1">
        <w:rPr>
          <w:rStyle w:val="EndnoteReference"/>
          <w:sz w:val="22"/>
          <w:szCs w:val="22"/>
        </w:rPr>
        <w:endnoteRef/>
      </w:r>
      <w:r w:rsidRPr="00FC41B1">
        <w:rPr>
          <w:sz w:val="22"/>
          <w:szCs w:val="22"/>
        </w:rPr>
        <w:t xml:space="preserve"> </w:t>
      </w:r>
      <w:r w:rsidRPr="00FC41B1">
        <w:rPr>
          <w:i/>
          <w:iCs/>
          <w:sz w:val="22"/>
          <w:szCs w:val="22"/>
        </w:rPr>
        <w:t xml:space="preserve">Id. </w:t>
      </w:r>
    </w:p>
  </w:endnote>
  <w:endnote w:id="44">
    <w:p w14:paraId="5638275A" w14:textId="14173C09"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Pakistan Penal Code of 1860, s. 338.</w:t>
      </w:r>
    </w:p>
  </w:endnote>
  <w:endnote w:id="45">
    <w:p w14:paraId="462D9FB6" w14:textId="5A66D958"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Pakistan Penal Code of 1860, s. 338-B</w:t>
      </w:r>
    </w:p>
  </w:endnote>
  <w:endnote w:id="46">
    <w:p w14:paraId="58951F6F" w14:textId="224E0CF7"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Pakistan Penal Code of 1860, s. 338-A, 338-B.</w:t>
      </w:r>
    </w:p>
  </w:endnote>
  <w:endnote w:id="47">
    <w:p w14:paraId="36510BFF" w14:textId="054D11AB" w:rsidR="00FC41B1" w:rsidRPr="00FC41B1" w:rsidRDefault="00FC41B1" w:rsidP="00BB3D3C">
      <w:pPr>
        <w:pStyle w:val="EndnoteText"/>
        <w:rPr>
          <w:rStyle w:val="BookTitle"/>
          <w:b w:val="0"/>
          <w:sz w:val="22"/>
          <w:szCs w:val="22"/>
        </w:rPr>
      </w:pPr>
      <w:r w:rsidRPr="00FC41B1">
        <w:rPr>
          <w:rStyle w:val="EndnoteReference"/>
          <w:sz w:val="22"/>
          <w:szCs w:val="22"/>
        </w:rPr>
        <w:endnoteRef/>
      </w:r>
      <w:r w:rsidRPr="00FC41B1">
        <w:rPr>
          <w:sz w:val="22"/>
          <w:szCs w:val="22"/>
        </w:rPr>
        <w:t xml:space="preserve"> </w:t>
      </w:r>
      <w:r w:rsidRPr="00FC41B1">
        <w:rPr>
          <w:i/>
          <w:sz w:val="22"/>
          <w:szCs w:val="22"/>
        </w:rPr>
        <w:t>See</w:t>
      </w:r>
      <w:r w:rsidRPr="00FC41B1">
        <w:rPr>
          <w:sz w:val="22"/>
          <w:szCs w:val="22"/>
        </w:rPr>
        <w:t xml:space="preserve"> </w:t>
      </w:r>
      <w:r w:rsidRPr="00FC41B1">
        <w:rPr>
          <w:rStyle w:val="BookTitle"/>
          <w:b w:val="0"/>
          <w:sz w:val="22"/>
          <w:szCs w:val="22"/>
        </w:rPr>
        <w:t xml:space="preserve">Government of Punjab, Service Delivery Standards and Guidelines for High Quality Safe Uterine Evacuation and Post-Abortion Care (April 2015).  </w:t>
      </w:r>
    </w:p>
    <w:p w14:paraId="5E45FD31" w14:textId="1D70A3EA" w:rsidR="00FC41B1" w:rsidRPr="00FC41B1" w:rsidRDefault="00FC41B1" w:rsidP="00BB3D3C">
      <w:pPr>
        <w:pStyle w:val="EndnoteText"/>
        <w:rPr>
          <w:sz w:val="22"/>
          <w:szCs w:val="22"/>
        </w:rPr>
      </w:pPr>
      <w:r w:rsidRPr="00FC41B1">
        <w:rPr>
          <w:rStyle w:val="BookTitle"/>
          <w:b w:val="0"/>
          <w:sz w:val="22"/>
          <w:szCs w:val="22"/>
        </w:rPr>
        <w:t>Government of Pakistan, National Service Delivery Standards and Guidelines for High Quality Safe Uterine Evacuation and Post-Abortion Care, (March 2018).</w:t>
      </w:r>
      <w:r w:rsidRPr="00FC41B1">
        <w:rPr>
          <w:sz w:val="22"/>
          <w:szCs w:val="22"/>
        </w:rPr>
        <w:t xml:space="preserve">  </w:t>
      </w:r>
    </w:p>
  </w:endnote>
  <w:endnote w:id="48">
    <w:p w14:paraId="558BBB39" w14:textId="0B4F668E"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Diaa Hadid, </w:t>
      </w:r>
      <w:r w:rsidRPr="00FC41B1">
        <w:rPr>
          <w:i/>
          <w:sz w:val="22"/>
          <w:szCs w:val="22"/>
        </w:rPr>
        <w:t>Why the abortion rate in Pakistan is one of the highest</w:t>
      </w:r>
      <w:r w:rsidRPr="00FC41B1">
        <w:rPr>
          <w:sz w:val="22"/>
          <w:szCs w:val="22"/>
        </w:rPr>
        <w:t xml:space="preserve">, NPR, Nov. 28 2018 </w:t>
      </w:r>
      <w:r w:rsidRPr="00FC41B1">
        <w:rPr>
          <w:i/>
          <w:sz w:val="22"/>
          <w:szCs w:val="22"/>
        </w:rPr>
        <w:t>available at</w:t>
      </w:r>
      <w:r w:rsidRPr="00FC41B1">
        <w:rPr>
          <w:sz w:val="22"/>
          <w:szCs w:val="22"/>
        </w:rPr>
        <w:t xml:space="preserve"> https://www.npr.org/sections/goatsandsoda/2018/11/28/661763318/why-the-abortion-rate-in-pakistan-is-one-of-the-worlds-highest</w:t>
      </w:r>
    </w:p>
  </w:endnote>
  <w:endnote w:id="49">
    <w:p w14:paraId="0B7C72AC" w14:textId="765B0AD8"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Sathar et. al. </w:t>
      </w:r>
      <w:r w:rsidRPr="00FC41B1">
        <w:rPr>
          <w:i/>
          <w:iCs/>
          <w:sz w:val="22"/>
          <w:szCs w:val="22"/>
        </w:rPr>
        <w:t>Induced Abortions and Unintended Pregnancies in Pakistan</w:t>
      </w:r>
      <w:r w:rsidRPr="00FC41B1">
        <w:rPr>
          <w:sz w:val="22"/>
          <w:szCs w:val="22"/>
        </w:rPr>
        <w:t xml:space="preserve">, </w:t>
      </w:r>
      <w:r w:rsidRPr="00FC41B1">
        <w:rPr>
          <w:rStyle w:val="BookTitle"/>
          <w:b w:val="0"/>
          <w:sz w:val="22"/>
          <w:szCs w:val="22"/>
        </w:rPr>
        <w:t>Studies in Family Planning</w:t>
      </w:r>
      <w:r w:rsidRPr="00FC41B1">
        <w:rPr>
          <w:sz w:val="22"/>
          <w:szCs w:val="22"/>
        </w:rPr>
        <w:t>, 471-491, 471 (2014).</w:t>
      </w:r>
    </w:p>
  </w:endnote>
  <w:endnote w:id="50">
    <w:p w14:paraId="0464B289" w14:textId="6DC14655"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rStyle w:val="BookTitle"/>
          <w:b w:val="0"/>
          <w:bCs w:val="0"/>
          <w:sz w:val="22"/>
          <w:szCs w:val="22"/>
        </w:rPr>
        <w:t>Guttmacher Institute, Factsheet: Unintended Pregnancy and Induced Abortion in Pakistan</w:t>
      </w:r>
      <w:r w:rsidRPr="00FC41B1">
        <w:rPr>
          <w:sz w:val="22"/>
          <w:szCs w:val="22"/>
        </w:rPr>
        <w:t xml:space="preserve"> (2015) </w:t>
      </w:r>
      <w:r w:rsidRPr="00FC41B1">
        <w:rPr>
          <w:i/>
          <w:iCs/>
          <w:sz w:val="22"/>
          <w:szCs w:val="22"/>
        </w:rPr>
        <w:t>available at</w:t>
      </w:r>
      <w:r w:rsidRPr="00FC41B1">
        <w:rPr>
          <w:sz w:val="22"/>
          <w:szCs w:val="22"/>
        </w:rPr>
        <w:t xml:space="preserve"> https://www.guttmacher.org/sites/default/files/factsheet/fb-pakistan.pdf</w:t>
      </w:r>
    </w:p>
  </w:endnote>
  <w:endnote w:id="51">
    <w:p w14:paraId="1CF26482" w14:textId="6C187792"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Sathar et. al. </w:t>
      </w:r>
      <w:r w:rsidRPr="00FC41B1">
        <w:rPr>
          <w:i/>
          <w:iCs/>
          <w:sz w:val="22"/>
          <w:szCs w:val="22"/>
        </w:rPr>
        <w:t>Induced Abortions and Unintended Pregnancies in Pakistan</w:t>
      </w:r>
      <w:r w:rsidRPr="00FC41B1">
        <w:rPr>
          <w:sz w:val="22"/>
          <w:szCs w:val="22"/>
        </w:rPr>
        <w:t xml:space="preserve">, </w:t>
      </w:r>
      <w:r w:rsidRPr="00FC41B1">
        <w:rPr>
          <w:rStyle w:val="BookTitle"/>
          <w:b w:val="0"/>
          <w:sz w:val="22"/>
          <w:szCs w:val="22"/>
        </w:rPr>
        <w:t>Studies in Family Planning,</w:t>
      </w:r>
      <w:r w:rsidRPr="00FC41B1">
        <w:rPr>
          <w:sz w:val="22"/>
          <w:szCs w:val="22"/>
        </w:rPr>
        <w:t xml:space="preserve"> 471-491, 481 (2014).</w:t>
      </w:r>
      <w:r w:rsidRPr="00FC41B1">
        <w:rPr>
          <w:i/>
          <w:iCs/>
          <w:sz w:val="22"/>
          <w:szCs w:val="22"/>
        </w:rPr>
        <w:t xml:space="preserve"> </w:t>
      </w:r>
    </w:p>
  </w:endnote>
  <w:endnote w:id="52">
    <w:p w14:paraId="15F9CA34" w14:textId="773B3C04"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53">
    <w:p w14:paraId="641217FC" w14:textId="3C99D48E"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sz w:val="22"/>
          <w:szCs w:val="22"/>
        </w:rPr>
        <w:t>Pakistan: Concluding Observations</w:t>
      </w:r>
      <w:r w:rsidRPr="00FC41B1">
        <w:rPr>
          <w:sz w:val="22"/>
          <w:szCs w:val="22"/>
        </w:rPr>
        <w:t xml:space="preserve"> (2013), </w:t>
      </w:r>
      <w:r w:rsidRPr="00FC41B1">
        <w:rPr>
          <w:i/>
          <w:sz w:val="22"/>
          <w:szCs w:val="22"/>
        </w:rPr>
        <w:t>supra</w:t>
      </w:r>
      <w:r w:rsidRPr="00FC41B1">
        <w:rPr>
          <w:sz w:val="22"/>
          <w:szCs w:val="22"/>
        </w:rPr>
        <w:t xml:space="preserve"> note 2 at para. 31.  </w:t>
      </w:r>
    </w:p>
  </w:endnote>
  <w:endnote w:id="54">
    <w:p w14:paraId="114724C3" w14:textId="58B05441"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CEDAW Committee &amp; CRC Committee, </w:t>
      </w:r>
      <w:r w:rsidRPr="00FC41B1">
        <w:rPr>
          <w:i/>
          <w:sz w:val="22"/>
          <w:szCs w:val="22"/>
        </w:rPr>
        <w:t>Joint Gen. Recommendation No. 31 &amp; Gen. Comment No. 18 on harmful practices</w:t>
      </w:r>
      <w:r w:rsidRPr="00FC41B1">
        <w:rPr>
          <w:sz w:val="22"/>
          <w:szCs w:val="22"/>
        </w:rPr>
        <w:t xml:space="preserve">, paras. 21, 22, U.N. Doc. CEDAW/C/GC/31-CRC/C/GC/18 (2014).    </w:t>
      </w:r>
    </w:p>
  </w:endnote>
  <w:endnote w:id="55">
    <w:p w14:paraId="0F14BF2B" w14:textId="38AD72C7"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CEDAW Committee, Concluding Observations: Italy, para. 35 U.N. Doc. CEDAW/C/ITA/CO/7 (2017); </w:t>
      </w:r>
      <w:r w:rsidRPr="00FC41B1">
        <w:rPr>
          <w:i/>
          <w:iCs/>
          <w:sz w:val="22"/>
          <w:szCs w:val="22"/>
        </w:rPr>
        <w:t>Nigeria</w:t>
      </w:r>
      <w:r w:rsidRPr="00FC41B1">
        <w:rPr>
          <w:sz w:val="22"/>
          <w:szCs w:val="22"/>
        </w:rPr>
        <w:t xml:space="preserve">, para 34 U.N. Doc. CEDAW/C/NGA/CO/7-8 (2017); </w:t>
      </w:r>
      <w:r w:rsidRPr="00FC41B1">
        <w:rPr>
          <w:i/>
          <w:iCs/>
          <w:sz w:val="22"/>
          <w:szCs w:val="22"/>
        </w:rPr>
        <w:t>Ireland</w:t>
      </w:r>
      <w:r w:rsidRPr="00FC41B1">
        <w:rPr>
          <w:sz w:val="22"/>
          <w:szCs w:val="22"/>
        </w:rPr>
        <w:t xml:space="preserve"> para. 39 U.N. Doc. CEDAW/C/IRL/CO/6-7 (2017).  </w:t>
      </w:r>
    </w:p>
  </w:endnote>
  <w:endnote w:id="56">
    <w:p w14:paraId="697BF465" w14:textId="747C134A"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2017-18 PDHS </w:t>
      </w:r>
      <w:r w:rsidRPr="00FC41B1">
        <w:rPr>
          <w:i/>
          <w:sz w:val="22"/>
          <w:szCs w:val="22"/>
        </w:rPr>
        <w:t>supra</w:t>
      </w:r>
      <w:r w:rsidRPr="00FC41B1">
        <w:rPr>
          <w:sz w:val="22"/>
          <w:szCs w:val="22"/>
        </w:rPr>
        <w:t xml:space="preserve"> note 18  at 16.  </w:t>
      </w:r>
    </w:p>
  </w:endnote>
  <w:endnote w:id="57">
    <w:p w14:paraId="422FB8D8" w14:textId="619CF5D8"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Chandra-Mouli et. al., </w:t>
      </w:r>
      <w:r w:rsidRPr="00FC41B1">
        <w:rPr>
          <w:i/>
          <w:iCs/>
          <w:sz w:val="22"/>
          <w:szCs w:val="22"/>
        </w:rPr>
        <w:t>Building Support for Adolescent Sexuality and Reproductive Health Education and Responding to Resistance in Conservative Contexts: Cases from Pakistan,</w:t>
      </w:r>
      <w:r w:rsidRPr="00FC41B1">
        <w:rPr>
          <w:sz w:val="22"/>
          <w:szCs w:val="22"/>
        </w:rPr>
        <w:t xml:space="preserve"> GLOBAL HEALTH: SCIENCE AND PRACTICE, 1-2 (2018).</w:t>
      </w:r>
    </w:p>
  </w:endnote>
  <w:endnote w:id="58">
    <w:p w14:paraId="2E787829" w14:textId="24602032"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59">
    <w:p w14:paraId="00D0926A" w14:textId="04800F74"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rStyle w:val="BookTitle"/>
          <w:b w:val="0"/>
          <w:sz w:val="22"/>
          <w:szCs w:val="22"/>
        </w:rPr>
        <w:t>Girls Not Brides, Where Does It Happen</w:t>
      </w:r>
      <w:r w:rsidRPr="00FC41B1">
        <w:rPr>
          <w:sz w:val="22"/>
          <w:szCs w:val="22"/>
        </w:rPr>
        <w:t>, available at https://www.girlsnotbrides.org/child-marriage/pakistan/</w:t>
      </w:r>
    </w:p>
  </w:endnote>
  <w:endnote w:id="60">
    <w:p w14:paraId="4FF0970F" w14:textId="4829BE8D"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rStyle w:val="BookTitle"/>
          <w:b w:val="0"/>
          <w:sz w:val="22"/>
          <w:szCs w:val="22"/>
        </w:rPr>
        <w:t>UNICEF, State of the World’s Children</w:t>
      </w:r>
      <w:r w:rsidRPr="00FC41B1">
        <w:rPr>
          <w:sz w:val="22"/>
          <w:szCs w:val="22"/>
        </w:rPr>
        <w:t xml:space="preserve">, 152 (2016) </w:t>
      </w:r>
      <w:r w:rsidRPr="00FC41B1">
        <w:rPr>
          <w:i/>
          <w:iCs/>
          <w:sz w:val="22"/>
          <w:szCs w:val="22"/>
        </w:rPr>
        <w:t>available at</w:t>
      </w:r>
      <w:r w:rsidRPr="00FC41B1">
        <w:rPr>
          <w:sz w:val="22"/>
          <w:szCs w:val="22"/>
        </w:rPr>
        <w:t xml:space="preserve"> https://www.unicef.org/publications/index_91711.html</w:t>
      </w:r>
    </w:p>
  </w:endnote>
  <w:endnote w:id="61">
    <w:p w14:paraId="37301D27" w14:textId="18B27AD7"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Child Marriage Restraint Act 1929.</w:t>
      </w:r>
    </w:p>
  </w:endnote>
  <w:endnote w:id="62">
    <w:p w14:paraId="17143A6D" w14:textId="3611CEC5"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Sindh Child Marriage Restraint Act 2013.  </w:t>
      </w:r>
    </w:p>
  </w:endnote>
  <w:endnote w:id="63">
    <w:p w14:paraId="026D0DC1" w14:textId="3A357BED" w:rsidR="00FC41B1" w:rsidRPr="00FC41B1" w:rsidRDefault="00FC41B1" w:rsidP="003F4DE7">
      <w:pPr>
        <w:pStyle w:val="EndnoteText"/>
        <w:rPr>
          <w:sz w:val="22"/>
          <w:szCs w:val="22"/>
        </w:rPr>
      </w:pPr>
      <w:r w:rsidRPr="00FC41B1">
        <w:rPr>
          <w:rStyle w:val="EndnoteReference"/>
          <w:sz w:val="22"/>
          <w:szCs w:val="22"/>
        </w:rPr>
        <w:endnoteRef/>
      </w:r>
      <w:r w:rsidRPr="00FC41B1">
        <w:rPr>
          <w:sz w:val="22"/>
          <w:szCs w:val="22"/>
        </w:rPr>
        <w:t xml:space="preserve"> </w:t>
      </w:r>
      <w:r w:rsidRPr="00FC41B1">
        <w:rPr>
          <w:rStyle w:val="BookTitle"/>
          <w:b w:val="0"/>
          <w:sz w:val="22"/>
          <w:szCs w:val="22"/>
        </w:rPr>
        <w:t>Center for Reproductive Rights, Ending Impunity for Child Marriage in Pakistan: Normative and Implementation Gaps</w:t>
      </w:r>
      <w:r w:rsidRPr="00FC41B1">
        <w:rPr>
          <w:sz w:val="22"/>
          <w:szCs w:val="22"/>
        </w:rPr>
        <w:t xml:space="preserve">, 33-34 (2018) </w:t>
      </w:r>
      <w:r w:rsidRPr="00FC41B1">
        <w:rPr>
          <w:i/>
          <w:iCs/>
          <w:sz w:val="22"/>
          <w:szCs w:val="22"/>
        </w:rPr>
        <w:t xml:space="preserve">available at  </w:t>
      </w:r>
      <w:r w:rsidRPr="00FC41B1">
        <w:rPr>
          <w:sz w:val="22"/>
          <w:szCs w:val="22"/>
        </w:rPr>
        <w:t>https://www.reproductiverights.org/sites/crr.civicactions.net/files/documents/64785006_ending_impunity_for_child_marriage_pakistan_2018_print-edit-web.pdf</w:t>
      </w:r>
    </w:p>
  </w:endnote>
  <w:endnote w:id="64">
    <w:p w14:paraId="120F0C25" w14:textId="5A844959" w:rsidR="00FC41B1" w:rsidRPr="00FC41B1" w:rsidRDefault="00FC41B1">
      <w:pPr>
        <w:pStyle w:val="EndnoteText"/>
        <w:rPr>
          <w:i/>
          <w:iCs/>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w:t>
      </w:r>
    </w:p>
  </w:endnote>
  <w:endnote w:id="65">
    <w:p w14:paraId="67DCC6F4" w14:textId="708A4DA8"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CEDAW Committee, </w:t>
      </w:r>
      <w:r w:rsidRPr="00FC41B1">
        <w:rPr>
          <w:i/>
          <w:sz w:val="22"/>
          <w:szCs w:val="22"/>
        </w:rPr>
        <w:t>Concluding Observations: Pakistan</w:t>
      </w:r>
      <w:r w:rsidRPr="00FC41B1">
        <w:rPr>
          <w:sz w:val="22"/>
          <w:szCs w:val="22"/>
        </w:rPr>
        <w:t xml:space="preserve"> (2013) </w:t>
      </w:r>
      <w:r w:rsidRPr="00FC41B1">
        <w:rPr>
          <w:i/>
          <w:sz w:val="22"/>
          <w:szCs w:val="22"/>
        </w:rPr>
        <w:t>supra</w:t>
      </w:r>
      <w:r w:rsidRPr="00FC41B1">
        <w:rPr>
          <w:sz w:val="22"/>
          <w:szCs w:val="22"/>
        </w:rPr>
        <w:t xml:space="preserve"> note 2 at para. 37 (2013)  </w:t>
      </w:r>
    </w:p>
  </w:endnote>
  <w:endnote w:id="66">
    <w:p w14:paraId="6FE4239B" w14:textId="1C8BA4B3"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w:t>
      </w:r>
      <w:r w:rsidRPr="00FC41B1">
        <w:rPr>
          <w:i/>
          <w:sz w:val="22"/>
          <w:szCs w:val="22"/>
        </w:rPr>
        <w:t>Id.</w:t>
      </w:r>
      <w:r w:rsidRPr="00FC41B1">
        <w:rPr>
          <w:sz w:val="22"/>
          <w:szCs w:val="22"/>
        </w:rPr>
        <w:t xml:space="preserve"> at para. 38</w:t>
      </w:r>
    </w:p>
  </w:endnote>
  <w:endnote w:id="67">
    <w:p w14:paraId="7963B89B" w14:textId="0DCD6F63" w:rsidR="00FC41B1" w:rsidRPr="00FC41B1" w:rsidRDefault="00FC41B1">
      <w:pPr>
        <w:pStyle w:val="EndnoteText"/>
        <w:rPr>
          <w:sz w:val="22"/>
          <w:szCs w:val="22"/>
        </w:rPr>
      </w:pPr>
      <w:r w:rsidRPr="00FC41B1">
        <w:rPr>
          <w:rStyle w:val="EndnoteReference"/>
          <w:sz w:val="22"/>
          <w:szCs w:val="22"/>
        </w:rPr>
        <w:endnoteRef/>
      </w:r>
      <w:r w:rsidRPr="00FC41B1">
        <w:rPr>
          <w:sz w:val="22"/>
          <w:szCs w:val="22"/>
        </w:rPr>
        <w:t xml:space="preserve"> Javed Hussain, </w:t>
      </w:r>
      <w:r w:rsidRPr="00FC41B1">
        <w:rPr>
          <w:i/>
          <w:iCs/>
          <w:sz w:val="22"/>
          <w:szCs w:val="22"/>
        </w:rPr>
        <w:t>Senate Sees Off Religious Parties’ Opposition To Pass Bill Against Child Marriage</w:t>
      </w:r>
      <w:r w:rsidRPr="00FC41B1">
        <w:rPr>
          <w:sz w:val="22"/>
          <w:szCs w:val="22"/>
        </w:rPr>
        <w:t>, DAWN, April 29, 2019 available at https://www.dawn.com/news/1479198</w:t>
      </w:r>
    </w:p>
  </w:endnote>
  <w:endnote w:id="68">
    <w:p w14:paraId="20B7331E" w14:textId="18D209CC" w:rsidR="00FC41B1" w:rsidRPr="00FC41B1" w:rsidRDefault="00FC41B1" w:rsidP="00AE32FC">
      <w:pPr>
        <w:pStyle w:val="EndnoteText"/>
        <w:rPr>
          <w:sz w:val="22"/>
          <w:szCs w:val="22"/>
        </w:rPr>
      </w:pPr>
      <w:r w:rsidRPr="00FC41B1">
        <w:rPr>
          <w:rStyle w:val="EndnoteReference"/>
          <w:sz w:val="22"/>
          <w:szCs w:val="22"/>
        </w:rPr>
        <w:endnoteRef/>
      </w:r>
      <w:r w:rsidRPr="00FC41B1">
        <w:rPr>
          <w:sz w:val="22"/>
          <w:szCs w:val="22"/>
        </w:rPr>
        <w:t xml:space="preserve"> Amir Wasim, </w:t>
      </w:r>
      <w:r w:rsidRPr="00FC41B1">
        <w:rPr>
          <w:i/>
          <w:sz w:val="22"/>
          <w:szCs w:val="22"/>
        </w:rPr>
        <w:t>Bill Against Child Marriage Divides Parties in NA</w:t>
      </w:r>
      <w:r w:rsidRPr="00FC41B1">
        <w:rPr>
          <w:sz w:val="22"/>
          <w:szCs w:val="22"/>
        </w:rPr>
        <w:t>, DAWN, May 1, 2019 available at https://www.dawn.com/news/1479444</w:t>
      </w:r>
    </w:p>
    <w:p w14:paraId="6EF274A3" w14:textId="2B2CE6EB" w:rsidR="00FC41B1" w:rsidRPr="00FC41B1" w:rsidRDefault="00FC41B1">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CA9D" w14:textId="77777777" w:rsidR="00FC41B1" w:rsidRDefault="00FC41B1" w:rsidP="00CA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03F50" w14:textId="77777777" w:rsidR="00FC41B1" w:rsidRDefault="00FC41B1" w:rsidP="00FC4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3254" w14:textId="77777777" w:rsidR="00FC41B1" w:rsidRDefault="00FC41B1" w:rsidP="00CA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DEB">
      <w:rPr>
        <w:rStyle w:val="PageNumber"/>
        <w:noProof/>
      </w:rPr>
      <w:t>9</w:t>
    </w:r>
    <w:r>
      <w:rPr>
        <w:rStyle w:val="PageNumber"/>
      </w:rPr>
      <w:fldChar w:fldCharType="end"/>
    </w:r>
  </w:p>
  <w:p w14:paraId="17A64BDE" w14:textId="77777777" w:rsidR="00FC41B1" w:rsidRDefault="00FC41B1" w:rsidP="00FC41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34711" w14:textId="77777777" w:rsidR="00DA5885" w:rsidRDefault="00DA5885" w:rsidP="00170CA0">
      <w:r>
        <w:separator/>
      </w:r>
    </w:p>
  </w:footnote>
  <w:footnote w:type="continuationSeparator" w:id="0">
    <w:p w14:paraId="634CFE04" w14:textId="77777777" w:rsidR="00DA5885" w:rsidRDefault="00DA5885" w:rsidP="00170CA0">
      <w:r>
        <w:continuationSeparator/>
      </w:r>
    </w:p>
  </w:footnote>
  <w:footnote w:type="continuationNotice" w:id="1">
    <w:p w14:paraId="41B26523" w14:textId="77777777" w:rsidR="00DA5885" w:rsidRDefault="00DA5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A290" w14:textId="77777777" w:rsidR="00FC41B1" w:rsidRDefault="00165D41">
    <w:pPr>
      <w:pStyle w:val="Header"/>
    </w:pPr>
    <w:sdt>
      <w:sdtPr>
        <w:id w:val="171999623"/>
        <w:placeholder>
          <w:docPart w:val="9EBB6AE555B01A4D88794CBE97F8D220"/>
        </w:placeholder>
        <w:temporary/>
        <w:showingPlcHdr/>
      </w:sdtPr>
      <w:sdtEndPr/>
      <w:sdtContent>
        <w:r w:rsidR="00FC41B1">
          <w:t>[Type text]</w:t>
        </w:r>
      </w:sdtContent>
    </w:sdt>
    <w:r w:rsidR="00FC41B1">
      <w:ptab w:relativeTo="margin" w:alignment="center" w:leader="none"/>
    </w:r>
    <w:sdt>
      <w:sdtPr>
        <w:id w:val="171999624"/>
        <w:placeholder>
          <w:docPart w:val="14A731D731069142BC86E1EBBC989654"/>
        </w:placeholder>
        <w:temporary/>
        <w:showingPlcHdr/>
      </w:sdtPr>
      <w:sdtEndPr/>
      <w:sdtContent>
        <w:r w:rsidR="00FC41B1">
          <w:t>[Type text]</w:t>
        </w:r>
      </w:sdtContent>
    </w:sdt>
    <w:r w:rsidR="00FC41B1">
      <w:ptab w:relativeTo="margin" w:alignment="right" w:leader="none"/>
    </w:r>
    <w:sdt>
      <w:sdtPr>
        <w:id w:val="171999625"/>
        <w:placeholder>
          <w:docPart w:val="BC442E91DD76BA49ADCB3D501AC64F9E"/>
        </w:placeholder>
        <w:temporary/>
        <w:showingPlcHdr/>
      </w:sdtPr>
      <w:sdtEndPr/>
      <w:sdtContent>
        <w:r w:rsidR="00FC41B1">
          <w:t>[Type text]</w:t>
        </w:r>
      </w:sdtContent>
    </w:sdt>
  </w:p>
  <w:p w14:paraId="6BC18E93" w14:textId="77777777" w:rsidR="00CE2D4A" w:rsidRDefault="00CE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ACF5" w14:textId="3E0BC55C" w:rsidR="00FC41B1" w:rsidRDefault="00FC41B1">
    <w:pPr>
      <w:pStyle w:val="Header"/>
    </w:pPr>
    <w:r>
      <w:ptab w:relativeTo="margin" w:alignment="center" w:leader="none"/>
    </w:r>
    <w:r>
      <w:ptab w:relativeTo="margin" w:alignment="right" w:leader="none"/>
    </w:r>
  </w:p>
  <w:p w14:paraId="18B3E34D" w14:textId="77777777" w:rsidR="00CE2D4A" w:rsidRDefault="00CE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707C3"/>
    <w:multiLevelType w:val="hybridMultilevel"/>
    <w:tmpl w:val="2DB022F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0D"/>
    <w:rsid w:val="000007FB"/>
    <w:rsid w:val="00011590"/>
    <w:rsid w:val="0001701C"/>
    <w:rsid w:val="00021D91"/>
    <w:rsid w:val="0002330E"/>
    <w:rsid w:val="00024E65"/>
    <w:rsid w:val="0003228B"/>
    <w:rsid w:val="00033EA8"/>
    <w:rsid w:val="00036518"/>
    <w:rsid w:val="000468E3"/>
    <w:rsid w:val="000507C1"/>
    <w:rsid w:val="00050A2E"/>
    <w:rsid w:val="0005189C"/>
    <w:rsid w:val="00054B71"/>
    <w:rsid w:val="00055526"/>
    <w:rsid w:val="000561F5"/>
    <w:rsid w:val="000618F6"/>
    <w:rsid w:val="00075DEB"/>
    <w:rsid w:val="00084172"/>
    <w:rsid w:val="0008506B"/>
    <w:rsid w:val="000904A0"/>
    <w:rsid w:val="00093A40"/>
    <w:rsid w:val="00093FD8"/>
    <w:rsid w:val="000A27AC"/>
    <w:rsid w:val="000B0FBF"/>
    <w:rsid w:val="000B1CA2"/>
    <w:rsid w:val="000C068C"/>
    <w:rsid w:val="000C22DA"/>
    <w:rsid w:val="000C7400"/>
    <w:rsid w:val="000C7D49"/>
    <w:rsid w:val="000D0E3F"/>
    <w:rsid w:val="000D6E31"/>
    <w:rsid w:val="000D6EFD"/>
    <w:rsid w:val="000E454D"/>
    <w:rsid w:val="000F31EE"/>
    <w:rsid w:val="000F4B31"/>
    <w:rsid w:val="000F5682"/>
    <w:rsid w:val="000F5BFF"/>
    <w:rsid w:val="001035DA"/>
    <w:rsid w:val="00103CE4"/>
    <w:rsid w:val="00115907"/>
    <w:rsid w:val="00121CE9"/>
    <w:rsid w:val="00130A39"/>
    <w:rsid w:val="0013114E"/>
    <w:rsid w:val="00147F01"/>
    <w:rsid w:val="00154B01"/>
    <w:rsid w:val="001571E5"/>
    <w:rsid w:val="00165D41"/>
    <w:rsid w:val="00170A3D"/>
    <w:rsid w:val="00170CA0"/>
    <w:rsid w:val="001726FA"/>
    <w:rsid w:val="001764AA"/>
    <w:rsid w:val="0017664D"/>
    <w:rsid w:val="00180DB5"/>
    <w:rsid w:val="001914A8"/>
    <w:rsid w:val="00196F09"/>
    <w:rsid w:val="001A2011"/>
    <w:rsid w:val="001A4AEA"/>
    <w:rsid w:val="001B28CE"/>
    <w:rsid w:val="001B7CC4"/>
    <w:rsid w:val="001C78AF"/>
    <w:rsid w:val="001D5E71"/>
    <w:rsid w:val="001E2FD3"/>
    <w:rsid w:val="001E6C6B"/>
    <w:rsid w:val="001E7DAB"/>
    <w:rsid w:val="00205141"/>
    <w:rsid w:val="002126A2"/>
    <w:rsid w:val="002127AD"/>
    <w:rsid w:val="00213AFE"/>
    <w:rsid w:val="0024120C"/>
    <w:rsid w:val="002418DA"/>
    <w:rsid w:val="00242126"/>
    <w:rsid w:val="00247A98"/>
    <w:rsid w:val="00260D3B"/>
    <w:rsid w:val="00270762"/>
    <w:rsid w:val="002713A4"/>
    <w:rsid w:val="00276A52"/>
    <w:rsid w:val="0028471B"/>
    <w:rsid w:val="00293B20"/>
    <w:rsid w:val="002C1BCA"/>
    <w:rsid w:val="002C1EED"/>
    <w:rsid w:val="002C429F"/>
    <w:rsid w:val="002D2D6B"/>
    <w:rsid w:val="002D5A2B"/>
    <w:rsid w:val="002D663B"/>
    <w:rsid w:val="002E6264"/>
    <w:rsid w:val="002F0C0E"/>
    <w:rsid w:val="002F35BA"/>
    <w:rsid w:val="002F3A53"/>
    <w:rsid w:val="0031182D"/>
    <w:rsid w:val="00311B76"/>
    <w:rsid w:val="00335754"/>
    <w:rsid w:val="00341BB4"/>
    <w:rsid w:val="003453D8"/>
    <w:rsid w:val="00350B33"/>
    <w:rsid w:val="003510BE"/>
    <w:rsid w:val="00361BE9"/>
    <w:rsid w:val="0036297C"/>
    <w:rsid w:val="00370641"/>
    <w:rsid w:val="00381B2E"/>
    <w:rsid w:val="00396DAB"/>
    <w:rsid w:val="003A3E58"/>
    <w:rsid w:val="003C3E87"/>
    <w:rsid w:val="003D3615"/>
    <w:rsid w:val="003E6584"/>
    <w:rsid w:val="003F486E"/>
    <w:rsid w:val="003F4DE7"/>
    <w:rsid w:val="004173A7"/>
    <w:rsid w:val="0042117C"/>
    <w:rsid w:val="00421A28"/>
    <w:rsid w:val="004224FD"/>
    <w:rsid w:val="00424BB7"/>
    <w:rsid w:val="00426492"/>
    <w:rsid w:val="00444E9D"/>
    <w:rsid w:val="00446507"/>
    <w:rsid w:val="0045016F"/>
    <w:rsid w:val="00452427"/>
    <w:rsid w:val="004622A4"/>
    <w:rsid w:val="00474762"/>
    <w:rsid w:val="00474E7B"/>
    <w:rsid w:val="00474FFE"/>
    <w:rsid w:val="00477CDA"/>
    <w:rsid w:val="00481233"/>
    <w:rsid w:val="00487227"/>
    <w:rsid w:val="0049107F"/>
    <w:rsid w:val="004A3289"/>
    <w:rsid w:val="004B4461"/>
    <w:rsid w:val="004B669D"/>
    <w:rsid w:val="004C0AE5"/>
    <w:rsid w:val="004C4545"/>
    <w:rsid w:val="004D0F34"/>
    <w:rsid w:val="004D36A4"/>
    <w:rsid w:val="004E0946"/>
    <w:rsid w:val="004E10E7"/>
    <w:rsid w:val="004E44A3"/>
    <w:rsid w:val="004F074D"/>
    <w:rsid w:val="004F594E"/>
    <w:rsid w:val="004F6701"/>
    <w:rsid w:val="004F6F3B"/>
    <w:rsid w:val="004F7167"/>
    <w:rsid w:val="00502AD6"/>
    <w:rsid w:val="00504D57"/>
    <w:rsid w:val="00516216"/>
    <w:rsid w:val="005165EC"/>
    <w:rsid w:val="005279A8"/>
    <w:rsid w:val="0053072E"/>
    <w:rsid w:val="00541F78"/>
    <w:rsid w:val="005433DD"/>
    <w:rsid w:val="00555941"/>
    <w:rsid w:val="00560FFC"/>
    <w:rsid w:val="005707EF"/>
    <w:rsid w:val="005750B5"/>
    <w:rsid w:val="00576AB9"/>
    <w:rsid w:val="005805A2"/>
    <w:rsid w:val="00585995"/>
    <w:rsid w:val="00587039"/>
    <w:rsid w:val="005921DD"/>
    <w:rsid w:val="005976CA"/>
    <w:rsid w:val="005B71AC"/>
    <w:rsid w:val="005C707B"/>
    <w:rsid w:val="005D2418"/>
    <w:rsid w:val="005D2C59"/>
    <w:rsid w:val="005D7474"/>
    <w:rsid w:val="005E15F5"/>
    <w:rsid w:val="005E3924"/>
    <w:rsid w:val="005E71CE"/>
    <w:rsid w:val="0060195C"/>
    <w:rsid w:val="00606974"/>
    <w:rsid w:val="00607F7C"/>
    <w:rsid w:val="00611A96"/>
    <w:rsid w:val="0061557E"/>
    <w:rsid w:val="006156E3"/>
    <w:rsid w:val="00615EF3"/>
    <w:rsid w:val="00616B0D"/>
    <w:rsid w:val="00624771"/>
    <w:rsid w:val="00625D09"/>
    <w:rsid w:val="00625EE8"/>
    <w:rsid w:val="0063369C"/>
    <w:rsid w:val="00644EA1"/>
    <w:rsid w:val="00645912"/>
    <w:rsid w:val="00652670"/>
    <w:rsid w:val="00652C7C"/>
    <w:rsid w:val="00652D02"/>
    <w:rsid w:val="00654115"/>
    <w:rsid w:val="00657957"/>
    <w:rsid w:val="00672646"/>
    <w:rsid w:val="00680704"/>
    <w:rsid w:val="00680C8E"/>
    <w:rsid w:val="00690705"/>
    <w:rsid w:val="00691548"/>
    <w:rsid w:val="00691D32"/>
    <w:rsid w:val="006929FC"/>
    <w:rsid w:val="006938C2"/>
    <w:rsid w:val="00695257"/>
    <w:rsid w:val="00696C72"/>
    <w:rsid w:val="006B7B43"/>
    <w:rsid w:val="006C58CA"/>
    <w:rsid w:val="006D5667"/>
    <w:rsid w:val="006D6ED9"/>
    <w:rsid w:val="006E2295"/>
    <w:rsid w:val="006E3832"/>
    <w:rsid w:val="00700CB4"/>
    <w:rsid w:val="0070203C"/>
    <w:rsid w:val="00704475"/>
    <w:rsid w:val="007108D3"/>
    <w:rsid w:val="00712ACC"/>
    <w:rsid w:val="00715758"/>
    <w:rsid w:val="007162AD"/>
    <w:rsid w:val="00721861"/>
    <w:rsid w:val="0072321B"/>
    <w:rsid w:val="00741C43"/>
    <w:rsid w:val="007434DF"/>
    <w:rsid w:val="00747D81"/>
    <w:rsid w:val="00780CFE"/>
    <w:rsid w:val="00782A3C"/>
    <w:rsid w:val="007836CB"/>
    <w:rsid w:val="007A69AD"/>
    <w:rsid w:val="007B6A7D"/>
    <w:rsid w:val="007B6EA4"/>
    <w:rsid w:val="007C31DB"/>
    <w:rsid w:val="007D25CA"/>
    <w:rsid w:val="007D308A"/>
    <w:rsid w:val="007E14A6"/>
    <w:rsid w:val="007F4B78"/>
    <w:rsid w:val="00800263"/>
    <w:rsid w:val="0080573B"/>
    <w:rsid w:val="00825688"/>
    <w:rsid w:val="0083172B"/>
    <w:rsid w:val="00844407"/>
    <w:rsid w:val="00847689"/>
    <w:rsid w:val="00855D52"/>
    <w:rsid w:val="00856E3A"/>
    <w:rsid w:val="00874E08"/>
    <w:rsid w:val="0087660D"/>
    <w:rsid w:val="00880D9C"/>
    <w:rsid w:val="008821B4"/>
    <w:rsid w:val="0089717E"/>
    <w:rsid w:val="008A356A"/>
    <w:rsid w:val="008B4342"/>
    <w:rsid w:val="008B441D"/>
    <w:rsid w:val="008B450F"/>
    <w:rsid w:val="008B4D71"/>
    <w:rsid w:val="008C32F2"/>
    <w:rsid w:val="008C358A"/>
    <w:rsid w:val="008C6338"/>
    <w:rsid w:val="008C7FC7"/>
    <w:rsid w:val="008D1D07"/>
    <w:rsid w:val="008D2DE4"/>
    <w:rsid w:val="008E097B"/>
    <w:rsid w:val="008E2A59"/>
    <w:rsid w:val="008E2B69"/>
    <w:rsid w:val="008E478D"/>
    <w:rsid w:val="008E4ABC"/>
    <w:rsid w:val="008E6276"/>
    <w:rsid w:val="008F3F25"/>
    <w:rsid w:val="008F6233"/>
    <w:rsid w:val="00906D74"/>
    <w:rsid w:val="00910CC2"/>
    <w:rsid w:val="00914919"/>
    <w:rsid w:val="00915E80"/>
    <w:rsid w:val="009328EB"/>
    <w:rsid w:val="009343A9"/>
    <w:rsid w:val="0093456B"/>
    <w:rsid w:val="00935993"/>
    <w:rsid w:val="00951830"/>
    <w:rsid w:val="00954EE5"/>
    <w:rsid w:val="00961EA8"/>
    <w:rsid w:val="00963E35"/>
    <w:rsid w:val="0096742D"/>
    <w:rsid w:val="009707D8"/>
    <w:rsid w:val="00974738"/>
    <w:rsid w:val="009825CC"/>
    <w:rsid w:val="00986CB2"/>
    <w:rsid w:val="00995CFB"/>
    <w:rsid w:val="009A45BF"/>
    <w:rsid w:val="009A4642"/>
    <w:rsid w:val="009C0064"/>
    <w:rsid w:val="009C2292"/>
    <w:rsid w:val="009C4628"/>
    <w:rsid w:val="009D1985"/>
    <w:rsid w:val="009E11C0"/>
    <w:rsid w:val="009F313D"/>
    <w:rsid w:val="009F6298"/>
    <w:rsid w:val="009F735F"/>
    <w:rsid w:val="00A032E9"/>
    <w:rsid w:val="00A0540A"/>
    <w:rsid w:val="00A06868"/>
    <w:rsid w:val="00A22FC9"/>
    <w:rsid w:val="00A26656"/>
    <w:rsid w:val="00A41F65"/>
    <w:rsid w:val="00A43FE8"/>
    <w:rsid w:val="00A454B8"/>
    <w:rsid w:val="00A45F59"/>
    <w:rsid w:val="00A46244"/>
    <w:rsid w:val="00A6133D"/>
    <w:rsid w:val="00A65192"/>
    <w:rsid w:val="00A77F41"/>
    <w:rsid w:val="00A92AF4"/>
    <w:rsid w:val="00A93EAE"/>
    <w:rsid w:val="00A97EC5"/>
    <w:rsid w:val="00AB39E4"/>
    <w:rsid w:val="00AC7361"/>
    <w:rsid w:val="00AD572F"/>
    <w:rsid w:val="00AD60CE"/>
    <w:rsid w:val="00AD7796"/>
    <w:rsid w:val="00AE32FC"/>
    <w:rsid w:val="00AE3AFF"/>
    <w:rsid w:val="00AE5A12"/>
    <w:rsid w:val="00AF3990"/>
    <w:rsid w:val="00AF7675"/>
    <w:rsid w:val="00B0398D"/>
    <w:rsid w:val="00B05152"/>
    <w:rsid w:val="00B17C6F"/>
    <w:rsid w:val="00B203C0"/>
    <w:rsid w:val="00B231C9"/>
    <w:rsid w:val="00B32DE1"/>
    <w:rsid w:val="00B4025D"/>
    <w:rsid w:val="00B47873"/>
    <w:rsid w:val="00B47E16"/>
    <w:rsid w:val="00B51B46"/>
    <w:rsid w:val="00B63FE4"/>
    <w:rsid w:val="00B65153"/>
    <w:rsid w:val="00B657AE"/>
    <w:rsid w:val="00B67837"/>
    <w:rsid w:val="00B711FD"/>
    <w:rsid w:val="00B77E4F"/>
    <w:rsid w:val="00B85CC1"/>
    <w:rsid w:val="00B87DBC"/>
    <w:rsid w:val="00B90FCB"/>
    <w:rsid w:val="00B95A4D"/>
    <w:rsid w:val="00BA40CE"/>
    <w:rsid w:val="00BA4CAF"/>
    <w:rsid w:val="00BA62A6"/>
    <w:rsid w:val="00BB3D3C"/>
    <w:rsid w:val="00BC69A8"/>
    <w:rsid w:val="00BD07A0"/>
    <w:rsid w:val="00BD0CC2"/>
    <w:rsid w:val="00BD4DCC"/>
    <w:rsid w:val="00BD7E71"/>
    <w:rsid w:val="00BE1163"/>
    <w:rsid w:val="00BE132E"/>
    <w:rsid w:val="00BE35E0"/>
    <w:rsid w:val="00BE4F3D"/>
    <w:rsid w:val="00BF3B06"/>
    <w:rsid w:val="00BF5378"/>
    <w:rsid w:val="00BF54AF"/>
    <w:rsid w:val="00C05BE2"/>
    <w:rsid w:val="00C105EB"/>
    <w:rsid w:val="00C1734C"/>
    <w:rsid w:val="00C35C78"/>
    <w:rsid w:val="00C469C3"/>
    <w:rsid w:val="00C50003"/>
    <w:rsid w:val="00C6588E"/>
    <w:rsid w:val="00C75AD8"/>
    <w:rsid w:val="00C7689D"/>
    <w:rsid w:val="00C81894"/>
    <w:rsid w:val="00CA1413"/>
    <w:rsid w:val="00CA5141"/>
    <w:rsid w:val="00CB05C5"/>
    <w:rsid w:val="00CB2A9C"/>
    <w:rsid w:val="00CB6D1A"/>
    <w:rsid w:val="00CC388A"/>
    <w:rsid w:val="00CE2D4A"/>
    <w:rsid w:val="00CF45B0"/>
    <w:rsid w:val="00CF56AB"/>
    <w:rsid w:val="00D02CC0"/>
    <w:rsid w:val="00D036C3"/>
    <w:rsid w:val="00D05F08"/>
    <w:rsid w:val="00D06D1A"/>
    <w:rsid w:val="00D15D2D"/>
    <w:rsid w:val="00D17125"/>
    <w:rsid w:val="00D36DBC"/>
    <w:rsid w:val="00D43502"/>
    <w:rsid w:val="00D43833"/>
    <w:rsid w:val="00D64916"/>
    <w:rsid w:val="00D73D32"/>
    <w:rsid w:val="00D746A2"/>
    <w:rsid w:val="00D77D07"/>
    <w:rsid w:val="00D83138"/>
    <w:rsid w:val="00D8364E"/>
    <w:rsid w:val="00DA4E25"/>
    <w:rsid w:val="00DA5885"/>
    <w:rsid w:val="00DB0893"/>
    <w:rsid w:val="00DB3BBA"/>
    <w:rsid w:val="00DB461E"/>
    <w:rsid w:val="00DC48DD"/>
    <w:rsid w:val="00DC78BC"/>
    <w:rsid w:val="00DD340A"/>
    <w:rsid w:val="00DF0B60"/>
    <w:rsid w:val="00DF6952"/>
    <w:rsid w:val="00E05BD4"/>
    <w:rsid w:val="00E10D1E"/>
    <w:rsid w:val="00E11DEF"/>
    <w:rsid w:val="00E130D9"/>
    <w:rsid w:val="00E16F4B"/>
    <w:rsid w:val="00E31202"/>
    <w:rsid w:val="00E33A66"/>
    <w:rsid w:val="00E3592E"/>
    <w:rsid w:val="00E42F34"/>
    <w:rsid w:val="00E4330F"/>
    <w:rsid w:val="00E45742"/>
    <w:rsid w:val="00E46EA4"/>
    <w:rsid w:val="00E50266"/>
    <w:rsid w:val="00E57B80"/>
    <w:rsid w:val="00E66C49"/>
    <w:rsid w:val="00E6731A"/>
    <w:rsid w:val="00E75A26"/>
    <w:rsid w:val="00E94EB9"/>
    <w:rsid w:val="00E9552F"/>
    <w:rsid w:val="00E966BB"/>
    <w:rsid w:val="00EA6B3A"/>
    <w:rsid w:val="00ED031D"/>
    <w:rsid w:val="00ED0AA3"/>
    <w:rsid w:val="00ED17CE"/>
    <w:rsid w:val="00EF6A79"/>
    <w:rsid w:val="00F0220B"/>
    <w:rsid w:val="00F247F3"/>
    <w:rsid w:val="00F30C20"/>
    <w:rsid w:val="00F41177"/>
    <w:rsid w:val="00F457A7"/>
    <w:rsid w:val="00F53EEE"/>
    <w:rsid w:val="00F55A49"/>
    <w:rsid w:val="00F70A5C"/>
    <w:rsid w:val="00F84A33"/>
    <w:rsid w:val="00F92B24"/>
    <w:rsid w:val="00FA2D77"/>
    <w:rsid w:val="00FB5DF6"/>
    <w:rsid w:val="00FB7E38"/>
    <w:rsid w:val="00FC1A6E"/>
    <w:rsid w:val="00FC3EE2"/>
    <w:rsid w:val="00FC41B1"/>
    <w:rsid w:val="00FD5FFD"/>
    <w:rsid w:val="00FE1124"/>
    <w:rsid w:val="00FE67D0"/>
    <w:rsid w:val="00FF0538"/>
    <w:rsid w:val="00FF552C"/>
    <w:rsid w:val="02DB2CB2"/>
    <w:rsid w:val="0469CBDD"/>
    <w:rsid w:val="09CAED02"/>
    <w:rsid w:val="0D65EB80"/>
    <w:rsid w:val="0DCD0DBE"/>
    <w:rsid w:val="0E482EBD"/>
    <w:rsid w:val="0E90C84B"/>
    <w:rsid w:val="0F9E1906"/>
    <w:rsid w:val="10BBD5B4"/>
    <w:rsid w:val="11545481"/>
    <w:rsid w:val="118B71D7"/>
    <w:rsid w:val="11B5E719"/>
    <w:rsid w:val="139948B7"/>
    <w:rsid w:val="14CCD959"/>
    <w:rsid w:val="14D494AD"/>
    <w:rsid w:val="14DAE726"/>
    <w:rsid w:val="150A9DFA"/>
    <w:rsid w:val="17A8DC6F"/>
    <w:rsid w:val="17F7BAE1"/>
    <w:rsid w:val="1AB07BE8"/>
    <w:rsid w:val="1CF234DD"/>
    <w:rsid w:val="1ED2B1CE"/>
    <w:rsid w:val="1FDA96FF"/>
    <w:rsid w:val="2033C1E1"/>
    <w:rsid w:val="23A46DFB"/>
    <w:rsid w:val="2649E0BD"/>
    <w:rsid w:val="26910777"/>
    <w:rsid w:val="27BCF011"/>
    <w:rsid w:val="28F77CB2"/>
    <w:rsid w:val="29B0F511"/>
    <w:rsid w:val="2D79DB7B"/>
    <w:rsid w:val="30793831"/>
    <w:rsid w:val="31E9B694"/>
    <w:rsid w:val="325E4BCB"/>
    <w:rsid w:val="328BC002"/>
    <w:rsid w:val="3311EB1D"/>
    <w:rsid w:val="33F1AB9A"/>
    <w:rsid w:val="34B7A2EB"/>
    <w:rsid w:val="35DA4CA3"/>
    <w:rsid w:val="368E1A1E"/>
    <w:rsid w:val="38CC657C"/>
    <w:rsid w:val="39588FD5"/>
    <w:rsid w:val="3BD20137"/>
    <w:rsid w:val="3DF07C85"/>
    <w:rsid w:val="3E42571E"/>
    <w:rsid w:val="3F713EB0"/>
    <w:rsid w:val="40C7EF92"/>
    <w:rsid w:val="40C81EF6"/>
    <w:rsid w:val="4453799C"/>
    <w:rsid w:val="45037EFB"/>
    <w:rsid w:val="46C2D836"/>
    <w:rsid w:val="494BFB70"/>
    <w:rsid w:val="4BCE610F"/>
    <w:rsid w:val="4BE9A26D"/>
    <w:rsid w:val="4DE9E235"/>
    <w:rsid w:val="4F093D6E"/>
    <w:rsid w:val="4F57C214"/>
    <w:rsid w:val="542E9BA5"/>
    <w:rsid w:val="55C0778D"/>
    <w:rsid w:val="5AB2D289"/>
    <w:rsid w:val="5AF1559D"/>
    <w:rsid w:val="5AF7AE91"/>
    <w:rsid w:val="5BAA1EF3"/>
    <w:rsid w:val="5D766280"/>
    <w:rsid w:val="5F5032E9"/>
    <w:rsid w:val="5F6C5C99"/>
    <w:rsid w:val="60061FCC"/>
    <w:rsid w:val="60B58709"/>
    <w:rsid w:val="62705397"/>
    <w:rsid w:val="6457FBB9"/>
    <w:rsid w:val="658BD4FB"/>
    <w:rsid w:val="67B0971B"/>
    <w:rsid w:val="68607BE4"/>
    <w:rsid w:val="6A40E04C"/>
    <w:rsid w:val="6B48BA89"/>
    <w:rsid w:val="6B70F6CB"/>
    <w:rsid w:val="6C0EC922"/>
    <w:rsid w:val="6C85F0CC"/>
    <w:rsid w:val="6CEF5EDC"/>
    <w:rsid w:val="6D9F4147"/>
    <w:rsid w:val="6DEAEFF5"/>
    <w:rsid w:val="6F83946C"/>
    <w:rsid w:val="70FF2307"/>
    <w:rsid w:val="717A3BCC"/>
    <w:rsid w:val="717EB92B"/>
    <w:rsid w:val="74C87D6F"/>
    <w:rsid w:val="769A6214"/>
    <w:rsid w:val="76BFF752"/>
    <w:rsid w:val="76DD467A"/>
    <w:rsid w:val="7861E13F"/>
    <w:rsid w:val="799FAA81"/>
    <w:rsid w:val="7AED5BC5"/>
    <w:rsid w:val="7BE1F0F5"/>
    <w:rsid w:val="7CAE07A8"/>
    <w:rsid w:val="7EBFA7C6"/>
    <w:rsid w:val="7F95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78CF8"/>
  <w14:defaultImageDpi w14:val="330"/>
  <w15:docId w15:val="{612A8DF5-3C80-4CE6-BE97-7FB4D9D8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0CA0"/>
  </w:style>
  <w:style w:type="character" w:customStyle="1" w:styleId="FootnoteTextChar">
    <w:name w:val="Footnote Text Char"/>
    <w:basedOn w:val="DefaultParagraphFont"/>
    <w:link w:val="FootnoteText"/>
    <w:uiPriority w:val="99"/>
    <w:rsid w:val="00170CA0"/>
  </w:style>
  <w:style w:type="character" w:styleId="FootnoteReference">
    <w:name w:val="footnote reference"/>
    <w:aliases w:val="16 Point,Superscript 6 Point,ftref"/>
    <w:basedOn w:val="DefaultParagraphFont"/>
    <w:uiPriority w:val="99"/>
    <w:unhideWhenUsed/>
    <w:rsid w:val="00170CA0"/>
    <w:rPr>
      <w:vertAlign w:val="superscript"/>
    </w:rPr>
  </w:style>
  <w:style w:type="character" w:styleId="Emphasis">
    <w:name w:val="Emphasis"/>
    <w:basedOn w:val="DefaultParagraphFont"/>
    <w:uiPriority w:val="20"/>
    <w:qFormat/>
    <w:rsid w:val="008C32F2"/>
    <w:rPr>
      <w:i/>
      <w:iCs/>
    </w:rPr>
  </w:style>
  <w:style w:type="paragraph" w:styleId="EndnoteText">
    <w:name w:val="endnote text"/>
    <w:aliases w:val="en"/>
    <w:basedOn w:val="Normal"/>
    <w:link w:val="EndnoteTextChar"/>
    <w:unhideWhenUsed/>
    <w:rsid w:val="00696C72"/>
    <w:rPr>
      <w:rFonts w:ascii="Times New Roman" w:eastAsia="Times New Roman" w:hAnsi="Times New Roman" w:cs="Times New Roman"/>
      <w:sz w:val="20"/>
      <w:szCs w:val="20"/>
      <w:lang w:val="en-PH"/>
    </w:rPr>
  </w:style>
  <w:style w:type="character" w:customStyle="1" w:styleId="EndnoteTextChar">
    <w:name w:val="Endnote Text Char"/>
    <w:aliases w:val="en Char"/>
    <w:basedOn w:val="DefaultParagraphFont"/>
    <w:link w:val="EndnoteText"/>
    <w:rsid w:val="00696C72"/>
    <w:rPr>
      <w:rFonts w:ascii="Times New Roman" w:eastAsia="Times New Roman" w:hAnsi="Times New Roman" w:cs="Times New Roman"/>
      <w:sz w:val="20"/>
      <w:szCs w:val="20"/>
      <w:lang w:val="en-PH"/>
    </w:rPr>
  </w:style>
  <w:style w:type="character" w:styleId="EndnoteReference">
    <w:name w:val="endnote reference"/>
    <w:basedOn w:val="DefaultParagraphFont"/>
    <w:unhideWhenUsed/>
    <w:rsid w:val="00696C72"/>
    <w:rPr>
      <w:vertAlign w:val="superscript"/>
    </w:rPr>
  </w:style>
  <w:style w:type="paragraph" w:styleId="ListParagraph">
    <w:name w:val="List Paragraph"/>
    <w:basedOn w:val="Normal"/>
    <w:uiPriority w:val="34"/>
    <w:qFormat/>
    <w:rsid w:val="007B6A7D"/>
    <w:pPr>
      <w:ind w:left="720"/>
      <w:contextualSpacing/>
    </w:pPr>
  </w:style>
  <w:style w:type="paragraph" w:styleId="NoSpacing">
    <w:name w:val="No Spacing"/>
    <w:uiPriority w:val="1"/>
    <w:qFormat/>
    <w:rsid w:val="007C31DB"/>
    <w:rPr>
      <w:rFonts w:ascii="Times New Roman" w:eastAsia="Times New Roman" w:hAnsi="Times New Roman" w:cs="Times New Roman"/>
      <w:lang w:val="en-PH"/>
    </w:rPr>
  </w:style>
  <w:style w:type="character" w:styleId="BookTitle">
    <w:name w:val="Book Title"/>
    <w:basedOn w:val="DefaultParagraphFont"/>
    <w:uiPriority w:val="33"/>
    <w:qFormat/>
    <w:rsid w:val="00E50266"/>
    <w:rPr>
      <w:b/>
      <w:bCs/>
      <w:smallCaps/>
      <w:spacing w:val="5"/>
    </w:rPr>
  </w:style>
  <w:style w:type="paragraph" w:styleId="Header">
    <w:name w:val="header"/>
    <w:basedOn w:val="Normal"/>
    <w:link w:val="HeaderChar"/>
    <w:uiPriority w:val="99"/>
    <w:unhideWhenUsed/>
    <w:rsid w:val="00EA6B3A"/>
    <w:pPr>
      <w:tabs>
        <w:tab w:val="center" w:pos="4320"/>
        <w:tab w:val="right" w:pos="8640"/>
      </w:tabs>
    </w:pPr>
  </w:style>
  <w:style w:type="character" w:customStyle="1" w:styleId="HeaderChar">
    <w:name w:val="Header Char"/>
    <w:basedOn w:val="DefaultParagraphFont"/>
    <w:link w:val="Header"/>
    <w:uiPriority w:val="99"/>
    <w:rsid w:val="00EA6B3A"/>
  </w:style>
  <w:style w:type="paragraph" w:styleId="Footer">
    <w:name w:val="footer"/>
    <w:basedOn w:val="Normal"/>
    <w:link w:val="FooterChar"/>
    <w:uiPriority w:val="99"/>
    <w:unhideWhenUsed/>
    <w:rsid w:val="00EA6B3A"/>
    <w:pPr>
      <w:tabs>
        <w:tab w:val="center" w:pos="4320"/>
        <w:tab w:val="right" w:pos="8640"/>
      </w:tabs>
    </w:pPr>
  </w:style>
  <w:style w:type="character" w:customStyle="1" w:styleId="FooterChar">
    <w:name w:val="Footer Char"/>
    <w:basedOn w:val="DefaultParagraphFont"/>
    <w:link w:val="Footer"/>
    <w:uiPriority w:val="99"/>
    <w:rsid w:val="00EA6B3A"/>
  </w:style>
  <w:style w:type="character" w:styleId="CommentReference">
    <w:name w:val="annotation reference"/>
    <w:basedOn w:val="DefaultParagraphFont"/>
    <w:uiPriority w:val="99"/>
    <w:semiHidden/>
    <w:unhideWhenUsed/>
    <w:rsid w:val="00ED17CE"/>
    <w:rPr>
      <w:sz w:val="16"/>
      <w:szCs w:val="16"/>
    </w:rPr>
  </w:style>
  <w:style w:type="paragraph" w:styleId="CommentText">
    <w:name w:val="annotation text"/>
    <w:basedOn w:val="Normal"/>
    <w:link w:val="CommentTextChar"/>
    <w:uiPriority w:val="99"/>
    <w:semiHidden/>
    <w:unhideWhenUsed/>
    <w:rsid w:val="00ED17CE"/>
    <w:rPr>
      <w:sz w:val="20"/>
      <w:szCs w:val="20"/>
    </w:rPr>
  </w:style>
  <w:style w:type="character" w:customStyle="1" w:styleId="CommentTextChar">
    <w:name w:val="Comment Text Char"/>
    <w:basedOn w:val="DefaultParagraphFont"/>
    <w:link w:val="CommentText"/>
    <w:uiPriority w:val="99"/>
    <w:semiHidden/>
    <w:rsid w:val="00ED17CE"/>
    <w:rPr>
      <w:sz w:val="20"/>
      <w:szCs w:val="20"/>
    </w:rPr>
  </w:style>
  <w:style w:type="paragraph" w:styleId="CommentSubject">
    <w:name w:val="annotation subject"/>
    <w:basedOn w:val="CommentText"/>
    <w:next w:val="CommentText"/>
    <w:link w:val="CommentSubjectChar"/>
    <w:uiPriority w:val="99"/>
    <w:semiHidden/>
    <w:unhideWhenUsed/>
    <w:rsid w:val="00ED17CE"/>
    <w:rPr>
      <w:b/>
      <w:bCs/>
    </w:rPr>
  </w:style>
  <w:style w:type="character" w:customStyle="1" w:styleId="CommentSubjectChar">
    <w:name w:val="Comment Subject Char"/>
    <w:basedOn w:val="CommentTextChar"/>
    <w:link w:val="CommentSubject"/>
    <w:uiPriority w:val="99"/>
    <w:semiHidden/>
    <w:rsid w:val="00ED17CE"/>
    <w:rPr>
      <w:b/>
      <w:bCs/>
      <w:sz w:val="20"/>
      <w:szCs w:val="20"/>
    </w:rPr>
  </w:style>
  <w:style w:type="paragraph" w:styleId="BalloonText">
    <w:name w:val="Balloon Text"/>
    <w:basedOn w:val="Normal"/>
    <w:link w:val="BalloonTextChar"/>
    <w:uiPriority w:val="99"/>
    <w:semiHidden/>
    <w:unhideWhenUsed/>
    <w:rsid w:val="00ED1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7CE"/>
    <w:rPr>
      <w:rFonts w:ascii="Segoe UI" w:hAnsi="Segoe UI" w:cs="Segoe UI"/>
      <w:sz w:val="18"/>
      <w:szCs w:val="18"/>
    </w:rPr>
  </w:style>
  <w:style w:type="character" w:styleId="Hyperlink">
    <w:name w:val="Hyperlink"/>
    <w:basedOn w:val="DefaultParagraphFont"/>
    <w:uiPriority w:val="99"/>
    <w:unhideWhenUsed/>
    <w:rsid w:val="00E11DEF"/>
    <w:rPr>
      <w:color w:val="0000FF" w:themeColor="hyperlink"/>
      <w:u w:val="single"/>
    </w:rPr>
  </w:style>
  <w:style w:type="character" w:customStyle="1" w:styleId="UnresolvedMention1">
    <w:name w:val="Unresolved Mention1"/>
    <w:basedOn w:val="DefaultParagraphFont"/>
    <w:uiPriority w:val="99"/>
    <w:semiHidden/>
    <w:unhideWhenUsed/>
    <w:rsid w:val="00E11DEF"/>
    <w:rPr>
      <w:color w:val="605E5C"/>
      <w:shd w:val="clear" w:color="auto" w:fill="E1DFDD"/>
    </w:rPr>
  </w:style>
  <w:style w:type="paragraph" w:styleId="NormalWeb">
    <w:name w:val="Normal (Web)"/>
    <w:basedOn w:val="Normal"/>
    <w:uiPriority w:val="99"/>
    <w:semiHidden/>
    <w:unhideWhenUsed/>
    <w:rsid w:val="00B0398D"/>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4F074D"/>
    <w:rPr>
      <w:color w:val="605E5C"/>
      <w:shd w:val="clear" w:color="auto" w:fill="E1DFDD"/>
    </w:rPr>
  </w:style>
  <w:style w:type="character" w:customStyle="1" w:styleId="UnresolvedMention3">
    <w:name w:val="Unresolved Mention3"/>
    <w:basedOn w:val="DefaultParagraphFont"/>
    <w:uiPriority w:val="99"/>
    <w:semiHidden/>
    <w:unhideWhenUsed/>
    <w:rsid w:val="009F735F"/>
    <w:rPr>
      <w:color w:val="605E5C"/>
      <w:shd w:val="clear" w:color="auto" w:fill="E1DFDD"/>
    </w:rPr>
  </w:style>
  <w:style w:type="character" w:customStyle="1" w:styleId="UnresolvedMention4">
    <w:name w:val="Unresolved Mention4"/>
    <w:basedOn w:val="DefaultParagraphFont"/>
    <w:uiPriority w:val="99"/>
    <w:semiHidden/>
    <w:unhideWhenUsed/>
    <w:rsid w:val="00F247F3"/>
    <w:rPr>
      <w:color w:val="605E5C"/>
      <w:shd w:val="clear" w:color="auto" w:fill="E1DFDD"/>
    </w:rPr>
  </w:style>
  <w:style w:type="character" w:styleId="PageNumber">
    <w:name w:val="page number"/>
    <w:basedOn w:val="DefaultParagraphFont"/>
    <w:uiPriority w:val="99"/>
    <w:semiHidden/>
    <w:unhideWhenUsed/>
    <w:rsid w:val="00FC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91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B6AE555B01A4D88794CBE97F8D220"/>
        <w:category>
          <w:name w:val="General"/>
          <w:gallery w:val="placeholder"/>
        </w:category>
        <w:types>
          <w:type w:val="bbPlcHdr"/>
        </w:types>
        <w:behaviors>
          <w:behavior w:val="content"/>
        </w:behaviors>
        <w:guid w:val="{99A9EDF0-4317-444D-83EF-DD6F7BF4FB57}"/>
      </w:docPartPr>
      <w:docPartBody>
        <w:p w:rsidR="00336994" w:rsidRDefault="00302F39" w:rsidP="00302F39">
          <w:pPr>
            <w:pStyle w:val="9EBB6AE555B01A4D88794CBE97F8D220"/>
          </w:pPr>
          <w:r>
            <w:t>[Type text]</w:t>
          </w:r>
        </w:p>
      </w:docPartBody>
    </w:docPart>
    <w:docPart>
      <w:docPartPr>
        <w:name w:val="14A731D731069142BC86E1EBBC989654"/>
        <w:category>
          <w:name w:val="General"/>
          <w:gallery w:val="placeholder"/>
        </w:category>
        <w:types>
          <w:type w:val="bbPlcHdr"/>
        </w:types>
        <w:behaviors>
          <w:behavior w:val="content"/>
        </w:behaviors>
        <w:guid w:val="{8D8504E0-CD4F-0F4E-8797-B7D4D46F5AD8}"/>
      </w:docPartPr>
      <w:docPartBody>
        <w:p w:rsidR="00336994" w:rsidRDefault="00302F39" w:rsidP="00302F39">
          <w:pPr>
            <w:pStyle w:val="14A731D731069142BC86E1EBBC989654"/>
          </w:pPr>
          <w:r>
            <w:t>[Type text]</w:t>
          </w:r>
        </w:p>
      </w:docPartBody>
    </w:docPart>
    <w:docPart>
      <w:docPartPr>
        <w:name w:val="BC442E91DD76BA49ADCB3D501AC64F9E"/>
        <w:category>
          <w:name w:val="General"/>
          <w:gallery w:val="placeholder"/>
        </w:category>
        <w:types>
          <w:type w:val="bbPlcHdr"/>
        </w:types>
        <w:behaviors>
          <w:behavior w:val="content"/>
        </w:behaviors>
        <w:guid w:val="{33052042-8CA8-5E46-8109-3AA55FDC33F1}"/>
      </w:docPartPr>
      <w:docPartBody>
        <w:p w:rsidR="00336994" w:rsidRDefault="00302F39" w:rsidP="00302F39">
          <w:pPr>
            <w:pStyle w:val="BC442E91DD76BA49ADCB3D501AC64F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1C1"/>
    <w:rsid w:val="00081D62"/>
    <w:rsid w:val="00121184"/>
    <w:rsid w:val="00192CBF"/>
    <w:rsid w:val="0020270B"/>
    <w:rsid w:val="00237508"/>
    <w:rsid w:val="00302F39"/>
    <w:rsid w:val="003111C1"/>
    <w:rsid w:val="00336994"/>
    <w:rsid w:val="003D3A60"/>
    <w:rsid w:val="00486F26"/>
    <w:rsid w:val="00545885"/>
    <w:rsid w:val="0063230B"/>
    <w:rsid w:val="00810B41"/>
    <w:rsid w:val="009C01E5"/>
    <w:rsid w:val="00B53395"/>
    <w:rsid w:val="00C237D9"/>
    <w:rsid w:val="00CC5C5D"/>
    <w:rsid w:val="00D6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25D916A5D134ABE41ABCC17C0754C">
    <w:name w:val="5B325D916A5D134ABE41ABCC17C0754C"/>
    <w:rsid w:val="003111C1"/>
  </w:style>
  <w:style w:type="paragraph" w:customStyle="1" w:styleId="851C4F5ECE7F9F48A0A80F38DA85F4D3">
    <w:name w:val="851C4F5ECE7F9F48A0A80F38DA85F4D3"/>
    <w:rsid w:val="003111C1"/>
  </w:style>
  <w:style w:type="paragraph" w:customStyle="1" w:styleId="DD7E619D4647B841A19C03495D06D6BE">
    <w:name w:val="DD7E619D4647B841A19C03495D06D6BE"/>
    <w:rsid w:val="003111C1"/>
  </w:style>
  <w:style w:type="paragraph" w:customStyle="1" w:styleId="D484F301C6F4014CB1CFD51D0804ADA9">
    <w:name w:val="D484F301C6F4014CB1CFD51D0804ADA9"/>
    <w:rsid w:val="003111C1"/>
  </w:style>
  <w:style w:type="paragraph" w:customStyle="1" w:styleId="1A816BA2E03824448D24DD9DE52C01D5">
    <w:name w:val="1A816BA2E03824448D24DD9DE52C01D5"/>
    <w:rsid w:val="003111C1"/>
  </w:style>
  <w:style w:type="paragraph" w:customStyle="1" w:styleId="B64AE1EB5C5B7342AA60483869F35F9E">
    <w:name w:val="B64AE1EB5C5B7342AA60483869F35F9E"/>
    <w:rsid w:val="003111C1"/>
  </w:style>
  <w:style w:type="paragraph" w:customStyle="1" w:styleId="9EBB6AE555B01A4D88794CBE97F8D220">
    <w:name w:val="9EBB6AE555B01A4D88794CBE97F8D220"/>
    <w:rsid w:val="00302F39"/>
  </w:style>
  <w:style w:type="paragraph" w:customStyle="1" w:styleId="14A731D731069142BC86E1EBBC989654">
    <w:name w:val="14A731D731069142BC86E1EBBC989654"/>
    <w:rsid w:val="00302F39"/>
  </w:style>
  <w:style w:type="paragraph" w:customStyle="1" w:styleId="BC442E91DD76BA49ADCB3D501AC64F9E">
    <w:name w:val="BC442E91DD76BA49ADCB3D501AC64F9E"/>
    <w:rsid w:val="00302F39"/>
  </w:style>
  <w:style w:type="paragraph" w:customStyle="1" w:styleId="1A3C480A0888F242B36F36B71BBEC4AC">
    <w:name w:val="1A3C480A0888F242B36F36B71BBEC4AC"/>
    <w:rsid w:val="00302F39"/>
  </w:style>
  <w:style w:type="paragraph" w:customStyle="1" w:styleId="A421DBA09F89BC41B409FBFF52AD2DCA">
    <w:name w:val="A421DBA09F89BC41B409FBFF52AD2DCA"/>
    <w:rsid w:val="00302F39"/>
  </w:style>
  <w:style w:type="paragraph" w:customStyle="1" w:styleId="67137726D380F640B3E2FE726A0628DD">
    <w:name w:val="67137726D380F640B3E2FE726A0628DD"/>
    <w:rsid w:val="00302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7A619-C029-4C1E-A0FA-8C0CA1AF6D6E}">
  <ds:schemaRefs>
    <ds:schemaRef ds:uri="http://schemas.openxmlformats.org/officeDocument/2006/bibliography"/>
  </ds:schemaRefs>
</ds:datastoreItem>
</file>

<file path=customXml/itemProps2.xml><?xml version="1.0" encoding="utf-8"?>
<ds:datastoreItem xmlns:ds="http://schemas.openxmlformats.org/officeDocument/2006/customXml" ds:itemID="{21FB9035-8E88-4029-9444-97E5297D82B3}"/>
</file>

<file path=customXml/itemProps3.xml><?xml version="1.0" encoding="utf-8"?>
<ds:datastoreItem xmlns:ds="http://schemas.openxmlformats.org/officeDocument/2006/customXml" ds:itemID="{18245F7A-AEEB-4491-80AA-CB9197FA5060}"/>
</file>

<file path=customXml/itemProps4.xml><?xml version="1.0" encoding="utf-8"?>
<ds:datastoreItem xmlns:ds="http://schemas.openxmlformats.org/officeDocument/2006/customXml" ds:itemID="{E84A8D6F-4AF4-4BAE-A9C6-ADA49278CFB7}"/>
</file>

<file path=docProps/app.xml><?xml version="1.0" encoding="utf-8"?>
<Properties xmlns="http://schemas.openxmlformats.org/officeDocument/2006/extended-properties" xmlns:vt="http://schemas.openxmlformats.org/officeDocument/2006/docPropsVTypes">
  <Template>Normal</Template>
  <TotalTime>7</TotalTime>
  <Pages>10</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Malkani</dc:creator>
  <cp:keywords/>
  <dc:description/>
  <cp:lastModifiedBy>Emma Chessen</cp:lastModifiedBy>
  <cp:revision>17</cp:revision>
  <dcterms:created xsi:type="dcterms:W3CDTF">2019-06-10T16:59:00Z</dcterms:created>
  <dcterms:modified xsi:type="dcterms:W3CDTF">2019-06-14T14:13:00Z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