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3B" w:rsidRPr="009F35C6" w:rsidRDefault="001615FB" w:rsidP="009C6C3B">
      <w:pPr>
        <w:spacing w:after="0" w:line="240" w:lineRule="auto"/>
        <w:jc w:val="both"/>
        <w:rPr>
          <w:rFonts w:ascii="Times New Roman" w:hAnsi="Times New Roman" w:cs="Times New Roman"/>
          <w:b/>
          <w:sz w:val="24"/>
          <w:szCs w:val="24"/>
        </w:rPr>
      </w:pPr>
      <w:bookmarkStart w:id="0" w:name="_GoBack"/>
      <w:bookmarkEnd w:id="0"/>
      <w:r w:rsidRPr="009F35C6">
        <w:rPr>
          <w:rFonts w:ascii="Times New Roman" w:hAnsi="Times New Roman"/>
          <w:b/>
          <w:sz w:val="24"/>
        </w:rPr>
        <w:t xml:space="preserve">Appendix to Slovakia’s </w:t>
      </w:r>
      <w:r w:rsidR="009C6C3B">
        <w:rPr>
          <w:rFonts w:ascii="Times New Roman" w:hAnsi="Times New Roman"/>
          <w:b/>
          <w:sz w:val="24"/>
        </w:rPr>
        <w:t>replies to the List of issues from the United Nations</w:t>
      </w:r>
      <w:r w:rsidR="009C6C3B" w:rsidRPr="009F35C6">
        <w:rPr>
          <w:rFonts w:ascii="Times New Roman" w:hAnsi="Times New Roman"/>
          <w:b/>
          <w:sz w:val="24"/>
        </w:rPr>
        <w:t xml:space="preserve"> Committee on Economic, Social and Cultural Rights in relation to </w:t>
      </w:r>
      <w:r w:rsidR="009C6C3B">
        <w:rPr>
          <w:rFonts w:ascii="Times New Roman" w:hAnsi="Times New Roman"/>
          <w:b/>
          <w:sz w:val="24"/>
        </w:rPr>
        <w:t xml:space="preserve">the assessment of </w:t>
      </w:r>
      <w:r w:rsidR="009C6C3B" w:rsidRPr="009F35C6">
        <w:rPr>
          <w:rFonts w:ascii="Times New Roman" w:hAnsi="Times New Roman"/>
          <w:b/>
          <w:sz w:val="24"/>
        </w:rPr>
        <w:t>the third periodic report of Slovakia on the implementation of the International Covenant on Economic, Social and Cultural Rights</w:t>
      </w:r>
      <w:r w:rsidR="009C6C3B">
        <w:rPr>
          <w:rFonts w:ascii="Times New Roman" w:hAnsi="Times New Roman"/>
          <w:b/>
          <w:sz w:val="24"/>
        </w:rPr>
        <w:t xml:space="preserve"> </w:t>
      </w:r>
    </w:p>
    <w:p w:rsidR="009C6C3B" w:rsidRDefault="009C6C3B" w:rsidP="001615FB">
      <w:pPr>
        <w:spacing w:after="0" w:line="240" w:lineRule="auto"/>
        <w:contextualSpacing/>
        <w:jc w:val="both"/>
        <w:rPr>
          <w:rFonts w:ascii="Times New Roman" w:hAnsi="Times New Roman"/>
          <w:b/>
          <w:sz w:val="24"/>
        </w:rPr>
      </w:pPr>
      <w:r>
        <w:rPr>
          <w:rFonts w:ascii="Times New Roman" w:hAnsi="Times New Roman"/>
          <w:b/>
          <w:noProof/>
          <w:sz w:val="24"/>
          <w:lang w:bidi="ar-SA"/>
        </w:rPr>
        <w:drawing>
          <wp:inline distT="0" distB="0" distL="0" distR="0" wp14:anchorId="7895B2E1">
            <wp:extent cx="5828030" cy="12065"/>
            <wp:effectExtent l="0" t="0" r="127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12065"/>
                    </a:xfrm>
                    <a:prstGeom prst="rect">
                      <a:avLst/>
                    </a:prstGeom>
                    <a:noFill/>
                  </pic:spPr>
                </pic:pic>
              </a:graphicData>
            </a:graphic>
          </wp:inline>
        </w:drawing>
      </w:r>
    </w:p>
    <w:p w:rsidR="009C6C3B" w:rsidRDefault="009C6C3B" w:rsidP="001615FB">
      <w:pPr>
        <w:spacing w:after="0" w:line="240" w:lineRule="auto"/>
        <w:contextualSpacing/>
        <w:jc w:val="both"/>
        <w:rPr>
          <w:rFonts w:ascii="Times New Roman" w:hAnsi="Times New Roman"/>
          <w:b/>
          <w:sz w:val="24"/>
        </w:rPr>
      </w:pPr>
    </w:p>
    <w:p w:rsidR="001615FB" w:rsidRPr="009F35C6" w:rsidRDefault="007A5A18"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jc w:val="both"/>
        <w:rPr>
          <w:rFonts w:ascii="Times New Roman" w:eastAsia="Times New Roman" w:hAnsi="Times New Roman" w:cs="Times New Roman"/>
          <w:b/>
          <w:sz w:val="24"/>
          <w:szCs w:val="24"/>
        </w:rPr>
      </w:pPr>
      <w:r w:rsidRPr="009F35C6">
        <w:rPr>
          <w:rFonts w:ascii="Times New Roman" w:hAnsi="Times New Roman"/>
          <w:b/>
          <w:sz w:val="24"/>
        </w:rPr>
        <w:t>CRIMINALITY IN CORRUPTION CASES</w:t>
      </w:r>
    </w:p>
    <w:p w:rsidR="001615FB" w:rsidRPr="009F35C6" w:rsidRDefault="001615FB" w:rsidP="001615FB">
      <w:pPr>
        <w:spacing w:after="0" w:line="240" w:lineRule="auto"/>
        <w:jc w:val="both"/>
        <w:rPr>
          <w:rFonts w:ascii="Times New Roman" w:eastAsia="Times New Roman" w:hAnsi="Times New Roman" w:cs="Times New Roman"/>
          <w:b/>
          <w:sz w:val="24"/>
          <w:szCs w:val="24"/>
        </w:rPr>
      </w:pPr>
    </w:p>
    <w:tbl>
      <w:tblPr>
        <w:tblStyle w:val="Mriekatabuky1"/>
        <w:tblW w:w="0" w:type="auto"/>
        <w:tblLook w:val="01E0" w:firstRow="1" w:lastRow="1" w:firstColumn="1" w:lastColumn="1" w:noHBand="0" w:noVBand="0"/>
      </w:tblPr>
      <w:tblGrid>
        <w:gridCol w:w="431"/>
        <w:gridCol w:w="622"/>
        <w:gridCol w:w="622"/>
        <w:gridCol w:w="443"/>
        <w:gridCol w:w="622"/>
        <w:gridCol w:w="621"/>
        <w:gridCol w:w="442"/>
        <w:gridCol w:w="656"/>
        <w:gridCol w:w="621"/>
        <w:gridCol w:w="442"/>
        <w:gridCol w:w="656"/>
        <w:gridCol w:w="621"/>
        <w:gridCol w:w="442"/>
        <w:gridCol w:w="621"/>
        <w:gridCol w:w="758"/>
        <w:gridCol w:w="442"/>
      </w:tblGrid>
      <w:tr w:rsidR="001615FB" w:rsidRPr="009F35C6" w:rsidTr="000A18CF">
        <w:tc>
          <w:tcPr>
            <w:tcW w:w="661" w:type="dxa"/>
          </w:tcPr>
          <w:p w:rsidR="001615FB" w:rsidRPr="009F35C6" w:rsidRDefault="001615FB" w:rsidP="000A18CF">
            <w:pPr>
              <w:jc w:val="both"/>
              <w:rPr>
                <w:sz w:val="18"/>
                <w:szCs w:val="18"/>
              </w:rPr>
            </w:pPr>
          </w:p>
        </w:tc>
        <w:tc>
          <w:tcPr>
            <w:tcW w:w="2627" w:type="dxa"/>
            <w:gridSpan w:val="3"/>
            <w:shd w:val="clear" w:color="auto" w:fill="E6E6E6"/>
          </w:tcPr>
          <w:p w:rsidR="001615FB" w:rsidRPr="009F35C6" w:rsidRDefault="001615FB" w:rsidP="00ED018E">
            <w:pPr>
              <w:jc w:val="center"/>
              <w:rPr>
                <w:sz w:val="18"/>
                <w:szCs w:val="18"/>
              </w:rPr>
            </w:pPr>
            <w:r w:rsidRPr="009F35C6">
              <w:rPr>
                <w:b/>
                <w:sz w:val="18"/>
              </w:rPr>
              <w:t>Prosecutions</w:t>
            </w:r>
          </w:p>
        </w:tc>
        <w:tc>
          <w:tcPr>
            <w:tcW w:w="2701" w:type="dxa"/>
            <w:gridSpan w:val="3"/>
          </w:tcPr>
          <w:p w:rsidR="001615FB" w:rsidRPr="009F35C6" w:rsidRDefault="001615FB" w:rsidP="00ED018E">
            <w:pPr>
              <w:jc w:val="center"/>
              <w:rPr>
                <w:sz w:val="18"/>
                <w:szCs w:val="18"/>
              </w:rPr>
            </w:pPr>
            <w:r w:rsidRPr="009F35C6">
              <w:rPr>
                <w:b/>
                <w:sz w:val="18"/>
              </w:rPr>
              <w:t>Defendants</w:t>
            </w:r>
          </w:p>
        </w:tc>
        <w:tc>
          <w:tcPr>
            <w:tcW w:w="2776" w:type="dxa"/>
            <w:gridSpan w:val="3"/>
            <w:shd w:val="clear" w:color="auto" w:fill="E6E6E6"/>
          </w:tcPr>
          <w:p w:rsidR="001615FB" w:rsidRPr="009F35C6" w:rsidRDefault="00E71A67" w:rsidP="00ED018E">
            <w:pPr>
              <w:jc w:val="center"/>
              <w:rPr>
                <w:sz w:val="18"/>
                <w:szCs w:val="18"/>
              </w:rPr>
            </w:pPr>
            <w:r>
              <w:rPr>
                <w:b/>
                <w:sz w:val="18"/>
              </w:rPr>
              <w:t>Plea bargain</w:t>
            </w:r>
          </w:p>
        </w:tc>
        <w:tc>
          <w:tcPr>
            <w:tcW w:w="2653" w:type="dxa"/>
            <w:gridSpan w:val="3"/>
          </w:tcPr>
          <w:p w:rsidR="001615FB" w:rsidRPr="009F35C6" w:rsidRDefault="00E71A67" w:rsidP="00ED018E">
            <w:pPr>
              <w:jc w:val="center"/>
              <w:rPr>
                <w:sz w:val="18"/>
                <w:szCs w:val="18"/>
              </w:rPr>
            </w:pPr>
            <w:r>
              <w:rPr>
                <w:b/>
                <w:sz w:val="18"/>
              </w:rPr>
              <w:t>Conditional cessation of prosecutionm</w:t>
            </w:r>
          </w:p>
        </w:tc>
        <w:tc>
          <w:tcPr>
            <w:tcW w:w="967" w:type="dxa"/>
            <w:shd w:val="clear" w:color="auto" w:fill="E6E6E6"/>
          </w:tcPr>
          <w:p w:rsidR="001615FB" w:rsidRPr="009F35C6" w:rsidRDefault="001615FB" w:rsidP="000A18CF">
            <w:pPr>
              <w:jc w:val="both"/>
              <w:rPr>
                <w:sz w:val="18"/>
                <w:szCs w:val="18"/>
              </w:rPr>
            </w:pPr>
          </w:p>
        </w:tc>
        <w:tc>
          <w:tcPr>
            <w:tcW w:w="1139" w:type="dxa"/>
            <w:shd w:val="clear" w:color="auto" w:fill="E6E6E6"/>
          </w:tcPr>
          <w:p w:rsidR="001615FB" w:rsidRPr="009F35C6" w:rsidRDefault="001615FB" w:rsidP="00ED018E">
            <w:pPr>
              <w:jc w:val="center"/>
              <w:rPr>
                <w:sz w:val="18"/>
                <w:szCs w:val="18"/>
              </w:rPr>
            </w:pPr>
            <w:r w:rsidRPr="009F35C6">
              <w:rPr>
                <w:b/>
                <w:sz w:val="18"/>
              </w:rPr>
              <w:t>Convictions</w:t>
            </w:r>
          </w:p>
        </w:tc>
        <w:tc>
          <w:tcPr>
            <w:tcW w:w="694" w:type="dxa"/>
            <w:shd w:val="clear" w:color="auto" w:fill="E6E6E6"/>
          </w:tcPr>
          <w:p w:rsidR="001615FB" w:rsidRPr="009F35C6" w:rsidRDefault="001615FB" w:rsidP="000A18CF">
            <w:pPr>
              <w:jc w:val="both"/>
              <w:rPr>
                <w:sz w:val="18"/>
                <w:szCs w:val="18"/>
              </w:rPr>
            </w:pPr>
          </w:p>
        </w:tc>
      </w:tr>
      <w:tr w:rsidR="001615FB" w:rsidRPr="009F35C6" w:rsidTr="000A18CF">
        <w:tc>
          <w:tcPr>
            <w:tcW w:w="661" w:type="dxa"/>
          </w:tcPr>
          <w:p w:rsidR="001615FB" w:rsidRPr="009F35C6" w:rsidRDefault="001615FB" w:rsidP="000A18CF">
            <w:pPr>
              <w:jc w:val="both"/>
              <w:rPr>
                <w:sz w:val="18"/>
                <w:szCs w:val="18"/>
              </w:rPr>
            </w:pPr>
          </w:p>
        </w:tc>
        <w:tc>
          <w:tcPr>
            <w:tcW w:w="967" w:type="dxa"/>
            <w:shd w:val="clear" w:color="auto" w:fill="E6E6E6"/>
          </w:tcPr>
          <w:p w:rsidR="001615FB" w:rsidRPr="009F35C6" w:rsidRDefault="001615FB" w:rsidP="000A18CF">
            <w:pPr>
              <w:jc w:val="both"/>
              <w:rPr>
                <w:sz w:val="18"/>
                <w:szCs w:val="18"/>
              </w:rPr>
            </w:pPr>
            <w:r w:rsidRPr="009F35C6">
              <w:rPr>
                <w:sz w:val="18"/>
              </w:rPr>
              <w:t>Criminal Code 140/1961</w:t>
            </w:r>
          </w:p>
        </w:tc>
        <w:tc>
          <w:tcPr>
            <w:tcW w:w="967" w:type="dxa"/>
            <w:shd w:val="clear" w:color="auto" w:fill="E6E6E6"/>
          </w:tcPr>
          <w:p w:rsidR="001615FB" w:rsidRPr="009F35C6" w:rsidRDefault="001615FB" w:rsidP="000A18CF">
            <w:pPr>
              <w:jc w:val="both"/>
              <w:rPr>
                <w:sz w:val="18"/>
                <w:szCs w:val="18"/>
              </w:rPr>
            </w:pPr>
          </w:p>
        </w:tc>
        <w:tc>
          <w:tcPr>
            <w:tcW w:w="693" w:type="dxa"/>
            <w:shd w:val="clear" w:color="auto" w:fill="E6E6E6"/>
          </w:tcPr>
          <w:p w:rsidR="001615FB" w:rsidRPr="009F35C6" w:rsidRDefault="001615FB" w:rsidP="000A18CF">
            <w:pPr>
              <w:jc w:val="both"/>
              <w:rPr>
                <w:sz w:val="18"/>
                <w:szCs w:val="18"/>
              </w:rPr>
            </w:pPr>
            <w:r w:rsidRPr="009F35C6">
              <w:rPr>
                <w:sz w:val="18"/>
              </w:rPr>
              <w:t>Total</w:t>
            </w:r>
          </w:p>
        </w:tc>
        <w:tc>
          <w:tcPr>
            <w:tcW w:w="1040" w:type="dxa"/>
          </w:tcPr>
          <w:p w:rsidR="001615FB" w:rsidRPr="009F35C6" w:rsidRDefault="001615FB" w:rsidP="000A18CF">
            <w:pPr>
              <w:jc w:val="both"/>
              <w:rPr>
                <w:sz w:val="18"/>
                <w:szCs w:val="18"/>
              </w:rPr>
            </w:pPr>
            <w:r w:rsidRPr="009F35C6">
              <w:rPr>
                <w:sz w:val="18"/>
              </w:rPr>
              <w:t>Criminal Code 140/1961</w:t>
            </w:r>
          </w:p>
        </w:tc>
        <w:tc>
          <w:tcPr>
            <w:tcW w:w="967" w:type="dxa"/>
          </w:tcPr>
          <w:p w:rsidR="001615FB" w:rsidRPr="009F35C6" w:rsidRDefault="001615FB" w:rsidP="000A18CF">
            <w:pPr>
              <w:jc w:val="both"/>
              <w:rPr>
                <w:sz w:val="18"/>
                <w:szCs w:val="18"/>
              </w:rPr>
            </w:pPr>
          </w:p>
        </w:tc>
        <w:tc>
          <w:tcPr>
            <w:tcW w:w="694" w:type="dxa"/>
          </w:tcPr>
          <w:p w:rsidR="001615FB" w:rsidRPr="009F35C6" w:rsidRDefault="001615FB" w:rsidP="000A18CF">
            <w:pPr>
              <w:jc w:val="both"/>
              <w:rPr>
                <w:sz w:val="18"/>
                <w:szCs w:val="18"/>
              </w:rPr>
            </w:pPr>
            <w:r w:rsidRPr="009F35C6">
              <w:rPr>
                <w:sz w:val="18"/>
              </w:rPr>
              <w:t>Total</w:t>
            </w:r>
          </w:p>
        </w:tc>
        <w:tc>
          <w:tcPr>
            <w:tcW w:w="1115" w:type="dxa"/>
            <w:shd w:val="clear" w:color="auto" w:fill="E6E6E6"/>
          </w:tcPr>
          <w:p w:rsidR="001615FB" w:rsidRPr="009F35C6" w:rsidRDefault="001615FB" w:rsidP="000A18CF">
            <w:pPr>
              <w:jc w:val="both"/>
              <w:rPr>
                <w:sz w:val="18"/>
                <w:szCs w:val="18"/>
              </w:rPr>
            </w:pPr>
            <w:r w:rsidRPr="009F35C6">
              <w:rPr>
                <w:sz w:val="18"/>
              </w:rPr>
              <w:t>Criminal Code 140/1961</w:t>
            </w:r>
          </w:p>
        </w:tc>
        <w:tc>
          <w:tcPr>
            <w:tcW w:w="967" w:type="dxa"/>
            <w:shd w:val="clear" w:color="auto" w:fill="E6E6E6"/>
          </w:tcPr>
          <w:p w:rsidR="001615FB" w:rsidRPr="009F35C6" w:rsidRDefault="001615FB" w:rsidP="000A18CF">
            <w:pPr>
              <w:jc w:val="both"/>
              <w:rPr>
                <w:sz w:val="18"/>
                <w:szCs w:val="18"/>
              </w:rPr>
            </w:pPr>
          </w:p>
        </w:tc>
        <w:tc>
          <w:tcPr>
            <w:tcW w:w="694" w:type="dxa"/>
            <w:shd w:val="clear" w:color="auto" w:fill="E6E6E6"/>
          </w:tcPr>
          <w:p w:rsidR="001615FB" w:rsidRPr="009F35C6" w:rsidRDefault="001615FB" w:rsidP="000A18CF">
            <w:pPr>
              <w:jc w:val="both"/>
              <w:rPr>
                <w:sz w:val="18"/>
                <w:szCs w:val="18"/>
              </w:rPr>
            </w:pPr>
            <w:r w:rsidRPr="009F35C6">
              <w:rPr>
                <w:sz w:val="18"/>
              </w:rPr>
              <w:t>Total</w:t>
            </w:r>
          </w:p>
        </w:tc>
        <w:tc>
          <w:tcPr>
            <w:tcW w:w="992" w:type="dxa"/>
          </w:tcPr>
          <w:p w:rsidR="001615FB" w:rsidRPr="009F35C6" w:rsidRDefault="001615FB" w:rsidP="000A18CF">
            <w:pPr>
              <w:jc w:val="both"/>
              <w:rPr>
                <w:sz w:val="18"/>
                <w:szCs w:val="18"/>
              </w:rPr>
            </w:pPr>
            <w:r w:rsidRPr="009F35C6">
              <w:rPr>
                <w:sz w:val="18"/>
              </w:rPr>
              <w:t>Criminal Code 140/1961</w:t>
            </w:r>
          </w:p>
        </w:tc>
        <w:tc>
          <w:tcPr>
            <w:tcW w:w="967" w:type="dxa"/>
          </w:tcPr>
          <w:p w:rsidR="001615FB" w:rsidRPr="009F35C6" w:rsidRDefault="001615FB" w:rsidP="000A18CF">
            <w:pPr>
              <w:jc w:val="both"/>
              <w:rPr>
                <w:sz w:val="18"/>
                <w:szCs w:val="18"/>
              </w:rPr>
            </w:pPr>
          </w:p>
        </w:tc>
        <w:tc>
          <w:tcPr>
            <w:tcW w:w="694" w:type="dxa"/>
          </w:tcPr>
          <w:p w:rsidR="001615FB" w:rsidRPr="009F35C6" w:rsidRDefault="001615FB" w:rsidP="000A18CF">
            <w:pPr>
              <w:jc w:val="both"/>
              <w:rPr>
                <w:sz w:val="18"/>
                <w:szCs w:val="18"/>
              </w:rPr>
            </w:pPr>
            <w:r w:rsidRPr="009F35C6">
              <w:rPr>
                <w:sz w:val="18"/>
              </w:rPr>
              <w:t>Total</w:t>
            </w:r>
          </w:p>
        </w:tc>
        <w:tc>
          <w:tcPr>
            <w:tcW w:w="967" w:type="dxa"/>
            <w:shd w:val="clear" w:color="auto" w:fill="E6E6E6"/>
          </w:tcPr>
          <w:p w:rsidR="001615FB" w:rsidRPr="009F35C6" w:rsidRDefault="001615FB" w:rsidP="000A18CF">
            <w:pPr>
              <w:jc w:val="both"/>
              <w:rPr>
                <w:sz w:val="18"/>
                <w:szCs w:val="18"/>
              </w:rPr>
            </w:pPr>
            <w:r w:rsidRPr="009F35C6">
              <w:rPr>
                <w:sz w:val="18"/>
              </w:rPr>
              <w:t>Criminal Code 140/1961</w:t>
            </w:r>
          </w:p>
        </w:tc>
        <w:tc>
          <w:tcPr>
            <w:tcW w:w="1139" w:type="dxa"/>
            <w:shd w:val="clear" w:color="auto" w:fill="E6E6E6"/>
          </w:tcPr>
          <w:p w:rsidR="001615FB" w:rsidRPr="009F35C6" w:rsidRDefault="001615FB" w:rsidP="000A18CF">
            <w:pPr>
              <w:jc w:val="both"/>
              <w:rPr>
                <w:sz w:val="18"/>
                <w:szCs w:val="18"/>
              </w:rPr>
            </w:pPr>
          </w:p>
        </w:tc>
        <w:tc>
          <w:tcPr>
            <w:tcW w:w="694" w:type="dxa"/>
            <w:shd w:val="clear" w:color="auto" w:fill="E6E6E6"/>
          </w:tcPr>
          <w:p w:rsidR="001615FB" w:rsidRPr="009F35C6" w:rsidRDefault="001615FB" w:rsidP="000A18CF">
            <w:pPr>
              <w:jc w:val="both"/>
              <w:rPr>
                <w:sz w:val="18"/>
                <w:szCs w:val="18"/>
              </w:rPr>
            </w:pPr>
            <w:r w:rsidRPr="009F35C6">
              <w:rPr>
                <w:sz w:val="18"/>
              </w:rPr>
              <w:t>Total</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2005</w:t>
            </w:r>
          </w:p>
        </w:tc>
        <w:tc>
          <w:tcPr>
            <w:tcW w:w="967" w:type="dxa"/>
            <w:shd w:val="clear" w:color="auto" w:fill="E6E6E6"/>
          </w:tcPr>
          <w:p w:rsidR="001615FB" w:rsidRPr="009F35C6" w:rsidRDefault="001615FB" w:rsidP="000A18CF">
            <w:pPr>
              <w:jc w:val="both"/>
              <w:rPr>
                <w:sz w:val="18"/>
                <w:szCs w:val="18"/>
              </w:rPr>
            </w:pPr>
            <w:r w:rsidRPr="009F35C6">
              <w:rPr>
                <w:sz w:val="18"/>
              </w:rPr>
              <w:t>143</w:t>
            </w:r>
          </w:p>
        </w:tc>
        <w:tc>
          <w:tcPr>
            <w:tcW w:w="967" w:type="dxa"/>
            <w:shd w:val="clear" w:color="auto" w:fill="E6E6E6"/>
          </w:tcPr>
          <w:p w:rsidR="001615FB" w:rsidRPr="009F35C6" w:rsidRDefault="001615FB" w:rsidP="000A18CF">
            <w:pPr>
              <w:jc w:val="both"/>
              <w:rPr>
                <w:sz w:val="18"/>
                <w:szCs w:val="18"/>
              </w:rPr>
            </w:pPr>
          </w:p>
        </w:tc>
        <w:tc>
          <w:tcPr>
            <w:tcW w:w="693" w:type="dxa"/>
            <w:shd w:val="clear" w:color="auto" w:fill="E6E6E6"/>
          </w:tcPr>
          <w:p w:rsidR="001615FB" w:rsidRPr="009F35C6" w:rsidRDefault="001615FB" w:rsidP="000A18CF">
            <w:pPr>
              <w:jc w:val="both"/>
              <w:rPr>
                <w:b/>
                <w:sz w:val="18"/>
                <w:szCs w:val="18"/>
              </w:rPr>
            </w:pPr>
            <w:r w:rsidRPr="009F35C6">
              <w:rPr>
                <w:b/>
                <w:sz w:val="18"/>
              </w:rPr>
              <w:t>143</w:t>
            </w:r>
          </w:p>
        </w:tc>
        <w:tc>
          <w:tcPr>
            <w:tcW w:w="1040" w:type="dxa"/>
          </w:tcPr>
          <w:p w:rsidR="001615FB" w:rsidRPr="009F35C6" w:rsidRDefault="001615FB" w:rsidP="000A18CF">
            <w:pPr>
              <w:jc w:val="both"/>
              <w:rPr>
                <w:sz w:val="18"/>
                <w:szCs w:val="18"/>
              </w:rPr>
            </w:pPr>
            <w:r w:rsidRPr="009F35C6">
              <w:rPr>
                <w:sz w:val="18"/>
              </w:rPr>
              <w:t>78</w:t>
            </w:r>
          </w:p>
        </w:tc>
        <w:tc>
          <w:tcPr>
            <w:tcW w:w="967" w:type="dxa"/>
          </w:tcPr>
          <w:p w:rsidR="001615FB" w:rsidRPr="009F35C6" w:rsidRDefault="001615FB" w:rsidP="000A18CF">
            <w:pPr>
              <w:jc w:val="both"/>
              <w:rPr>
                <w:sz w:val="18"/>
                <w:szCs w:val="18"/>
              </w:rPr>
            </w:pPr>
          </w:p>
        </w:tc>
        <w:tc>
          <w:tcPr>
            <w:tcW w:w="694" w:type="dxa"/>
          </w:tcPr>
          <w:p w:rsidR="001615FB" w:rsidRPr="009F35C6" w:rsidRDefault="001615FB" w:rsidP="000A18CF">
            <w:pPr>
              <w:jc w:val="both"/>
              <w:rPr>
                <w:b/>
                <w:sz w:val="18"/>
                <w:szCs w:val="18"/>
              </w:rPr>
            </w:pPr>
            <w:r w:rsidRPr="009F35C6">
              <w:rPr>
                <w:b/>
                <w:sz w:val="18"/>
              </w:rPr>
              <w:t>78</w:t>
            </w:r>
          </w:p>
        </w:tc>
        <w:tc>
          <w:tcPr>
            <w:tcW w:w="1115" w:type="dxa"/>
            <w:shd w:val="clear" w:color="auto" w:fill="E6E6E6"/>
          </w:tcPr>
          <w:p w:rsidR="001615FB" w:rsidRPr="009F35C6" w:rsidRDefault="001615FB" w:rsidP="000A18CF">
            <w:pPr>
              <w:jc w:val="both"/>
              <w:rPr>
                <w:sz w:val="18"/>
                <w:szCs w:val="18"/>
              </w:rPr>
            </w:pPr>
            <w:r w:rsidRPr="009F35C6">
              <w:rPr>
                <w:sz w:val="18"/>
              </w:rPr>
              <w:t>not monitored</w:t>
            </w:r>
          </w:p>
        </w:tc>
        <w:tc>
          <w:tcPr>
            <w:tcW w:w="967" w:type="dxa"/>
            <w:shd w:val="clear" w:color="auto" w:fill="E6E6E6"/>
          </w:tcPr>
          <w:p w:rsidR="001615FB" w:rsidRPr="009F35C6" w:rsidRDefault="001615FB" w:rsidP="000A18CF">
            <w:pPr>
              <w:jc w:val="both"/>
              <w:rPr>
                <w:sz w:val="18"/>
                <w:szCs w:val="18"/>
              </w:rPr>
            </w:pPr>
          </w:p>
        </w:tc>
        <w:tc>
          <w:tcPr>
            <w:tcW w:w="694" w:type="dxa"/>
            <w:shd w:val="clear" w:color="auto" w:fill="E6E6E6"/>
          </w:tcPr>
          <w:p w:rsidR="001615FB" w:rsidRPr="009F35C6" w:rsidRDefault="001615FB" w:rsidP="000A18CF">
            <w:pPr>
              <w:jc w:val="both"/>
              <w:rPr>
                <w:sz w:val="18"/>
                <w:szCs w:val="18"/>
              </w:rPr>
            </w:pPr>
          </w:p>
        </w:tc>
        <w:tc>
          <w:tcPr>
            <w:tcW w:w="992" w:type="dxa"/>
          </w:tcPr>
          <w:p w:rsidR="001615FB" w:rsidRPr="009F35C6" w:rsidRDefault="001615FB" w:rsidP="000A18CF">
            <w:pPr>
              <w:ind w:right="-123"/>
              <w:jc w:val="both"/>
              <w:rPr>
                <w:sz w:val="18"/>
                <w:szCs w:val="18"/>
              </w:rPr>
            </w:pPr>
            <w:r w:rsidRPr="009F35C6">
              <w:rPr>
                <w:sz w:val="18"/>
              </w:rPr>
              <w:t>not monitored</w:t>
            </w:r>
          </w:p>
        </w:tc>
        <w:tc>
          <w:tcPr>
            <w:tcW w:w="967" w:type="dxa"/>
          </w:tcPr>
          <w:p w:rsidR="001615FB" w:rsidRPr="009F35C6" w:rsidRDefault="001615FB" w:rsidP="000A18CF">
            <w:pPr>
              <w:jc w:val="both"/>
              <w:rPr>
                <w:sz w:val="18"/>
                <w:szCs w:val="18"/>
              </w:rPr>
            </w:pPr>
          </w:p>
        </w:tc>
        <w:tc>
          <w:tcPr>
            <w:tcW w:w="694" w:type="dxa"/>
          </w:tcPr>
          <w:p w:rsidR="001615FB" w:rsidRPr="009F35C6" w:rsidRDefault="001615FB" w:rsidP="000A18CF">
            <w:pPr>
              <w:jc w:val="both"/>
              <w:rPr>
                <w:sz w:val="18"/>
                <w:szCs w:val="18"/>
              </w:rPr>
            </w:pPr>
          </w:p>
        </w:tc>
        <w:tc>
          <w:tcPr>
            <w:tcW w:w="967" w:type="dxa"/>
            <w:shd w:val="clear" w:color="auto" w:fill="E6E6E6"/>
          </w:tcPr>
          <w:p w:rsidR="001615FB" w:rsidRPr="009F35C6" w:rsidRDefault="001615FB" w:rsidP="000A18CF">
            <w:pPr>
              <w:jc w:val="both"/>
              <w:rPr>
                <w:sz w:val="18"/>
                <w:szCs w:val="18"/>
              </w:rPr>
            </w:pPr>
            <w:r w:rsidRPr="009F35C6">
              <w:rPr>
                <w:sz w:val="18"/>
              </w:rPr>
              <w:t>33</w:t>
            </w:r>
          </w:p>
        </w:tc>
        <w:tc>
          <w:tcPr>
            <w:tcW w:w="1139" w:type="dxa"/>
            <w:shd w:val="clear" w:color="auto" w:fill="E6E6E6"/>
          </w:tcPr>
          <w:p w:rsidR="001615FB" w:rsidRPr="009F35C6" w:rsidRDefault="001615FB" w:rsidP="000A18CF">
            <w:pPr>
              <w:jc w:val="both"/>
              <w:rPr>
                <w:sz w:val="18"/>
                <w:szCs w:val="18"/>
              </w:rPr>
            </w:pPr>
          </w:p>
        </w:tc>
        <w:tc>
          <w:tcPr>
            <w:tcW w:w="694" w:type="dxa"/>
            <w:shd w:val="clear" w:color="auto" w:fill="E6E6E6"/>
          </w:tcPr>
          <w:p w:rsidR="001615FB" w:rsidRPr="009F35C6" w:rsidRDefault="001615FB" w:rsidP="000A18CF">
            <w:pPr>
              <w:jc w:val="both"/>
              <w:rPr>
                <w:b/>
                <w:sz w:val="18"/>
                <w:szCs w:val="18"/>
              </w:rPr>
            </w:pPr>
            <w:r w:rsidRPr="009F35C6">
              <w:rPr>
                <w:b/>
                <w:sz w:val="18"/>
              </w:rPr>
              <w:t>33</w:t>
            </w:r>
          </w:p>
        </w:tc>
      </w:tr>
      <w:tr w:rsidR="001615FB" w:rsidRPr="009F35C6" w:rsidTr="000A18CF">
        <w:tc>
          <w:tcPr>
            <w:tcW w:w="661" w:type="dxa"/>
          </w:tcPr>
          <w:p w:rsidR="001615FB" w:rsidRPr="009F35C6" w:rsidRDefault="001615FB" w:rsidP="000A18CF">
            <w:pPr>
              <w:jc w:val="both"/>
              <w:rPr>
                <w:b/>
                <w:sz w:val="18"/>
                <w:szCs w:val="18"/>
              </w:rPr>
            </w:pPr>
          </w:p>
        </w:tc>
        <w:tc>
          <w:tcPr>
            <w:tcW w:w="967" w:type="dxa"/>
            <w:shd w:val="clear" w:color="auto" w:fill="E6E6E6"/>
          </w:tcPr>
          <w:p w:rsidR="001615FB" w:rsidRPr="009F35C6" w:rsidRDefault="001615FB" w:rsidP="000A18CF">
            <w:pPr>
              <w:jc w:val="both"/>
              <w:rPr>
                <w:sz w:val="18"/>
                <w:szCs w:val="18"/>
              </w:rPr>
            </w:pPr>
            <w:r w:rsidRPr="009F35C6">
              <w:rPr>
                <w:sz w:val="18"/>
              </w:rPr>
              <w:t>Criminal Code 140/1961</w:t>
            </w:r>
          </w:p>
        </w:tc>
        <w:tc>
          <w:tcPr>
            <w:tcW w:w="967" w:type="dxa"/>
            <w:shd w:val="clear" w:color="auto" w:fill="E6E6E6"/>
          </w:tcPr>
          <w:p w:rsidR="001615FB" w:rsidRPr="009F35C6" w:rsidRDefault="001615FB" w:rsidP="000A18CF">
            <w:pPr>
              <w:jc w:val="both"/>
              <w:rPr>
                <w:sz w:val="18"/>
                <w:szCs w:val="18"/>
              </w:rPr>
            </w:pPr>
            <w:r w:rsidRPr="009F35C6">
              <w:rPr>
                <w:sz w:val="18"/>
              </w:rPr>
              <w:t>Criminal Code 300/2005</w:t>
            </w:r>
          </w:p>
        </w:tc>
        <w:tc>
          <w:tcPr>
            <w:tcW w:w="693" w:type="dxa"/>
            <w:shd w:val="clear" w:color="auto" w:fill="E6E6E6"/>
          </w:tcPr>
          <w:p w:rsidR="001615FB" w:rsidRPr="009F35C6" w:rsidRDefault="001615FB" w:rsidP="000A18CF">
            <w:pPr>
              <w:jc w:val="both"/>
              <w:rPr>
                <w:sz w:val="18"/>
                <w:szCs w:val="18"/>
              </w:rPr>
            </w:pPr>
          </w:p>
        </w:tc>
        <w:tc>
          <w:tcPr>
            <w:tcW w:w="1040" w:type="dxa"/>
          </w:tcPr>
          <w:p w:rsidR="001615FB" w:rsidRPr="009F35C6" w:rsidRDefault="001615FB" w:rsidP="000A18CF">
            <w:pPr>
              <w:jc w:val="both"/>
              <w:rPr>
                <w:sz w:val="18"/>
                <w:szCs w:val="18"/>
              </w:rPr>
            </w:pPr>
            <w:r w:rsidRPr="009F35C6">
              <w:rPr>
                <w:sz w:val="18"/>
              </w:rPr>
              <w:t>Criminal Code 140/1961</w:t>
            </w:r>
          </w:p>
        </w:tc>
        <w:tc>
          <w:tcPr>
            <w:tcW w:w="967" w:type="dxa"/>
          </w:tcPr>
          <w:p w:rsidR="001615FB" w:rsidRPr="009F35C6" w:rsidRDefault="001615FB" w:rsidP="000A18CF">
            <w:pPr>
              <w:jc w:val="both"/>
              <w:rPr>
                <w:sz w:val="18"/>
                <w:szCs w:val="18"/>
              </w:rPr>
            </w:pPr>
            <w:r w:rsidRPr="009F35C6">
              <w:rPr>
                <w:sz w:val="18"/>
              </w:rPr>
              <w:t>Criminal Code 300/2005</w:t>
            </w:r>
          </w:p>
        </w:tc>
        <w:tc>
          <w:tcPr>
            <w:tcW w:w="694" w:type="dxa"/>
          </w:tcPr>
          <w:p w:rsidR="001615FB" w:rsidRPr="009F35C6" w:rsidRDefault="001615FB" w:rsidP="000A18CF">
            <w:pPr>
              <w:jc w:val="both"/>
              <w:rPr>
                <w:sz w:val="18"/>
                <w:szCs w:val="18"/>
              </w:rPr>
            </w:pPr>
          </w:p>
        </w:tc>
        <w:tc>
          <w:tcPr>
            <w:tcW w:w="1115" w:type="dxa"/>
            <w:shd w:val="clear" w:color="auto" w:fill="E6E6E6"/>
          </w:tcPr>
          <w:p w:rsidR="001615FB" w:rsidRPr="009F35C6" w:rsidRDefault="001615FB" w:rsidP="000A18CF">
            <w:pPr>
              <w:jc w:val="both"/>
              <w:rPr>
                <w:sz w:val="18"/>
                <w:szCs w:val="18"/>
              </w:rPr>
            </w:pPr>
            <w:r w:rsidRPr="009F35C6">
              <w:rPr>
                <w:sz w:val="18"/>
              </w:rPr>
              <w:t>Criminal Code 140/1961</w:t>
            </w:r>
          </w:p>
        </w:tc>
        <w:tc>
          <w:tcPr>
            <w:tcW w:w="967" w:type="dxa"/>
            <w:shd w:val="clear" w:color="auto" w:fill="E6E6E6"/>
          </w:tcPr>
          <w:p w:rsidR="001615FB" w:rsidRPr="009F35C6" w:rsidRDefault="001615FB" w:rsidP="000A18CF">
            <w:pPr>
              <w:jc w:val="both"/>
              <w:rPr>
                <w:sz w:val="18"/>
                <w:szCs w:val="18"/>
              </w:rPr>
            </w:pPr>
            <w:r w:rsidRPr="009F35C6">
              <w:rPr>
                <w:sz w:val="18"/>
              </w:rPr>
              <w:t>Criminal Code 300/2005</w:t>
            </w:r>
          </w:p>
        </w:tc>
        <w:tc>
          <w:tcPr>
            <w:tcW w:w="694" w:type="dxa"/>
            <w:shd w:val="clear" w:color="auto" w:fill="E6E6E6"/>
          </w:tcPr>
          <w:p w:rsidR="001615FB" w:rsidRPr="009F35C6" w:rsidRDefault="001615FB" w:rsidP="000A18CF">
            <w:pPr>
              <w:jc w:val="both"/>
              <w:rPr>
                <w:sz w:val="18"/>
                <w:szCs w:val="18"/>
              </w:rPr>
            </w:pPr>
          </w:p>
        </w:tc>
        <w:tc>
          <w:tcPr>
            <w:tcW w:w="992" w:type="dxa"/>
          </w:tcPr>
          <w:p w:rsidR="001615FB" w:rsidRPr="009F35C6" w:rsidRDefault="001615FB" w:rsidP="000A18CF">
            <w:pPr>
              <w:jc w:val="both"/>
              <w:rPr>
                <w:sz w:val="18"/>
                <w:szCs w:val="18"/>
              </w:rPr>
            </w:pPr>
            <w:r w:rsidRPr="009F35C6">
              <w:rPr>
                <w:sz w:val="18"/>
              </w:rPr>
              <w:t>Criminal Code 140/1961</w:t>
            </w:r>
          </w:p>
        </w:tc>
        <w:tc>
          <w:tcPr>
            <w:tcW w:w="967" w:type="dxa"/>
          </w:tcPr>
          <w:p w:rsidR="001615FB" w:rsidRPr="009F35C6" w:rsidRDefault="001615FB" w:rsidP="000A18CF">
            <w:pPr>
              <w:jc w:val="both"/>
              <w:rPr>
                <w:sz w:val="18"/>
                <w:szCs w:val="18"/>
              </w:rPr>
            </w:pPr>
            <w:r w:rsidRPr="009F35C6">
              <w:rPr>
                <w:sz w:val="18"/>
              </w:rPr>
              <w:t>Criminal Code 300/2005</w:t>
            </w:r>
          </w:p>
        </w:tc>
        <w:tc>
          <w:tcPr>
            <w:tcW w:w="694" w:type="dxa"/>
          </w:tcPr>
          <w:p w:rsidR="001615FB" w:rsidRPr="009F35C6" w:rsidRDefault="001615FB" w:rsidP="000A18CF">
            <w:pPr>
              <w:jc w:val="both"/>
              <w:rPr>
                <w:sz w:val="18"/>
                <w:szCs w:val="18"/>
              </w:rPr>
            </w:pPr>
          </w:p>
        </w:tc>
        <w:tc>
          <w:tcPr>
            <w:tcW w:w="967" w:type="dxa"/>
            <w:shd w:val="clear" w:color="auto" w:fill="E6E6E6"/>
          </w:tcPr>
          <w:p w:rsidR="001615FB" w:rsidRPr="009F35C6" w:rsidRDefault="001615FB" w:rsidP="000A18CF">
            <w:pPr>
              <w:jc w:val="both"/>
              <w:rPr>
                <w:sz w:val="18"/>
                <w:szCs w:val="18"/>
              </w:rPr>
            </w:pPr>
            <w:r w:rsidRPr="009F35C6">
              <w:rPr>
                <w:sz w:val="18"/>
              </w:rPr>
              <w:t>Criminal Code 140/1961</w:t>
            </w:r>
          </w:p>
        </w:tc>
        <w:tc>
          <w:tcPr>
            <w:tcW w:w="1139" w:type="dxa"/>
            <w:shd w:val="clear" w:color="auto" w:fill="E6E6E6"/>
          </w:tcPr>
          <w:p w:rsidR="001615FB" w:rsidRPr="009F35C6" w:rsidRDefault="001615FB" w:rsidP="000A18CF">
            <w:pPr>
              <w:jc w:val="both"/>
              <w:rPr>
                <w:sz w:val="18"/>
                <w:szCs w:val="18"/>
              </w:rPr>
            </w:pPr>
            <w:r w:rsidRPr="009F35C6">
              <w:rPr>
                <w:sz w:val="18"/>
              </w:rPr>
              <w:t>Criminal Code 300/2005</w:t>
            </w:r>
          </w:p>
        </w:tc>
        <w:tc>
          <w:tcPr>
            <w:tcW w:w="694" w:type="dxa"/>
            <w:shd w:val="clear" w:color="auto" w:fill="E6E6E6"/>
          </w:tcPr>
          <w:p w:rsidR="001615FB" w:rsidRPr="009F35C6" w:rsidRDefault="001615FB" w:rsidP="000A18CF">
            <w:pPr>
              <w:jc w:val="both"/>
              <w:rPr>
                <w:b/>
                <w:sz w:val="18"/>
                <w:szCs w:val="18"/>
              </w:rPr>
            </w:pP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2006</w:t>
            </w:r>
          </w:p>
        </w:tc>
        <w:tc>
          <w:tcPr>
            <w:tcW w:w="967" w:type="dxa"/>
            <w:shd w:val="clear" w:color="auto" w:fill="E6E6E6"/>
          </w:tcPr>
          <w:p w:rsidR="001615FB" w:rsidRPr="009F35C6" w:rsidRDefault="001615FB" w:rsidP="000A18CF">
            <w:pPr>
              <w:jc w:val="both"/>
              <w:rPr>
                <w:sz w:val="18"/>
                <w:szCs w:val="18"/>
              </w:rPr>
            </w:pPr>
            <w:r w:rsidRPr="009F35C6">
              <w:rPr>
                <w:sz w:val="18"/>
              </w:rPr>
              <w:t>72</w:t>
            </w:r>
          </w:p>
        </w:tc>
        <w:tc>
          <w:tcPr>
            <w:tcW w:w="967" w:type="dxa"/>
            <w:shd w:val="clear" w:color="auto" w:fill="E6E6E6"/>
          </w:tcPr>
          <w:p w:rsidR="001615FB" w:rsidRPr="009F35C6" w:rsidRDefault="001615FB" w:rsidP="000A18CF">
            <w:pPr>
              <w:jc w:val="both"/>
              <w:rPr>
                <w:sz w:val="18"/>
                <w:szCs w:val="18"/>
              </w:rPr>
            </w:pPr>
            <w:r w:rsidRPr="009F35C6">
              <w:rPr>
                <w:sz w:val="18"/>
              </w:rPr>
              <w:t>81</w:t>
            </w:r>
          </w:p>
        </w:tc>
        <w:tc>
          <w:tcPr>
            <w:tcW w:w="693" w:type="dxa"/>
            <w:shd w:val="clear" w:color="auto" w:fill="E6E6E6"/>
          </w:tcPr>
          <w:p w:rsidR="001615FB" w:rsidRPr="009F35C6" w:rsidRDefault="001615FB" w:rsidP="000A18CF">
            <w:pPr>
              <w:jc w:val="both"/>
              <w:rPr>
                <w:b/>
                <w:sz w:val="18"/>
                <w:szCs w:val="18"/>
              </w:rPr>
            </w:pPr>
            <w:r w:rsidRPr="009F35C6">
              <w:rPr>
                <w:b/>
                <w:sz w:val="18"/>
              </w:rPr>
              <w:t>153</w:t>
            </w:r>
          </w:p>
        </w:tc>
        <w:tc>
          <w:tcPr>
            <w:tcW w:w="1040" w:type="dxa"/>
          </w:tcPr>
          <w:p w:rsidR="001615FB" w:rsidRPr="009F35C6" w:rsidRDefault="001615FB" w:rsidP="000A18CF">
            <w:pPr>
              <w:jc w:val="both"/>
              <w:rPr>
                <w:sz w:val="18"/>
                <w:szCs w:val="18"/>
              </w:rPr>
            </w:pPr>
            <w:r w:rsidRPr="009F35C6">
              <w:rPr>
                <w:sz w:val="18"/>
              </w:rPr>
              <w:t>59</w:t>
            </w:r>
          </w:p>
        </w:tc>
        <w:tc>
          <w:tcPr>
            <w:tcW w:w="967" w:type="dxa"/>
          </w:tcPr>
          <w:p w:rsidR="001615FB" w:rsidRPr="009F35C6" w:rsidRDefault="001615FB" w:rsidP="000A18CF">
            <w:pPr>
              <w:jc w:val="both"/>
              <w:rPr>
                <w:sz w:val="18"/>
                <w:szCs w:val="18"/>
              </w:rPr>
            </w:pPr>
            <w:r w:rsidRPr="009F35C6">
              <w:rPr>
                <w:sz w:val="18"/>
              </w:rPr>
              <w:t>52</w:t>
            </w:r>
          </w:p>
        </w:tc>
        <w:tc>
          <w:tcPr>
            <w:tcW w:w="694" w:type="dxa"/>
          </w:tcPr>
          <w:p w:rsidR="001615FB" w:rsidRPr="009F35C6" w:rsidRDefault="001615FB" w:rsidP="000A18CF">
            <w:pPr>
              <w:jc w:val="both"/>
              <w:rPr>
                <w:b/>
                <w:sz w:val="18"/>
                <w:szCs w:val="18"/>
              </w:rPr>
            </w:pPr>
            <w:r w:rsidRPr="009F35C6">
              <w:rPr>
                <w:b/>
                <w:sz w:val="18"/>
              </w:rPr>
              <w:t>111</w:t>
            </w:r>
          </w:p>
        </w:tc>
        <w:tc>
          <w:tcPr>
            <w:tcW w:w="1115" w:type="dxa"/>
            <w:shd w:val="clear" w:color="auto" w:fill="E6E6E6"/>
          </w:tcPr>
          <w:p w:rsidR="001615FB" w:rsidRPr="009F35C6" w:rsidRDefault="001615FB" w:rsidP="000A18CF">
            <w:pPr>
              <w:jc w:val="both"/>
              <w:rPr>
                <w:sz w:val="18"/>
                <w:szCs w:val="18"/>
              </w:rPr>
            </w:pPr>
            <w:r w:rsidRPr="009F35C6">
              <w:rPr>
                <w:sz w:val="18"/>
              </w:rPr>
              <w:t>3</w:t>
            </w:r>
          </w:p>
        </w:tc>
        <w:tc>
          <w:tcPr>
            <w:tcW w:w="967" w:type="dxa"/>
            <w:shd w:val="clear" w:color="auto" w:fill="E6E6E6"/>
          </w:tcPr>
          <w:p w:rsidR="001615FB" w:rsidRPr="009F35C6" w:rsidRDefault="001615FB" w:rsidP="000A18CF">
            <w:pPr>
              <w:jc w:val="both"/>
              <w:rPr>
                <w:sz w:val="18"/>
                <w:szCs w:val="18"/>
              </w:rPr>
            </w:pPr>
            <w:r w:rsidRPr="009F35C6">
              <w:rPr>
                <w:sz w:val="18"/>
              </w:rPr>
              <w:t>25</w:t>
            </w:r>
          </w:p>
        </w:tc>
        <w:tc>
          <w:tcPr>
            <w:tcW w:w="694" w:type="dxa"/>
            <w:shd w:val="clear" w:color="auto" w:fill="E6E6E6"/>
          </w:tcPr>
          <w:p w:rsidR="001615FB" w:rsidRPr="009F35C6" w:rsidRDefault="001615FB" w:rsidP="000A18CF">
            <w:pPr>
              <w:jc w:val="both"/>
              <w:rPr>
                <w:b/>
                <w:sz w:val="18"/>
                <w:szCs w:val="18"/>
              </w:rPr>
            </w:pPr>
            <w:r w:rsidRPr="009F35C6">
              <w:rPr>
                <w:b/>
                <w:sz w:val="18"/>
              </w:rPr>
              <w:t>28</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0</w:t>
            </w:r>
          </w:p>
        </w:tc>
        <w:tc>
          <w:tcPr>
            <w:tcW w:w="694" w:type="dxa"/>
          </w:tcPr>
          <w:p w:rsidR="001615FB" w:rsidRPr="009F35C6" w:rsidRDefault="001615FB" w:rsidP="000A18CF">
            <w:pPr>
              <w:jc w:val="both"/>
              <w:rPr>
                <w:b/>
                <w:sz w:val="18"/>
                <w:szCs w:val="18"/>
              </w:rPr>
            </w:pPr>
            <w:r w:rsidRPr="009F35C6">
              <w:rPr>
                <w:b/>
                <w:sz w:val="18"/>
              </w:rPr>
              <w:t>0</w:t>
            </w:r>
          </w:p>
        </w:tc>
        <w:tc>
          <w:tcPr>
            <w:tcW w:w="967" w:type="dxa"/>
            <w:shd w:val="clear" w:color="auto" w:fill="E6E6E6"/>
          </w:tcPr>
          <w:p w:rsidR="001615FB" w:rsidRPr="009F35C6" w:rsidRDefault="001615FB" w:rsidP="000A18CF">
            <w:pPr>
              <w:jc w:val="both"/>
              <w:rPr>
                <w:sz w:val="18"/>
                <w:szCs w:val="18"/>
              </w:rPr>
            </w:pPr>
            <w:r w:rsidRPr="009F35C6">
              <w:rPr>
                <w:sz w:val="18"/>
              </w:rPr>
              <w:t>32</w:t>
            </w:r>
          </w:p>
        </w:tc>
        <w:tc>
          <w:tcPr>
            <w:tcW w:w="1139" w:type="dxa"/>
            <w:shd w:val="clear" w:color="auto" w:fill="E6E6E6"/>
          </w:tcPr>
          <w:p w:rsidR="001615FB" w:rsidRPr="009F35C6" w:rsidRDefault="001615FB" w:rsidP="000A18CF">
            <w:pPr>
              <w:jc w:val="both"/>
              <w:rPr>
                <w:sz w:val="18"/>
                <w:szCs w:val="18"/>
              </w:rPr>
            </w:pPr>
            <w:r w:rsidRPr="009F35C6">
              <w:rPr>
                <w:sz w:val="18"/>
              </w:rPr>
              <w:t>25</w:t>
            </w:r>
          </w:p>
        </w:tc>
        <w:tc>
          <w:tcPr>
            <w:tcW w:w="694" w:type="dxa"/>
            <w:shd w:val="clear" w:color="auto" w:fill="E6E6E6"/>
          </w:tcPr>
          <w:p w:rsidR="001615FB" w:rsidRPr="009F35C6" w:rsidRDefault="001615FB" w:rsidP="000A18CF">
            <w:pPr>
              <w:jc w:val="both"/>
              <w:rPr>
                <w:b/>
                <w:sz w:val="18"/>
                <w:szCs w:val="18"/>
              </w:rPr>
            </w:pPr>
            <w:r w:rsidRPr="009F35C6">
              <w:rPr>
                <w:b/>
                <w:sz w:val="18"/>
              </w:rPr>
              <w:t>57</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2007</w:t>
            </w:r>
          </w:p>
        </w:tc>
        <w:tc>
          <w:tcPr>
            <w:tcW w:w="967" w:type="dxa"/>
            <w:shd w:val="clear" w:color="auto" w:fill="E6E6E6"/>
          </w:tcPr>
          <w:p w:rsidR="001615FB" w:rsidRPr="009F35C6" w:rsidRDefault="001615FB" w:rsidP="000A18CF">
            <w:pPr>
              <w:jc w:val="both"/>
              <w:rPr>
                <w:sz w:val="18"/>
                <w:szCs w:val="18"/>
              </w:rPr>
            </w:pPr>
            <w:r w:rsidRPr="009F35C6">
              <w:rPr>
                <w:sz w:val="18"/>
              </w:rPr>
              <w:t>42</w:t>
            </w:r>
          </w:p>
        </w:tc>
        <w:tc>
          <w:tcPr>
            <w:tcW w:w="967" w:type="dxa"/>
            <w:shd w:val="clear" w:color="auto" w:fill="E6E6E6"/>
          </w:tcPr>
          <w:p w:rsidR="001615FB" w:rsidRPr="009F35C6" w:rsidRDefault="001615FB" w:rsidP="000A18CF">
            <w:pPr>
              <w:jc w:val="both"/>
              <w:rPr>
                <w:sz w:val="18"/>
                <w:szCs w:val="18"/>
              </w:rPr>
            </w:pPr>
            <w:r w:rsidRPr="009F35C6">
              <w:rPr>
                <w:sz w:val="18"/>
              </w:rPr>
              <w:t>87</w:t>
            </w:r>
          </w:p>
        </w:tc>
        <w:tc>
          <w:tcPr>
            <w:tcW w:w="693" w:type="dxa"/>
            <w:shd w:val="clear" w:color="auto" w:fill="E6E6E6"/>
          </w:tcPr>
          <w:p w:rsidR="001615FB" w:rsidRPr="009F35C6" w:rsidRDefault="001615FB" w:rsidP="000A18CF">
            <w:pPr>
              <w:jc w:val="both"/>
              <w:rPr>
                <w:b/>
                <w:sz w:val="18"/>
                <w:szCs w:val="18"/>
              </w:rPr>
            </w:pPr>
            <w:r w:rsidRPr="009F35C6">
              <w:rPr>
                <w:b/>
                <w:sz w:val="18"/>
              </w:rPr>
              <w:t>129</w:t>
            </w:r>
          </w:p>
        </w:tc>
        <w:tc>
          <w:tcPr>
            <w:tcW w:w="1040" w:type="dxa"/>
          </w:tcPr>
          <w:p w:rsidR="001615FB" w:rsidRPr="009F35C6" w:rsidRDefault="001615FB" w:rsidP="000A18CF">
            <w:pPr>
              <w:jc w:val="both"/>
              <w:rPr>
                <w:sz w:val="18"/>
                <w:szCs w:val="18"/>
              </w:rPr>
            </w:pPr>
            <w:r w:rsidRPr="009F35C6">
              <w:rPr>
                <w:sz w:val="18"/>
              </w:rPr>
              <w:t>24</w:t>
            </w:r>
          </w:p>
        </w:tc>
        <w:tc>
          <w:tcPr>
            <w:tcW w:w="967" w:type="dxa"/>
          </w:tcPr>
          <w:p w:rsidR="001615FB" w:rsidRPr="009F35C6" w:rsidRDefault="001615FB" w:rsidP="000A18CF">
            <w:pPr>
              <w:jc w:val="both"/>
              <w:rPr>
                <w:sz w:val="18"/>
                <w:szCs w:val="18"/>
              </w:rPr>
            </w:pPr>
            <w:r w:rsidRPr="009F35C6">
              <w:rPr>
                <w:sz w:val="18"/>
              </w:rPr>
              <w:t>58</w:t>
            </w:r>
          </w:p>
        </w:tc>
        <w:tc>
          <w:tcPr>
            <w:tcW w:w="694" w:type="dxa"/>
          </w:tcPr>
          <w:p w:rsidR="001615FB" w:rsidRPr="009F35C6" w:rsidRDefault="001615FB" w:rsidP="000A18CF">
            <w:pPr>
              <w:jc w:val="both"/>
              <w:rPr>
                <w:b/>
                <w:sz w:val="18"/>
                <w:szCs w:val="18"/>
              </w:rPr>
            </w:pPr>
            <w:r w:rsidRPr="009F35C6">
              <w:rPr>
                <w:b/>
                <w:sz w:val="18"/>
              </w:rPr>
              <w:t>82</w:t>
            </w:r>
          </w:p>
        </w:tc>
        <w:tc>
          <w:tcPr>
            <w:tcW w:w="1115" w:type="dxa"/>
            <w:shd w:val="clear" w:color="auto" w:fill="E6E6E6"/>
          </w:tcPr>
          <w:p w:rsidR="001615FB" w:rsidRPr="009F35C6" w:rsidRDefault="001615FB" w:rsidP="000A18CF">
            <w:pPr>
              <w:jc w:val="both"/>
              <w:rPr>
                <w:sz w:val="18"/>
                <w:szCs w:val="18"/>
              </w:rPr>
            </w:pPr>
            <w:r w:rsidRPr="009F35C6">
              <w:rPr>
                <w:sz w:val="18"/>
              </w:rPr>
              <w:t>0</w:t>
            </w:r>
          </w:p>
        </w:tc>
        <w:tc>
          <w:tcPr>
            <w:tcW w:w="967" w:type="dxa"/>
            <w:shd w:val="clear" w:color="auto" w:fill="E6E6E6"/>
          </w:tcPr>
          <w:p w:rsidR="001615FB" w:rsidRPr="009F35C6" w:rsidRDefault="001615FB" w:rsidP="000A18CF">
            <w:pPr>
              <w:jc w:val="both"/>
              <w:rPr>
                <w:sz w:val="18"/>
                <w:szCs w:val="18"/>
              </w:rPr>
            </w:pPr>
            <w:r w:rsidRPr="009F35C6">
              <w:rPr>
                <w:sz w:val="18"/>
              </w:rPr>
              <w:t>21</w:t>
            </w:r>
          </w:p>
        </w:tc>
        <w:tc>
          <w:tcPr>
            <w:tcW w:w="694" w:type="dxa"/>
            <w:shd w:val="clear" w:color="auto" w:fill="E6E6E6"/>
          </w:tcPr>
          <w:p w:rsidR="001615FB" w:rsidRPr="009F35C6" w:rsidRDefault="001615FB" w:rsidP="000A18CF">
            <w:pPr>
              <w:jc w:val="both"/>
              <w:rPr>
                <w:b/>
                <w:sz w:val="18"/>
                <w:szCs w:val="18"/>
              </w:rPr>
            </w:pPr>
            <w:r w:rsidRPr="009F35C6">
              <w:rPr>
                <w:b/>
                <w:sz w:val="18"/>
              </w:rPr>
              <w:t>21</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0</w:t>
            </w:r>
          </w:p>
        </w:tc>
        <w:tc>
          <w:tcPr>
            <w:tcW w:w="694" w:type="dxa"/>
          </w:tcPr>
          <w:p w:rsidR="001615FB" w:rsidRPr="009F35C6" w:rsidRDefault="001615FB" w:rsidP="000A18CF">
            <w:pPr>
              <w:jc w:val="both"/>
              <w:rPr>
                <w:b/>
                <w:sz w:val="18"/>
                <w:szCs w:val="18"/>
              </w:rPr>
            </w:pPr>
            <w:r w:rsidRPr="009F35C6">
              <w:rPr>
                <w:b/>
                <w:sz w:val="18"/>
              </w:rPr>
              <w:t>0</w:t>
            </w:r>
          </w:p>
        </w:tc>
        <w:tc>
          <w:tcPr>
            <w:tcW w:w="967" w:type="dxa"/>
            <w:shd w:val="clear" w:color="auto" w:fill="E6E6E6"/>
          </w:tcPr>
          <w:p w:rsidR="001615FB" w:rsidRPr="009F35C6" w:rsidRDefault="001615FB" w:rsidP="000A18CF">
            <w:pPr>
              <w:jc w:val="both"/>
              <w:rPr>
                <w:sz w:val="18"/>
                <w:szCs w:val="18"/>
              </w:rPr>
            </w:pPr>
            <w:r w:rsidRPr="009F35C6">
              <w:rPr>
                <w:sz w:val="18"/>
              </w:rPr>
              <w:t>33</w:t>
            </w:r>
          </w:p>
        </w:tc>
        <w:tc>
          <w:tcPr>
            <w:tcW w:w="1139" w:type="dxa"/>
            <w:shd w:val="clear" w:color="auto" w:fill="E6E6E6"/>
          </w:tcPr>
          <w:p w:rsidR="001615FB" w:rsidRPr="009F35C6" w:rsidRDefault="001615FB" w:rsidP="000A18CF">
            <w:pPr>
              <w:jc w:val="both"/>
              <w:rPr>
                <w:sz w:val="18"/>
                <w:szCs w:val="18"/>
              </w:rPr>
            </w:pPr>
            <w:r w:rsidRPr="009F35C6">
              <w:rPr>
                <w:sz w:val="18"/>
              </w:rPr>
              <w:t>51</w:t>
            </w:r>
          </w:p>
        </w:tc>
        <w:tc>
          <w:tcPr>
            <w:tcW w:w="694" w:type="dxa"/>
            <w:shd w:val="clear" w:color="auto" w:fill="E6E6E6"/>
          </w:tcPr>
          <w:p w:rsidR="001615FB" w:rsidRPr="009F35C6" w:rsidRDefault="001615FB" w:rsidP="000A18CF">
            <w:pPr>
              <w:jc w:val="both"/>
              <w:rPr>
                <w:b/>
                <w:sz w:val="18"/>
                <w:szCs w:val="18"/>
              </w:rPr>
            </w:pPr>
            <w:r w:rsidRPr="009F35C6">
              <w:rPr>
                <w:b/>
                <w:sz w:val="18"/>
              </w:rPr>
              <w:t>84</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2008</w:t>
            </w:r>
          </w:p>
        </w:tc>
        <w:tc>
          <w:tcPr>
            <w:tcW w:w="967" w:type="dxa"/>
            <w:shd w:val="clear" w:color="auto" w:fill="E6E6E6"/>
          </w:tcPr>
          <w:p w:rsidR="001615FB" w:rsidRPr="009F35C6" w:rsidRDefault="001615FB" w:rsidP="000A18CF">
            <w:pPr>
              <w:jc w:val="both"/>
              <w:rPr>
                <w:sz w:val="18"/>
                <w:szCs w:val="18"/>
              </w:rPr>
            </w:pPr>
            <w:r w:rsidRPr="009F35C6">
              <w:rPr>
                <w:sz w:val="18"/>
              </w:rPr>
              <w:t>34</w:t>
            </w:r>
          </w:p>
        </w:tc>
        <w:tc>
          <w:tcPr>
            <w:tcW w:w="967" w:type="dxa"/>
            <w:shd w:val="clear" w:color="auto" w:fill="E6E6E6"/>
          </w:tcPr>
          <w:p w:rsidR="001615FB" w:rsidRPr="009F35C6" w:rsidRDefault="001615FB" w:rsidP="000A18CF">
            <w:pPr>
              <w:jc w:val="both"/>
              <w:rPr>
                <w:sz w:val="18"/>
                <w:szCs w:val="18"/>
              </w:rPr>
            </w:pPr>
            <w:r w:rsidRPr="009F35C6">
              <w:rPr>
                <w:sz w:val="18"/>
              </w:rPr>
              <w:t>130</w:t>
            </w:r>
          </w:p>
        </w:tc>
        <w:tc>
          <w:tcPr>
            <w:tcW w:w="693" w:type="dxa"/>
            <w:shd w:val="clear" w:color="auto" w:fill="E6E6E6"/>
          </w:tcPr>
          <w:p w:rsidR="001615FB" w:rsidRPr="009F35C6" w:rsidRDefault="001615FB" w:rsidP="000A18CF">
            <w:pPr>
              <w:jc w:val="both"/>
              <w:rPr>
                <w:b/>
                <w:sz w:val="18"/>
                <w:szCs w:val="18"/>
              </w:rPr>
            </w:pPr>
            <w:r w:rsidRPr="009F35C6">
              <w:rPr>
                <w:b/>
                <w:sz w:val="18"/>
              </w:rPr>
              <w:t>164</w:t>
            </w:r>
          </w:p>
        </w:tc>
        <w:tc>
          <w:tcPr>
            <w:tcW w:w="1040" w:type="dxa"/>
          </w:tcPr>
          <w:p w:rsidR="001615FB" w:rsidRPr="009F35C6" w:rsidRDefault="001615FB" w:rsidP="000A18CF">
            <w:pPr>
              <w:jc w:val="both"/>
              <w:rPr>
                <w:sz w:val="18"/>
                <w:szCs w:val="18"/>
              </w:rPr>
            </w:pPr>
            <w:r w:rsidRPr="009F35C6">
              <w:rPr>
                <w:sz w:val="18"/>
              </w:rPr>
              <w:t>7</w:t>
            </w:r>
          </w:p>
        </w:tc>
        <w:tc>
          <w:tcPr>
            <w:tcW w:w="967" w:type="dxa"/>
          </w:tcPr>
          <w:p w:rsidR="001615FB" w:rsidRPr="009F35C6" w:rsidRDefault="001615FB" w:rsidP="000A18CF">
            <w:pPr>
              <w:jc w:val="both"/>
              <w:rPr>
                <w:sz w:val="18"/>
                <w:szCs w:val="18"/>
              </w:rPr>
            </w:pPr>
            <w:r w:rsidRPr="009F35C6">
              <w:rPr>
                <w:sz w:val="18"/>
              </w:rPr>
              <w:t>92</w:t>
            </w:r>
          </w:p>
        </w:tc>
        <w:tc>
          <w:tcPr>
            <w:tcW w:w="694" w:type="dxa"/>
          </w:tcPr>
          <w:p w:rsidR="001615FB" w:rsidRPr="009F35C6" w:rsidRDefault="001615FB" w:rsidP="000A18CF">
            <w:pPr>
              <w:jc w:val="both"/>
              <w:rPr>
                <w:b/>
                <w:sz w:val="18"/>
                <w:szCs w:val="18"/>
              </w:rPr>
            </w:pPr>
            <w:r w:rsidRPr="009F35C6">
              <w:rPr>
                <w:b/>
                <w:sz w:val="18"/>
              </w:rPr>
              <w:t>99</w:t>
            </w:r>
          </w:p>
        </w:tc>
        <w:tc>
          <w:tcPr>
            <w:tcW w:w="1115" w:type="dxa"/>
            <w:shd w:val="clear" w:color="auto" w:fill="E6E6E6"/>
          </w:tcPr>
          <w:p w:rsidR="001615FB" w:rsidRPr="009F35C6" w:rsidRDefault="001615FB" w:rsidP="000A18CF">
            <w:pPr>
              <w:jc w:val="both"/>
              <w:rPr>
                <w:sz w:val="18"/>
                <w:szCs w:val="18"/>
              </w:rPr>
            </w:pPr>
            <w:r w:rsidRPr="009F35C6">
              <w:rPr>
                <w:sz w:val="18"/>
              </w:rPr>
              <w:t>0</w:t>
            </w:r>
          </w:p>
        </w:tc>
        <w:tc>
          <w:tcPr>
            <w:tcW w:w="967" w:type="dxa"/>
            <w:shd w:val="clear" w:color="auto" w:fill="E6E6E6"/>
          </w:tcPr>
          <w:p w:rsidR="001615FB" w:rsidRPr="009F35C6" w:rsidRDefault="001615FB" w:rsidP="000A18CF">
            <w:pPr>
              <w:jc w:val="both"/>
              <w:rPr>
                <w:sz w:val="18"/>
                <w:szCs w:val="18"/>
              </w:rPr>
            </w:pPr>
            <w:r w:rsidRPr="009F35C6">
              <w:rPr>
                <w:sz w:val="18"/>
              </w:rPr>
              <w:t>28</w:t>
            </w:r>
          </w:p>
        </w:tc>
        <w:tc>
          <w:tcPr>
            <w:tcW w:w="694" w:type="dxa"/>
            <w:shd w:val="clear" w:color="auto" w:fill="E6E6E6"/>
          </w:tcPr>
          <w:p w:rsidR="001615FB" w:rsidRPr="009F35C6" w:rsidRDefault="001615FB" w:rsidP="000A18CF">
            <w:pPr>
              <w:jc w:val="both"/>
              <w:rPr>
                <w:b/>
                <w:sz w:val="18"/>
                <w:szCs w:val="18"/>
              </w:rPr>
            </w:pPr>
            <w:r w:rsidRPr="009F35C6">
              <w:rPr>
                <w:b/>
                <w:sz w:val="18"/>
              </w:rPr>
              <w:t>28</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0</w:t>
            </w:r>
          </w:p>
        </w:tc>
        <w:tc>
          <w:tcPr>
            <w:tcW w:w="694" w:type="dxa"/>
          </w:tcPr>
          <w:p w:rsidR="001615FB" w:rsidRPr="009F35C6" w:rsidRDefault="001615FB" w:rsidP="000A18CF">
            <w:pPr>
              <w:jc w:val="both"/>
              <w:rPr>
                <w:b/>
                <w:sz w:val="18"/>
                <w:szCs w:val="18"/>
              </w:rPr>
            </w:pPr>
            <w:r w:rsidRPr="009F35C6">
              <w:rPr>
                <w:b/>
                <w:sz w:val="18"/>
              </w:rPr>
              <w:t>0</w:t>
            </w:r>
          </w:p>
        </w:tc>
        <w:tc>
          <w:tcPr>
            <w:tcW w:w="967" w:type="dxa"/>
            <w:shd w:val="clear" w:color="auto" w:fill="E6E6E6"/>
          </w:tcPr>
          <w:p w:rsidR="001615FB" w:rsidRPr="009F35C6" w:rsidRDefault="001615FB" w:rsidP="000A18CF">
            <w:pPr>
              <w:jc w:val="both"/>
              <w:rPr>
                <w:sz w:val="18"/>
                <w:szCs w:val="18"/>
              </w:rPr>
            </w:pPr>
            <w:r w:rsidRPr="009F35C6">
              <w:rPr>
                <w:sz w:val="18"/>
              </w:rPr>
              <w:t>10</w:t>
            </w:r>
          </w:p>
        </w:tc>
        <w:tc>
          <w:tcPr>
            <w:tcW w:w="1139" w:type="dxa"/>
            <w:shd w:val="clear" w:color="auto" w:fill="E6E6E6"/>
          </w:tcPr>
          <w:p w:rsidR="001615FB" w:rsidRPr="009F35C6" w:rsidRDefault="001615FB" w:rsidP="000A18CF">
            <w:pPr>
              <w:jc w:val="both"/>
              <w:rPr>
                <w:sz w:val="18"/>
                <w:szCs w:val="18"/>
              </w:rPr>
            </w:pPr>
            <w:r w:rsidRPr="009F35C6">
              <w:rPr>
                <w:sz w:val="18"/>
              </w:rPr>
              <w:t>51</w:t>
            </w:r>
          </w:p>
        </w:tc>
        <w:tc>
          <w:tcPr>
            <w:tcW w:w="694" w:type="dxa"/>
            <w:shd w:val="clear" w:color="auto" w:fill="E6E6E6"/>
          </w:tcPr>
          <w:p w:rsidR="001615FB" w:rsidRPr="009F35C6" w:rsidRDefault="001615FB" w:rsidP="000A18CF">
            <w:pPr>
              <w:jc w:val="both"/>
              <w:rPr>
                <w:b/>
                <w:sz w:val="18"/>
                <w:szCs w:val="18"/>
              </w:rPr>
            </w:pPr>
            <w:r w:rsidRPr="009F35C6">
              <w:rPr>
                <w:b/>
                <w:sz w:val="18"/>
              </w:rPr>
              <w:t>61</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2009</w:t>
            </w:r>
          </w:p>
        </w:tc>
        <w:tc>
          <w:tcPr>
            <w:tcW w:w="967" w:type="dxa"/>
            <w:shd w:val="clear" w:color="auto" w:fill="E6E6E6"/>
          </w:tcPr>
          <w:p w:rsidR="001615FB" w:rsidRPr="009F35C6" w:rsidRDefault="001615FB" w:rsidP="000A18CF">
            <w:pPr>
              <w:jc w:val="both"/>
              <w:rPr>
                <w:sz w:val="18"/>
                <w:szCs w:val="18"/>
              </w:rPr>
            </w:pPr>
            <w:r w:rsidRPr="009F35C6">
              <w:rPr>
                <w:sz w:val="18"/>
              </w:rPr>
              <w:t>19</w:t>
            </w:r>
          </w:p>
        </w:tc>
        <w:tc>
          <w:tcPr>
            <w:tcW w:w="967" w:type="dxa"/>
            <w:shd w:val="clear" w:color="auto" w:fill="E6E6E6"/>
          </w:tcPr>
          <w:p w:rsidR="001615FB" w:rsidRPr="009F35C6" w:rsidRDefault="001615FB" w:rsidP="000A18CF">
            <w:pPr>
              <w:jc w:val="both"/>
              <w:rPr>
                <w:sz w:val="18"/>
                <w:szCs w:val="18"/>
              </w:rPr>
            </w:pPr>
            <w:r w:rsidRPr="009F35C6">
              <w:rPr>
                <w:sz w:val="18"/>
              </w:rPr>
              <w:t>186</w:t>
            </w:r>
          </w:p>
        </w:tc>
        <w:tc>
          <w:tcPr>
            <w:tcW w:w="693" w:type="dxa"/>
            <w:shd w:val="clear" w:color="auto" w:fill="E6E6E6"/>
          </w:tcPr>
          <w:p w:rsidR="001615FB" w:rsidRPr="009F35C6" w:rsidRDefault="001615FB" w:rsidP="000A18CF">
            <w:pPr>
              <w:jc w:val="both"/>
              <w:rPr>
                <w:b/>
                <w:sz w:val="18"/>
                <w:szCs w:val="18"/>
              </w:rPr>
            </w:pPr>
            <w:r w:rsidRPr="009F35C6">
              <w:rPr>
                <w:b/>
                <w:sz w:val="18"/>
              </w:rPr>
              <w:t>205</w:t>
            </w:r>
          </w:p>
        </w:tc>
        <w:tc>
          <w:tcPr>
            <w:tcW w:w="1040" w:type="dxa"/>
          </w:tcPr>
          <w:p w:rsidR="001615FB" w:rsidRPr="009F35C6" w:rsidRDefault="001615FB" w:rsidP="000A18CF">
            <w:pPr>
              <w:jc w:val="both"/>
              <w:rPr>
                <w:sz w:val="18"/>
                <w:szCs w:val="18"/>
              </w:rPr>
            </w:pPr>
            <w:r w:rsidRPr="009F35C6">
              <w:rPr>
                <w:sz w:val="18"/>
              </w:rPr>
              <w:t>9</w:t>
            </w:r>
          </w:p>
        </w:tc>
        <w:tc>
          <w:tcPr>
            <w:tcW w:w="967" w:type="dxa"/>
          </w:tcPr>
          <w:p w:rsidR="001615FB" w:rsidRPr="009F35C6" w:rsidRDefault="001615FB" w:rsidP="000A18CF">
            <w:pPr>
              <w:jc w:val="both"/>
              <w:rPr>
                <w:sz w:val="18"/>
                <w:szCs w:val="18"/>
              </w:rPr>
            </w:pPr>
            <w:r w:rsidRPr="009F35C6">
              <w:rPr>
                <w:sz w:val="18"/>
              </w:rPr>
              <w:t>111</w:t>
            </w:r>
          </w:p>
        </w:tc>
        <w:tc>
          <w:tcPr>
            <w:tcW w:w="694" w:type="dxa"/>
          </w:tcPr>
          <w:p w:rsidR="001615FB" w:rsidRPr="009F35C6" w:rsidRDefault="001615FB" w:rsidP="000A18CF">
            <w:pPr>
              <w:jc w:val="both"/>
              <w:rPr>
                <w:b/>
                <w:sz w:val="18"/>
                <w:szCs w:val="18"/>
              </w:rPr>
            </w:pPr>
            <w:r w:rsidRPr="009F35C6">
              <w:rPr>
                <w:b/>
                <w:sz w:val="18"/>
              </w:rPr>
              <w:t>120</w:t>
            </w:r>
          </w:p>
        </w:tc>
        <w:tc>
          <w:tcPr>
            <w:tcW w:w="1115" w:type="dxa"/>
            <w:shd w:val="clear" w:color="auto" w:fill="E6E6E6"/>
          </w:tcPr>
          <w:p w:rsidR="001615FB" w:rsidRPr="009F35C6" w:rsidRDefault="001615FB" w:rsidP="000A18CF">
            <w:pPr>
              <w:jc w:val="both"/>
              <w:rPr>
                <w:sz w:val="18"/>
                <w:szCs w:val="18"/>
              </w:rPr>
            </w:pPr>
            <w:r w:rsidRPr="009F35C6">
              <w:rPr>
                <w:sz w:val="18"/>
              </w:rPr>
              <w:t>1</w:t>
            </w:r>
          </w:p>
        </w:tc>
        <w:tc>
          <w:tcPr>
            <w:tcW w:w="967" w:type="dxa"/>
            <w:shd w:val="clear" w:color="auto" w:fill="E6E6E6"/>
          </w:tcPr>
          <w:p w:rsidR="001615FB" w:rsidRPr="009F35C6" w:rsidRDefault="001615FB" w:rsidP="000A18CF">
            <w:pPr>
              <w:jc w:val="both"/>
              <w:rPr>
                <w:sz w:val="18"/>
                <w:szCs w:val="18"/>
              </w:rPr>
            </w:pPr>
            <w:r w:rsidRPr="009F35C6">
              <w:rPr>
                <w:sz w:val="18"/>
              </w:rPr>
              <w:t>40</w:t>
            </w:r>
          </w:p>
        </w:tc>
        <w:tc>
          <w:tcPr>
            <w:tcW w:w="694" w:type="dxa"/>
            <w:shd w:val="clear" w:color="auto" w:fill="E6E6E6"/>
          </w:tcPr>
          <w:p w:rsidR="001615FB" w:rsidRPr="009F35C6" w:rsidRDefault="001615FB" w:rsidP="000A18CF">
            <w:pPr>
              <w:jc w:val="both"/>
              <w:rPr>
                <w:b/>
                <w:sz w:val="18"/>
                <w:szCs w:val="18"/>
              </w:rPr>
            </w:pPr>
            <w:r w:rsidRPr="009F35C6">
              <w:rPr>
                <w:b/>
                <w:sz w:val="18"/>
              </w:rPr>
              <w:t>41</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0</w:t>
            </w:r>
          </w:p>
        </w:tc>
        <w:tc>
          <w:tcPr>
            <w:tcW w:w="694" w:type="dxa"/>
          </w:tcPr>
          <w:p w:rsidR="001615FB" w:rsidRPr="009F35C6" w:rsidRDefault="001615FB" w:rsidP="000A18CF">
            <w:pPr>
              <w:jc w:val="both"/>
              <w:rPr>
                <w:b/>
                <w:sz w:val="18"/>
                <w:szCs w:val="18"/>
              </w:rPr>
            </w:pPr>
            <w:r w:rsidRPr="009F35C6">
              <w:rPr>
                <w:b/>
                <w:sz w:val="18"/>
              </w:rPr>
              <w:t>0</w:t>
            </w:r>
          </w:p>
        </w:tc>
        <w:tc>
          <w:tcPr>
            <w:tcW w:w="967" w:type="dxa"/>
            <w:shd w:val="clear" w:color="auto" w:fill="E6E6E6"/>
          </w:tcPr>
          <w:p w:rsidR="001615FB" w:rsidRPr="009F35C6" w:rsidRDefault="001615FB" w:rsidP="000A18CF">
            <w:pPr>
              <w:jc w:val="both"/>
              <w:rPr>
                <w:sz w:val="18"/>
                <w:szCs w:val="18"/>
              </w:rPr>
            </w:pPr>
            <w:r w:rsidRPr="009F35C6">
              <w:rPr>
                <w:sz w:val="18"/>
              </w:rPr>
              <w:t>8</w:t>
            </w:r>
          </w:p>
        </w:tc>
        <w:tc>
          <w:tcPr>
            <w:tcW w:w="1139" w:type="dxa"/>
            <w:shd w:val="clear" w:color="auto" w:fill="E6E6E6"/>
          </w:tcPr>
          <w:p w:rsidR="001615FB" w:rsidRPr="009F35C6" w:rsidRDefault="001615FB" w:rsidP="000A18CF">
            <w:pPr>
              <w:jc w:val="both"/>
              <w:rPr>
                <w:sz w:val="18"/>
                <w:szCs w:val="18"/>
              </w:rPr>
            </w:pPr>
            <w:r w:rsidRPr="009F35C6">
              <w:rPr>
                <w:sz w:val="18"/>
              </w:rPr>
              <w:t>68</w:t>
            </w:r>
          </w:p>
        </w:tc>
        <w:tc>
          <w:tcPr>
            <w:tcW w:w="694" w:type="dxa"/>
            <w:shd w:val="clear" w:color="auto" w:fill="E6E6E6"/>
          </w:tcPr>
          <w:p w:rsidR="001615FB" w:rsidRPr="009F35C6" w:rsidRDefault="001615FB" w:rsidP="000A18CF">
            <w:pPr>
              <w:jc w:val="both"/>
              <w:rPr>
                <w:b/>
                <w:sz w:val="18"/>
                <w:szCs w:val="18"/>
              </w:rPr>
            </w:pPr>
            <w:r w:rsidRPr="009F35C6">
              <w:rPr>
                <w:b/>
                <w:sz w:val="18"/>
              </w:rPr>
              <w:t>76</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2010</w:t>
            </w:r>
          </w:p>
        </w:tc>
        <w:tc>
          <w:tcPr>
            <w:tcW w:w="967" w:type="dxa"/>
            <w:shd w:val="clear" w:color="auto" w:fill="E6E6E6"/>
          </w:tcPr>
          <w:p w:rsidR="001615FB" w:rsidRPr="009F35C6" w:rsidRDefault="001615FB" w:rsidP="000A18CF">
            <w:pPr>
              <w:jc w:val="both"/>
              <w:rPr>
                <w:sz w:val="18"/>
                <w:szCs w:val="18"/>
              </w:rPr>
            </w:pPr>
            <w:r w:rsidRPr="009F35C6">
              <w:rPr>
                <w:sz w:val="18"/>
              </w:rPr>
              <w:t>6</w:t>
            </w:r>
          </w:p>
        </w:tc>
        <w:tc>
          <w:tcPr>
            <w:tcW w:w="967" w:type="dxa"/>
            <w:shd w:val="clear" w:color="auto" w:fill="E6E6E6"/>
          </w:tcPr>
          <w:p w:rsidR="001615FB" w:rsidRPr="009F35C6" w:rsidRDefault="001615FB" w:rsidP="000A18CF">
            <w:pPr>
              <w:jc w:val="both"/>
              <w:rPr>
                <w:sz w:val="18"/>
                <w:szCs w:val="18"/>
              </w:rPr>
            </w:pPr>
            <w:r w:rsidRPr="009F35C6">
              <w:rPr>
                <w:sz w:val="18"/>
              </w:rPr>
              <w:t>238</w:t>
            </w:r>
          </w:p>
        </w:tc>
        <w:tc>
          <w:tcPr>
            <w:tcW w:w="693" w:type="dxa"/>
            <w:shd w:val="clear" w:color="auto" w:fill="E6E6E6"/>
          </w:tcPr>
          <w:p w:rsidR="001615FB" w:rsidRPr="009F35C6" w:rsidRDefault="001615FB" w:rsidP="000A18CF">
            <w:pPr>
              <w:jc w:val="both"/>
              <w:rPr>
                <w:b/>
                <w:sz w:val="18"/>
                <w:szCs w:val="18"/>
              </w:rPr>
            </w:pPr>
            <w:r w:rsidRPr="009F35C6">
              <w:rPr>
                <w:b/>
                <w:sz w:val="18"/>
              </w:rPr>
              <w:t>244</w:t>
            </w:r>
          </w:p>
        </w:tc>
        <w:tc>
          <w:tcPr>
            <w:tcW w:w="1040" w:type="dxa"/>
          </w:tcPr>
          <w:p w:rsidR="001615FB" w:rsidRPr="009F35C6" w:rsidRDefault="001615FB" w:rsidP="000A18CF">
            <w:pPr>
              <w:jc w:val="both"/>
              <w:rPr>
                <w:sz w:val="18"/>
                <w:szCs w:val="18"/>
              </w:rPr>
            </w:pPr>
            <w:r w:rsidRPr="009F35C6">
              <w:rPr>
                <w:sz w:val="18"/>
              </w:rPr>
              <w:t>1</w:t>
            </w:r>
          </w:p>
        </w:tc>
        <w:tc>
          <w:tcPr>
            <w:tcW w:w="967" w:type="dxa"/>
          </w:tcPr>
          <w:p w:rsidR="001615FB" w:rsidRPr="009F35C6" w:rsidRDefault="001615FB" w:rsidP="000A18CF">
            <w:pPr>
              <w:jc w:val="both"/>
              <w:rPr>
                <w:sz w:val="18"/>
                <w:szCs w:val="18"/>
              </w:rPr>
            </w:pPr>
            <w:r w:rsidRPr="009F35C6">
              <w:rPr>
                <w:sz w:val="18"/>
              </w:rPr>
              <w:t>96</w:t>
            </w:r>
          </w:p>
        </w:tc>
        <w:tc>
          <w:tcPr>
            <w:tcW w:w="694" w:type="dxa"/>
          </w:tcPr>
          <w:p w:rsidR="001615FB" w:rsidRPr="009F35C6" w:rsidRDefault="001615FB" w:rsidP="000A18CF">
            <w:pPr>
              <w:jc w:val="both"/>
              <w:rPr>
                <w:b/>
                <w:sz w:val="18"/>
                <w:szCs w:val="18"/>
              </w:rPr>
            </w:pPr>
            <w:r w:rsidRPr="009F35C6">
              <w:rPr>
                <w:b/>
                <w:sz w:val="18"/>
              </w:rPr>
              <w:t>97</w:t>
            </w:r>
          </w:p>
        </w:tc>
        <w:tc>
          <w:tcPr>
            <w:tcW w:w="1115" w:type="dxa"/>
            <w:shd w:val="clear" w:color="auto" w:fill="E6E6E6"/>
          </w:tcPr>
          <w:p w:rsidR="001615FB" w:rsidRPr="009F35C6" w:rsidRDefault="001615FB" w:rsidP="000A18CF">
            <w:pPr>
              <w:jc w:val="both"/>
              <w:rPr>
                <w:sz w:val="18"/>
                <w:szCs w:val="18"/>
              </w:rPr>
            </w:pPr>
            <w:r w:rsidRPr="009F35C6">
              <w:rPr>
                <w:sz w:val="18"/>
              </w:rPr>
              <w:t>0</w:t>
            </w:r>
          </w:p>
        </w:tc>
        <w:tc>
          <w:tcPr>
            <w:tcW w:w="967" w:type="dxa"/>
            <w:shd w:val="clear" w:color="auto" w:fill="E6E6E6"/>
          </w:tcPr>
          <w:p w:rsidR="001615FB" w:rsidRPr="009F35C6" w:rsidRDefault="001615FB" w:rsidP="000A18CF">
            <w:pPr>
              <w:jc w:val="both"/>
              <w:rPr>
                <w:sz w:val="18"/>
                <w:szCs w:val="18"/>
              </w:rPr>
            </w:pPr>
            <w:r w:rsidRPr="009F35C6">
              <w:rPr>
                <w:sz w:val="18"/>
              </w:rPr>
              <w:t>70</w:t>
            </w:r>
          </w:p>
        </w:tc>
        <w:tc>
          <w:tcPr>
            <w:tcW w:w="694" w:type="dxa"/>
            <w:shd w:val="clear" w:color="auto" w:fill="E6E6E6"/>
          </w:tcPr>
          <w:p w:rsidR="001615FB" w:rsidRPr="009F35C6" w:rsidRDefault="001615FB" w:rsidP="000A18CF">
            <w:pPr>
              <w:jc w:val="both"/>
              <w:rPr>
                <w:b/>
                <w:sz w:val="18"/>
                <w:szCs w:val="18"/>
              </w:rPr>
            </w:pPr>
            <w:r w:rsidRPr="009F35C6">
              <w:rPr>
                <w:b/>
                <w:sz w:val="18"/>
              </w:rPr>
              <w:t>70</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2</w:t>
            </w:r>
          </w:p>
        </w:tc>
        <w:tc>
          <w:tcPr>
            <w:tcW w:w="694" w:type="dxa"/>
          </w:tcPr>
          <w:p w:rsidR="001615FB" w:rsidRPr="009F35C6" w:rsidRDefault="001615FB" w:rsidP="000A18CF">
            <w:pPr>
              <w:jc w:val="both"/>
              <w:rPr>
                <w:b/>
                <w:sz w:val="18"/>
                <w:szCs w:val="18"/>
              </w:rPr>
            </w:pPr>
            <w:r w:rsidRPr="009F35C6">
              <w:rPr>
                <w:b/>
                <w:sz w:val="18"/>
              </w:rPr>
              <w:t>2</w:t>
            </w:r>
          </w:p>
        </w:tc>
        <w:tc>
          <w:tcPr>
            <w:tcW w:w="967" w:type="dxa"/>
            <w:shd w:val="clear" w:color="auto" w:fill="E6E6E6"/>
          </w:tcPr>
          <w:p w:rsidR="001615FB" w:rsidRPr="009F35C6" w:rsidRDefault="001615FB" w:rsidP="000A18CF">
            <w:pPr>
              <w:jc w:val="both"/>
              <w:rPr>
                <w:sz w:val="18"/>
                <w:szCs w:val="18"/>
              </w:rPr>
            </w:pPr>
            <w:r w:rsidRPr="009F35C6">
              <w:rPr>
                <w:sz w:val="18"/>
              </w:rPr>
              <w:t>7</w:t>
            </w:r>
          </w:p>
        </w:tc>
        <w:tc>
          <w:tcPr>
            <w:tcW w:w="1139" w:type="dxa"/>
            <w:shd w:val="clear" w:color="auto" w:fill="E6E6E6"/>
          </w:tcPr>
          <w:p w:rsidR="001615FB" w:rsidRPr="009F35C6" w:rsidRDefault="001615FB" w:rsidP="000A18CF">
            <w:pPr>
              <w:jc w:val="both"/>
              <w:rPr>
                <w:sz w:val="18"/>
                <w:szCs w:val="18"/>
              </w:rPr>
            </w:pPr>
            <w:r w:rsidRPr="009F35C6">
              <w:rPr>
                <w:sz w:val="18"/>
              </w:rPr>
              <w:t>160</w:t>
            </w:r>
          </w:p>
        </w:tc>
        <w:tc>
          <w:tcPr>
            <w:tcW w:w="694" w:type="dxa"/>
            <w:shd w:val="clear" w:color="auto" w:fill="E6E6E6"/>
          </w:tcPr>
          <w:p w:rsidR="001615FB" w:rsidRPr="009F35C6" w:rsidRDefault="001615FB" w:rsidP="000A18CF">
            <w:pPr>
              <w:jc w:val="both"/>
              <w:rPr>
                <w:b/>
                <w:sz w:val="18"/>
                <w:szCs w:val="18"/>
              </w:rPr>
            </w:pPr>
            <w:r w:rsidRPr="009F35C6">
              <w:rPr>
                <w:b/>
                <w:sz w:val="18"/>
              </w:rPr>
              <w:t>167</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2011</w:t>
            </w:r>
          </w:p>
        </w:tc>
        <w:tc>
          <w:tcPr>
            <w:tcW w:w="967" w:type="dxa"/>
            <w:shd w:val="clear" w:color="auto" w:fill="E6E6E6"/>
          </w:tcPr>
          <w:p w:rsidR="001615FB" w:rsidRPr="009F35C6" w:rsidRDefault="001615FB" w:rsidP="000A18CF">
            <w:pPr>
              <w:jc w:val="both"/>
              <w:rPr>
                <w:sz w:val="18"/>
                <w:szCs w:val="18"/>
              </w:rPr>
            </w:pPr>
            <w:r w:rsidRPr="009F35C6">
              <w:rPr>
                <w:sz w:val="18"/>
              </w:rPr>
              <w:t>18</w:t>
            </w:r>
          </w:p>
        </w:tc>
        <w:tc>
          <w:tcPr>
            <w:tcW w:w="967" w:type="dxa"/>
            <w:shd w:val="clear" w:color="auto" w:fill="E6E6E6"/>
          </w:tcPr>
          <w:p w:rsidR="001615FB" w:rsidRPr="009F35C6" w:rsidRDefault="001615FB" w:rsidP="000A18CF">
            <w:pPr>
              <w:jc w:val="both"/>
              <w:rPr>
                <w:sz w:val="18"/>
                <w:szCs w:val="18"/>
              </w:rPr>
            </w:pPr>
            <w:r w:rsidRPr="009F35C6">
              <w:rPr>
                <w:sz w:val="18"/>
              </w:rPr>
              <w:t>205</w:t>
            </w:r>
          </w:p>
        </w:tc>
        <w:tc>
          <w:tcPr>
            <w:tcW w:w="693" w:type="dxa"/>
            <w:shd w:val="clear" w:color="auto" w:fill="E6E6E6"/>
          </w:tcPr>
          <w:p w:rsidR="001615FB" w:rsidRPr="009F35C6" w:rsidRDefault="001615FB" w:rsidP="000A18CF">
            <w:pPr>
              <w:jc w:val="both"/>
              <w:rPr>
                <w:b/>
                <w:sz w:val="18"/>
                <w:szCs w:val="18"/>
              </w:rPr>
            </w:pPr>
            <w:r w:rsidRPr="009F35C6">
              <w:rPr>
                <w:b/>
                <w:sz w:val="18"/>
              </w:rPr>
              <w:t>223</w:t>
            </w:r>
          </w:p>
        </w:tc>
        <w:tc>
          <w:tcPr>
            <w:tcW w:w="1040" w:type="dxa"/>
          </w:tcPr>
          <w:p w:rsidR="001615FB" w:rsidRPr="009F35C6" w:rsidRDefault="001615FB" w:rsidP="000A18CF">
            <w:pPr>
              <w:jc w:val="both"/>
              <w:rPr>
                <w:sz w:val="18"/>
                <w:szCs w:val="18"/>
              </w:rPr>
            </w:pPr>
            <w:r w:rsidRPr="009F35C6">
              <w:rPr>
                <w:sz w:val="18"/>
              </w:rPr>
              <w:t>10</w:t>
            </w:r>
          </w:p>
        </w:tc>
        <w:tc>
          <w:tcPr>
            <w:tcW w:w="967" w:type="dxa"/>
          </w:tcPr>
          <w:p w:rsidR="001615FB" w:rsidRPr="009F35C6" w:rsidRDefault="001615FB" w:rsidP="000A18CF">
            <w:pPr>
              <w:jc w:val="both"/>
              <w:rPr>
                <w:sz w:val="18"/>
                <w:szCs w:val="18"/>
              </w:rPr>
            </w:pPr>
            <w:r w:rsidRPr="009F35C6">
              <w:rPr>
                <w:sz w:val="18"/>
              </w:rPr>
              <w:t>85</w:t>
            </w:r>
          </w:p>
        </w:tc>
        <w:tc>
          <w:tcPr>
            <w:tcW w:w="694" w:type="dxa"/>
          </w:tcPr>
          <w:p w:rsidR="001615FB" w:rsidRPr="009F35C6" w:rsidRDefault="001615FB" w:rsidP="000A18CF">
            <w:pPr>
              <w:jc w:val="both"/>
              <w:rPr>
                <w:b/>
                <w:sz w:val="18"/>
                <w:szCs w:val="18"/>
              </w:rPr>
            </w:pPr>
            <w:r w:rsidRPr="009F35C6">
              <w:rPr>
                <w:b/>
                <w:sz w:val="18"/>
              </w:rPr>
              <w:t>95</w:t>
            </w:r>
          </w:p>
        </w:tc>
        <w:tc>
          <w:tcPr>
            <w:tcW w:w="1115" w:type="dxa"/>
            <w:shd w:val="clear" w:color="auto" w:fill="E6E6E6"/>
          </w:tcPr>
          <w:p w:rsidR="001615FB" w:rsidRPr="009F35C6" w:rsidRDefault="001615FB" w:rsidP="000A18CF">
            <w:pPr>
              <w:jc w:val="both"/>
              <w:rPr>
                <w:sz w:val="18"/>
                <w:szCs w:val="18"/>
              </w:rPr>
            </w:pPr>
            <w:r w:rsidRPr="009F35C6">
              <w:rPr>
                <w:sz w:val="18"/>
              </w:rPr>
              <w:t>1</w:t>
            </w:r>
          </w:p>
        </w:tc>
        <w:tc>
          <w:tcPr>
            <w:tcW w:w="967" w:type="dxa"/>
            <w:shd w:val="clear" w:color="auto" w:fill="E6E6E6"/>
          </w:tcPr>
          <w:p w:rsidR="001615FB" w:rsidRPr="009F35C6" w:rsidRDefault="001615FB" w:rsidP="000A18CF">
            <w:pPr>
              <w:jc w:val="both"/>
              <w:rPr>
                <w:sz w:val="18"/>
                <w:szCs w:val="18"/>
              </w:rPr>
            </w:pPr>
            <w:r w:rsidRPr="009F35C6">
              <w:rPr>
                <w:sz w:val="18"/>
              </w:rPr>
              <w:t>65</w:t>
            </w:r>
          </w:p>
        </w:tc>
        <w:tc>
          <w:tcPr>
            <w:tcW w:w="694" w:type="dxa"/>
            <w:shd w:val="clear" w:color="auto" w:fill="E6E6E6"/>
          </w:tcPr>
          <w:p w:rsidR="001615FB" w:rsidRPr="009F35C6" w:rsidRDefault="001615FB" w:rsidP="000A18CF">
            <w:pPr>
              <w:jc w:val="both"/>
              <w:rPr>
                <w:b/>
                <w:sz w:val="18"/>
                <w:szCs w:val="18"/>
              </w:rPr>
            </w:pPr>
            <w:r w:rsidRPr="009F35C6">
              <w:rPr>
                <w:b/>
                <w:sz w:val="18"/>
              </w:rPr>
              <w:t>66</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0</w:t>
            </w:r>
          </w:p>
        </w:tc>
        <w:tc>
          <w:tcPr>
            <w:tcW w:w="694" w:type="dxa"/>
          </w:tcPr>
          <w:p w:rsidR="001615FB" w:rsidRPr="009F35C6" w:rsidRDefault="001615FB" w:rsidP="000A18CF">
            <w:pPr>
              <w:jc w:val="both"/>
              <w:rPr>
                <w:b/>
                <w:sz w:val="18"/>
                <w:szCs w:val="18"/>
              </w:rPr>
            </w:pPr>
            <w:r w:rsidRPr="009F35C6">
              <w:rPr>
                <w:b/>
                <w:sz w:val="18"/>
              </w:rPr>
              <w:t>0</w:t>
            </w:r>
          </w:p>
        </w:tc>
        <w:tc>
          <w:tcPr>
            <w:tcW w:w="967" w:type="dxa"/>
            <w:shd w:val="clear" w:color="auto" w:fill="E6E6E6"/>
          </w:tcPr>
          <w:p w:rsidR="001615FB" w:rsidRPr="009F35C6" w:rsidRDefault="001615FB" w:rsidP="000A18CF">
            <w:pPr>
              <w:jc w:val="both"/>
              <w:rPr>
                <w:sz w:val="18"/>
                <w:szCs w:val="18"/>
              </w:rPr>
            </w:pPr>
            <w:r w:rsidRPr="009F35C6">
              <w:rPr>
                <w:sz w:val="18"/>
              </w:rPr>
              <w:t>8</w:t>
            </w:r>
          </w:p>
        </w:tc>
        <w:tc>
          <w:tcPr>
            <w:tcW w:w="1139" w:type="dxa"/>
            <w:shd w:val="clear" w:color="auto" w:fill="E6E6E6"/>
          </w:tcPr>
          <w:p w:rsidR="001615FB" w:rsidRPr="009F35C6" w:rsidRDefault="001615FB" w:rsidP="000A18CF">
            <w:pPr>
              <w:jc w:val="both"/>
              <w:rPr>
                <w:sz w:val="18"/>
                <w:szCs w:val="18"/>
              </w:rPr>
            </w:pPr>
            <w:r w:rsidRPr="009F35C6">
              <w:rPr>
                <w:sz w:val="18"/>
              </w:rPr>
              <w:t>122</w:t>
            </w:r>
          </w:p>
        </w:tc>
        <w:tc>
          <w:tcPr>
            <w:tcW w:w="694" w:type="dxa"/>
            <w:shd w:val="clear" w:color="auto" w:fill="E6E6E6"/>
          </w:tcPr>
          <w:p w:rsidR="001615FB" w:rsidRPr="009F35C6" w:rsidRDefault="001615FB" w:rsidP="000A18CF">
            <w:pPr>
              <w:jc w:val="both"/>
              <w:rPr>
                <w:b/>
                <w:sz w:val="18"/>
                <w:szCs w:val="18"/>
              </w:rPr>
            </w:pPr>
            <w:r w:rsidRPr="009F35C6">
              <w:rPr>
                <w:b/>
                <w:sz w:val="18"/>
              </w:rPr>
              <w:t>130</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2012</w:t>
            </w:r>
          </w:p>
        </w:tc>
        <w:tc>
          <w:tcPr>
            <w:tcW w:w="967" w:type="dxa"/>
            <w:shd w:val="clear" w:color="auto" w:fill="E6E6E6"/>
          </w:tcPr>
          <w:p w:rsidR="001615FB" w:rsidRPr="009F35C6" w:rsidRDefault="001615FB" w:rsidP="000A18CF">
            <w:pPr>
              <w:jc w:val="both"/>
              <w:rPr>
                <w:sz w:val="18"/>
                <w:szCs w:val="18"/>
              </w:rPr>
            </w:pPr>
            <w:r w:rsidRPr="009F35C6">
              <w:rPr>
                <w:sz w:val="18"/>
              </w:rPr>
              <w:t>2</w:t>
            </w:r>
          </w:p>
        </w:tc>
        <w:tc>
          <w:tcPr>
            <w:tcW w:w="967" w:type="dxa"/>
            <w:shd w:val="clear" w:color="auto" w:fill="E6E6E6"/>
          </w:tcPr>
          <w:p w:rsidR="001615FB" w:rsidRPr="009F35C6" w:rsidRDefault="001615FB" w:rsidP="000A18CF">
            <w:pPr>
              <w:jc w:val="both"/>
              <w:rPr>
                <w:sz w:val="18"/>
                <w:szCs w:val="18"/>
              </w:rPr>
            </w:pPr>
            <w:r w:rsidRPr="009F35C6">
              <w:rPr>
                <w:sz w:val="18"/>
              </w:rPr>
              <w:t>191</w:t>
            </w:r>
          </w:p>
        </w:tc>
        <w:tc>
          <w:tcPr>
            <w:tcW w:w="693" w:type="dxa"/>
            <w:shd w:val="clear" w:color="auto" w:fill="E6E6E6"/>
          </w:tcPr>
          <w:p w:rsidR="001615FB" w:rsidRPr="009F35C6" w:rsidRDefault="001615FB" w:rsidP="000A18CF">
            <w:pPr>
              <w:jc w:val="both"/>
              <w:rPr>
                <w:b/>
                <w:sz w:val="18"/>
                <w:szCs w:val="18"/>
              </w:rPr>
            </w:pPr>
            <w:r w:rsidRPr="009F35C6">
              <w:rPr>
                <w:b/>
                <w:sz w:val="18"/>
              </w:rPr>
              <w:t>193</w:t>
            </w:r>
          </w:p>
        </w:tc>
        <w:tc>
          <w:tcPr>
            <w:tcW w:w="1040" w:type="dxa"/>
          </w:tcPr>
          <w:p w:rsidR="001615FB" w:rsidRPr="009F35C6" w:rsidRDefault="001615FB" w:rsidP="000A18CF">
            <w:pPr>
              <w:jc w:val="both"/>
              <w:rPr>
                <w:sz w:val="18"/>
                <w:szCs w:val="18"/>
              </w:rPr>
            </w:pPr>
            <w:r w:rsidRPr="009F35C6">
              <w:rPr>
                <w:sz w:val="18"/>
              </w:rPr>
              <w:t>1</w:t>
            </w:r>
          </w:p>
        </w:tc>
        <w:tc>
          <w:tcPr>
            <w:tcW w:w="967" w:type="dxa"/>
          </w:tcPr>
          <w:p w:rsidR="001615FB" w:rsidRPr="009F35C6" w:rsidRDefault="001615FB" w:rsidP="000A18CF">
            <w:pPr>
              <w:jc w:val="both"/>
              <w:rPr>
                <w:sz w:val="18"/>
                <w:szCs w:val="18"/>
              </w:rPr>
            </w:pPr>
            <w:r w:rsidRPr="009F35C6">
              <w:rPr>
                <w:sz w:val="18"/>
              </w:rPr>
              <w:t>82</w:t>
            </w:r>
          </w:p>
        </w:tc>
        <w:tc>
          <w:tcPr>
            <w:tcW w:w="694" w:type="dxa"/>
          </w:tcPr>
          <w:p w:rsidR="001615FB" w:rsidRPr="009F35C6" w:rsidRDefault="001615FB" w:rsidP="000A18CF">
            <w:pPr>
              <w:jc w:val="both"/>
              <w:rPr>
                <w:b/>
                <w:sz w:val="18"/>
                <w:szCs w:val="18"/>
              </w:rPr>
            </w:pPr>
            <w:r w:rsidRPr="009F35C6">
              <w:rPr>
                <w:b/>
                <w:sz w:val="18"/>
              </w:rPr>
              <w:t>83</w:t>
            </w:r>
          </w:p>
        </w:tc>
        <w:tc>
          <w:tcPr>
            <w:tcW w:w="1115" w:type="dxa"/>
            <w:shd w:val="clear" w:color="auto" w:fill="E6E6E6"/>
          </w:tcPr>
          <w:p w:rsidR="001615FB" w:rsidRPr="009F35C6" w:rsidRDefault="001615FB" w:rsidP="000A18CF">
            <w:pPr>
              <w:jc w:val="both"/>
              <w:rPr>
                <w:sz w:val="18"/>
                <w:szCs w:val="18"/>
              </w:rPr>
            </w:pPr>
            <w:r w:rsidRPr="009F35C6">
              <w:rPr>
                <w:sz w:val="18"/>
              </w:rPr>
              <w:t>0</w:t>
            </w:r>
          </w:p>
        </w:tc>
        <w:tc>
          <w:tcPr>
            <w:tcW w:w="967" w:type="dxa"/>
            <w:shd w:val="clear" w:color="auto" w:fill="E6E6E6"/>
          </w:tcPr>
          <w:p w:rsidR="001615FB" w:rsidRPr="009F35C6" w:rsidRDefault="001615FB" w:rsidP="000A18CF">
            <w:pPr>
              <w:jc w:val="both"/>
              <w:rPr>
                <w:sz w:val="18"/>
                <w:szCs w:val="18"/>
              </w:rPr>
            </w:pPr>
            <w:r w:rsidRPr="009F35C6">
              <w:rPr>
                <w:sz w:val="18"/>
              </w:rPr>
              <w:t>85</w:t>
            </w:r>
          </w:p>
        </w:tc>
        <w:tc>
          <w:tcPr>
            <w:tcW w:w="694" w:type="dxa"/>
            <w:shd w:val="clear" w:color="auto" w:fill="E6E6E6"/>
          </w:tcPr>
          <w:p w:rsidR="001615FB" w:rsidRPr="009F35C6" w:rsidRDefault="001615FB" w:rsidP="000A18CF">
            <w:pPr>
              <w:jc w:val="both"/>
              <w:rPr>
                <w:b/>
                <w:sz w:val="18"/>
                <w:szCs w:val="18"/>
              </w:rPr>
            </w:pPr>
            <w:r w:rsidRPr="009F35C6">
              <w:rPr>
                <w:b/>
                <w:sz w:val="18"/>
              </w:rPr>
              <w:t>85</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2</w:t>
            </w:r>
          </w:p>
        </w:tc>
        <w:tc>
          <w:tcPr>
            <w:tcW w:w="694" w:type="dxa"/>
          </w:tcPr>
          <w:p w:rsidR="001615FB" w:rsidRPr="009F35C6" w:rsidRDefault="001615FB" w:rsidP="000A18CF">
            <w:pPr>
              <w:jc w:val="both"/>
              <w:rPr>
                <w:b/>
                <w:sz w:val="18"/>
                <w:szCs w:val="18"/>
              </w:rPr>
            </w:pPr>
            <w:r w:rsidRPr="009F35C6">
              <w:rPr>
                <w:b/>
                <w:sz w:val="18"/>
              </w:rPr>
              <w:t>2</w:t>
            </w:r>
          </w:p>
        </w:tc>
        <w:tc>
          <w:tcPr>
            <w:tcW w:w="967" w:type="dxa"/>
            <w:shd w:val="clear" w:color="auto" w:fill="E6E6E6"/>
          </w:tcPr>
          <w:p w:rsidR="001615FB" w:rsidRPr="009F35C6" w:rsidRDefault="001615FB" w:rsidP="000A18CF">
            <w:pPr>
              <w:jc w:val="both"/>
              <w:rPr>
                <w:sz w:val="18"/>
                <w:szCs w:val="18"/>
              </w:rPr>
            </w:pPr>
            <w:r w:rsidRPr="009F35C6">
              <w:rPr>
                <w:sz w:val="18"/>
              </w:rPr>
              <w:t>3</w:t>
            </w:r>
          </w:p>
        </w:tc>
        <w:tc>
          <w:tcPr>
            <w:tcW w:w="1139" w:type="dxa"/>
            <w:shd w:val="clear" w:color="auto" w:fill="E6E6E6"/>
          </w:tcPr>
          <w:p w:rsidR="001615FB" w:rsidRPr="009F35C6" w:rsidRDefault="001615FB" w:rsidP="000A18CF">
            <w:pPr>
              <w:jc w:val="both"/>
              <w:rPr>
                <w:sz w:val="18"/>
                <w:szCs w:val="18"/>
              </w:rPr>
            </w:pPr>
            <w:r w:rsidRPr="009F35C6">
              <w:rPr>
                <w:sz w:val="18"/>
              </w:rPr>
              <w:t>124</w:t>
            </w:r>
          </w:p>
        </w:tc>
        <w:tc>
          <w:tcPr>
            <w:tcW w:w="694" w:type="dxa"/>
            <w:shd w:val="clear" w:color="auto" w:fill="E6E6E6"/>
          </w:tcPr>
          <w:p w:rsidR="001615FB" w:rsidRPr="009F35C6" w:rsidRDefault="001615FB" w:rsidP="000A18CF">
            <w:pPr>
              <w:jc w:val="both"/>
              <w:rPr>
                <w:b/>
                <w:sz w:val="18"/>
                <w:szCs w:val="18"/>
              </w:rPr>
            </w:pPr>
            <w:r w:rsidRPr="009F35C6">
              <w:rPr>
                <w:b/>
                <w:sz w:val="18"/>
              </w:rPr>
              <w:t>127</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2013</w:t>
            </w:r>
          </w:p>
        </w:tc>
        <w:tc>
          <w:tcPr>
            <w:tcW w:w="967" w:type="dxa"/>
            <w:shd w:val="clear" w:color="auto" w:fill="E6E6E6"/>
          </w:tcPr>
          <w:p w:rsidR="001615FB" w:rsidRPr="009F35C6" w:rsidRDefault="001615FB" w:rsidP="000A18CF">
            <w:pPr>
              <w:jc w:val="both"/>
              <w:rPr>
                <w:sz w:val="18"/>
                <w:szCs w:val="18"/>
              </w:rPr>
            </w:pPr>
            <w:r w:rsidRPr="009F35C6">
              <w:rPr>
                <w:sz w:val="18"/>
              </w:rPr>
              <w:t>4</w:t>
            </w:r>
          </w:p>
        </w:tc>
        <w:tc>
          <w:tcPr>
            <w:tcW w:w="967" w:type="dxa"/>
            <w:shd w:val="clear" w:color="auto" w:fill="E6E6E6"/>
          </w:tcPr>
          <w:p w:rsidR="001615FB" w:rsidRPr="009F35C6" w:rsidRDefault="001615FB" w:rsidP="000A18CF">
            <w:pPr>
              <w:jc w:val="both"/>
              <w:rPr>
                <w:sz w:val="18"/>
                <w:szCs w:val="18"/>
              </w:rPr>
            </w:pPr>
            <w:r w:rsidRPr="009F35C6">
              <w:rPr>
                <w:sz w:val="18"/>
              </w:rPr>
              <w:t>232</w:t>
            </w:r>
          </w:p>
        </w:tc>
        <w:tc>
          <w:tcPr>
            <w:tcW w:w="693" w:type="dxa"/>
            <w:shd w:val="clear" w:color="auto" w:fill="E6E6E6"/>
          </w:tcPr>
          <w:p w:rsidR="001615FB" w:rsidRPr="009F35C6" w:rsidRDefault="001615FB" w:rsidP="000A18CF">
            <w:pPr>
              <w:jc w:val="both"/>
              <w:rPr>
                <w:b/>
                <w:sz w:val="18"/>
                <w:szCs w:val="18"/>
              </w:rPr>
            </w:pPr>
            <w:r w:rsidRPr="009F35C6">
              <w:rPr>
                <w:b/>
                <w:sz w:val="18"/>
              </w:rPr>
              <w:t>236</w:t>
            </w:r>
          </w:p>
        </w:tc>
        <w:tc>
          <w:tcPr>
            <w:tcW w:w="1040" w:type="dxa"/>
          </w:tcPr>
          <w:p w:rsidR="001615FB" w:rsidRPr="009F35C6" w:rsidRDefault="001615FB" w:rsidP="000A18CF">
            <w:pPr>
              <w:jc w:val="both"/>
              <w:rPr>
                <w:sz w:val="18"/>
                <w:szCs w:val="18"/>
              </w:rPr>
            </w:pPr>
            <w:r w:rsidRPr="009F35C6">
              <w:rPr>
                <w:sz w:val="18"/>
              </w:rPr>
              <w:t>1</w:t>
            </w:r>
          </w:p>
        </w:tc>
        <w:tc>
          <w:tcPr>
            <w:tcW w:w="967" w:type="dxa"/>
          </w:tcPr>
          <w:p w:rsidR="001615FB" w:rsidRPr="009F35C6" w:rsidRDefault="001615FB" w:rsidP="000A18CF">
            <w:pPr>
              <w:jc w:val="both"/>
              <w:rPr>
                <w:sz w:val="18"/>
                <w:szCs w:val="18"/>
              </w:rPr>
            </w:pPr>
            <w:r w:rsidRPr="009F35C6">
              <w:rPr>
                <w:sz w:val="18"/>
              </w:rPr>
              <w:t>121</w:t>
            </w:r>
          </w:p>
        </w:tc>
        <w:tc>
          <w:tcPr>
            <w:tcW w:w="694" w:type="dxa"/>
          </w:tcPr>
          <w:p w:rsidR="001615FB" w:rsidRPr="009F35C6" w:rsidRDefault="001615FB" w:rsidP="000A18CF">
            <w:pPr>
              <w:jc w:val="both"/>
              <w:rPr>
                <w:b/>
                <w:sz w:val="18"/>
                <w:szCs w:val="18"/>
              </w:rPr>
            </w:pPr>
            <w:r w:rsidRPr="009F35C6">
              <w:rPr>
                <w:b/>
                <w:sz w:val="18"/>
              </w:rPr>
              <w:t>122</w:t>
            </w:r>
          </w:p>
        </w:tc>
        <w:tc>
          <w:tcPr>
            <w:tcW w:w="1115" w:type="dxa"/>
            <w:shd w:val="clear" w:color="auto" w:fill="E6E6E6"/>
          </w:tcPr>
          <w:p w:rsidR="001615FB" w:rsidRPr="009F35C6" w:rsidRDefault="001615FB" w:rsidP="000A18CF">
            <w:pPr>
              <w:jc w:val="both"/>
              <w:rPr>
                <w:sz w:val="18"/>
                <w:szCs w:val="18"/>
              </w:rPr>
            </w:pPr>
            <w:r w:rsidRPr="009F35C6">
              <w:rPr>
                <w:sz w:val="18"/>
              </w:rPr>
              <w:t>0</w:t>
            </w:r>
          </w:p>
        </w:tc>
        <w:tc>
          <w:tcPr>
            <w:tcW w:w="967" w:type="dxa"/>
            <w:shd w:val="clear" w:color="auto" w:fill="E6E6E6"/>
          </w:tcPr>
          <w:p w:rsidR="001615FB" w:rsidRPr="009F35C6" w:rsidRDefault="001615FB" w:rsidP="000A18CF">
            <w:pPr>
              <w:jc w:val="both"/>
              <w:rPr>
                <w:sz w:val="18"/>
                <w:szCs w:val="18"/>
              </w:rPr>
            </w:pPr>
            <w:r w:rsidRPr="009F35C6">
              <w:rPr>
                <w:sz w:val="18"/>
              </w:rPr>
              <w:t>58</w:t>
            </w:r>
          </w:p>
        </w:tc>
        <w:tc>
          <w:tcPr>
            <w:tcW w:w="694" w:type="dxa"/>
            <w:shd w:val="clear" w:color="auto" w:fill="E6E6E6"/>
          </w:tcPr>
          <w:p w:rsidR="001615FB" w:rsidRPr="009F35C6" w:rsidRDefault="001615FB" w:rsidP="000A18CF">
            <w:pPr>
              <w:jc w:val="both"/>
              <w:rPr>
                <w:b/>
                <w:sz w:val="18"/>
                <w:szCs w:val="18"/>
              </w:rPr>
            </w:pPr>
            <w:r w:rsidRPr="009F35C6">
              <w:rPr>
                <w:b/>
                <w:sz w:val="18"/>
              </w:rPr>
              <w:t>58</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1</w:t>
            </w:r>
          </w:p>
        </w:tc>
        <w:tc>
          <w:tcPr>
            <w:tcW w:w="694" w:type="dxa"/>
          </w:tcPr>
          <w:p w:rsidR="001615FB" w:rsidRPr="009F35C6" w:rsidRDefault="001615FB" w:rsidP="000A18CF">
            <w:pPr>
              <w:jc w:val="both"/>
              <w:rPr>
                <w:b/>
                <w:sz w:val="18"/>
                <w:szCs w:val="18"/>
              </w:rPr>
            </w:pPr>
            <w:r w:rsidRPr="009F35C6">
              <w:rPr>
                <w:b/>
                <w:sz w:val="18"/>
              </w:rPr>
              <w:t>1</w:t>
            </w:r>
          </w:p>
        </w:tc>
        <w:tc>
          <w:tcPr>
            <w:tcW w:w="967" w:type="dxa"/>
            <w:shd w:val="clear" w:color="auto" w:fill="E6E6E6"/>
          </w:tcPr>
          <w:p w:rsidR="001615FB" w:rsidRPr="009F35C6" w:rsidRDefault="001615FB" w:rsidP="000A18CF">
            <w:pPr>
              <w:jc w:val="both"/>
              <w:rPr>
                <w:sz w:val="18"/>
                <w:szCs w:val="18"/>
              </w:rPr>
            </w:pPr>
            <w:r w:rsidRPr="009F35C6">
              <w:rPr>
                <w:sz w:val="18"/>
              </w:rPr>
              <w:t>2</w:t>
            </w:r>
          </w:p>
        </w:tc>
        <w:tc>
          <w:tcPr>
            <w:tcW w:w="1139" w:type="dxa"/>
            <w:shd w:val="clear" w:color="auto" w:fill="E6E6E6"/>
          </w:tcPr>
          <w:p w:rsidR="001615FB" w:rsidRPr="009F35C6" w:rsidRDefault="001615FB" w:rsidP="000A18CF">
            <w:pPr>
              <w:jc w:val="both"/>
              <w:rPr>
                <w:sz w:val="18"/>
                <w:szCs w:val="18"/>
              </w:rPr>
            </w:pPr>
            <w:r w:rsidRPr="009F35C6">
              <w:rPr>
                <w:sz w:val="18"/>
              </w:rPr>
              <w:t>127</w:t>
            </w:r>
          </w:p>
        </w:tc>
        <w:tc>
          <w:tcPr>
            <w:tcW w:w="694" w:type="dxa"/>
            <w:shd w:val="clear" w:color="auto" w:fill="E6E6E6"/>
          </w:tcPr>
          <w:p w:rsidR="001615FB" w:rsidRPr="009F35C6" w:rsidRDefault="001615FB" w:rsidP="000A18CF">
            <w:pPr>
              <w:jc w:val="both"/>
              <w:rPr>
                <w:b/>
                <w:sz w:val="18"/>
                <w:szCs w:val="18"/>
              </w:rPr>
            </w:pPr>
            <w:r w:rsidRPr="009F35C6">
              <w:rPr>
                <w:b/>
                <w:sz w:val="18"/>
              </w:rPr>
              <w:t>129</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2014</w:t>
            </w:r>
          </w:p>
        </w:tc>
        <w:tc>
          <w:tcPr>
            <w:tcW w:w="967" w:type="dxa"/>
            <w:shd w:val="clear" w:color="auto" w:fill="E6E6E6"/>
          </w:tcPr>
          <w:p w:rsidR="001615FB" w:rsidRPr="009F35C6" w:rsidRDefault="001615FB" w:rsidP="000A18CF">
            <w:pPr>
              <w:jc w:val="both"/>
              <w:rPr>
                <w:sz w:val="18"/>
                <w:szCs w:val="18"/>
              </w:rPr>
            </w:pPr>
            <w:r w:rsidRPr="009F35C6">
              <w:rPr>
                <w:sz w:val="18"/>
              </w:rPr>
              <w:t>13</w:t>
            </w:r>
          </w:p>
        </w:tc>
        <w:tc>
          <w:tcPr>
            <w:tcW w:w="967" w:type="dxa"/>
            <w:shd w:val="clear" w:color="auto" w:fill="E6E6E6"/>
          </w:tcPr>
          <w:p w:rsidR="001615FB" w:rsidRPr="009F35C6" w:rsidRDefault="001615FB" w:rsidP="000A18CF">
            <w:pPr>
              <w:jc w:val="both"/>
              <w:rPr>
                <w:sz w:val="18"/>
                <w:szCs w:val="18"/>
              </w:rPr>
            </w:pPr>
            <w:r w:rsidRPr="009F35C6">
              <w:rPr>
                <w:sz w:val="18"/>
              </w:rPr>
              <w:t>196</w:t>
            </w:r>
          </w:p>
        </w:tc>
        <w:tc>
          <w:tcPr>
            <w:tcW w:w="693" w:type="dxa"/>
            <w:shd w:val="clear" w:color="auto" w:fill="E6E6E6"/>
          </w:tcPr>
          <w:p w:rsidR="001615FB" w:rsidRPr="009F35C6" w:rsidRDefault="001615FB" w:rsidP="000A18CF">
            <w:pPr>
              <w:jc w:val="both"/>
              <w:rPr>
                <w:b/>
                <w:sz w:val="18"/>
                <w:szCs w:val="18"/>
              </w:rPr>
            </w:pPr>
            <w:r w:rsidRPr="009F35C6">
              <w:rPr>
                <w:b/>
                <w:sz w:val="18"/>
              </w:rPr>
              <w:t>209</w:t>
            </w:r>
          </w:p>
        </w:tc>
        <w:tc>
          <w:tcPr>
            <w:tcW w:w="1040"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100</w:t>
            </w:r>
          </w:p>
        </w:tc>
        <w:tc>
          <w:tcPr>
            <w:tcW w:w="694" w:type="dxa"/>
          </w:tcPr>
          <w:p w:rsidR="001615FB" w:rsidRPr="009F35C6" w:rsidRDefault="001615FB" w:rsidP="000A18CF">
            <w:pPr>
              <w:jc w:val="both"/>
              <w:rPr>
                <w:b/>
                <w:sz w:val="18"/>
                <w:szCs w:val="18"/>
              </w:rPr>
            </w:pPr>
            <w:r w:rsidRPr="009F35C6">
              <w:rPr>
                <w:b/>
                <w:sz w:val="18"/>
              </w:rPr>
              <w:t>100</w:t>
            </w:r>
          </w:p>
        </w:tc>
        <w:tc>
          <w:tcPr>
            <w:tcW w:w="1115" w:type="dxa"/>
            <w:shd w:val="clear" w:color="auto" w:fill="E6E6E6"/>
          </w:tcPr>
          <w:p w:rsidR="001615FB" w:rsidRPr="009F35C6" w:rsidRDefault="001615FB" w:rsidP="000A18CF">
            <w:pPr>
              <w:jc w:val="both"/>
              <w:rPr>
                <w:sz w:val="18"/>
                <w:szCs w:val="18"/>
              </w:rPr>
            </w:pPr>
            <w:r w:rsidRPr="009F35C6">
              <w:rPr>
                <w:sz w:val="18"/>
              </w:rPr>
              <w:t>1</w:t>
            </w:r>
          </w:p>
        </w:tc>
        <w:tc>
          <w:tcPr>
            <w:tcW w:w="967" w:type="dxa"/>
            <w:shd w:val="clear" w:color="auto" w:fill="E6E6E6"/>
          </w:tcPr>
          <w:p w:rsidR="001615FB" w:rsidRPr="009F35C6" w:rsidRDefault="001615FB" w:rsidP="000A18CF">
            <w:pPr>
              <w:jc w:val="both"/>
              <w:rPr>
                <w:sz w:val="18"/>
                <w:szCs w:val="18"/>
              </w:rPr>
            </w:pPr>
            <w:r w:rsidRPr="009F35C6">
              <w:rPr>
                <w:sz w:val="18"/>
              </w:rPr>
              <w:t>72</w:t>
            </w:r>
          </w:p>
        </w:tc>
        <w:tc>
          <w:tcPr>
            <w:tcW w:w="694" w:type="dxa"/>
            <w:shd w:val="clear" w:color="auto" w:fill="E6E6E6"/>
          </w:tcPr>
          <w:p w:rsidR="001615FB" w:rsidRPr="009F35C6" w:rsidRDefault="001615FB" w:rsidP="000A18CF">
            <w:pPr>
              <w:jc w:val="both"/>
              <w:rPr>
                <w:b/>
                <w:sz w:val="18"/>
                <w:szCs w:val="18"/>
              </w:rPr>
            </w:pPr>
            <w:r w:rsidRPr="009F35C6">
              <w:rPr>
                <w:b/>
                <w:sz w:val="18"/>
              </w:rPr>
              <w:t>73</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1</w:t>
            </w:r>
          </w:p>
        </w:tc>
        <w:tc>
          <w:tcPr>
            <w:tcW w:w="694" w:type="dxa"/>
          </w:tcPr>
          <w:p w:rsidR="001615FB" w:rsidRPr="009F35C6" w:rsidRDefault="001615FB" w:rsidP="000A18CF">
            <w:pPr>
              <w:jc w:val="both"/>
              <w:rPr>
                <w:b/>
                <w:sz w:val="18"/>
                <w:szCs w:val="18"/>
              </w:rPr>
            </w:pPr>
            <w:r w:rsidRPr="009F35C6">
              <w:rPr>
                <w:b/>
                <w:sz w:val="18"/>
              </w:rPr>
              <w:t>1</w:t>
            </w:r>
          </w:p>
        </w:tc>
        <w:tc>
          <w:tcPr>
            <w:tcW w:w="967" w:type="dxa"/>
            <w:shd w:val="clear" w:color="auto" w:fill="E6E6E6"/>
          </w:tcPr>
          <w:p w:rsidR="001615FB" w:rsidRPr="009F35C6" w:rsidRDefault="001615FB" w:rsidP="000A18CF">
            <w:pPr>
              <w:jc w:val="both"/>
              <w:rPr>
                <w:sz w:val="18"/>
                <w:szCs w:val="18"/>
              </w:rPr>
            </w:pPr>
            <w:r w:rsidRPr="009F35C6">
              <w:rPr>
                <w:sz w:val="18"/>
              </w:rPr>
              <w:t>2</w:t>
            </w:r>
          </w:p>
        </w:tc>
        <w:tc>
          <w:tcPr>
            <w:tcW w:w="1139" w:type="dxa"/>
            <w:shd w:val="clear" w:color="auto" w:fill="E6E6E6"/>
          </w:tcPr>
          <w:p w:rsidR="001615FB" w:rsidRPr="009F35C6" w:rsidRDefault="001615FB" w:rsidP="000A18CF">
            <w:pPr>
              <w:jc w:val="both"/>
              <w:rPr>
                <w:sz w:val="18"/>
                <w:szCs w:val="18"/>
              </w:rPr>
            </w:pPr>
            <w:r w:rsidRPr="009F35C6">
              <w:rPr>
                <w:sz w:val="18"/>
              </w:rPr>
              <w:t>147</w:t>
            </w:r>
          </w:p>
        </w:tc>
        <w:tc>
          <w:tcPr>
            <w:tcW w:w="694" w:type="dxa"/>
            <w:shd w:val="clear" w:color="auto" w:fill="E6E6E6"/>
          </w:tcPr>
          <w:p w:rsidR="001615FB" w:rsidRPr="009F35C6" w:rsidRDefault="001615FB" w:rsidP="000A18CF">
            <w:pPr>
              <w:jc w:val="both"/>
              <w:rPr>
                <w:b/>
                <w:sz w:val="18"/>
                <w:szCs w:val="18"/>
              </w:rPr>
            </w:pPr>
            <w:r w:rsidRPr="009F35C6">
              <w:rPr>
                <w:b/>
                <w:sz w:val="18"/>
              </w:rPr>
              <w:t>149</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2015</w:t>
            </w:r>
          </w:p>
        </w:tc>
        <w:tc>
          <w:tcPr>
            <w:tcW w:w="967" w:type="dxa"/>
            <w:shd w:val="clear" w:color="auto" w:fill="E6E6E6"/>
          </w:tcPr>
          <w:p w:rsidR="001615FB" w:rsidRPr="009F35C6" w:rsidRDefault="001615FB" w:rsidP="000A18CF">
            <w:pPr>
              <w:jc w:val="both"/>
              <w:rPr>
                <w:sz w:val="18"/>
                <w:szCs w:val="18"/>
              </w:rPr>
            </w:pPr>
            <w:r w:rsidRPr="009F35C6">
              <w:rPr>
                <w:sz w:val="18"/>
              </w:rPr>
              <w:t>13</w:t>
            </w:r>
          </w:p>
        </w:tc>
        <w:tc>
          <w:tcPr>
            <w:tcW w:w="967" w:type="dxa"/>
            <w:shd w:val="clear" w:color="auto" w:fill="E6E6E6"/>
          </w:tcPr>
          <w:p w:rsidR="001615FB" w:rsidRPr="009F35C6" w:rsidRDefault="001615FB" w:rsidP="000A18CF">
            <w:pPr>
              <w:jc w:val="both"/>
              <w:rPr>
                <w:sz w:val="18"/>
                <w:szCs w:val="18"/>
              </w:rPr>
            </w:pPr>
            <w:r w:rsidRPr="009F35C6">
              <w:rPr>
                <w:sz w:val="18"/>
              </w:rPr>
              <w:t>160</w:t>
            </w:r>
          </w:p>
        </w:tc>
        <w:tc>
          <w:tcPr>
            <w:tcW w:w="693" w:type="dxa"/>
            <w:shd w:val="clear" w:color="auto" w:fill="E6E6E6"/>
          </w:tcPr>
          <w:p w:rsidR="001615FB" w:rsidRPr="009F35C6" w:rsidRDefault="001615FB" w:rsidP="000A18CF">
            <w:pPr>
              <w:jc w:val="both"/>
              <w:rPr>
                <w:b/>
                <w:sz w:val="18"/>
                <w:szCs w:val="18"/>
              </w:rPr>
            </w:pPr>
            <w:r w:rsidRPr="009F35C6">
              <w:rPr>
                <w:b/>
                <w:sz w:val="18"/>
              </w:rPr>
              <w:t>173</w:t>
            </w:r>
          </w:p>
        </w:tc>
        <w:tc>
          <w:tcPr>
            <w:tcW w:w="1040" w:type="dxa"/>
          </w:tcPr>
          <w:p w:rsidR="001615FB" w:rsidRPr="009F35C6" w:rsidRDefault="001615FB" w:rsidP="000A18CF">
            <w:pPr>
              <w:jc w:val="both"/>
              <w:rPr>
                <w:sz w:val="18"/>
                <w:szCs w:val="18"/>
              </w:rPr>
            </w:pPr>
            <w:r w:rsidRPr="009F35C6">
              <w:rPr>
                <w:sz w:val="18"/>
              </w:rPr>
              <w:t>9</w:t>
            </w:r>
          </w:p>
        </w:tc>
        <w:tc>
          <w:tcPr>
            <w:tcW w:w="967" w:type="dxa"/>
          </w:tcPr>
          <w:p w:rsidR="001615FB" w:rsidRPr="009F35C6" w:rsidRDefault="001615FB" w:rsidP="000A18CF">
            <w:pPr>
              <w:jc w:val="both"/>
              <w:rPr>
                <w:sz w:val="18"/>
                <w:szCs w:val="18"/>
              </w:rPr>
            </w:pPr>
            <w:r w:rsidRPr="009F35C6">
              <w:rPr>
                <w:sz w:val="18"/>
              </w:rPr>
              <w:t>51</w:t>
            </w:r>
          </w:p>
        </w:tc>
        <w:tc>
          <w:tcPr>
            <w:tcW w:w="694" w:type="dxa"/>
          </w:tcPr>
          <w:p w:rsidR="001615FB" w:rsidRPr="009F35C6" w:rsidRDefault="001615FB" w:rsidP="000A18CF">
            <w:pPr>
              <w:jc w:val="both"/>
              <w:rPr>
                <w:b/>
                <w:sz w:val="18"/>
                <w:szCs w:val="18"/>
              </w:rPr>
            </w:pPr>
            <w:r w:rsidRPr="009F35C6">
              <w:rPr>
                <w:b/>
                <w:sz w:val="18"/>
              </w:rPr>
              <w:t>60</w:t>
            </w:r>
          </w:p>
        </w:tc>
        <w:tc>
          <w:tcPr>
            <w:tcW w:w="1115" w:type="dxa"/>
            <w:shd w:val="clear" w:color="auto" w:fill="E6E6E6"/>
          </w:tcPr>
          <w:p w:rsidR="001615FB" w:rsidRPr="009F35C6" w:rsidRDefault="001615FB" w:rsidP="000A18CF">
            <w:pPr>
              <w:jc w:val="both"/>
              <w:rPr>
                <w:sz w:val="18"/>
                <w:szCs w:val="18"/>
              </w:rPr>
            </w:pPr>
            <w:r w:rsidRPr="009F35C6">
              <w:rPr>
                <w:sz w:val="18"/>
              </w:rPr>
              <w:t>1</w:t>
            </w:r>
          </w:p>
        </w:tc>
        <w:tc>
          <w:tcPr>
            <w:tcW w:w="967" w:type="dxa"/>
            <w:shd w:val="clear" w:color="auto" w:fill="E6E6E6"/>
          </w:tcPr>
          <w:p w:rsidR="001615FB" w:rsidRPr="009F35C6" w:rsidRDefault="001615FB" w:rsidP="000A18CF">
            <w:pPr>
              <w:jc w:val="both"/>
              <w:rPr>
                <w:sz w:val="18"/>
                <w:szCs w:val="18"/>
              </w:rPr>
            </w:pPr>
            <w:r w:rsidRPr="009F35C6">
              <w:rPr>
                <w:sz w:val="18"/>
              </w:rPr>
              <w:t>84</w:t>
            </w:r>
          </w:p>
        </w:tc>
        <w:tc>
          <w:tcPr>
            <w:tcW w:w="694" w:type="dxa"/>
            <w:shd w:val="clear" w:color="auto" w:fill="E6E6E6"/>
          </w:tcPr>
          <w:p w:rsidR="001615FB" w:rsidRPr="009F35C6" w:rsidRDefault="001615FB" w:rsidP="000A18CF">
            <w:pPr>
              <w:jc w:val="both"/>
              <w:rPr>
                <w:b/>
                <w:sz w:val="18"/>
                <w:szCs w:val="18"/>
              </w:rPr>
            </w:pPr>
            <w:r w:rsidRPr="009F35C6">
              <w:rPr>
                <w:b/>
                <w:sz w:val="18"/>
              </w:rPr>
              <w:t>85</w:t>
            </w:r>
          </w:p>
        </w:tc>
        <w:tc>
          <w:tcPr>
            <w:tcW w:w="992" w:type="dxa"/>
          </w:tcPr>
          <w:p w:rsidR="001615FB" w:rsidRPr="009F35C6" w:rsidRDefault="001615FB" w:rsidP="000A18CF">
            <w:pPr>
              <w:jc w:val="both"/>
              <w:rPr>
                <w:sz w:val="18"/>
                <w:szCs w:val="18"/>
              </w:rPr>
            </w:pPr>
            <w:r w:rsidRPr="009F35C6">
              <w:rPr>
                <w:sz w:val="18"/>
              </w:rPr>
              <w:t>0</w:t>
            </w:r>
          </w:p>
        </w:tc>
        <w:tc>
          <w:tcPr>
            <w:tcW w:w="967" w:type="dxa"/>
          </w:tcPr>
          <w:p w:rsidR="001615FB" w:rsidRPr="009F35C6" w:rsidRDefault="001615FB" w:rsidP="000A18CF">
            <w:pPr>
              <w:jc w:val="both"/>
              <w:rPr>
                <w:sz w:val="18"/>
                <w:szCs w:val="18"/>
              </w:rPr>
            </w:pPr>
            <w:r w:rsidRPr="009F35C6">
              <w:rPr>
                <w:sz w:val="18"/>
              </w:rPr>
              <w:t>1</w:t>
            </w:r>
          </w:p>
        </w:tc>
        <w:tc>
          <w:tcPr>
            <w:tcW w:w="694" w:type="dxa"/>
          </w:tcPr>
          <w:p w:rsidR="001615FB" w:rsidRPr="009F35C6" w:rsidRDefault="001615FB" w:rsidP="000A18CF">
            <w:pPr>
              <w:jc w:val="both"/>
              <w:rPr>
                <w:b/>
                <w:sz w:val="18"/>
                <w:szCs w:val="18"/>
              </w:rPr>
            </w:pPr>
            <w:r w:rsidRPr="009F35C6">
              <w:rPr>
                <w:b/>
                <w:sz w:val="18"/>
              </w:rPr>
              <w:t>1</w:t>
            </w:r>
          </w:p>
        </w:tc>
        <w:tc>
          <w:tcPr>
            <w:tcW w:w="967" w:type="dxa"/>
            <w:shd w:val="clear" w:color="auto" w:fill="E6E6E6"/>
          </w:tcPr>
          <w:p w:rsidR="001615FB" w:rsidRPr="009F35C6" w:rsidRDefault="001615FB" w:rsidP="000A18CF">
            <w:pPr>
              <w:jc w:val="both"/>
              <w:rPr>
                <w:sz w:val="18"/>
                <w:szCs w:val="18"/>
              </w:rPr>
            </w:pPr>
            <w:r w:rsidRPr="009F35C6">
              <w:rPr>
                <w:sz w:val="18"/>
              </w:rPr>
              <w:t>3</w:t>
            </w:r>
          </w:p>
        </w:tc>
        <w:tc>
          <w:tcPr>
            <w:tcW w:w="1139" w:type="dxa"/>
            <w:shd w:val="clear" w:color="auto" w:fill="E6E6E6"/>
          </w:tcPr>
          <w:p w:rsidR="001615FB" w:rsidRPr="009F35C6" w:rsidRDefault="001615FB" w:rsidP="000A18CF">
            <w:pPr>
              <w:jc w:val="both"/>
              <w:rPr>
                <w:sz w:val="18"/>
                <w:szCs w:val="18"/>
              </w:rPr>
            </w:pPr>
            <w:r w:rsidRPr="009F35C6">
              <w:rPr>
                <w:sz w:val="18"/>
              </w:rPr>
              <w:t>135</w:t>
            </w:r>
          </w:p>
        </w:tc>
        <w:tc>
          <w:tcPr>
            <w:tcW w:w="694" w:type="dxa"/>
            <w:shd w:val="clear" w:color="auto" w:fill="E6E6E6"/>
          </w:tcPr>
          <w:p w:rsidR="001615FB" w:rsidRPr="009F35C6" w:rsidRDefault="001615FB" w:rsidP="000A18CF">
            <w:pPr>
              <w:jc w:val="both"/>
              <w:rPr>
                <w:b/>
                <w:sz w:val="18"/>
                <w:szCs w:val="18"/>
              </w:rPr>
            </w:pPr>
            <w:r w:rsidRPr="009F35C6">
              <w:rPr>
                <w:b/>
                <w:sz w:val="18"/>
              </w:rPr>
              <w:t>138</w:t>
            </w:r>
          </w:p>
        </w:tc>
      </w:tr>
      <w:tr w:rsidR="001615FB" w:rsidRPr="009F35C6" w:rsidTr="000A18CF">
        <w:tc>
          <w:tcPr>
            <w:tcW w:w="661" w:type="dxa"/>
          </w:tcPr>
          <w:p w:rsidR="001615FB" w:rsidRPr="009F35C6" w:rsidRDefault="001615FB" w:rsidP="000A18CF">
            <w:pPr>
              <w:jc w:val="both"/>
              <w:rPr>
                <w:b/>
                <w:sz w:val="18"/>
                <w:szCs w:val="18"/>
              </w:rPr>
            </w:pPr>
            <w:r w:rsidRPr="009F35C6">
              <w:rPr>
                <w:b/>
                <w:sz w:val="18"/>
              </w:rPr>
              <w:t>2016</w:t>
            </w:r>
          </w:p>
        </w:tc>
        <w:tc>
          <w:tcPr>
            <w:tcW w:w="967" w:type="dxa"/>
            <w:shd w:val="clear" w:color="auto" w:fill="E6E6E6"/>
            <w:vAlign w:val="center"/>
          </w:tcPr>
          <w:p w:rsidR="001615FB" w:rsidRPr="009F35C6" w:rsidRDefault="001615FB" w:rsidP="000A18CF">
            <w:pPr>
              <w:jc w:val="both"/>
              <w:rPr>
                <w:sz w:val="18"/>
                <w:szCs w:val="18"/>
              </w:rPr>
            </w:pPr>
            <w:r w:rsidRPr="009F35C6">
              <w:rPr>
                <w:sz w:val="18"/>
              </w:rPr>
              <w:t>4</w:t>
            </w:r>
          </w:p>
        </w:tc>
        <w:tc>
          <w:tcPr>
            <w:tcW w:w="967" w:type="dxa"/>
            <w:shd w:val="clear" w:color="auto" w:fill="E6E6E6"/>
            <w:vAlign w:val="center"/>
          </w:tcPr>
          <w:p w:rsidR="001615FB" w:rsidRPr="009F35C6" w:rsidRDefault="001615FB" w:rsidP="000A18CF">
            <w:pPr>
              <w:jc w:val="both"/>
              <w:rPr>
                <w:sz w:val="18"/>
                <w:szCs w:val="18"/>
              </w:rPr>
            </w:pPr>
            <w:r w:rsidRPr="009F35C6">
              <w:rPr>
                <w:sz w:val="18"/>
              </w:rPr>
              <w:t>109</w:t>
            </w:r>
          </w:p>
        </w:tc>
        <w:tc>
          <w:tcPr>
            <w:tcW w:w="693" w:type="dxa"/>
            <w:shd w:val="clear" w:color="auto" w:fill="E6E6E6"/>
            <w:vAlign w:val="center"/>
          </w:tcPr>
          <w:p w:rsidR="001615FB" w:rsidRPr="009F35C6" w:rsidRDefault="001615FB" w:rsidP="000A18CF">
            <w:pPr>
              <w:jc w:val="both"/>
              <w:rPr>
                <w:b/>
                <w:sz w:val="18"/>
                <w:szCs w:val="18"/>
              </w:rPr>
            </w:pPr>
            <w:r w:rsidRPr="009F35C6">
              <w:rPr>
                <w:b/>
                <w:sz w:val="18"/>
              </w:rPr>
              <w:t>113</w:t>
            </w:r>
          </w:p>
        </w:tc>
        <w:tc>
          <w:tcPr>
            <w:tcW w:w="1040" w:type="dxa"/>
            <w:vAlign w:val="center"/>
          </w:tcPr>
          <w:p w:rsidR="001615FB" w:rsidRPr="009F35C6" w:rsidRDefault="001615FB" w:rsidP="000A18CF">
            <w:pPr>
              <w:jc w:val="both"/>
              <w:rPr>
                <w:sz w:val="18"/>
                <w:szCs w:val="18"/>
              </w:rPr>
            </w:pPr>
            <w:r w:rsidRPr="009F35C6">
              <w:rPr>
                <w:sz w:val="18"/>
              </w:rPr>
              <w:t>1</w:t>
            </w:r>
          </w:p>
        </w:tc>
        <w:tc>
          <w:tcPr>
            <w:tcW w:w="967" w:type="dxa"/>
            <w:vAlign w:val="center"/>
          </w:tcPr>
          <w:p w:rsidR="001615FB" w:rsidRPr="009F35C6" w:rsidRDefault="001615FB" w:rsidP="000A18CF">
            <w:pPr>
              <w:jc w:val="both"/>
              <w:rPr>
                <w:sz w:val="18"/>
                <w:szCs w:val="18"/>
              </w:rPr>
            </w:pPr>
            <w:r w:rsidRPr="009F35C6">
              <w:rPr>
                <w:sz w:val="18"/>
              </w:rPr>
              <w:t>55</w:t>
            </w:r>
          </w:p>
        </w:tc>
        <w:tc>
          <w:tcPr>
            <w:tcW w:w="694" w:type="dxa"/>
            <w:vAlign w:val="center"/>
          </w:tcPr>
          <w:p w:rsidR="001615FB" w:rsidRPr="009F35C6" w:rsidRDefault="001615FB" w:rsidP="000A18CF">
            <w:pPr>
              <w:jc w:val="both"/>
              <w:rPr>
                <w:b/>
                <w:sz w:val="18"/>
                <w:szCs w:val="18"/>
              </w:rPr>
            </w:pPr>
            <w:r w:rsidRPr="009F35C6">
              <w:rPr>
                <w:b/>
                <w:sz w:val="18"/>
              </w:rPr>
              <w:t>56</w:t>
            </w:r>
          </w:p>
        </w:tc>
        <w:tc>
          <w:tcPr>
            <w:tcW w:w="1115" w:type="dxa"/>
            <w:shd w:val="clear" w:color="auto" w:fill="E6E6E6"/>
            <w:vAlign w:val="center"/>
          </w:tcPr>
          <w:p w:rsidR="001615FB" w:rsidRPr="009F35C6" w:rsidRDefault="001615FB" w:rsidP="000A18CF">
            <w:pPr>
              <w:jc w:val="both"/>
              <w:rPr>
                <w:sz w:val="18"/>
                <w:szCs w:val="18"/>
              </w:rPr>
            </w:pPr>
            <w:r w:rsidRPr="009F35C6">
              <w:rPr>
                <w:sz w:val="18"/>
              </w:rPr>
              <w:t>0</w:t>
            </w:r>
          </w:p>
        </w:tc>
        <w:tc>
          <w:tcPr>
            <w:tcW w:w="967" w:type="dxa"/>
            <w:shd w:val="clear" w:color="auto" w:fill="E6E6E6"/>
            <w:vAlign w:val="center"/>
          </w:tcPr>
          <w:p w:rsidR="001615FB" w:rsidRPr="009F35C6" w:rsidRDefault="001615FB" w:rsidP="000A18CF">
            <w:pPr>
              <w:jc w:val="both"/>
              <w:rPr>
                <w:sz w:val="18"/>
                <w:szCs w:val="18"/>
              </w:rPr>
            </w:pPr>
            <w:r w:rsidRPr="009F35C6">
              <w:rPr>
                <w:sz w:val="18"/>
              </w:rPr>
              <w:t>27</w:t>
            </w:r>
          </w:p>
        </w:tc>
        <w:tc>
          <w:tcPr>
            <w:tcW w:w="694" w:type="dxa"/>
            <w:shd w:val="clear" w:color="auto" w:fill="E6E6E6"/>
            <w:vAlign w:val="center"/>
          </w:tcPr>
          <w:p w:rsidR="001615FB" w:rsidRPr="009F35C6" w:rsidRDefault="001615FB" w:rsidP="000A18CF">
            <w:pPr>
              <w:jc w:val="both"/>
              <w:rPr>
                <w:b/>
                <w:sz w:val="18"/>
                <w:szCs w:val="18"/>
              </w:rPr>
            </w:pPr>
            <w:r w:rsidRPr="009F35C6">
              <w:rPr>
                <w:b/>
                <w:sz w:val="18"/>
              </w:rPr>
              <w:t>27</w:t>
            </w:r>
          </w:p>
        </w:tc>
        <w:tc>
          <w:tcPr>
            <w:tcW w:w="992" w:type="dxa"/>
            <w:vAlign w:val="center"/>
          </w:tcPr>
          <w:p w:rsidR="001615FB" w:rsidRPr="009F35C6" w:rsidRDefault="001615FB" w:rsidP="000A18CF">
            <w:pPr>
              <w:jc w:val="both"/>
              <w:rPr>
                <w:sz w:val="18"/>
                <w:szCs w:val="18"/>
              </w:rPr>
            </w:pPr>
            <w:r w:rsidRPr="009F35C6">
              <w:rPr>
                <w:sz w:val="18"/>
              </w:rPr>
              <w:t>0</w:t>
            </w:r>
          </w:p>
        </w:tc>
        <w:tc>
          <w:tcPr>
            <w:tcW w:w="967" w:type="dxa"/>
            <w:vAlign w:val="center"/>
          </w:tcPr>
          <w:p w:rsidR="001615FB" w:rsidRPr="009F35C6" w:rsidRDefault="001615FB" w:rsidP="000A18CF">
            <w:pPr>
              <w:jc w:val="both"/>
              <w:rPr>
                <w:sz w:val="18"/>
                <w:szCs w:val="18"/>
              </w:rPr>
            </w:pPr>
            <w:r w:rsidRPr="009F35C6">
              <w:rPr>
                <w:sz w:val="18"/>
              </w:rPr>
              <w:t>0</w:t>
            </w:r>
          </w:p>
        </w:tc>
        <w:tc>
          <w:tcPr>
            <w:tcW w:w="694" w:type="dxa"/>
            <w:vAlign w:val="center"/>
          </w:tcPr>
          <w:p w:rsidR="001615FB" w:rsidRPr="009F35C6" w:rsidRDefault="001615FB" w:rsidP="000A18CF">
            <w:pPr>
              <w:jc w:val="both"/>
              <w:rPr>
                <w:b/>
                <w:sz w:val="18"/>
                <w:szCs w:val="18"/>
              </w:rPr>
            </w:pPr>
            <w:r w:rsidRPr="009F35C6">
              <w:rPr>
                <w:b/>
                <w:sz w:val="18"/>
              </w:rPr>
              <w:t>0</w:t>
            </w:r>
          </w:p>
        </w:tc>
        <w:tc>
          <w:tcPr>
            <w:tcW w:w="967" w:type="dxa"/>
            <w:shd w:val="clear" w:color="auto" w:fill="E6E6E6"/>
            <w:vAlign w:val="center"/>
          </w:tcPr>
          <w:p w:rsidR="001615FB" w:rsidRPr="009F35C6" w:rsidRDefault="001615FB" w:rsidP="000A18CF">
            <w:pPr>
              <w:jc w:val="both"/>
              <w:rPr>
                <w:sz w:val="18"/>
                <w:szCs w:val="18"/>
              </w:rPr>
            </w:pPr>
            <w:r w:rsidRPr="009F35C6">
              <w:rPr>
                <w:sz w:val="18"/>
              </w:rPr>
              <w:t>1</w:t>
            </w:r>
          </w:p>
        </w:tc>
        <w:tc>
          <w:tcPr>
            <w:tcW w:w="1139" w:type="dxa"/>
            <w:shd w:val="clear" w:color="auto" w:fill="E6E6E6"/>
            <w:vAlign w:val="center"/>
          </w:tcPr>
          <w:p w:rsidR="001615FB" w:rsidRPr="009F35C6" w:rsidRDefault="001615FB" w:rsidP="000A18CF">
            <w:pPr>
              <w:jc w:val="both"/>
              <w:rPr>
                <w:sz w:val="18"/>
                <w:szCs w:val="18"/>
              </w:rPr>
            </w:pPr>
            <w:r w:rsidRPr="009F35C6">
              <w:rPr>
                <w:sz w:val="18"/>
              </w:rPr>
              <w:t>71</w:t>
            </w:r>
          </w:p>
        </w:tc>
        <w:tc>
          <w:tcPr>
            <w:tcW w:w="694" w:type="dxa"/>
            <w:shd w:val="clear" w:color="auto" w:fill="E6E6E6"/>
            <w:vAlign w:val="center"/>
          </w:tcPr>
          <w:p w:rsidR="001615FB" w:rsidRPr="009F35C6" w:rsidRDefault="001615FB" w:rsidP="000A18CF">
            <w:pPr>
              <w:jc w:val="both"/>
              <w:rPr>
                <w:b/>
                <w:sz w:val="18"/>
                <w:szCs w:val="18"/>
              </w:rPr>
            </w:pPr>
            <w:r w:rsidRPr="009F35C6">
              <w:rPr>
                <w:b/>
                <w:sz w:val="18"/>
              </w:rPr>
              <w:t>72</w:t>
            </w:r>
          </w:p>
        </w:tc>
      </w:tr>
    </w:tbl>
    <w:p w:rsidR="001615FB" w:rsidRPr="009F35C6" w:rsidRDefault="001615FB" w:rsidP="001615FB">
      <w:pPr>
        <w:spacing w:after="0" w:line="240" w:lineRule="auto"/>
        <w:jc w:val="both"/>
        <w:rPr>
          <w:rFonts w:ascii="Times New Roman" w:eastAsia="Times New Roman" w:hAnsi="Times New Roman" w:cs="Times New Roman"/>
          <w:sz w:val="24"/>
          <w:szCs w:val="24"/>
        </w:rPr>
      </w:pPr>
      <w:r w:rsidRPr="009F35C6">
        <w:rPr>
          <w:rFonts w:ascii="Times New Roman" w:hAnsi="Times New Roman"/>
          <w:sz w:val="24"/>
        </w:rPr>
        <w:t>Corruption crimes in 2017:</w:t>
      </w:r>
    </w:p>
    <w:p w:rsidR="001615FB" w:rsidRPr="009F35C6" w:rsidRDefault="001615FB" w:rsidP="001615FB">
      <w:pPr>
        <w:spacing w:after="0" w:line="240" w:lineRule="auto"/>
        <w:jc w:val="both"/>
        <w:rPr>
          <w:rFonts w:ascii="Times New Roman" w:eastAsia="Arial Unicode MS" w:hAnsi="Times New Roman" w:cs="Times New Roman"/>
          <w:sz w:val="24"/>
          <w:szCs w:val="24"/>
        </w:rPr>
      </w:pPr>
    </w:p>
    <w:tbl>
      <w:tblPr>
        <w:tblW w:w="8726"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45"/>
        <w:gridCol w:w="1544"/>
        <w:gridCol w:w="1496"/>
        <w:gridCol w:w="1764"/>
        <w:gridCol w:w="1559"/>
        <w:gridCol w:w="1418"/>
      </w:tblGrid>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w:t>
            </w:r>
          </w:p>
        </w:tc>
        <w:tc>
          <w:tcPr>
            <w:tcW w:w="1504"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prosecuted persons</w:t>
            </w:r>
          </w:p>
        </w:tc>
        <w:tc>
          <w:tcPr>
            <w:tcW w:w="1456"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defendants</w:t>
            </w:r>
          </w:p>
        </w:tc>
        <w:tc>
          <w:tcPr>
            <w:tcW w:w="1724"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plea bargains</w:t>
            </w:r>
          </w:p>
        </w:tc>
        <w:tc>
          <w:tcPr>
            <w:tcW w:w="1519"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conditional cessation</w:t>
            </w:r>
          </w:p>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criminal proceedings</w:t>
            </w:r>
          </w:p>
        </w:tc>
        <w:tc>
          <w:tcPr>
            <w:tcW w:w="1358"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convicted persons</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328</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329</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17</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5</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11</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22</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332</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7</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4</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7</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333</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75</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35</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23</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58</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336</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15</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7</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4</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5</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336a</w:t>
            </w: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r>
      <w:tr w:rsidR="001615FB" w:rsidRPr="009F35C6" w:rsidTr="00B56A6B">
        <w:trPr>
          <w:trHeight w:val="454"/>
          <w:tblCellSpacing w:w="20" w:type="dxa"/>
        </w:trPr>
        <w:tc>
          <w:tcPr>
            <w:tcW w:w="885" w:type="dxa"/>
            <w:shd w:val="clear" w:color="auto" w:fill="FFFFFF"/>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p>
        </w:tc>
        <w:tc>
          <w:tcPr>
            <w:tcW w:w="150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117</w:t>
            </w:r>
            <w:r w:rsidRPr="009F35C6">
              <w:rPr>
                <w:rFonts w:ascii="Times New Roman" w:eastAsia="Arial Unicode MS" w:hAnsi="Times New Roman" w:cs="Times New Roman"/>
                <w:sz w:val="24"/>
                <w:szCs w:val="24"/>
              </w:rPr>
              <w:fldChar w:fldCharType="end"/>
            </w:r>
          </w:p>
        </w:tc>
        <w:tc>
          <w:tcPr>
            <w:tcW w:w="1456"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54</w:t>
            </w:r>
            <w:r w:rsidRPr="009F35C6">
              <w:rPr>
                <w:rFonts w:ascii="Times New Roman" w:eastAsia="Arial Unicode MS" w:hAnsi="Times New Roman" w:cs="Times New Roman"/>
                <w:sz w:val="24"/>
                <w:szCs w:val="24"/>
              </w:rPr>
              <w:fldChar w:fldCharType="end"/>
            </w:r>
          </w:p>
        </w:tc>
        <w:tc>
          <w:tcPr>
            <w:tcW w:w="1724"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41</w:t>
            </w:r>
            <w:r w:rsidRPr="009F35C6">
              <w:rPr>
                <w:rFonts w:ascii="Times New Roman" w:eastAsia="Arial Unicode MS" w:hAnsi="Times New Roman" w:cs="Times New Roman"/>
                <w:sz w:val="24"/>
                <w:szCs w:val="24"/>
              </w:rPr>
              <w:fldChar w:fldCharType="end"/>
            </w:r>
          </w:p>
        </w:tc>
        <w:tc>
          <w:tcPr>
            <w:tcW w:w="1519"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0</w:t>
            </w:r>
            <w:r w:rsidRPr="009F35C6">
              <w:rPr>
                <w:rFonts w:ascii="Times New Roman" w:eastAsia="Arial Unicode MS" w:hAnsi="Times New Roman" w:cs="Times New Roman"/>
                <w:sz w:val="24"/>
                <w:szCs w:val="24"/>
              </w:rPr>
              <w:fldChar w:fldCharType="end"/>
            </w:r>
          </w:p>
        </w:tc>
        <w:tc>
          <w:tcPr>
            <w:tcW w:w="1358" w:type="dxa"/>
            <w:shd w:val="clear" w:color="auto" w:fill="FFFFFF"/>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98</w:t>
            </w:r>
            <w:r w:rsidRPr="009F35C6">
              <w:rPr>
                <w:rFonts w:ascii="Times New Roman" w:eastAsia="Arial Unicode MS" w:hAnsi="Times New Roman" w:cs="Times New Roman"/>
                <w:sz w:val="24"/>
                <w:szCs w:val="24"/>
              </w:rPr>
              <w:fldChar w:fldCharType="end"/>
            </w:r>
          </w:p>
        </w:tc>
      </w:tr>
    </w:tbl>
    <w:p w:rsidR="001615FB" w:rsidRPr="009F35C6" w:rsidRDefault="001615FB" w:rsidP="001615FB">
      <w:pPr>
        <w:spacing w:after="0" w:line="240" w:lineRule="auto"/>
        <w:jc w:val="both"/>
        <w:rPr>
          <w:rFonts w:ascii="Times New Roman" w:eastAsia="Times New Roman" w:hAnsi="Times New Roman" w:cs="Times New Roman"/>
          <w:sz w:val="24"/>
          <w:szCs w:val="24"/>
        </w:rPr>
      </w:pPr>
    </w:p>
    <w:p w:rsidR="001615FB" w:rsidRPr="009F35C6" w:rsidRDefault="001615FB" w:rsidP="001615FB">
      <w:pPr>
        <w:spacing w:after="0" w:line="240" w:lineRule="auto"/>
        <w:jc w:val="both"/>
        <w:rPr>
          <w:rFonts w:ascii="Times New Roman" w:eastAsia="Times New Roman" w:hAnsi="Times New Roman" w:cs="Times New Roman"/>
          <w:sz w:val="24"/>
          <w:szCs w:val="24"/>
        </w:rPr>
      </w:pPr>
      <w:r w:rsidRPr="009F35C6">
        <w:rPr>
          <w:rFonts w:ascii="Times New Roman" w:hAnsi="Times New Roman"/>
          <w:sz w:val="24"/>
        </w:rPr>
        <w:t>Corruption crimes in 2018:</w:t>
      </w:r>
    </w:p>
    <w:p w:rsidR="001615FB" w:rsidRPr="009F35C6" w:rsidRDefault="001615FB" w:rsidP="001615FB">
      <w:pPr>
        <w:spacing w:after="0" w:line="240" w:lineRule="auto"/>
        <w:ind w:firstLine="900"/>
        <w:contextualSpacing/>
        <w:jc w:val="both"/>
        <w:rPr>
          <w:rFonts w:ascii="Times New Roman" w:eastAsia="Times New Roman" w:hAnsi="Times New Roman" w:cs="Times New Roman"/>
          <w:sz w:val="24"/>
          <w:szCs w:val="24"/>
        </w:rPr>
      </w:pPr>
    </w:p>
    <w:tbl>
      <w:tblPr>
        <w:tblW w:w="87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45"/>
        <w:gridCol w:w="1457"/>
        <w:gridCol w:w="1583"/>
        <w:gridCol w:w="1578"/>
        <w:gridCol w:w="1578"/>
        <w:gridCol w:w="1578"/>
      </w:tblGrid>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lastRenderedPageBreak/>
              <w:t>§</w:t>
            </w:r>
          </w:p>
        </w:tc>
        <w:tc>
          <w:tcPr>
            <w:tcW w:w="1417"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prosecuted persons</w:t>
            </w:r>
          </w:p>
        </w:tc>
        <w:tc>
          <w:tcPr>
            <w:tcW w:w="1543"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defendants</w:t>
            </w:r>
          </w:p>
        </w:tc>
        <w:tc>
          <w:tcPr>
            <w:tcW w:w="1538"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plea bargains</w:t>
            </w:r>
          </w:p>
        </w:tc>
        <w:tc>
          <w:tcPr>
            <w:tcW w:w="1538" w:type="dxa"/>
            <w:shd w:val="clear" w:color="auto" w:fill="auto"/>
            <w:vAlign w:val="center"/>
          </w:tcPr>
          <w:p w:rsidR="001615FB" w:rsidRPr="009F35C6" w:rsidRDefault="0074387B" w:rsidP="000A18CF">
            <w:pPr>
              <w:spacing w:after="0" w:line="240" w:lineRule="auto"/>
              <w:jc w:val="both"/>
              <w:rPr>
                <w:rFonts w:ascii="Times New Roman" w:eastAsia="Arial Unicode MS" w:hAnsi="Times New Roman" w:cs="Times New Roman"/>
                <w:b/>
                <w:sz w:val="24"/>
                <w:szCs w:val="24"/>
              </w:rPr>
            </w:pPr>
            <w:r>
              <w:rPr>
                <w:rFonts w:ascii="Times New Roman" w:hAnsi="Times New Roman"/>
                <w:b/>
                <w:sz w:val="24"/>
              </w:rPr>
              <w:t>conditional cessation criminal proceedings</w:t>
            </w:r>
          </w:p>
        </w:tc>
        <w:tc>
          <w:tcPr>
            <w:tcW w:w="1518"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b/>
                <w:sz w:val="24"/>
                <w:szCs w:val="24"/>
              </w:rPr>
            </w:pPr>
            <w:r w:rsidRPr="009F35C6">
              <w:rPr>
                <w:rFonts w:ascii="Times New Roman" w:hAnsi="Times New Roman"/>
                <w:b/>
                <w:sz w:val="24"/>
              </w:rPr>
              <w:t>convicted persons</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328</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329</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30</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11</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18</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17</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332</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333</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66</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28</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28</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46</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336</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16</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4</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13</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336a</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13</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3</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8</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r w:rsidRPr="009F35C6">
              <w:rPr>
                <w:rFonts w:ascii="Times New Roman" w:hAnsi="Times New Roman"/>
                <w:sz w:val="24"/>
              </w:rPr>
              <w:t>336b</w:t>
            </w: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w:t>
            </w: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w:t>
            </w: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0</w:t>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w:t>
            </w:r>
          </w:p>
        </w:tc>
      </w:tr>
      <w:tr w:rsidR="001615FB" w:rsidRPr="009F35C6" w:rsidTr="00DF4B70">
        <w:trPr>
          <w:trHeight w:val="454"/>
          <w:tblCellSpacing w:w="20" w:type="dxa"/>
        </w:trPr>
        <w:tc>
          <w:tcPr>
            <w:tcW w:w="885" w:type="dxa"/>
            <w:shd w:val="clear" w:color="auto" w:fill="auto"/>
            <w:vAlign w:val="center"/>
          </w:tcPr>
          <w:p w:rsidR="001615FB" w:rsidRPr="009F35C6" w:rsidRDefault="001615FB" w:rsidP="000A18CF">
            <w:pPr>
              <w:spacing w:after="0" w:line="240" w:lineRule="auto"/>
              <w:jc w:val="both"/>
              <w:rPr>
                <w:rFonts w:ascii="Times New Roman" w:eastAsia="Arial Unicode MS" w:hAnsi="Times New Roman" w:cs="Times New Roman"/>
                <w:sz w:val="24"/>
                <w:szCs w:val="24"/>
              </w:rPr>
            </w:pPr>
          </w:p>
        </w:tc>
        <w:tc>
          <w:tcPr>
            <w:tcW w:w="1417"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135</w:t>
            </w:r>
          </w:p>
          <w:p w:rsidR="001615FB" w:rsidRPr="009F35C6" w:rsidRDefault="001615FB" w:rsidP="0074387B">
            <w:pPr>
              <w:spacing w:after="0" w:line="240" w:lineRule="auto"/>
              <w:jc w:val="center"/>
              <w:rPr>
                <w:rFonts w:ascii="Times New Roman" w:eastAsia="Arial Unicode MS" w:hAnsi="Times New Roman" w:cs="Times New Roman"/>
                <w:sz w:val="24"/>
                <w:szCs w:val="24"/>
              </w:rPr>
            </w:pPr>
          </w:p>
        </w:tc>
        <w:tc>
          <w:tcPr>
            <w:tcW w:w="1543"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48</w:t>
            </w:r>
          </w:p>
          <w:p w:rsidR="001615FB" w:rsidRPr="009F35C6" w:rsidRDefault="001615FB" w:rsidP="0074387B">
            <w:pPr>
              <w:spacing w:after="0" w:line="240" w:lineRule="auto"/>
              <w:jc w:val="center"/>
              <w:rPr>
                <w:rFonts w:ascii="Times New Roman" w:eastAsia="Arial Unicode MS" w:hAnsi="Times New Roman" w:cs="Times New Roman"/>
                <w:sz w:val="24"/>
                <w:szCs w:val="24"/>
              </w:rPr>
            </w:pP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hAnsi="Times New Roman"/>
                <w:sz w:val="24"/>
              </w:rPr>
              <w:t>63</w:t>
            </w:r>
          </w:p>
          <w:p w:rsidR="001615FB" w:rsidRPr="009F35C6" w:rsidRDefault="001615FB" w:rsidP="0074387B">
            <w:pPr>
              <w:spacing w:after="0" w:line="240" w:lineRule="auto"/>
              <w:jc w:val="center"/>
              <w:rPr>
                <w:rFonts w:ascii="Times New Roman" w:eastAsia="Arial Unicode MS" w:hAnsi="Times New Roman" w:cs="Times New Roman"/>
                <w:sz w:val="24"/>
                <w:szCs w:val="24"/>
              </w:rPr>
            </w:pPr>
          </w:p>
        </w:tc>
        <w:tc>
          <w:tcPr>
            <w:tcW w:w="153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0</w:t>
            </w:r>
            <w:r w:rsidRPr="009F35C6">
              <w:rPr>
                <w:rFonts w:ascii="Times New Roman" w:eastAsia="Arial Unicode MS" w:hAnsi="Times New Roman" w:cs="Times New Roman"/>
                <w:sz w:val="24"/>
                <w:szCs w:val="24"/>
              </w:rPr>
              <w:fldChar w:fldCharType="end"/>
            </w:r>
          </w:p>
        </w:tc>
        <w:tc>
          <w:tcPr>
            <w:tcW w:w="1518" w:type="dxa"/>
            <w:shd w:val="clear" w:color="auto" w:fill="auto"/>
            <w:vAlign w:val="center"/>
          </w:tcPr>
          <w:p w:rsidR="001615FB" w:rsidRPr="009F35C6" w:rsidRDefault="001615FB" w:rsidP="0074387B">
            <w:pPr>
              <w:spacing w:after="0" w:line="240" w:lineRule="auto"/>
              <w:jc w:val="center"/>
              <w:rPr>
                <w:rFonts w:ascii="Times New Roman" w:eastAsia="Arial Unicode MS" w:hAnsi="Times New Roman" w:cs="Times New Roman"/>
                <w:sz w:val="24"/>
                <w:szCs w:val="24"/>
              </w:rPr>
            </w:pPr>
            <w:r w:rsidRPr="009F35C6">
              <w:rPr>
                <w:rFonts w:ascii="Times New Roman" w:eastAsia="Arial Unicode MS" w:hAnsi="Times New Roman" w:cs="Times New Roman"/>
                <w:sz w:val="24"/>
                <w:szCs w:val="24"/>
              </w:rPr>
              <w:fldChar w:fldCharType="begin"/>
            </w:r>
            <w:r w:rsidRPr="009F35C6">
              <w:rPr>
                <w:rFonts w:ascii="Times New Roman" w:eastAsia="Arial Unicode MS" w:hAnsi="Times New Roman" w:cs="Times New Roman"/>
                <w:sz w:val="24"/>
                <w:szCs w:val="24"/>
              </w:rPr>
              <w:instrText xml:space="preserve"> =SUM(ABOVE) </w:instrText>
            </w:r>
            <w:r w:rsidRPr="009F35C6">
              <w:rPr>
                <w:rFonts w:ascii="Times New Roman" w:eastAsia="Arial Unicode MS" w:hAnsi="Times New Roman" w:cs="Times New Roman"/>
                <w:sz w:val="24"/>
                <w:szCs w:val="24"/>
              </w:rPr>
              <w:fldChar w:fldCharType="separate"/>
            </w:r>
            <w:r w:rsidRPr="009F35C6">
              <w:rPr>
                <w:rFonts w:ascii="Times New Roman" w:eastAsia="Arial Unicode MS" w:hAnsi="Times New Roman" w:cs="Times New Roman"/>
                <w:noProof/>
                <w:sz w:val="24"/>
                <w:szCs w:val="24"/>
              </w:rPr>
              <w:t>93</w:t>
            </w:r>
            <w:r w:rsidRPr="009F35C6">
              <w:rPr>
                <w:rFonts w:ascii="Times New Roman" w:eastAsia="Arial Unicode MS" w:hAnsi="Times New Roman" w:cs="Times New Roman"/>
                <w:sz w:val="24"/>
                <w:szCs w:val="24"/>
              </w:rPr>
              <w:fldChar w:fldCharType="end"/>
            </w:r>
          </w:p>
        </w:tc>
      </w:tr>
    </w:tbl>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7A5A18"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3</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jc w:val="both"/>
        <w:rPr>
          <w:rFonts w:ascii="Times New Roman" w:hAnsi="Times New Roman" w:cs="Times New Roman"/>
          <w:b/>
          <w:sz w:val="24"/>
          <w:szCs w:val="24"/>
        </w:rPr>
      </w:pPr>
      <w:r w:rsidRPr="009F35C6">
        <w:rPr>
          <w:rFonts w:ascii="Times New Roman" w:hAnsi="Times New Roman"/>
          <w:b/>
          <w:sz w:val="24"/>
        </w:rPr>
        <w:t>Reduction of poverty and social exclusion</w:t>
      </w:r>
    </w:p>
    <w:p w:rsidR="007A5A18" w:rsidRDefault="007A5A18" w:rsidP="001615FB">
      <w:pPr>
        <w:spacing w:after="0" w:line="240" w:lineRule="auto"/>
        <w:jc w:val="both"/>
        <w:rPr>
          <w:rFonts w:ascii="Times New Roman" w:hAnsi="Times New Roman"/>
          <w:sz w:val="24"/>
        </w:rPr>
      </w:pPr>
    </w:p>
    <w:p w:rsidR="001615FB" w:rsidRPr="00434571" w:rsidRDefault="001615FB" w:rsidP="007A5A18">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7A5A18">
        <w:rPr>
          <w:rFonts w:ascii="Times New Roman" w:hAnsi="Times New Roman"/>
          <w:sz w:val="24"/>
        </w:rPr>
        <w:t xml:space="preserve">The reduction of poverty and social exclusion is one of the long-term priorities of the public policies in Slovakia. This agenda is present in legislation, policy and strategic documents in Slovakia. As a social country, Slovakia has a defined system of social security, which significantly reduces the risk of poverty by configuring and providing social transfers, while also making services available (social </w:t>
      </w:r>
      <w:r w:rsidRPr="007A5A18">
        <w:rPr>
          <w:rFonts w:ascii="Times New Roman" w:hAnsi="Times New Roman"/>
          <w:sz w:val="24"/>
        </w:rPr>
        <w:lastRenderedPageBreak/>
        <w:t>services, social protection of children and social guardianship, active labour market measures, etc</w:t>
      </w:r>
      <w:r w:rsidR="00B93369" w:rsidRPr="007A5A18">
        <w:rPr>
          <w:rFonts w:ascii="Times New Roman" w:hAnsi="Times New Roman"/>
          <w:sz w:val="24"/>
        </w:rPr>
        <w:t>.)</w:t>
      </w:r>
      <w:r w:rsidR="007662B5">
        <w:rPr>
          <w:rFonts w:ascii="Times New Roman" w:hAnsi="Times New Roman"/>
          <w:sz w:val="24"/>
        </w:rPr>
        <w:t xml:space="preserve">. </w:t>
      </w:r>
      <w:r w:rsidRPr="007A5A18">
        <w:rPr>
          <w:rFonts w:ascii="Times New Roman" w:hAnsi="Times New Roman"/>
          <w:sz w:val="24"/>
        </w:rPr>
        <w:t>The reduction of poverty and social exclusion are tackled in a comprehensive manner as a problem related to multiple thematic areas on several levels. This approach requires measures focused on improving employability on the labour market, which opens up job opportunities, and other key aspects, such as measures to reconcile the work-life balance, support for preschool education, housing support, etc. The above means that measures focused on the elimination of poverty are implemented under the auspices of multiple departments.</w:t>
      </w:r>
    </w:p>
    <w:p w:rsidR="00434571" w:rsidRDefault="00434571" w:rsidP="00434571">
      <w:pPr>
        <w:spacing w:after="0" w:line="240" w:lineRule="auto"/>
        <w:jc w:val="both"/>
        <w:rPr>
          <w:rFonts w:ascii="Times New Roman" w:hAnsi="Times New Roman" w:cs="Times New Roman"/>
          <w:sz w:val="24"/>
          <w:szCs w:val="24"/>
        </w:rPr>
      </w:pPr>
    </w:p>
    <w:p w:rsidR="00434571" w:rsidRPr="00434571" w:rsidRDefault="00434571" w:rsidP="00434571">
      <w:pPr>
        <w:spacing w:after="0" w:line="240" w:lineRule="auto"/>
        <w:jc w:val="both"/>
        <w:rPr>
          <w:rFonts w:ascii="Times New Roman" w:hAnsi="Times New Roman" w:cs="Times New Roman"/>
          <w:sz w:val="24"/>
          <w:szCs w:val="24"/>
        </w:rPr>
      </w:pPr>
      <w:r w:rsidRPr="00434571">
        <w:rPr>
          <w:noProof/>
          <w:lang w:bidi="ar-SA"/>
        </w:rPr>
        <w:drawing>
          <wp:inline distT="0" distB="0" distL="0" distR="0">
            <wp:extent cx="5760720" cy="91811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18115"/>
                    </a:xfrm>
                    <a:prstGeom prst="rect">
                      <a:avLst/>
                    </a:prstGeom>
                    <a:noFill/>
                    <a:ln>
                      <a:noFill/>
                    </a:ln>
                  </pic:spPr>
                </pic:pic>
              </a:graphicData>
            </a:graphic>
          </wp:inline>
        </w:drawing>
      </w:r>
    </w:p>
    <w:p w:rsidR="00434571" w:rsidRPr="00434571" w:rsidRDefault="00434571" w:rsidP="001615FB">
      <w:pPr>
        <w:spacing w:line="240" w:lineRule="auto"/>
        <w:jc w:val="both"/>
        <w:rPr>
          <w:rFonts w:ascii="Times New Roman" w:hAnsi="Times New Roman" w:cs="Times New Roman"/>
          <w:b/>
          <w:i/>
          <w:sz w:val="24"/>
          <w:szCs w:val="24"/>
        </w:rPr>
      </w:pPr>
      <w:r w:rsidRPr="009F35C6">
        <w:rPr>
          <w:rFonts w:ascii="Times New Roman" w:hAnsi="Times New Roman"/>
          <w:b/>
          <w:sz w:val="24"/>
        </w:rPr>
        <w:t>Source: Eurostat</w:t>
      </w:r>
    </w:p>
    <w:p w:rsidR="001615FB" w:rsidRPr="009F35C6" w:rsidRDefault="001615FB" w:rsidP="001615FB">
      <w:pPr>
        <w:spacing w:line="240" w:lineRule="auto"/>
        <w:jc w:val="both"/>
        <w:rPr>
          <w:rFonts w:ascii="Times New Roman" w:hAnsi="Times New Roman" w:cs="Times New Roman"/>
          <w:b/>
          <w:iCs/>
          <w:sz w:val="24"/>
          <w:szCs w:val="24"/>
        </w:rPr>
      </w:pPr>
      <w:r w:rsidRPr="009F35C6">
        <w:rPr>
          <w:rFonts w:ascii="Times New Roman" w:hAnsi="Times New Roman"/>
          <w:b/>
          <w:sz w:val="24"/>
        </w:rPr>
        <w:t xml:space="preserve">Table </w:t>
      </w:r>
      <w:r w:rsidRPr="009F35C6">
        <w:rPr>
          <w:rFonts w:ascii="Times New Roman" w:hAnsi="Times New Roman" w:cs="Times New Roman"/>
          <w:b/>
          <w:iCs/>
          <w:sz w:val="24"/>
          <w:szCs w:val="24"/>
        </w:rPr>
        <w:fldChar w:fldCharType="begin"/>
      </w:r>
      <w:r w:rsidRPr="009F35C6">
        <w:rPr>
          <w:rFonts w:ascii="Times New Roman" w:hAnsi="Times New Roman" w:cs="Times New Roman"/>
          <w:b/>
          <w:iCs/>
          <w:sz w:val="24"/>
          <w:szCs w:val="24"/>
        </w:rPr>
        <w:instrText xml:space="preserve"> SEQ Tabuľka \* ARABIC </w:instrText>
      </w:r>
      <w:r w:rsidRPr="009F35C6">
        <w:rPr>
          <w:rFonts w:ascii="Times New Roman" w:hAnsi="Times New Roman" w:cs="Times New Roman"/>
          <w:b/>
          <w:iCs/>
          <w:sz w:val="24"/>
          <w:szCs w:val="24"/>
        </w:rPr>
        <w:fldChar w:fldCharType="separate"/>
      </w:r>
      <w:r w:rsidR="00697360">
        <w:rPr>
          <w:rFonts w:ascii="Times New Roman" w:hAnsi="Times New Roman" w:cs="Times New Roman"/>
          <w:b/>
          <w:iCs/>
          <w:noProof/>
          <w:sz w:val="24"/>
          <w:szCs w:val="24"/>
        </w:rPr>
        <w:t>1</w:t>
      </w:r>
      <w:r w:rsidRPr="009F35C6">
        <w:rPr>
          <w:rFonts w:ascii="Times New Roman" w:hAnsi="Times New Roman" w:cs="Times New Roman"/>
          <w:b/>
          <w:sz w:val="24"/>
          <w:szCs w:val="24"/>
        </w:rPr>
        <w:fldChar w:fldCharType="end"/>
      </w:r>
      <w:r w:rsidRPr="009F35C6">
        <w:rPr>
          <w:rFonts w:ascii="Times New Roman" w:hAnsi="Times New Roman"/>
          <w:b/>
          <w:sz w:val="24"/>
        </w:rPr>
        <w:t xml:space="preserve"> Level of poverty risk in %</w:t>
      </w:r>
    </w:p>
    <w:tbl>
      <w:tblPr>
        <w:tblW w:w="4653" w:type="pct"/>
        <w:tblInd w:w="5" w:type="dxa"/>
        <w:tblCellMar>
          <w:left w:w="70" w:type="dxa"/>
          <w:right w:w="70" w:type="dxa"/>
        </w:tblCellMar>
        <w:tblLook w:val="04A0" w:firstRow="1" w:lastRow="0" w:firstColumn="1" w:lastColumn="0" w:noHBand="0" w:noVBand="1"/>
      </w:tblPr>
      <w:tblGrid>
        <w:gridCol w:w="4894"/>
        <w:gridCol w:w="620"/>
        <w:gridCol w:w="620"/>
        <w:gridCol w:w="561"/>
        <w:gridCol w:w="70"/>
        <w:gridCol w:w="620"/>
        <w:gridCol w:w="620"/>
        <w:gridCol w:w="620"/>
      </w:tblGrid>
      <w:tr w:rsidR="001615FB" w:rsidRPr="009F35C6" w:rsidTr="000A18CF">
        <w:trPr>
          <w:trHeight w:val="300"/>
        </w:trPr>
        <w:tc>
          <w:tcPr>
            <w:tcW w:w="2762" w:type="pct"/>
            <w:tcBorders>
              <w:top w:val="single" w:sz="4" w:space="0" w:color="auto"/>
              <w:left w:val="single" w:sz="4" w:space="0" w:color="auto"/>
              <w:bottom w:val="single" w:sz="4" w:space="0" w:color="auto"/>
              <w:right w:val="single" w:sz="4" w:space="0" w:color="auto"/>
            </w:tcBorders>
            <w:shd w:val="clear" w:color="auto" w:fill="DC8DA5"/>
            <w:noWrap/>
            <w:vAlign w:val="bottom"/>
            <w:hideMark/>
          </w:tcPr>
          <w:p w:rsidR="001615FB" w:rsidRPr="009F35C6" w:rsidRDefault="001615FB" w:rsidP="000A18CF">
            <w:pPr>
              <w:spacing w:line="240" w:lineRule="auto"/>
              <w:jc w:val="both"/>
              <w:rPr>
                <w:rFonts w:ascii="Times New Roman" w:hAnsi="Times New Roman" w:cs="Times New Roman"/>
                <w:b/>
                <w:bCs/>
                <w:iCs/>
                <w:sz w:val="24"/>
                <w:szCs w:val="24"/>
              </w:rPr>
            </w:pPr>
            <w:r w:rsidRPr="009F35C6">
              <w:rPr>
                <w:rFonts w:ascii="Times New Roman" w:hAnsi="Times New Roman"/>
                <w:b/>
                <w:sz w:val="24"/>
              </w:rPr>
              <w:t> </w:t>
            </w:r>
          </w:p>
        </w:tc>
        <w:tc>
          <w:tcPr>
            <w:tcW w:w="368" w:type="pct"/>
            <w:tcBorders>
              <w:top w:val="single" w:sz="4" w:space="0" w:color="auto"/>
              <w:left w:val="nil"/>
              <w:bottom w:val="single" w:sz="4" w:space="0" w:color="auto"/>
              <w:right w:val="single" w:sz="4" w:space="0" w:color="auto"/>
            </w:tcBorders>
            <w:shd w:val="clear" w:color="auto" w:fill="DC8DA5"/>
            <w:noWrap/>
            <w:vAlign w:val="center"/>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2012</w:t>
            </w:r>
          </w:p>
        </w:tc>
        <w:tc>
          <w:tcPr>
            <w:tcW w:w="400" w:type="pct"/>
            <w:tcBorders>
              <w:top w:val="single" w:sz="4" w:space="0" w:color="auto"/>
              <w:left w:val="nil"/>
              <w:bottom w:val="single" w:sz="4" w:space="0" w:color="auto"/>
              <w:right w:val="single" w:sz="4" w:space="0" w:color="auto"/>
            </w:tcBorders>
            <w:shd w:val="clear" w:color="auto" w:fill="DC8DA5"/>
            <w:noWrap/>
            <w:vAlign w:val="center"/>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2013</w:t>
            </w:r>
          </w:p>
        </w:tc>
        <w:tc>
          <w:tcPr>
            <w:tcW w:w="415" w:type="pct"/>
            <w:gridSpan w:val="2"/>
            <w:tcBorders>
              <w:top w:val="single" w:sz="4" w:space="0" w:color="auto"/>
              <w:left w:val="nil"/>
              <w:bottom w:val="single" w:sz="4" w:space="0" w:color="auto"/>
              <w:right w:val="single" w:sz="4" w:space="0" w:color="auto"/>
            </w:tcBorders>
            <w:shd w:val="clear" w:color="auto" w:fill="DC8DA5"/>
            <w:noWrap/>
            <w:vAlign w:val="center"/>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2014</w:t>
            </w:r>
          </w:p>
        </w:tc>
        <w:tc>
          <w:tcPr>
            <w:tcW w:w="320" w:type="pct"/>
            <w:tcBorders>
              <w:top w:val="single" w:sz="4" w:space="0" w:color="auto"/>
              <w:left w:val="nil"/>
              <w:bottom w:val="single" w:sz="4" w:space="0" w:color="auto"/>
              <w:right w:val="single" w:sz="4" w:space="0" w:color="auto"/>
            </w:tcBorders>
            <w:shd w:val="clear" w:color="auto" w:fill="DC8DA5"/>
            <w:noWrap/>
            <w:vAlign w:val="center"/>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2015</w:t>
            </w:r>
          </w:p>
        </w:tc>
        <w:tc>
          <w:tcPr>
            <w:tcW w:w="368" w:type="pct"/>
            <w:tcBorders>
              <w:top w:val="single" w:sz="4" w:space="0" w:color="auto"/>
              <w:left w:val="nil"/>
              <w:bottom w:val="single" w:sz="4" w:space="0" w:color="auto"/>
              <w:right w:val="single" w:sz="4" w:space="0" w:color="auto"/>
            </w:tcBorders>
            <w:shd w:val="clear" w:color="auto" w:fill="DC8DA5"/>
            <w:noWrap/>
            <w:vAlign w:val="center"/>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2016</w:t>
            </w:r>
          </w:p>
        </w:tc>
        <w:tc>
          <w:tcPr>
            <w:tcW w:w="368" w:type="pct"/>
            <w:tcBorders>
              <w:top w:val="single" w:sz="4" w:space="0" w:color="auto"/>
              <w:left w:val="nil"/>
              <w:bottom w:val="single" w:sz="4" w:space="0" w:color="auto"/>
              <w:right w:val="single" w:sz="4" w:space="0" w:color="auto"/>
            </w:tcBorders>
            <w:shd w:val="clear" w:color="auto" w:fill="DC8DA5"/>
            <w:vAlign w:val="center"/>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2017</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Persons, total</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13.2</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12.8</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12.6</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12.3</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12.7</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12.4</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Individual</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19.3</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15.5</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15.7</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15.0</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15.5</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18.2</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Individual with dependent children</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27.5</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30.1</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30.6</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29.9</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33.6</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37.3</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Two adults under 65</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6.9</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6.3</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7.5</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6.9</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5.4</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7.2</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Two adults with 1 dependent child</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12.4</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10.0</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13.2</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9.2</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10.5</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9.8</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lastRenderedPageBreak/>
              <w:t>Two adults with 2 dependent children</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14.3</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13.2</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11.4</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14.7</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14.8</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14.7</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Two adults with 3 or more dependent children</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35.1</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29.9</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28.4</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32.9</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34.8</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35</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Other households without dependent children</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9.0</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7.5</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8.6</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7.9</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7.2</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7.6</w:t>
            </w:r>
          </w:p>
        </w:tc>
      </w:tr>
      <w:tr w:rsidR="001615FB" w:rsidRPr="009F35C6" w:rsidTr="000A18CF">
        <w:trPr>
          <w:trHeight w:val="300"/>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Other households with dependent children</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16.5</w:t>
            </w:r>
          </w:p>
        </w:tc>
        <w:tc>
          <w:tcPr>
            <w:tcW w:w="400"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16.3</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16.0</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15.7</w:t>
            </w:r>
          </w:p>
        </w:tc>
        <w:tc>
          <w:tcPr>
            <w:tcW w:w="368" w:type="pct"/>
            <w:tcBorders>
              <w:top w:val="nil"/>
              <w:left w:val="nil"/>
              <w:bottom w:val="single" w:sz="4" w:space="0" w:color="auto"/>
              <w:right w:val="single" w:sz="4" w:space="0" w:color="auto"/>
            </w:tcBorders>
            <w:shd w:val="clear" w:color="auto" w:fill="auto"/>
            <w:noWrap/>
            <w:vAlign w:val="center"/>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17.2</w:t>
            </w:r>
          </w:p>
        </w:tc>
        <w:tc>
          <w:tcPr>
            <w:tcW w:w="368" w:type="pct"/>
            <w:tcBorders>
              <w:top w:val="nil"/>
              <w:left w:val="nil"/>
              <w:bottom w:val="single" w:sz="4" w:space="0" w:color="auto"/>
              <w:right w:val="single" w:sz="4" w:space="0" w:color="auto"/>
            </w:tcBorders>
            <w:vAlign w:val="center"/>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16.2</w:t>
            </w:r>
          </w:p>
        </w:tc>
      </w:tr>
    </w:tbl>
    <w:p w:rsidR="001615FB" w:rsidRPr="009F35C6" w:rsidRDefault="001615FB" w:rsidP="001615FB">
      <w:pPr>
        <w:spacing w:line="240" w:lineRule="auto"/>
        <w:jc w:val="both"/>
        <w:rPr>
          <w:rFonts w:ascii="Times New Roman" w:hAnsi="Times New Roman" w:cs="Times New Roman"/>
          <w:b/>
          <w:i/>
          <w:sz w:val="24"/>
          <w:szCs w:val="24"/>
        </w:rPr>
      </w:pPr>
      <w:r w:rsidRPr="009F35C6">
        <w:rPr>
          <w:rFonts w:ascii="Times New Roman" w:hAnsi="Times New Roman"/>
          <w:b/>
          <w:i/>
          <w:sz w:val="24"/>
        </w:rPr>
        <w:t xml:space="preserve">Source: Statistical Office of the Slovak Republic - SILC. Data for 2017: </w:t>
      </w:r>
      <w:hyperlink r:id="rId10">
        <w:r w:rsidRPr="009F35C6">
          <w:rPr>
            <w:rStyle w:val="Hyperlink"/>
            <w:rFonts w:ascii="Times New Roman" w:hAnsi="Times New Roman"/>
            <w:b/>
            <w:i/>
            <w:color w:val="auto"/>
            <w:sz w:val="24"/>
          </w:rPr>
          <w:t>https://goo.gl/XeWavK</w:t>
        </w:r>
      </w:hyperlink>
      <w:r w:rsidRPr="009F35C6">
        <w:rPr>
          <w:rFonts w:ascii="Times New Roman" w:hAnsi="Times New Roman"/>
          <w:b/>
          <w:i/>
          <w:sz w:val="24"/>
        </w:rPr>
        <w:t xml:space="preserve"> </w:t>
      </w:r>
    </w:p>
    <w:p w:rsidR="007A5A18" w:rsidRDefault="007A5A18" w:rsidP="001615FB">
      <w:pPr>
        <w:spacing w:line="240" w:lineRule="auto"/>
        <w:jc w:val="both"/>
        <w:rPr>
          <w:rFonts w:ascii="Times New Roman" w:hAnsi="Times New Roman"/>
          <w:b/>
          <w:sz w:val="24"/>
        </w:rPr>
      </w:pPr>
    </w:p>
    <w:p w:rsidR="001615FB" w:rsidRPr="009F35C6" w:rsidRDefault="001615FB" w:rsidP="001615FB">
      <w:pPr>
        <w:spacing w:line="240" w:lineRule="auto"/>
        <w:jc w:val="both"/>
        <w:rPr>
          <w:rFonts w:ascii="Times New Roman" w:hAnsi="Times New Roman" w:cs="Times New Roman"/>
          <w:b/>
          <w:iCs/>
          <w:sz w:val="24"/>
          <w:szCs w:val="24"/>
        </w:rPr>
      </w:pPr>
      <w:r w:rsidRPr="009F35C6">
        <w:rPr>
          <w:rFonts w:ascii="Times New Roman" w:hAnsi="Times New Roman"/>
          <w:b/>
          <w:sz w:val="24"/>
        </w:rPr>
        <w:t xml:space="preserve">Table </w:t>
      </w:r>
      <w:r w:rsidRPr="009F35C6">
        <w:rPr>
          <w:rFonts w:ascii="Times New Roman" w:hAnsi="Times New Roman" w:cs="Times New Roman"/>
          <w:b/>
          <w:iCs/>
          <w:sz w:val="24"/>
          <w:szCs w:val="24"/>
        </w:rPr>
        <w:fldChar w:fldCharType="begin"/>
      </w:r>
      <w:r w:rsidRPr="009F35C6">
        <w:rPr>
          <w:rFonts w:ascii="Times New Roman" w:hAnsi="Times New Roman" w:cs="Times New Roman"/>
          <w:b/>
          <w:iCs/>
          <w:sz w:val="24"/>
          <w:szCs w:val="24"/>
        </w:rPr>
        <w:instrText xml:space="preserve"> SEQ Tabuľka \* ARABIC </w:instrText>
      </w:r>
      <w:r w:rsidRPr="009F35C6">
        <w:rPr>
          <w:rFonts w:ascii="Times New Roman" w:hAnsi="Times New Roman" w:cs="Times New Roman"/>
          <w:b/>
          <w:iCs/>
          <w:sz w:val="24"/>
          <w:szCs w:val="24"/>
        </w:rPr>
        <w:fldChar w:fldCharType="separate"/>
      </w:r>
      <w:r w:rsidR="00697360">
        <w:rPr>
          <w:rFonts w:ascii="Times New Roman" w:hAnsi="Times New Roman" w:cs="Times New Roman"/>
          <w:b/>
          <w:iCs/>
          <w:noProof/>
          <w:sz w:val="24"/>
          <w:szCs w:val="24"/>
        </w:rPr>
        <w:t>2</w:t>
      </w:r>
      <w:r w:rsidRPr="009F35C6">
        <w:rPr>
          <w:rFonts w:ascii="Times New Roman" w:hAnsi="Times New Roman" w:cs="Times New Roman"/>
          <w:b/>
          <w:sz w:val="24"/>
          <w:szCs w:val="24"/>
        </w:rPr>
        <w:fldChar w:fldCharType="end"/>
      </w:r>
      <w:r w:rsidRPr="009F35C6">
        <w:rPr>
          <w:rFonts w:ascii="Times New Roman" w:hAnsi="Times New Roman"/>
          <w:b/>
          <w:sz w:val="24"/>
        </w:rPr>
        <w:t xml:space="preserve"> Inequality rate</w:t>
      </w:r>
    </w:p>
    <w:tbl>
      <w:tblPr>
        <w:tblW w:w="5000" w:type="pct"/>
        <w:tblCellMar>
          <w:left w:w="70" w:type="dxa"/>
          <w:right w:w="70" w:type="dxa"/>
        </w:tblCellMar>
        <w:tblLook w:val="04A0" w:firstRow="1" w:lastRow="0" w:firstColumn="1" w:lastColumn="0" w:noHBand="0" w:noVBand="1"/>
      </w:tblPr>
      <w:tblGrid>
        <w:gridCol w:w="5309"/>
        <w:gridCol w:w="620"/>
        <w:gridCol w:w="620"/>
        <w:gridCol w:w="653"/>
        <w:gridCol w:w="620"/>
        <w:gridCol w:w="620"/>
        <w:gridCol w:w="620"/>
      </w:tblGrid>
      <w:tr w:rsidR="001615FB" w:rsidRPr="009F35C6" w:rsidTr="000A18CF">
        <w:trPr>
          <w:trHeight w:val="300"/>
        </w:trPr>
        <w:tc>
          <w:tcPr>
            <w:tcW w:w="3027" w:type="pct"/>
            <w:tcBorders>
              <w:top w:val="single" w:sz="4" w:space="0" w:color="auto"/>
              <w:left w:val="single" w:sz="4" w:space="0" w:color="auto"/>
              <w:bottom w:val="single" w:sz="4" w:space="0" w:color="auto"/>
              <w:right w:val="single" w:sz="4" w:space="0" w:color="auto"/>
            </w:tcBorders>
            <w:shd w:val="clear" w:color="auto" w:fill="DC8DA5"/>
            <w:noWrap/>
            <w:vAlign w:val="bottom"/>
            <w:hideMark/>
          </w:tcPr>
          <w:p w:rsidR="001615FB" w:rsidRPr="009F35C6" w:rsidRDefault="001615FB" w:rsidP="000A18CF">
            <w:pPr>
              <w:spacing w:line="240" w:lineRule="auto"/>
              <w:jc w:val="both"/>
              <w:rPr>
                <w:rFonts w:ascii="Times New Roman" w:hAnsi="Times New Roman" w:cs="Times New Roman"/>
                <w:b/>
                <w:bCs/>
                <w:iCs/>
                <w:sz w:val="24"/>
                <w:szCs w:val="24"/>
              </w:rPr>
            </w:pPr>
            <w:r w:rsidRPr="009F35C6">
              <w:rPr>
                <w:rFonts w:ascii="Times New Roman" w:hAnsi="Times New Roman"/>
                <w:b/>
                <w:sz w:val="24"/>
              </w:rPr>
              <w:t> </w:t>
            </w:r>
          </w:p>
        </w:tc>
        <w:tc>
          <w:tcPr>
            <w:tcW w:w="329" w:type="pct"/>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2012</w:t>
            </w:r>
          </w:p>
        </w:tc>
        <w:tc>
          <w:tcPr>
            <w:tcW w:w="329" w:type="pct"/>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2013</w:t>
            </w:r>
          </w:p>
        </w:tc>
        <w:tc>
          <w:tcPr>
            <w:tcW w:w="458" w:type="pct"/>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2014</w:t>
            </w:r>
          </w:p>
        </w:tc>
        <w:tc>
          <w:tcPr>
            <w:tcW w:w="200" w:type="pct"/>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2015</w:t>
            </w:r>
          </w:p>
        </w:tc>
        <w:tc>
          <w:tcPr>
            <w:tcW w:w="329" w:type="pct"/>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2016</w:t>
            </w:r>
          </w:p>
        </w:tc>
        <w:tc>
          <w:tcPr>
            <w:tcW w:w="329" w:type="pct"/>
            <w:tcBorders>
              <w:top w:val="single" w:sz="4" w:space="0" w:color="auto"/>
              <w:left w:val="nil"/>
              <w:bottom w:val="single" w:sz="4" w:space="0" w:color="auto"/>
              <w:right w:val="single" w:sz="4" w:space="0" w:color="auto"/>
            </w:tcBorders>
            <w:shd w:val="clear" w:color="auto" w:fill="DC8DA5"/>
            <w:vAlign w:val="bottom"/>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2017</w:t>
            </w:r>
          </w:p>
        </w:tc>
      </w:tr>
      <w:tr w:rsidR="001615FB" w:rsidRPr="009F35C6" w:rsidTr="000A18CF">
        <w:trPr>
          <w:trHeight w:val="300"/>
        </w:trPr>
        <w:tc>
          <w:tcPr>
            <w:tcW w:w="3027"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Gini coefficient</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25.3</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24.2</w:t>
            </w:r>
          </w:p>
        </w:tc>
        <w:tc>
          <w:tcPr>
            <w:tcW w:w="458"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26.1</w:t>
            </w:r>
          </w:p>
        </w:tc>
        <w:tc>
          <w:tcPr>
            <w:tcW w:w="200"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23.7</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24.3</w:t>
            </w:r>
          </w:p>
        </w:tc>
        <w:tc>
          <w:tcPr>
            <w:tcW w:w="329" w:type="pct"/>
            <w:tcBorders>
              <w:top w:val="nil"/>
              <w:left w:val="nil"/>
              <w:bottom w:val="single" w:sz="4" w:space="0" w:color="auto"/>
              <w:right w:val="single" w:sz="4" w:space="0" w:color="auto"/>
            </w:tcBorders>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23.2</w:t>
            </w:r>
          </w:p>
        </w:tc>
      </w:tr>
      <w:tr w:rsidR="001615FB" w:rsidRPr="009F35C6" w:rsidTr="000A18CF">
        <w:trPr>
          <w:trHeight w:val="300"/>
        </w:trPr>
        <w:tc>
          <w:tcPr>
            <w:tcW w:w="3027" w:type="pct"/>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Inequality of income distribution - S80/S20 in %</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3.7</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3.6</w:t>
            </w:r>
          </w:p>
        </w:tc>
        <w:tc>
          <w:tcPr>
            <w:tcW w:w="458"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3.9</w:t>
            </w:r>
          </w:p>
        </w:tc>
        <w:tc>
          <w:tcPr>
            <w:tcW w:w="200"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3.5</w:t>
            </w:r>
          </w:p>
        </w:tc>
        <w:tc>
          <w:tcPr>
            <w:tcW w:w="329" w:type="pct"/>
            <w:tcBorders>
              <w:top w:val="nil"/>
              <w:left w:val="nil"/>
              <w:bottom w:val="single" w:sz="4" w:space="0" w:color="auto"/>
              <w:right w:val="single" w:sz="4" w:space="0" w:color="auto"/>
            </w:tcBorders>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3.6</w:t>
            </w:r>
          </w:p>
        </w:tc>
        <w:tc>
          <w:tcPr>
            <w:tcW w:w="329" w:type="pct"/>
            <w:tcBorders>
              <w:top w:val="nil"/>
              <w:left w:val="nil"/>
              <w:bottom w:val="single" w:sz="4" w:space="0" w:color="auto"/>
              <w:right w:val="single" w:sz="4" w:space="0" w:color="auto"/>
            </w:tcBorders>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3.5</w:t>
            </w:r>
          </w:p>
        </w:tc>
      </w:tr>
    </w:tbl>
    <w:p w:rsidR="001615FB" w:rsidRPr="009F35C6" w:rsidRDefault="001615FB" w:rsidP="001615FB">
      <w:pPr>
        <w:spacing w:line="240" w:lineRule="auto"/>
        <w:jc w:val="both"/>
        <w:rPr>
          <w:rFonts w:ascii="Times New Roman" w:hAnsi="Times New Roman" w:cs="Times New Roman"/>
          <w:b/>
          <w:i/>
          <w:sz w:val="24"/>
          <w:szCs w:val="24"/>
          <w:u w:val="single"/>
        </w:rPr>
      </w:pPr>
      <w:r w:rsidRPr="009F35C6">
        <w:rPr>
          <w:rFonts w:ascii="Times New Roman" w:hAnsi="Times New Roman"/>
          <w:b/>
          <w:i/>
          <w:sz w:val="24"/>
        </w:rPr>
        <w:t xml:space="preserve">Source: Statistical Office of the Slovak Republic - SILC. Data for 2017: </w:t>
      </w:r>
      <w:hyperlink r:id="rId11">
        <w:r w:rsidRPr="009F35C6">
          <w:rPr>
            <w:rStyle w:val="Hyperlink"/>
            <w:rFonts w:ascii="Times New Roman" w:hAnsi="Times New Roman"/>
            <w:b/>
            <w:i/>
            <w:color w:val="auto"/>
            <w:sz w:val="24"/>
          </w:rPr>
          <w:t>https://goo.gl/XeWavK</w:t>
        </w:r>
      </w:hyperlink>
    </w:p>
    <w:p w:rsidR="00E71A67" w:rsidRDefault="00E71A67" w:rsidP="001615FB">
      <w:pPr>
        <w:spacing w:line="240" w:lineRule="auto"/>
        <w:jc w:val="both"/>
        <w:rPr>
          <w:rFonts w:ascii="Times New Roman" w:hAnsi="Times New Roman"/>
          <w:b/>
          <w:i/>
          <w:sz w:val="24"/>
        </w:rPr>
      </w:pPr>
    </w:p>
    <w:p w:rsidR="00E71A67" w:rsidRDefault="00E71A67" w:rsidP="001615FB">
      <w:pPr>
        <w:spacing w:line="240" w:lineRule="auto"/>
        <w:jc w:val="both"/>
        <w:rPr>
          <w:rFonts w:ascii="Times New Roman" w:hAnsi="Times New Roman"/>
          <w:b/>
          <w:i/>
          <w:sz w:val="24"/>
        </w:rPr>
      </w:pPr>
    </w:p>
    <w:p w:rsidR="001615FB" w:rsidRPr="009F35C6" w:rsidRDefault="001615FB" w:rsidP="001615FB">
      <w:pPr>
        <w:spacing w:line="240" w:lineRule="auto"/>
        <w:jc w:val="both"/>
        <w:rPr>
          <w:rFonts w:ascii="Times New Roman" w:hAnsi="Times New Roman" w:cs="Times New Roman"/>
          <w:b/>
          <w:iCs/>
          <w:sz w:val="24"/>
          <w:szCs w:val="24"/>
        </w:rPr>
      </w:pPr>
      <w:r w:rsidRPr="009F35C6">
        <w:rPr>
          <w:rFonts w:ascii="Times New Roman" w:hAnsi="Times New Roman"/>
          <w:b/>
          <w:sz w:val="24"/>
        </w:rPr>
        <w:t xml:space="preserve">Table </w:t>
      </w:r>
      <w:r w:rsidRPr="009F35C6">
        <w:rPr>
          <w:rFonts w:ascii="Times New Roman" w:hAnsi="Times New Roman" w:cs="Times New Roman"/>
          <w:b/>
          <w:iCs/>
          <w:sz w:val="24"/>
          <w:szCs w:val="24"/>
        </w:rPr>
        <w:fldChar w:fldCharType="begin"/>
      </w:r>
      <w:r w:rsidRPr="009F35C6">
        <w:rPr>
          <w:rFonts w:ascii="Times New Roman" w:hAnsi="Times New Roman" w:cs="Times New Roman"/>
          <w:b/>
          <w:iCs/>
          <w:sz w:val="24"/>
          <w:szCs w:val="24"/>
        </w:rPr>
        <w:instrText xml:space="preserve"> SEQ Tabuľka \* ARABIC </w:instrText>
      </w:r>
      <w:r w:rsidRPr="009F35C6">
        <w:rPr>
          <w:rFonts w:ascii="Times New Roman" w:hAnsi="Times New Roman" w:cs="Times New Roman"/>
          <w:b/>
          <w:iCs/>
          <w:sz w:val="24"/>
          <w:szCs w:val="24"/>
        </w:rPr>
        <w:fldChar w:fldCharType="separate"/>
      </w:r>
      <w:r w:rsidR="00697360">
        <w:rPr>
          <w:rFonts w:ascii="Times New Roman" w:hAnsi="Times New Roman" w:cs="Times New Roman"/>
          <w:b/>
          <w:iCs/>
          <w:noProof/>
          <w:sz w:val="24"/>
          <w:szCs w:val="24"/>
        </w:rPr>
        <w:t>3</w:t>
      </w:r>
      <w:r w:rsidRPr="009F35C6">
        <w:rPr>
          <w:rFonts w:ascii="Times New Roman" w:hAnsi="Times New Roman" w:cs="Times New Roman"/>
          <w:b/>
          <w:sz w:val="24"/>
          <w:szCs w:val="24"/>
        </w:rPr>
        <w:fldChar w:fldCharType="end"/>
      </w:r>
      <w:r w:rsidRPr="009F35C6">
        <w:rPr>
          <w:rFonts w:ascii="Times New Roman" w:hAnsi="Times New Roman"/>
          <w:b/>
          <w:sz w:val="24"/>
        </w:rPr>
        <w:t xml:space="preserve"> State budget implementation using national method</w:t>
      </w:r>
    </w:p>
    <w:tbl>
      <w:tblPr>
        <w:tblW w:w="8859" w:type="dxa"/>
        <w:tblLayout w:type="fixed"/>
        <w:tblCellMar>
          <w:left w:w="70" w:type="dxa"/>
          <w:right w:w="70" w:type="dxa"/>
        </w:tblCellMar>
        <w:tblLook w:val="04A0" w:firstRow="1" w:lastRow="0" w:firstColumn="1" w:lastColumn="0" w:noHBand="0" w:noVBand="1"/>
      </w:tblPr>
      <w:tblGrid>
        <w:gridCol w:w="2622"/>
        <w:gridCol w:w="850"/>
        <w:gridCol w:w="851"/>
        <w:gridCol w:w="850"/>
        <w:gridCol w:w="993"/>
        <w:gridCol w:w="850"/>
        <w:gridCol w:w="851"/>
        <w:gridCol w:w="992"/>
      </w:tblGrid>
      <w:tr w:rsidR="001615FB" w:rsidRPr="009F35C6" w:rsidTr="000A18CF">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DC8DA5"/>
            <w:noWrap/>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u w:val="single"/>
              </w:rPr>
              <w:t>Actual</w:t>
            </w:r>
            <w:r w:rsidRPr="009F35C6">
              <w:rPr>
                <w:rFonts w:ascii="Times New Roman" w:hAnsi="Times New Roman"/>
                <w:b/>
                <w:sz w:val="24"/>
              </w:rPr>
              <w:t xml:space="preserve"> budget implementation</w:t>
            </w:r>
          </w:p>
        </w:tc>
        <w:tc>
          <w:tcPr>
            <w:tcW w:w="850" w:type="dxa"/>
            <w:tcBorders>
              <w:top w:val="single" w:sz="4" w:space="0" w:color="auto"/>
              <w:left w:val="nil"/>
              <w:bottom w:val="single" w:sz="4" w:space="0" w:color="auto"/>
              <w:right w:val="single" w:sz="4" w:space="0" w:color="auto"/>
            </w:tcBorders>
            <w:shd w:val="clear" w:color="auto" w:fill="DC8DA5"/>
            <w:vAlign w:val="bottom"/>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2012</w:t>
            </w:r>
          </w:p>
        </w:tc>
        <w:tc>
          <w:tcPr>
            <w:tcW w:w="851" w:type="dxa"/>
            <w:tcBorders>
              <w:top w:val="single" w:sz="4" w:space="0" w:color="auto"/>
              <w:left w:val="single" w:sz="4" w:space="0" w:color="auto"/>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2013</w:t>
            </w:r>
          </w:p>
        </w:tc>
        <w:tc>
          <w:tcPr>
            <w:tcW w:w="850" w:type="dxa"/>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2014</w:t>
            </w:r>
          </w:p>
        </w:tc>
        <w:tc>
          <w:tcPr>
            <w:tcW w:w="993" w:type="dxa"/>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2015</w:t>
            </w:r>
          </w:p>
        </w:tc>
        <w:tc>
          <w:tcPr>
            <w:tcW w:w="850" w:type="dxa"/>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2016</w:t>
            </w:r>
          </w:p>
        </w:tc>
        <w:tc>
          <w:tcPr>
            <w:tcW w:w="851" w:type="dxa"/>
            <w:tcBorders>
              <w:top w:val="single" w:sz="4" w:space="0" w:color="auto"/>
              <w:left w:val="nil"/>
              <w:bottom w:val="single" w:sz="4" w:space="0" w:color="auto"/>
              <w:right w:val="single" w:sz="4" w:space="0" w:color="auto"/>
            </w:tcBorders>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2017</w:t>
            </w:r>
          </w:p>
        </w:tc>
        <w:tc>
          <w:tcPr>
            <w:tcW w:w="992" w:type="dxa"/>
            <w:tcBorders>
              <w:top w:val="single" w:sz="4" w:space="0" w:color="auto"/>
              <w:left w:val="nil"/>
              <w:bottom w:val="single" w:sz="4" w:space="0" w:color="auto"/>
              <w:right w:val="single" w:sz="4" w:space="0" w:color="auto"/>
            </w:tcBorders>
            <w:shd w:val="clear" w:color="auto" w:fill="DC8DA5"/>
            <w:vAlign w:val="bottom"/>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2018</w:t>
            </w:r>
          </w:p>
        </w:tc>
      </w:tr>
      <w:tr w:rsidR="001615FB" w:rsidRPr="009F35C6" w:rsidTr="000A18CF">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bCs/>
                <w:sz w:val="24"/>
                <w:szCs w:val="24"/>
              </w:rPr>
            </w:pPr>
            <w:r w:rsidRPr="009F35C6">
              <w:rPr>
                <w:rFonts w:ascii="Times New Roman" w:hAnsi="Times New Roman"/>
                <w:b/>
                <w:sz w:val="24"/>
              </w:rPr>
              <w:t>Share of tax revenues to total revenues in %</w:t>
            </w:r>
          </w:p>
        </w:tc>
        <w:tc>
          <w:tcPr>
            <w:tcW w:w="850" w:type="dxa"/>
            <w:tcBorders>
              <w:top w:val="single" w:sz="4" w:space="0" w:color="auto"/>
              <w:left w:val="nil"/>
              <w:bottom w:val="single" w:sz="4" w:space="0" w:color="auto"/>
              <w:right w:val="single" w:sz="4" w:space="0" w:color="auto"/>
            </w:tcBorders>
            <w:shd w:val="clear" w:color="auto" w:fill="auto"/>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72</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71</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74</w:t>
            </w:r>
          </w:p>
        </w:tc>
        <w:tc>
          <w:tcPr>
            <w:tcW w:w="993"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65</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78</w:t>
            </w:r>
          </w:p>
        </w:tc>
        <w:tc>
          <w:tcPr>
            <w:tcW w:w="851"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80</w:t>
            </w:r>
          </w:p>
        </w:tc>
        <w:tc>
          <w:tcPr>
            <w:tcW w:w="992" w:type="dxa"/>
            <w:tcBorders>
              <w:top w:val="nil"/>
              <w:left w:val="nil"/>
              <w:bottom w:val="single" w:sz="4" w:space="0" w:color="auto"/>
              <w:right w:val="single" w:sz="4" w:space="0" w:color="auto"/>
            </w:tcBorders>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78</w:t>
            </w:r>
          </w:p>
        </w:tc>
      </w:tr>
      <w:tr w:rsidR="001615FB" w:rsidRPr="009F35C6" w:rsidTr="000A18CF">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1615FB" w:rsidRPr="009F35C6" w:rsidRDefault="001615FB" w:rsidP="000A18CF">
            <w:pPr>
              <w:spacing w:line="240" w:lineRule="auto"/>
              <w:jc w:val="both"/>
              <w:rPr>
                <w:rFonts w:ascii="Times New Roman" w:hAnsi="Times New Roman" w:cs="Times New Roman"/>
                <w:b/>
                <w:bCs/>
                <w:sz w:val="24"/>
                <w:szCs w:val="24"/>
              </w:rPr>
            </w:pPr>
            <w:r w:rsidRPr="009F35C6">
              <w:rPr>
                <w:rFonts w:ascii="Times New Roman" w:hAnsi="Times New Roman"/>
                <w:b/>
                <w:sz w:val="24"/>
              </w:rPr>
              <w:t>Total revenues in EUR millions</w:t>
            </w:r>
          </w:p>
        </w:tc>
        <w:tc>
          <w:tcPr>
            <w:tcW w:w="850" w:type="dxa"/>
            <w:tcBorders>
              <w:top w:val="single" w:sz="4" w:space="0" w:color="auto"/>
              <w:left w:val="nil"/>
              <w:bottom w:val="single" w:sz="4" w:space="0" w:color="auto"/>
              <w:right w:val="single" w:sz="4" w:space="0" w:color="auto"/>
            </w:tcBorders>
            <w:shd w:val="clear" w:color="auto" w:fill="auto"/>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11,830.0</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12,796.5</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12,496.9</w:t>
            </w:r>
          </w:p>
        </w:tc>
        <w:tc>
          <w:tcPr>
            <w:tcW w:w="993"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16,233.8</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14,275.9</w:t>
            </w:r>
          </w:p>
        </w:tc>
        <w:tc>
          <w:tcPr>
            <w:tcW w:w="851"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14,014.1</w:t>
            </w:r>
          </w:p>
        </w:tc>
        <w:tc>
          <w:tcPr>
            <w:tcW w:w="992" w:type="dxa"/>
            <w:tcBorders>
              <w:top w:val="nil"/>
              <w:left w:val="nil"/>
              <w:bottom w:val="single" w:sz="4" w:space="0" w:color="auto"/>
              <w:right w:val="single" w:sz="4" w:space="0" w:color="auto"/>
            </w:tcBorders>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15,381.0</w:t>
            </w:r>
          </w:p>
        </w:tc>
      </w:tr>
      <w:tr w:rsidR="001615FB" w:rsidRPr="009F35C6" w:rsidTr="000A18CF">
        <w:trPr>
          <w:trHeight w:val="300"/>
        </w:trPr>
        <w:tc>
          <w:tcPr>
            <w:tcW w:w="2622" w:type="dxa"/>
            <w:tcBorders>
              <w:top w:val="nil"/>
              <w:left w:val="single" w:sz="4" w:space="0" w:color="auto"/>
              <w:bottom w:val="single" w:sz="4" w:space="0" w:color="auto"/>
              <w:right w:val="single" w:sz="4" w:space="0" w:color="auto"/>
            </w:tcBorders>
            <w:shd w:val="clear" w:color="auto" w:fill="auto"/>
            <w:noWrap/>
            <w:vAlign w:val="bottom"/>
            <w:hideMark/>
          </w:tcPr>
          <w:p w:rsidR="001615FB" w:rsidRPr="00F167A9" w:rsidRDefault="001615FB" w:rsidP="000A18CF">
            <w:pPr>
              <w:spacing w:line="240" w:lineRule="auto"/>
              <w:jc w:val="both"/>
              <w:rPr>
                <w:rFonts w:ascii="Times New Roman" w:hAnsi="Times New Roman" w:cs="Times New Roman"/>
                <w:b/>
                <w:bCs/>
                <w:sz w:val="24"/>
                <w:szCs w:val="24"/>
                <w:lang w:val="fr-FR"/>
              </w:rPr>
            </w:pPr>
            <w:r w:rsidRPr="00F167A9">
              <w:rPr>
                <w:rFonts w:ascii="Times New Roman" w:hAnsi="Times New Roman"/>
                <w:b/>
                <w:sz w:val="24"/>
                <w:lang w:val="fr-FR"/>
              </w:rPr>
              <w:t>Tax revenues in EUR millions</w:t>
            </w:r>
          </w:p>
        </w:tc>
        <w:tc>
          <w:tcPr>
            <w:tcW w:w="850" w:type="dxa"/>
            <w:tcBorders>
              <w:top w:val="single" w:sz="4" w:space="0" w:color="auto"/>
              <w:left w:val="nil"/>
              <w:bottom w:val="single" w:sz="4" w:space="0" w:color="auto"/>
              <w:right w:val="single" w:sz="4" w:space="0" w:color="auto"/>
            </w:tcBorders>
            <w:shd w:val="clear" w:color="auto" w:fill="auto"/>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8,463.6</w:t>
            </w: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9,134.5</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9,293.1</w:t>
            </w:r>
          </w:p>
        </w:tc>
        <w:tc>
          <w:tcPr>
            <w:tcW w:w="993"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10,612.7</w:t>
            </w:r>
          </w:p>
        </w:tc>
        <w:tc>
          <w:tcPr>
            <w:tcW w:w="850"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11,068.3</w:t>
            </w:r>
          </w:p>
        </w:tc>
        <w:tc>
          <w:tcPr>
            <w:tcW w:w="851" w:type="dxa"/>
            <w:tcBorders>
              <w:top w:val="nil"/>
              <w:left w:val="nil"/>
              <w:bottom w:val="single" w:sz="4" w:space="0" w:color="auto"/>
              <w:right w:val="single" w:sz="4" w:space="0" w:color="auto"/>
            </w:tcBorders>
            <w:shd w:val="clear" w:color="auto" w:fill="auto"/>
            <w:noWrap/>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11,152.4</w:t>
            </w:r>
          </w:p>
        </w:tc>
        <w:tc>
          <w:tcPr>
            <w:tcW w:w="992" w:type="dxa"/>
            <w:tcBorders>
              <w:top w:val="nil"/>
              <w:left w:val="nil"/>
              <w:bottom w:val="single" w:sz="4" w:space="0" w:color="auto"/>
              <w:right w:val="single" w:sz="4" w:space="0" w:color="auto"/>
            </w:tcBorders>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11,966.2</w:t>
            </w:r>
          </w:p>
        </w:tc>
      </w:tr>
    </w:tbl>
    <w:p w:rsidR="001615FB" w:rsidRPr="009F35C6" w:rsidRDefault="001615FB" w:rsidP="001615FB">
      <w:pPr>
        <w:spacing w:line="240" w:lineRule="auto"/>
        <w:jc w:val="both"/>
        <w:rPr>
          <w:rFonts w:ascii="Times New Roman" w:hAnsi="Times New Roman" w:cs="Times New Roman"/>
          <w:b/>
          <w:sz w:val="24"/>
          <w:szCs w:val="24"/>
          <w:u w:val="single"/>
        </w:rPr>
      </w:pPr>
      <w:r w:rsidRPr="009F35C6">
        <w:rPr>
          <w:rFonts w:ascii="Times New Roman" w:hAnsi="Times New Roman"/>
          <w:b/>
          <w:i/>
          <w:sz w:val="24"/>
        </w:rPr>
        <w:lastRenderedPageBreak/>
        <w:t xml:space="preserve">Source: Ministry of Finance: </w:t>
      </w:r>
      <w:hyperlink r:id="rId12">
        <w:r w:rsidRPr="009F35C6">
          <w:rPr>
            <w:rStyle w:val="Hyperlink"/>
            <w:rFonts w:ascii="Times New Roman" w:hAnsi="Times New Roman"/>
            <w:b/>
            <w:color w:val="auto"/>
            <w:sz w:val="24"/>
          </w:rPr>
          <w:t>http://www.finance.gov.sk/Default.aspx?CatID=9702</w:t>
        </w:r>
      </w:hyperlink>
    </w:p>
    <w:p w:rsidR="00E71A67" w:rsidRDefault="00E71A67" w:rsidP="001615FB">
      <w:pPr>
        <w:spacing w:line="240" w:lineRule="auto"/>
        <w:jc w:val="both"/>
        <w:rPr>
          <w:rFonts w:ascii="Times New Roman" w:hAnsi="Times New Roman"/>
          <w:b/>
          <w:i/>
          <w:sz w:val="24"/>
        </w:rPr>
      </w:pPr>
    </w:p>
    <w:p w:rsidR="001615FB" w:rsidRPr="009F35C6" w:rsidRDefault="001615FB" w:rsidP="001615FB">
      <w:pPr>
        <w:spacing w:line="240" w:lineRule="auto"/>
        <w:jc w:val="both"/>
        <w:rPr>
          <w:rFonts w:ascii="Times New Roman" w:hAnsi="Times New Roman" w:cs="Times New Roman"/>
          <w:b/>
          <w:iCs/>
          <w:sz w:val="24"/>
          <w:szCs w:val="24"/>
        </w:rPr>
      </w:pPr>
      <w:r w:rsidRPr="009F35C6">
        <w:rPr>
          <w:rFonts w:ascii="Times New Roman" w:hAnsi="Times New Roman"/>
          <w:b/>
          <w:sz w:val="24"/>
        </w:rPr>
        <w:t xml:space="preserve">Table </w:t>
      </w:r>
      <w:r w:rsidRPr="009F35C6">
        <w:rPr>
          <w:rFonts w:ascii="Times New Roman" w:hAnsi="Times New Roman" w:cs="Times New Roman"/>
          <w:b/>
          <w:iCs/>
          <w:sz w:val="24"/>
          <w:szCs w:val="24"/>
        </w:rPr>
        <w:fldChar w:fldCharType="begin"/>
      </w:r>
      <w:r w:rsidRPr="009F35C6">
        <w:rPr>
          <w:rFonts w:ascii="Times New Roman" w:hAnsi="Times New Roman" w:cs="Times New Roman"/>
          <w:b/>
          <w:iCs/>
          <w:sz w:val="24"/>
          <w:szCs w:val="24"/>
        </w:rPr>
        <w:instrText xml:space="preserve"> SEQ Tabuľka \* ARABIC </w:instrText>
      </w:r>
      <w:r w:rsidRPr="009F35C6">
        <w:rPr>
          <w:rFonts w:ascii="Times New Roman" w:hAnsi="Times New Roman" w:cs="Times New Roman"/>
          <w:b/>
          <w:iCs/>
          <w:sz w:val="24"/>
          <w:szCs w:val="24"/>
        </w:rPr>
        <w:fldChar w:fldCharType="separate"/>
      </w:r>
      <w:r w:rsidR="00697360">
        <w:rPr>
          <w:rFonts w:ascii="Times New Roman" w:hAnsi="Times New Roman" w:cs="Times New Roman"/>
          <w:b/>
          <w:iCs/>
          <w:noProof/>
          <w:sz w:val="24"/>
          <w:szCs w:val="24"/>
        </w:rPr>
        <w:t>4</w:t>
      </w:r>
      <w:r w:rsidRPr="009F35C6">
        <w:rPr>
          <w:rFonts w:ascii="Times New Roman" w:hAnsi="Times New Roman" w:cs="Times New Roman"/>
          <w:b/>
          <w:sz w:val="24"/>
          <w:szCs w:val="24"/>
        </w:rPr>
        <w:fldChar w:fldCharType="end"/>
      </w:r>
      <w:r w:rsidRPr="009F35C6">
        <w:rPr>
          <w:rFonts w:ascii="Times New Roman" w:hAnsi="Times New Roman"/>
          <w:b/>
          <w:sz w:val="24"/>
        </w:rPr>
        <w:t xml:space="preserve"> Public expenditures at % of gross domestic product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8"/>
        <w:gridCol w:w="1060"/>
        <w:gridCol w:w="1059"/>
        <w:gridCol w:w="1059"/>
        <w:gridCol w:w="1059"/>
        <w:gridCol w:w="1059"/>
        <w:gridCol w:w="989"/>
      </w:tblGrid>
      <w:tr w:rsidR="001615FB" w:rsidRPr="009F35C6" w:rsidTr="000A18CF">
        <w:trPr>
          <w:trHeight w:val="20"/>
          <w:jc w:val="center"/>
        </w:trPr>
        <w:tc>
          <w:tcPr>
            <w:tcW w:w="1505" w:type="pct"/>
            <w:shd w:val="clear" w:color="auto" w:fill="DC8DA5"/>
            <w:noWrap/>
            <w:vAlign w:val="bottom"/>
            <w:hideMark/>
          </w:tcPr>
          <w:p w:rsidR="001615FB" w:rsidRPr="009F35C6" w:rsidRDefault="001615FB" w:rsidP="000A18CF">
            <w:pPr>
              <w:spacing w:line="240" w:lineRule="auto"/>
              <w:jc w:val="both"/>
              <w:rPr>
                <w:rFonts w:ascii="Times New Roman" w:hAnsi="Times New Roman" w:cs="Times New Roman"/>
                <w:b/>
                <w:bCs/>
                <w:sz w:val="24"/>
                <w:szCs w:val="24"/>
              </w:rPr>
            </w:pPr>
            <w:r w:rsidRPr="009F35C6">
              <w:rPr>
                <w:rFonts w:ascii="Times New Roman" w:hAnsi="Times New Roman"/>
                <w:b/>
                <w:sz w:val="24"/>
              </w:rPr>
              <w:t> </w:t>
            </w:r>
          </w:p>
        </w:tc>
        <w:tc>
          <w:tcPr>
            <w:tcW w:w="589" w:type="pct"/>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2012</w:t>
            </w:r>
          </w:p>
        </w:tc>
        <w:tc>
          <w:tcPr>
            <w:tcW w:w="589" w:type="pct"/>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2013</w:t>
            </w:r>
          </w:p>
        </w:tc>
        <w:tc>
          <w:tcPr>
            <w:tcW w:w="589" w:type="pct"/>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2014</w:t>
            </w:r>
          </w:p>
        </w:tc>
        <w:tc>
          <w:tcPr>
            <w:tcW w:w="589" w:type="pct"/>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2015</w:t>
            </w:r>
          </w:p>
        </w:tc>
        <w:tc>
          <w:tcPr>
            <w:tcW w:w="589" w:type="pct"/>
            <w:shd w:val="clear" w:color="auto" w:fill="DC8DA5"/>
            <w:noWrap/>
            <w:vAlign w:val="bottom"/>
            <w:hideMark/>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2016</w:t>
            </w:r>
          </w:p>
        </w:tc>
        <w:tc>
          <w:tcPr>
            <w:tcW w:w="550" w:type="pct"/>
            <w:shd w:val="clear" w:color="auto" w:fill="DC8DA5"/>
            <w:vAlign w:val="bottom"/>
          </w:tcPr>
          <w:p w:rsidR="001615FB" w:rsidRPr="009F35C6" w:rsidRDefault="001615FB" w:rsidP="00462272">
            <w:pPr>
              <w:spacing w:line="240" w:lineRule="auto"/>
              <w:jc w:val="center"/>
              <w:rPr>
                <w:rFonts w:ascii="Times New Roman" w:hAnsi="Times New Roman" w:cs="Times New Roman"/>
                <w:b/>
                <w:sz w:val="24"/>
                <w:szCs w:val="24"/>
              </w:rPr>
            </w:pPr>
            <w:r w:rsidRPr="009F35C6">
              <w:rPr>
                <w:rFonts w:ascii="Times New Roman" w:hAnsi="Times New Roman"/>
                <w:b/>
                <w:sz w:val="24"/>
              </w:rPr>
              <w:t>2017</w:t>
            </w:r>
          </w:p>
        </w:tc>
      </w:tr>
      <w:tr w:rsidR="001615FB" w:rsidRPr="009F35C6" w:rsidTr="000A18CF">
        <w:trPr>
          <w:trHeight w:val="20"/>
          <w:jc w:val="center"/>
        </w:trPr>
        <w:tc>
          <w:tcPr>
            <w:tcW w:w="1505" w:type="pct"/>
            <w:shd w:val="clear" w:color="auto" w:fill="auto"/>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Housing and community amenities</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0.6</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0.5</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0.5</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0.7</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0.5</w:t>
            </w:r>
          </w:p>
        </w:tc>
        <w:tc>
          <w:tcPr>
            <w:tcW w:w="550" w:type="pct"/>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0.5</w:t>
            </w:r>
          </w:p>
        </w:tc>
      </w:tr>
      <w:tr w:rsidR="001615FB" w:rsidRPr="009F35C6" w:rsidTr="000A18CF">
        <w:trPr>
          <w:trHeight w:val="20"/>
          <w:jc w:val="center"/>
        </w:trPr>
        <w:tc>
          <w:tcPr>
            <w:tcW w:w="1505" w:type="pct"/>
            <w:shd w:val="clear" w:color="auto" w:fill="auto"/>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Health</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6.8</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6.8</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7.0</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7.4</w:t>
            </w:r>
          </w:p>
        </w:tc>
        <w:tc>
          <w:tcPr>
            <w:tcW w:w="550" w:type="pct"/>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7.1</w:t>
            </w:r>
          </w:p>
        </w:tc>
      </w:tr>
      <w:tr w:rsidR="001615FB" w:rsidRPr="009F35C6" w:rsidTr="000A18CF">
        <w:trPr>
          <w:trHeight w:val="20"/>
          <w:jc w:val="center"/>
        </w:trPr>
        <w:tc>
          <w:tcPr>
            <w:tcW w:w="1505" w:type="pct"/>
            <w:shd w:val="clear" w:color="auto" w:fill="auto"/>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Education</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4.1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4.0</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4.1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4.2</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3.8</w:t>
            </w:r>
          </w:p>
        </w:tc>
        <w:tc>
          <w:tcPr>
            <w:tcW w:w="550" w:type="pct"/>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3.8</w:t>
            </w:r>
          </w:p>
        </w:tc>
      </w:tr>
      <w:tr w:rsidR="001615FB" w:rsidRPr="009F35C6" w:rsidTr="000A18CF">
        <w:trPr>
          <w:trHeight w:val="20"/>
          <w:jc w:val="center"/>
        </w:trPr>
        <w:tc>
          <w:tcPr>
            <w:tcW w:w="1505" w:type="pct"/>
            <w:shd w:val="clear" w:color="auto" w:fill="auto"/>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Social protection</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15.0</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15.3</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15.1</w:t>
            </w:r>
          </w:p>
        </w:tc>
        <w:tc>
          <w:tcPr>
            <w:tcW w:w="550" w:type="pct"/>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14.5</w:t>
            </w:r>
          </w:p>
        </w:tc>
      </w:tr>
      <w:tr w:rsidR="001615FB" w:rsidRPr="009F35C6" w:rsidTr="000A18CF">
        <w:trPr>
          <w:trHeight w:val="20"/>
          <w:jc w:val="center"/>
        </w:trPr>
        <w:tc>
          <w:tcPr>
            <w:tcW w:w="1505" w:type="pct"/>
            <w:shd w:val="clear" w:color="auto" w:fill="auto"/>
            <w:vAlign w:val="bottom"/>
            <w:hideMark/>
          </w:tcPr>
          <w:p w:rsidR="001615FB" w:rsidRPr="009F35C6" w:rsidRDefault="001615FB" w:rsidP="000A18CF">
            <w:pPr>
              <w:spacing w:line="240" w:lineRule="auto"/>
              <w:jc w:val="both"/>
              <w:rPr>
                <w:rFonts w:ascii="Times New Roman" w:hAnsi="Times New Roman" w:cs="Times New Roman"/>
                <w:b/>
                <w:sz w:val="24"/>
                <w:szCs w:val="24"/>
              </w:rPr>
            </w:pPr>
            <w:r w:rsidRPr="009F35C6">
              <w:rPr>
                <w:rFonts w:ascii="Times New Roman" w:hAnsi="Times New Roman"/>
                <w:b/>
                <w:sz w:val="24"/>
              </w:rPr>
              <w:t>Total</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26.5</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26.6</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26.7</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27.1</w:t>
            </w:r>
          </w:p>
        </w:tc>
        <w:tc>
          <w:tcPr>
            <w:tcW w:w="589" w:type="pct"/>
            <w:shd w:val="clear" w:color="auto" w:fill="auto"/>
            <w:noWrap/>
            <w:vAlign w:val="bottom"/>
            <w:hideMark/>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26.8</w:t>
            </w:r>
          </w:p>
        </w:tc>
        <w:tc>
          <w:tcPr>
            <w:tcW w:w="550" w:type="pct"/>
            <w:vAlign w:val="bottom"/>
          </w:tcPr>
          <w:p w:rsidR="001615FB" w:rsidRPr="009F35C6" w:rsidRDefault="001615FB" w:rsidP="00462272">
            <w:pPr>
              <w:spacing w:line="240" w:lineRule="auto"/>
              <w:jc w:val="center"/>
              <w:rPr>
                <w:rFonts w:ascii="Times New Roman" w:hAnsi="Times New Roman" w:cs="Times New Roman"/>
                <w:sz w:val="24"/>
                <w:szCs w:val="24"/>
              </w:rPr>
            </w:pPr>
            <w:r w:rsidRPr="009F35C6">
              <w:rPr>
                <w:rFonts w:ascii="Times New Roman" w:hAnsi="Times New Roman"/>
                <w:sz w:val="24"/>
              </w:rPr>
              <w:t>25.9</w:t>
            </w:r>
          </w:p>
        </w:tc>
      </w:tr>
    </w:tbl>
    <w:p w:rsidR="001615FB" w:rsidRPr="009F35C6" w:rsidRDefault="001615FB" w:rsidP="001615FB">
      <w:pPr>
        <w:spacing w:line="240" w:lineRule="auto"/>
        <w:jc w:val="both"/>
        <w:rPr>
          <w:rFonts w:ascii="Times New Roman" w:hAnsi="Times New Roman" w:cs="Times New Roman"/>
          <w:b/>
          <w:i/>
          <w:sz w:val="24"/>
          <w:szCs w:val="24"/>
        </w:rPr>
      </w:pPr>
      <w:r w:rsidRPr="009F35C6">
        <w:rPr>
          <w:rFonts w:ascii="Times New Roman" w:hAnsi="Times New Roman"/>
          <w:b/>
          <w:i/>
          <w:sz w:val="24"/>
        </w:rPr>
        <w:t>Source: Eurostat, per COFOG99 classification</w:t>
      </w:r>
    </w:p>
    <w:p w:rsidR="001615FB" w:rsidRPr="009F35C6" w:rsidRDefault="007A5A18" w:rsidP="001615FB">
      <w:pPr>
        <w:spacing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4</w:t>
      </w:r>
    </w:p>
    <w:p w:rsidR="00E71A67" w:rsidRPr="00462272" w:rsidRDefault="001615FB" w:rsidP="00462272">
      <w:pPr>
        <w:pStyle w:val="ListParagraph"/>
        <w:numPr>
          <w:ilvl w:val="0"/>
          <w:numId w:val="11"/>
        </w:numPr>
        <w:spacing w:line="240" w:lineRule="auto"/>
        <w:ind w:left="0" w:firstLine="0"/>
        <w:jc w:val="both"/>
        <w:rPr>
          <w:rFonts w:ascii="Times New Roman" w:hAnsi="Times New Roman" w:cs="Times New Roman"/>
          <w:sz w:val="24"/>
          <w:szCs w:val="24"/>
        </w:rPr>
      </w:pPr>
      <w:r w:rsidRPr="007A5A18">
        <w:rPr>
          <w:rFonts w:ascii="Times New Roman" w:hAnsi="Times New Roman"/>
          <w:sz w:val="24"/>
        </w:rPr>
        <w:t xml:space="preserve">Anti-discrimination provisions and other provisions requiring compliance with the principle of equal treatment are contained in a host of generally binding legislation and not just the anti-discrimination law in Slovakia. A special regulation complementing the anti-discrimination law in the legal regulation of disputes was adopted within Act No. 160/2015 Coll. on the Code of Civil Disputes, which specified anti-discrimination disputes and the special standing of the complainant, including the protection of their rights, </w:t>
      </w:r>
      <w:r w:rsidRPr="007A5A18">
        <w:rPr>
          <w:rFonts w:ascii="Times New Roman" w:hAnsi="Times New Roman"/>
          <w:sz w:val="24"/>
        </w:rPr>
        <w:lastRenderedPageBreak/>
        <w:t>in §</w:t>
      </w:r>
      <w:r w:rsidR="00E71A67">
        <w:rPr>
          <w:rFonts w:ascii="Times New Roman" w:hAnsi="Times New Roman"/>
          <w:sz w:val="24"/>
        </w:rPr>
        <w:t xml:space="preserve"> </w:t>
      </w:r>
      <w:r w:rsidRPr="007A5A18">
        <w:rPr>
          <w:rFonts w:ascii="Times New Roman" w:hAnsi="Times New Roman"/>
          <w:sz w:val="24"/>
        </w:rPr>
        <w:t>307 et seq. of the referenced law. The privileged status of regulations concerning equal treatment and protection against discrimination in the given dispute itself over general provisions in the Code of Civil Disputes was also stipulated. Likewise, individual labour disputes were laid down in §</w:t>
      </w:r>
      <w:r w:rsidR="00E71A67">
        <w:rPr>
          <w:rFonts w:ascii="Times New Roman" w:hAnsi="Times New Roman"/>
          <w:sz w:val="24"/>
        </w:rPr>
        <w:t xml:space="preserve"> </w:t>
      </w:r>
      <w:r w:rsidRPr="007A5A18">
        <w:rPr>
          <w:rFonts w:ascii="Times New Roman" w:hAnsi="Times New Roman"/>
          <w:sz w:val="24"/>
        </w:rPr>
        <w:t xml:space="preserve">316 et seq. of the Code of Civil Disputes. The Office of the Slovak Government Plenipotentiary for Roma Communities (“Office”) provides support to Roma in all reported cases of violations involving the principle of equal treatment. Given that Slovak law contains legal means of protection in administrative and other intervention procedures, the Office primarily makes use of such procedures. The Office conducted a total of 19 cases in 2018 and 2019 involving the enforcement of anti-discrimination law, rights or interventions. A total of 6 legal disputes under the anti-discrimination law were concluded with a verdict or resolution in front of the Slovak courts in 2019, and an appeal was filed in one of these cases. </w:t>
      </w:r>
    </w:p>
    <w:p w:rsidR="001615FB" w:rsidRPr="009F35C6" w:rsidRDefault="007A5A18" w:rsidP="007A5A18">
      <w:pPr>
        <w:spacing w:after="0"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5</w:t>
      </w:r>
    </w:p>
    <w:p w:rsidR="001615FB" w:rsidRPr="009F35C6" w:rsidRDefault="001615FB" w:rsidP="007A5A18">
      <w:pPr>
        <w:spacing w:after="0" w:line="240" w:lineRule="auto"/>
        <w:jc w:val="both"/>
        <w:rPr>
          <w:rFonts w:ascii="Times New Roman" w:hAnsi="Times New Roman" w:cs="Times New Roman"/>
          <w:b/>
          <w:sz w:val="24"/>
          <w:szCs w:val="24"/>
        </w:rPr>
      </w:pPr>
    </w:p>
    <w:p w:rsidR="001615FB" w:rsidRPr="007A5A18" w:rsidRDefault="001615FB" w:rsidP="007A5A18">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7A5A18">
        <w:rPr>
          <w:rFonts w:ascii="Times New Roman" w:hAnsi="Times New Roman"/>
          <w:sz w:val="24"/>
        </w:rPr>
        <w:t>The first summary report on the performance of tasks under this national program is the “</w:t>
      </w:r>
      <w:r w:rsidRPr="007A5A18">
        <w:rPr>
          <w:rFonts w:ascii="Times New Roman" w:hAnsi="Times New Roman"/>
          <w:i/>
          <w:sz w:val="24"/>
        </w:rPr>
        <w:t xml:space="preserve">Report on the fulfilment </w:t>
      </w:r>
      <w:r w:rsidRPr="007A5A18">
        <w:rPr>
          <w:rFonts w:ascii="Times New Roman" w:hAnsi="Times New Roman"/>
          <w:i/>
          <w:sz w:val="24"/>
        </w:rPr>
        <w:lastRenderedPageBreak/>
        <w:t>of measures under the National Program for the Improvement of Living Conditions for</w:t>
      </w:r>
      <w:r w:rsidR="007662B5">
        <w:rPr>
          <w:rFonts w:ascii="Times New Roman" w:hAnsi="Times New Roman"/>
          <w:i/>
          <w:sz w:val="24"/>
        </w:rPr>
        <w:t xml:space="preserve"> Persons with Disabilities 2014 – </w:t>
      </w:r>
      <w:r w:rsidRPr="007A5A18">
        <w:rPr>
          <w:rFonts w:ascii="Times New Roman" w:hAnsi="Times New Roman"/>
          <w:i/>
          <w:sz w:val="24"/>
        </w:rPr>
        <w:t>2020 and proposal for updates thereto”</w:t>
      </w:r>
      <w:r w:rsidRPr="007A5A18">
        <w:rPr>
          <w:rFonts w:ascii="Times New Roman" w:hAnsi="Times New Roman"/>
          <w:sz w:val="24"/>
        </w:rPr>
        <w:t>, which was approved by the Slovak government in Resolution No. 587 of 14 December 2016. The material documents the performance of tasks in the 2014 to 2015 period and incorporates the individual concluding observations from the UN Committee on the Rights of Persons with Disabilities, which the Ministry of Labour, Social Affairs and Family received in response to the initial report of Slovakia on the UN Convention on the Rights of Persons with Disabilities in April 2016.</w:t>
      </w:r>
    </w:p>
    <w:p w:rsidR="001615FB" w:rsidRPr="009F35C6" w:rsidRDefault="001615FB" w:rsidP="007A5A18">
      <w:pPr>
        <w:spacing w:after="0" w:line="240" w:lineRule="auto"/>
        <w:jc w:val="both"/>
        <w:rPr>
          <w:rFonts w:ascii="Times New Roman" w:hAnsi="Times New Roman" w:cs="Times New Roman"/>
          <w:sz w:val="24"/>
          <w:szCs w:val="24"/>
        </w:rPr>
      </w:pPr>
    </w:p>
    <w:p w:rsidR="001615FB" w:rsidRPr="007A5A18" w:rsidRDefault="001615FB" w:rsidP="007A5A18">
      <w:pPr>
        <w:pStyle w:val="ListParagraph"/>
        <w:numPr>
          <w:ilvl w:val="0"/>
          <w:numId w:val="11"/>
        </w:numPr>
        <w:spacing w:after="0" w:line="240" w:lineRule="auto"/>
        <w:ind w:left="0" w:firstLine="0"/>
        <w:jc w:val="both"/>
        <w:rPr>
          <w:rFonts w:ascii="Times New Roman" w:hAnsi="Times New Roman" w:cs="Times New Roman"/>
          <w:sz w:val="24"/>
          <w:szCs w:val="24"/>
        </w:rPr>
      </w:pPr>
      <w:r w:rsidRPr="007A5A18">
        <w:rPr>
          <w:rFonts w:ascii="Times New Roman" w:hAnsi="Times New Roman"/>
          <w:sz w:val="24"/>
        </w:rPr>
        <w:t>The “</w:t>
      </w:r>
      <w:r w:rsidRPr="007A5A18">
        <w:rPr>
          <w:rFonts w:ascii="Times New Roman" w:hAnsi="Times New Roman"/>
          <w:i/>
          <w:sz w:val="24"/>
        </w:rPr>
        <w:t>2nd Report on the fulfilment of measures under the National Program for the Improvement of Living Conditions for Persons with Disabilities 2014-2020 and proposal for updates thereto”</w:t>
      </w:r>
      <w:r w:rsidRPr="007A5A18">
        <w:rPr>
          <w:rFonts w:ascii="Times New Roman" w:hAnsi="Times New Roman"/>
          <w:sz w:val="24"/>
        </w:rPr>
        <w:t xml:space="preserve"> was approved by the Slovak government in Resolution No. 357 of 22 August 2018 and is the second summary report, and documents the fulfilment of tasks in the 2016 to 2017 period. </w:t>
      </w:r>
    </w:p>
    <w:p w:rsidR="001615FB" w:rsidRPr="009F35C6" w:rsidRDefault="001615FB" w:rsidP="001615FB">
      <w:pPr>
        <w:spacing w:after="0" w:line="240" w:lineRule="auto"/>
        <w:jc w:val="both"/>
        <w:rPr>
          <w:rFonts w:ascii="Times New Roman" w:hAnsi="Times New Roman" w:cs="Times New Roman"/>
          <w:sz w:val="24"/>
          <w:szCs w:val="24"/>
        </w:rPr>
      </w:pPr>
    </w:p>
    <w:p w:rsidR="001615FB" w:rsidRPr="007A5A18" w:rsidRDefault="001615FB" w:rsidP="007A5A18">
      <w:pPr>
        <w:pStyle w:val="ListParagraph"/>
        <w:numPr>
          <w:ilvl w:val="0"/>
          <w:numId w:val="11"/>
        </w:numPr>
        <w:spacing w:after="0" w:line="240" w:lineRule="auto"/>
        <w:ind w:left="0" w:firstLine="0"/>
        <w:jc w:val="both"/>
        <w:rPr>
          <w:rFonts w:ascii="Times New Roman" w:hAnsi="Times New Roman" w:cs="Times New Roman"/>
          <w:sz w:val="24"/>
          <w:szCs w:val="24"/>
        </w:rPr>
      </w:pPr>
      <w:r w:rsidRPr="007A5A18">
        <w:rPr>
          <w:rFonts w:ascii="Times New Roman" w:hAnsi="Times New Roman"/>
          <w:sz w:val="24"/>
        </w:rPr>
        <w:lastRenderedPageBreak/>
        <w:t>These documents were prepared with the involvement of numerous experts from various fields to cover a broad spectrum of individual activities and to ensure the connectedness and compatibility of all the corresponding measures and tasks. Representatives of central state authorities, public authorities, and, under Article 4 (3), persons with disabilities through their representative organisations were all involved in their creation.</w:t>
      </w:r>
    </w:p>
    <w:p w:rsidR="001B5BA4" w:rsidRDefault="001B5BA4" w:rsidP="001615FB">
      <w:pPr>
        <w:spacing w:after="0" w:line="240" w:lineRule="auto"/>
        <w:jc w:val="both"/>
        <w:rPr>
          <w:rFonts w:ascii="Times New Roman" w:hAnsi="Times New Roman"/>
          <w:i/>
          <w:sz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Fulfilment of measures for 2014 – 2018</w:t>
      </w:r>
    </w:p>
    <w:p w:rsidR="001615FB" w:rsidRPr="009F35C6" w:rsidRDefault="001615FB" w:rsidP="001615FB">
      <w:pPr>
        <w:spacing w:after="0" w:line="240" w:lineRule="auto"/>
        <w:jc w:val="both"/>
        <w:rPr>
          <w:rFonts w:ascii="Times New Roman" w:hAnsi="Times New Roman" w:cs="Times New Roman"/>
          <w:i/>
          <w:sz w:val="24"/>
          <w:szCs w:val="24"/>
        </w:rPr>
      </w:pP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Construct integrated points of service to provide assisted electronic services to persons with disabilities.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Remove existing interpretative ambiguities, as well as problems encountered in practice, to speed up court proceedings, and eliminate delays in legal capacity proceedings.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Provide dispensary care and medical care to military veterans after returning from service deployments outside of Slovakia, and to provide spa care and recreational care for military veterans.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lastRenderedPageBreak/>
        <w:t>Secure access for the hearing impaired to the 112 emergency call service.</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Reassess the nature, purpose, material content and financing of timely intervention services in accordance with the recommendations of the UN Committee on the Rights of Persons with Disabilities.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Create and introduce specific programs of support for the transition from school to the labour market for persons with disabilities.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Perform counselling and methodological activities related to establishing non-governmental non-profit organisations, especially civic associations, foundations, organisations with an international element as well as non-profit organisations providing services of general interest, non-investment funds, associations of municipalities, interest associations of legal entities and communities of owners of apartments and non-residential premises.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Complete materials containing information on the development of selected indicators of the social situation of persons with disabilities.</w:t>
      </w:r>
    </w:p>
    <w:p w:rsidR="001615FB" w:rsidRPr="001B5BA4" w:rsidRDefault="001615FB" w:rsidP="001B5BA4">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lastRenderedPageBreak/>
        <w:t>Conduct research focused on the question of support for the employment of persons with disabilities on the open labour market.</w:t>
      </w:r>
    </w:p>
    <w:p w:rsidR="001B5BA4" w:rsidRPr="00BB6418" w:rsidRDefault="001615FB" w:rsidP="001615FB">
      <w:pPr>
        <w:pStyle w:val="ListParagraph"/>
        <w:numPr>
          <w:ilvl w:val="0"/>
          <w:numId w:val="12"/>
        </w:numPr>
        <w:spacing w:after="0" w:line="240" w:lineRule="auto"/>
        <w:jc w:val="both"/>
        <w:rPr>
          <w:rFonts w:ascii="Times New Roman" w:hAnsi="Times New Roman" w:cs="Times New Roman"/>
          <w:sz w:val="24"/>
          <w:szCs w:val="24"/>
        </w:rPr>
      </w:pPr>
      <w:r w:rsidRPr="001B5BA4">
        <w:rPr>
          <w:rFonts w:ascii="Times New Roman" w:hAnsi="Times New Roman"/>
          <w:sz w:val="24"/>
        </w:rPr>
        <w:t>Conduct research focused on the question of support for independent living among persons with disabilities and in particular on the questions of residential care, de-institutionalisation and personal assistance.</w:t>
      </w:r>
    </w:p>
    <w:p w:rsidR="001B5BA4" w:rsidRDefault="001B5BA4" w:rsidP="001615FB">
      <w:pPr>
        <w:spacing w:after="0" w:line="240" w:lineRule="auto"/>
        <w:contextualSpacing/>
        <w:jc w:val="both"/>
        <w:rPr>
          <w:rFonts w:ascii="Times New Roman" w:eastAsia="Calibri" w:hAnsi="Times New Roman" w:cs="Times New Roman"/>
          <w:b/>
          <w:bCs/>
          <w:spacing w:val="1"/>
          <w:sz w:val="24"/>
          <w:szCs w:val="24"/>
        </w:rPr>
      </w:pP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8</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contextualSpacing/>
        <w:jc w:val="both"/>
        <w:rPr>
          <w:rFonts w:ascii="Times New Roman" w:hAnsi="Times New Roman" w:cs="Times New Roman"/>
          <w:b/>
          <w:sz w:val="24"/>
          <w:szCs w:val="24"/>
        </w:rPr>
      </w:pPr>
      <w:r w:rsidRPr="009F35C6">
        <w:rPr>
          <w:rFonts w:ascii="Times New Roman" w:hAnsi="Times New Roman"/>
          <w:b/>
          <w:sz w:val="24"/>
        </w:rPr>
        <w:t xml:space="preserve">Right to work </w:t>
      </w:r>
    </w:p>
    <w:p w:rsidR="001615FB" w:rsidRPr="009F35C6" w:rsidRDefault="001615FB" w:rsidP="001615FB">
      <w:pPr>
        <w:spacing w:after="0" w:line="240" w:lineRule="auto"/>
        <w:jc w:val="both"/>
        <w:rPr>
          <w:rFonts w:ascii="Times New Roman" w:hAnsi="Times New Roman" w:cs="Times New Roman"/>
          <w:sz w:val="24"/>
          <w:szCs w:val="24"/>
        </w:rPr>
      </w:pPr>
    </w:p>
    <w:p w:rsidR="001615FB" w:rsidRPr="00297485" w:rsidRDefault="001615FB" w:rsidP="00297485">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1B5BA4">
        <w:rPr>
          <w:rFonts w:ascii="Times New Roman" w:hAnsi="Times New Roman"/>
          <w:sz w:val="24"/>
        </w:rPr>
        <w:t xml:space="preserve">Building on the positive experience from providing this special contribution within the system of assistance in material need, an amendment of the law on assistance in material need took effect on 1 May 2017, the objective of which was to provide greater support to motivate persons unemployed for an extended period of time or long-term inactive members of a household to take and keep lower-paying jobs by providing an exemption equal to 50% of the income of the household member provided with the special contribution from their employment or a similar working </w:t>
      </w:r>
      <w:r w:rsidRPr="001B5BA4">
        <w:rPr>
          <w:rFonts w:ascii="Times New Roman" w:hAnsi="Times New Roman"/>
          <w:sz w:val="24"/>
        </w:rPr>
        <w:lastRenderedPageBreak/>
        <w:t>relationship within the process of assessing and subsequently providing assistance in material need. The implementation of this amendment has led to a reduction long-term unemployment and inactive persons of working age as they are able to continue to receive this special contribution as assistance in material need and their salary after they are employed or in a similar working relationship.</w:t>
      </w:r>
    </w:p>
    <w:p w:rsidR="00297485" w:rsidRPr="00297485" w:rsidRDefault="00297485" w:rsidP="00297485">
      <w:pPr>
        <w:pStyle w:val="ListParagraph"/>
        <w:spacing w:after="0" w:line="240" w:lineRule="auto"/>
        <w:ind w:left="0"/>
        <w:contextualSpacing w:val="0"/>
        <w:jc w:val="both"/>
        <w:rPr>
          <w:rFonts w:ascii="Times New Roman" w:hAnsi="Times New Roman" w:cs="Times New Roman"/>
          <w:sz w:val="24"/>
          <w:szCs w:val="24"/>
        </w:rPr>
      </w:pPr>
    </w:p>
    <w:p w:rsidR="00297485" w:rsidRPr="00297485" w:rsidRDefault="00297485" w:rsidP="00297485">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297485">
        <w:rPr>
          <w:rFonts w:ascii="Times New Roman" w:hAnsi="Times New Roman" w:cs="Times New Roman"/>
          <w:sz w:val="24"/>
          <w:szCs w:val="24"/>
        </w:rPr>
        <w:t>According to statistics from the Headquater for Labour, Social Affairs and Family (“Headquater”), the official unemployment rate decreased by 0.90 percentage points year-on-year (5.94% in December 2017). A total of 169,802 job seekers were registered in December 2018. This represents a year-on-year decrease of 25,781 persons, or 13.18% (195,583 persons in December 2017).</w:t>
      </w:r>
    </w:p>
    <w:p w:rsidR="00297485" w:rsidRPr="00297485" w:rsidRDefault="00297485" w:rsidP="00297485">
      <w:pPr>
        <w:pStyle w:val="ListParagraph"/>
        <w:spacing w:after="0" w:line="240" w:lineRule="auto"/>
        <w:jc w:val="both"/>
        <w:rPr>
          <w:rFonts w:ascii="Times New Roman" w:hAnsi="Times New Roman" w:cs="Times New Roman"/>
          <w:sz w:val="24"/>
          <w:szCs w:val="24"/>
        </w:rPr>
      </w:pPr>
    </w:p>
    <w:p w:rsidR="00297485" w:rsidRPr="00297485" w:rsidRDefault="00297485" w:rsidP="00297485">
      <w:pPr>
        <w:pStyle w:val="ListParagraph"/>
        <w:numPr>
          <w:ilvl w:val="0"/>
          <w:numId w:val="11"/>
        </w:numPr>
        <w:spacing w:after="0" w:line="240" w:lineRule="auto"/>
        <w:ind w:left="0" w:firstLine="0"/>
        <w:jc w:val="both"/>
        <w:rPr>
          <w:rFonts w:ascii="Times New Roman" w:hAnsi="Times New Roman" w:cs="Times New Roman"/>
          <w:sz w:val="24"/>
          <w:szCs w:val="24"/>
        </w:rPr>
      </w:pPr>
      <w:r w:rsidRPr="00297485">
        <w:rPr>
          <w:rFonts w:ascii="Times New Roman" w:hAnsi="Times New Roman" w:cs="Times New Roman"/>
          <w:sz w:val="24"/>
          <w:szCs w:val="24"/>
        </w:rPr>
        <w:t xml:space="preserve">With respect to the employment of young people under the age of 29, a comparison with the level at the end of March 2018 confirms the decreasing trend in unemployment of this target group. In the category of job seekers under the age of 25, a year-on-year decrease of 2,256 young people, or 10.92%, was recorded (23,141 in March 2018). </w:t>
      </w:r>
      <w:r w:rsidRPr="00297485">
        <w:rPr>
          <w:rFonts w:ascii="Times New Roman" w:hAnsi="Times New Roman" w:cs="Times New Roman"/>
          <w:sz w:val="24"/>
          <w:szCs w:val="24"/>
        </w:rPr>
        <w:lastRenderedPageBreak/>
        <w:t>In the category of job seekers age 25 to 29, a year-on-year decrease of 1,891 young people, or 9.11%, was recorded (20,761 in March 2018). The data shows that the year-on-year decrease in the number of job seekers under the age of 29 was 4,417 young people, or a 10.06% decrease.</w:t>
      </w:r>
    </w:p>
    <w:p w:rsidR="006E0BEE" w:rsidRPr="00297485" w:rsidRDefault="006E0BEE" w:rsidP="00297485">
      <w:pPr>
        <w:pStyle w:val="ListParagraph"/>
        <w:spacing w:after="0" w:line="240" w:lineRule="auto"/>
        <w:ind w:left="0"/>
        <w:contextualSpacing w:val="0"/>
        <w:jc w:val="both"/>
        <w:rPr>
          <w:rFonts w:ascii="Times New Roman" w:hAnsi="Times New Roman" w:cs="Times New Roman"/>
          <w:sz w:val="24"/>
          <w:szCs w:val="24"/>
        </w:rPr>
      </w:pPr>
    </w:p>
    <w:p w:rsidR="006E0BEE" w:rsidRPr="006E0BEE" w:rsidRDefault="006E0BEE" w:rsidP="006E0BEE">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6E0BEE">
        <w:rPr>
          <w:rFonts w:ascii="Times New Roman" w:hAnsi="Times New Roman"/>
          <w:sz w:val="24"/>
        </w:rPr>
        <w:t>With respect to statistical data on the long-term unemployed, a significant decrease in their ranks among job seekers was observed according to the Headquater’s data. While a total of 87,850 long-term unemployed persons were registered on 31 December 2017, accounting for 44.92% of all job seekers, their ranks at 31 December 2018 were 67,549, a 39.78% share of the 169,802 registered job seekers. This is a significant 5.14% year-on-year reduction in the share of long-term unemployment in the total number of registered job seekers.</w:t>
      </w:r>
    </w:p>
    <w:p w:rsidR="006E0BEE" w:rsidRPr="00B5731C" w:rsidRDefault="006E0BEE" w:rsidP="006E0BEE">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B5731C">
        <w:rPr>
          <w:rFonts w:ascii="Times New Roman" w:hAnsi="Times New Roman"/>
          <w:sz w:val="24"/>
        </w:rPr>
        <w:t xml:space="preserve">According to the </w:t>
      </w:r>
      <w:r>
        <w:rPr>
          <w:rFonts w:ascii="Times New Roman" w:hAnsi="Times New Roman"/>
          <w:sz w:val="24"/>
        </w:rPr>
        <w:t>Headquarte</w:t>
      </w:r>
      <w:r w:rsidRPr="00B5731C">
        <w:rPr>
          <w:rFonts w:ascii="Times New Roman" w:hAnsi="Times New Roman"/>
          <w:sz w:val="24"/>
        </w:rPr>
        <w:t xml:space="preserve">’s statistical data, a total of 20,615 (12.14%) young people under the age of 25 were registered as job seekers, with an additional 18,870 (11.12%) young people aged 25 to 29 registered as job seekers. In total, this age category accounts for 39,485 </w:t>
      </w:r>
      <w:r w:rsidRPr="00B5731C">
        <w:rPr>
          <w:rFonts w:ascii="Times New Roman" w:hAnsi="Times New Roman"/>
          <w:sz w:val="24"/>
        </w:rPr>
        <w:lastRenderedPageBreak/>
        <w:t>young persons under the age of 29 as registered job seekers (23.36%).</w:t>
      </w:r>
    </w:p>
    <w:p w:rsidR="001615FB" w:rsidRPr="006E0BEE" w:rsidRDefault="006E0BEE" w:rsidP="006E0BEE">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B5731C">
        <w:rPr>
          <w:rFonts w:ascii="Times New Roman" w:hAnsi="Times New Roman"/>
          <w:sz w:val="24"/>
        </w:rPr>
        <w:t>According to Eurostat statistics, employment levels for young persons in the 20 to 29 age category fluctuated at a level of 61.4% in 2018, which is below the EU28 average of 64.8%.</w:t>
      </w: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Strong increase in demand on the labour market, which continued in 2018, resulted in an increase in the average and year-end employment rate in Slovakia to a new and historical high. Actual labour market development in 2018 was even better than expected at the beginning of the year. The imbalance between supply and demand on the labour market was reduced more significantly than expected as a result.</w:t>
      </w:r>
    </w:p>
    <w:p w:rsidR="001B5BA4" w:rsidRDefault="001B5BA4"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According to data from the Statistical Office of the Slovak Republic from its labour force survey, the total average employment rate in Slovakia increased by 1.4% or by 36,000 to 2,566.7 thousand in total in 2018 compared to 2017, with the growth in total employment slowing slightly compared to 2017 (by 0.1 percentage points).</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074E23"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lastRenderedPageBreak/>
        <w:t xml:space="preserve">While the issue of the long-term unemployment rate remains, Slovakia has taken a number of active and passive measures to resolve unemployment in specific vulnerable groups, including the </w:t>
      </w:r>
      <w:r w:rsidRPr="007662B5">
        <w:rPr>
          <w:rFonts w:ascii="Times New Roman" w:hAnsi="Times New Roman"/>
          <w:i/>
          <w:sz w:val="24"/>
        </w:rPr>
        <w:t>Action Plan for Reinforcement of the Labour Market Integration of Long-Term Unemployed in Slovakia</w:t>
      </w:r>
      <w:r w:rsidRPr="001B5BA4">
        <w:rPr>
          <w:rFonts w:ascii="Times New Roman" w:hAnsi="Times New Roman"/>
          <w:sz w:val="24"/>
        </w:rPr>
        <w:t xml:space="preserve"> (“Action Plan”), which was adopted based on the EU Council Recommendation of 15 February 2016 on the integration of the long-term unemployed into the labour market. This Action Plan was approved in Resolution No. 4 of 25 November 2016 by the Monitoring Committee</w:t>
      </w:r>
      <w:r w:rsidRPr="001B5BA4">
        <w:rPr>
          <w:rFonts w:ascii="Times New Roman" w:hAnsi="Times New Roman"/>
          <w:b/>
          <w:sz w:val="24"/>
        </w:rPr>
        <w:t xml:space="preserve"> </w:t>
      </w:r>
      <w:r w:rsidRPr="001B5BA4">
        <w:rPr>
          <w:rFonts w:ascii="Times New Roman" w:hAnsi="Times New Roman"/>
          <w:sz w:val="24"/>
        </w:rPr>
        <w:t>for Operational Programme Human Resources for the programming period 2014 – 2020, and according to which regular, approximately quarterly monitoring of progress in achieving the Action Plan is performed. Intensive implementation of the Action Plan, as the basic strategic instrument for reducing long-term unemployment, began in 2017 and massive implementation and monitoring continued in 2018. These measures should have a significant and positive impact on achieving a gradual reduction in the level of long-term unemployment (expressed as the share of those unemployed for more than 12 months to the total working-age population).</w:t>
      </w:r>
    </w:p>
    <w:p w:rsidR="00074E23" w:rsidRDefault="00074E23" w:rsidP="00074E23">
      <w:pPr>
        <w:spacing w:after="0" w:line="240" w:lineRule="auto"/>
        <w:jc w:val="both"/>
        <w:rPr>
          <w:rFonts w:ascii="Times New Roman" w:hAnsi="Times New Roman" w:cs="Times New Roman"/>
          <w:sz w:val="24"/>
          <w:szCs w:val="24"/>
        </w:rPr>
      </w:pPr>
    </w:p>
    <w:p w:rsidR="00074E23" w:rsidRPr="00074E23" w:rsidRDefault="00074E23" w:rsidP="00074E2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074E23">
        <w:rPr>
          <w:rFonts w:ascii="Times New Roman" w:hAnsi="Times New Roman"/>
          <w:sz w:val="24"/>
        </w:rPr>
        <w:t xml:space="preserve">A positive impact of the employment strategies and policies adopted in 2014 and contained in documents such as the </w:t>
      </w:r>
      <w:r w:rsidRPr="007662B5">
        <w:rPr>
          <w:rFonts w:ascii="Times New Roman" w:hAnsi="Times New Roman"/>
          <w:i/>
          <w:sz w:val="24"/>
        </w:rPr>
        <w:t>National Employment Strategy in Slovakia to 2020</w:t>
      </w:r>
      <w:r w:rsidRPr="00074E23">
        <w:rPr>
          <w:rFonts w:ascii="Times New Roman" w:hAnsi="Times New Roman"/>
          <w:sz w:val="24"/>
        </w:rPr>
        <w:t xml:space="preserve">, the </w:t>
      </w:r>
      <w:r w:rsidRPr="007662B5">
        <w:rPr>
          <w:rFonts w:ascii="Times New Roman" w:hAnsi="Times New Roman"/>
          <w:i/>
          <w:sz w:val="24"/>
        </w:rPr>
        <w:t>National Plan for Implementation of the National Youth Guarantee in Slovakia</w:t>
      </w:r>
      <w:r w:rsidRPr="00074E23">
        <w:rPr>
          <w:rFonts w:ascii="Times New Roman" w:hAnsi="Times New Roman"/>
          <w:sz w:val="24"/>
        </w:rPr>
        <w:t xml:space="preserve">, the Slovak National Program of Reforms 2014, 2015, 2016, 2017 and 2018, Operational Programme Human Resources for the programme period 2014 – 2020 and the </w:t>
      </w:r>
      <w:r w:rsidRPr="007662B5">
        <w:rPr>
          <w:rFonts w:ascii="Times New Roman" w:hAnsi="Times New Roman"/>
          <w:i/>
          <w:sz w:val="24"/>
        </w:rPr>
        <w:t>Action Plan for Reinforcement of the Labour Market Integration of Long-Term Unemployed in Slovakia</w:t>
      </w:r>
      <w:r w:rsidRPr="00074E23">
        <w:rPr>
          <w:rFonts w:ascii="Times New Roman" w:hAnsi="Times New Roman"/>
          <w:sz w:val="24"/>
        </w:rPr>
        <w:t>, numerous national and demand-driven projects to resolve unemployment, especially long-term unemployment, youth unemployment, the low-skilled unemployment, persons with disabilities and Roma, all kicked off fundamental changes in the Slovak labour market.</w:t>
      </w:r>
    </w:p>
    <w:p w:rsidR="00074E23" w:rsidRPr="00895318" w:rsidRDefault="00074E23" w:rsidP="00074E2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895318">
        <w:rPr>
          <w:rFonts w:ascii="Times New Roman" w:hAnsi="Times New Roman"/>
          <w:sz w:val="24"/>
        </w:rPr>
        <w:t>With respect to progress towards achievement of the national employment objective 72% employment (ages 20 to 64) by 2020 within the Europe 2020 strategy, Slovakia managed to accomplish the specifi</w:t>
      </w:r>
      <w:r>
        <w:rPr>
          <w:rFonts w:ascii="Times New Roman" w:hAnsi="Times New Roman"/>
          <w:sz w:val="24"/>
        </w:rPr>
        <w:t xml:space="preserve">ed goal in 2018. </w:t>
      </w:r>
      <w:r w:rsidRPr="00895318">
        <w:rPr>
          <w:rFonts w:ascii="Times New Roman" w:hAnsi="Times New Roman"/>
          <w:sz w:val="24"/>
        </w:rPr>
        <w:t xml:space="preserve">According to Eurostat data, the average level of employment in Slovakia among persons 20 to 64 in 2018 was 72%, which was 0.4 percentage points higher than the defined national </w:t>
      </w:r>
      <w:r w:rsidRPr="00895318">
        <w:rPr>
          <w:rFonts w:ascii="Times New Roman" w:hAnsi="Times New Roman"/>
          <w:sz w:val="24"/>
        </w:rPr>
        <w:lastRenderedPageBreak/>
        <w:t xml:space="preserve">objective, while the intensity of such increase compared to the level in 2013 was above the EU28 average. </w:t>
      </w:r>
    </w:p>
    <w:p w:rsidR="001615FB" w:rsidRPr="00074E23" w:rsidRDefault="00074E23" w:rsidP="00074E2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1E2866">
        <w:rPr>
          <w:rFonts w:ascii="Times New Roman" w:hAnsi="Times New Roman"/>
          <w:sz w:val="24"/>
        </w:rPr>
        <w:t>Within Europe 2020 target indicators, Slovakia staked out the objective of reducing the level of long-term unemployment (more than 12 months) to below 3% by 2020. Eurostat data set the long-term unemployment (more than 12 months) rate in Slovakia at 10.0% in 2013, and its average rate was reduced to 4.0% by 2018. Given expected labour market developments to 2020, the long-term unemployment rate could approach the defined goal of reducing the long-term unemployment rate to below 3% by 2020.</w:t>
      </w: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In connection with the strategies and policies that have been applied, it can be said that the positive labour market developments experienced in 2015, 2016 and 2017 continued in 2018.</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This development was reflected in a reduction in differences in the employment rate for the age 20-64 population compared to the EU28 average. While the difference in the average employment rate for the age 20-64 population in the EU28 and Slovakia was 3.4 percentage points in 2013, </w:t>
      </w:r>
      <w:r w:rsidRPr="001B5BA4">
        <w:rPr>
          <w:rFonts w:ascii="Times New Roman" w:hAnsi="Times New Roman"/>
          <w:sz w:val="24"/>
        </w:rPr>
        <w:lastRenderedPageBreak/>
        <w:t>this difference was reduced to 0.8 percentage points in 2018.</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Compared to March 2014, which is approximately when the </w:t>
      </w:r>
      <w:r w:rsidRPr="00297485">
        <w:rPr>
          <w:rFonts w:ascii="Times New Roman" w:hAnsi="Times New Roman"/>
          <w:i/>
          <w:sz w:val="24"/>
        </w:rPr>
        <w:t xml:space="preserve">National Plan for Implementation of the National Youth Guarantee in Slovakia </w:t>
      </w:r>
      <w:r w:rsidRPr="001B5BA4">
        <w:rPr>
          <w:rFonts w:ascii="Times New Roman" w:hAnsi="Times New Roman"/>
          <w:sz w:val="24"/>
        </w:rPr>
        <w:t>was adopted, a significant 66.95% decrease in the unemployment of young people under the age of 29 has been observed (119,479 in unemployed job seekers in March 2014).</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As of 31 March 2019, a total of 3,002 long-term unemployed young job seekers under the age of 25 were registered (14.56% of unemployed young people under the age of 25) along with 3,885 long-term unemployed young job seekers age 25 to 29 (accounting for 20.59% of unemployed young people age 25 to 29). Given the data above, there were a total of 6,887 long-term unemployed young people under the age of 29 (17.44%). The share of long-term unemployed young people under the age of 29 was reduced by 84.90% compared to March 2014 (45,596 long-term unemployed job seekers under the age of 29).</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lastRenderedPageBreak/>
        <w:t>However, significant regional differences in economic potential endure among the individual self-governing regions, which results in deviating unemployment rates and a shortage of jobs. Within eligible areas of Slovakia (i.e. excepting the Bratislava Self-Governing Region), the highest official unemployment rate in December 2018 was recorded in the Prešov Region, 8.61%, with the highest unemployment rate recorded in the Kežmarok District at 15.21%. Conversely, the lowest official unemployment rate among the regions was in the Trnava Region, 2.31% (and the Hlohovec District at 1.68%), with the highest district unemployment rate recorded in Rimavská Sobota at 16.15%, which is a part of the Banská Bystrica region. At the end of December 2018, Labour, Social Affairs and Family offices recorded a total of 73,890 job openings, most of which were operators and assemblers for machinery and equipment, specifically 30,358 jobs (with 8,300 jobs in the Bratislava Region).</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9F35C6" w:rsidRDefault="001615FB" w:rsidP="001615FB">
      <w:pPr>
        <w:spacing w:after="0" w:line="240" w:lineRule="auto"/>
        <w:contextualSpacing/>
        <w:jc w:val="both"/>
        <w:rPr>
          <w:rFonts w:ascii="Times New Roman" w:hAnsi="Times New Roman" w:cs="Times New Roman"/>
          <w:i/>
          <w:sz w:val="24"/>
          <w:szCs w:val="24"/>
        </w:rPr>
      </w:pPr>
      <w:r w:rsidRPr="009F35C6">
        <w:rPr>
          <w:rFonts w:ascii="Times New Roman" w:hAnsi="Times New Roman"/>
          <w:i/>
          <w:sz w:val="24"/>
        </w:rPr>
        <w:t xml:space="preserve">More detailed references for this national project are available at </w:t>
      </w:r>
    </w:p>
    <w:p w:rsidR="001615FB" w:rsidRPr="009F35C6" w:rsidRDefault="00F36705" w:rsidP="001615FB">
      <w:pPr>
        <w:spacing w:after="0" w:line="240" w:lineRule="auto"/>
        <w:contextualSpacing/>
        <w:jc w:val="both"/>
        <w:rPr>
          <w:rFonts w:ascii="Times New Roman" w:hAnsi="Times New Roman" w:cs="Times New Roman"/>
          <w:i/>
          <w:sz w:val="24"/>
          <w:szCs w:val="24"/>
        </w:rPr>
      </w:pPr>
      <w:hyperlink r:id="rId13">
        <w:r w:rsidR="001615FB" w:rsidRPr="009F35C6">
          <w:rPr>
            <w:rStyle w:val="Hyperlink"/>
            <w:rFonts w:ascii="Times New Roman" w:hAnsi="Times New Roman"/>
            <w:i/>
            <w:color w:val="auto"/>
            <w:sz w:val="24"/>
            <w:u w:val="none"/>
          </w:rPr>
          <w:t>https://www.upsvr.gov.sk/europsky-socialny-fond/narodne-projekty-v-programovom-obdobi-2014-2020.html?page_id=521401</w:t>
        </w:r>
      </w:hyperlink>
    </w:p>
    <w:p w:rsidR="001615FB" w:rsidRDefault="00F36705" w:rsidP="001615FB">
      <w:pPr>
        <w:spacing w:after="0" w:line="240" w:lineRule="auto"/>
        <w:contextualSpacing/>
        <w:jc w:val="both"/>
        <w:rPr>
          <w:rStyle w:val="Hyperlink"/>
          <w:rFonts w:ascii="Times New Roman" w:hAnsi="Times New Roman"/>
          <w:i/>
          <w:color w:val="auto"/>
          <w:sz w:val="24"/>
          <w:u w:val="none"/>
        </w:rPr>
      </w:pPr>
      <w:hyperlink r:id="rId14">
        <w:r w:rsidR="001615FB" w:rsidRPr="009F35C6">
          <w:rPr>
            <w:rStyle w:val="Hyperlink"/>
            <w:rFonts w:ascii="Times New Roman" w:hAnsi="Times New Roman"/>
            <w:i/>
            <w:color w:val="auto"/>
            <w:sz w:val="24"/>
            <w:u w:val="none"/>
          </w:rPr>
          <w:t>www.ia.gov.sk</w:t>
        </w:r>
      </w:hyperlink>
    </w:p>
    <w:p w:rsidR="00991ABA" w:rsidRDefault="00991ABA" w:rsidP="001615FB">
      <w:pPr>
        <w:spacing w:after="0" w:line="240" w:lineRule="auto"/>
        <w:contextualSpacing/>
        <w:jc w:val="both"/>
        <w:rPr>
          <w:rStyle w:val="Hyperlink"/>
          <w:rFonts w:ascii="Times New Roman" w:hAnsi="Times New Roman"/>
          <w:i/>
          <w:color w:val="auto"/>
          <w:sz w:val="24"/>
          <w:u w:val="none"/>
        </w:rPr>
      </w:pPr>
    </w:p>
    <w:p w:rsidR="00991ABA" w:rsidRPr="00991ABA" w:rsidRDefault="00991ABA" w:rsidP="00E71A67">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991ABA">
        <w:rPr>
          <w:rFonts w:ascii="Times New Roman" w:hAnsi="Times New Roman"/>
          <w:sz w:val="24"/>
        </w:rPr>
        <w:t xml:space="preserve">Act No. 112/2018 Coll. on the Social Economy and Social Enterprises and on amendment of certain acts (Act No. 112/2018 Coll.) took effect on 1 May 2018. According to § 3 of the Act: “the social economy is the sum of productive, distributive or consumer activities carried out through economic activity or non-economic activity independently of the state authorities whose main objective is to achieve a positive social impact”. </w:t>
      </w:r>
    </w:p>
    <w:p w:rsidR="00991ABA" w:rsidRPr="00B5731C" w:rsidRDefault="00991ABA" w:rsidP="00E71A67">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B5731C">
        <w:rPr>
          <w:rFonts w:ascii="Times New Roman" w:hAnsi="Times New Roman"/>
          <w:sz w:val="24"/>
        </w:rPr>
        <w:t>Act No. 112/2018 defines the social economy sector, social economy entities, a social enterprise, disadvantaged persons and vulnerable persons, including the long-term unemployed, youth, low-skilled workers, national and ethnic minorities and others, as well as other social economy terms. It lays down the conditions for recognition of the statute of registered social enterprises and defines the individual types of registered social enterprises.</w:t>
      </w:r>
    </w:p>
    <w:p w:rsidR="00991ABA" w:rsidRPr="00991ABA" w:rsidRDefault="00991ABA" w:rsidP="00991ABA">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B5731C">
        <w:rPr>
          <w:rFonts w:ascii="Times New Roman" w:hAnsi="Times New Roman"/>
          <w:sz w:val="24"/>
        </w:rPr>
        <w:lastRenderedPageBreak/>
        <w:t>In terms of support for employment, the development of a social economy offers significant potential, as it offers potential for regional and local development and employment as these entities, specifically social enterprises, create jobs for disadvantaged and vulnerable groups, strengthen social, economic and territorial cohesion, create social capital, support active citizenship, solidarity and an economy with democratic values. It also supports sustainable development as well as social, environmental and technological innovations.</w:t>
      </w:r>
    </w:p>
    <w:p w:rsidR="001615FB" w:rsidRPr="001B5BA4" w:rsidRDefault="001615FB" w:rsidP="00991ABA">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1B5BA4">
        <w:rPr>
          <w:rFonts w:ascii="Times New Roman" w:hAnsi="Times New Roman"/>
          <w:sz w:val="24"/>
        </w:rPr>
        <w:t>With respect to evaluating the presence of Roma from marginalised communities on the labour market and their participation in active labour market measures, relevant outputs are now available from the Institute for Financial Policy (IFP) at the Ministry of Finance titled “</w:t>
      </w:r>
      <w:r w:rsidRPr="001B5BA4">
        <w:rPr>
          <w:rFonts w:ascii="Times New Roman" w:hAnsi="Times New Roman"/>
          <w:i/>
          <w:sz w:val="24"/>
        </w:rPr>
        <w:t>Roma Inclusion is a Society-Wide Challenge”</w:t>
      </w:r>
      <w:r w:rsidRPr="001B5BA4">
        <w:rPr>
          <w:rFonts w:ascii="Times New Roman" w:hAnsi="Times New Roman"/>
          <w:sz w:val="24"/>
        </w:rPr>
        <w:t xml:space="preserve"> (Accessible at: </w:t>
      </w:r>
      <w:hyperlink r:id="rId15">
        <w:r w:rsidRPr="001B5BA4">
          <w:rPr>
            <w:rStyle w:val="Hyperlink"/>
            <w:rFonts w:ascii="Times New Roman" w:hAnsi="Times New Roman"/>
            <w:color w:val="auto"/>
            <w:sz w:val="24"/>
            <w:u w:val="none"/>
          </w:rPr>
          <w:t>https://www.finance.gov.sk/sk/financie/institut-financnej-politiky/publikacie-ifp/komentare/18-inkluzia-romov-je-celospolocenskou-vyzvou-august-2018.html</w:t>
        </w:r>
      </w:hyperlink>
      <w:r w:rsidRPr="001B5BA4">
        <w:rPr>
          <w:rFonts w:ascii="Times New Roman" w:hAnsi="Times New Roman"/>
          <w:sz w:val="24"/>
        </w:rPr>
        <w:t>).</w:t>
      </w:r>
    </w:p>
    <w:p w:rsidR="001615FB" w:rsidRPr="001B5BA4" w:rsidRDefault="001615FB" w:rsidP="001B5BA4">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1B5BA4">
        <w:rPr>
          <w:rFonts w:ascii="Times New Roman" w:hAnsi="Times New Roman"/>
          <w:sz w:val="24"/>
        </w:rPr>
        <w:t xml:space="preserve">The obtained data combines administrative data from partner organisations concerning Roma communities in the municipalities identified in the Atlas of Roma Communities </w:t>
      </w:r>
      <w:r w:rsidRPr="001B5BA4">
        <w:rPr>
          <w:rFonts w:ascii="Times New Roman" w:hAnsi="Times New Roman"/>
          <w:sz w:val="24"/>
        </w:rPr>
        <w:lastRenderedPageBreak/>
        <w:t xml:space="preserve">from 2013 in the category of municipalities with at least one concentrated Roma settlement. This data expresses the unemployment rate for Roma from points of concentration compared to the majority population for the period from 2004 to 2017. </w:t>
      </w: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 xml:space="preserve">10 </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jc w:val="both"/>
        <w:rPr>
          <w:rFonts w:ascii="Times New Roman" w:hAnsi="Times New Roman" w:cs="Times New Roman"/>
          <w:b/>
          <w:sz w:val="24"/>
          <w:szCs w:val="24"/>
        </w:rPr>
      </w:pPr>
      <w:r w:rsidRPr="009F35C6">
        <w:rPr>
          <w:rFonts w:ascii="Times New Roman" w:hAnsi="Times New Roman"/>
          <w:b/>
          <w:sz w:val="24"/>
        </w:rPr>
        <w:t xml:space="preserve">Relevant specifics of Operational Programme Human Resources </w:t>
      </w:r>
    </w:p>
    <w:p w:rsidR="001615FB" w:rsidRPr="009F35C6" w:rsidRDefault="001615FB" w:rsidP="001615FB">
      <w:pPr>
        <w:spacing w:after="0" w:line="240" w:lineRule="auto"/>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Priority Axis 3, Employment, within Operational Programme Human Resources lays out specific objective 3.2.2 as achieving a reduction in horizontal and vertical gender segregation on the labour market and in vocational training. Among the primary activities are support for measures and instruments leading to a reduction in horizontal and vertical gender segregation on the labour market and the gender pay gap (plans/strategies for gender equality at the enterprise level, gender audits, etc.), support for the application of gender aspects within relevant policies and measures and improvements in monitoring, data collection and the evaluation of policies, including reinforcing the expert base for </w:t>
      </w:r>
      <w:r w:rsidRPr="001B5BA4">
        <w:rPr>
          <w:rFonts w:ascii="Times New Roman" w:hAnsi="Times New Roman"/>
          <w:sz w:val="24"/>
        </w:rPr>
        <w:lastRenderedPageBreak/>
        <w:t>gender research and gender analyses, institutional reinforcement for equality between men and women at the national, regional and local level, support for networking and organisations and institutions that introduce or promote gender equality, support for organisations and employers implementing innovative methods and approaches towards achieving a fair distribution of unpaid work between men and women and active fatherhood.</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12</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contextualSpacing/>
        <w:jc w:val="both"/>
        <w:rPr>
          <w:rFonts w:ascii="Times New Roman" w:hAnsi="Times New Roman" w:cs="Times New Roman"/>
          <w:b/>
          <w:sz w:val="24"/>
          <w:szCs w:val="24"/>
        </w:rPr>
      </w:pPr>
      <w:r w:rsidRPr="009F35C6">
        <w:rPr>
          <w:rFonts w:ascii="Times New Roman" w:hAnsi="Times New Roman"/>
          <w:b/>
          <w:sz w:val="24"/>
        </w:rPr>
        <w:t>Employee's right to remuneration for work done</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615FB">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An employee’s right to remuneration for work done and sufficient remuneration to permit them a dignified standard of living is guaranteed in the Slovak Constitution (Act No. 460/1992 Coll., as amended). The application of this right in practice is laid down in special labour regulations, especially the Labour Code (Act No. 311/2001 Coll., as amended) and the minimum wage law (Act No. 663/2007 Coll. on the Minimum Wage, as amended). The minimum wage law contains a mechanism for annual indexing of the </w:t>
      </w:r>
      <w:r w:rsidRPr="001B5BA4">
        <w:rPr>
          <w:rFonts w:ascii="Times New Roman" w:hAnsi="Times New Roman"/>
          <w:sz w:val="24"/>
        </w:rPr>
        <w:lastRenderedPageBreak/>
        <w:t>minimum wage through a Slovak government regulation laying down the minimum wage for the following calendar year. It is necessary to emphasise that the modification of the minimum monthly wage for the following calendar year is first taken up by social partners (representative representatives of employers and employees) and then once they agree on the monthly salary, the Ministry of Labour, Social Affairs and Family then gets involved. Modification of the minimum monthly wage for the following year takes into consideration the overall economic and social situation in Slovakia over the past two years prior to the calendar year for which the proposed minimum wage is recommended, especially with respect to changes in consumer prices, employment, the average monthly wage in the Slovak economy and the subsistence minimum. The minimum wage for the following calendar year is primarily determined as the product of the current monthly wage and the index of year-on-year growth in an average month’s nominal wage for an employee in the Slovak economy.</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The minimum wage for the hours worked by the employee is guaranteed for employees who are employed and </w:t>
      </w:r>
      <w:r w:rsidRPr="001B5BA4">
        <w:rPr>
          <w:rFonts w:ascii="Times New Roman" w:hAnsi="Times New Roman"/>
          <w:sz w:val="24"/>
        </w:rPr>
        <w:lastRenderedPageBreak/>
        <w:t>for others who perform work under any of the other specified forms of agreements on work outside of employment. Entitlements guaranteed under the minimum wage law apply equally to employees whose remuneration is subject to provisions of the Labour Code and to employees who perform work in the public interest whose remuneration is subject to a special regulation, as well as to civil servants whose rights, obligations and remuneration are laid down in a special regulation. If the wage of any employee (regardless of working the public or private sector) is below the defined minimum wage, they are entitled to compensation up to the amount the minimum wage.</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615FB">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The defined minimum wage itself has risen by EUR </w:t>
      </w:r>
      <w:r w:rsidR="0042261F">
        <w:rPr>
          <w:rFonts w:ascii="Times New Roman" w:hAnsi="Times New Roman"/>
          <w:sz w:val="24"/>
        </w:rPr>
        <w:t>192,</w:t>
      </w:r>
      <w:r w:rsidRPr="001B5BA4">
        <w:rPr>
          <w:rFonts w:ascii="Times New Roman" w:hAnsi="Times New Roman"/>
          <w:sz w:val="24"/>
        </w:rPr>
        <w:t>80 from 2012 to 20</w:t>
      </w:r>
      <w:r w:rsidR="0042261F">
        <w:rPr>
          <w:rFonts w:ascii="Times New Roman" w:hAnsi="Times New Roman"/>
          <w:sz w:val="24"/>
        </w:rPr>
        <w:t>19 (58.9%). Starting at EUR 327,</w:t>
      </w:r>
      <w:r w:rsidRPr="001B5BA4">
        <w:rPr>
          <w:rFonts w:ascii="Times New Roman" w:hAnsi="Times New Roman"/>
          <w:sz w:val="24"/>
        </w:rPr>
        <w:t xml:space="preserve">20 in 2012, it rose to EUR 520 in 2019. It is important to emphasise that the ratio of the net minimum monthly wage to the net average nominal monthly wage (the so-called Katiz index) exceeded 50% in 2016 and this trend has continued to the present, it has risen consistently, reaching 52.16% in 2018 and is estimated to reach 52.4% in 2019 according to estimated figures. According to the European Committee of </w:t>
      </w:r>
      <w:r w:rsidRPr="001B5BA4">
        <w:rPr>
          <w:rFonts w:ascii="Times New Roman" w:hAnsi="Times New Roman"/>
          <w:sz w:val="24"/>
        </w:rPr>
        <w:lastRenderedPageBreak/>
        <w:t>Social Rights in the Council of Europe, on the implementation of Article 4 (1) of the European Social Charter, the Committee tolerates a net minimum wage of at least 50% of the net average wage in a national economy if the contracting state demonstrates that persons receiving the minimum wage are able to secure a decent living from that wage. We also note that the gap between the net salary and the subsistence minimum has grown over the long term, meaning that those working for the minimum wage are moving forward and away from basic survival on the subsistence minimum, which represents the socially recognised minimum income threshold for a natural person below which they would be classified as in need of material assistance.</w:t>
      </w:r>
    </w:p>
    <w:p w:rsidR="00235DAB" w:rsidRDefault="00235DAB" w:rsidP="001615FB">
      <w:pPr>
        <w:spacing w:after="0" w:line="240" w:lineRule="auto"/>
        <w:contextualSpacing/>
        <w:jc w:val="both"/>
        <w:rPr>
          <w:rFonts w:ascii="Times New Roman" w:eastAsia="Calibri" w:hAnsi="Times New Roman" w:cs="Times New Roman"/>
          <w:b/>
          <w:bCs/>
          <w:spacing w:val="1"/>
          <w:sz w:val="24"/>
          <w:szCs w:val="24"/>
        </w:rPr>
      </w:pP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13</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Slovakia is a party to the International Labour Organization Convention on Freedom of Association and Protection of the Right to Organize (ILO Convention No. 87 published in the Collection of Laws No. 489/1990 Coll.), the ILO Convention on the Implementation of the Principles of </w:t>
      </w:r>
      <w:r w:rsidRPr="001B5BA4">
        <w:rPr>
          <w:rFonts w:ascii="Times New Roman" w:hAnsi="Times New Roman"/>
          <w:sz w:val="24"/>
        </w:rPr>
        <w:lastRenderedPageBreak/>
        <w:t>the Right to Organise and Collectively Negotiate (ILO Convention No. 98 published in the Collection of Laws No. 470/1990 Coll.).</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The Slovak constitution guarantees under Article 37 (1) and (2) the right of everyone to freely organise with others to protect their economic, social and cultural rights. The establishment of trade union organisations is stipulated in Act No. 83/1990 Coll. on the Association of Citizens, as amended. Adoption of the collective bargaining law and the creation of the Council for Economic and Social Agreement in 1990 legitimised trade unions in Slovakia and established their equal standing with respect to employers and the Slovak government. Social dialogue at the national level between the state, employers and employees is currently laid down in Act No. 103/2007 Coll. on Tripartite Consultations at the National Level (tripartite law) based on which the Economic and Social Council of the Slovak Republic was constituted as a conciliatory body between the government and social partners at the national level.</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lastRenderedPageBreak/>
        <w:t>Trade union organisations are established independently of the state. Limiting the number of such trade union organisations or favouring any of them in an enterprise or a given industry is not permitted. Under §9a of the law on associations, trade union organisations and organisations of employers become legal entities on the date after the petitions for their recognition are received by the Ministry of Interior.</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Employees at the state and local level are free to establish trade union organisations and be members thereof in Slovakia without restriction. There are no laws preventing the exercise of these rights stipulated in the pact.</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In accordance with Article 54 of the Slovak constitution, the provisions of §</w:t>
      </w:r>
      <w:r w:rsidR="005270EB">
        <w:rPr>
          <w:rFonts w:ascii="Times New Roman" w:hAnsi="Times New Roman"/>
          <w:sz w:val="24"/>
        </w:rPr>
        <w:t xml:space="preserve"> </w:t>
      </w:r>
      <w:r w:rsidRPr="001B5BA4">
        <w:rPr>
          <w:rFonts w:ascii="Times New Roman" w:hAnsi="Times New Roman"/>
          <w:sz w:val="24"/>
        </w:rPr>
        <w:t xml:space="preserve">20 of the collective bargaining </w:t>
      </w:r>
      <w:r w:rsidR="005270EB">
        <w:rPr>
          <w:rFonts w:ascii="Times New Roman" w:hAnsi="Times New Roman"/>
          <w:sz w:val="24"/>
        </w:rPr>
        <w:t>act</w:t>
      </w:r>
      <w:r w:rsidRPr="001B5BA4">
        <w:rPr>
          <w:rFonts w:ascii="Times New Roman" w:hAnsi="Times New Roman"/>
          <w:sz w:val="24"/>
        </w:rPr>
        <w:t xml:space="preserve"> restrict the right to strike for persons in occupations that are absolutely critical to protect lives and prevent injury.</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sz w:val="24"/>
          <w:szCs w:val="24"/>
        </w:rPr>
      </w:pPr>
      <w:r w:rsidRPr="001B5BA4">
        <w:rPr>
          <w:rFonts w:ascii="Times New Roman" w:hAnsi="Times New Roman"/>
          <w:sz w:val="24"/>
        </w:rPr>
        <w:t xml:space="preserve">Article 37 (4) of the Slovak constitution in general establishes the right to strike as a social right. Strikes are also stipulated in Article 27 (4) of the Charter of Fundamental </w:t>
      </w:r>
      <w:r w:rsidRPr="001B5BA4">
        <w:rPr>
          <w:rFonts w:ascii="Times New Roman" w:hAnsi="Times New Roman"/>
          <w:sz w:val="24"/>
        </w:rPr>
        <w:lastRenderedPageBreak/>
        <w:t>Rights and Freedoms (Constitutional Act No. 23/1991 Coll.) and Act No. 2/1991 Coll. on Collective Bargaining as amended (collective bargaining law). The collective bargaining law is the only legislation that stipulates the basic questions regarding the right to strike and the right to collective bargaining.</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15</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b/>
          <w:sz w:val="24"/>
          <w:szCs w:val="24"/>
        </w:rPr>
      </w:pPr>
      <w:r w:rsidRPr="001B5BA4">
        <w:rPr>
          <w:rFonts w:ascii="Times New Roman" w:hAnsi="Times New Roman"/>
          <w:sz w:val="24"/>
        </w:rPr>
        <w:t>A total of 192 childcare facilities for children under the age of 3 with capacity for 3,368 children are currently registered in Slovakia. The construction of an additional 90 new facilities is expected using structural funds in the interests of expanding capacity to cover the lack of existing capacity. The corresponding call was announced on 10 July 2018.</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615FB" w:rsidP="001B5BA4">
      <w:pPr>
        <w:pStyle w:val="ListParagraph"/>
        <w:numPr>
          <w:ilvl w:val="0"/>
          <w:numId w:val="11"/>
        </w:numPr>
        <w:spacing w:after="0" w:line="240" w:lineRule="auto"/>
        <w:ind w:left="0" w:firstLine="0"/>
        <w:jc w:val="both"/>
        <w:rPr>
          <w:rFonts w:ascii="Times New Roman" w:hAnsi="Times New Roman" w:cs="Times New Roman"/>
          <w:bCs/>
          <w:sz w:val="24"/>
          <w:szCs w:val="24"/>
        </w:rPr>
      </w:pPr>
      <w:r w:rsidRPr="001B5BA4">
        <w:rPr>
          <w:rFonts w:ascii="Times New Roman" w:hAnsi="Times New Roman"/>
          <w:sz w:val="24"/>
        </w:rPr>
        <w:t xml:space="preserve">An employer is obliged to release an employee to care for their child, i.e. de facto paternity leave, under the Labour Code for an impediment to work on the side of the employee.  Entitlement to leave from work without salary compensation to care for a child may thereby be granted to </w:t>
      </w:r>
      <w:r w:rsidRPr="001B5BA4">
        <w:rPr>
          <w:rFonts w:ascii="Times New Roman" w:hAnsi="Times New Roman"/>
          <w:sz w:val="24"/>
        </w:rPr>
        <w:lastRenderedPageBreak/>
        <w:t>women and men if they are caring for a newborn baby. Entitlement to such parental leave is therefore the non-transferable right of every parent. The mother or father or both may be the caregiver for a child with financial security provided under the social insurance law, with men having the right to benefits paid from social insurance under certain circumstances.</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1B5BA4" w:rsidRDefault="001B5BA4" w:rsidP="001B5BA4">
      <w:pPr>
        <w:pStyle w:val="ListParagraph"/>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sz w:val="24"/>
        </w:rPr>
        <w:t>The MLSAF</w:t>
      </w:r>
      <w:r w:rsidR="001615FB" w:rsidRPr="001B5BA4">
        <w:rPr>
          <w:rFonts w:ascii="Times New Roman" w:hAnsi="Times New Roman"/>
          <w:sz w:val="24"/>
        </w:rPr>
        <w:t xml:space="preserve"> is monitoring the final steps in the process involving the proposed Directive of the European Parliament and of the Council on the work-life balance of parents and careers, repealing Council Directive 2010/18/EU and proposing paternity leave as the right of fathers to take paternity leave in the form of short-term leave of at least ten working days, on the occasion of the birth of their child. This leave may be drawn at the time around the birth of a child and must be associated with the birth itself. Legislative steps will be taken once this directive is adopted to definitely establish it within the Slovak law. We currently operate under the valid provisions specified in §166 (1) of the Labour Code.</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lastRenderedPageBreak/>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16</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tabs>
          <w:tab w:val="center" w:pos="-142"/>
        </w:tabs>
        <w:suppressAutoHyphens/>
        <w:spacing w:after="0" w:line="240" w:lineRule="auto"/>
        <w:ind w:right="-1"/>
        <w:jc w:val="both"/>
        <w:rPr>
          <w:rFonts w:ascii="Times New Roman" w:eastAsia="Times New Roman" w:hAnsi="Times New Roman" w:cs="Times New Roman"/>
          <w:b/>
          <w:sz w:val="24"/>
          <w:szCs w:val="24"/>
        </w:rPr>
      </w:pPr>
      <w:r w:rsidRPr="009F35C6">
        <w:rPr>
          <w:rFonts w:ascii="Times New Roman" w:hAnsi="Times New Roman"/>
          <w:b/>
          <w:sz w:val="24"/>
        </w:rPr>
        <w:t>More information on the financial contribution as compensation for the social consequences of a disability</w:t>
      </w:r>
    </w:p>
    <w:p w:rsidR="001615FB" w:rsidRPr="009F35C6" w:rsidRDefault="001615FB" w:rsidP="001615FB">
      <w:pPr>
        <w:tabs>
          <w:tab w:val="center" w:pos="-142"/>
        </w:tabs>
        <w:suppressAutoHyphens/>
        <w:spacing w:after="0" w:line="240" w:lineRule="auto"/>
        <w:ind w:right="-1"/>
        <w:jc w:val="both"/>
        <w:rPr>
          <w:rFonts w:ascii="Times New Roman" w:eastAsia="Times New Roman" w:hAnsi="Times New Roman" w:cs="Times New Roman"/>
          <w:sz w:val="24"/>
          <w:szCs w:val="24"/>
        </w:rPr>
      </w:pPr>
    </w:p>
    <w:p w:rsidR="001615FB" w:rsidRPr="001B5BA4" w:rsidRDefault="001615FB" w:rsidP="001B5BA4">
      <w:pPr>
        <w:pStyle w:val="ListParagraph"/>
        <w:numPr>
          <w:ilvl w:val="0"/>
          <w:numId w:val="11"/>
        </w:numPr>
        <w:tabs>
          <w:tab w:val="center" w:pos="-142"/>
        </w:tabs>
        <w:suppressAutoHyphens/>
        <w:spacing w:after="0" w:line="240" w:lineRule="auto"/>
        <w:ind w:left="0" w:right="-1" w:firstLine="0"/>
        <w:jc w:val="both"/>
        <w:rPr>
          <w:rFonts w:ascii="Times New Roman" w:eastAsia="Times New Roman" w:hAnsi="Times New Roman" w:cs="Times New Roman"/>
          <w:sz w:val="24"/>
          <w:szCs w:val="24"/>
        </w:rPr>
      </w:pPr>
      <w:r w:rsidRPr="001B5BA4">
        <w:rPr>
          <w:rFonts w:ascii="Times New Roman" w:hAnsi="Times New Roman"/>
          <w:sz w:val="24"/>
        </w:rPr>
        <w:t>The state provided assistance in the form of financial contributions as compensation to approximately 175,000 individuals in 2018 and expended a total of EUR 143,788,146 on such support. The financial contribution for care (not provided to individuals with disabilities, but instead to their caregivers) was provided to nearly 65,000 individuals in 2018 and the total funding for this financial contribution was EUR 149,431,226.</w:t>
      </w:r>
    </w:p>
    <w:p w:rsidR="001615FB" w:rsidRPr="009F35C6" w:rsidRDefault="001615FB" w:rsidP="001615FB">
      <w:pPr>
        <w:tabs>
          <w:tab w:val="center" w:pos="-142"/>
        </w:tabs>
        <w:suppressAutoHyphens/>
        <w:spacing w:after="0" w:line="240" w:lineRule="auto"/>
        <w:ind w:right="-1"/>
        <w:jc w:val="both"/>
        <w:rPr>
          <w:rFonts w:ascii="Times New Roman" w:eastAsia="Times New Roman" w:hAnsi="Times New Roman" w:cs="Times New Roman"/>
          <w:sz w:val="24"/>
          <w:szCs w:val="24"/>
        </w:rPr>
      </w:pPr>
    </w:p>
    <w:p w:rsidR="001615FB" w:rsidRPr="001B5BA4" w:rsidRDefault="001615FB" w:rsidP="001B5BA4">
      <w:pPr>
        <w:pStyle w:val="ListParagraph"/>
        <w:numPr>
          <w:ilvl w:val="0"/>
          <w:numId w:val="11"/>
        </w:numPr>
        <w:tabs>
          <w:tab w:val="center" w:pos="-142"/>
        </w:tabs>
        <w:suppressAutoHyphens/>
        <w:spacing w:after="0" w:line="240" w:lineRule="auto"/>
        <w:ind w:left="0" w:right="-1" w:firstLine="0"/>
        <w:jc w:val="both"/>
        <w:rPr>
          <w:rFonts w:ascii="Times New Roman" w:eastAsia="Times New Roman" w:hAnsi="Times New Roman" w:cs="Times New Roman"/>
          <w:sz w:val="24"/>
          <w:szCs w:val="24"/>
        </w:rPr>
      </w:pPr>
      <w:r w:rsidRPr="001B5BA4">
        <w:rPr>
          <w:rFonts w:ascii="Times New Roman" w:hAnsi="Times New Roman"/>
          <w:sz w:val="24"/>
        </w:rPr>
        <w:t xml:space="preserve">The current number of natural persons with disabilities issued identification cards for such disability is more than 330,000 individuals, while more than 95,000 individuals currently hold a parking card for persons with disabilities. </w:t>
      </w:r>
    </w:p>
    <w:p w:rsidR="001615FB" w:rsidRPr="009F35C6" w:rsidRDefault="001615FB" w:rsidP="001615FB">
      <w:pPr>
        <w:tabs>
          <w:tab w:val="center" w:pos="-142"/>
        </w:tabs>
        <w:suppressAutoHyphens/>
        <w:spacing w:after="0" w:line="240" w:lineRule="auto"/>
        <w:ind w:right="-1"/>
        <w:jc w:val="both"/>
        <w:rPr>
          <w:rFonts w:ascii="Times New Roman" w:eastAsia="Times New Roman" w:hAnsi="Times New Roman" w:cs="Times New Roman"/>
          <w:sz w:val="24"/>
          <w:szCs w:val="24"/>
        </w:rPr>
      </w:pPr>
    </w:p>
    <w:p w:rsidR="001615FB" w:rsidRPr="001B5BA4" w:rsidRDefault="001615FB" w:rsidP="001B5BA4">
      <w:pPr>
        <w:pStyle w:val="ListParagraph"/>
        <w:numPr>
          <w:ilvl w:val="0"/>
          <w:numId w:val="11"/>
        </w:numPr>
        <w:tabs>
          <w:tab w:val="center" w:pos="-142"/>
        </w:tabs>
        <w:suppressAutoHyphens/>
        <w:spacing w:after="0" w:line="240" w:lineRule="auto"/>
        <w:ind w:left="0" w:right="-1" w:firstLine="0"/>
        <w:jc w:val="both"/>
        <w:rPr>
          <w:rFonts w:ascii="Times New Roman" w:eastAsia="Times New Roman" w:hAnsi="Times New Roman" w:cs="Times New Roman"/>
          <w:sz w:val="24"/>
          <w:szCs w:val="24"/>
        </w:rPr>
      </w:pPr>
      <w:r w:rsidRPr="001B5BA4">
        <w:rPr>
          <w:rFonts w:ascii="Times New Roman" w:hAnsi="Times New Roman"/>
          <w:sz w:val="24"/>
        </w:rPr>
        <w:t xml:space="preserve">The financial contribution for care is currently provided to 55,917 individuals with an average monthly contribution of EUR 297.94 (for persons providing care and who are of </w:t>
      </w:r>
      <w:r w:rsidRPr="001B5BA4">
        <w:rPr>
          <w:rFonts w:ascii="Times New Roman" w:hAnsi="Times New Roman"/>
          <w:sz w:val="24"/>
        </w:rPr>
        <w:lastRenderedPageBreak/>
        <w:t>working age the average is EUR 372.87, while those collecting a pension receive EUR 183.70 on average).</w:t>
      </w:r>
    </w:p>
    <w:p w:rsidR="001615FB" w:rsidRPr="009F35C6" w:rsidRDefault="001615FB" w:rsidP="001615FB">
      <w:pPr>
        <w:tabs>
          <w:tab w:val="center" w:pos="-142"/>
        </w:tabs>
        <w:suppressAutoHyphens/>
        <w:spacing w:after="0" w:line="240" w:lineRule="auto"/>
        <w:ind w:right="-1"/>
        <w:jc w:val="both"/>
        <w:rPr>
          <w:rFonts w:ascii="Times New Roman" w:eastAsia="Times New Roman" w:hAnsi="Times New Roman" w:cs="Times New Roman"/>
          <w:sz w:val="24"/>
          <w:szCs w:val="24"/>
        </w:rPr>
      </w:pPr>
    </w:p>
    <w:p w:rsidR="001615FB" w:rsidRPr="001B5BA4" w:rsidRDefault="001615FB" w:rsidP="001B5BA4">
      <w:pPr>
        <w:pStyle w:val="ListParagraph"/>
        <w:numPr>
          <w:ilvl w:val="0"/>
          <w:numId w:val="11"/>
        </w:numPr>
        <w:tabs>
          <w:tab w:val="center" w:pos="-142"/>
        </w:tabs>
        <w:suppressAutoHyphens/>
        <w:spacing w:after="0" w:line="240" w:lineRule="auto"/>
        <w:ind w:left="0" w:right="-1" w:firstLine="0"/>
        <w:jc w:val="both"/>
        <w:rPr>
          <w:rFonts w:ascii="Times New Roman" w:eastAsia="Times New Roman" w:hAnsi="Times New Roman" w:cs="Times New Roman"/>
          <w:sz w:val="24"/>
          <w:szCs w:val="24"/>
          <w:u w:val="single"/>
        </w:rPr>
      </w:pPr>
      <w:r w:rsidRPr="001B5BA4">
        <w:rPr>
          <w:rFonts w:ascii="Times New Roman" w:hAnsi="Times New Roman"/>
          <w:sz w:val="24"/>
        </w:rPr>
        <w:t>The financial contribution for personal assistance is provided monthly depending on the number of hours of personal assistance worked. The hourly rate for personal assistance is EUR 3.82. This contribution is currently provided to 10,644 individuals in an average amount of EUR 537.59.</w:t>
      </w:r>
    </w:p>
    <w:p w:rsidR="001615FB" w:rsidRDefault="001615FB" w:rsidP="001615FB">
      <w:pPr>
        <w:spacing w:after="0" w:line="240" w:lineRule="auto"/>
        <w:contextualSpacing/>
        <w:jc w:val="both"/>
        <w:rPr>
          <w:rFonts w:ascii="Times New Roman" w:hAnsi="Times New Roman" w:cs="Times New Roman"/>
          <w:sz w:val="24"/>
          <w:szCs w:val="24"/>
        </w:rPr>
      </w:pPr>
    </w:p>
    <w:p w:rsidR="00F86EB7" w:rsidRPr="005D6C38" w:rsidRDefault="00F86EB7" w:rsidP="00F86EB7">
      <w:pPr>
        <w:pStyle w:val="ListParagraph"/>
        <w:numPr>
          <w:ilvl w:val="0"/>
          <w:numId w:val="11"/>
        </w:numPr>
        <w:spacing w:line="240" w:lineRule="auto"/>
        <w:ind w:left="0" w:firstLine="0"/>
        <w:jc w:val="both"/>
        <w:rPr>
          <w:rFonts w:ascii="Times New Roman" w:hAnsi="Times New Roman" w:cs="Times New Roman"/>
          <w:sz w:val="24"/>
          <w:szCs w:val="24"/>
        </w:rPr>
      </w:pPr>
      <w:r w:rsidRPr="00F86EB7">
        <w:rPr>
          <w:rFonts w:ascii="Times New Roman" w:hAnsi="Times New Roman"/>
          <w:sz w:val="24"/>
        </w:rPr>
        <w:t xml:space="preserve">The amendment of the social services law that took effect in 2018 contained changes with respect to the funding for dependency-dependent facilities (supported housing facilities, senior facilities, nursing facilities, rehabilitation centres, social services homes, specialized facilities and daycare centres). A priority step in this amendment is the purpose of providing the financial contribution from the state budget is to co-finance the payroll costs for employees, and local authorities simply match this funding with a financial contribution towards operating costs, and payments from clients function as another source of funding. </w:t>
      </w:r>
      <w:r w:rsidRPr="00F86EB7">
        <w:rPr>
          <w:rFonts w:ascii="Times New Roman" w:hAnsi="Times New Roman"/>
          <w:sz w:val="24"/>
        </w:rPr>
        <w:lastRenderedPageBreak/>
        <w:t>Total state budget expenditures on social services (expenditures provided by the ministry) increased by more than</w:t>
      </w:r>
      <w:r>
        <w:rPr>
          <w:rFonts w:ascii="Times New Roman" w:hAnsi="Times New Roman"/>
          <w:sz w:val="24"/>
        </w:rPr>
        <w:t xml:space="preserve"> 50% over the past two years.  </w:t>
      </w:r>
    </w:p>
    <w:p w:rsidR="005D6C38" w:rsidRPr="005D6C38" w:rsidRDefault="005D6C38" w:rsidP="005D6C38">
      <w:pPr>
        <w:pStyle w:val="ListParagraph"/>
        <w:rPr>
          <w:rFonts w:ascii="Times New Roman" w:hAnsi="Times New Roman" w:cs="Times New Roman"/>
          <w:sz w:val="24"/>
          <w:szCs w:val="24"/>
        </w:rPr>
      </w:pPr>
    </w:p>
    <w:p w:rsidR="005D6C38" w:rsidRPr="005D6C38" w:rsidRDefault="005D6C38" w:rsidP="005D6C38">
      <w:pPr>
        <w:pStyle w:val="ListParagraph"/>
        <w:numPr>
          <w:ilvl w:val="0"/>
          <w:numId w:val="11"/>
        </w:numPr>
        <w:ind w:left="0" w:firstLine="0"/>
        <w:jc w:val="both"/>
        <w:rPr>
          <w:rFonts w:ascii="Times New Roman" w:hAnsi="Times New Roman" w:cs="Times New Roman"/>
          <w:sz w:val="24"/>
          <w:szCs w:val="24"/>
        </w:rPr>
      </w:pPr>
      <w:r w:rsidRPr="005D6C38">
        <w:rPr>
          <w:rFonts w:ascii="Times New Roman" w:hAnsi="Times New Roman" w:cs="Times New Roman"/>
          <w:sz w:val="24"/>
          <w:szCs w:val="24"/>
        </w:rPr>
        <w:t xml:space="preserve">Dependency on the aid of another natural person may be resolved via social services and in the form of financial contributions as compensation (if such person is eligible as a person with a disability) and specifically the financial contribution for care and the financial contribution for personal assistance. The financial contribution for care is provided to natural persons who provide the necessary assistance directly in the household of the person with a disability. </w:t>
      </w:r>
    </w:p>
    <w:p w:rsidR="001615FB" w:rsidRPr="009F35C6" w:rsidRDefault="001B5BA4"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17</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1B5BA4" w:rsidRDefault="001615FB" w:rsidP="001B5BA4">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1B5BA4">
        <w:rPr>
          <w:rFonts w:ascii="Times New Roman" w:hAnsi="Times New Roman"/>
          <w:sz w:val="24"/>
        </w:rPr>
        <w:t xml:space="preserve">The </w:t>
      </w:r>
      <w:r w:rsidR="001B5BA4">
        <w:rPr>
          <w:rFonts w:ascii="Times New Roman" w:hAnsi="Times New Roman"/>
          <w:sz w:val="24"/>
        </w:rPr>
        <w:t>MLSAF</w:t>
      </w:r>
      <w:r w:rsidRPr="001B5BA4">
        <w:rPr>
          <w:rFonts w:ascii="Times New Roman" w:hAnsi="Times New Roman"/>
          <w:sz w:val="24"/>
        </w:rPr>
        <w:t xml:space="preserve"> provides subsidies to support instruction towards the fulfilment of the educational obligations of children at risk of social exclusion and subsidies to support nutritional education for children at risk of social exclusion. The total for both subsidies from the state budget in 2017 </w:t>
      </w:r>
      <w:r w:rsidRPr="001B5BA4">
        <w:rPr>
          <w:rFonts w:ascii="Times New Roman" w:hAnsi="Times New Roman"/>
          <w:sz w:val="24"/>
        </w:rPr>
        <w:lastRenderedPageBreak/>
        <w:t xml:space="preserve">was EUR 10,250,779, which was directed to support a total of 2,136 children. </w:t>
      </w:r>
    </w:p>
    <w:p w:rsidR="001615FB" w:rsidRPr="001B5BA4" w:rsidRDefault="001615FB" w:rsidP="008A5E6D">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1B5BA4">
        <w:rPr>
          <w:rFonts w:ascii="Times New Roman" w:hAnsi="Times New Roman"/>
          <w:sz w:val="24"/>
        </w:rPr>
        <w:t xml:space="preserve">Increasing the number of pedagogical employees in kindergartens was another measure that took place in 2017. The share of qualified educational assistants in kindergartens attended by children from marginalised Roma communities account for 57% of the total number of educational assistants in kindergartens. Likewise, activities to engage students in the full-day educational system continued in 2017, with 13,170 students educated in this system. The strategy also set out the task of implementing continuous education for teachers and educational assistants using Romani language as a support language in teaching. A total of 190 educators were trained through this education aimed at using Romani language in the education process in 2017. The total was increased to 1,199 participants in 2018. The number of Roma students engaged in the full-day educational process in secondary schools in 2018 reached 19,143. A total of 2,449 full-time and 182 part-time Roma students were newly enrolled in lower level vocational education as of 1 September 2018, for a total of 2,631 students. There were a total of 870 graduates during the school </w:t>
      </w:r>
      <w:r w:rsidRPr="001B5BA4">
        <w:rPr>
          <w:rFonts w:ascii="Times New Roman" w:hAnsi="Times New Roman"/>
          <w:sz w:val="24"/>
        </w:rPr>
        <w:lastRenderedPageBreak/>
        <w:t xml:space="preserve">year, 757 were full-time and 113 were part-time students. Likewise, a contribution of EUR 6,172,400 was provided to Roma students with special educational needs based on an environment of concentrated poverty in 2018. </w:t>
      </w:r>
    </w:p>
    <w:p w:rsidR="001615FB" w:rsidRPr="008A5E6D"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8A5E6D">
        <w:rPr>
          <w:rFonts w:ascii="Times New Roman" w:hAnsi="Times New Roman"/>
          <w:sz w:val="24"/>
        </w:rPr>
        <w:t xml:space="preserve">The number of specialised employees, and specifically special pedagogues and psychologists, was increased in 2018 to 1,951.46 in schools focused on </w:t>
      </w:r>
      <w:r w:rsidR="008A5E6D">
        <w:rPr>
          <w:rFonts w:ascii="Times New Roman" w:hAnsi="Times New Roman"/>
          <w:sz w:val="24"/>
        </w:rPr>
        <w:t>MRC</w:t>
      </w:r>
      <w:r w:rsidRPr="008A5E6D">
        <w:rPr>
          <w:rFonts w:ascii="Times New Roman" w:hAnsi="Times New Roman"/>
          <w:sz w:val="24"/>
        </w:rPr>
        <w:t xml:space="preserve"> and they are utilised within inclusive education teams. Projects focused on improving the educational outcomes for students from marginalised Roma communities/socially disadvantaged backgrounds, cooperation between schools and the dissemination of best practices in 2018 engaged 180 schools and 19,143 Roma students living in marginalised Roma communities. A total of 297 additional graduates completed continuing education for teachers focused on specific educational and instructional needs and improving educational outcomes for students from marginalised Roma communities/socially disadvantaged backgrounds in 2019. A similar program was expanded to work with parents of students from </w:t>
      </w:r>
      <w:r w:rsidR="008A5E6D">
        <w:rPr>
          <w:rFonts w:ascii="Times New Roman" w:hAnsi="Times New Roman"/>
          <w:sz w:val="24"/>
        </w:rPr>
        <w:t>MRC</w:t>
      </w:r>
      <w:r w:rsidRPr="008A5E6D">
        <w:rPr>
          <w:rFonts w:ascii="Times New Roman" w:hAnsi="Times New Roman"/>
          <w:sz w:val="24"/>
        </w:rPr>
        <w:t xml:space="preserve">/socially disadvantaged backgrounds, with another 189 completing the program in 2018. A total of 3,347 students from </w:t>
      </w:r>
      <w:r w:rsidR="008A5E6D">
        <w:rPr>
          <w:rFonts w:ascii="Times New Roman" w:hAnsi="Times New Roman"/>
          <w:sz w:val="24"/>
        </w:rPr>
        <w:t>MRC</w:t>
      </w:r>
      <w:r w:rsidRPr="008A5E6D">
        <w:rPr>
          <w:rFonts w:ascii="Times New Roman" w:hAnsi="Times New Roman"/>
          <w:sz w:val="24"/>
        </w:rPr>
        <w:t xml:space="preserve">/socially disadvantaged backgrounds </w:t>
      </w:r>
      <w:r w:rsidRPr="008A5E6D">
        <w:rPr>
          <w:rFonts w:ascii="Times New Roman" w:hAnsi="Times New Roman"/>
          <w:sz w:val="24"/>
        </w:rPr>
        <w:lastRenderedPageBreak/>
        <w:t xml:space="preserve">were provided with informational and vocational counselling services in 2018, with 6,240 job candidates from </w:t>
      </w:r>
      <w:r w:rsidR="008A5E6D">
        <w:rPr>
          <w:rFonts w:ascii="Times New Roman" w:hAnsi="Times New Roman"/>
          <w:sz w:val="24"/>
        </w:rPr>
        <w:t>MRC</w:t>
      </w:r>
      <w:r w:rsidRPr="008A5E6D">
        <w:rPr>
          <w:rFonts w:ascii="Times New Roman" w:hAnsi="Times New Roman"/>
          <w:sz w:val="24"/>
        </w:rPr>
        <w:t xml:space="preserve"> provided with financial support and 2,219 Roma completing re-qualification courses. A call was then announced in 2018 to increase inclusiveness in education named Greater success in primary schools II, and a total of EUR 9,500,000 was allocated. Another call with an allocation of EUR 12,970,435.46 was announced for Standardisation of the system of counselling and prevention for inclusion and greater job market success, with activities focused on improving the diagnostic and re-diagnostic tools used with students to prevent unjustified delay in the start of mandatory school attendance, and to ensure students do not fail to succeed at school or are otherwise unnecessarily enrolled in special classes or schools. Additional calls were focused on the construction and renovation of kindergartens where members of </w:t>
      </w:r>
      <w:r w:rsidR="00450153">
        <w:rPr>
          <w:rFonts w:ascii="Times New Roman" w:hAnsi="Times New Roman"/>
          <w:sz w:val="24"/>
        </w:rPr>
        <w:t>MRC</w:t>
      </w:r>
      <w:r w:rsidRPr="008A5E6D">
        <w:rPr>
          <w:rFonts w:ascii="Times New Roman" w:hAnsi="Times New Roman"/>
          <w:sz w:val="24"/>
        </w:rPr>
        <w:t xml:space="preserve"> attend, and the status of OPLZ-PO6-SC612-2016-1a at the end of 2018 was as follows: 3 completed, 5 completed extraordinarily, and 25 cases that were contracted and with partial disbursement. </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Act No. 367/2018 Coll., which amended the law concerning the financing of primary schools, secondary </w:t>
      </w:r>
      <w:r w:rsidRPr="00450153">
        <w:rPr>
          <w:rFonts w:ascii="Times New Roman" w:hAnsi="Times New Roman"/>
          <w:sz w:val="24"/>
        </w:rPr>
        <w:lastRenderedPageBreak/>
        <w:t xml:space="preserve">schools and educational facilities, extended the provisioning of the contribution to improve instructional and educational conditions for students from socially disadvantaged backgrounds to all students in families where a member receives assistance in material need. A total of EUR 30,468,303.02 was invested in educational measures within this strategy. An important aspect of this strategy was fulfilment of the objective to introduce mandatory pre-primary education for students from marginalised Roma communities. Within the adopted </w:t>
      </w:r>
      <w:r w:rsidRPr="00450153">
        <w:rPr>
          <w:rFonts w:ascii="Times New Roman" w:hAnsi="Times New Roman"/>
          <w:i/>
          <w:sz w:val="24"/>
        </w:rPr>
        <w:t>National Program for the Development of Education and Instruction</w:t>
      </w:r>
      <w:r w:rsidRPr="00450153">
        <w:rPr>
          <w:rFonts w:ascii="Times New Roman" w:hAnsi="Times New Roman"/>
          <w:sz w:val="24"/>
        </w:rPr>
        <w:t>, comprehensive entitlement to pre-primary education for children beginning at age 4 was stipulated with implementation by 2021.</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Within this strategy and in connection with the adoption of the social economy law, the </w:t>
      </w:r>
      <w:r w:rsidRPr="00450153">
        <w:rPr>
          <w:rFonts w:ascii="Times New Roman" w:hAnsi="Times New Roman"/>
          <w:i/>
          <w:sz w:val="24"/>
        </w:rPr>
        <w:t>Investment Assistance for Social Enterprises – Grant Portion</w:t>
      </w:r>
      <w:r w:rsidRPr="00450153">
        <w:rPr>
          <w:rFonts w:ascii="Times New Roman" w:hAnsi="Times New Roman"/>
          <w:sz w:val="24"/>
        </w:rPr>
        <w:t xml:space="preserve"> national project was prepared in 2018. Within this strategy for the start-up of Roma-centric social enterprises, a call is being prepared to support social economy enterprises which will employ Roma in the least developed regions with a total allocation of EUR 13,500,000. A total of EUR 75,060,908.05 was invested in 2018 within the strategy for Roma employment.</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lastRenderedPageBreak/>
        <w:t xml:space="preserve">Subsidies were provided within housing under Act No. 443/2010 Coll. on Subsidies for Housing Development and on Social Housing to support the construction of 142 additional flats. A call was likewise declared in 2018 for Improved housing for municipalities with </w:t>
      </w:r>
      <w:r w:rsidR="00B635F0">
        <w:rPr>
          <w:rFonts w:ascii="Times New Roman" w:hAnsi="Times New Roman"/>
          <w:sz w:val="24"/>
        </w:rPr>
        <w:t>MRC</w:t>
      </w:r>
      <w:r w:rsidRPr="00450153">
        <w:rPr>
          <w:rFonts w:ascii="Times New Roman" w:hAnsi="Times New Roman"/>
          <w:sz w:val="24"/>
        </w:rPr>
        <w:t xml:space="preserve"> with elements of transitional housing with a total allocation of EUR 45,000,000 with the goal of increasing the number of Roma households with access to improved housing conditions. A total of EUR 7,370,445.11 was invested in housing measures within this strategy.</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A call focused on construction, modernisation and the renovation of community centres and in interaction with the “</w:t>
      </w:r>
      <w:r w:rsidRPr="00B635F0">
        <w:rPr>
          <w:rFonts w:ascii="Times New Roman" w:hAnsi="Times New Roman"/>
          <w:i/>
          <w:sz w:val="24"/>
        </w:rPr>
        <w:t>Community centres in municipalities with marginalised Roma communities - Phase I</w:t>
      </w:r>
      <w:r w:rsidRPr="00450153">
        <w:rPr>
          <w:rFonts w:ascii="Times New Roman" w:hAnsi="Times New Roman"/>
          <w:sz w:val="24"/>
        </w:rPr>
        <w:t xml:space="preserve">” national project provided a total of EUR 15,310,088.69 to 60 approved applications. A call with a focus on the Construction of new community centres, their renovation and expansion in municipalities with the presence of marginalised Roma communities, received an allocation from the ESIF and the state budget of EUR 16,764,705.88. As of January 2018, applications for a total amount of EUR 8,974,946.65 were contracted, while 36 applications were approved in January 2018. A total of </w:t>
      </w:r>
      <w:r w:rsidRPr="00450153">
        <w:rPr>
          <w:rFonts w:ascii="Times New Roman" w:hAnsi="Times New Roman"/>
          <w:sz w:val="24"/>
        </w:rPr>
        <w:lastRenderedPageBreak/>
        <w:t xml:space="preserve">93 contracts were concluded as of 31 August 2018. The call is in accordance with the Community centres in municipalities with </w:t>
      </w:r>
      <w:r w:rsidR="00B635F0">
        <w:rPr>
          <w:rFonts w:ascii="Times New Roman" w:hAnsi="Times New Roman"/>
          <w:sz w:val="24"/>
        </w:rPr>
        <w:t xml:space="preserve">marginalised Roma communities – </w:t>
      </w:r>
      <w:r w:rsidRPr="00450153">
        <w:rPr>
          <w:rFonts w:ascii="Times New Roman" w:hAnsi="Times New Roman"/>
          <w:sz w:val="24"/>
        </w:rPr>
        <w:t>Phase I national project.</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A call focused on “Support for access to drinking water in separated and segregated </w:t>
      </w:r>
      <w:r w:rsidR="00B635F0">
        <w:rPr>
          <w:rFonts w:ascii="Times New Roman" w:hAnsi="Times New Roman"/>
          <w:sz w:val="24"/>
        </w:rPr>
        <w:t>MRC</w:t>
      </w:r>
      <w:r w:rsidRPr="00450153">
        <w:rPr>
          <w:rFonts w:ascii="Times New Roman" w:hAnsi="Times New Roman"/>
          <w:sz w:val="24"/>
        </w:rPr>
        <w:t xml:space="preserve"> by means of water mains, wells and surface water treatment” was allocated EUR 17,882,352.94 from the ESIF and the state budget. Contracted applications totalled EUR 509,581.36 as of January 2018. A call focused on “Construction or expansion of a system for separated collection of municipal solid waste and implementation of remediation measures for illegal dumps, including remediation of negative effects of illegal dumps” received a total allocation of EUR 14,708,565 from the ESIF and the state budget. Another call was announced within Operational Programme Human Resources to submit applications for a grant under code OPLZ-PO6-SC611/621-2016-FN for SZRB Asset Management, a.s. within priority axis 6 - Technical equipment in municipalities with the presence of marginalised Roma communities with a total allocation from the ESIF and the stated budget of EUR 51,218,253.82.</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lastRenderedPageBreak/>
        <w:t>New calls are also being added within Operational Programme Human Resources focused on majority Roma communities as well as the national project of the Office of the Slovak Government Plenipotentiary for Roma Communities named Support for land settlement in marginalised Roma communities.</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Additional activities focused on reducing poverty within the strategy include the national projects Healthy communities 2A and 3A. The former includes financing of EUR 11,295,885.00 with 254 Roma placed in jobs and a total of 7228 Roma were supported within a project focused on health education and making healthcare more accessible. A total of EUR 3,504,904.35 was invested in health measures within this strategy.</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Within subsidies to support social and cultural needs and to resolve extraordinarily detrimental situations in Roma communities under Act No. 526/2010 Coll. on Subsidies under the Auspices of the Ministry of Interior, a total of 43 projects were supported in 2018 within seven thematic areas and with a total value of EUR 300,519.01.</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lastRenderedPageBreak/>
        <w:t xml:space="preserve">A total of 16.3% of the population was at risk of poverty or social exclusion in Slovakia in 2017 and this rate is higher with respect to members of marginalised Roma communities. Therefore, despite the fact that EU SILC data will be processed in the middle of 2019, and based on the preliminary report for the revision of social inclusion expenditures from January 2019 issued by the Value for Money Office at the Ministry of Finance and with respect to the outputs produced by the Institution for Financial Policy at the Ministry of Finance within the application of poverty indicators and because the strategy is divided into specific tasks, and the level of poverty risk, the level of social deprivation risk, the level of low labour intensity, the level of early school drop-out, the level of unmet need for medical examinations or treatment and the level of severe housing deprivation, and the fact that the take-away model forms an essential part of national projects under the auspices of the Office of the Slovak Government Plenipotentiary for Roma Communities, it is beyond doubt that Slovakia’s strategy for Roma integration has a positive short-term and long-term effect on reducing the level of poverty for the members of marginalised Roma communities. A total of EUR </w:t>
      </w:r>
      <w:r w:rsidRPr="00450153">
        <w:rPr>
          <w:rFonts w:ascii="Times New Roman" w:hAnsi="Times New Roman"/>
          <w:sz w:val="24"/>
        </w:rPr>
        <w:lastRenderedPageBreak/>
        <w:t>118,027,101.53 was distributed from the funds dedicated to fulfil the strategy’s measures in 2018.</w:t>
      </w:r>
    </w:p>
    <w:p w:rsidR="001615FB" w:rsidRPr="00450153" w:rsidRDefault="001615FB" w:rsidP="00450153">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Monitoring of selected indicators within priority axes 5 and 6 of Operational Programme Human Resources reveals that the 33.032% of Roma (members of marginalised Roma communities) have access to drinking water, with living conditions for 25.355% of this population improved by sanitation and for 27.994% by building stands.</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450153"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19</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contextualSpacing/>
        <w:jc w:val="both"/>
        <w:rPr>
          <w:rFonts w:ascii="Times New Roman" w:hAnsi="Times New Roman" w:cs="Times New Roman"/>
          <w:b/>
          <w:sz w:val="24"/>
          <w:szCs w:val="24"/>
        </w:rPr>
      </w:pPr>
      <w:r w:rsidRPr="009F35C6">
        <w:rPr>
          <w:rFonts w:ascii="Times New Roman" w:hAnsi="Times New Roman"/>
          <w:b/>
          <w:sz w:val="24"/>
        </w:rPr>
        <w:t>Right to an adequate standard of living</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450153" w:rsidRDefault="001615FB" w:rsidP="001615FB">
      <w:pPr>
        <w:pStyle w:val="ListParagraph"/>
        <w:numPr>
          <w:ilvl w:val="0"/>
          <w:numId w:val="11"/>
        </w:numPr>
        <w:spacing w:after="0" w:line="240" w:lineRule="auto"/>
        <w:ind w:left="0" w:firstLine="0"/>
        <w:jc w:val="both"/>
        <w:rPr>
          <w:rFonts w:ascii="Times New Roman" w:hAnsi="Times New Roman" w:cs="Times New Roman"/>
          <w:sz w:val="24"/>
          <w:szCs w:val="24"/>
        </w:rPr>
      </w:pPr>
      <w:r w:rsidRPr="00450153">
        <w:rPr>
          <w:rFonts w:ascii="Times New Roman" w:hAnsi="Times New Roman"/>
          <w:sz w:val="24"/>
        </w:rPr>
        <w:t xml:space="preserve">The given questions concerning housing fall under the auspices of various state authorities, including the </w:t>
      </w:r>
      <w:r w:rsidR="00686682">
        <w:rPr>
          <w:rFonts w:ascii="Times New Roman" w:hAnsi="Times New Roman"/>
          <w:sz w:val="24"/>
        </w:rPr>
        <w:t>MTC</w:t>
      </w:r>
      <w:r w:rsidRPr="00450153">
        <w:rPr>
          <w:rFonts w:ascii="Times New Roman" w:hAnsi="Times New Roman"/>
          <w:sz w:val="24"/>
        </w:rPr>
        <w:t xml:space="preserve"> and the </w:t>
      </w:r>
      <w:r w:rsidR="00686682">
        <w:rPr>
          <w:rFonts w:ascii="Times New Roman" w:hAnsi="Times New Roman"/>
          <w:sz w:val="24"/>
        </w:rPr>
        <w:t>MI</w:t>
      </w:r>
      <w:r w:rsidRPr="00450153">
        <w:rPr>
          <w:rFonts w:ascii="Times New Roman" w:hAnsi="Times New Roman"/>
          <w:sz w:val="24"/>
        </w:rPr>
        <w:t xml:space="preserve">, and in particular various local government authorities. The responses are provided within the auspices of the </w:t>
      </w:r>
      <w:r w:rsidR="00686682">
        <w:rPr>
          <w:rFonts w:ascii="Times New Roman" w:hAnsi="Times New Roman"/>
          <w:sz w:val="24"/>
        </w:rPr>
        <w:t>MLSAF</w:t>
      </w:r>
      <w:r w:rsidRPr="00450153">
        <w:rPr>
          <w:rFonts w:ascii="Times New Roman" w:hAnsi="Times New Roman"/>
          <w:sz w:val="24"/>
        </w:rPr>
        <w:t xml:space="preserve"> and therefore do not provide a complete picture of the solutions to this particular topic, and rather they contain information on the activities and results of collaboration with the </w:t>
      </w:r>
      <w:r w:rsidR="00450153">
        <w:rPr>
          <w:rFonts w:ascii="Times New Roman" w:hAnsi="Times New Roman"/>
          <w:sz w:val="24"/>
        </w:rPr>
        <w:t>MLSAF</w:t>
      </w:r>
      <w:r w:rsidRPr="00450153">
        <w:rPr>
          <w:rFonts w:ascii="Times New Roman" w:hAnsi="Times New Roman"/>
          <w:sz w:val="24"/>
        </w:rPr>
        <w:t>. As an aside, a system of social hous</w:t>
      </w:r>
      <w:r w:rsidRPr="00450153">
        <w:rPr>
          <w:rFonts w:ascii="Times New Roman" w:hAnsi="Times New Roman"/>
          <w:sz w:val="24"/>
        </w:rPr>
        <w:lastRenderedPageBreak/>
        <w:t xml:space="preserve">ing in rental flats exists for low-income groups and supporting instruments under the auspices of the </w:t>
      </w:r>
      <w:r w:rsidR="00686682">
        <w:rPr>
          <w:rFonts w:ascii="Times New Roman" w:hAnsi="Times New Roman"/>
          <w:sz w:val="24"/>
        </w:rPr>
        <w:t>MTC</w:t>
      </w:r>
      <w:r w:rsidRPr="00450153">
        <w:rPr>
          <w:rFonts w:ascii="Times New Roman" w:hAnsi="Times New Roman"/>
          <w:sz w:val="24"/>
        </w:rPr>
        <w:t xml:space="preserve"> include the acquisition of rental flats pursuant to Act No. 443/2010 Coll. and Act No. 150/2013, including those dedicated for marginalised Roma communities.</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DE1C60" w:rsidRDefault="001615FB" w:rsidP="00DE1C60">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Legislative development of Act No. 443/2010 Coll. on Subsidies for Housing Development and on Social Housing via Act No. 249/2010 Coll. officially stipulated the new institute of a starter flat, and included the ability to increase the subsidy available to procure such flat by 10%, an additional 10% increase in the subsidy to acquire a flat in the least developed administrative districts and expansion of the term technical furnishings. Legislative development of Act No. 150/2013 Coll. on the State Housing Development Fund taking the form of Act No. 244/2017 Coll. and Act No. 65/2019 Coll. (taking effect 1 July 2019) expanded the ability to provide support to purchase of land conditional upon the construction and use of rental flats with concurrent support provided to procure a rental flat, with an increase in the limit on support to acquire a rental flat raised to EUR 90,000, and the support for the purchase of land set </w:t>
      </w:r>
      <w:r w:rsidRPr="00450153">
        <w:rPr>
          <w:rFonts w:ascii="Times New Roman" w:hAnsi="Times New Roman"/>
          <w:sz w:val="24"/>
        </w:rPr>
        <w:lastRenderedPageBreak/>
        <w:t xml:space="preserve">at EUR 12,000 per rental flat. Together with the procurement of a rental flat, support may now be provided at up to 100% of the purchase price to an applicant, which may be a municipality, self-governing region or non-profit organisation if the structure is located in a municipality of administrative district with a low employment rate. Amendment of Decree No. 284/2013 Coll. on support provided from the State Housing Development Fund, general conditions of support and the contents of the application by Decree No. 283/2017 and Decree No. 361/2018 Coll. set the lending limit at 80% of the purchase price with 1% interest for rental flats if the applicant is a municipality, higher territorial unit or non-profit organisation, or 0% interest in the case of the least developed administrative districts. Act No. 65/2019 Coll. stipulated the exclusive standing of young married couples. These stipulates provided municipalities, cities and non-profit organisations with more advantageous conditions in performing their functions or missions, in securing standard flats or flats for social housing and a way to obtain up to 100% financing for rental flats using a combination of public funds through the subsidy and credit. The adoption of Act No. 112/2018 Coll. on the Social Economy </w:t>
      </w:r>
      <w:r w:rsidRPr="00450153">
        <w:rPr>
          <w:rFonts w:ascii="Times New Roman" w:hAnsi="Times New Roman"/>
          <w:sz w:val="24"/>
        </w:rPr>
        <w:lastRenderedPageBreak/>
        <w:t>and Social Enterprises and on amendment of certain acts included the procurement of housing, and the management, maintenance and renovation of housing stock as socially beneficial services. Another instrument for securing adequate housing is the call to improve the forms of housing available to municipalities with marginalised Roma communities using elements of accessible housing with an EU and state budget allocation of EUR 50,294,117.65. The Office of the Slovak Government Plenipotentiary for Roma Communities is also implementing the national project “</w:t>
      </w:r>
      <w:r w:rsidRPr="00CE733A">
        <w:rPr>
          <w:rFonts w:ascii="Times New Roman" w:hAnsi="Times New Roman"/>
          <w:i/>
          <w:sz w:val="24"/>
        </w:rPr>
        <w:t>Support for land settlement in marginalised Roma communities</w:t>
      </w:r>
      <w:r w:rsidRPr="00450153">
        <w:rPr>
          <w:rFonts w:ascii="Times New Roman" w:hAnsi="Times New Roman"/>
          <w:sz w:val="24"/>
        </w:rPr>
        <w:t xml:space="preserve">” which 157 municipalities have joined. The allocated amount of state budget and ESIF sources to support the process of land settlement is EUR 3,094,000. Act No. 330/1992 Coll. on Land Modifications, the Settlement of Land Ownership, Land Authorities, the Land Fund and Land Associations was amended by Act No. 153/2017 Coll. to implement this very project and it permitted land modifications if necessary to settle ownership and usage of land located beneath settlements of marginalised communities. Likewise, for the purposes of securing the settlement of land under these dwellings, Decree No. 213/2017 Coll. was </w:t>
      </w:r>
      <w:r w:rsidRPr="00450153">
        <w:rPr>
          <w:rFonts w:ascii="Times New Roman" w:hAnsi="Times New Roman"/>
          <w:sz w:val="24"/>
        </w:rPr>
        <w:lastRenderedPageBreak/>
        <w:t>adopted, which amends Ministry of Justice Decree No. 492/2004 Coll. on Definition of the General Value of Property, as amended, which modified the process for defining the value of land located beneath settlements of marginalised communities. Another instrument for securing the availability of housing for moderate income Roma is a call within Operational Programme Human Resources financial instrument no. OPLZ-PO6-SC611/621-2016-FN with a total allocation of EUR 51,218,253.82, which monitors growth in the number of Roma households with access to improved housing conditions and increased employment rates among marginalised Roma communities within social economy entities in areas with the presence of marginalised Roma communities.</w:t>
      </w:r>
    </w:p>
    <w:p w:rsidR="00DE1C60" w:rsidRPr="00085421" w:rsidRDefault="00DE1C60" w:rsidP="00DE1C60">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085421">
        <w:rPr>
          <w:rFonts w:ascii="Times New Roman" w:hAnsi="Times New Roman"/>
          <w:sz w:val="24"/>
        </w:rPr>
        <w:t xml:space="preserve">In response the demand for greater support for the homeless, the </w:t>
      </w:r>
      <w:r>
        <w:rPr>
          <w:rFonts w:ascii="Times New Roman" w:hAnsi="Times New Roman"/>
          <w:sz w:val="24"/>
        </w:rPr>
        <w:t>MLSAF</w:t>
      </w:r>
      <w:r w:rsidRPr="00085421">
        <w:rPr>
          <w:rFonts w:ascii="Times New Roman" w:hAnsi="Times New Roman"/>
          <w:sz w:val="24"/>
        </w:rPr>
        <w:t xml:space="preserve"> responded with an amendment of the social services law taking effect last year and which: </w:t>
      </w:r>
    </w:p>
    <w:p w:rsidR="00DE1C60" w:rsidRPr="00DE1C60" w:rsidRDefault="00DE1C60" w:rsidP="00DE1C60">
      <w:pPr>
        <w:pStyle w:val="ListParagraph"/>
        <w:numPr>
          <w:ilvl w:val="0"/>
          <w:numId w:val="13"/>
        </w:numPr>
        <w:spacing w:line="240" w:lineRule="auto"/>
        <w:jc w:val="both"/>
        <w:rPr>
          <w:rFonts w:ascii="Times New Roman" w:hAnsi="Times New Roman" w:cs="Times New Roman"/>
          <w:sz w:val="24"/>
          <w:szCs w:val="24"/>
        </w:rPr>
      </w:pPr>
      <w:r w:rsidRPr="00DE1C60">
        <w:rPr>
          <w:rFonts w:ascii="Times New Roman" w:hAnsi="Times New Roman"/>
          <w:sz w:val="24"/>
        </w:rPr>
        <w:t>increased state support from the state budget for municipalities operating shelters providing temporary accommodations, social counselling and assistance in exercising rights and legally protected interests,</w:t>
      </w:r>
    </w:p>
    <w:p w:rsidR="00DE1C60" w:rsidRPr="00DE1C60" w:rsidRDefault="00DE1C60" w:rsidP="00DE1C60">
      <w:pPr>
        <w:pStyle w:val="ListParagraph"/>
        <w:numPr>
          <w:ilvl w:val="0"/>
          <w:numId w:val="13"/>
        </w:numPr>
        <w:spacing w:line="240" w:lineRule="auto"/>
        <w:jc w:val="both"/>
        <w:rPr>
          <w:rFonts w:ascii="Times New Roman" w:hAnsi="Times New Roman" w:cs="Times New Roman"/>
          <w:sz w:val="24"/>
          <w:szCs w:val="24"/>
        </w:rPr>
      </w:pPr>
      <w:r w:rsidRPr="00DE1C60">
        <w:rPr>
          <w:rFonts w:ascii="Times New Roman" w:hAnsi="Times New Roman"/>
          <w:sz w:val="24"/>
        </w:rPr>
        <w:lastRenderedPageBreak/>
        <w:t>reinforced support for field social work, including crisis intervention and social services to support independent living, which permit the identification of persons who are unable to secure the basic conditions needed to meet their basic needs and provide them with the necessary counselling, and to provide these people with the support they need once they manage to secure housing or accommodations.</w:t>
      </w:r>
    </w:p>
    <w:p w:rsidR="001615FB" w:rsidRPr="009F35C6" w:rsidRDefault="00450153"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20</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9F35C6" w:rsidRDefault="001615FB" w:rsidP="001615FB">
      <w:pPr>
        <w:spacing w:after="0" w:line="240" w:lineRule="auto"/>
        <w:contextualSpacing/>
        <w:jc w:val="both"/>
        <w:rPr>
          <w:rFonts w:ascii="Times New Roman" w:hAnsi="Times New Roman" w:cs="Times New Roman"/>
          <w:b/>
          <w:sz w:val="24"/>
          <w:szCs w:val="24"/>
        </w:rPr>
      </w:pPr>
      <w:r w:rsidRPr="009F35C6">
        <w:rPr>
          <w:rFonts w:ascii="Times New Roman" w:hAnsi="Times New Roman"/>
          <w:b/>
          <w:sz w:val="24"/>
        </w:rPr>
        <w:t>Approaches to resolving the housing issue</w:t>
      </w:r>
    </w:p>
    <w:p w:rsidR="001615FB" w:rsidRPr="009F35C6" w:rsidRDefault="001615FB" w:rsidP="001615FB">
      <w:pPr>
        <w:spacing w:after="0" w:line="240" w:lineRule="auto"/>
        <w:contextualSpacing/>
        <w:jc w:val="both"/>
        <w:rPr>
          <w:rFonts w:ascii="Times New Roman" w:hAnsi="Times New Roman" w:cs="Times New Roman"/>
          <w:b/>
          <w:sz w:val="24"/>
          <w:szCs w:val="24"/>
        </w:rPr>
      </w:pPr>
    </w:p>
    <w:p w:rsidR="001615FB" w:rsidRPr="00450153" w:rsidRDefault="001615FB" w:rsidP="00450153">
      <w:pPr>
        <w:pStyle w:val="ListParagraph"/>
        <w:numPr>
          <w:ilvl w:val="0"/>
          <w:numId w:val="11"/>
        </w:numPr>
        <w:spacing w:after="0"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Data is available on social services facilities covered by state statistical surveys on an annual basis and focused, for instance, on temporary housing, including dormitories, low-threshold day centres or shelters, while providing low-threshold social services that do not identify the client. Activities focused on quantifying the homeless population are performed by local authorities within their local areas in order to obtain reference materials needed for the purposes of planning social services and housing policy. </w:t>
      </w:r>
    </w:p>
    <w:p w:rsidR="00450153" w:rsidRPr="00450153" w:rsidRDefault="00450153" w:rsidP="00450153">
      <w:pPr>
        <w:pStyle w:val="ListParagraph"/>
        <w:spacing w:after="0" w:line="240" w:lineRule="auto"/>
        <w:ind w:left="0"/>
        <w:contextualSpacing w:val="0"/>
        <w:jc w:val="both"/>
        <w:rPr>
          <w:rFonts w:ascii="Times New Roman" w:hAnsi="Times New Roman" w:cs="Times New Roman"/>
          <w:sz w:val="24"/>
          <w:szCs w:val="24"/>
        </w:rPr>
      </w:pPr>
    </w:p>
    <w:p w:rsidR="001615FB" w:rsidRPr="00450153" w:rsidRDefault="001615FB" w:rsidP="00450153">
      <w:pPr>
        <w:pStyle w:val="ListParagraph"/>
        <w:numPr>
          <w:ilvl w:val="0"/>
          <w:numId w:val="11"/>
        </w:numPr>
        <w:spacing w:after="0" w:line="240" w:lineRule="auto"/>
        <w:ind w:left="0" w:firstLine="0"/>
        <w:jc w:val="both"/>
        <w:rPr>
          <w:rFonts w:ascii="Times New Roman" w:hAnsi="Times New Roman" w:cs="Times New Roman"/>
          <w:sz w:val="24"/>
          <w:szCs w:val="24"/>
        </w:rPr>
      </w:pPr>
      <w:r w:rsidRPr="00450153">
        <w:rPr>
          <w:rFonts w:ascii="Times New Roman" w:hAnsi="Times New Roman"/>
          <w:sz w:val="24"/>
        </w:rPr>
        <w:lastRenderedPageBreak/>
        <w:t xml:space="preserve">The </w:t>
      </w:r>
      <w:r w:rsidR="00450153">
        <w:rPr>
          <w:rFonts w:ascii="Times New Roman" w:hAnsi="Times New Roman"/>
          <w:sz w:val="24"/>
        </w:rPr>
        <w:t>MLSAF</w:t>
      </w:r>
      <w:r w:rsidRPr="00450153">
        <w:rPr>
          <w:rFonts w:ascii="Times New Roman" w:hAnsi="Times New Roman"/>
          <w:sz w:val="24"/>
        </w:rPr>
        <w:t xml:space="preserve"> aggregates and analyses potential approaches to resolving the housing issue, including based on the results of scientific and research activities and expert-level activities conducted by the Institute</w:t>
      </w:r>
      <w:r w:rsidR="00450153">
        <w:rPr>
          <w:rFonts w:ascii="Times New Roman" w:hAnsi="Times New Roman"/>
          <w:sz w:val="24"/>
        </w:rPr>
        <w:t xml:space="preserve"> for Labour and Family Research:</w:t>
      </w:r>
    </w:p>
    <w:p w:rsidR="001615FB" w:rsidRPr="009F35C6" w:rsidRDefault="001615FB" w:rsidP="001615FB">
      <w:pPr>
        <w:spacing w:after="0" w:line="240" w:lineRule="auto"/>
        <w:contextualSpacing/>
        <w:jc w:val="both"/>
        <w:rPr>
          <w:rFonts w:ascii="Times New Roman" w:hAnsi="Times New Roman" w:cs="Times New Roman"/>
          <w:sz w:val="24"/>
          <w:szCs w:val="24"/>
        </w:rPr>
      </w:pPr>
      <w:r w:rsidRPr="009F35C6">
        <w:rPr>
          <w:rFonts w:ascii="Times New Roman" w:hAnsi="Times New Roman"/>
          <w:sz w:val="24"/>
        </w:rPr>
        <w:t>•</w:t>
      </w:r>
      <w:r w:rsidRPr="009F35C6">
        <w:tab/>
      </w:r>
      <w:r w:rsidRPr="009F35C6">
        <w:rPr>
          <w:rFonts w:ascii="Times New Roman" w:hAnsi="Times New Roman"/>
          <w:sz w:val="24"/>
        </w:rPr>
        <w:t>“</w:t>
      </w:r>
      <w:r w:rsidRPr="00CE733A">
        <w:rPr>
          <w:rFonts w:ascii="Times New Roman" w:hAnsi="Times New Roman"/>
          <w:i/>
          <w:sz w:val="24"/>
        </w:rPr>
        <w:t>The Homeless: preparation and implementation of an empirical study, analysis of the instruments to prevent and resolve homelessness</w:t>
      </w:r>
      <w:r w:rsidR="00CE733A">
        <w:rPr>
          <w:rFonts w:ascii="Times New Roman" w:hAnsi="Times New Roman"/>
          <w:sz w:val="24"/>
        </w:rPr>
        <w:t>”</w:t>
      </w:r>
      <w:r w:rsidRPr="009F35C6">
        <w:rPr>
          <w:rFonts w:ascii="Times New Roman" w:hAnsi="Times New Roman"/>
          <w:sz w:val="24"/>
        </w:rPr>
        <w:t xml:space="preserve"> (Ondrušová et al., 2015), focused on defining homeless groups and analysis of experience service providers have with homeless people in this area. </w:t>
      </w:r>
    </w:p>
    <w:p w:rsidR="001615FB" w:rsidRPr="009F35C6" w:rsidRDefault="001615FB" w:rsidP="001615FB">
      <w:pPr>
        <w:spacing w:after="0" w:line="240" w:lineRule="auto"/>
        <w:contextualSpacing/>
        <w:jc w:val="both"/>
        <w:rPr>
          <w:rFonts w:ascii="Times New Roman" w:hAnsi="Times New Roman" w:cs="Times New Roman"/>
          <w:sz w:val="24"/>
          <w:szCs w:val="24"/>
        </w:rPr>
      </w:pPr>
      <w:r w:rsidRPr="009F35C6">
        <w:rPr>
          <w:rFonts w:ascii="Times New Roman" w:hAnsi="Times New Roman"/>
          <w:sz w:val="24"/>
        </w:rPr>
        <w:t>•</w:t>
      </w:r>
      <w:r w:rsidRPr="009F35C6">
        <w:tab/>
      </w:r>
      <w:r w:rsidRPr="009F35C6">
        <w:rPr>
          <w:rFonts w:ascii="Times New Roman" w:hAnsi="Times New Roman"/>
          <w:sz w:val="24"/>
        </w:rPr>
        <w:t>Final report from the census of homeless people in Bratislava in 2016 – presents findings on the size of the population and the individual situations of the homeless in Slovakia’s capital city,</w:t>
      </w:r>
    </w:p>
    <w:p w:rsidR="001615FB" w:rsidRPr="009F35C6" w:rsidRDefault="001615FB" w:rsidP="001615FB">
      <w:pPr>
        <w:spacing w:after="0" w:line="240" w:lineRule="auto"/>
        <w:contextualSpacing/>
        <w:jc w:val="both"/>
        <w:rPr>
          <w:rFonts w:ascii="Times New Roman" w:hAnsi="Times New Roman" w:cs="Times New Roman"/>
          <w:sz w:val="24"/>
          <w:szCs w:val="24"/>
        </w:rPr>
      </w:pPr>
      <w:r w:rsidRPr="009F35C6">
        <w:rPr>
          <w:rFonts w:ascii="Times New Roman" w:hAnsi="Times New Roman"/>
          <w:sz w:val="24"/>
        </w:rPr>
        <w:t>•</w:t>
      </w:r>
      <w:r w:rsidRPr="009F35C6">
        <w:tab/>
      </w:r>
      <w:r w:rsidRPr="009F35C6">
        <w:rPr>
          <w:rFonts w:ascii="Times New Roman" w:hAnsi="Times New Roman"/>
          <w:sz w:val="24"/>
        </w:rPr>
        <w:t>“</w:t>
      </w:r>
      <w:r w:rsidRPr="00CE733A">
        <w:rPr>
          <w:rFonts w:ascii="Times New Roman" w:hAnsi="Times New Roman"/>
          <w:i/>
          <w:sz w:val="24"/>
        </w:rPr>
        <w:t>Applicability of an accessible housing system and housing-first in Slovakia</w:t>
      </w:r>
      <w:r w:rsidRPr="009F35C6">
        <w:rPr>
          <w:rFonts w:ascii="Times New Roman" w:hAnsi="Times New Roman"/>
          <w:sz w:val="24"/>
        </w:rPr>
        <w:t xml:space="preserve">” – focuses on housing, comparing foreign experience in the application of accessible housing and housing-first, two different approaches, to tackling the issue of housing. </w:t>
      </w:r>
    </w:p>
    <w:p w:rsidR="001615FB" w:rsidRPr="009F35C6" w:rsidRDefault="001615FB" w:rsidP="001615FB">
      <w:pPr>
        <w:spacing w:after="0" w:line="240" w:lineRule="auto"/>
        <w:contextualSpacing/>
        <w:jc w:val="both"/>
        <w:rPr>
          <w:rFonts w:ascii="Times New Roman" w:hAnsi="Times New Roman" w:cs="Times New Roman"/>
          <w:sz w:val="24"/>
          <w:szCs w:val="24"/>
        </w:rPr>
      </w:pPr>
      <w:r w:rsidRPr="009F35C6">
        <w:rPr>
          <w:rFonts w:ascii="Times New Roman" w:hAnsi="Times New Roman"/>
          <w:sz w:val="24"/>
        </w:rPr>
        <w:t>•</w:t>
      </w:r>
      <w:r w:rsidRPr="009F35C6">
        <w:tab/>
      </w:r>
      <w:r w:rsidRPr="009F35C6">
        <w:rPr>
          <w:rFonts w:ascii="Times New Roman" w:hAnsi="Times New Roman"/>
          <w:sz w:val="24"/>
        </w:rPr>
        <w:t xml:space="preserve">Comparison of the costs of homelessness and housing with assistance in Bratislava (Csomor, 2017) is cost-benefit analysis of the costs to resolve homelessness by providing </w:t>
      </w:r>
      <w:r w:rsidRPr="009F35C6">
        <w:rPr>
          <w:rFonts w:ascii="Times New Roman" w:hAnsi="Times New Roman"/>
          <w:sz w:val="24"/>
        </w:rPr>
        <w:lastRenderedPageBreak/>
        <w:t xml:space="preserve">affordable housing for the homeless in Bratislava against the costs for social services involved in crisis intervention and other services for the homeless.  </w:t>
      </w:r>
    </w:p>
    <w:p w:rsidR="00450153" w:rsidRDefault="00450153" w:rsidP="001615FB">
      <w:pPr>
        <w:spacing w:after="0" w:line="240" w:lineRule="auto"/>
        <w:contextualSpacing/>
        <w:jc w:val="both"/>
        <w:rPr>
          <w:rFonts w:ascii="Times New Roman" w:hAnsi="Times New Roman"/>
          <w:sz w:val="24"/>
        </w:rPr>
      </w:pPr>
    </w:p>
    <w:p w:rsidR="001615FB" w:rsidRPr="00450153" w:rsidRDefault="001615FB" w:rsidP="00450153">
      <w:pPr>
        <w:pStyle w:val="ListParagraph"/>
        <w:numPr>
          <w:ilvl w:val="0"/>
          <w:numId w:val="11"/>
        </w:numPr>
        <w:spacing w:after="0" w:line="240" w:lineRule="auto"/>
        <w:ind w:left="0" w:firstLine="0"/>
        <w:jc w:val="both"/>
        <w:rPr>
          <w:rFonts w:ascii="Times New Roman" w:hAnsi="Times New Roman" w:cs="Times New Roman"/>
          <w:sz w:val="24"/>
          <w:szCs w:val="24"/>
        </w:rPr>
      </w:pPr>
      <w:r w:rsidRPr="00450153">
        <w:rPr>
          <w:rFonts w:ascii="Times New Roman" w:hAnsi="Times New Roman"/>
          <w:sz w:val="24"/>
        </w:rPr>
        <w:t xml:space="preserve">The </w:t>
      </w:r>
      <w:r w:rsidR="00450153">
        <w:rPr>
          <w:rFonts w:ascii="Times New Roman" w:hAnsi="Times New Roman"/>
          <w:sz w:val="24"/>
        </w:rPr>
        <w:t>MLSAF</w:t>
      </w:r>
      <w:r w:rsidRPr="00450153">
        <w:rPr>
          <w:rFonts w:ascii="Times New Roman" w:hAnsi="Times New Roman"/>
          <w:sz w:val="24"/>
        </w:rPr>
        <w:t xml:space="preserve"> supports the development of selected types of social services using ESF funds, while organisations that systematically focus on social work with the homeless in selected cities in Slovakia were the subject of two national projects: Field social work and Support for select crisis intervention services at the community level.</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450153" w:rsidRDefault="00450153" w:rsidP="00450153">
      <w:pPr>
        <w:spacing w:after="0"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21</w:t>
      </w:r>
    </w:p>
    <w:p w:rsidR="00450153" w:rsidRPr="00450153" w:rsidRDefault="00450153" w:rsidP="00450153">
      <w:pPr>
        <w:spacing w:after="0" w:line="240" w:lineRule="auto"/>
        <w:jc w:val="both"/>
        <w:rPr>
          <w:rFonts w:ascii="Times New Roman" w:hAnsi="Times New Roman" w:cs="Times New Roman"/>
          <w:b/>
          <w:sz w:val="24"/>
          <w:szCs w:val="24"/>
        </w:rPr>
      </w:pP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b/>
          <w:sz w:val="24"/>
          <w:szCs w:val="24"/>
        </w:rPr>
      </w:pPr>
      <w:r w:rsidRPr="00450153">
        <w:rPr>
          <w:rFonts w:ascii="Times New Roman" w:hAnsi="Times New Roman"/>
          <w:sz w:val="24"/>
        </w:rPr>
        <w:t xml:space="preserve">The Slovak constitution guarantees the right to protection of the dwelling and the unassailable nature of ownership rights (Article 20 of the Slovak constitution). This right to protection of a dwelling may not be interpreted as such that an individual is guaranteed to remain in a specific dwelling under any and all circumstances. Failure to meet financial obligations may be resolved under Act No. 527/2002 Coll. on Voluntary Auctions and on amendment </w:t>
      </w:r>
      <w:r w:rsidRPr="00450153">
        <w:rPr>
          <w:rFonts w:ascii="Times New Roman" w:hAnsi="Times New Roman"/>
          <w:sz w:val="24"/>
        </w:rPr>
        <w:lastRenderedPageBreak/>
        <w:t>of Act No. </w:t>
      </w:r>
      <w:hyperlink r:id="rId16" w:tooltip="Odkaz na predpis alebo ustanovenie">
        <w:r w:rsidRPr="00450153">
          <w:rPr>
            <w:rStyle w:val="Hyperlink"/>
            <w:rFonts w:ascii="Times New Roman" w:hAnsi="Times New Roman"/>
            <w:color w:val="auto"/>
            <w:sz w:val="24"/>
            <w:u w:val="none"/>
          </w:rPr>
          <w:t>323/1992 Coll.</w:t>
        </w:r>
      </w:hyperlink>
      <w:r w:rsidRPr="00450153">
        <w:rPr>
          <w:rFonts w:ascii="Times New Roman" w:hAnsi="Times New Roman"/>
          <w:sz w:val="24"/>
        </w:rPr>
        <w:t> on Notaries and Notarial Activities (Notary Code) as amended introduced the institute of voluntary auctions.  This essentially is the mandatory enforcement of a lien, whereby the voluntary element in such case primarily appears in the conclusion of the agreement to establish such lien, at which time the parties voluntarily agree that failure on the part of the debtor to meet its financial obligations in the future authorises the lien creditor to move to enforce its lean via a voluntary auction, and whereby such auction is considered voluntary. </w:t>
      </w:r>
      <w:r w:rsidRPr="009F35C6">
        <w:rPr>
          <w:vertAlign w:val="superscript"/>
        </w:rPr>
        <w:footnoteReference w:id="1"/>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As of 1 June 2014, it is impossible to auction real estate if the value of the receivable without any appurtenance secured by the lien at the date of notification of the enforcement of the lien does not exceed EUR 2,000 (under §3 (6) of Act No. 527/2002 Coll.). The party that submits the highest bid thereby obtains the subject of the auction. If a house or flat in which the debtor has registered their permanent address is auctioned off, the lowest bid may not be less than 3/4 of the value of the auctioned property determined by an </w:t>
      </w:r>
      <w:r w:rsidRPr="00450153">
        <w:rPr>
          <w:rFonts w:ascii="Times New Roman" w:hAnsi="Times New Roman"/>
          <w:sz w:val="24"/>
        </w:rPr>
        <w:lastRenderedPageBreak/>
        <w:t xml:space="preserve">expert opinion, and if it is the first such action, the lowest bid may not be less than 90% of the value of the auctioned property. In other instances (if the debtor has not registered their permanent address at the property), the lowest bid may not be less than 50% of the value of the auctioned property determined by an expert opinion, and if it is the first such action, the lowest bid may not be less than 80% of the value of the auctioned property. The auction process must be recorded in the form of notary minutes (under §16 (6) of Act No. 527/2002 Coll.). </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Upon request of the Office of the Slovak Government Plenipotentiary for Roma Communities and to define the method for determining the general value of land beneath the settlements of marginalised groups and in connection with the adoption of Act No. 153/2017 Coll., amending Act no. 330/1991 Coll.  on Land Modifications, the Settlement of Land Ownership, Land Authorities, the Land Fund and Land Associations (in effect on 1 September 2017), the Ministry of Justice submitted a draft decree to amend Ministry of Justice Decree No. 492/2004 Coll. on Definition of the General Value of Property, as amended. </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lastRenderedPageBreak/>
        <w:t>Decree No. 213/2017 Coll. on Definition of the General Value of Property, as amended (in effect on 1 September 2017) stakes out the objective of resolving specific issues encountered in applied practices when determining the value of land, especially the individual coefficients used to calculate the general value of such land using the locational differentiation method.</w:t>
      </w:r>
    </w:p>
    <w:p w:rsidR="001615FB" w:rsidRPr="0018297E" w:rsidRDefault="001615FB" w:rsidP="0018297E">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The amended </w:t>
      </w:r>
      <w:r w:rsidR="0073501F">
        <w:rPr>
          <w:rFonts w:ascii="Times New Roman" w:hAnsi="Times New Roman"/>
          <w:sz w:val="24"/>
        </w:rPr>
        <w:t>act</w:t>
      </w:r>
      <w:r w:rsidRPr="00450153">
        <w:rPr>
          <w:rFonts w:ascii="Times New Roman" w:hAnsi="Times New Roman"/>
          <w:sz w:val="24"/>
        </w:rPr>
        <w:t xml:space="preserve"> modified the procedure used in matters involving the settlement of ownership and user rights to land under urban settlements of marginalised Roma communities and provided the owners of such land multiple options for settlement (specifically settlement in land for compensatory purposes, in land underneath the settlement or financial settlement). If the owner of the affected land chooses land for the purpose of settlement or money, the land under the settlement transfers to the municipality, while the municipality may not alienate or encumber the land except for the transfer of ownership to the inhabitants of the settlement.</w:t>
      </w:r>
    </w:p>
    <w:p w:rsidR="0018297E" w:rsidRPr="0018297E" w:rsidRDefault="0018297E" w:rsidP="0018297E">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085421">
        <w:rPr>
          <w:rFonts w:ascii="Times New Roman" w:hAnsi="Times New Roman"/>
          <w:sz w:val="24"/>
        </w:rPr>
        <w:t>A draft of a new building law negating the legality of any processes that would result in discriminatory conse</w:t>
      </w:r>
      <w:r w:rsidRPr="00085421">
        <w:rPr>
          <w:rFonts w:ascii="Times New Roman" w:hAnsi="Times New Roman"/>
          <w:sz w:val="24"/>
        </w:rPr>
        <w:lastRenderedPageBreak/>
        <w:t xml:space="preserve">quences if applied was submitted within the legislative process in 2019. Process instruments reconciling the legality of urban settlements of marginalised Roma communities with Slovak law and the potential to use public funds to accomplish them over time are being refined in current processes. Slovakia is not interested in extending the viability of Roma settlements that do not meet the basic requirements for healthy housing. It is therefore seeking to identify mechanisms for permanent improvement in housing conditions for marginalised Roma communities without introducing elements of residential segregation and in full respect for individual rights, and therefore respect for the strategies, cultural patterns of behaviour and will to engage in stratification changes among marginalised Roma communities, which must be conceived on a voluntary basis, with active engagement, responsibility and the element of merit in the interest of sustainability. Resolutions to conflicts between the rights of the owners of structures and land owners must also comply with the condition of constitutional conformity. This is certainly not a short-term process. The short-term rental law, with its lower level of tenant protections, does not apply to flats owned by cities and </w:t>
      </w:r>
      <w:r w:rsidRPr="00085421">
        <w:rPr>
          <w:rFonts w:ascii="Times New Roman" w:hAnsi="Times New Roman"/>
          <w:sz w:val="24"/>
        </w:rPr>
        <w:lastRenderedPageBreak/>
        <w:t xml:space="preserve">towns. Slovakia previously adopted a host of legal measures containing institutes designed to provide adequate and proportional protection against forced evictions, to resolve conflicts of ownership between land owners and the owners of structures and to improve legal protections for debtors in execution proceedings and auctions. Relevant principles for the use of ESIF funds were configured the same way. </w:t>
      </w:r>
    </w:p>
    <w:p w:rsidR="001615FB" w:rsidRPr="009F35C6" w:rsidRDefault="00450153" w:rsidP="001615FB">
      <w:pPr>
        <w:spacing w:after="0" w:line="240" w:lineRule="auto"/>
        <w:contextualSpacing/>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22</w:t>
      </w:r>
    </w:p>
    <w:p w:rsidR="001615FB" w:rsidRPr="009F35C6" w:rsidRDefault="001615FB" w:rsidP="001615FB">
      <w:pPr>
        <w:spacing w:after="0" w:line="240" w:lineRule="auto"/>
        <w:contextualSpacing/>
        <w:jc w:val="both"/>
        <w:rPr>
          <w:rFonts w:ascii="Times New Roman" w:hAnsi="Times New Roman" w:cs="Times New Roman"/>
          <w:sz w:val="24"/>
          <w:szCs w:val="24"/>
        </w:rPr>
      </w:pPr>
    </w:p>
    <w:p w:rsidR="001615FB" w:rsidRPr="00A7508C" w:rsidRDefault="001615FB" w:rsidP="00A7508C">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Effectiveness in accomplishing the strategy’s tasks is assessed within the national project “</w:t>
      </w:r>
      <w:r w:rsidRPr="005A19B3">
        <w:rPr>
          <w:rFonts w:ascii="Times New Roman" w:hAnsi="Times New Roman"/>
          <w:i/>
          <w:sz w:val="24"/>
        </w:rPr>
        <w:t xml:space="preserve">Monitoring and assessing inclusive policies and their impact on </w:t>
      </w:r>
      <w:r w:rsidR="005A19B3">
        <w:rPr>
          <w:rFonts w:ascii="Times New Roman" w:hAnsi="Times New Roman"/>
          <w:i/>
          <w:sz w:val="24"/>
        </w:rPr>
        <w:t>MRC</w:t>
      </w:r>
      <w:r w:rsidRPr="00450153">
        <w:rPr>
          <w:rFonts w:ascii="Times New Roman" w:hAnsi="Times New Roman"/>
          <w:sz w:val="24"/>
        </w:rPr>
        <w:t>”, which is implemented by the Office of the Slovak Government Plenipotentiary for Roma Communities with a total allocation of EUR 3,106,720.26. Eligible project activities include measurements using the EU-SILC system derived from Regulation (EC) No 1177/2003 of the European Parliament and of the Council of 16 June 2003 concerning Community statistics on income and living conditions (EU-S</w:t>
      </w:r>
      <w:r w:rsidR="00A7508C">
        <w:rPr>
          <w:rFonts w:ascii="Times New Roman" w:hAnsi="Times New Roman"/>
          <w:sz w:val="24"/>
        </w:rPr>
        <w:t>ILC) (OJ L 165, 3.7.2003, p. 1).</w:t>
      </w:r>
    </w:p>
    <w:p w:rsidR="00A7508C" w:rsidRPr="00A7508C" w:rsidRDefault="00A7508C" w:rsidP="00A7508C">
      <w:pPr>
        <w:pStyle w:val="ListParagraph"/>
        <w:numPr>
          <w:ilvl w:val="0"/>
          <w:numId w:val="11"/>
        </w:numPr>
        <w:ind w:left="0" w:firstLine="0"/>
        <w:contextualSpacing w:val="0"/>
        <w:jc w:val="both"/>
        <w:rPr>
          <w:rFonts w:ascii="Times New Roman" w:hAnsi="Times New Roman" w:cs="Times New Roman"/>
          <w:sz w:val="24"/>
          <w:szCs w:val="24"/>
        </w:rPr>
      </w:pPr>
      <w:r w:rsidRPr="00A7508C">
        <w:rPr>
          <w:rFonts w:ascii="Times New Roman" w:hAnsi="Times New Roman" w:cs="Times New Roman"/>
          <w:sz w:val="24"/>
          <w:szCs w:val="24"/>
        </w:rPr>
        <w:lastRenderedPageBreak/>
        <w:t xml:space="preserve">A total of EUR 51,378,945.45, of which EUR 36,482,786.98 from the ESIF, was and remains allocated to action plans under the Strategy of the Slovak Republic for the Integration of Roma to 2020 for the period 2017 to 2020 for the areas of non-discrimination and approaches directed towards majority society – Roma integration initiative via communication. A total of EUR 340,938,596.05, of which EUR 265,962,101.05 from the ESIF, was allocated to updated actions plans under the Strategy of the Slovak Republic for the Integration of Roma to 2020 for the period 2016 to 2018 for the areas of education, employment, health, housing and the new action plan for financial inclusion. A total of EUR 120,578,181.63 and EUR 101,323,324.56 was allocated for 2019 and 2020 respectively, of which EUR 188,563,641.00 from the ESIF for the entire period 2019 to 2020, to updated actions plans under the Strategy of the Slovak Republic for the Integration of Roma to 2020 for the period 2019 to 2020 for the areas of education, employment, health, housing and financial inclusion. The following calls are planned in 2019: expansion of basic technical infrastructure (roads) with an allocation of EUR </w:t>
      </w:r>
      <w:r w:rsidRPr="00A7508C">
        <w:rPr>
          <w:rFonts w:ascii="Times New Roman" w:hAnsi="Times New Roman" w:cs="Times New Roman"/>
          <w:sz w:val="24"/>
          <w:szCs w:val="24"/>
        </w:rPr>
        <w:lastRenderedPageBreak/>
        <w:t>11,000,000.00, housing assistance (superintendents) with an allocation of EUR 6,000,000.00, better access to drinking water with an allocation of EUR 14,000,000, activities related to the land settlement process with an allocation of EUR 5,000,000, social enterprises with an allocation of EUR 13,500,00 and municipal solid waste management and illegal dumps with an allocation of EUR 5,000,000.</w:t>
      </w:r>
    </w:p>
    <w:p w:rsidR="001615FB" w:rsidRPr="009F35C6" w:rsidRDefault="00450153" w:rsidP="001615FB">
      <w:pPr>
        <w:spacing w:after="0"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23</w:t>
      </w:r>
    </w:p>
    <w:p w:rsidR="001615FB" w:rsidRPr="009F35C6" w:rsidRDefault="001615FB" w:rsidP="001615FB">
      <w:pPr>
        <w:spacing w:after="0" w:line="240" w:lineRule="auto"/>
        <w:jc w:val="both"/>
        <w:rPr>
          <w:rFonts w:ascii="Times New Roman" w:hAnsi="Times New Roman" w:cs="Times New Roman"/>
          <w:b/>
          <w:sz w:val="24"/>
          <w:szCs w:val="24"/>
        </w:rPr>
      </w:pPr>
    </w:p>
    <w:p w:rsidR="001615FB" w:rsidRPr="009F35C6" w:rsidRDefault="001615FB" w:rsidP="001615FB">
      <w:pPr>
        <w:spacing w:after="0" w:line="240" w:lineRule="auto"/>
        <w:jc w:val="both"/>
        <w:rPr>
          <w:rFonts w:ascii="Times New Roman" w:hAnsi="Times New Roman" w:cs="Times New Roman"/>
          <w:b/>
          <w:sz w:val="24"/>
          <w:szCs w:val="24"/>
        </w:rPr>
      </w:pPr>
      <w:r w:rsidRPr="009F35C6">
        <w:rPr>
          <w:rFonts w:ascii="Times New Roman" w:hAnsi="Times New Roman"/>
          <w:b/>
          <w:sz w:val="24"/>
        </w:rPr>
        <w:t>Right to an adequate standard of living</w:t>
      </w:r>
    </w:p>
    <w:p w:rsidR="001615FB" w:rsidRPr="009F35C6" w:rsidRDefault="001615FB" w:rsidP="001615FB">
      <w:pPr>
        <w:spacing w:after="0" w:line="240" w:lineRule="auto"/>
        <w:jc w:val="both"/>
        <w:rPr>
          <w:rFonts w:ascii="Times New Roman" w:hAnsi="Times New Roman" w:cs="Times New Roman"/>
          <w:b/>
          <w:sz w:val="24"/>
          <w:szCs w:val="24"/>
        </w:rPr>
      </w:pPr>
    </w:p>
    <w:p w:rsidR="001615FB" w:rsidRPr="00450153" w:rsidRDefault="001615FB" w:rsidP="001615FB">
      <w:pPr>
        <w:pStyle w:val="ListParagraph"/>
        <w:numPr>
          <w:ilvl w:val="0"/>
          <w:numId w:val="11"/>
        </w:numPr>
        <w:spacing w:after="0" w:line="240" w:lineRule="auto"/>
        <w:ind w:left="0" w:firstLine="0"/>
        <w:jc w:val="both"/>
        <w:rPr>
          <w:rFonts w:ascii="Times New Roman" w:hAnsi="Times New Roman" w:cs="Times New Roman"/>
          <w:sz w:val="24"/>
          <w:szCs w:val="24"/>
        </w:rPr>
      </w:pPr>
      <w:r w:rsidRPr="00450153">
        <w:rPr>
          <w:rFonts w:ascii="Times New Roman" w:hAnsi="Times New Roman"/>
          <w:sz w:val="24"/>
        </w:rPr>
        <w:t xml:space="preserve">A significant supporting measure aimed at supporting healthy eating habits in students attending kindergarten and primary schools is the change that occurred in the area of providing support for healthy eating habits among children (hereinafter referred to as “meal subsidy”). An amendment to Act No. 544/2010 Coll. on Subsidies under the Auspices of the </w:t>
      </w:r>
      <w:r w:rsidR="003E1268">
        <w:rPr>
          <w:rFonts w:ascii="Times New Roman" w:hAnsi="Times New Roman"/>
          <w:sz w:val="24"/>
        </w:rPr>
        <w:t xml:space="preserve">MLSAF </w:t>
      </w:r>
      <w:r w:rsidRPr="00450153">
        <w:rPr>
          <w:rFonts w:ascii="Times New Roman" w:hAnsi="Times New Roman"/>
          <w:sz w:val="24"/>
        </w:rPr>
        <w:t xml:space="preserve">introduced the ability to provide the meal subsidy to all children attending the final year of kindergarten education effective 1 January 2019. The option was also retained to provide a meal subsidy to children beginning at </w:t>
      </w:r>
      <w:r w:rsidRPr="00450153">
        <w:rPr>
          <w:rFonts w:ascii="Times New Roman" w:hAnsi="Times New Roman"/>
          <w:sz w:val="24"/>
        </w:rPr>
        <w:lastRenderedPageBreak/>
        <w:t xml:space="preserve">age 3 (or at age 2) to age 5 or the start of attendance of the final year of kindergarten education, as well as for children meeting their mandatory school attendance requirements in primary schools if they live in a household provided with assistance in material need or if household income at or below the substance minimum or if they attend a kindergarten or primary school where at least 50% of the children are from households to which assistance in material need is provided. </w:t>
      </w:r>
      <w:r w:rsidR="005A19B3">
        <w:rPr>
          <w:rFonts w:ascii="Times New Roman" w:hAnsi="Times New Roman"/>
          <w:sz w:val="24"/>
        </w:rPr>
        <w:t>The meal subsidy provides EUR 1,</w:t>
      </w:r>
      <w:r w:rsidRPr="00450153">
        <w:rPr>
          <w:rFonts w:ascii="Times New Roman" w:hAnsi="Times New Roman"/>
          <w:sz w:val="24"/>
        </w:rPr>
        <w:t xml:space="preserve">20 per day in which the child attends their educational activities at kindergarten or lessons at primary school and received lunch. Beginning on 1 September 2019, the amendment of this law will permit the blanket provisioning of the meal subsidy to all primary school students under the conditions specified in the law itself. </w:t>
      </w:r>
    </w:p>
    <w:p w:rsidR="001615FB" w:rsidRPr="009F35C6" w:rsidRDefault="001615FB" w:rsidP="001615FB">
      <w:pPr>
        <w:spacing w:after="0" w:line="240" w:lineRule="auto"/>
        <w:jc w:val="both"/>
        <w:rPr>
          <w:rFonts w:ascii="Times New Roman" w:hAnsi="Times New Roman" w:cs="Times New Roman"/>
          <w:sz w:val="24"/>
          <w:szCs w:val="24"/>
        </w:rPr>
      </w:pPr>
    </w:p>
    <w:p w:rsidR="001615FB" w:rsidRPr="009F35C6" w:rsidRDefault="00450153" w:rsidP="001615FB">
      <w:pPr>
        <w:spacing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27</w:t>
      </w:r>
    </w:p>
    <w:p w:rsidR="00F04245" w:rsidRPr="00F04245" w:rsidRDefault="001615FB" w:rsidP="00F04245">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 xml:space="preserve">Alcohol consumption in Slovakia shows a decreasing trend. Data provided by the Statistical Office of the Slovak Republic shows that per capita pure alcohol consumption in Slovakia per year decreased from 8.4 l in 2013 to 8.2 l in </w:t>
      </w:r>
      <w:r w:rsidRPr="00450153">
        <w:rPr>
          <w:rFonts w:ascii="Times New Roman" w:hAnsi="Times New Roman"/>
          <w:sz w:val="24"/>
        </w:rPr>
        <w:lastRenderedPageBreak/>
        <w:t>2017 (or 10.4 l in 1990). Per capita pure alcohol consumption in Slovakia in the 15+ age category decreased from 9.9 l in 2013 to 9.7 l in 2017 (or 13.9 l in 1990). Per capita consumption of alcoholic beverages (beer, wine and spirits) in Slovakia per year decreased from 97.5 l in 2013 to 96.4 l in 2017 (or 125.7 l in 1990).</w:t>
      </w:r>
    </w:p>
    <w:p w:rsidR="001615FB" w:rsidRPr="00450153" w:rsidRDefault="001615FB" w:rsidP="00F04245">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Regional public health authorities in Slovakia annually conduct educational and instructional activities (lectures and discussions) to prevent addiction focused primarily on children and young people, especially to commemorate important international dates (such as International Day Against Drug Abuse and Drug Trafficking, International Foetal Alcohol Awareness Day, and European Drug Week).</w:t>
      </w:r>
    </w:p>
    <w:p w:rsidR="001615FB" w:rsidRPr="00F04245" w:rsidRDefault="001615FB" w:rsidP="00F04245">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The Slovak Public Health Authority conducted two years of the nationwide “</w:t>
      </w:r>
      <w:r w:rsidRPr="00450153">
        <w:rPr>
          <w:rFonts w:ascii="Times New Roman" w:hAnsi="Times New Roman"/>
          <w:i/>
          <w:sz w:val="24"/>
        </w:rPr>
        <w:t>Best anti-drug poster</w:t>
      </w:r>
      <w:r w:rsidRPr="00450153">
        <w:rPr>
          <w:rFonts w:ascii="Times New Roman" w:hAnsi="Times New Roman"/>
          <w:sz w:val="24"/>
        </w:rPr>
        <w:t>” competition. The competition was intended for students in the 7th form at primary school. More than 350 seventh form students participated in the first year of the competition with an addition 270 seventh form students participating in the second. The second year was implemented with the financial support of the Ministry of Health within a special sub</w:t>
      </w:r>
      <w:r w:rsidRPr="00450153">
        <w:rPr>
          <w:rFonts w:ascii="Times New Roman" w:hAnsi="Times New Roman"/>
          <w:sz w:val="24"/>
        </w:rPr>
        <w:lastRenderedPageBreak/>
        <w:t>sidy to support anti-drug activities for 2016. The competition was designed to work towards creating an active anti-drug attitude, to show the importance of primary prevention, to avoid the use of addictive substances or at least defer such usage to the oldest age possible and to limit or prevent experimentation with addictive substances to avoid the physical and mental health consequences for developing children and adolescents.</w:t>
      </w:r>
    </w:p>
    <w:p w:rsidR="00F04245" w:rsidRPr="00F04245" w:rsidRDefault="00F04245" w:rsidP="00F04245">
      <w:pPr>
        <w:pStyle w:val="ListParagraph"/>
        <w:numPr>
          <w:ilvl w:val="0"/>
          <w:numId w:val="11"/>
        </w:numPr>
        <w:ind w:left="0" w:firstLine="0"/>
        <w:jc w:val="both"/>
        <w:rPr>
          <w:rFonts w:ascii="Times New Roman" w:hAnsi="Times New Roman" w:cs="Times New Roman"/>
          <w:sz w:val="24"/>
          <w:szCs w:val="24"/>
        </w:rPr>
      </w:pPr>
      <w:r w:rsidRPr="00F04245">
        <w:rPr>
          <w:rFonts w:ascii="Times New Roman" w:hAnsi="Times New Roman" w:cs="Times New Roman"/>
          <w:sz w:val="24"/>
          <w:szCs w:val="24"/>
        </w:rPr>
        <w:t xml:space="preserve">Monitoring health awareness among Slovaks and their related attitudes, and especially behaviour, provides a critical reference point in efforts to influence health to the desired extent. Recognition and thorough analysis of known risk factors, combined with rigorous study of the sociological and psychological characteristics of a selected population may provide the decisive information needed to ensure any strategy achieves the desired effect. Within the Update to the National Health Support Program of 2014, one of the main goals was to increase health awareness among the population and to initiate a gradual change in their personal attributes towards their own health. Within this context, monitoring of health awareness was conducted among the </w:t>
      </w:r>
      <w:r w:rsidRPr="00F04245">
        <w:rPr>
          <w:rFonts w:ascii="Times New Roman" w:hAnsi="Times New Roman" w:cs="Times New Roman"/>
          <w:sz w:val="24"/>
          <w:szCs w:val="24"/>
        </w:rPr>
        <w:lastRenderedPageBreak/>
        <w:t>public in Slovakia in 2013 and 2016. The third year of the survey is being completed in 2019.</w:t>
      </w:r>
    </w:p>
    <w:p w:rsidR="000F17A7" w:rsidRDefault="000F17A7" w:rsidP="001615FB">
      <w:pPr>
        <w:spacing w:line="240" w:lineRule="auto"/>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Concerning question No. 28</w:t>
      </w:r>
    </w:p>
    <w:p w:rsidR="000F17A7" w:rsidRPr="009F35C6" w:rsidRDefault="000F17A7" w:rsidP="000F17A7">
      <w:pPr>
        <w:spacing w:line="240" w:lineRule="auto"/>
        <w:jc w:val="both"/>
        <w:rPr>
          <w:rFonts w:ascii="Times New Roman" w:hAnsi="Times New Roman" w:cs="Times New Roman"/>
          <w:b/>
          <w:bCs/>
          <w:sz w:val="24"/>
          <w:szCs w:val="24"/>
        </w:rPr>
      </w:pPr>
      <w:bookmarkStart w:id="1" w:name="_Toc506970812"/>
      <w:r w:rsidRPr="009F35C6">
        <w:rPr>
          <w:rFonts w:ascii="Times New Roman" w:hAnsi="Times New Roman"/>
          <w:b/>
          <w:sz w:val="24"/>
        </w:rPr>
        <w:t xml:space="preserve">Funds provided as a contribution for </w:t>
      </w:r>
      <w:r w:rsidRPr="009F35C6">
        <w:rPr>
          <w:rFonts w:ascii="Times New Roman" w:hAnsi="Times New Roman"/>
          <w:sz w:val="24"/>
        </w:rPr>
        <w:t>a</w:t>
      </w:r>
      <w:r w:rsidRPr="009F35C6">
        <w:rPr>
          <w:rFonts w:ascii="Times New Roman" w:hAnsi="Times New Roman"/>
          <w:b/>
          <w:sz w:val="24"/>
        </w:rPr>
        <w:t xml:space="preserve"> student from a disadvantaged socio-economic background</w:t>
      </w:r>
      <w:bookmarkEnd w:id="1"/>
      <w:r w:rsidRPr="009F35C6">
        <w:rPr>
          <w:rFonts w:ascii="Times New Roman" w:hAnsi="Times New Roman"/>
          <w:b/>
          <w:sz w:val="24"/>
        </w:rPr>
        <w:t xml:space="preserve"> </w:t>
      </w:r>
    </w:p>
    <w:p w:rsidR="000F17A7" w:rsidRPr="000F17A7" w:rsidRDefault="000F17A7" w:rsidP="000F17A7">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0F17A7">
        <w:rPr>
          <w:rFonts w:ascii="Times New Roman" w:hAnsi="Times New Roman"/>
          <w:sz w:val="24"/>
        </w:rPr>
        <w:t xml:space="preserve">Primary school trustees used a total of EUR 7,182,575 in funding in 2017 allocated via the contribution for students from disadvantaged socio-economic backgrounds, specifically EUR 3,878,789 (54%) for the personnel costs of teacher’s assistants, with the remainder of these funds totalling EUR 3,303,786 (45.99%) used to cover operating expenses. A total of EUR 2,976,893 (90.1%) of the EUR 3,303,786 for operating expenses was spent on materials. Data on distribution is sourced from 2017 management reports. </w:t>
      </w:r>
    </w:p>
    <w:p w:rsidR="000F17A7" w:rsidRPr="00FE1944" w:rsidRDefault="000F17A7" w:rsidP="000F17A7">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FE1944">
        <w:rPr>
          <w:rFonts w:ascii="Times New Roman" w:hAnsi="Times New Roman"/>
          <w:sz w:val="24"/>
        </w:rPr>
        <w:t>The funds provided to improve the conditions for the education and instruction of students from disadvantaged socio-economic backgrounds totalled EUR 7,341,350 in 2017, or EUR 260 per student from a disadvantaged socio-economic background.</w:t>
      </w:r>
    </w:p>
    <w:p w:rsidR="000F17A7" w:rsidRPr="00FE1944" w:rsidRDefault="000F17A7" w:rsidP="000F17A7">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FE1944">
        <w:rPr>
          <w:rFonts w:ascii="Times New Roman" w:hAnsi="Times New Roman"/>
          <w:sz w:val="24"/>
        </w:rPr>
        <w:lastRenderedPageBreak/>
        <w:t>The per-student contribution to improve the conditions for the education and instruction of students from disadvantaged socio-economic backgrounds in 2018 was EUR 150, with a total of EUR 6,247,500 distributed at the beginning of the year. The reduction in this contribution in 2018 compared to 2017 is related to a change in legislation that took effect in September 2018, where those students from families in which a member of such family is provided with assistance in material need were counted as students from disadvantaged socio-economic backgrounds.</w:t>
      </w:r>
    </w:p>
    <w:p w:rsidR="000F17A7" w:rsidRPr="00FE1944" w:rsidRDefault="000F17A7" w:rsidP="000F17A7">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FE1944">
        <w:rPr>
          <w:rFonts w:ascii="Times New Roman" w:hAnsi="Times New Roman"/>
          <w:sz w:val="24"/>
        </w:rPr>
        <w:t>Effective 1 January 2018, the standard norms for the educational and instructional process were modified within §</w:t>
      </w:r>
      <w:r w:rsidR="00E740CC">
        <w:rPr>
          <w:rFonts w:ascii="Times New Roman" w:hAnsi="Times New Roman"/>
          <w:sz w:val="24"/>
        </w:rPr>
        <w:t xml:space="preserve"> </w:t>
      </w:r>
      <w:r w:rsidRPr="00FE1944">
        <w:rPr>
          <w:rFonts w:ascii="Times New Roman" w:hAnsi="Times New Roman"/>
          <w:sz w:val="24"/>
        </w:rPr>
        <w:t xml:space="preserve">4 (3) of Government Regulation No. 630/2008 Coll., which lays down the details of the breakdown of state budget funds for schools and school facilities as amended, and specifically the standard norm was increased from 108% under Subsection b) for primary schools with a primary language of instruction other than Slovak to 113% of the corresponding standard norm and a new standard norm under Subsection c) for primary schools that teach in a language of a national minority, set to 104% of the corresponding standard norm.  </w:t>
      </w:r>
    </w:p>
    <w:p w:rsidR="000F17A7" w:rsidRPr="00F60F38" w:rsidRDefault="000F17A7" w:rsidP="00F60F38">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FE1944">
        <w:rPr>
          <w:rFonts w:ascii="Times New Roman" w:hAnsi="Times New Roman"/>
          <w:sz w:val="24"/>
        </w:rPr>
        <w:lastRenderedPageBreak/>
        <w:t>The number of students in the first year of special primary schools educated under variant A was reduced by 17% in 2016 compared to 2015. The number of students in the first year of special primary schools educated under variant A was reduced by 32% in 2017 compared to 2015. The number of students newly enrolled in the first year of special primary schools educated under variant A was reduced by 35% in 2017 compared to 2015.</w:t>
      </w:r>
    </w:p>
    <w:p w:rsidR="00F60F38" w:rsidRPr="00F60F38" w:rsidRDefault="00F60F38" w:rsidP="00F60F38">
      <w:pPr>
        <w:pStyle w:val="ListParagraph"/>
        <w:numPr>
          <w:ilvl w:val="0"/>
          <w:numId w:val="11"/>
        </w:numPr>
        <w:ind w:left="0" w:firstLine="0"/>
        <w:contextualSpacing w:val="0"/>
        <w:jc w:val="both"/>
        <w:rPr>
          <w:rFonts w:ascii="Times New Roman" w:hAnsi="Times New Roman" w:cs="Times New Roman"/>
          <w:sz w:val="24"/>
          <w:szCs w:val="24"/>
        </w:rPr>
      </w:pPr>
      <w:r w:rsidRPr="00F60F38">
        <w:rPr>
          <w:rFonts w:ascii="Times New Roman" w:hAnsi="Times New Roman" w:cs="Times New Roman"/>
          <w:sz w:val="24"/>
          <w:szCs w:val="24"/>
        </w:rPr>
        <w:t xml:space="preserve">The Research Institute of Child Psychology and Pathopsychology manages the activities of psychologists within its monitoring of the implementation of methodology-related information for expert employees of counselling facilities within the bounds of determining the unsuitability of any test for the assessment of school preparedness among Roma children who have not completed pre-primary education; the need to shift diagnostics to such time as after completion of at least one year of education; changes with respect to the philosophy of “testing” children with selective diagnostics to diagnostics to characterise the strengths and weaknesses of a child with respect to the educational and instructional process; a change in perspective away </w:t>
      </w:r>
      <w:r w:rsidRPr="00F60F38">
        <w:rPr>
          <w:rFonts w:ascii="Times New Roman" w:hAnsi="Times New Roman" w:cs="Times New Roman"/>
          <w:sz w:val="24"/>
          <w:szCs w:val="24"/>
        </w:rPr>
        <w:lastRenderedPageBreak/>
        <w:t xml:space="preserve">from traditional psychometry towards clinical and qualitative assessment of a child’s performance, both in testing situations and observation of the child’s progression, regression or stagnation. </w:t>
      </w:r>
    </w:p>
    <w:p w:rsidR="00C77838" w:rsidRDefault="00C77838" w:rsidP="001615FB">
      <w:pPr>
        <w:spacing w:line="240" w:lineRule="auto"/>
        <w:jc w:val="both"/>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Concerning question No. 29</w:t>
      </w:r>
    </w:p>
    <w:p w:rsidR="00C77838" w:rsidRPr="00C77838" w:rsidRDefault="00C77838" w:rsidP="00C77838">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C77838">
        <w:rPr>
          <w:rFonts w:ascii="Times New Roman" w:hAnsi="Times New Roman"/>
          <w:sz w:val="24"/>
        </w:rPr>
        <w:t xml:space="preserve">With the goal of mapping the current use of minority languages, the Government Office submits the </w:t>
      </w:r>
      <w:r w:rsidRPr="00C77838">
        <w:rPr>
          <w:rFonts w:ascii="Times New Roman" w:hAnsi="Times New Roman"/>
          <w:i/>
          <w:sz w:val="24"/>
        </w:rPr>
        <w:t>Report on the Current Use of the Languages of National Minorities in Slovakia</w:t>
      </w:r>
      <w:r w:rsidRPr="00C77838">
        <w:rPr>
          <w:rFonts w:ascii="Times New Roman" w:hAnsi="Times New Roman"/>
          <w:sz w:val="24"/>
        </w:rPr>
        <w:t xml:space="preserve"> every two years. The fourth consecutive report on the current usage of minority languages in the 2017 - 2018 period was approved by the Slovak government in Regulation No. 10/2019. The report mapped the application of Act No. 184/1999 Coll. in terms of the domestic legislative and institutional framework, the international law framework and the use of the languages of national minorities among public authorities and organisational units of the Fire and Rescue Corps, armed security forces, the Slovak armed forces and other armed corps. The report was created based on an extensive questionnaire-based survey. Among the previous reports, this current version was the most extensive with respect to the scope of the mapped areas as well </w:t>
      </w:r>
      <w:r w:rsidRPr="00C77838">
        <w:rPr>
          <w:rFonts w:ascii="Times New Roman" w:hAnsi="Times New Roman"/>
          <w:sz w:val="24"/>
        </w:rPr>
        <w:lastRenderedPageBreak/>
        <w:t>as the breadth and depth of the parameters in terms of the use of minority languages. Municipalities showed improvement in the use of the languages of national minorities in official business among all national minorities, with the greatest progress observed in the use of the Hungarian national minority language. The results of analysis into the data obtained from the questionnaire used in the survey, and a comparison with the results of surveys conducted in previous reports, once again exposed persistent limits and room for improvement, and the report also identified areas and extents where the law was not being followed. The plenipotentiary took steps to remedy the individual deficiencies in cooperation with multiple materially competent departments.</w:t>
      </w:r>
    </w:p>
    <w:p w:rsidR="00C77838" w:rsidRPr="00C07887" w:rsidRDefault="00C77838" w:rsidP="008E4DB6">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C77838">
        <w:rPr>
          <w:rFonts w:ascii="Times New Roman" w:hAnsi="Times New Roman"/>
          <w:sz w:val="24"/>
        </w:rPr>
        <w:t>The agenda of the cultures of national minorities was removed from the Government Office and assigned to the Ministry of Culture when the law concerning the fund took effect. On 1 January 2018, the Cultures of National Minorities Department was established, founded as an efficient and systemically functioning organizational unit of the ministry. This department is primarily responsible for com</w:t>
      </w:r>
      <w:r w:rsidRPr="00C77838">
        <w:rPr>
          <w:rFonts w:ascii="Times New Roman" w:hAnsi="Times New Roman"/>
          <w:sz w:val="24"/>
        </w:rPr>
        <w:lastRenderedPageBreak/>
        <w:t xml:space="preserve">pleting, implementing, monitoring and evaluating the strategic and policy documents concerning the cultures of national minorities, communication between the ministry and cultural organisations within the trusteeship of local government bodies and other entities in the area of cultures of national minorities and monitoring trends and the contexts of issues facing the cultures of national minorities. It also elaborates the primary objectives, principles and reference points for state policy in the area of the culture of national minorities, strategic, analytical, policy and informational materials within the area of the culture of national minorities, the material aspects of proposed legislative objectives, drafts of generally binding legislation in the area of the culture of national minorities, reference materials for the ministry’s management activities in the area of the culture of national minorities and for analytical and evaluation activities in the area of the culture of national minorities as well as opinions and analyses in response to suggestions, proposals and objections raised by individual organisations, trade and artistic associations and other entities in the area of the culture of national minorities. The Cultures of National Minorities Department provides cooperation to local </w:t>
      </w:r>
      <w:r w:rsidRPr="00C77838">
        <w:rPr>
          <w:rFonts w:ascii="Times New Roman" w:hAnsi="Times New Roman"/>
          <w:sz w:val="24"/>
        </w:rPr>
        <w:lastRenderedPageBreak/>
        <w:t>government authorities in the creation, updating, summing and evaluation of an informational database and in the preparation of strategic and policy materials on the cultures of national minorities, within the organisation of international, nationwide and regional cultural events and festivals and in the area of providing methodological guidance in materially defined areas for local government authorities, their cultural organisations and other entities involved in the cultures of national minorities.</w:t>
      </w:r>
    </w:p>
    <w:p w:rsidR="00C07887" w:rsidRPr="00C07887" w:rsidRDefault="00C07887" w:rsidP="00C07887">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C07887">
        <w:rPr>
          <w:rFonts w:ascii="Times New Roman" w:hAnsi="Times New Roman" w:cs="Times New Roman"/>
          <w:bCs/>
          <w:sz w:val="24"/>
          <w:szCs w:val="24"/>
        </w:rPr>
        <w:t>The News Agency of the Slovak Republic, which is a public institution, began issuing releases on its wire in Hungarian starting in February 2018. These releases contain critical information about events in Slovakia with respect to the life and events affecting the largest national minority. This activity received a positive response from Slovak and Hungarian media.</w:t>
      </w:r>
    </w:p>
    <w:p w:rsidR="00C07887" w:rsidRPr="00C07887" w:rsidRDefault="00C07887" w:rsidP="00C07887">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C07887">
        <w:rPr>
          <w:rFonts w:ascii="Times New Roman" w:hAnsi="Times New Roman" w:cs="Times New Roman"/>
          <w:bCs/>
          <w:sz w:val="24"/>
          <w:szCs w:val="24"/>
        </w:rPr>
        <w:t>The promotion of the audio-visual cultures of national minorities has been secured over the long-term and continuously by the Slovak Film Institute, a budgetary organisation under the Ministry of Culture, and it consistently adds films in minority languages in their original form with sub</w:t>
      </w:r>
      <w:r w:rsidRPr="00C07887">
        <w:rPr>
          <w:rFonts w:ascii="Times New Roman" w:hAnsi="Times New Roman" w:cs="Times New Roman"/>
          <w:bCs/>
          <w:sz w:val="24"/>
          <w:szCs w:val="24"/>
        </w:rPr>
        <w:lastRenderedPageBreak/>
        <w:t xml:space="preserve">titles to the program at the Lumiére cinema, which it operates. The Slovak Film Institute also regularly presents minority audio-visual culture at various film screenings in which it is involved. Examples include organising the Hungarian Film Days in Slovakia and the Slovak Film Days in Hungary. </w:t>
      </w:r>
    </w:p>
    <w:p w:rsidR="008E4DB6" w:rsidRPr="00FE1944" w:rsidRDefault="008E4DB6" w:rsidP="008E4DB6">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FE1944">
        <w:rPr>
          <w:rFonts w:ascii="Times New Roman" w:hAnsi="Times New Roman" w:cs="Times New Roman"/>
          <w:bCs/>
          <w:sz w:val="24"/>
          <w:szCs w:val="24"/>
        </w:rPr>
        <w:t xml:space="preserve">An important and sustainable tool for the protection of the cultural rights of members of national minorities is the system of specialized museums within the Slovak National Museum (organizations established by the Ministry of Culture of the Slovak Republic). These are collecting workplaces focusing on the history and culture of national minorities living in Slovakia (Museum of Czech Culture in Slovakia in Martin, Museum of Culture of Croats in Slovakia in Bratislava, Museum of Culture of Carpathian Germans in Bratislava, Museum of Culture of Hungarians in Slovakia in Bratislava, Museum of Culture of Roma on Slovakia in Martin, Museum of Ruthenian Culture in Prešov, Museum of Ukrainian Culture in Svidník, Museum of Jewish Culture in Bratislava). These museums are specialized documentary, scientific-research and methodological workplaces that systematically research, retrieve, preserve </w:t>
      </w:r>
      <w:r w:rsidRPr="00FE1944">
        <w:rPr>
          <w:rFonts w:ascii="Times New Roman" w:hAnsi="Times New Roman" w:cs="Times New Roman"/>
          <w:bCs/>
          <w:sz w:val="24"/>
          <w:szCs w:val="24"/>
        </w:rPr>
        <w:lastRenderedPageBreak/>
        <w:t>and professionally process material and spiritual evidence of the history, culture, traditions of the respective ethnic groups in the territory of present-day Slovakia, and present the results of their activities to the public through publishing activities. education activities, exhibitions and cultural events aimed at presenting the rich cultural heritage to the public. In 2016, the Slovak National Museum-Museum of Jewish Culture opened the Museum of the Holocaust in Sered, which participates in educational activities and programs aimed at preventing manifestations of anti-Semitism, racism, extremism and radicalization in society.</w:t>
      </w:r>
    </w:p>
    <w:p w:rsidR="008E4DB6" w:rsidRPr="00FE1944" w:rsidRDefault="008E4DB6" w:rsidP="008E4DB6">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FE1944">
        <w:rPr>
          <w:rFonts w:ascii="Times New Roman" w:hAnsi="Times New Roman" w:cs="Times New Roman"/>
          <w:bCs/>
          <w:sz w:val="24"/>
          <w:szCs w:val="24"/>
        </w:rPr>
        <w:t xml:space="preserve">The Museum of the Slovak National Uprising in Banska Bystrica provides continuous accredited educational program Ethnic Purges, Genocides, Racial Intolerance in History for Teachers of History, Civics, Society and Ethics Education, bringing not only new expertise in the field of Jewish solution in Slovakia between 1939 and 1945, addressing the Jewish question in Europe at the time of World War II, persecution of Roma in Slovakia, but also reflects on the modern manifestations of racism, neo-Nazism and xenophobia and brings about the improvement of the key professional competences of the teacher when working with </w:t>
      </w:r>
      <w:r w:rsidRPr="00FE1944">
        <w:rPr>
          <w:rFonts w:ascii="Times New Roman" w:hAnsi="Times New Roman" w:cs="Times New Roman"/>
          <w:bCs/>
          <w:sz w:val="24"/>
          <w:szCs w:val="24"/>
        </w:rPr>
        <w:lastRenderedPageBreak/>
        <w:t>historical sources and methods oral history. The museum organizes a year-round interactive educational program for primary school pupils “Suitcase number ...” focusing on the issue of solving the Jewish question in Slovakia from 1939 to 1945, modern extremism and racism.</w:t>
      </w:r>
    </w:p>
    <w:p w:rsidR="008E4DB6" w:rsidRPr="00FE1944" w:rsidRDefault="008E4DB6" w:rsidP="008E4DB6">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FE1944">
        <w:rPr>
          <w:rFonts w:ascii="Times New Roman" w:hAnsi="Times New Roman" w:cs="Times New Roman"/>
          <w:bCs/>
          <w:sz w:val="24"/>
          <w:szCs w:val="24"/>
        </w:rPr>
        <w:t xml:space="preserve">The </w:t>
      </w:r>
      <w:r>
        <w:rPr>
          <w:rFonts w:ascii="Times New Roman" w:hAnsi="Times New Roman" w:cs="Times New Roman"/>
          <w:bCs/>
          <w:sz w:val="24"/>
          <w:szCs w:val="24"/>
        </w:rPr>
        <w:t>MC</w:t>
      </w:r>
      <w:r w:rsidRPr="00FE1944">
        <w:rPr>
          <w:rFonts w:ascii="Times New Roman" w:hAnsi="Times New Roman" w:cs="Times New Roman"/>
          <w:bCs/>
          <w:sz w:val="24"/>
          <w:szCs w:val="24"/>
        </w:rPr>
        <w:t xml:space="preserve"> establishes the Ifjú Szivek Dance Theater, which is a professional artistic organization with nationwide competence in the field of folklore processing and interpretation. As part of its activities, it creates artistic and educational programs that build on the traditional culture of citizens of Hungarian nationality living in the Slovak Republic and preserve, document and present the manifestations of traditional folk culture of Hungarians and other national minorities.</w:t>
      </w:r>
    </w:p>
    <w:p w:rsidR="00C77838" w:rsidRDefault="008E4DB6" w:rsidP="001615FB">
      <w:pPr>
        <w:pStyle w:val="ListParagraph"/>
        <w:numPr>
          <w:ilvl w:val="0"/>
          <w:numId w:val="11"/>
        </w:numPr>
        <w:spacing w:line="240" w:lineRule="auto"/>
        <w:ind w:left="0" w:firstLine="0"/>
        <w:contextualSpacing w:val="0"/>
        <w:jc w:val="both"/>
        <w:rPr>
          <w:rFonts w:ascii="Times New Roman" w:hAnsi="Times New Roman" w:cs="Times New Roman"/>
          <w:bCs/>
          <w:sz w:val="24"/>
          <w:szCs w:val="24"/>
        </w:rPr>
      </w:pPr>
      <w:r w:rsidRPr="00FE1944">
        <w:rPr>
          <w:rFonts w:ascii="Times New Roman" w:hAnsi="Times New Roman" w:cs="Times New Roman"/>
          <w:bCs/>
          <w:sz w:val="24"/>
          <w:szCs w:val="24"/>
        </w:rPr>
        <w:t xml:space="preserve">An important contribution to informing the majority about Roma culture is the national project Documentation and Information Center of Roma Culture in the State Scientific Library in Prešov, which contributes to the reduction of prejudices and stereotypes. Aim of this project is to build a digital database of Roma culture. The task of the Documentation and Information Center of Roma Culture is to concentrate comprehensive information on Roma culture, </w:t>
      </w:r>
      <w:r w:rsidRPr="00FE1944">
        <w:rPr>
          <w:rFonts w:ascii="Times New Roman" w:hAnsi="Times New Roman" w:cs="Times New Roman"/>
          <w:bCs/>
          <w:sz w:val="24"/>
          <w:szCs w:val="24"/>
        </w:rPr>
        <w:lastRenderedPageBreak/>
        <w:t>history, language, traditions and other areas of the Roma community's life in one place and to create a unique approach to the necessary and required information on everything related to Roma issues.</w:t>
      </w:r>
    </w:p>
    <w:p w:rsidR="00577DCC" w:rsidRDefault="00577DCC" w:rsidP="00895A19">
      <w:pPr>
        <w:pStyle w:val="ListParagraph"/>
        <w:numPr>
          <w:ilvl w:val="0"/>
          <w:numId w:val="11"/>
        </w:numPr>
        <w:ind w:left="0" w:firstLine="0"/>
        <w:contextualSpacing w:val="0"/>
        <w:jc w:val="both"/>
        <w:rPr>
          <w:rFonts w:ascii="Times New Roman" w:hAnsi="Times New Roman" w:cs="Times New Roman"/>
          <w:bCs/>
          <w:sz w:val="24"/>
          <w:szCs w:val="24"/>
        </w:rPr>
      </w:pPr>
      <w:r w:rsidRPr="00577DCC">
        <w:rPr>
          <w:rFonts w:ascii="Times New Roman" w:hAnsi="Times New Roman" w:cs="Times New Roman"/>
          <w:bCs/>
          <w:sz w:val="24"/>
          <w:szCs w:val="24"/>
        </w:rPr>
        <w:t>The MJ administers the legal and information portal Slov-Lex (www.slov-lex.sk) and is preparing and publishing the contents of certain legislation translated into the languages of select national minorities, specifically Hungarian, Romani, Ukrainian, Rusyn and German, in collaboration with the Office of the Slovak Government Plenipotentiary for National Minorities. These are translations of the laws directly affecting national minorities and the Constitution of the Slovak Republic, but are informative in nature. Only the contents of the Collection of Acts of the Slovak Republic is legally binding, which is accessible in the Electronic Collection of Acts of the Slovak Republic and in its current official printed version.</w:t>
      </w:r>
    </w:p>
    <w:p w:rsidR="00895A19" w:rsidRDefault="00895A19" w:rsidP="00895A19">
      <w:pPr>
        <w:pStyle w:val="ListParagraph"/>
        <w:numPr>
          <w:ilvl w:val="0"/>
          <w:numId w:val="11"/>
        </w:numPr>
        <w:ind w:left="0" w:firstLine="0"/>
        <w:contextualSpacing w:val="0"/>
        <w:jc w:val="both"/>
        <w:rPr>
          <w:rFonts w:ascii="Times New Roman" w:hAnsi="Times New Roman" w:cs="Times New Roman"/>
          <w:bCs/>
          <w:sz w:val="24"/>
          <w:szCs w:val="24"/>
        </w:rPr>
      </w:pPr>
      <w:r w:rsidRPr="00895A19">
        <w:rPr>
          <w:rFonts w:ascii="Times New Roman" w:hAnsi="Times New Roman" w:cs="Times New Roman"/>
          <w:bCs/>
          <w:sz w:val="24"/>
          <w:szCs w:val="24"/>
        </w:rPr>
        <w:t xml:space="preserve">Under Act No. 302/2016 Coll. on Providing Subsidies under the Auspices of the Ministry of Justice, as amended, the </w:t>
      </w:r>
      <w:r w:rsidR="00E740CC">
        <w:rPr>
          <w:rFonts w:ascii="Times New Roman" w:hAnsi="Times New Roman" w:cs="Times New Roman"/>
          <w:bCs/>
          <w:sz w:val="24"/>
          <w:szCs w:val="24"/>
        </w:rPr>
        <w:t>MJ</w:t>
      </w:r>
      <w:r w:rsidRPr="00895A19">
        <w:rPr>
          <w:rFonts w:ascii="Times New Roman" w:hAnsi="Times New Roman" w:cs="Times New Roman"/>
          <w:bCs/>
          <w:sz w:val="24"/>
          <w:szCs w:val="24"/>
        </w:rPr>
        <w:t xml:space="preserve"> provides subsidies within the area of human rights, </w:t>
      </w:r>
      <w:r w:rsidRPr="00895A19">
        <w:rPr>
          <w:rFonts w:ascii="Times New Roman" w:hAnsi="Times New Roman" w:cs="Times New Roman"/>
          <w:bCs/>
          <w:sz w:val="24"/>
          <w:szCs w:val="24"/>
        </w:rPr>
        <w:lastRenderedPageBreak/>
        <w:t>which are focused on promoting, supporting and protecting human rights and freedoms and avoiding all forms of discrimination, racism, xenophobia, anti-Semitism and other expressions of intolerance. This specific area includes projects to promote the cultures, histories and traditions of minority groups in Slovakia. Projects supported in 2018 include the “Majorita – minorita a ich súžitie II., zrkadlo predsudkov u študentov vysokých škôl, žiakov a pedagógov stredných škôl s vyučovacím jazykom maďarským” (Majority – minority and their confluence II., a mirror on the prejudices of university students and students and educators at secondary schools taught in Hungarian”) project at J. Selye University, and a project of the IN MINORITA civic association ”</w:t>
      </w:r>
      <w:r w:rsidRPr="00E740CC">
        <w:rPr>
          <w:rFonts w:ascii="Times New Roman" w:hAnsi="Times New Roman" w:cs="Times New Roman"/>
          <w:bCs/>
          <w:i/>
          <w:sz w:val="24"/>
          <w:szCs w:val="24"/>
        </w:rPr>
        <w:t>Ma bisteren! (2018)</w:t>
      </w:r>
      <w:r w:rsidRPr="00895A19">
        <w:rPr>
          <w:rFonts w:ascii="Times New Roman" w:hAnsi="Times New Roman" w:cs="Times New Roman"/>
          <w:bCs/>
          <w:sz w:val="24"/>
          <w:szCs w:val="24"/>
        </w:rPr>
        <w:t xml:space="preserve">” intended to commemorate the Roma victims of the Holocaust. </w:t>
      </w:r>
    </w:p>
    <w:p w:rsidR="00FC0561" w:rsidRPr="00FC0561" w:rsidRDefault="00FC0561" w:rsidP="00FC0561">
      <w:pPr>
        <w:pStyle w:val="ListParagraph"/>
        <w:numPr>
          <w:ilvl w:val="0"/>
          <w:numId w:val="11"/>
        </w:numPr>
        <w:ind w:left="0" w:firstLine="0"/>
        <w:contextualSpacing w:val="0"/>
        <w:jc w:val="both"/>
        <w:rPr>
          <w:rFonts w:ascii="Times New Roman" w:hAnsi="Times New Roman" w:cs="Times New Roman"/>
          <w:bCs/>
          <w:sz w:val="24"/>
          <w:szCs w:val="24"/>
        </w:rPr>
      </w:pPr>
      <w:r w:rsidRPr="00FC0561">
        <w:rPr>
          <w:rFonts w:ascii="Times New Roman" w:hAnsi="Times New Roman" w:cs="Times New Roman"/>
          <w:bCs/>
          <w:sz w:val="24"/>
          <w:szCs w:val="24"/>
        </w:rPr>
        <w:t xml:space="preserve">Among the non-legislative measures within broadcasting for national minorities is financing for radio and television broadcasts on the lives of national minorities and in the languages of national minorities on RTVS via a contract </w:t>
      </w:r>
      <w:r w:rsidRPr="00FC0561">
        <w:rPr>
          <w:rFonts w:ascii="Times New Roman" w:hAnsi="Times New Roman" w:cs="Times New Roman"/>
          <w:bCs/>
          <w:sz w:val="24"/>
          <w:szCs w:val="24"/>
        </w:rPr>
        <w:lastRenderedPageBreak/>
        <w:t>with the state. Based on such contracts, the Ministry of Culture provides significant funding to RTVS on an annual basis, and has done so since 2010 (for instance, EUR 35,228,310 was provided in 2018), for the purposes of producing programs in the public interest, to conduct special-purpose investment projects and to cover expenses for international broadcasting. These funds are used to provide a substantial level of financing for RTVS radio and television broadcasts intended for national minorities.</w:t>
      </w:r>
    </w:p>
    <w:p w:rsidR="00FC0561" w:rsidRPr="00FC0561" w:rsidRDefault="00FC0561" w:rsidP="00FC0561">
      <w:pPr>
        <w:pStyle w:val="ListParagraph"/>
        <w:numPr>
          <w:ilvl w:val="0"/>
          <w:numId w:val="11"/>
        </w:numPr>
        <w:ind w:left="0" w:firstLine="0"/>
        <w:contextualSpacing w:val="0"/>
        <w:jc w:val="both"/>
        <w:rPr>
          <w:rFonts w:ascii="Times New Roman" w:hAnsi="Times New Roman" w:cs="Times New Roman"/>
          <w:bCs/>
          <w:sz w:val="24"/>
          <w:szCs w:val="24"/>
        </w:rPr>
      </w:pPr>
      <w:r w:rsidRPr="00FC0561">
        <w:rPr>
          <w:rFonts w:ascii="Times New Roman" w:hAnsi="Times New Roman" w:cs="Times New Roman"/>
          <w:bCs/>
          <w:sz w:val="24"/>
          <w:szCs w:val="24"/>
        </w:rPr>
        <w:t>Within support for broadcasts in the languages of national minorities, RTVS reinforced its section for national minority broadcasting in 2018 with four new positions for programming personnel. In the same year, and within budgetary means, RTVS increased the royalties available to the section for national minority broadcasting intended for programs for young viewers and literary-drama programs. All RTVS programs produced for national minorities are archived in the RTVS digital archive and are available to anyone who is interested in Slovakia and abroad via its website at no charge.</w:t>
      </w:r>
    </w:p>
    <w:p w:rsidR="001615FB" w:rsidRPr="009F35C6" w:rsidRDefault="00450153" w:rsidP="001615FB">
      <w:pPr>
        <w:spacing w:line="240" w:lineRule="auto"/>
        <w:jc w:val="both"/>
        <w:rPr>
          <w:rFonts w:ascii="Times New Roman" w:hAnsi="Times New Roman" w:cs="Times New Roman"/>
          <w:b/>
          <w:sz w:val="24"/>
          <w:szCs w:val="24"/>
        </w:rPr>
      </w:pPr>
      <w:r w:rsidRPr="00247796">
        <w:rPr>
          <w:rFonts w:ascii="Times New Roman" w:eastAsia="Calibri" w:hAnsi="Times New Roman" w:cs="Times New Roman"/>
          <w:b/>
          <w:bCs/>
          <w:spacing w:val="1"/>
          <w:sz w:val="24"/>
          <w:szCs w:val="24"/>
        </w:rPr>
        <w:lastRenderedPageBreak/>
        <w:t xml:space="preserve">Concerning question </w:t>
      </w:r>
      <w:r>
        <w:rPr>
          <w:rFonts w:ascii="Times New Roman" w:eastAsia="Calibri" w:hAnsi="Times New Roman" w:cs="Times New Roman"/>
          <w:b/>
          <w:bCs/>
          <w:spacing w:val="1"/>
          <w:sz w:val="24"/>
          <w:szCs w:val="24"/>
        </w:rPr>
        <w:t xml:space="preserve">No. </w:t>
      </w:r>
      <w:r w:rsidR="001615FB" w:rsidRPr="009F35C6">
        <w:rPr>
          <w:rFonts w:ascii="Times New Roman" w:hAnsi="Times New Roman"/>
          <w:b/>
          <w:sz w:val="24"/>
        </w:rPr>
        <w:t>30</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eastAsiaTheme="minorEastAsia" w:hAnsi="Times New Roman" w:cs="Times New Roman"/>
          <w:bCs/>
          <w:kern w:val="24"/>
          <w:sz w:val="24"/>
          <w:szCs w:val="24"/>
        </w:rPr>
      </w:pPr>
      <w:r w:rsidRPr="00450153">
        <w:rPr>
          <w:rFonts w:ascii="Times New Roman" w:hAnsi="Times New Roman"/>
          <w:sz w:val="24"/>
        </w:rPr>
        <w:t>Slovakia transposed Directive 2004/23/EC of the European Parliament and of the Council of 31 March 2004 laying down quality and safety standards for the donation, procurement, testing, processing, preservation, storage and distribution of human tissues and cells and Directive 2006/86/EC of 24 March 2004 October 2006 implementing Directive 2004/23/EC of the European Parliament and of the Council as regards traceability requirements, reporting serious adverse reactions and events and certain technical requirements for coding, processing, preserving, storing and distributing human tissues and cells.</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t>It is a pan-European trend to bring the results of research into the development of society and to focus research activities on current societal challenges with the potential to improve the quality of life of all citizens. The basic strategic document dealing with research and innovation in Slovakia is the RIS3 SK strategy, which lists resolving the most pressing societal issues that pose the greatest burden on Slovak society as one of its key priorities.</w:t>
      </w:r>
    </w:p>
    <w:p w:rsidR="001615FB" w:rsidRPr="00450153" w:rsidRDefault="001615FB" w:rsidP="00450153">
      <w:pPr>
        <w:pStyle w:val="ListParagraph"/>
        <w:numPr>
          <w:ilvl w:val="0"/>
          <w:numId w:val="11"/>
        </w:numPr>
        <w:spacing w:line="240" w:lineRule="auto"/>
        <w:ind w:left="0" w:firstLine="0"/>
        <w:contextualSpacing w:val="0"/>
        <w:jc w:val="both"/>
        <w:rPr>
          <w:rFonts w:ascii="Times New Roman" w:hAnsi="Times New Roman" w:cs="Times New Roman"/>
          <w:sz w:val="24"/>
          <w:szCs w:val="24"/>
        </w:rPr>
      </w:pPr>
      <w:r w:rsidRPr="00450153">
        <w:rPr>
          <w:rFonts w:ascii="Times New Roman" w:hAnsi="Times New Roman"/>
          <w:sz w:val="24"/>
        </w:rPr>
        <w:lastRenderedPageBreak/>
        <w:t>Within Slovakia, this principle is taken into consideration within the creation of instruments to support research and development, such as in the prepared state programs for research and development.</w:t>
      </w:r>
    </w:p>
    <w:p w:rsidR="001615FB" w:rsidRPr="00450153" w:rsidRDefault="001615FB" w:rsidP="00450153">
      <w:pPr>
        <w:pStyle w:val="ListParagraph"/>
        <w:numPr>
          <w:ilvl w:val="0"/>
          <w:numId w:val="11"/>
        </w:numPr>
        <w:spacing w:line="240" w:lineRule="auto"/>
        <w:ind w:left="0" w:firstLine="0"/>
        <w:jc w:val="both"/>
        <w:rPr>
          <w:rFonts w:ascii="Times New Roman" w:hAnsi="Times New Roman" w:cs="Times New Roman"/>
          <w:sz w:val="24"/>
          <w:szCs w:val="24"/>
        </w:rPr>
      </w:pPr>
      <w:r w:rsidRPr="00450153">
        <w:rPr>
          <w:rFonts w:ascii="Times New Roman" w:hAnsi="Times New Roman"/>
          <w:sz w:val="24"/>
        </w:rPr>
        <w:t xml:space="preserve">Slovakia is also active within the EU initiative to provide open access to research and development outcomes. The Open Access principle is intended to provide free and unlimited access to research and related publications without violation of applicable copyrights and is based on the claim that research financed by taxpayers should be accessible to taxpayers at no charge. The principle of free access to scientific information was stipulated in the Action Plan for the Initiative for Open Governance for the period 2017 to 2019, which was approved by the Slovak government on 1 March 2017, The Slovak Centre of Scientific and Technical Information, which previously joined the OpenAire project focused on policy in this specific areas and technical aspects, such as the interoperability of data and systems, was defined as the National Point of Reference for the European Commission’s Open Access policy in Slovakia.  </w:t>
      </w:r>
    </w:p>
    <w:p w:rsidR="005D3154" w:rsidRPr="009F35C6" w:rsidRDefault="005D3154"/>
    <w:sectPr w:rsidR="005D3154" w:rsidRPr="009F35C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6D" w:rsidRDefault="008A5E6D" w:rsidP="001615FB">
      <w:pPr>
        <w:spacing w:after="0" w:line="240" w:lineRule="auto"/>
      </w:pPr>
      <w:r>
        <w:separator/>
      </w:r>
    </w:p>
  </w:endnote>
  <w:endnote w:type="continuationSeparator" w:id="0">
    <w:p w:rsidR="008A5E6D" w:rsidRDefault="008A5E6D" w:rsidP="0016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4257"/>
      <w:docPartObj>
        <w:docPartGallery w:val="Page Numbers (Bottom of Page)"/>
        <w:docPartUnique/>
      </w:docPartObj>
    </w:sdtPr>
    <w:sdtEndPr/>
    <w:sdtContent>
      <w:p w:rsidR="008A5E6D" w:rsidRDefault="008A5E6D">
        <w:pPr>
          <w:pStyle w:val="Footer"/>
          <w:jc w:val="center"/>
        </w:pPr>
        <w:r>
          <w:fldChar w:fldCharType="begin"/>
        </w:r>
        <w:r>
          <w:instrText>PAGE   \* MERGEFORMAT</w:instrText>
        </w:r>
        <w:r>
          <w:fldChar w:fldCharType="separate"/>
        </w:r>
        <w:r w:rsidR="00F36705">
          <w:rPr>
            <w:noProof/>
          </w:rPr>
          <w:t>2</w:t>
        </w:r>
        <w:r>
          <w:fldChar w:fldCharType="end"/>
        </w:r>
      </w:p>
    </w:sdtContent>
  </w:sdt>
  <w:p w:rsidR="008A5E6D" w:rsidRDefault="008A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6D" w:rsidRDefault="008A5E6D" w:rsidP="001615FB">
      <w:pPr>
        <w:spacing w:after="0" w:line="240" w:lineRule="auto"/>
      </w:pPr>
      <w:r>
        <w:separator/>
      </w:r>
    </w:p>
  </w:footnote>
  <w:footnote w:type="continuationSeparator" w:id="0">
    <w:p w:rsidR="008A5E6D" w:rsidRDefault="008A5E6D" w:rsidP="001615FB">
      <w:pPr>
        <w:spacing w:after="0" w:line="240" w:lineRule="auto"/>
      </w:pPr>
      <w:r>
        <w:continuationSeparator/>
      </w:r>
    </w:p>
  </w:footnote>
  <w:footnote w:id="1">
    <w:p w:rsidR="008A5E6D" w:rsidRPr="009868FB" w:rsidRDefault="008A5E6D" w:rsidP="001615F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color w:val="auto"/>
            <w:u w:val="none"/>
          </w:rPr>
          <w:t>http://sopkolegal.sk/uskalia-dobrovolnej-drazby-bytu/</w:t>
        </w:r>
      </w:hyperlink>
    </w:p>
    <w:p w:rsidR="008A5E6D" w:rsidRDefault="008A5E6D" w:rsidP="001615F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A4EB3"/>
    <w:multiLevelType w:val="hybridMultilevel"/>
    <w:tmpl w:val="EF0C5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EC43F3"/>
    <w:multiLevelType w:val="hybridMultilevel"/>
    <w:tmpl w:val="0F4E6E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E991047"/>
    <w:multiLevelType w:val="hybridMultilevel"/>
    <w:tmpl w:val="4EF2307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
    <w:nsid w:val="20593750"/>
    <w:multiLevelType w:val="hybridMultilevel"/>
    <w:tmpl w:val="A11C48B0"/>
    <w:lvl w:ilvl="0" w:tplc="E572EAAA">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962CDF"/>
    <w:multiLevelType w:val="hybridMultilevel"/>
    <w:tmpl w:val="08841338"/>
    <w:lvl w:ilvl="0" w:tplc="D50CE4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101D99"/>
    <w:multiLevelType w:val="hybridMultilevel"/>
    <w:tmpl w:val="2D021DC2"/>
    <w:lvl w:ilvl="0" w:tplc="E318B2DC">
      <w:start w:val="1"/>
      <w:numFmt w:val="lowerLetter"/>
      <w:lvlText w:val="%1)"/>
      <w:lvlJc w:val="left"/>
      <w:pPr>
        <w:ind w:left="1080" w:hanging="360"/>
      </w:pPr>
      <w:rPr>
        <w:b/>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6">
    <w:nsid w:val="41EA6B52"/>
    <w:multiLevelType w:val="hybridMultilevel"/>
    <w:tmpl w:val="5AEC8786"/>
    <w:lvl w:ilvl="0" w:tplc="FCAE6B66">
      <w:start w:val="1"/>
      <w:numFmt w:val="decimal"/>
      <w:lvlText w:val="%1."/>
      <w:lvlJc w:val="left"/>
      <w:pPr>
        <w:ind w:left="720" w:hanging="360"/>
      </w:pPr>
      <w:rPr>
        <w:rFonts w:cstheme="minorBidi"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307D1C"/>
    <w:multiLevelType w:val="hybridMultilevel"/>
    <w:tmpl w:val="ACA84AE8"/>
    <w:lvl w:ilvl="0" w:tplc="FAC059CC">
      <w:start w:val="1"/>
      <w:numFmt w:val="decimal"/>
      <w:lvlText w:val="(%1)"/>
      <w:lvlJc w:val="left"/>
      <w:pPr>
        <w:ind w:left="720" w:hanging="360"/>
      </w:pPr>
      <w:rPr>
        <w:rFonts w:ascii="Times New Roman" w:eastAsiaTheme="minorHAnsi" w:hAnsi="Times New Roman" w:cs="Times New Roman"/>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559917F7"/>
    <w:multiLevelType w:val="hybridMultilevel"/>
    <w:tmpl w:val="FC143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C8C405F"/>
    <w:multiLevelType w:val="hybridMultilevel"/>
    <w:tmpl w:val="EFFC50B8"/>
    <w:lvl w:ilvl="0" w:tplc="81D08F68">
      <w:start w:val="3"/>
      <w:numFmt w:val="bullet"/>
      <w:lvlText w:val="-"/>
      <w:lvlJc w:val="left"/>
      <w:pPr>
        <w:ind w:left="720" w:hanging="360"/>
      </w:pPr>
      <w:rPr>
        <w:rFonts w:ascii="Calibri" w:eastAsiaTheme="minorHAnsi" w:hAnsi="Calibri" w:cstheme="minorBid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CB836CD"/>
    <w:multiLevelType w:val="hybridMultilevel"/>
    <w:tmpl w:val="B60C6E6C"/>
    <w:lvl w:ilvl="0" w:tplc="202CC39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CB524DA"/>
    <w:multiLevelType w:val="hybridMultilevel"/>
    <w:tmpl w:val="942A9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1EF2867"/>
    <w:multiLevelType w:val="hybridMultilevel"/>
    <w:tmpl w:val="3E34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2"/>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FB"/>
    <w:rsid w:val="00017BD3"/>
    <w:rsid w:val="00027DC6"/>
    <w:rsid w:val="00071285"/>
    <w:rsid w:val="00074E23"/>
    <w:rsid w:val="00085421"/>
    <w:rsid w:val="000A10AC"/>
    <w:rsid w:val="000A18CF"/>
    <w:rsid w:val="000B358C"/>
    <w:rsid w:val="000C3049"/>
    <w:rsid w:val="000D2951"/>
    <w:rsid w:val="000D2FB6"/>
    <w:rsid w:val="000E18B4"/>
    <w:rsid w:val="000F17A7"/>
    <w:rsid w:val="000F5389"/>
    <w:rsid w:val="00112AB1"/>
    <w:rsid w:val="00117CCA"/>
    <w:rsid w:val="00120E14"/>
    <w:rsid w:val="001545E4"/>
    <w:rsid w:val="001615FB"/>
    <w:rsid w:val="0016760C"/>
    <w:rsid w:val="00170F34"/>
    <w:rsid w:val="0018297E"/>
    <w:rsid w:val="001A43A8"/>
    <w:rsid w:val="001B5BA4"/>
    <w:rsid w:val="001C3F76"/>
    <w:rsid w:val="001C4FC7"/>
    <w:rsid w:val="001D3341"/>
    <w:rsid w:val="001D6B0E"/>
    <w:rsid w:val="001E1FFC"/>
    <w:rsid w:val="001E2866"/>
    <w:rsid w:val="001F6B6C"/>
    <w:rsid w:val="00233388"/>
    <w:rsid w:val="0023477B"/>
    <w:rsid w:val="00235DAB"/>
    <w:rsid w:val="002364DD"/>
    <w:rsid w:val="00242449"/>
    <w:rsid w:val="00242648"/>
    <w:rsid w:val="00261679"/>
    <w:rsid w:val="00291EFE"/>
    <w:rsid w:val="00297485"/>
    <w:rsid w:val="002D5607"/>
    <w:rsid w:val="002F6865"/>
    <w:rsid w:val="002F7160"/>
    <w:rsid w:val="00303440"/>
    <w:rsid w:val="003134F3"/>
    <w:rsid w:val="00323053"/>
    <w:rsid w:val="003243FE"/>
    <w:rsid w:val="00335C99"/>
    <w:rsid w:val="0034247E"/>
    <w:rsid w:val="00350842"/>
    <w:rsid w:val="00355384"/>
    <w:rsid w:val="00385E8F"/>
    <w:rsid w:val="00391E53"/>
    <w:rsid w:val="003A17B7"/>
    <w:rsid w:val="003B108D"/>
    <w:rsid w:val="003B24BE"/>
    <w:rsid w:val="003D5839"/>
    <w:rsid w:val="003E1268"/>
    <w:rsid w:val="003E26EC"/>
    <w:rsid w:val="003E670D"/>
    <w:rsid w:val="003E6BC1"/>
    <w:rsid w:val="003F179C"/>
    <w:rsid w:val="004042DA"/>
    <w:rsid w:val="00410429"/>
    <w:rsid w:val="00412C4F"/>
    <w:rsid w:val="0041631B"/>
    <w:rsid w:val="0042261F"/>
    <w:rsid w:val="00434571"/>
    <w:rsid w:val="00445C6D"/>
    <w:rsid w:val="004464AF"/>
    <w:rsid w:val="00450153"/>
    <w:rsid w:val="00462272"/>
    <w:rsid w:val="004673B9"/>
    <w:rsid w:val="00470A2D"/>
    <w:rsid w:val="0047433E"/>
    <w:rsid w:val="004750F5"/>
    <w:rsid w:val="004870F7"/>
    <w:rsid w:val="004D4066"/>
    <w:rsid w:val="004D73B1"/>
    <w:rsid w:val="00507365"/>
    <w:rsid w:val="0052256E"/>
    <w:rsid w:val="005270EB"/>
    <w:rsid w:val="00537656"/>
    <w:rsid w:val="00543545"/>
    <w:rsid w:val="00577DCC"/>
    <w:rsid w:val="00583368"/>
    <w:rsid w:val="00584A57"/>
    <w:rsid w:val="005A19B3"/>
    <w:rsid w:val="005B0C65"/>
    <w:rsid w:val="005D3154"/>
    <w:rsid w:val="005D5D77"/>
    <w:rsid w:val="005D62E7"/>
    <w:rsid w:val="005D6C38"/>
    <w:rsid w:val="005F3972"/>
    <w:rsid w:val="00647B21"/>
    <w:rsid w:val="00683D2A"/>
    <w:rsid w:val="00686682"/>
    <w:rsid w:val="00691D0D"/>
    <w:rsid w:val="00697360"/>
    <w:rsid w:val="006E0BEE"/>
    <w:rsid w:val="006F2D52"/>
    <w:rsid w:val="006F481D"/>
    <w:rsid w:val="006F6620"/>
    <w:rsid w:val="006F70CC"/>
    <w:rsid w:val="0070031E"/>
    <w:rsid w:val="00705594"/>
    <w:rsid w:val="007120A0"/>
    <w:rsid w:val="007300B3"/>
    <w:rsid w:val="0073501F"/>
    <w:rsid w:val="00737832"/>
    <w:rsid w:val="00740106"/>
    <w:rsid w:val="0074387B"/>
    <w:rsid w:val="0075588B"/>
    <w:rsid w:val="007662B5"/>
    <w:rsid w:val="0079167F"/>
    <w:rsid w:val="00797B66"/>
    <w:rsid w:val="007A5A18"/>
    <w:rsid w:val="007A5BFF"/>
    <w:rsid w:val="007A6E23"/>
    <w:rsid w:val="007F15AD"/>
    <w:rsid w:val="00800201"/>
    <w:rsid w:val="00811A33"/>
    <w:rsid w:val="00850334"/>
    <w:rsid w:val="0085508F"/>
    <w:rsid w:val="00855B11"/>
    <w:rsid w:val="00891187"/>
    <w:rsid w:val="00895318"/>
    <w:rsid w:val="00895A19"/>
    <w:rsid w:val="008A5E6D"/>
    <w:rsid w:val="008C25D5"/>
    <w:rsid w:val="008C5F6F"/>
    <w:rsid w:val="008C7C23"/>
    <w:rsid w:val="008D126A"/>
    <w:rsid w:val="008E4DB6"/>
    <w:rsid w:val="008F52E8"/>
    <w:rsid w:val="00905400"/>
    <w:rsid w:val="00922480"/>
    <w:rsid w:val="0093539D"/>
    <w:rsid w:val="00991ABA"/>
    <w:rsid w:val="009A2F22"/>
    <w:rsid w:val="009C6C3B"/>
    <w:rsid w:val="009F259C"/>
    <w:rsid w:val="009F35C6"/>
    <w:rsid w:val="00A10CD5"/>
    <w:rsid w:val="00A4304C"/>
    <w:rsid w:val="00A7110D"/>
    <w:rsid w:val="00A7508C"/>
    <w:rsid w:val="00A858AB"/>
    <w:rsid w:val="00AA6464"/>
    <w:rsid w:val="00AD5DDA"/>
    <w:rsid w:val="00AE6983"/>
    <w:rsid w:val="00B14274"/>
    <w:rsid w:val="00B358EB"/>
    <w:rsid w:val="00B40D97"/>
    <w:rsid w:val="00B56A6B"/>
    <w:rsid w:val="00B5731C"/>
    <w:rsid w:val="00B635F0"/>
    <w:rsid w:val="00B823AC"/>
    <w:rsid w:val="00B93369"/>
    <w:rsid w:val="00BA0A64"/>
    <w:rsid w:val="00BB0A43"/>
    <w:rsid w:val="00BB6418"/>
    <w:rsid w:val="00BC1543"/>
    <w:rsid w:val="00BC7C16"/>
    <w:rsid w:val="00BD27F0"/>
    <w:rsid w:val="00BE3EBD"/>
    <w:rsid w:val="00C07887"/>
    <w:rsid w:val="00C16972"/>
    <w:rsid w:val="00C567DE"/>
    <w:rsid w:val="00C6436B"/>
    <w:rsid w:val="00C71982"/>
    <w:rsid w:val="00C73912"/>
    <w:rsid w:val="00C77838"/>
    <w:rsid w:val="00CA1F75"/>
    <w:rsid w:val="00CE1A4B"/>
    <w:rsid w:val="00CE2074"/>
    <w:rsid w:val="00CE733A"/>
    <w:rsid w:val="00D501C0"/>
    <w:rsid w:val="00D62790"/>
    <w:rsid w:val="00D77BD8"/>
    <w:rsid w:val="00D818F4"/>
    <w:rsid w:val="00D90ECA"/>
    <w:rsid w:val="00DE1C60"/>
    <w:rsid w:val="00DF132B"/>
    <w:rsid w:val="00DF4B70"/>
    <w:rsid w:val="00DF6CAB"/>
    <w:rsid w:val="00DF7784"/>
    <w:rsid w:val="00E4005D"/>
    <w:rsid w:val="00E4198F"/>
    <w:rsid w:val="00E52F9E"/>
    <w:rsid w:val="00E620B9"/>
    <w:rsid w:val="00E71A67"/>
    <w:rsid w:val="00E740CC"/>
    <w:rsid w:val="00E96CCD"/>
    <w:rsid w:val="00EA52CE"/>
    <w:rsid w:val="00EA588F"/>
    <w:rsid w:val="00ED018E"/>
    <w:rsid w:val="00ED6267"/>
    <w:rsid w:val="00EE234D"/>
    <w:rsid w:val="00EF2ACA"/>
    <w:rsid w:val="00F04245"/>
    <w:rsid w:val="00F167A9"/>
    <w:rsid w:val="00F32966"/>
    <w:rsid w:val="00F36705"/>
    <w:rsid w:val="00F37115"/>
    <w:rsid w:val="00F44595"/>
    <w:rsid w:val="00F60F38"/>
    <w:rsid w:val="00F86EB7"/>
    <w:rsid w:val="00F874B0"/>
    <w:rsid w:val="00F93DAC"/>
    <w:rsid w:val="00FB0C35"/>
    <w:rsid w:val="00FB5CE8"/>
    <w:rsid w:val="00FC0561"/>
    <w:rsid w:val="00FC1D2F"/>
    <w:rsid w:val="00FE1944"/>
    <w:rsid w:val="00FF7B15"/>
  </w:rsids>
  <m:mathPr>
    <m:mathFont m:val="Cambria Math"/>
    <m:brkBin m:val="before"/>
    <m:brkBinSub m:val="--"/>
    <m:smallFrac m:val="0"/>
    <m:dispDef/>
    <m:lMargin m:val="0"/>
    <m:rMargin m:val="0"/>
    <m:defJc m:val="centerGroup"/>
    <m:wrapIndent m:val="1440"/>
    <m:intLim m:val="subSup"/>
    <m:naryLim m:val="undOvr"/>
  </m:mathPr>
  <w:themeFontLang w:val="sk-S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FB"/>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5FB"/>
    <w:rPr>
      <w:color w:val="0000FF" w:themeColor="hyperlink"/>
      <w:u w:val="single"/>
    </w:rPr>
  </w:style>
  <w:style w:type="paragraph" w:styleId="ListParagraph">
    <w:name w:val="List Paragraph"/>
    <w:basedOn w:val="Normal"/>
    <w:uiPriority w:val="34"/>
    <w:qFormat/>
    <w:rsid w:val="001615FB"/>
    <w:pPr>
      <w:ind w:left="720"/>
      <w:contextualSpacing/>
    </w:pPr>
  </w:style>
  <w:style w:type="paragraph" w:styleId="FootnoteText">
    <w:name w:val="footnote text"/>
    <w:basedOn w:val="Normal"/>
    <w:link w:val="FootnoteTextChar"/>
    <w:uiPriority w:val="99"/>
    <w:semiHidden/>
    <w:unhideWhenUsed/>
    <w:rsid w:val="0016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5FB"/>
    <w:rPr>
      <w:rFonts w:eastAsiaTheme="minorHAnsi"/>
      <w:sz w:val="20"/>
      <w:szCs w:val="20"/>
      <w:lang w:eastAsia="en-GB"/>
    </w:rPr>
  </w:style>
  <w:style w:type="character" w:styleId="FootnoteReference">
    <w:name w:val="footnote reference"/>
    <w:basedOn w:val="DefaultParagraphFont"/>
    <w:uiPriority w:val="99"/>
    <w:semiHidden/>
    <w:unhideWhenUsed/>
    <w:rsid w:val="001615FB"/>
    <w:rPr>
      <w:vertAlign w:val="superscript"/>
    </w:rPr>
  </w:style>
  <w:style w:type="character" w:styleId="FollowedHyperlink">
    <w:name w:val="FollowedHyperlink"/>
    <w:basedOn w:val="DefaultParagraphFont"/>
    <w:uiPriority w:val="99"/>
    <w:semiHidden/>
    <w:unhideWhenUsed/>
    <w:rsid w:val="001615FB"/>
    <w:rPr>
      <w:color w:val="800080" w:themeColor="followedHyperlink"/>
      <w:u w:val="single"/>
    </w:rPr>
  </w:style>
  <w:style w:type="paragraph" w:styleId="Header">
    <w:name w:val="header"/>
    <w:basedOn w:val="Normal"/>
    <w:link w:val="HeaderChar"/>
    <w:uiPriority w:val="99"/>
    <w:unhideWhenUsed/>
    <w:rsid w:val="001615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5FB"/>
    <w:rPr>
      <w:rFonts w:eastAsiaTheme="minorHAnsi"/>
      <w:lang w:eastAsia="en-GB"/>
    </w:rPr>
  </w:style>
  <w:style w:type="paragraph" w:styleId="Footer">
    <w:name w:val="footer"/>
    <w:basedOn w:val="Normal"/>
    <w:link w:val="FooterChar"/>
    <w:uiPriority w:val="99"/>
    <w:unhideWhenUsed/>
    <w:rsid w:val="001615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5FB"/>
    <w:rPr>
      <w:rFonts w:eastAsiaTheme="minorHAnsi"/>
      <w:lang w:eastAsia="en-GB"/>
    </w:rPr>
  </w:style>
  <w:style w:type="paragraph" w:styleId="BalloonText">
    <w:name w:val="Balloon Text"/>
    <w:basedOn w:val="Normal"/>
    <w:link w:val="BalloonTextChar"/>
    <w:uiPriority w:val="99"/>
    <w:semiHidden/>
    <w:unhideWhenUsed/>
    <w:rsid w:val="0016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FB"/>
    <w:rPr>
      <w:rFonts w:ascii="Tahoma" w:eastAsiaTheme="minorHAnsi" w:hAnsi="Tahoma" w:cs="Tahoma"/>
      <w:sz w:val="16"/>
      <w:szCs w:val="16"/>
      <w:lang w:eastAsia="en-GB"/>
    </w:rPr>
  </w:style>
  <w:style w:type="table" w:styleId="TableGrid">
    <w:name w:val="Table Grid"/>
    <w:basedOn w:val="TableNormal"/>
    <w:uiPriority w:val="39"/>
    <w:rsid w:val="001615F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uiPriority w:val="99"/>
    <w:semiHidden/>
    <w:unhideWhenUsed/>
    <w:rsid w:val="001615FB"/>
    <w:rPr>
      <w:i/>
      <w:iCs/>
    </w:rPr>
  </w:style>
  <w:style w:type="table" w:customStyle="1" w:styleId="Mriekatabuky1">
    <w:name w:val="Mriežka tabuľky1"/>
    <w:basedOn w:val="TableNormal"/>
    <w:next w:val="TableGrid"/>
    <w:uiPriority w:val="59"/>
    <w:rsid w:val="00161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link w:val="CommentTextChar"/>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34F3"/>
    <w:pPr>
      <w:spacing w:after="160"/>
    </w:pPr>
    <w:rPr>
      <w:rFonts w:eastAsiaTheme="minorHAnsi"/>
      <w:b/>
      <w:bCs/>
    </w:rPr>
  </w:style>
  <w:style w:type="character" w:customStyle="1" w:styleId="CommentTextChar">
    <w:name w:val="Comment Text Char"/>
    <w:basedOn w:val="DefaultParagraphFont"/>
    <w:link w:val="CommentText"/>
    <w:uiPriority w:val="99"/>
    <w:semiHidden/>
    <w:rsid w:val="003134F3"/>
    <w:rPr>
      <w:sz w:val="20"/>
      <w:szCs w:val="20"/>
    </w:rPr>
  </w:style>
  <w:style w:type="character" w:customStyle="1" w:styleId="CommentSubjectChar">
    <w:name w:val="Comment Subject Char"/>
    <w:basedOn w:val="CommentTextChar"/>
    <w:link w:val="CommentSubject"/>
    <w:uiPriority w:val="99"/>
    <w:semiHidden/>
    <w:rsid w:val="003134F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svr.gov.sk/europsky-socialny-fond/narodne-projekty-v-programovom-obdobi-2014-2020.html?page_id=52140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finance.gov.sk/Default.aspx?CatID=97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1992/323/"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XeWavK" TargetMode="External"/><Relationship Id="rId5" Type="http://schemas.openxmlformats.org/officeDocument/2006/relationships/webSettings" Target="webSettings.xml"/><Relationship Id="rId15" Type="http://schemas.openxmlformats.org/officeDocument/2006/relationships/hyperlink" Target="https://www.finance.gov.sk/sk/financie/institut-financnej-politiky/publikacie-ifp/komentare/18-inkluzia-romov-je-celospolocenskou-vyzvou-august-2018.html" TargetMode="External"/><Relationship Id="rId10" Type="http://schemas.openxmlformats.org/officeDocument/2006/relationships/hyperlink" Target="https://goo.gl/XeWav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a.gov.sk/"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opkolegal.sk/uskalia-dobrovolnej-drazby-byt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Replies to the List of issues SLOVAKIA" edit="true"/>
    <f:field ref="objsubject" par="" text="" edit="true"/>
    <f:field ref="objcreatedby" par="" text="PIEŠŤANSKÝ, Peter, Mgr."/>
    <f:field ref="objcreatedat" par="" date="2019-07-04T13:27:16" text="4.7.2019 13:27:16"/>
    <f:field ref="objchangedby" par="" text="PIEŠŤANSKÝ, Peter, Mgr."/>
    <f:field ref="objmodifiedat" par="" date="2019-07-04T13:27:18" text="4.7.2019 13:27:18"/>
    <f:field ref="doc_FSCFOLIO_1_1001_FieldDocumentNumber" par="" text=""/>
    <f:field ref="doc_FSCFOLIO_1_1001_FieldSubject" par="" text=""/>
    <f:field ref="FSCFOLIO_1_1001_FieldCurrentUser" par="" text="Ing. Juraj PODHORSKÝ"/>
    <f:field ref="CCAPRECONFIG_15_1001_Objektname" par="" text="Replies to the List of issues SLOVAKI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282A2CD-BD9E-40F0-8498-8988AE73F40F}"/>
</file>

<file path=customXml/itemProps3.xml><?xml version="1.0" encoding="utf-8"?>
<ds:datastoreItem xmlns:ds="http://schemas.openxmlformats.org/officeDocument/2006/customXml" ds:itemID="{9B4BC896-702E-46BB-B9E1-E6669D8A4E27}"/>
</file>

<file path=customXml/itemProps4.xml><?xml version="1.0" encoding="utf-8"?>
<ds:datastoreItem xmlns:ds="http://schemas.openxmlformats.org/officeDocument/2006/customXml" ds:itemID="{9033E18B-26FE-401E-9DAF-633E2A168C8E}"/>
</file>

<file path=docProps/app.xml><?xml version="1.0" encoding="utf-8"?>
<Properties xmlns="http://schemas.openxmlformats.org/officeDocument/2006/extended-properties" xmlns:vt="http://schemas.openxmlformats.org/officeDocument/2006/docPropsVTypes">
  <Template>Normal.dotm</Template>
  <TotalTime>0</TotalTime>
  <Pages>24</Pages>
  <Words>12216</Words>
  <Characters>69636</Characters>
  <Application>Microsoft Office Word</Application>
  <DocSecurity>4</DocSecurity>
  <Lines>580</Lines>
  <Paragraphs>163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2019-07-09T05:59:00Z</dcterms:created>
  <dcterms:modified xsi:type="dcterms:W3CDTF">2019-07-09T05:59:00Z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SM OSN Ženeva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Mgr. Peter PIEŠŤANSKÝ</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4. 7. 2019, 13:27</vt:lpwstr>
  </property>
  <property fmtid="{D5CDD505-2E9C-101B-9397-08002B2CF9AE}" pid="135" name="FSC#SKEDITIONREG@103.510:curruserrolegroup">
    <vt:lpwstr>SM OSN Ženeva</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PIEŠŤANSKÝ, Peter, Mgr.</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OIĽZ(Oddelenie implementácie ľudskoprávnych záväzkov)</vt:lpwstr>
  </property>
  <property fmtid="{D5CDD505-2E9C-101B-9397-08002B2CF9AE}" pid="346" name="FSC#COOELAK@1.1001:CreatedAt">
    <vt:lpwstr>04.07.2019</vt:lpwstr>
  </property>
  <property fmtid="{D5CDD505-2E9C-101B-9397-08002B2CF9AE}" pid="347" name="FSC#COOELAK@1.1001:OU">
    <vt:lpwstr>OIĽZ(Oddelenie implementácie ľudskoprávnych záväzkov)</vt:lpwstr>
  </property>
  <property fmtid="{D5CDD505-2E9C-101B-9397-08002B2CF9AE}" pid="348" name="FSC#COOELAK@1.1001:Priority">
    <vt:lpwstr> ()</vt:lpwstr>
  </property>
  <property fmtid="{D5CDD505-2E9C-101B-9397-08002B2CF9AE}" pid="349" name="FSC#COOELAK@1.1001:ObjBarCode">
    <vt:lpwstr>*COO.2145.2000.2.9204471*</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vedúci</vt:lpwstr>
  </property>
  <property fmtid="{D5CDD505-2E9C-101B-9397-08002B2CF9AE}" pid="366" name="FSC#COOELAK@1.1001:CurrentUserEmail">
    <vt:lpwstr>juraj.podhorsky@mzv.sk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COO.2145.2000.2.9204471</vt:lpwstr>
  </property>
  <property fmtid="{D5CDD505-2E9C-101B-9397-08002B2CF9AE}" pid="397" name="FSC#FSCFOLIO@1.1001:docpropproject">
    <vt:lpwstr/>
  </property>
  <property fmtid="{D5CDD505-2E9C-101B-9397-08002B2CF9AE}" pid="398" name="ContentTypeId">
    <vt:lpwstr>0x010100FAE5DBF0ADA998469064B64F53A76F3C</vt:lpwstr>
  </property>
</Properties>
</file>