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58327" w14:textId="0132A9BA" w:rsidR="009973AF" w:rsidRPr="00CC7326" w:rsidRDefault="00D97869" w:rsidP="00E42344">
      <w:pPr>
        <w:numPr>
          <w:ilvl w:val="0"/>
          <w:numId w:val="0"/>
        </w:numPr>
        <w:ind w:left="720"/>
        <w:jc w:val="center"/>
        <w:rPr>
          <w:b/>
          <w:lang w:val="en-GB"/>
        </w:rPr>
      </w:pPr>
      <w:r w:rsidRPr="00CC7326">
        <w:rPr>
          <w:b/>
          <w:lang w:val="en-GB"/>
        </w:rPr>
        <w:t xml:space="preserve">Draft statement on </w:t>
      </w:r>
      <w:r w:rsidR="00602544" w:rsidRPr="00CC7326">
        <w:rPr>
          <w:b/>
          <w:lang w:val="en-GB"/>
        </w:rPr>
        <w:t>“non-</w:t>
      </w:r>
      <w:r w:rsidR="00F6307D">
        <w:rPr>
          <w:b/>
          <w:lang w:val="en-GB"/>
        </w:rPr>
        <w:t>State</w:t>
      </w:r>
      <w:r w:rsidR="00602544" w:rsidRPr="00CC7326">
        <w:rPr>
          <w:b/>
          <w:lang w:val="en-GB"/>
        </w:rPr>
        <w:t xml:space="preserve"> actors and enforced disappearances in the context of the </w:t>
      </w:r>
      <w:r w:rsidR="00243F62">
        <w:rPr>
          <w:b/>
          <w:lang w:val="en-GB"/>
        </w:rPr>
        <w:t xml:space="preserve">International </w:t>
      </w:r>
      <w:r w:rsidR="00602544" w:rsidRPr="00CC7326">
        <w:rPr>
          <w:b/>
          <w:lang w:val="en-GB"/>
        </w:rPr>
        <w:t>Convention</w:t>
      </w:r>
      <w:r w:rsidR="009973AF" w:rsidRPr="00CC7326">
        <w:rPr>
          <w:b/>
          <w:lang w:val="en-GB"/>
        </w:rPr>
        <w:t xml:space="preserve"> for the </w:t>
      </w:r>
      <w:r w:rsidR="00E76A73">
        <w:rPr>
          <w:b/>
          <w:lang w:val="en-GB"/>
        </w:rPr>
        <w:t>P</w:t>
      </w:r>
      <w:r w:rsidR="009973AF" w:rsidRPr="00CC7326">
        <w:rPr>
          <w:b/>
          <w:lang w:val="en-GB"/>
        </w:rPr>
        <w:t xml:space="preserve">rotection of </w:t>
      </w:r>
      <w:r w:rsidR="00E76A73">
        <w:rPr>
          <w:b/>
          <w:lang w:val="en-GB"/>
        </w:rPr>
        <w:t>A</w:t>
      </w:r>
      <w:r w:rsidR="009973AF" w:rsidRPr="00CC7326">
        <w:rPr>
          <w:b/>
          <w:lang w:val="en-GB"/>
        </w:rPr>
        <w:t xml:space="preserve">ll </w:t>
      </w:r>
      <w:r w:rsidR="00E76A73">
        <w:rPr>
          <w:b/>
          <w:lang w:val="en-GB"/>
        </w:rPr>
        <w:t>P</w:t>
      </w:r>
      <w:r w:rsidR="009973AF" w:rsidRPr="00CC7326">
        <w:rPr>
          <w:b/>
          <w:lang w:val="en-GB"/>
        </w:rPr>
        <w:t xml:space="preserve">ersons </w:t>
      </w:r>
      <w:r w:rsidR="00E76A73">
        <w:rPr>
          <w:b/>
          <w:lang w:val="en-GB"/>
        </w:rPr>
        <w:t>from</w:t>
      </w:r>
      <w:r w:rsidR="009973AF" w:rsidRPr="00CC7326">
        <w:rPr>
          <w:b/>
          <w:lang w:val="en-GB"/>
        </w:rPr>
        <w:t xml:space="preserve"> </w:t>
      </w:r>
      <w:r w:rsidR="00E76A73">
        <w:rPr>
          <w:b/>
          <w:lang w:val="en-GB"/>
        </w:rPr>
        <w:t>E</w:t>
      </w:r>
      <w:r w:rsidR="009973AF" w:rsidRPr="00CC7326">
        <w:rPr>
          <w:b/>
          <w:lang w:val="en-GB"/>
        </w:rPr>
        <w:t xml:space="preserve">nforced </w:t>
      </w:r>
      <w:r w:rsidR="00E76A73">
        <w:rPr>
          <w:b/>
          <w:lang w:val="en-GB"/>
        </w:rPr>
        <w:t>D</w:t>
      </w:r>
      <w:r w:rsidR="009973AF" w:rsidRPr="00CC7326">
        <w:rPr>
          <w:b/>
          <w:lang w:val="en-GB"/>
        </w:rPr>
        <w:t>isappearances”</w:t>
      </w:r>
    </w:p>
    <w:p w14:paraId="586FED8F" w14:textId="033DB5F0" w:rsidR="00142165" w:rsidRPr="00CE5C25" w:rsidRDefault="007B3779" w:rsidP="00E42344">
      <w:pPr>
        <w:numPr>
          <w:ilvl w:val="0"/>
          <w:numId w:val="0"/>
        </w:numPr>
        <w:rPr>
          <w:b/>
          <w:bCs/>
          <w:lang w:val="en-GB"/>
        </w:rPr>
      </w:pPr>
      <w:r w:rsidRPr="00CE5C25">
        <w:rPr>
          <w:b/>
          <w:bCs/>
          <w:lang w:val="en-GB"/>
        </w:rPr>
        <w:t>Introduction</w:t>
      </w:r>
    </w:p>
    <w:p w14:paraId="6D9E47FD" w14:textId="77777777" w:rsidR="001C2A89" w:rsidRPr="00CC7326" w:rsidRDefault="001C2A89" w:rsidP="00E42344">
      <w:pPr>
        <w:numPr>
          <w:ilvl w:val="0"/>
          <w:numId w:val="0"/>
        </w:numPr>
        <w:ind w:left="720"/>
        <w:rPr>
          <w:lang w:val="en-GB"/>
        </w:rPr>
      </w:pPr>
    </w:p>
    <w:p w14:paraId="7174F27D" w14:textId="0A258855" w:rsidR="00420A58" w:rsidRPr="00CC7326" w:rsidRDefault="00420A58" w:rsidP="00E42344">
      <w:pPr>
        <w:numPr>
          <w:ilvl w:val="0"/>
          <w:numId w:val="0"/>
        </w:numPr>
        <w:ind w:left="720"/>
        <w:rPr>
          <w:lang w:val="en-GB"/>
        </w:rPr>
      </w:pPr>
      <w:r w:rsidRPr="00CC7326">
        <w:rPr>
          <w:lang w:val="en-GB"/>
        </w:rPr>
        <w:t>The Committee on Enforced Disappearances</w:t>
      </w:r>
      <w:r w:rsidR="00670C41" w:rsidRPr="00CC7326">
        <w:rPr>
          <w:lang w:val="en-GB"/>
        </w:rPr>
        <w:t>,</w:t>
      </w:r>
    </w:p>
    <w:p w14:paraId="7D4254AF" w14:textId="7AA1E777" w:rsidR="00420A58" w:rsidRPr="00CC7326" w:rsidRDefault="009B7B8F" w:rsidP="00E42344">
      <w:pPr>
        <w:numPr>
          <w:ilvl w:val="0"/>
          <w:numId w:val="0"/>
        </w:numPr>
        <w:ind w:left="720"/>
        <w:rPr>
          <w:lang w:val="en-GB"/>
        </w:rPr>
      </w:pPr>
      <w:r>
        <w:rPr>
          <w:lang w:val="en-GB"/>
        </w:rPr>
        <w:t xml:space="preserve">[1] </w:t>
      </w:r>
      <w:r w:rsidR="0004152A" w:rsidRPr="00CC7326">
        <w:rPr>
          <w:lang w:val="en-GB"/>
        </w:rPr>
        <w:t>Bearing in mind the object and purpose of the International Convention for the Protection of All Persons from Enforced Disappearan</w:t>
      </w:r>
      <w:r w:rsidR="000A1786" w:rsidRPr="00CC7326">
        <w:rPr>
          <w:lang w:val="en-GB"/>
        </w:rPr>
        <w:t>ce (thereafter, the Convention),</w:t>
      </w:r>
    </w:p>
    <w:p w14:paraId="76C507FF" w14:textId="02657F1B" w:rsidR="008A4AEA" w:rsidRPr="00CC7326" w:rsidRDefault="009B7B8F" w:rsidP="00E42344">
      <w:pPr>
        <w:numPr>
          <w:ilvl w:val="0"/>
          <w:numId w:val="0"/>
        </w:numPr>
        <w:ind w:left="720"/>
        <w:rPr>
          <w:rFonts w:eastAsiaTheme="minorEastAsia"/>
          <w:lang w:val="en-GB" w:eastAsia="ja-JP"/>
        </w:rPr>
      </w:pPr>
      <w:r>
        <w:rPr>
          <w:lang w:val="en-GB"/>
        </w:rPr>
        <w:t xml:space="preserve">[2] </w:t>
      </w:r>
      <w:r w:rsidR="000A1786" w:rsidRPr="00CC7326">
        <w:rPr>
          <w:lang w:val="en-GB"/>
        </w:rPr>
        <w:t xml:space="preserve">Recalling the </w:t>
      </w:r>
      <w:r w:rsidR="000A1786" w:rsidRPr="00CC7326">
        <w:rPr>
          <w:i/>
          <w:lang w:val="en-GB"/>
        </w:rPr>
        <w:t>Preamble</w:t>
      </w:r>
      <w:r w:rsidR="000A1786" w:rsidRPr="00CC7326">
        <w:rPr>
          <w:lang w:val="en-GB"/>
        </w:rPr>
        <w:t xml:space="preserve"> of the Convention </w:t>
      </w:r>
      <w:r w:rsidR="0009590E" w:rsidRPr="00CC7326">
        <w:rPr>
          <w:lang w:val="en-GB"/>
        </w:rPr>
        <w:t xml:space="preserve">which declares that States Parties </w:t>
      </w:r>
      <w:r w:rsidR="008A4AEA" w:rsidRPr="00CC7326">
        <w:rPr>
          <w:lang w:val="en-GB"/>
        </w:rPr>
        <w:t xml:space="preserve">are </w:t>
      </w:r>
      <w:r w:rsidR="00BF3D90" w:rsidRPr="00CC7326">
        <w:rPr>
          <w:lang w:val="en-GB"/>
        </w:rPr>
        <w:t>‘</w:t>
      </w:r>
      <w:r w:rsidR="007B6A3F" w:rsidRPr="00CC7326">
        <w:rPr>
          <w:lang w:val="en-GB"/>
        </w:rPr>
        <w:t>[a]</w:t>
      </w:r>
      <w:r w:rsidR="008A4AEA" w:rsidRPr="00CC7326">
        <w:rPr>
          <w:lang w:val="en-GB"/>
        </w:rPr>
        <w:t xml:space="preserve">ware of the extreme seriousness of enforced disappearance, which constitutes </w:t>
      </w:r>
      <w:r w:rsidR="005E7403" w:rsidRPr="00CC7326">
        <w:rPr>
          <w:lang w:val="en-GB"/>
        </w:rPr>
        <w:t>a crime and, in certain circumstances defined in international law, a crime against humanity</w:t>
      </w:r>
      <w:r w:rsidR="00BF3D90" w:rsidRPr="00CC7326">
        <w:rPr>
          <w:lang w:val="en-GB"/>
        </w:rPr>
        <w:t>’</w:t>
      </w:r>
      <w:r w:rsidR="00522258" w:rsidRPr="00CC7326">
        <w:rPr>
          <w:lang w:val="en-GB"/>
        </w:rPr>
        <w:t>, are ‘</w:t>
      </w:r>
      <w:r w:rsidR="007B6A3F" w:rsidRPr="00CC7326">
        <w:rPr>
          <w:lang w:val="en-GB"/>
        </w:rPr>
        <w:t>[d]</w:t>
      </w:r>
      <w:proofErr w:type="spellStart"/>
      <w:r w:rsidR="00522258" w:rsidRPr="00CC7326">
        <w:rPr>
          <w:lang w:val="en-GB"/>
        </w:rPr>
        <w:t>etermined</w:t>
      </w:r>
      <w:proofErr w:type="spellEnd"/>
      <w:r w:rsidR="00522258" w:rsidRPr="00CC7326">
        <w:rPr>
          <w:lang w:val="en-GB"/>
        </w:rPr>
        <w:t xml:space="preserve"> to prevent enforced disappearances and to combat impunity for the crime of enforced disappearance’ </w:t>
      </w:r>
      <w:r w:rsidR="008A4AEA" w:rsidRPr="00CC7326">
        <w:rPr>
          <w:rFonts w:eastAsiaTheme="minorEastAsia"/>
          <w:lang w:val="en-GB" w:eastAsia="ja-JP"/>
        </w:rPr>
        <w:t>and reaffirm ‘the right of victims to justice and to reparation’ and ‘the right of any victim to know the truth about the circumstances of an enforced disappearance and the fate of the disappeared person, and the right to freedom to seek, receive and i</w:t>
      </w:r>
      <w:r w:rsidR="006F2F76" w:rsidRPr="00CC7326">
        <w:rPr>
          <w:rFonts w:eastAsiaTheme="minorEastAsia"/>
          <w:lang w:val="en-GB" w:eastAsia="ja-JP"/>
        </w:rPr>
        <w:t>mpart information to this end’,</w:t>
      </w:r>
    </w:p>
    <w:p w14:paraId="1D80C706" w14:textId="3D7A8991" w:rsidR="007D4B2E" w:rsidRDefault="009B7B8F" w:rsidP="00E42344">
      <w:pPr>
        <w:numPr>
          <w:ilvl w:val="0"/>
          <w:numId w:val="0"/>
        </w:numPr>
        <w:ind w:left="720"/>
        <w:rPr>
          <w:lang w:val="en-GB"/>
        </w:rPr>
      </w:pPr>
      <w:r>
        <w:rPr>
          <w:rFonts w:eastAsiaTheme="minorEastAsia"/>
          <w:lang w:val="en-GB" w:eastAsia="ja-JP"/>
        </w:rPr>
        <w:t xml:space="preserve">[3] </w:t>
      </w:r>
      <w:r w:rsidR="00F547B0" w:rsidRPr="00CC7326">
        <w:rPr>
          <w:rFonts w:eastAsiaTheme="minorEastAsia"/>
          <w:lang w:val="en-GB" w:eastAsia="ja-JP"/>
        </w:rPr>
        <w:t xml:space="preserve">Recalling </w:t>
      </w:r>
      <w:r w:rsidR="00F547B0" w:rsidRPr="00CC7326">
        <w:rPr>
          <w:rFonts w:eastAsiaTheme="minorEastAsia"/>
          <w:i/>
          <w:lang w:val="en-GB" w:eastAsia="ja-JP"/>
        </w:rPr>
        <w:t>article 2</w:t>
      </w:r>
      <w:r w:rsidR="00F547B0" w:rsidRPr="00CC7326">
        <w:rPr>
          <w:rFonts w:eastAsiaTheme="minorEastAsia"/>
          <w:lang w:val="en-GB" w:eastAsia="ja-JP"/>
        </w:rPr>
        <w:t xml:space="preserve"> of the Convention which provides that ‘[f]or </w:t>
      </w:r>
      <w:r w:rsidR="00E81053" w:rsidRPr="00CC7326">
        <w:rPr>
          <w:rFonts w:eastAsiaTheme="minorEastAsia"/>
          <w:lang w:val="en-GB" w:eastAsia="ja-JP"/>
        </w:rPr>
        <w:t xml:space="preserve">the purposes </w:t>
      </w:r>
      <w:r w:rsidR="000600C7" w:rsidRPr="00CC7326">
        <w:rPr>
          <w:rFonts w:eastAsiaTheme="minorEastAsia"/>
          <w:lang w:val="en-GB" w:eastAsia="ja-JP"/>
        </w:rPr>
        <w:t xml:space="preserve">of this Convention, </w:t>
      </w:r>
      <w:r w:rsidR="00D53BC2" w:rsidRPr="00CC7326">
        <w:rPr>
          <w:rFonts w:eastAsiaTheme="minorEastAsia"/>
          <w:lang w:val="en-GB" w:eastAsia="ja-JP"/>
        </w:rPr>
        <w:t>“enforced disappearance” is considered to be the arrest, detention</w:t>
      </w:r>
      <w:r w:rsidR="007D4B2E" w:rsidRPr="00CC7326">
        <w:rPr>
          <w:lang w:val="en-GB"/>
        </w:rPr>
        <w:t xml:space="preserve">, abduction or any other form of deprivation of liberty by agents of the State or by persons or groups of persons acting with the authorization, support or acquiescence of the State, followed by a refusal to acknowledge the deprivation of liberty or by concealment of the fate or whereabouts of the disappeared person, which place such a person outside the protection of the law’, and </w:t>
      </w:r>
      <w:r w:rsidR="00603BD1" w:rsidRPr="00CC7326">
        <w:rPr>
          <w:i/>
          <w:lang w:val="en-GB"/>
        </w:rPr>
        <w:t>article 3</w:t>
      </w:r>
      <w:r w:rsidR="00603BD1" w:rsidRPr="00CC7326">
        <w:rPr>
          <w:lang w:val="en-GB"/>
        </w:rPr>
        <w:t xml:space="preserve"> which states that ‘</w:t>
      </w:r>
      <w:r w:rsidR="007D4B2E" w:rsidRPr="00CC7326">
        <w:rPr>
          <w:lang w:val="en-GB"/>
        </w:rPr>
        <w:t>[e]ach State Party shall take appropriate measures to investigate acts defined in article 2 committed by persons or groups of persons acting without the authorization, support or acquiescence of the State and to bri</w:t>
      </w:r>
      <w:r w:rsidR="00603BD1" w:rsidRPr="00CC7326">
        <w:rPr>
          <w:lang w:val="en-GB"/>
        </w:rPr>
        <w:t>ng those responsible to justice’,</w:t>
      </w:r>
    </w:p>
    <w:p w14:paraId="20FC50AD" w14:textId="57448048" w:rsidR="00291B27" w:rsidRPr="00291B27" w:rsidRDefault="00291B27" w:rsidP="00E42344">
      <w:pPr>
        <w:numPr>
          <w:ilvl w:val="0"/>
          <w:numId w:val="0"/>
        </w:numPr>
        <w:ind w:left="720"/>
        <w:rPr>
          <w:lang w:val="en-GB"/>
        </w:rPr>
      </w:pPr>
      <w:r>
        <w:rPr>
          <w:lang w:val="en-GB"/>
        </w:rPr>
        <w:t xml:space="preserve">[4] Also recalling </w:t>
      </w:r>
      <w:r>
        <w:rPr>
          <w:i/>
          <w:iCs/>
          <w:lang w:val="en-GB"/>
        </w:rPr>
        <w:t>article 5</w:t>
      </w:r>
      <w:r>
        <w:rPr>
          <w:lang w:val="en-GB"/>
        </w:rPr>
        <w:t xml:space="preserve"> of the Convention </w:t>
      </w:r>
      <w:r w:rsidR="00892AA0">
        <w:rPr>
          <w:lang w:val="en-GB"/>
        </w:rPr>
        <w:t xml:space="preserve">recognizing that “the widespread or systematic practice of enforced disappearance constitutes a crime against humanity as defined in </w:t>
      </w:r>
      <w:r w:rsidR="00F33DBA">
        <w:rPr>
          <w:lang w:val="en-GB"/>
        </w:rPr>
        <w:t>applicable international law and shall attract the consequences provided for under such applicable international law</w:t>
      </w:r>
      <w:r w:rsidR="00F534E9">
        <w:rPr>
          <w:lang w:val="en-GB"/>
        </w:rPr>
        <w:t>”</w:t>
      </w:r>
      <w:r w:rsidR="00F30E0E">
        <w:rPr>
          <w:lang w:val="en-GB"/>
        </w:rPr>
        <w:t>,</w:t>
      </w:r>
    </w:p>
    <w:p w14:paraId="267C62EC" w14:textId="2CAAB3F7" w:rsidR="00507D09" w:rsidRPr="00CC7326" w:rsidRDefault="00E42344" w:rsidP="00E42344">
      <w:pPr>
        <w:numPr>
          <w:ilvl w:val="0"/>
          <w:numId w:val="0"/>
        </w:numPr>
        <w:ind w:left="720"/>
        <w:rPr>
          <w:lang w:val="en-GB"/>
        </w:rPr>
      </w:pPr>
      <w:r>
        <w:rPr>
          <w:lang w:val="en-GB"/>
        </w:rPr>
        <w:lastRenderedPageBreak/>
        <w:t xml:space="preserve">[5] </w:t>
      </w:r>
      <w:r w:rsidR="00357E85" w:rsidRPr="00CC7326">
        <w:rPr>
          <w:lang w:val="en-GB"/>
        </w:rPr>
        <w:t>Taking</w:t>
      </w:r>
      <w:r w:rsidR="00BA22B6" w:rsidRPr="00CC7326">
        <w:rPr>
          <w:lang w:val="en-GB"/>
        </w:rPr>
        <w:t xml:space="preserve"> also</w:t>
      </w:r>
      <w:r w:rsidR="00357E85" w:rsidRPr="00CC7326">
        <w:rPr>
          <w:lang w:val="en-GB"/>
        </w:rPr>
        <w:t xml:space="preserve"> note </w:t>
      </w:r>
      <w:r w:rsidR="00AC290A" w:rsidRPr="00CC7326">
        <w:rPr>
          <w:lang w:val="en-GB"/>
        </w:rPr>
        <w:t xml:space="preserve">of </w:t>
      </w:r>
      <w:r w:rsidR="00AC290A" w:rsidRPr="00CC7326">
        <w:rPr>
          <w:i/>
          <w:lang w:val="en-GB"/>
        </w:rPr>
        <w:t>article 7 of the Statute of the International Criminal Court</w:t>
      </w:r>
      <w:r w:rsidR="00AC290A" w:rsidRPr="00CC7326">
        <w:rPr>
          <w:lang w:val="en-GB"/>
        </w:rPr>
        <w:t xml:space="preserve"> which provides that enforced disappearance of persons is a crime against humanity when ‘committed as part of a widespread or systematic attack directed against any civilian population, with knowledge of the attack’</w:t>
      </w:r>
      <w:r w:rsidR="00640152" w:rsidRPr="00CC7326">
        <w:rPr>
          <w:lang w:val="en-GB"/>
        </w:rPr>
        <w:t xml:space="preserve"> (art. 7, par. 1-i), ‘by, or with the authorization, support or acquiescence of, a State or a political organization’ (art. 7, par. 2-i)</w:t>
      </w:r>
      <w:r w:rsidR="004D664B" w:rsidRPr="00CC7326">
        <w:rPr>
          <w:lang w:val="en-GB"/>
        </w:rPr>
        <w:t>,</w:t>
      </w:r>
    </w:p>
    <w:p w14:paraId="0E40886C" w14:textId="4957815E" w:rsidR="00F534E9" w:rsidRPr="00CC7326" w:rsidRDefault="00F534E9" w:rsidP="00F534E9">
      <w:pPr>
        <w:numPr>
          <w:ilvl w:val="0"/>
          <w:numId w:val="0"/>
        </w:numPr>
        <w:ind w:left="720"/>
        <w:rPr>
          <w:lang w:val="en-GB"/>
        </w:rPr>
      </w:pPr>
      <w:r>
        <w:rPr>
          <w:lang w:val="en-GB"/>
        </w:rPr>
        <w:t>[</w:t>
      </w:r>
      <w:r w:rsidR="00CD466F">
        <w:rPr>
          <w:lang w:val="en-GB"/>
        </w:rPr>
        <w:t>6</w:t>
      </w:r>
      <w:r>
        <w:rPr>
          <w:lang w:val="en-GB"/>
        </w:rPr>
        <w:t xml:space="preserve">] </w:t>
      </w:r>
      <w:r w:rsidRPr="00CC7326">
        <w:rPr>
          <w:lang w:val="en-GB"/>
        </w:rPr>
        <w:t xml:space="preserve">Taking note of </w:t>
      </w:r>
      <w:r w:rsidRPr="00CC7326">
        <w:rPr>
          <w:i/>
          <w:lang w:val="en-GB"/>
        </w:rPr>
        <w:t xml:space="preserve">Rule 98 of the </w:t>
      </w:r>
      <w:r w:rsidR="00E8553F">
        <w:rPr>
          <w:i/>
          <w:lang w:val="en-GB"/>
        </w:rPr>
        <w:t>International Committee of the Red Cross’</w:t>
      </w:r>
      <w:r w:rsidRPr="00CC7326">
        <w:rPr>
          <w:i/>
          <w:lang w:val="en-GB"/>
        </w:rPr>
        <w:t xml:space="preserve"> study on customary international humanitarian law</w:t>
      </w:r>
      <w:r w:rsidRPr="00CC7326">
        <w:rPr>
          <w:lang w:val="en-GB"/>
        </w:rPr>
        <w:t xml:space="preserve"> recognizing that enforced disappearance is prohibited under customary international law applicable in both international and non-international armed conflicts, </w:t>
      </w:r>
    </w:p>
    <w:p w14:paraId="6034EDB9" w14:textId="634B034B" w:rsidR="00971755" w:rsidRPr="00CC7326" w:rsidRDefault="009B7B8F" w:rsidP="00E42344">
      <w:pPr>
        <w:numPr>
          <w:ilvl w:val="0"/>
          <w:numId w:val="0"/>
        </w:numPr>
        <w:ind w:left="720"/>
        <w:rPr>
          <w:lang w:val="en-GB"/>
        </w:rPr>
      </w:pPr>
      <w:r w:rsidRPr="005706BF">
        <w:rPr>
          <w:lang w:val="en-GB"/>
        </w:rPr>
        <w:t>[</w:t>
      </w:r>
      <w:r w:rsidR="00CD466F">
        <w:rPr>
          <w:lang w:val="en-GB"/>
        </w:rPr>
        <w:t>7</w:t>
      </w:r>
      <w:r w:rsidRPr="005706BF">
        <w:rPr>
          <w:lang w:val="en-GB"/>
        </w:rPr>
        <w:t xml:space="preserve">] </w:t>
      </w:r>
      <w:r w:rsidR="00971755" w:rsidRPr="005706BF">
        <w:rPr>
          <w:lang w:val="en-GB"/>
        </w:rPr>
        <w:t xml:space="preserve">Recalling article </w:t>
      </w:r>
      <w:r w:rsidR="004B087B" w:rsidRPr="005706BF">
        <w:rPr>
          <w:lang w:val="en-GB"/>
        </w:rPr>
        <w:t>28 of the Convention</w:t>
      </w:r>
      <w:r w:rsidR="00572508" w:rsidRPr="005706BF">
        <w:rPr>
          <w:lang w:val="en-GB"/>
        </w:rPr>
        <w:t>,</w:t>
      </w:r>
    </w:p>
    <w:p w14:paraId="3896483C" w14:textId="7265CA5E" w:rsidR="003E39E5" w:rsidRPr="00CC7326" w:rsidRDefault="009B7B8F" w:rsidP="00E42344">
      <w:pPr>
        <w:numPr>
          <w:ilvl w:val="0"/>
          <w:numId w:val="0"/>
        </w:numPr>
        <w:ind w:left="720"/>
        <w:rPr>
          <w:lang w:val="en-GB"/>
        </w:rPr>
      </w:pPr>
      <w:r>
        <w:rPr>
          <w:lang w:val="en-GB"/>
        </w:rPr>
        <w:t>[</w:t>
      </w:r>
      <w:r w:rsidR="00CD466F">
        <w:rPr>
          <w:lang w:val="en-GB"/>
        </w:rPr>
        <w:t>8</w:t>
      </w:r>
      <w:r>
        <w:rPr>
          <w:lang w:val="en-GB"/>
        </w:rPr>
        <w:t xml:space="preserve">] </w:t>
      </w:r>
      <w:r w:rsidR="003E39E5" w:rsidRPr="00CC7326">
        <w:rPr>
          <w:lang w:val="en-GB"/>
        </w:rPr>
        <w:t xml:space="preserve">Having reviewed </w:t>
      </w:r>
      <w:r w:rsidR="00392AC0" w:rsidRPr="00CC7326">
        <w:rPr>
          <w:lang w:val="en-GB"/>
        </w:rPr>
        <w:t xml:space="preserve">the case-law of the Human Rights Committee and of other treaty bodies, </w:t>
      </w:r>
      <w:r w:rsidR="008F6314" w:rsidRPr="00CC7326">
        <w:rPr>
          <w:lang w:val="en-GB"/>
        </w:rPr>
        <w:t xml:space="preserve">United Nations </w:t>
      </w:r>
      <w:r w:rsidR="00AA5320" w:rsidRPr="00CC7326">
        <w:rPr>
          <w:lang w:val="en-GB"/>
        </w:rPr>
        <w:t>S</w:t>
      </w:r>
      <w:r w:rsidR="00464CE2" w:rsidRPr="00CC7326">
        <w:rPr>
          <w:lang w:val="en-GB"/>
        </w:rPr>
        <w:t xml:space="preserve">pecial </w:t>
      </w:r>
      <w:r w:rsidR="00CC63F5">
        <w:rPr>
          <w:lang w:val="en-GB"/>
        </w:rPr>
        <w:t>P</w:t>
      </w:r>
      <w:r w:rsidR="00464CE2" w:rsidRPr="00CC7326">
        <w:rPr>
          <w:lang w:val="en-GB"/>
        </w:rPr>
        <w:t xml:space="preserve">rocedures, </w:t>
      </w:r>
      <w:r w:rsidR="00392AC0" w:rsidRPr="00CC7326">
        <w:rPr>
          <w:lang w:val="en-GB"/>
        </w:rPr>
        <w:t xml:space="preserve">as well as </w:t>
      </w:r>
      <w:r w:rsidR="00E14CA5" w:rsidRPr="00CC7326">
        <w:rPr>
          <w:lang w:val="en-GB"/>
        </w:rPr>
        <w:t xml:space="preserve">regional </w:t>
      </w:r>
      <w:r w:rsidR="0077096C">
        <w:rPr>
          <w:lang w:val="en-GB"/>
        </w:rPr>
        <w:t xml:space="preserve">tribunals and </w:t>
      </w:r>
      <w:r w:rsidR="00BA3DA6">
        <w:rPr>
          <w:lang w:val="en-GB"/>
        </w:rPr>
        <w:t xml:space="preserve">human rights mechanisms and </w:t>
      </w:r>
      <w:r w:rsidR="0077096C">
        <w:rPr>
          <w:lang w:val="en-GB"/>
        </w:rPr>
        <w:t xml:space="preserve">other </w:t>
      </w:r>
      <w:r w:rsidR="00156B49">
        <w:rPr>
          <w:lang w:val="en-GB"/>
        </w:rPr>
        <w:t xml:space="preserve">relevant </w:t>
      </w:r>
      <w:r w:rsidR="00E14CA5" w:rsidRPr="00CC7326">
        <w:rPr>
          <w:lang w:val="en-GB"/>
        </w:rPr>
        <w:t>bodies,</w:t>
      </w:r>
    </w:p>
    <w:p w14:paraId="2DD92716" w14:textId="2DD14349" w:rsidR="000B0688" w:rsidRPr="00CC7326" w:rsidRDefault="009B7B8F" w:rsidP="00E42344">
      <w:pPr>
        <w:numPr>
          <w:ilvl w:val="0"/>
          <w:numId w:val="0"/>
        </w:numPr>
        <w:ind w:left="720"/>
        <w:rPr>
          <w:lang w:val="en-GB"/>
        </w:rPr>
      </w:pPr>
      <w:r w:rsidRPr="005706BF">
        <w:rPr>
          <w:lang w:val="en-GB"/>
        </w:rPr>
        <w:t>[</w:t>
      </w:r>
      <w:r w:rsidR="00CD466F">
        <w:rPr>
          <w:lang w:val="en-GB"/>
        </w:rPr>
        <w:t>9</w:t>
      </w:r>
      <w:r w:rsidRPr="005706BF">
        <w:rPr>
          <w:lang w:val="en-GB"/>
        </w:rPr>
        <w:t xml:space="preserve">] </w:t>
      </w:r>
      <w:r w:rsidR="00F02A38" w:rsidRPr="005706BF">
        <w:rPr>
          <w:lang w:val="en-GB"/>
        </w:rPr>
        <w:t xml:space="preserve">Having consulted </w:t>
      </w:r>
      <w:r w:rsidR="00695B25" w:rsidRPr="00816BD2">
        <w:rPr>
          <w:lang w:val="en-GB"/>
        </w:rPr>
        <w:t>the relevant human rights bodies</w:t>
      </w:r>
      <w:r w:rsidR="00502071" w:rsidRPr="005706BF">
        <w:rPr>
          <w:lang w:val="en-GB"/>
        </w:rPr>
        <w:t xml:space="preserve"> with a view to ensure the consistency of </w:t>
      </w:r>
      <w:r w:rsidR="007025C3" w:rsidRPr="005706BF">
        <w:rPr>
          <w:lang w:val="en-GB"/>
        </w:rPr>
        <w:t xml:space="preserve">its </w:t>
      </w:r>
      <w:r w:rsidR="00502071" w:rsidRPr="005706BF">
        <w:rPr>
          <w:lang w:val="en-GB"/>
        </w:rPr>
        <w:t>observations and recommendations,</w:t>
      </w:r>
    </w:p>
    <w:p w14:paraId="66B31852" w14:textId="3DC3F154" w:rsidR="008A4AEA" w:rsidRDefault="009B7B8F" w:rsidP="00E42344">
      <w:pPr>
        <w:numPr>
          <w:ilvl w:val="0"/>
          <w:numId w:val="0"/>
        </w:numPr>
        <w:ind w:left="720"/>
        <w:rPr>
          <w:lang w:val="en-GB"/>
        </w:rPr>
      </w:pPr>
      <w:r>
        <w:rPr>
          <w:lang w:val="en-GB"/>
        </w:rPr>
        <w:t>[</w:t>
      </w:r>
      <w:r w:rsidR="00CD466F">
        <w:rPr>
          <w:lang w:val="en-GB"/>
        </w:rPr>
        <w:t>10</w:t>
      </w:r>
      <w:r>
        <w:rPr>
          <w:lang w:val="en-GB"/>
        </w:rPr>
        <w:t xml:space="preserve">] </w:t>
      </w:r>
      <w:r w:rsidR="00596198">
        <w:rPr>
          <w:lang w:val="en-GB"/>
        </w:rPr>
        <w:t>Aiming at</w:t>
      </w:r>
      <w:r w:rsidR="00007EBD" w:rsidRPr="00CC7326">
        <w:rPr>
          <w:lang w:val="en-GB"/>
        </w:rPr>
        <w:t xml:space="preserve"> clarifying the </w:t>
      </w:r>
      <w:r w:rsidR="001F1358">
        <w:rPr>
          <w:lang w:val="en-GB"/>
        </w:rPr>
        <w:t xml:space="preserve">scope of </w:t>
      </w:r>
      <w:r w:rsidR="00A40A5A">
        <w:rPr>
          <w:lang w:val="en-GB"/>
        </w:rPr>
        <w:t>applicability</w:t>
      </w:r>
      <w:r w:rsidR="00007EBD" w:rsidRPr="00CC7326">
        <w:rPr>
          <w:lang w:val="en-GB"/>
        </w:rPr>
        <w:t xml:space="preserve"> </w:t>
      </w:r>
      <w:r w:rsidR="005D2638" w:rsidRPr="00CC7326">
        <w:rPr>
          <w:lang w:val="en-GB"/>
        </w:rPr>
        <w:t>of the Convention with regard to acts committed by non-</w:t>
      </w:r>
      <w:r w:rsidR="00F6307D">
        <w:rPr>
          <w:lang w:val="en-GB"/>
        </w:rPr>
        <w:t>State</w:t>
      </w:r>
      <w:r w:rsidR="005D2638" w:rsidRPr="00CC7326">
        <w:rPr>
          <w:lang w:val="en-GB"/>
        </w:rPr>
        <w:t xml:space="preserve"> actors, </w:t>
      </w:r>
      <w:r w:rsidR="003C3C58">
        <w:rPr>
          <w:lang w:val="en-GB"/>
        </w:rPr>
        <w:t xml:space="preserve">the </w:t>
      </w:r>
      <w:r w:rsidR="005D2638" w:rsidRPr="00CC7326">
        <w:rPr>
          <w:lang w:val="en-GB"/>
        </w:rPr>
        <w:t xml:space="preserve">obligations of States parties in </w:t>
      </w:r>
      <w:r w:rsidR="00F56400">
        <w:rPr>
          <w:lang w:val="en-GB"/>
        </w:rPr>
        <w:t>that regard</w:t>
      </w:r>
      <w:r w:rsidR="005D2638" w:rsidRPr="00CC7326">
        <w:rPr>
          <w:lang w:val="en-GB"/>
        </w:rPr>
        <w:t xml:space="preserve">, as well as implications </w:t>
      </w:r>
      <w:r w:rsidR="00320F27" w:rsidRPr="00CC7326">
        <w:rPr>
          <w:lang w:val="en-GB"/>
        </w:rPr>
        <w:t xml:space="preserve">for the </w:t>
      </w:r>
      <w:r w:rsidR="00F52936" w:rsidRPr="00CC7326">
        <w:rPr>
          <w:lang w:val="en-GB"/>
        </w:rPr>
        <w:t xml:space="preserve">functions </w:t>
      </w:r>
      <w:r w:rsidR="0046491E" w:rsidRPr="00CC7326">
        <w:rPr>
          <w:lang w:val="en-GB"/>
        </w:rPr>
        <w:t xml:space="preserve">entrusted to the Committee, </w:t>
      </w:r>
      <w:r w:rsidR="003C1AFC" w:rsidRPr="00CC7326">
        <w:rPr>
          <w:lang w:val="en-GB"/>
        </w:rPr>
        <w:t>decides to issue the following statement</w:t>
      </w:r>
      <w:r w:rsidR="00CC7326">
        <w:rPr>
          <w:lang w:val="en-GB"/>
        </w:rPr>
        <w:t>:</w:t>
      </w:r>
    </w:p>
    <w:p w14:paraId="707F57C4" w14:textId="5D6F22BE" w:rsidR="00206CC3" w:rsidRPr="006462D0" w:rsidRDefault="00141669" w:rsidP="00760EB4">
      <w:pPr>
        <w:numPr>
          <w:ilvl w:val="0"/>
          <w:numId w:val="0"/>
        </w:numPr>
        <w:ind w:left="720"/>
        <w:rPr>
          <w:b/>
          <w:bCs/>
          <w:lang w:val="en-GB"/>
        </w:rPr>
      </w:pPr>
      <w:r>
        <w:rPr>
          <w:b/>
          <w:bCs/>
          <w:lang w:val="en-GB"/>
        </w:rPr>
        <w:t xml:space="preserve">Section </w:t>
      </w:r>
      <w:r w:rsidR="00CE5C25">
        <w:rPr>
          <w:b/>
          <w:bCs/>
          <w:lang w:val="en-GB"/>
        </w:rPr>
        <w:t xml:space="preserve">1. </w:t>
      </w:r>
      <w:r w:rsidR="00206CC3" w:rsidRPr="006462D0">
        <w:rPr>
          <w:b/>
          <w:bCs/>
          <w:lang w:val="en-GB"/>
        </w:rPr>
        <w:t>Notion of non-</w:t>
      </w:r>
      <w:r w:rsidR="00F6307D">
        <w:rPr>
          <w:b/>
          <w:bCs/>
          <w:lang w:val="en-GB"/>
        </w:rPr>
        <w:t>State</w:t>
      </w:r>
      <w:r w:rsidR="00206CC3" w:rsidRPr="006462D0">
        <w:rPr>
          <w:b/>
          <w:bCs/>
          <w:lang w:val="en-GB"/>
        </w:rPr>
        <w:t xml:space="preserve"> actors</w:t>
      </w:r>
    </w:p>
    <w:p w14:paraId="10E9FBC3" w14:textId="53D35FBA" w:rsidR="000420BC" w:rsidRDefault="009824C6">
      <w:pPr>
        <w:rPr>
          <w:lang w:val="en-GB"/>
        </w:rPr>
      </w:pPr>
      <w:r>
        <w:rPr>
          <w:lang w:val="en-GB"/>
        </w:rPr>
        <w:t xml:space="preserve">There </w:t>
      </w:r>
      <w:r w:rsidR="00DE2BA1">
        <w:rPr>
          <w:lang w:val="en-GB"/>
        </w:rPr>
        <w:t>is</w:t>
      </w:r>
      <w:r>
        <w:rPr>
          <w:lang w:val="en-GB"/>
        </w:rPr>
        <w:t xml:space="preserve"> no existing definition in international</w:t>
      </w:r>
      <w:r w:rsidR="0057794F">
        <w:rPr>
          <w:lang w:val="en-GB"/>
        </w:rPr>
        <w:t xml:space="preserve"> law</w:t>
      </w:r>
      <w:r>
        <w:rPr>
          <w:lang w:val="en-GB"/>
        </w:rPr>
        <w:t xml:space="preserve"> of the notion of “non-</w:t>
      </w:r>
      <w:r w:rsidR="00F6307D">
        <w:rPr>
          <w:lang w:val="en-GB"/>
        </w:rPr>
        <w:t>State</w:t>
      </w:r>
      <w:r>
        <w:rPr>
          <w:lang w:val="en-GB"/>
        </w:rPr>
        <w:t xml:space="preserve"> actors”.</w:t>
      </w:r>
      <w:r w:rsidR="004454A7">
        <w:rPr>
          <w:lang w:val="en-GB"/>
        </w:rPr>
        <w:t xml:space="preserve"> </w:t>
      </w:r>
      <w:r w:rsidR="00206CC3">
        <w:rPr>
          <w:lang w:val="en-GB"/>
        </w:rPr>
        <w:t xml:space="preserve">During the drafting of the Convention, </w:t>
      </w:r>
      <w:r w:rsidR="00D820D6">
        <w:rPr>
          <w:lang w:val="en-GB"/>
        </w:rPr>
        <w:t>various proposals wer</w:t>
      </w:r>
      <w:r w:rsidR="00424E5D">
        <w:rPr>
          <w:lang w:val="en-GB"/>
        </w:rPr>
        <w:t xml:space="preserve">e made by </w:t>
      </w:r>
      <w:r w:rsidR="00D20F90">
        <w:rPr>
          <w:lang w:val="en-GB"/>
        </w:rPr>
        <w:t>S</w:t>
      </w:r>
      <w:r w:rsidR="00424E5D">
        <w:rPr>
          <w:lang w:val="en-GB"/>
        </w:rPr>
        <w:t>tates on ho</w:t>
      </w:r>
      <w:r w:rsidR="00A5069B">
        <w:rPr>
          <w:lang w:val="en-GB"/>
        </w:rPr>
        <w:t>w to refer to non-</w:t>
      </w:r>
      <w:r w:rsidR="00F6307D">
        <w:rPr>
          <w:lang w:val="en-GB"/>
        </w:rPr>
        <w:t>State</w:t>
      </w:r>
      <w:r w:rsidR="00A5069B">
        <w:rPr>
          <w:lang w:val="en-GB"/>
        </w:rPr>
        <w:t xml:space="preserve"> actors. </w:t>
      </w:r>
      <w:r w:rsidR="008B3077">
        <w:rPr>
          <w:lang w:val="en-GB"/>
        </w:rPr>
        <w:t xml:space="preserve">In the absence of </w:t>
      </w:r>
      <w:r w:rsidR="00655BFC">
        <w:rPr>
          <w:lang w:val="en-GB"/>
        </w:rPr>
        <w:t xml:space="preserve">a </w:t>
      </w:r>
      <w:r w:rsidR="008B3077">
        <w:rPr>
          <w:lang w:val="en-GB"/>
        </w:rPr>
        <w:t xml:space="preserve">consensus, </w:t>
      </w:r>
      <w:r w:rsidR="00D20F90">
        <w:rPr>
          <w:lang w:val="en-GB"/>
        </w:rPr>
        <w:t>S</w:t>
      </w:r>
      <w:r w:rsidR="00655BFC">
        <w:rPr>
          <w:lang w:val="en-GB"/>
        </w:rPr>
        <w:t xml:space="preserve">tates </w:t>
      </w:r>
      <w:r w:rsidR="00C4377B">
        <w:rPr>
          <w:lang w:val="en-GB"/>
        </w:rPr>
        <w:t>finally</w:t>
      </w:r>
      <w:r w:rsidR="00655BFC">
        <w:rPr>
          <w:lang w:val="en-GB"/>
        </w:rPr>
        <w:t xml:space="preserve"> decided </w:t>
      </w:r>
      <w:r w:rsidR="00382C6B">
        <w:rPr>
          <w:lang w:val="en-GB"/>
        </w:rPr>
        <w:t xml:space="preserve">to use </w:t>
      </w:r>
      <w:r w:rsidR="0024368B">
        <w:rPr>
          <w:lang w:val="en-GB"/>
        </w:rPr>
        <w:t xml:space="preserve">an </w:t>
      </w:r>
      <w:r w:rsidR="00DE2BA1">
        <w:rPr>
          <w:lang w:val="en-GB"/>
        </w:rPr>
        <w:t>organic criterion</w:t>
      </w:r>
      <w:r w:rsidR="0024368B">
        <w:rPr>
          <w:lang w:val="en-GB"/>
        </w:rPr>
        <w:t xml:space="preserve"> by using </w:t>
      </w:r>
      <w:r w:rsidR="00382C6B">
        <w:rPr>
          <w:lang w:val="en-GB"/>
        </w:rPr>
        <w:t>the neutral terms</w:t>
      </w:r>
      <w:r w:rsidR="0030513F">
        <w:rPr>
          <w:lang w:val="en-GB"/>
        </w:rPr>
        <w:t xml:space="preserve"> </w:t>
      </w:r>
      <w:r w:rsidR="00940CC9">
        <w:rPr>
          <w:lang w:val="en-GB"/>
        </w:rPr>
        <w:t>‘</w:t>
      </w:r>
      <w:r w:rsidR="0030513F">
        <w:rPr>
          <w:lang w:val="en-GB"/>
        </w:rPr>
        <w:t>persons or groups of persons</w:t>
      </w:r>
      <w:r w:rsidR="00940CC9">
        <w:rPr>
          <w:lang w:val="en-GB"/>
        </w:rPr>
        <w:t xml:space="preserve">’ </w:t>
      </w:r>
      <w:r w:rsidR="00B73976">
        <w:rPr>
          <w:lang w:val="en-GB"/>
        </w:rPr>
        <w:t>and making clear that these were not</w:t>
      </w:r>
      <w:r w:rsidR="00BC0457">
        <w:rPr>
          <w:lang w:val="en-GB"/>
        </w:rPr>
        <w:t xml:space="preserve"> </w:t>
      </w:r>
      <w:r w:rsidR="00940CC9">
        <w:rPr>
          <w:lang w:val="en-GB"/>
        </w:rPr>
        <w:t>‘agents of the State’</w:t>
      </w:r>
      <w:r w:rsidR="001A5F56">
        <w:rPr>
          <w:lang w:val="en-GB"/>
        </w:rPr>
        <w:t xml:space="preserve"> (as the use of ‘or’ indicates: </w:t>
      </w:r>
      <w:r w:rsidR="004C3F3E">
        <w:rPr>
          <w:lang w:val="en-GB"/>
        </w:rPr>
        <w:t>‘</w:t>
      </w:r>
      <w:r w:rsidR="001A5F56">
        <w:rPr>
          <w:lang w:val="en-GB"/>
        </w:rPr>
        <w:t xml:space="preserve">agents of the State </w:t>
      </w:r>
      <w:r w:rsidR="001A5F56">
        <w:rPr>
          <w:i/>
          <w:lang w:val="en-GB"/>
        </w:rPr>
        <w:t xml:space="preserve">or </w:t>
      </w:r>
      <w:r w:rsidR="001A5F56">
        <w:rPr>
          <w:lang w:val="en-GB"/>
        </w:rPr>
        <w:t>persons or groups of persons’)</w:t>
      </w:r>
      <w:r w:rsidR="004C3F3E">
        <w:rPr>
          <w:lang w:val="en-GB"/>
        </w:rPr>
        <w:t xml:space="preserve">. </w:t>
      </w:r>
      <w:r w:rsidR="002A7E64">
        <w:rPr>
          <w:lang w:val="en-GB"/>
        </w:rPr>
        <w:t xml:space="preserve">In the light of the </w:t>
      </w:r>
      <w:r w:rsidR="002A7E64">
        <w:rPr>
          <w:i/>
          <w:lang w:val="en-GB"/>
        </w:rPr>
        <w:t xml:space="preserve">travaux </w:t>
      </w:r>
      <w:proofErr w:type="spellStart"/>
      <w:r w:rsidR="002A7E64">
        <w:rPr>
          <w:i/>
          <w:lang w:val="en-GB"/>
        </w:rPr>
        <w:t>préparatoires</w:t>
      </w:r>
      <w:proofErr w:type="spellEnd"/>
      <w:r w:rsidR="002A7E64">
        <w:rPr>
          <w:lang w:val="en-GB"/>
        </w:rPr>
        <w:t>, the Committee does not consider it necessary to elaborate on the definition of “non-</w:t>
      </w:r>
      <w:r w:rsidR="00F6307D">
        <w:rPr>
          <w:lang w:val="en-GB"/>
        </w:rPr>
        <w:t>State</w:t>
      </w:r>
      <w:r w:rsidR="002A7E64">
        <w:rPr>
          <w:lang w:val="en-GB"/>
        </w:rPr>
        <w:t xml:space="preserve"> actors” beyond what the Convention </w:t>
      </w:r>
      <w:r w:rsidR="00EF6FDA">
        <w:rPr>
          <w:lang w:val="en-GB"/>
        </w:rPr>
        <w:t>s</w:t>
      </w:r>
      <w:r w:rsidR="00F6307D">
        <w:rPr>
          <w:lang w:val="en-GB"/>
        </w:rPr>
        <w:t>tate</w:t>
      </w:r>
      <w:r w:rsidR="00A73D5E">
        <w:rPr>
          <w:lang w:val="en-GB"/>
        </w:rPr>
        <w:t>s</w:t>
      </w:r>
      <w:r w:rsidR="002A7E64">
        <w:rPr>
          <w:lang w:val="en-GB"/>
        </w:rPr>
        <w:t>.</w:t>
      </w:r>
      <w:r w:rsidR="00F502A3">
        <w:rPr>
          <w:lang w:val="en-GB"/>
        </w:rPr>
        <w:t xml:space="preserve"> </w:t>
      </w:r>
      <w:r w:rsidR="00160584">
        <w:rPr>
          <w:lang w:val="en-GB"/>
        </w:rPr>
        <w:t xml:space="preserve">It however deems necessary to provide more specific indications on the conditions and criteria that need to be </w:t>
      </w:r>
      <w:r w:rsidR="00752EC3">
        <w:rPr>
          <w:lang w:val="en-GB"/>
        </w:rPr>
        <w:t xml:space="preserve">fulfilled </w:t>
      </w:r>
      <w:r w:rsidR="00DC7BB6">
        <w:rPr>
          <w:lang w:val="en-GB"/>
        </w:rPr>
        <w:t>so that</w:t>
      </w:r>
      <w:r w:rsidR="00752EC3">
        <w:rPr>
          <w:lang w:val="en-GB"/>
        </w:rPr>
        <w:t xml:space="preserve"> a “disappearance</w:t>
      </w:r>
      <w:r w:rsidR="00DC7BB6">
        <w:rPr>
          <w:lang w:val="en-GB"/>
        </w:rPr>
        <w:t>”</w:t>
      </w:r>
      <w:r w:rsidR="00160584">
        <w:rPr>
          <w:lang w:val="en-GB"/>
        </w:rPr>
        <w:t xml:space="preserve"> </w:t>
      </w:r>
      <w:r w:rsidR="007E4F2E">
        <w:rPr>
          <w:lang w:val="en-GB"/>
        </w:rPr>
        <w:t xml:space="preserve">perpetrated by “persons or groups of persons’ not being </w:t>
      </w:r>
      <w:r w:rsidR="0096201B">
        <w:rPr>
          <w:lang w:val="en-GB"/>
        </w:rPr>
        <w:t>State agents</w:t>
      </w:r>
      <w:r w:rsidR="007E4F2E">
        <w:rPr>
          <w:lang w:val="en-GB"/>
        </w:rPr>
        <w:t xml:space="preserve"> </w:t>
      </w:r>
      <w:r w:rsidR="00DE3FF8">
        <w:rPr>
          <w:lang w:val="en-GB"/>
        </w:rPr>
        <w:t>can be considered as an “enforced disappearance” within the meaning of the Convention.</w:t>
      </w:r>
    </w:p>
    <w:p w14:paraId="54E15380" w14:textId="437F0297" w:rsidR="00677F85" w:rsidRPr="00C4377B" w:rsidRDefault="00141669" w:rsidP="00760EB4">
      <w:pPr>
        <w:numPr>
          <w:ilvl w:val="0"/>
          <w:numId w:val="0"/>
        </w:numPr>
        <w:ind w:left="720"/>
        <w:rPr>
          <w:b/>
          <w:bCs/>
          <w:lang w:val="en-GB"/>
        </w:rPr>
      </w:pPr>
      <w:r>
        <w:rPr>
          <w:b/>
          <w:bCs/>
          <w:lang w:val="en-GB"/>
        </w:rPr>
        <w:lastRenderedPageBreak/>
        <w:t xml:space="preserve">Section </w:t>
      </w:r>
      <w:r w:rsidR="00CE5C25">
        <w:rPr>
          <w:b/>
          <w:bCs/>
          <w:lang w:val="en-GB"/>
        </w:rPr>
        <w:t xml:space="preserve">2. </w:t>
      </w:r>
      <w:r w:rsidR="00677F85" w:rsidRPr="00C4377B">
        <w:rPr>
          <w:b/>
          <w:bCs/>
          <w:lang w:val="en-GB"/>
        </w:rPr>
        <w:t xml:space="preserve">Enforced disappearances by </w:t>
      </w:r>
      <w:r w:rsidR="00594097">
        <w:rPr>
          <w:b/>
          <w:bCs/>
          <w:lang w:val="en-GB"/>
        </w:rPr>
        <w:t>non-State actors</w:t>
      </w:r>
      <w:r w:rsidR="00677F85" w:rsidRPr="00C4377B">
        <w:rPr>
          <w:b/>
          <w:bCs/>
          <w:lang w:val="en-GB"/>
        </w:rPr>
        <w:t xml:space="preserve"> in the context of Article 2</w:t>
      </w:r>
    </w:p>
    <w:p w14:paraId="40E9FDD1" w14:textId="42CFC864" w:rsidR="009B7B8F" w:rsidRDefault="00B50299" w:rsidP="005B3A33">
      <w:pPr>
        <w:rPr>
          <w:lang w:val="en-GB"/>
        </w:rPr>
      </w:pPr>
      <w:r>
        <w:rPr>
          <w:lang w:val="en-GB"/>
        </w:rPr>
        <w:t xml:space="preserve">Article 2 of the Convention </w:t>
      </w:r>
      <w:r w:rsidR="002F076C">
        <w:rPr>
          <w:lang w:val="en-GB"/>
        </w:rPr>
        <w:t>deals with</w:t>
      </w:r>
      <w:r w:rsidR="00562E09">
        <w:rPr>
          <w:lang w:val="en-GB"/>
        </w:rPr>
        <w:t xml:space="preserve"> “enforced disappearance” </w:t>
      </w:r>
      <w:r w:rsidR="00AA75CB">
        <w:rPr>
          <w:lang w:val="en-GB"/>
        </w:rPr>
        <w:t xml:space="preserve">perpetrated “by agents of the State or by persons or groups of persons acting </w:t>
      </w:r>
      <w:r w:rsidR="00AA75CB" w:rsidRPr="005410B4">
        <w:rPr>
          <w:i/>
          <w:lang w:val="en-GB"/>
        </w:rPr>
        <w:t>with</w:t>
      </w:r>
      <w:r w:rsidR="00AA75CB">
        <w:rPr>
          <w:lang w:val="en-GB"/>
        </w:rPr>
        <w:t xml:space="preserve"> the authorization, support or acquiescence of the State”</w:t>
      </w:r>
      <w:r w:rsidR="00EB027B">
        <w:rPr>
          <w:lang w:val="en-GB"/>
        </w:rPr>
        <w:t>.</w:t>
      </w:r>
      <w:r w:rsidR="00B513A8">
        <w:rPr>
          <w:lang w:val="en-GB"/>
        </w:rPr>
        <w:t xml:space="preserve"> </w:t>
      </w:r>
      <w:r w:rsidR="00624309">
        <w:rPr>
          <w:lang w:val="en-GB"/>
        </w:rPr>
        <w:t xml:space="preserve">It </w:t>
      </w:r>
      <w:r w:rsidR="007624E1">
        <w:rPr>
          <w:lang w:val="en-GB"/>
        </w:rPr>
        <w:t>refers to</w:t>
      </w:r>
      <w:r w:rsidR="00D1044B">
        <w:rPr>
          <w:lang w:val="en-GB"/>
        </w:rPr>
        <w:t xml:space="preserve"> the </w:t>
      </w:r>
      <w:r w:rsidR="00D1044B" w:rsidRPr="00B2479D">
        <w:rPr>
          <w:i/>
          <w:iCs/>
          <w:lang w:val="en-GB"/>
        </w:rPr>
        <w:t xml:space="preserve">exceptional </w:t>
      </w:r>
      <w:r w:rsidR="00624309" w:rsidRPr="00B2479D">
        <w:rPr>
          <w:i/>
          <w:iCs/>
          <w:lang w:val="en-GB"/>
        </w:rPr>
        <w:t>c</w:t>
      </w:r>
      <w:r w:rsidR="006034F3" w:rsidRPr="00B2479D">
        <w:rPr>
          <w:i/>
          <w:iCs/>
          <w:lang w:val="en-GB"/>
        </w:rPr>
        <w:t>ircumstances</w:t>
      </w:r>
      <w:r w:rsidR="006034F3">
        <w:rPr>
          <w:lang w:val="en-GB"/>
        </w:rPr>
        <w:t xml:space="preserve"> when</w:t>
      </w:r>
      <w:r w:rsidR="007624E1">
        <w:rPr>
          <w:lang w:val="en-GB"/>
        </w:rPr>
        <w:t xml:space="preserve"> </w:t>
      </w:r>
      <w:r w:rsidR="00C9457C">
        <w:rPr>
          <w:lang w:val="en-GB"/>
        </w:rPr>
        <w:t xml:space="preserve">the acts or omissions of persons or groups of persons, not being agents of the </w:t>
      </w:r>
      <w:r w:rsidR="009C2C02">
        <w:rPr>
          <w:lang w:val="en-GB"/>
        </w:rPr>
        <w:t>S</w:t>
      </w:r>
      <w:r w:rsidR="00C9457C">
        <w:rPr>
          <w:lang w:val="en-GB"/>
        </w:rPr>
        <w:t xml:space="preserve">tate, can nevertheless be attributed to the State </w:t>
      </w:r>
      <w:r w:rsidR="001347AE">
        <w:rPr>
          <w:lang w:val="en-GB"/>
        </w:rPr>
        <w:t xml:space="preserve">and thus </w:t>
      </w:r>
      <w:r w:rsidR="00A10B73">
        <w:rPr>
          <w:lang w:val="en-GB"/>
        </w:rPr>
        <w:t xml:space="preserve">trigger the </w:t>
      </w:r>
      <w:r w:rsidR="004A4D38">
        <w:rPr>
          <w:lang w:val="en-GB"/>
        </w:rPr>
        <w:t>S</w:t>
      </w:r>
      <w:r w:rsidR="00A10B73">
        <w:rPr>
          <w:lang w:val="en-GB"/>
        </w:rPr>
        <w:t>tate’s responsibility in</w:t>
      </w:r>
      <w:r w:rsidR="001347AE">
        <w:rPr>
          <w:lang w:val="en-GB"/>
        </w:rPr>
        <w:t xml:space="preserve"> international law.</w:t>
      </w:r>
      <w:r w:rsidR="00A10B73">
        <w:rPr>
          <w:lang w:val="en-GB"/>
        </w:rPr>
        <w:t xml:space="preserve"> </w:t>
      </w:r>
    </w:p>
    <w:p w14:paraId="01C54424" w14:textId="10F33E36" w:rsidR="009B7B8F" w:rsidRDefault="00A10B73" w:rsidP="005B3A33">
      <w:pPr>
        <w:rPr>
          <w:lang w:val="en-GB"/>
        </w:rPr>
      </w:pPr>
      <w:r>
        <w:rPr>
          <w:lang w:val="en-GB"/>
        </w:rPr>
        <w:t>“</w:t>
      </w:r>
      <w:r w:rsidRPr="009B7B8F">
        <w:rPr>
          <w:i/>
          <w:lang w:val="en-GB"/>
        </w:rPr>
        <w:t>Authorization</w:t>
      </w:r>
      <w:r>
        <w:rPr>
          <w:lang w:val="en-GB"/>
        </w:rPr>
        <w:t xml:space="preserve">” in that context means that </w:t>
      </w:r>
      <w:r w:rsidR="006D62A4">
        <w:rPr>
          <w:lang w:val="en-GB"/>
        </w:rPr>
        <w:t>the State, throug</w:t>
      </w:r>
      <w:r w:rsidR="007C3DB5">
        <w:rPr>
          <w:lang w:val="en-GB"/>
        </w:rPr>
        <w:t>h</w:t>
      </w:r>
      <w:r w:rsidR="006D62A4">
        <w:rPr>
          <w:lang w:val="en-GB"/>
        </w:rPr>
        <w:t xml:space="preserve"> its agents, </w:t>
      </w:r>
      <w:r w:rsidR="00D81FCB">
        <w:rPr>
          <w:lang w:val="en-GB"/>
        </w:rPr>
        <w:t>has</w:t>
      </w:r>
      <w:r w:rsidR="006D62A4">
        <w:rPr>
          <w:lang w:val="en-GB"/>
        </w:rPr>
        <w:t xml:space="preserve"> </w:t>
      </w:r>
      <w:r w:rsidR="0010019B">
        <w:rPr>
          <w:lang w:val="en-GB"/>
        </w:rPr>
        <w:t xml:space="preserve">either orally or in </w:t>
      </w:r>
      <w:r w:rsidR="00E9745D">
        <w:rPr>
          <w:lang w:val="en-GB"/>
        </w:rPr>
        <w:t xml:space="preserve">writing </w:t>
      </w:r>
      <w:r w:rsidR="006D62A4">
        <w:rPr>
          <w:lang w:val="en-GB"/>
        </w:rPr>
        <w:t xml:space="preserve">given licence to persons or groups </w:t>
      </w:r>
      <w:r w:rsidR="00FB7ADE">
        <w:rPr>
          <w:lang w:val="en-GB"/>
        </w:rPr>
        <w:t xml:space="preserve">of </w:t>
      </w:r>
      <w:r w:rsidR="006D62A4">
        <w:rPr>
          <w:lang w:val="en-GB"/>
        </w:rPr>
        <w:t xml:space="preserve">persons </w:t>
      </w:r>
      <w:r w:rsidR="00E66699">
        <w:rPr>
          <w:lang w:val="en-GB"/>
        </w:rPr>
        <w:t>to perpetrate an enforced disappearance.</w:t>
      </w:r>
      <w:r w:rsidR="0010019B">
        <w:rPr>
          <w:lang w:val="en-GB"/>
        </w:rPr>
        <w:t xml:space="preserve"> </w:t>
      </w:r>
    </w:p>
    <w:p w14:paraId="616CCB81" w14:textId="25E82C2B" w:rsidR="009B7B8F" w:rsidRDefault="0010019B" w:rsidP="005B3A33">
      <w:pPr>
        <w:rPr>
          <w:lang w:val="en-GB"/>
        </w:rPr>
      </w:pPr>
      <w:r>
        <w:rPr>
          <w:lang w:val="en-GB"/>
        </w:rPr>
        <w:t>“</w:t>
      </w:r>
      <w:r w:rsidRPr="009B7B8F">
        <w:rPr>
          <w:i/>
          <w:lang w:val="en-GB"/>
        </w:rPr>
        <w:t>Support</w:t>
      </w:r>
      <w:r>
        <w:rPr>
          <w:lang w:val="en-GB"/>
        </w:rPr>
        <w:t xml:space="preserve">” means that the State has </w:t>
      </w:r>
      <w:r w:rsidR="009234C5">
        <w:rPr>
          <w:lang w:val="en-GB"/>
        </w:rPr>
        <w:t xml:space="preserve">provided </w:t>
      </w:r>
      <w:r w:rsidR="008F595F">
        <w:rPr>
          <w:lang w:val="en-GB"/>
        </w:rPr>
        <w:t>some</w:t>
      </w:r>
      <w:r w:rsidR="00B97255">
        <w:rPr>
          <w:lang w:val="en-GB"/>
        </w:rPr>
        <w:t xml:space="preserve"> assistance </w:t>
      </w:r>
      <w:r w:rsidR="00FF0F76">
        <w:rPr>
          <w:lang w:val="en-GB"/>
        </w:rPr>
        <w:t xml:space="preserve">to persons or groups of persons </w:t>
      </w:r>
      <w:r w:rsidR="00FB7ADE">
        <w:rPr>
          <w:lang w:val="en-GB"/>
        </w:rPr>
        <w:t>who committed</w:t>
      </w:r>
      <w:r w:rsidR="00C479F7">
        <w:rPr>
          <w:lang w:val="en-GB"/>
        </w:rPr>
        <w:t xml:space="preserve"> an </w:t>
      </w:r>
      <w:r w:rsidR="0043654A">
        <w:rPr>
          <w:lang w:val="en-GB"/>
        </w:rPr>
        <w:t>enforced disappearance</w:t>
      </w:r>
      <w:r w:rsidR="00BC2EF4">
        <w:rPr>
          <w:lang w:val="en-GB"/>
        </w:rPr>
        <w:t xml:space="preserve">, </w:t>
      </w:r>
      <w:r w:rsidR="00563E6F">
        <w:rPr>
          <w:lang w:val="en-GB"/>
        </w:rPr>
        <w:t xml:space="preserve">inter alia </w:t>
      </w:r>
      <w:r w:rsidR="00BC2EF4">
        <w:rPr>
          <w:lang w:val="en-GB"/>
        </w:rPr>
        <w:t xml:space="preserve">through </w:t>
      </w:r>
      <w:r w:rsidR="00563E6F">
        <w:rPr>
          <w:lang w:val="en-GB"/>
        </w:rPr>
        <w:t xml:space="preserve">the sharing of information, </w:t>
      </w:r>
      <w:r w:rsidR="00117431">
        <w:rPr>
          <w:lang w:val="en-GB"/>
        </w:rPr>
        <w:t xml:space="preserve">the </w:t>
      </w:r>
      <w:r w:rsidR="00BC2EF4">
        <w:rPr>
          <w:lang w:val="en-GB"/>
        </w:rPr>
        <w:t xml:space="preserve">provision of means such as </w:t>
      </w:r>
      <w:r w:rsidR="00076626">
        <w:rPr>
          <w:lang w:val="en-GB"/>
        </w:rPr>
        <w:t>weapons</w:t>
      </w:r>
      <w:r w:rsidR="008813E0">
        <w:rPr>
          <w:lang w:val="en-GB"/>
        </w:rPr>
        <w:t>,</w:t>
      </w:r>
      <w:r w:rsidR="00076626">
        <w:rPr>
          <w:lang w:val="en-GB"/>
        </w:rPr>
        <w:t xml:space="preserve"> training or logistics</w:t>
      </w:r>
      <w:r w:rsidR="00FE43C1">
        <w:rPr>
          <w:lang w:val="en-GB"/>
        </w:rPr>
        <w:t xml:space="preserve">. </w:t>
      </w:r>
      <w:r w:rsidR="0001010A">
        <w:rPr>
          <w:lang w:val="en-GB"/>
        </w:rPr>
        <w:t xml:space="preserve">For the purpose of attribution in this context, </w:t>
      </w:r>
      <w:r w:rsidR="002A2E46">
        <w:rPr>
          <w:lang w:val="en-GB"/>
        </w:rPr>
        <w:t>s</w:t>
      </w:r>
      <w:r w:rsidR="00D1751A">
        <w:rPr>
          <w:lang w:val="en-GB"/>
        </w:rPr>
        <w:t xml:space="preserve">upport </w:t>
      </w:r>
      <w:r w:rsidR="00A3579B">
        <w:rPr>
          <w:lang w:val="en-GB"/>
        </w:rPr>
        <w:t>does not have to be provided with the specific aim of committing an enforced disappearance.</w:t>
      </w:r>
    </w:p>
    <w:p w14:paraId="673B5041" w14:textId="0FAA6685" w:rsidR="002A37F8" w:rsidRDefault="00C5096B" w:rsidP="005B3A33">
      <w:pPr>
        <w:rPr>
          <w:lang w:val="en-GB"/>
        </w:rPr>
      </w:pPr>
      <w:r>
        <w:rPr>
          <w:lang w:val="en-GB"/>
        </w:rPr>
        <w:t>“</w:t>
      </w:r>
      <w:r w:rsidRPr="009B7B8F">
        <w:rPr>
          <w:i/>
          <w:lang w:val="en-GB"/>
        </w:rPr>
        <w:t>Acquiescence</w:t>
      </w:r>
      <w:r>
        <w:rPr>
          <w:lang w:val="en-GB"/>
        </w:rPr>
        <w:t xml:space="preserve">” </w:t>
      </w:r>
      <w:r w:rsidR="00E545E6">
        <w:rPr>
          <w:lang w:val="en-GB"/>
        </w:rPr>
        <w:t xml:space="preserve">means that the State has either approved, </w:t>
      </w:r>
      <w:r w:rsidR="00BF2A79">
        <w:rPr>
          <w:lang w:val="en-GB"/>
        </w:rPr>
        <w:t xml:space="preserve">tolerated or </w:t>
      </w:r>
      <w:r w:rsidR="00E545E6">
        <w:rPr>
          <w:lang w:val="en-GB"/>
        </w:rPr>
        <w:t xml:space="preserve">even implicitly endorsed an enforced disappearance perpetrated by </w:t>
      </w:r>
      <w:r w:rsidR="00A061B5">
        <w:rPr>
          <w:lang w:val="en-GB"/>
        </w:rPr>
        <w:t>an</w:t>
      </w:r>
      <w:r w:rsidR="00E545E6">
        <w:rPr>
          <w:lang w:val="en-GB"/>
        </w:rPr>
        <w:t xml:space="preserve"> individual or a group of individuals.</w:t>
      </w:r>
      <w:r w:rsidR="008813E0">
        <w:rPr>
          <w:lang w:val="en-GB"/>
        </w:rPr>
        <w:t xml:space="preserve"> It includes circumstances where the </w:t>
      </w:r>
      <w:r w:rsidR="004A06A0">
        <w:rPr>
          <w:lang w:val="en-GB"/>
        </w:rPr>
        <w:t xml:space="preserve">State </w:t>
      </w:r>
      <w:r w:rsidR="00932EC4">
        <w:rPr>
          <w:lang w:val="en-GB"/>
        </w:rPr>
        <w:t>knew</w:t>
      </w:r>
      <w:r w:rsidR="00B47ED2">
        <w:rPr>
          <w:lang w:val="en-GB"/>
        </w:rPr>
        <w:t xml:space="preserve">, had reasons to know, </w:t>
      </w:r>
      <w:r w:rsidR="004B7867">
        <w:rPr>
          <w:lang w:val="en-GB"/>
        </w:rPr>
        <w:t xml:space="preserve">or </w:t>
      </w:r>
      <w:r w:rsidR="00A45244">
        <w:rPr>
          <w:lang w:val="en-GB"/>
        </w:rPr>
        <w:t>ought to</w:t>
      </w:r>
      <w:r w:rsidR="004B7867">
        <w:rPr>
          <w:lang w:val="en-GB"/>
        </w:rPr>
        <w:t xml:space="preserve"> have known </w:t>
      </w:r>
      <w:r w:rsidR="00726D8B">
        <w:rPr>
          <w:lang w:val="en-GB"/>
        </w:rPr>
        <w:t xml:space="preserve">of the commission or of the </w:t>
      </w:r>
      <w:r w:rsidR="00B71775">
        <w:rPr>
          <w:lang w:val="en-GB"/>
        </w:rPr>
        <w:t xml:space="preserve">real and imminent </w:t>
      </w:r>
      <w:r w:rsidR="00726D8B">
        <w:rPr>
          <w:lang w:val="en-GB"/>
        </w:rPr>
        <w:t xml:space="preserve">risk </w:t>
      </w:r>
      <w:r w:rsidR="00B71775">
        <w:rPr>
          <w:lang w:val="en-GB"/>
        </w:rPr>
        <w:t>of commission of an</w:t>
      </w:r>
      <w:r w:rsidR="00FC0E5D">
        <w:rPr>
          <w:lang w:val="en-GB"/>
        </w:rPr>
        <w:t xml:space="preserve"> enforced disappearance</w:t>
      </w:r>
      <w:r w:rsidR="00165DF3">
        <w:rPr>
          <w:lang w:val="en-GB"/>
        </w:rPr>
        <w:t xml:space="preserve"> </w:t>
      </w:r>
      <w:r w:rsidR="00396DE9">
        <w:rPr>
          <w:lang w:val="en-GB"/>
        </w:rPr>
        <w:t xml:space="preserve">by persons or groups persons, but has </w:t>
      </w:r>
      <w:r w:rsidR="00F37634">
        <w:rPr>
          <w:lang w:val="en-GB"/>
        </w:rPr>
        <w:t xml:space="preserve">either accepted or </w:t>
      </w:r>
      <w:r w:rsidR="003E6AFA">
        <w:rPr>
          <w:lang w:val="en-GB"/>
        </w:rPr>
        <w:t>given consent</w:t>
      </w:r>
      <w:r w:rsidR="00F37634">
        <w:rPr>
          <w:lang w:val="en-GB"/>
        </w:rPr>
        <w:t xml:space="preserve"> to this </w:t>
      </w:r>
      <w:r w:rsidR="000177A3">
        <w:rPr>
          <w:lang w:val="en-GB"/>
        </w:rPr>
        <w:t>situation</w:t>
      </w:r>
      <w:r w:rsidR="00F37634">
        <w:rPr>
          <w:lang w:val="en-GB"/>
        </w:rPr>
        <w:t xml:space="preserve">, or has deliberately </w:t>
      </w:r>
      <w:r w:rsidR="002607A8">
        <w:rPr>
          <w:lang w:val="en-GB"/>
        </w:rPr>
        <w:t xml:space="preserve">and in full knowledge </w:t>
      </w:r>
      <w:r w:rsidR="00F37634">
        <w:rPr>
          <w:lang w:val="en-GB"/>
        </w:rPr>
        <w:t>failed to take measures to prevent</w:t>
      </w:r>
      <w:r w:rsidR="00B40C71">
        <w:rPr>
          <w:lang w:val="en-GB"/>
        </w:rPr>
        <w:t xml:space="preserve"> </w:t>
      </w:r>
      <w:r w:rsidR="00F37634">
        <w:rPr>
          <w:lang w:val="en-GB"/>
        </w:rPr>
        <w:t xml:space="preserve">or </w:t>
      </w:r>
      <w:r w:rsidR="001F7390">
        <w:rPr>
          <w:lang w:val="en-GB"/>
        </w:rPr>
        <w:t xml:space="preserve">investigate the crime and </w:t>
      </w:r>
      <w:r w:rsidR="00F37634">
        <w:rPr>
          <w:lang w:val="en-GB"/>
        </w:rPr>
        <w:t>punish the perpetrators.</w:t>
      </w:r>
      <w:r w:rsidR="00D3786C">
        <w:rPr>
          <w:rStyle w:val="Appelnotedebasdep"/>
          <w:lang w:val="en-GB"/>
        </w:rPr>
        <w:footnoteReference w:id="2"/>
      </w:r>
      <w:r w:rsidR="002D1272">
        <w:rPr>
          <w:lang w:val="en-GB"/>
        </w:rPr>
        <w:t xml:space="preserve"> </w:t>
      </w:r>
      <w:r w:rsidR="00ED7EAB">
        <w:rPr>
          <w:lang w:val="en-GB"/>
        </w:rPr>
        <w:t>It also includes situations</w:t>
      </w:r>
      <w:r w:rsidR="003012D0">
        <w:rPr>
          <w:lang w:val="en-GB"/>
        </w:rPr>
        <w:t xml:space="preserve"> when there is a known pattern of disappearances of persons</w:t>
      </w:r>
      <w:r w:rsidR="00C17A65">
        <w:rPr>
          <w:lang w:val="en-GB"/>
        </w:rPr>
        <w:t xml:space="preserve"> and the </w:t>
      </w:r>
      <w:r w:rsidR="00C17A65">
        <w:rPr>
          <w:lang w:val="en-GB"/>
        </w:rPr>
        <w:lastRenderedPageBreak/>
        <w:t xml:space="preserve">State </w:t>
      </w:r>
      <w:r w:rsidR="00395B11">
        <w:rPr>
          <w:lang w:val="en-GB"/>
        </w:rPr>
        <w:t>has failed</w:t>
      </w:r>
      <w:r w:rsidR="002B6458">
        <w:rPr>
          <w:lang w:val="en-GB"/>
        </w:rPr>
        <w:t xml:space="preserve"> </w:t>
      </w:r>
      <w:r w:rsidR="00C17A65">
        <w:rPr>
          <w:lang w:val="en-GB"/>
        </w:rPr>
        <w:t>to take the necessary measures to prevent further disappearances, to investigate and bring the perpetrators to justice</w:t>
      </w:r>
      <w:r w:rsidR="00145279">
        <w:rPr>
          <w:rStyle w:val="Appelnotedebasdep"/>
          <w:lang w:val="en-GB"/>
        </w:rPr>
        <w:footnoteReference w:id="3"/>
      </w:r>
      <w:r w:rsidR="0024562B">
        <w:rPr>
          <w:lang w:val="en-GB"/>
        </w:rPr>
        <w:t>.</w:t>
      </w:r>
    </w:p>
    <w:p w14:paraId="2EB2C9AD" w14:textId="74397791" w:rsidR="00CD32CD" w:rsidRDefault="0027696B" w:rsidP="005B3A33">
      <w:pPr>
        <w:rPr>
          <w:lang w:val="en-GB"/>
        </w:rPr>
      </w:pPr>
      <w:r>
        <w:rPr>
          <w:lang w:val="en-GB"/>
        </w:rPr>
        <w:t xml:space="preserve">The circumstances under article 2 cover </w:t>
      </w:r>
      <w:r w:rsidRPr="00A331FE">
        <w:rPr>
          <w:i/>
          <w:lang w:val="en-GB"/>
        </w:rPr>
        <w:t>inter alia</w:t>
      </w:r>
      <w:r w:rsidR="0092485D">
        <w:rPr>
          <w:lang w:val="en-GB"/>
        </w:rPr>
        <w:t xml:space="preserve"> so-called “paramilitary groups”</w:t>
      </w:r>
      <w:r w:rsidR="00840A00">
        <w:rPr>
          <w:rStyle w:val="Appelnotedebasdep"/>
          <w:lang w:val="en-GB"/>
        </w:rPr>
        <w:footnoteReference w:id="4"/>
      </w:r>
      <w:r w:rsidR="0092485D">
        <w:rPr>
          <w:lang w:val="en-GB"/>
        </w:rPr>
        <w:t xml:space="preserve"> or </w:t>
      </w:r>
      <w:r w:rsidR="00840A00">
        <w:rPr>
          <w:lang w:val="en-GB"/>
        </w:rPr>
        <w:t>“civil patrols”</w:t>
      </w:r>
      <w:r w:rsidR="00840A00">
        <w:rPr>
          <w:rStyle w:val="Appelnotedebasdep"/>
          <w:lang w:val="en-GB"/>
        </w:rPr>
        <w:footnoteReference w:id="5"/>
      </w:r>
      <w:r w:rsidR="0092485D">
        <w:rPr>
          <w:lang w:val="en-GB"/>
        </w:rPr>
        <w:t xml:space="preserve"> acting </w:t>
      </w:r>
      <w:r w:rsidR="00BE168C">
        <w:rPr>
          <w:lang w:val="en-GB"/>
        </w:rPr>
        <w:t xml:space="preserve">as </w:t>
      </w:r>
      <w:r w:rsidR="00BE168C" w:rsidRPr="00C509FF">
        <w:rPr>
          <w:i/>
          <w:lang w:val="en-GB"/>
        </w:rPr>
        <w:t>de facto</w:t>
      </w:r>
      <w:r w:rsidR="00BE168C">
        <w:rPr>
          <w:lang w:val="en-GB"/>
        </w:rPr>
        <w:t xml:space="preserve"> organs</w:t>
      </w:r>
      <w:r w:rsidR="0092485D">
        <w:rPr>
          <w:lang w:val="en-GB"/>
        </w:rPr>
        <w:t xml:space="preserve"> of </w:t>
      </w:r>
      <w:r w:rsidR="004C7927">
        <w:rPr>
          <w:lang w:val="en-GB"/>
        </w:rPr>
        <w:t>security f</w:t>
      </w:r>
      <w:r w:rsidR="00E57464">
        <w:rPr>
          <w:lang w:val="en-GB"/>
        </w:rPr>
        <w:t xml:space="preserve">orces or intelligence services, </w:t>
      </w:r>
      <w:r w:rsidR="00BE168C">
        <w:rPr>
          <w:lang w:val="en-GB"/>
        </w:rPr>
        <w:t xml:space="preserve">but also </w:t>
      </w:r>
      <w:r w:rsidR="00F564F2">
        <w:rPr>
          <w:lang w:val="en-GB"/>
        </w:rPr>
        <w:t>extends to</w:t>
      </w:r>
      <w:r w:rsidR="00BE168C">
        <w:rPr>
          <w:lang w:val="en-GB"/>
        </w:rPr>
        <w:t xml:space="preserve"> any individual or groups of </w:t>
      </w:r>
      <w:r w:rsidR="002E4CE6">
        <w:rPr>
          <w:lang w:val="en-GB"/>
        </w:rPr>
        <w:t>individuals</w:t>
      </w:r>
      <w:r w:rsidR="00BE168C">
        <w:rPr>
          <w:lang w:val="en-GB"/>
        </w:rPr>
        <w:t>, includ</w:t>
      </w:r>
      <w:r w:rsidR="00331E88">
        <w:rPr>
          <w:lang w:val="en-GB"/>
        </w:rPr>
        <w:t>ed informal groups or networks from the moment that they were authorized, received support or acqu</w:t>
      </w:r>
      <w:r w:rsidR="000675BA">
        <w:rPr>
          <w:lang w:val="en-GB"/>
        </w:rPr>
        <w:t xml:space="preserve">iescence from a </w:t>
      </w:r>
      <w:proofErr w:type="gramStart"/>
      <w:r w:rsidR="009A1D03">
        <w:rPr>
          <w:lang w:val="en-GB"/>
        </w:rPr>
        <w:t>S</w:t>
      </w:r>
      <w:r w:rsidR="000675BA">
        <w:rPr>
          <w:lang w:val="en-GB"/>
        </w:rPr>
        <w:t>tate</w:t>
      </w:r>
      <w:proofErr w:type="gramEnd"/>
      <w:r w:rsidR="000675BA">
        <w:rPr>
          <w:lang w:val="en-GB"/>
        </w:rPr>
        <w:t xml:space="preserve"> authority.</w:t>
      </w:r>
      <w:r w:rsidR="00331E88">
        <w:rPr>
          <w:lang w:val="en-GB"/>
        </w:rPr>
        <w:t xml:space="preserve"> </w:t>
      </w:r>
    </w:p>
    <w:p w14:paraId="5BACEFF5" w14:textId="74B6A6DB" w:rsidR="00A96FEE" w:rsidRPr="0085290C" w:rsidRDefault="00A96FEE" w:rsidP="0085290C">
      <w:pPr>
        <w:numPr>
          <w:ilvl w:val="0"/>
          <w:numId w:val="0"/>
        </w:numPr>
        <w:ind w:left="360"/>
        <w:rPr>
          <w:b/>
          <w:bCs/>
          <w:lang w:val="en-GB"/>
        </w:rPr>
      </w:pPr>
      <w:r>
        <w:rPr>
          <w:b/>
          <w:bCs/>
          <w:lang w:val="en-GB"/>
        </w:rPr>
        <w:t>S</w:t>
      </w:r>
      <w:r w:rsidRPr="00A96FEE">
        <w:rPr>
          <w:b/>
          <w:bCs/>
          <w:lang w:val="en-GB"/>
        </w:rPr>
        <w:t>ection 3. Enforced disappearances by NSA in the context of Article 3</w:t>
      </w:r>
    </w:p>
    <w:p w14:paraId="1E842A38" w14:textId="1D55A025" w:rsidR="00907858" w:rsidRPr="00A96FEE" w:rsidRDefault="00A068FD" w:rsidP="00A96FEE">
      <w:pPr>
        <w:rPr>
          <w:lang w:val="en-GB"/>
        </w:rPr>
      </w:pPr>
      <w:r w:rsidRPr="00A96FEE">
        <w:rPr>
          <w:lang w:val="en-GB"/>
        </w:rPr>
        <w:t>Article 3</w:t>
      </w:r>
      <w:r w:rsidR="00E47999" w:rsidRPr="00A96FEE">
        <w:rPr>
          <w:lang w:val="en-GB"/>
        </w:rPr>
        <w:t xml:space="preserve"> deals with “acts as defined in article 2 committed by persons or groups of persons acting </w:t>
      </w:r>
      <w:r w:rsidR="00E47999" w:rsidRPr="00A96FEE">
        <w:rPr>
          <w:i/>
          <w:lang w:val="en-GB"/>
        </w:rPr>
        <w:t>without</w:t>
      </w:r>
      <w:r w:rsidR="00E47999" w:rsidRPr="00A96FEE">
        <w:rPr>
          <w:lang w:val="en-GB"/>
        </w:rPr>
        <w:t xml:space="preserve"> the authorization, suppor</w:t>
      </w:r>
      <w:r w:rsidR="007F0253" w:rsidRPr="00A96FEE">
        <w:rPr>
          <w:lang w:val="en-GB"/>
        </w:rPr>
        <w:t xml:space="preserve">t or acquiescence of the State”. This refers to the </w:t>
      </w:r>
      <w:r w:rsidR="007F0253" w:rsidRPr="008D1E41">
        <w:rPr>
          <w:i/>
          <w:iCs/>
          <w:lang w:val="en-GB"/>
        </w:rPr>
        <w:t xml:space="preserve">general </w:t>
      </w:r>
      <w:r w:rsidR="009D3352" w:rsidRPr="008D1E41">
        <w:rPr>
          <w:i/>
          <w:iCs/>
          <w:lang w:val="en-GB"/>
        </w:rPr>
        <w:t>case</w:t>
      </w:r>
      <w:r w:rsidR="009D3352" w:rsidRPr="00A96FEE">
        <w:rPr>
          <w:lang w:val="en-GB"/>
        </w:rPr>
        <w:t xml:space="preserve">, that is when </w:t>
      </w:r>
      <w:r w:rsidR="00964B4B" w:rsidRPr="00A96FEE">
        <w:rPr>
          <w:lang w:val="en-GB"/>
        </w:rPr>
        <w:t xml:space="preserve">acts or omissions by </w:t>
      </w:r>
      <w:r w:rsidR="009D3352" w:rsidRPr="00A96FEE">
        <w:rPr>
          <w:lang w:val="en-GB"/>
        </w:rPr>
        <w:t>persons or groups of persons</w:t>
      </w:r>
      <w:r w:rsidR="006034F3" w:rsidRPr="00A96FEE">
        <w:rPr>
          <w:lang w:val="en-GB"/>
        </w:rPr>
        <w:t xml:space="preserve"> </w:t>
      </w:r>
      <w:r w:rsidR="00DC30A0" w:rsidRPr="00A96FEE">
        <w:rPr>
          <w:lang w:val="en-GB"/>
        </w:rPr>
        <w:t xml:space="preserve">are </w:t>
      </w:r>
      <w:r w:rsidR="00DC30A0" w:rsidRPr="00A96FEE">
        <w:rPr>
          <w:i/>
          <w:lang w:val="en-GB"/>
        </w:rPr>
        <w:t>not</w:t>
      </w:r>
      <w:r w:rsidR="00DC30A0" w:rsidRPr="00A96FEE">
        <w:rPr>
          <w:lang w:val="en-GB"/>
        </w:rPr>
        <w:t xml:space="preserve"> attributable to the </w:t>
      </w:r>
      <w:r w:rsidR="00AB78B9" w:rsidRPr="00A96FEE">
        <w:rPr>
          <w:lang w:val="en-GB"/>
        </w:rPr>
        <w:t>S</w:t>
      </w:r>
      <w:r w:rsidR="00DC30A0" w:rsidRPr="00A96FEE">
        <w:rPr>
          <w:lang w:val="en-GB"/>
        </w:rPr>
        <w:t xml:space="preserve">tate, because these persons have no organic link to the </w:t>
      </w:r>
      <w:r w:rsidR="00F6307D" w:rsidRPr="00A96FEE">
        <w:rPr>
          <w:lang w:val="en-GB"/>
        </w:rPr>
        <w:t>State</w:t>
      </w:r>
      <w:r w:rsidR="00DC30A0" w:rsidRPr="00A96FEE">
        <w:rPr>
          <w:lang w:val="en-GB"/>
        </w:rPr>
        <w:t xml:space="preserve"> </w:t>
      </w:r>
      <w:r w:rsidR="000C1EB0" w:rsidRPr="00A96FEE">
        <w:rPr>
          <w:lang w:val="en-GB"/>
        </w:rPr>
        <w:t xml:space="preserve">authorities </w:t>
      </w:r>
      <w:r w:rsidR="00DC30A0" w:rsidRPr="00A96FEE">
        <w:rPr>
          <w:lang w:val="en-GB"/>
        </w:rPr>
        <w:t xml:space="preserve">and the </w:t>
      </w:r>
      <w:r w:rsidR="00F6307D" w:rsidRPr="00A96FEE">
        <w:rPr>
          <w:lang w:val="en-GB"/>
        </w:rPr>
        <w:t>State</w:t>
      </w:r>
      <w:r w:rsidR="00DC30A0" w:rsidRPr="00A96FEE">
        <w:rPr>
          <w:lang w:val="en-GB"/>
        </w:rPr>
        <w:t xml:space="preserve"> did not authorize, support or give its acquiescence to those acts or omissions.</w:t>
      </w:r>
      <w:r w:rsidR="006034F3" w:rsidRPr="00A96FEE">
        <w:rPr>
          <w:lang w:val="en-GB"/>
        </w:rPr>
        <w:t xml:space="preserve"> </w:t>
      </w:r>
      <w:r w:rsidR="00626211" w:rsidRPr="00A96FEE">
        <w:rPr>
          <w:lang w:val="en-GB"/>
        </w:rPr>
        <w:t xml:space="preserve">The </w:t>
      </w:r>
      <w:r w:rsidR="00626211" w:rsidRPr="00A96FEE">
        <w:rPr>
          <w:i/>
          <w:lang w:val="en-GB"/>
        </w:rPr>
        <w:t xml:space="preserve">travaux </w:t>
      </w:r>
      <w:proofErr w:type="spellStart"/>
      <w:r w:rsidR="00626211" w:rsidRPr="00A96FEE">
        <w:rPr>
          <w:i/>
          <w:lang w:val="en-GB"/>
        </w:rPr>
        <w:t>préparatoires</w:t>
      </w:r>
      <w:proofErr w:type="spellEnd"/>
      <w:r w:rsidR="00626211" w:rsidRPr="00A96FEE">
        <w:rPr>
          <w:lang w:val="en-GB"/>
        </w:rPr>
        <w:t xml:space="preserve"> reveal </w:t>
      </w:r>
      <w:r w:rsidR="00411C31" w:rsidRPr="00A96FEE">
        <w:rPr>
          <w:lang w:val="en-GB"/>
        </w:rPr>
        <w:t>diverging views</w:t>
      </w:r>
      <w:r w:rsidR="00626211" w:rsidRPr="00A96FEE">
        <w:rPr>
          <w:lang w:val="en-GB"/>
        </w:rPr>
        <w:t xml:space="preserve"> among </w:t>
      </w:r>
      <w:r w:rsidR="00412D4E" w:rsidRPr="00A96FEE">
        <w:rPr>
          <w:lang w:val="en-GB"/>
        </w:rPr>
        <w:t>S</w:t>
      </w:r>
      <w:r w:rsidR="00626211" w:rsidRPr="00A96FEE">
        <w:rPr>
          <w:lang w:val="en-GB"/>
        </w:rPr>
        <w:t xml:space="preserve">tates </w:t>
      </w:r>
      <w:r w:rsidR="006F70F5" w:rsidRPr="00A96FEE">
        <w:rPr>
          <w:lang w:val="en-GB"/>
        </w:rPr>
        <w:t>as to</w:t>
      </w:r>
      <w:r w:rsidR="00743402" w:rsidRPr="00A96FEE">
        <w:rPr>
          <w:lang w:val="en-GB"/>
        </w:rPr>
        <w:t xml:space="preserve"> whether disappearances</w:t>
      </w:r>
      <w:r w:rsidR="00626211" w:rsidRPr="00A96FEE">
        <w:rPr>
          <w:lang w:val="en-GB"/>
        </w:rPr>
        <w:t xml:space="preserve"> </w:t>
      </w:r>
      <w:r w:rsidR="00C755F5" w:rsidRPr="00A96FEE">
        <w:rPr>
          <w:lang w:val="en-GB"/>
        </w:rPr>
        <w:t xml:space="preserve">perpetrated in these circumstances should be called or equated </w:t>
      </w:r>
      <w:r w:rsidR="009D3070">
        <w:rPr>
          <w:lang w:val="en-GB"/>
        </w:rPr>
        <w:t>to</w:t>
      </w:r>
      <w:r w:rsidR="00C755F5" w:rsidRPr="00A96FEE">
        <w:rPr>
          <w:lang w:val="en-GB"/>
        </w:rPr>
        <w:t xml:space="preserve"> “enforced disappearances”</w:t>
      </w:r>
      <w:r w:rsidR="00077DD9" w:rsidRPr="00A96FEE">
        <w:rPr>
          <w:lang w:val="en-GB"/>
        </w:rPr>
        <w:t>.</w:t>
      </w:r>
      <w:r w:rsidR="008F6787">
        <w:rPr>
          <w:rStyle w:val="Appelnotedebasdep"/>
          <w:lang w:val="en-GB"/>
        </w:rPr>
        <w:footnoteReference w:id="6"/>
      </w:r>
      <w:r w:rsidR="00077DD9" w:rsidRPr="00A96FEE">
        <w:rPr>
          <w:lang w:val="en-GB"/>
        </w:rPr>
        <w:t xml:space="preserve"> As a result, it was decided to have </w:t>
      </w:r>
      <w:r w:rsidR="00F84EFA" w:rsidRPr="00A96FEE">
        <w:rPr>
          <w:lang w:val="en-GB"/>
        </w:rPr>
        <w:t>such acts</w:t>
      </w:r>
      <w:r w:rsidR="00077DD9" w:rsidRPr="00A96FEE">
        <w:rPr>
          <w:lang w:val="en-GB"/>
        </w:rPr>
        <w:t xml:space="preserve"> referred </w:t>
      </w:r>
      <w:r w:rsidR="00BC1885" w:rsidRPr="00A96FEE">
        <w:rPr>
          <w:lang w:val="en-GB"/>
        </w:rPr>
        <w:t xml:space="preserve">to </w:t>
      </w:r>
      <w:r w:rsidR="00077DD9" w:rsidRPr="00A96FEE">
        <w:rPr>
          <w:lang w:val="en-GB"/>
        </w:rPr>
        <w:lastRenderedPageBreak/>
        <w:t xml:space="preserve">in a separate article and </w:t>
      </w:r>
      <w:r w:rsidR="00BE6971" w:rsidRPr="00A96FEE">
        <w:rPr>
          <w:lang w:val="en-GB"/>
        </w:rPr>
        <w:t>to use</w:t>
      </w:r>
      <w:r w:rsidR="00D45425" w:rsidRPr="00A96FEE">
        <w:rPr>
          <w:lang w:val="en-GB"/>
        </w:rPr>
        <w:t xml:space="preserve"> the wording</w:t>
      </w:r>
      <w:r w:rsidR="00BE6971" w:rsidRPr="00A96FEE">
        <w:rPr>
          <w:lang w:val="en-GB"/>
        </w:rPr>
        <w:t xml:space="preserve"> “acts as defined in article 2” instead of “enforced disappearances”</w:t>
      </w:r>
      <w:r w:rsidR="00576E02" w:rsidRPr="00A96FEE">
        <w:rPr>
          <w:lang w:val="en-GB"/>
        </w:rPr>
        <w:t xml:space="preserve">. </w:t>
      </w:r>
      <w:r w:rsidR="00181892" w:rsidRPr="00A96FEE">
        <w:rPr>
          <w:lang w:val="en-GB"/>
        </w:rPr>
        <w:t xml:space="preserve">One </w:t>
      </w:r>
      <w:r w:rsidR="009343AF" w:rsidRPr="00A96FEE">
        <w:rPr>
          <w:lang w:val="en-GB"/>
        </w:rPr>
        <w:t>major</w:t>
      </w:r>
      <w:r w:rsidR="00181892" w:rsidRPr="00A96FEE">
        <w:rPr>
          <w:lang w:val="en-GB"/>
        </w:rPr>
        <w:t xml:space="preserve"> concern was to avoid </w:t>
      </w:r>
      <w:r w:rsidR="00662C9C" w:rsidRPr="00A96FEE">
        <w:rPr>
          <w:lang w:val="en-GB"/>
        </w:rPr>
        <w:t>the confusion between enforced disappearances and other crimes such as abduction or kidnapping.</w:t>
      </w:r>
      <w:r w:rsidR="00F92E43">
        <w:rPr>
          <w:rStyle w:val="Appelnotedebasdep"/>
          <w:lang w:val="en-GB"/>
        </w:rPr>
        <w:footnoteReference w:id="7"/>
      </w:r>
      <w:r w:rsidR="00662C9C" w:rsidRPr="00A96FEE">
        <w:rPr>
          <w:lang w:val="en-GB"/>
        </w:rPr>
        <w:t xml:space="preserve"> </w:t>
      </w:r>
      <w:r w:rsidR="00D06088" w:rsidRPr="00A96FEE">
        <w:rPr>
          <w:lang w:val="en-GB"/>
        </w:rPr>
        <w:t xml:space="preserve">This concern </w:t>
      </w:r>
      <w:r w:rsidR="005469E5" w:rsidRPr="00A96FEE">
        <w:rPr>
          <w:lang w:val="en-GB"/>
        </w:rPr>
        <w:t>still exists today</w:t>
      </w:r>
      <w:r w:rsidR="00795198" w:rsidRPr="00A96FEE">
        <w:rPr>
          <w:lang w:val="en-GB"/>
        </w:rPr>
        <w:t>, including</w:t>
      </w:r>
      <w:r w:rsidR="00615C85" w:rsidRPr="00A96FEE">
        <w:rPr>
          <w:lang w:val="en-GB"/>
        </w:rPr>
        <w:t xml:space="preserve"> </w:t>
      </w:r>
      <w:r w:rsidR="00795198" w:rsidRPr="00A96FEE">
        <w:rPr>
          <w:lang w:val="en-GB"/>
        </w:rPr>
        <w:t>for</w:t>
      </w:r>
      <w:r w:rsidR="00615C85" w:rsidRPr="00A96FEE">
        <w:rPr>
          <w:lang w:val="en-GB"/>
        </w:rPr>
        <w:t xml:space="preserve"> the Committee.</w:t>
      </w:r>
      <w:r w:rsidR="00907858" w:rsidRPr="00A96FEE">
        <w:rPr>
          <w:lang w:val="en-GB"/>
        </w:rPr>
        <w:t xml:space="preserve"> </w:t>
      </w:r>
    </w:p>
    <w:p w14:paraId="2E3792C3" w14:textId="77777777" w:rsidR="002E3756" w:rsidRPr="00491086" w:rsidRDefault="00907858" w:rsidP="006E5DA0">
      <w:pPr>
        <w:numPr>
          <w:ilvl w:val="0"/>
          <w:numId w:val="14"/>
        </w:numPr>
        <w:rPr>
          <w:lang w:val="en-GB"/>
        </w:rPr>
      </w:pPr>
      <w:r w:rsidRPr="00491086">
        <w:rPr>
          <w:lang w:val="en-GB"/>
        </w:rPr>
        <w:t xml:space="preserve">The Committee considers that the Convention is a living instrument and should be interpreted in the light of present-day conditions and of the evolution of international law. </w:t>
      </w:r>
    </w:p>
    <w:p w14:paraId="75BDD9EF" w14:textId="0F5E9326" w:rsidR="002E3756" w:rsidRDefault="00907858" w:rsidP="001E6406">
      <w:pPr>
        <w:rPr>
          <w:lang w:val="en-GB"/>
        </w:rPr>
      </w:pPr>
      <w:r>
        <w:rPr>
          <w:lang w:val="en-GB"/>
        </w:rPr>
        <w:t>In this regard, it is concerned of the growing number of allegations of disappearances imputable to non-State actors acting without the authorization, support or acquiescence of the State</w:t>
      </w:r>
      <w:r w:rsidR="00C451DA">
        <w:rPr>
          <w:lang w:val="en-GB"/>
        </w:rPr>
        <w:t>, some of which have been reported to it in the context of the review of reports of States parties</w:t>
      </w:r>
      <w:r w:rsidR="00482144">
        <w:rPr>
          <w:lang w:val="en-GB"/>
        </w:rPr>
        <w:t xml:space="preserve"> (art. 29 of the Convention).</w:t>
      </w:r>
      <w:r w:rsidR="002E3756">
        <w:rPr>
          <w:rStyle w:val="Appelnotedebasdep"/>
          <w:lang w:val="en-GB"/>
        </w:rPr>
        <w:footnoteReference w:id="8"/>
      </w:r>
      <w:r w:rsidR="001E6406" w:rsidRPr="001E6406">
        <w:rPr>
          <w:lang w:val="en-GB"/>
        </w:rPr>
        <w:t xml:space="preserve"> </w:t>
      </w:r>
    </w:p>
    <w:p w14:paraId="48506F04" w14:textId="75641AC9" w:rsidR="00E428BC" w:rsidRPr="001E6406" w:rsidRDefault="001E6406" w:rsidP="001E6406">
      <w:pPr>
        <w:rPr>
          <w:lang w:val="en-GB"/>
        </w:rPr>
      </w:pPr>
      <w:r>
        <w:rPr>
          <w:lang w:val="en-GB"/>
        </w:rPr>
        <w:t xml:space="preserve">The Committee has also taken note of a number of legal developments that have </w:t>
      </w:r>
      <w:r w:rsidR="00DA2DC7">
        <w:rPr>
          <w:lang w:val="en-GB"/>
        </w:rPr>
        <w:t>occurred</w:t>
      </w:r>
      <w:r>
        <w:rPr>
          <w:lang w:val="en-GB"/>
        </w:rPr>
        <w:t xml:space="preserve"> since the adoption of the Convention. The Rome Statute of the International Criminal Court had already been adopted </w:t>
      </w:r>
      <w:r w:rsidR="004531BD">
        <w:rPr>
          <w:lang w:val="en-GB"/>
        </w:rPr>
        <w:t xml:space="preserve">by </w:t>
      </w:r>
      <w:r>
        <w:rPr>
          <w:lang w:val="en-GB"/>
        </w:rPr>
        <w:t xml:space="preserve">2006 but it has now been incorporated into the legislation of </w:t>
      </w:r>
      <w:r w:rsidRPr="00690521">
        <w:rPr>
          <w:lang w:val="en-GB"/>
        </w:rPr>
        <w:t>[…]</w:t>
      </w:r>
      <w:r>
        <w:rPr>
          <w:lang w:val="en-GB"/>
        </w:rPr>
        <w:t xml:space="preserve"> States, including the definition of enforced disappearance as a crime against humanity.</w:t>
      </w:r>
      <w:r>
        <w:rPr>
          <w:rStyle w:val="Appelnotedebasdep"/>
          <w:lang w:val="en-GB"/>
        </w:rPr>
        <w:footnoteReference w:id="9"/>
      </w:r>
      <w:r>
        <w:rPr>
          <w:lang w:val="en-GB"/>
        </w:rPr>
        <w:t xml:space="preserve"> Article 7 of the Statute, including this definition, has also been </w:t>
      </w:r>
      <w:r>
        <w:rPr>
          <w:lang w:val="en-GB"/>
        </w:rPr>
        <w:lastRenderedPageBreak/>
        <w:t>transposed in the statutes of hybrid tribunals</w:t>
      </w:r>
      <w:r>
        <w:rPr>
          <w:rStyle w:val="Appelnotedebasdep"/>
          <w:lang w:val="en-GB"/>
        </w:rPr>
        <w:footnoteReference w:id="10"/>
      </w:r>
      <w:r>
        <w:rPr>
          <w:lang w:val="en-GB"/>
        </w:rPr>
        <w:t xml:space="preserve">. The </w:t>
      </w:r>
      <w:r w:rsidR="00E96EB1">
        <w:rPr>
          <w:lang w:val="en-GB"/>
        </w:rPr>
        <w:t>International Criminal Court</w:t>
      </w:r>
      <w:r>
        <w:rPr>
          <w:lang w:val="en-GB"/>
        </w:rPr>
        <w:t xml:space="preserve"> and other tribunals have </w:t>
      </w:r>
      <w:r w:rsidR="00E96EB1">
        <w:rPr>
          <w:lang w:val="en-GB"/>
        </w:rPr>
        <w:t>developed</w:t>
      </w:r>
      <w:r w:rsidR="0056530E">
        <w:rPr>
          <w:lang w:val="en-GB"/>
        </w:rPr>
        <w:t xml:space="preserve"> a</w:t>
      </w:r>
      <w:r>
        <w:rPr>
          <w:lang w:val="en-GB"/>
        </w:rPr>
        <w:t xml:space="preserve"> case-law related to enforced disappearance as a crime against humanity</w:t>
      </w:r>
      <w:r>
        <w:rPr>
          <w:rStyle w:val="Appelnotedebasdep"/>
          <w:lang w:val="en-GB"/>
        </w:rPr>
        <w:footnoteReference w:id="11"/>
      </w:r>
      <w:r>
        <w:rPr>
          <w:lang w:val="en-GB"/>
        </w:rPr>
        <w:t>. The Committee thus considers that it is now well-established that in international customary law enforced disappearances as a crime against humanity can be perpetrated by a ‘political organization’ acting without the authorization, the support or the acquiescence of the State.</w:t>
      </w:r>
    </w:p>
    <w:p w14:paraId="25C21678" w14:textId="00D5F45F" w:rsidR="00426E54" w:rsidRDefault="007561E0">
      <w:pPr>
        <w:rPr>
          <w:lang w:val="en-GB"/>
        </w:rPr>
      </w:pPr>
      <w:r>
        <w:rPr>
          <w:lang w:val="en-GB"/>
        </w:rPr>
        <w:t xml:space="preserve">The Committee has also noted </w:t>
      </w:r>
      <w:r w:rsidR="000166C5">
        <w:rPr>
          <w:lang w:val="en-GB"/>
        </w:rPr>
        <w:t xml:space="preserve">that the ICRC </w:t>
      </w:r>
      <w:r w:rsidR="00423F2B">
        <w:rPr>
          <w:lang w:val="en-GB"/>
        </w:rPr>
        <w:t>has resolved that</w:t>
      </w:r>
      <w:r w:rsidR="000166C5">
        <w:rPr>
          <w:lang w:val="en-GB"/>
        </w:rPr>
        <w:t xml:space="preserve"> </w:t>
      </w:r>
      <w:r w:rsidR="00B738DE">
        <w:rPr>
          <w:lang w:val="en-GB"/>
        </w:rPr>
        <w:t xml:space="preserve">the prohibition of enforced disappearances </w:t>
      </w:r>
      <w:r w:rsidR="00423F2B">
        <w:rPr>
          <w:lang w:val="en-GB"/>
        </w:rPr>
        <w:t>is</w:t>
      </w:r>
      <w:r w:rsidR="00B738DE">
        <w:rPr>
          <w:lang w:val="en-GB"/>
        </w:rPr>
        <w:t xml:space="preserve"> part of international customary law</w:t>
      </w:r>
      <w:r w:rsidR="00162FE3">
        <w:rPr>
          <w:rStyle w:val="Appelnotedebasdep"/>
          <w:lang w:val="en-GB"/>
        </w:rPr>
        <w:footnoteReference w:id="12"/>
      </w:r>
      <w:r w:rsidR="00C82C59">
        <w:rPr>
          <w:lang w:val="en-GB"/>
        </w:rPr>
        <w:t xml:space="preserve"> and that this prohibition is </w:t>
      </w:r>
      <w:r w:rsidR="00B738DE">
        <w:rPr>
          <w:lang w:val="en-GB"/>
        </w:rPr>
        <w:t>applicable to both international and n</w:t>
      </w:r>
      <w:r w:rsidR="00CF67B7">
        <w:rPr>
          <w:lang w:val="en-GB"/>
        </w:rPr>
        <w:t>on-international armed conflict and, in the latter, to all “parties” to the conflict, including</w:t>
      </w:r>
      <w:r w:rsidR="00582BF3">
        <w:rPr>
          <w:lang w:val="en-GB"/>
        </w:rPr>
        <w:t xml:space="preserve"> </w:t>
      </w:r>
      <w:r w:rsidR="00646564">
        <w:rPr>
          <w:lang w:val="en-GB"/>
        </w:rPr>
        <w:t>armed groups</w:t>
      </w:r>
      <w:r w:rsidR="00524E69">
        <w:rPr>
          <w:lang w:val="en-GB"/>
        </w:rPr>
        <w:t xml:space="preserve"> </w:t>
      </w:r>
      <w:r w:rsidR="00E62CAC">
        <w:rPr>
          <w:lang w:val="en-GB"/>
        </w:rPr>
        <w:t>having</w:t>
      </w:r>
      <w:r w:rsidR="00524E69">
        <w:rPr>
          <w:lang w:val="en-GB"/>
        </w:rPr>
        <w:t xml:space="preserve"> a certain </w:t>
      </w:r>
      <w:r w:rsidR="007C71FB">
        <w:rPr>
          <w:lang w:val="en-GB"/>
        </w:rPr>
        <w:t>level</w:t>
      </w:r>
      <w:r w:rsidR="00524E69">
        <w:rPr>
          <w:lang w:val="en-GB"/>
        </w:rPr>
        <w:t xml:space="preserve"> of organization</w:t>
      </w:r>
      <w:r w:rsidR="00162FE3">
        <w:rPr>
          <w:lang w:val="en-GB"/>
        </w:rPr>
        <w:t>.</w:t>
      </w:r>
    </w:p>
    <w:p w14:paraId="676BA1C3" w14:textId="0FAF0C9A" w:rsidR="001121EF" w:rsidRDefault="001275FD">
      <w:pPr>
        <w:rPr>
          <w:lang w:val="en-GB"/>
        </w:rPr>
      </w:pPr>
      <w:r>
        <w:rPr>
          <w:lang w:val="en-GB"/>
        </w:rPr>
        <w:lastRenderedPageBreak/>
        <w:t xml:space="preserve">The </w:t>
      </w:r>
      <w:r w:rsidR="007A45ED">
        <w:rPr>
          <w:lang w:val="en-GB"/>
        </w:rPr>
        <w:t>Committee</w:t>
      </w:r>
      <w:r w:rsidR="00DC25C2">
        <w:rPr>
          <w:lang w:val="en-GB"/>
        </w:rPr>
        <w:t xml:space="preserve"> is also aware of the practice of </w:t>
      </w:r>
      <w:r w:rsidR="009E2DD3">
        <w:rPr>
          <w:lang w:val="en-GB"/>
        </w:rPr>
        <w:t xml:space="preserve">some </w:t>
      </w:r>
      <w:r w:rsidR="00B00FB5">
        <w:rPr>
          <w:lang w:val="en-GB"/>
        </w:rPr>
        <w:t>commissions of inqui</w:t>
      </w:r>
      <w:r w:rsidR="00DC25C2">
        <w:rPr>
          <w:lang w:val="en-GB"/>
        </w:rPr>
        <w:t>ries</w:t>
      </w:r>
      <w:r w:rsidR="00C10DEE">
        <w:rPr>
          <w:lang w:val="en-GB"/>
        </w:rPr>
        <w:t xml:space="preserve"> </w:t>
      </w:r>
      <w:r w:rsidR="00B00FB5">
        <w:rPr>
          <w:lang w:val="en-GB"/>
        </w:rPr>
        <w:t xml:space="preserve">set up after 2006 </w:t>
      </w:r>
      <w:r w:rsidR="00C10DEE">
        <w:rPr>
          <w:lang w:val="en-GB"/>
        </w:rPr>
        <w:t xml:space="preserve">that have </w:t>
      </w:r>
      <w:r w:rsidR="00F86AEB">
        <w:rPr>
          <w:lang w:val="en-GB"/>
        </w:rPr>
        <w:t>classified</w:t>
      </w:r>
      <w:r w:rsidR="00C10DEE">
        <w:rPr>
          <w:lang w:val="en-GB"/>
        </w:rPr>
        <w:t xml:space="preserve"> enforced disappearances p</w:t>
      </w:r>
      <w:r w:rsidR="00C01477">
        <w:rPr>
          <w:lang w:val="en-GB"/>
        </w:rPr>
        <w:t>erpetrated b</w:t>
      </w:r>
      <w:r w:rsidR="009070FA">
        <w:rPr>
          <w:lang w:val="en-GB"/>
        </w:rPr>
        <w:t>y non-</w:t>
      </w:r>
      <w:r w:rsidR="002B0940">
        <w:rPr>
          <w:lang w:val="en-GB"/>
        </w:rPr>
        <w:t>S</w:t>
      </w:r>
      <w:r w:rsidR="009070FA">
        <w:rPr>
          <w:lang w:val="en-GB"/>
        </w:rPr>
        <w:t>tate actors</w:t>
      </w:r>
      <w:r w:rsidR="00965BF7">
        <w:rPr>
          <w:lang w:val="en-GB"/>
        </w:rPr>
        <w:t xml:space="preserve"> as enforced disappearances</w:t>
      </w:r>
      <w:r w:rsidR="009070FA">
        <w:rPr>
          <w:lang w:val="en-GB"/>
        </w:rPr>
        <w:t>.</w:t>
      </w:r>
      <w:r w:rsidR="001121EF">
        <w:rPr>
          <w:rStyle w:val="Appelnotedebasdep"/>
          <w:lang w:val="en-GB"/>
        </w:rPr>
        <w:footnoteReference w:id="13"/>
      </w:r>
      <w:r w:rsidR="009070FA">
        <w:rPr>
          <w:lang w:val="en-GB"/>
        </w:rPr>
        <w:t xml:space="preserve"> </w:t>
      </w:r>
    </w:p>
    <w:p w14:paraId="3F33293B" w14:textId="651B241A" w:rsidR="002836C0" w:rsidRPr="00534F91" w:rsidRDefault="002836C0" w:rsidP="002836C0">
      <w:pPr>
        <w:rPr>
          <w:lang w:val="en-US"/>
        </w:rPr>
      </w:pPr>
      <w:r>
        <w:rPr>
          <w:lang w:val="en-GB"/>
        </w:rPr>
        <w:t>The</w:t>
      </w:r>
      <w:r>
        <w:rPr>
          <w:lang w:val="en-GB"/>
        </w:rPr>
        <w:t xml:space="preserve"> Committee notes that in its 2019 report, the WGEID decided, in the implementation of its humanitarian mandate, to ‘document cases concerning enforced or involuntary disappearances allegedly perpetrated by non-State actors that exercise effective control and/or government-like functions over a territory.”</w:t>
      </w:r>
      <w:r w:rsidRPr="006462D0">
        <w:rPr>
          <w:vertAlign w:val="superscript"/>
          <w:lang w:val="en-US"/>
        </w:rPr>
        <w:t xml:space="preserve"> </w:t>
      </w:r>
      <w:r w:rsidRPr="0063235F">
        <w:rPr>
          <w:vertAlign w:val="superscript"/>
        </w:rPr>
        <w:footnoteReference w:id="14"/>
      </w:r>
    </w:p>
    <w:p w14:paraId="238D574F" w14:textId="2F434995" w:rsidR="00BC2566" w:rsidRDefault="002836C0">
      <w:pPr>
        <w:rPr>
          <w:lang w:val="en-GB"/>
        </w:rPr>
      </w:pPr>
      <w:r>
        <w:rPr>
          <w:lang w:val="en-GB"/>
        </w:rPr>
        <w:t>Finally,</w:t>
      </w:r>
      <w:r w:rsidR="009070FA">
        <w:rPr>
          <w:lang w:val="en-GB"/>
        </w:rPr>
        <w:t xml:space="preserve"> is also mindful of the practice of </w:t>
      </w:r>
      <w:r w:rsidR="0056530E">
        <w:rPr>
          <w:lang w:val="en-GB"/>
        </w:rPr>
        <w:t>S</w:t>
      </w:r>
      <w:r w:rsidR="009070FA">
        <w:rPr>
          <w:lang w:val="en-GB"/>
        </w:rPr>
        <w:t xml:space="preserve">pecial </w:t>
      </w:r>
      <w:r w:rsidR="0056530E">
        <w:rPr>
          <w:lang w:val="en-GB"/>
        </w:rPr>
        <w:t>P</w:t>
      </w:r>
      <w:r w:rsidR="009070FA">
        <w:rPr>
          <w:lang w:val="en-GB"/>
        </w:rPr>
        <w:t>rocedures, including</w:t>
      </w:r>
      <w:r w:rsidR="00BB17DF">
        <w:rPr>
          <w:lang w:val="en-GB"/>
        </w:rPr>
        <w:t xml:space="preserve"> </w:t>
      </w:r>
      <w:r w:rsidR="0056288B">
        <w:rPr>
          <w:lang w:val="en-GB"/>
        </w:rPr>
        <w:t>the “joint statement</w:t>
      </w:r>
      <w:r w:rsidR="00B86A7A">
        <w:rPr>
          <w:lang w:val="en-GB"/>
        </w:rPr>
        <w:t xml:space="preserve">” </w:t>
      </w:r>
      <w:r w:rsidR="00EE0434">
        <w:rPr>
          <w:lang w:val="en-GB"/>
        </w:rPr>
        <w:t>released on</w:t>
      </w:r>
      <w:r w:rsidR="00B86A7A">
        <w:rPr>
          <w:lang w:val="en-GB"/>
        </w:rPr>
        <w:t xml:space="preserve"> 25 February </w:t>
      </w:r>
      <w:r w:rsidR="00984757">
        <w:rPr>
          <w:lang w:val="en-GB"/>
        </w:rPr>
        <w:t xml:space="preserve">2021 </w:t>
      </w:r>
      <w:r w:rsidR="00B86A7A">
        <w:rPr>
          <w:lang w:val="en-GB"/>
        </w:rPr>
        <w:t>by a group of mandate holders</w:t>
      </w:r>
      <w:r w:rsidR="006729FD">
        <w:rPr>
          <w:lang w:val="en-GB"/>
        </w:rPr>
        <w:t xml:space="preserve"> who, based on the common practice of various organs of the UN, have considered that </w:t>
      </w:r>
      <w:r w:rsidR="00A31369">
        <w:rPr>
          <w:lang w:val="en-GB"/>
        </w:rPr>
        <w:t>‘at</w:t>
      </w:r>
      <w:r w:rsidR="006729FD">
        <w:rPr>
          <w:lang w:val="en-GB"/>
        </w:rPr>
        <w:t xml:space="preserve"> a minimum, armed non-State actors exercising either government-like functions or </w:t>
      </w:r>
      <w:r w:rsidR="006729FD">
        <w:rPr>
          <w:i/>
          <w:lang w:val="en-GB"/>
        </w:rPr>
        <w:t>de facto</w:t>
      </w:r>
      <w:r w:rsidR="006729FD">
        <w:rPr>
          <w:lang w:val="en-GB"/>
        </w:rPr>
        <w:t xml:space="preserve"> control over territory and population must respect and protect the human rights of individuals and groups</w:t>
      </w:r>
      <w:r w:rsidR="00BB17DF">
        <w:rPr>
          <w:lang w:val="en-GB"/>
        </w:rPr>
        <w:t xml:space="preserve">. </w:t>
      </w:r>
    </w:p>
    <w:p w14:paraId="0B89D71D" w14:textId="19B25BFE" w:rsidR="000B15C4" w:rsidRDefault="00052642" w:rsidP="00A108FD">
      <w:pPr>
        <w:rPr>
          <w:lang w:val="en-GB"/>
        </w:rPr>
      </w:pPr>
      <w:r>
        <w:rPr>
          <w:lang w:val="en-GB"/>
        </w:rPr>
        <w:t xml:space="preserve">Based on the foregoing, </w:t>
      </w:r>
      <w:r w:rsidR="00A3408A">
        <w:rPr>
          <w:lang w:val="en-GB"/>
        </w:rPr>
        <w:t>the Committee</w:t>
      </w:r>
      <w:r w:rsidR="00896354">
        <w:rPr>
          <w:lang w:val="en-GB"/>
        </w:rPr>
        <w:t xml:space="preserve"> </w:t>
      </w:r>
      <w:r w:rsidR="00247930">
        <w:rPr>
          <w:lang w:val="en-GB"/>
        </w:rPr>
        <w:t xml:space="preserve">finds </w:t>
      </w:r>
      <w:r w:rsidR="00896354">
        <w:rPr>
          <w:lang w:val="en-GB"/>
        </w:rPr>
        <w:t xml:space="preserve">that </w:t>
      </w:r>
      <w:r w:rsidR="000B15C4">
        <w:rPr>
          <w:lang w:val="en-GB"/>
        </w:rPr>
        <w:t xml:space="preserve">under article 3 of the Convention, </w:t>
      </w:r>
      <w:r w:rsidR="00D25D51">
        <w:rPr>
          <w:lang w:val="en-GB"/>
        </w:rPr>
        <w:t xml:space="preserve">disappearances </w:t>
      </w:r>
      <w:r w:rsidR="00C978CE">
        <w:rPr>
          <w:lang w:val="en-GB"/>
        </w:rPr>
        <w:t xml:space="preserve">perpetrated without the authorization, </w:t>
      </w:r>
      <w:r w:rsidR="00BC2566">
        <w:rPr>
          <w:lang w:val="en-GB"/>
        </w:rPr>
        <w:t>support</w:t>
      </w:r>
      <w:r w:rsidR="00C978CE">
        <w:rPr>
          <w:lang w:val="en-GB"/>
        </w:rPr>
        <w:t xml:space="preserve"> or acquiescence of the </w:t>
      </w:r>
      <w:r w:rsidR="00A0010D">
        <w:rPr>
          <w:lang w:val="en-GB"/>
        </w:rPr>
        <w:t>S</w:t>
      </w:r>
      <w:r w:rsidR="00C978CE">
        <w:rPr>
          <w:lang w:val="en-GB"/>
        </w:rPr>
        <w:t xml:space="preserve">tate </w:t>
      </w:r>
      <w:r w:rsidR="00A0010D">
        <w:rPr>
          <w:lang w:val="en-GB"/>
        </w:rPr>
        <w:t>constitute</w:t>
      </w:r>
      <w:r w:rsidR="00C978CE">
        <w:rPr>
          <w:lang w:val="en-GB"/>
        </w:rPr>
        <w:t xml:space="preserve"> </w:t>
      </w:r>
      <w:r w:rsidR="00D40503">
        <w:rPr>
          <w:lang w:val="en-GB"/>
        </w:rPr>
        <w:t xml:space="preserve">‘enforced disappearances’ </w:t>
      </w:r>
      <w:r w:rsidR="00FF7F4A">
        <w:rPr>
          <w:lang w:val="en-GB"/>
        </w:rPr>
        <w:t>in the following circumstances</w:t>
      </w:r>
      <w:r w:rsidR="008929EC">
        <w:rPr>
          <w:lang w:val="en-GB"/>
        </w:rPr>
        <w:t>:</w:t>
      </w:r>
    </w:p>
    <w:p w14:paraId="14E658D8" w14:textId="23ADBCF2" w:rsidR="00A108FD" w:rsidRPr="00A108FD" w:rsidRDefault="00344247" w:rsidP="00A108FD">
      <w:pPr>
        <w:pStyle w:val="Paragraphedeliste"/>
        <w:numPr>
          <w:ilvl w:val="0"/>
          <w:numId w:val="1"/>
        </w:numPr>
        <w:rPr>
          <w:lang w:val="en-GB"/>
        </w:rPr>
      </w:pPr>
      <w:r w:rsidRPr="00A108FD">
        <w:rPr>
          <w:rFonts w:eastAsiaTheme="minorEastAsia"/>
          <w:lang w:val="en-GB"/>
        </w:rPr>
        <w:t xml:space="preserve">the disappearance was perpetrated by a ‘political organisation’, and there is a nexus with a </w:t>
      </w:r>
      <w:r w:rsidR="000B15C4">
        <w:rPr>
          <w:rFonts w:eastAsiaTheme="minorEastAsia"/>
          <w:lang w:val="en-GB"/>
        </w:rPr>
        <w:t>‘</w:t>
      </w:r>
      <w:r w:rsidRPr="00A108FD">
        <w:rPr>
          <w:rFonts w:eastAsiaTheme="minorEastAsia"/>
          <w:lang w:val="en-GB"/>
        </w:rPr>
        <w:t>widespread or systematic attack against a civilian population</w:t>
      </w:r>
      <w:r w:rsidR="000B15C4">
        <w:rPr>
          <w:rFonts w:eastAsiaTheme="minorEastAsia"/>
          <w:lang w:val="en-GB"/>
        </w:rPr>
        <w:t>’</w:t>
      </w:r>
      <w:r w:rsidR="002F730B" w:rsidRPr="00A108FD">
        <w:rPr>
          <w:rFonts w:eastAsiaTheme="minorEastAsia"/>
          <w:lang w:val="en-GB"/>
        </w:rPr>
        <w:t xml:space="preserve">, within the meaning </w:t>
      </w:r>
      <w:r w:rsidR="00FD0B1F" w:rsidRPr="00A108FD">
        <w:rPr>
          <w:rFonts w:eastAsiaTheme="minorEastAsia"/>
          <w:lang w:val="en-GB"/>
        </w:rPr>
        <w:t>of the definition of crimes against humanity in international criminal law</w:t>
      </w:r>
      <w:r w:rsidRPr="00A108FD">
        <w:rPr>
          <w:rFonts w:eastAsiaTheme="minorEastAsia"/>
          <w:lang w:val="en-GB"/>
        </w:rPr>
        <w:t xml:space="preserve">; or </w:t>
      </w:r>
    </w:p>
    <w:p w14:paraId="1034F861" w14:textId="0D2F15FB" w:rsidR="00A108FD" w:rsidRPr="00A108FD" w:rsidRDefault="00344247" w:rsidP="00A108FD">
      <w:pPr>
        <w:pStyle w:val="Paragraphedeliste"/>
        <w:numPr>
          <w:ilvl w:val="0"/>
          <w:numId w:val="1"/>
        </w:numPr>
        <w:rPr>
          <w:lang w:val="en-GB"/>
        </w:rPr>
      </w:pPr>
      <w:r w:rsidRPr="00A108FD">
        <w:rPr>
          <w:rFonts w:eastAsiaTheme="minorEastAsia"/>
          <w:lang w:val="en-GB"/>
        </w:rPr>
        <w:t xml:space="preserve">the disappearance was perpetrated by an </w:t>
      </w:r>
      <w:r w:rsidR="000B15C4">
        <w:rPr>
          <w:rFonts w:eastAsiaTheme="minorEastAsia"/>
          <w:lang w:val="en-GB"/>
        </w:rPr>
        <w:t>‘</w:t>
      </w:r>
      <w:r w:rsidRPr="00A108FD">
        <w:rPr>
          <w:rFonts w:eastAsiaTheme="minorEastAsia"/>
          <w:lang w:val="en-GB"/>
        </w:rPr>
        <w:t>organized armed group</w:t>
      </w:r>
      <w:r w:rsidR="000B15C4">
        <w:rPr>
          <w:rFonts w:eastAsiaTheme="minorEastAsia"/>
          <w:lang w:val="en-GB"/>
        </w:rPr>
        <w:t>’</w:t>
      </w:r>
      <w:r w:rsidRPr="00A108FD">
        <w:rPr>
          <w:rFonts w:eastAsiaTheme="minorEastAsia"/>
          <w:lang w:val="en-GB"/>
        </w:rPr>
        <w:t xml:space="preserve">, and there is a nexus with a </w:t>
      </w:r>
      <w:r w:rsidR="000B15C4">
        <w:rPr>
          <w:rFonts w:eastAsiaTheme="minorEastAsia"/>
          <w:lang w:val="en-GB"/>
        </w:rPr>
        <w:t>‘</w:t>
      </w:r>
      <w:r w:rsidRPr="00A108FD">
        <w:rPr>
          <w:rFonts w:eastAsiaTheme="minorEastAsia"/>
          <w:lang w:val="en-GB"/>
        </w:rPr>
        <w:t>non-international armed conflict</w:t>
      </w:r>
      <w:r w:rsidR="000B15C4">
        <w:rPr>
          <w:rFonts w:eastAsiaTheme="minorEastAsia"/>
          <w:lang w:val="en-GB"/>
        </w:rPr>
        <w:t>’</w:t>
      </w:r>
      <w:r w:rsidR="00205F1A" w:rsidRPr="00A108FD">
        <w:rPr>
          <w:rFonts w:eastAsiaTheme="minorEastAsia"/>
          <w:lang w:val="en-GB"/>
        </w:rPr>
        <w:t xml:space="preserve">, within the meaning </w:t>
      </w:r>
      <w:r w:rsidR="00302F94" w:rsidRPr="00A108FD">
        <w:rPr>
          <w:rFonts w:eastAsiaTheme="minorEastAsia"/>
          <w:lang w:val="en-GB"/>
        </w:rPr>
        <w:t>of international humanitarian law</w:t>
      </w:r>
      <w:r w:rsidRPr="00A108FD">
        <w:rPr>
          <w:rFonts w:eastAsiaTheme="minorEastAsia"/>
          <w:lang w:val="en-GB"/>
        </w:rPr>
        <w:t xml:space="preserve">; or </w:t>
      </w:r>
    </w:p>
    <w:p w14:paraId="4F27E9B3" w14:textId="40E9E681" w:rsidR="00A108FD" w:rsidRDefault="00A108FD" w:rsidP="00A108FD">
      <w:pPr>
        <w:pStyle w:val="Paragraphedeliste"/>
        <w:numPr>
          <w:ilvl w:val="0"/>
          <w:numId w:val="1"/>
        </w:numPr>
        <w:rPr>
          <w:lang w:val="en-GB"/>
        </w:rPr>
      </w:pPr>
      <w:r>
        <w:rPr>
          <w:rFonts w:eastAsiaTheme="minorEastAsia"/>
          <w:lang w:val="en-GB"/>
        </w:rPr>
        <w:t xml:space="preserve">the disappearance was perpetrated by a </w:t>
      </w:r>
      <w:r w:rsidR="00534F91">
        <w:rPr>
          <w:lang w:val="en-GB"/>
        </w:rPr>
        <w:t>non-State actor that exercise</w:t>
      </w:r>
      <w:r w:rsidR="00492B03">
        <w:rPr>
          <w:lang w:val="en-GB"/>
        </w:rPr>
        <w:t>s</w:t>
      </w:r>
      <w:r w:rsidR="00534F91">
        <w:rPr>
          <w:lang w:val="en-GB"/>
        </w:rPr>
        <w:t xml:space="preserve"> effective control and/or government-like functions over a territory</w:t>
      </w:r>
      <w:r w:rsidR="002A07C3">
        <w:rPr>
          <w:lang w:val="en-GB"/>
        </w:rPr>
        <w:t>.</w:t>
      </w:r>
    </w:p>
    <w:p w14:paraId="5DCE0E86" w14:textId="487F697C" w:rsidR="00247930" w:rsidRPr="00ED2DF9" w:rsidRDefault="00247930" w:rsidP="00264BD3">
      <w:pPr>
        <w:rPr>
          <w:lang w:val="en-GB"/>
        </w:rPr>
      </w:pPr>
      <w:r>
        <w:rPr>
          <w:lang w:val="en-GB"/>
        </w:rPr>
        <w:lastRenderedPageBreak/>
        <w:t>Conversely</w:t>
      </w:r>
      <w:r w:rsidR="003848C0">
        <w:rPr>
          <w:lang w:val="en-GB"/>
        </w:rPr>
        <w:t>,</w:t>
      </w:r>
      <w:r>
        <w:rPr>
          <w:lang w:val="en-GB"/>
        </w:rPr>
        <w:t xml:space="preserve"> other disappearances falling within the scope of article 3 </w:t>
      </w:r>
      <w:r w:rsidR="00D55D07">
        <w:rPr>
          <w:lang w:val="en-GB"/>
        </w:rPr>
        <w:t xml:space="preserve">but not perpetrated in the above circumstances </w:t>
      </w:r>
      <w:r w:rsidR="000B4677">
        <w:rPr>
          <w:lang w:val="en-GB"/>
        </w:rPr>
        <w:t>do not constitute</w:t>
      </w:r>
      <w:r>
        <w:rPr>
          <w:lang w:val="en-GB"/>
        </w:rPr>
        <w:t xml:space="preserve"> ‘enforced disappearances’</w:t>
      </w:r>
      <w:r w:rsidR="00251EAD">
        <w:rPr>
          <w:lang w:val="en-GB"/>
        </w:rPr>
        <w:t xml:space="preserve"> and will generally be characterized as ‘kidnapping’ or ‘abduction’ under domestic law. </w:t>
      </w:r>
    </w:p>
    <w:p w14:paraId="12477FA0" w14:textId="230C7800" w:rsidR="00CA193C" w:rsidRDefault="00141669" w:rsidP="00264BD3">
      <w:pPr>
        <w:numPr>
          <w:ilvl w:val="0"/>
          <w:numId w:val="0"/>
        </w:numPr>
        <w:ind w:left="360"/>
        <w:rPr>
          <w:b/>
          <w:bCs/>
          <w:lang w:val="en-GB"/>
        </w:rPr>
      </w:pPr>
      <w:r>
        <w:rPr>
          <w:b/>
          <w:bCs/>
          <w:lang w:val="en-GB"/>
        </w:rPr>
        <w:t xml:space="preserve">Section </w:t>
      </w:r>
      <w:r w:rsidR="005E1BF5">
        <w:rPr>
          <w:b/>
          <w:bCs/>
          <w:lang w:val="en-GB"/>
        </w:rPr>
        <w:t xml:space="preserve">4. </w:t>
      </w:r>
      <w:r w:rsidR="00CA193C" w:rsidRPr="00A82B6B">
        <w:rPr>
          <w:b/>
          <w:bCs/>
          <w:lang w:val="en-GB"/>
        </w:rPr>
        <w:t>Obligations of States</w:t>
      </w:r>
      <w:r w:rsidR="009D3349" w:rsidRPr="00A82B6B">
        <w:rPr>
          <w:b/>
          <w:bCs/>
          <w:lang w:val="en-GB"/>
        </w:rPr>
        <w:t xml:space="preserve"> </w:t>
      </w:r>
      <w:r w:rsidR="00F868E4">
        <w:rPr>
          <w:b/>
          <w:bCs/>
          <w:lang w:val="en-GB"/>
        </w:rPr>
        <w:t xml:space="preserve">parties </w:t>
      </w:r>
      <w:r w:rsidR="009D3349" w:rsidRPr="00A82B6B">
        <w:rPr>
          <w:b/>
          <w:bCs/>
          <w:lang w:val="en-GB"/>
        </w:rPr>
        <w:t>under article 3</w:t>
      </w:r>
    </w:p>
    <w:p w14:paraId="052AE4AE" w14:textId="342DD341" w:rsidR="00053A66" w:rsidRPr="00CC7326" w:rsidRDefault="00DD196C">
      <w:pPr>
        <w:rPr>
          <w:lang w:val="en-GB"/>
        </w:rPr>
      </w:pPr>
      <w:r>
        <w:rPr>
          <w:lang w:val="en-GB"/>
        </w:rPr>
        <w:t xml:space="preserve">Under article 3, States parties have an obligation to investigate enforced disappearances perpetrated </w:t>
      </w:r>
      <w:r w:rsidR="00FC5575">
        <w:rPr>
          <w:lang w:val="en-GB"/>
        </w:rPr>
        <w:t>by non-</w:t>
      </w:r>
      <w:r w:rsidR="009E4026">
        <w:rPr>
          <w:lang w:val="en-GB"/>
        </w:rPr>
        <w:t>S</w:t>
      </w:r>
      <w:r w:rsidR="00FC5575">
        <w:rPr>
          <w:lang w:val="en-GB"/>
        </w:rPr>
        <w:t>tate actors</w:t>
      </w:r>
      <w:r w:rsidR="0039599C">
        <w:rPr>
          <w:lang w:val="en-GB"/>
        </w:rPr>
        <w:t xml:space="preserve"> and to bring those responsible to justice.</w:t>
      </w:r>
      <w:r w:rsidR="0004502F">
        <w:rPr>
          <w:lang w:val="en-GB"/>
        </w:rPr>
        <w:t xml:space="preserve"> </w:t>
      </w:r>
      <w:r w:rsidR="00B27A4E">
        <w:rPr>
          <w:lang w:val="en-GB"/>
        </w:rPr>
        <w:t>To that end, States parties shall apply</w:t>
      </w:r>
      <w:r w:rsidR="00A3528D">
        <w:rPr>
          <w:lang w:val="en-GB"/>
        </w:rPr>
        <w:t>, in relation to those disappearances,</w:t>
      </w:r>
      <w:r w:rsidR="00B27A4E">
        <w:rPr>
          <w:lang w:val="en-GB"/>
        </w:rPr>
        <w:t xml:space="preserve"> articles 4 to 16 of Convention, as well as articles 24 and 25.</w:t>
      </w:r>
    </w:p>
    <w:p w14:paraId="6C3C9737" w14:textId="1025132E" w:rsidR="001C2A89" w:rsidRPr="00567D37" w:rsidRDefault="00B554CE" w:rsidP="00264BD3">
      <w:pPr>
        <w:numPr>
          <w:ilvl w:val="0"/>
          <w:numId w:val="0"/>
        </w:numPr>
        <w:ind w:left="360"/>
        <w:rPr>
          <w:b/>
          <w:bCs/>
          <w:lang w:val="en-GB"/>
        </w:rPr>
      </w:pPr>
      <w:r>
        <w:rPr>
          <w:b/>
          <w:bCs/>
          <w:lang w:val="en-GB"/>
        </w:rPr>
        <w:t xml:space="preserve">Section </w:t>
      </w:r>
      <w:r w:rsidR="005E1BF5">
        <w:rPr>
          <w:b/>
          <w:bCs/>
          <w:lang w:val="en-GB"/>
        </w:rPr>
        <w:t xml:space="preserve">5. </w:t>
      </w:r>
      <w:r w:rsidR="00CA193C" w:rsidRPr="00567D37">
        <w:rPr>
          <w:b/>
          <w:bCs/>
          <w:lang w:val="en-GB"/>
        </w:rPr>
        <w:t>Procedural consequences</w:t>
      </w:r>
    </w:p>
    <w:p w14:paraId="4E1D3E75" w14:textId="03749239" w:rsidR="00142165" w:rsidRDefault="00F2430D" w:rsidP="00264BD3">
      <w:pPr>
        <w:rPr>
          <w:lang w:val="en-GB"/>
        </w:rPr>
      </w:pPr>
      <w:r>
        <w:rPr>
          <w:lang w:val="en-GB"/>
        </w:rPr>
        <w:t xml:space="preserve">In the context of their reporting obligations under article 29, States parties </w:t>
      </w:r>
      <w:r w:rsidR="00F7746B">
        <w:rPr>
          <w:lang w:val="en-GB"/>
        </w:rPr>
        <w:t xml:space="preserve">shall report on enforced disappearances falling </w:t>
      </w:r>
      <w:r w:rsidR="003C116A">
        <w:rPr>
          <w:lang w:val="en-GB"/>
        </w:rPr>
        <w:t>within</w:t>
      </w:r>
      <w:r w:rsidR="00F7746B">
        <w:rPr>
          <w:lang w:val="en-GB"/>
        </w:rPr>
        <w:t xml:space="preserve"> the scope of article 3, as </w:t>
      </w:r>
      <w:r w:rsidR="009B3E69">
        <w:rPr>
          <w:lang w:val="en-GB"/>
        </w:rPr>
        <w:t>explained in Section 3</w:t>
      </w:r>
      <w:r w:rsidR="00F7746B">
        <w:rPr>
          <w:lang w:val="en-GB"/>
        </w:rPr>
        <w:t xml:space="preserve"> above, as well as on the </w:t>
      </w:r>
      <w:r w:rsidR="00232DF2">
        <w:rPr>
          <w:lang w:val="en-GB"/>
        </w:rPr>
        <w:t xml:space="preserve">implementation of their obligations under the </w:t>
      </w:r>
      <w:r w:rsidR="00737736">
        <w:rPr>
          <w:lang w:val="en-GB"/>
        </w:rPr>
        <w:t>relevant articles, as specified in Section</w:t>
      </w:r>
      <w:r w:rsidR="005E1BF5">
        <w:rPr>
          <w:lang w:val="en-GB"/>
        </w:rPr>
        <w:t xml:space="preserve"> 4. </w:t>
      </w:r>
    </w:p>
    <w:p w14:paraId="7BDDB8C0" w14:textId="54271585" w:rsidR="00B95B04" w:rsidRDefault="003F76C7" w:rsidP="003F76C7">
      <w:pPr>
        <w:rPr>
          <w:lang w:val="en-GB"/>
        </w:rPr>
      </w:pPr>
      <w:r>
        <w:rPr>
          <w:lang w:val="en-GB"/>
        </w:rPr>
        <w:t xml:space="preserve">In the context of urgent actions under article 30 of the Convention, </w:t>
      </w:r>
      <w:r w:rsidR="00025DA2">
        <w:rPr>
          <w:lang w:val="en-GB"/>
        </w:rPr>
        <w:t>t</w:t>
      </w:r>
      <w:r>
        <w:rPr>
          <w:lang w:val="en-GB"/>
        </w:rPr>
        <w:t xml:space="preserve">he </w:t>
      </w:r>
      <w:r w:rsidR="00B95B04">
        <w:rPr>
          <w:lang w:val="en-GB"/>
        </w:rPr>
        <w:t xml:space="preserve">Committee may </w:t>
      </w:r>
      <w:r w:rsidR="00025DA2">
        <w:rPr>
          <w:lang w:val="en-GB"/>
        </w:rPr>
        <w:t xml:space="preserve">decide to </w:t>
      </w:r>
      <w:r w:rsidR="00B95B04">
        <w:rPr>
          <w:lang w:val="en-GB"/>
        </w:rPr>
        <w:t xml:space="preserve">register cases </w:t>
      </w:r>
      <w:r w:rsidR="00074E7F">
        <w:rPr>
          <w:lang w:val="en-GB"/>
        </w:rPr>
        <w:t xml:space="preserve">of </w:t>
      </w:r>
      <w:r w:rsidR="00B95B04">
        <w:rPr>
          <w:lang w:val="en-GB"/>
        </w:rPr>
        <w:t xml:space="preserve">enforced disappearances attributable to </w:t>
      </w:r>
      <w:r w:rsidR="00141669">
        <w:rPr>
          <w:lang w:val="en-GB"/>
        </w:rPr>
        <w:t>non-</w:t>
      </w:r>
      <w:r w:rsidR="00F6307D">
        <w:rPr>
          <w:lang w:val="en-GB"/>
        </w:rPr>
        <w:t>State</w:t>
      </w:r>
      <w:r w:rsidR="00141669">
        <w:rPr>
          <w:lang w:val="en-GB"/>
        </w:rPr>
        <w:t xml:space="preserve"> actors falling </w:t>
      </w:r>
      <w:r w:rsidR="003C116A">
        <w:rPr>
          <w:lang w:val="en-GB"/>
        </w:rPr>
        <w:t>within</w:t>
      </w:r>
      <w:r w:rsidR="00141669">
        <w:rPr>
          <w:lang w:val="en-GB"/>
        </w:rPr>
        <w:t xml:space="preserve"> the sco</w:t>
      </w:r>
      <w:r w:rsidR="00B97E55">
        <w:rPr>
          <w:lang w:val="en-GB"/>
        </w:rPr>
        <w:t>p</w:t>
      </w:r>
      <w:r w:rsidR="00141669">
        <w:rPr>
          <w:lang w:val="en-GB"/>
        </w:rPr>
        <w:t xml:space="preserve">e of article 3, as </w:t>
      </w:r>
      <w:r w:rsidR="00B97E55">
        <w:rPr>
          <w:lang w:val="en-GB"/>
        </w:rPr>
        <w:t>explained in Section 3 above</w:t>
      </w:r>
      <w:r w:rsidR="00B95B04">
        <w:rPr>
          <w:lang w:val="en-GB"/>
        </w:rPr>
        <w:t xml:space="preserve">, and request the </w:t>
      </w:r>
      <w:r w:rsidR="00F6307D">
        <w:rPr>
          <w:lang w:val="en-GB"/>
        </w:rPr>
        <w:t>State</w:t>
      </w:r>
      <w:r w:rsidR="00B95B04">
        <w:rPr>
          <w:lang w:val="en-GB"/>
        </w:rPr>
        <w:t xml:space="preserve"> to “seek and find” the person as a matter of urgency. Even though the </w:t>
      </w:r>
      <w:r w:rsidR="00F6307D">
        <w:rPr>
          <w:lang w:val="en-GB"/>
        </w:rPr>
        <w:t>State</w:t>
      </w:r>
      <w:r w:rsidR="00B95B04">
        <w:rPr>
          <w:lang w:val="en-GB"/>
        </w:rPr>
        <w:t xml:space="preserve"> may not be in the immediate capacity to locate the person – if for instance the </w:t>
      </w:r>
      <w:r w:rsidR="00BD64E1">
        <w:rPr>
          <w:lang w:val="en-GB"/>
        </w:rPr>
        <w:t>non-</w:t>
      </w:r>
      <w:r w:rsidR="00F6307D">
        <w:rPr>
          <w:lang w:val="en-GB"/>
        </w:rPr>
        <w:t>State</w:t>
      </w:r>
      <w:r w:rsidR="00BD64E1">
        <w:rPr>
          <w:lang w:val="en-GB"/>
        </w:rPr>
        <w:t xml:space="preserve"> actor</w:t>
      </w:r>
      <w:r w:rsidR="00CC54C2">
        <w:rPr>
          <w:lang w:val="en-GB"/>
        </w:rPr>
        <w:t xml:space="preserve"> </w:t>
      </w:r>
      <w:r w:rsidR="001E5072">
        <w:rPr>
          <w:lang w:val="en-GB"/>
        </w:rPr>
        <w:t>alleged to be responsible</w:t>
      </w:r>
      <w:r w:rsidR="00CC54C2">
        <w:rPr>
          <w:lang w:val="en-GB"/>
        </w:rPr>
        <w:t xml:space="preserve"> </w:t>
      </w:r>
      <w:r w:rsidR="000203CE">
        <w:rPr>
          <w:lang w:val="en-GB"/>
        </w:rPr>
        <w:t>for</w:t>
      </w:r>
      <w:r w:rsidR="00CC54C2">
        <w:rPr>
          <w:lang w:val="en-GB"/>
        </w:rPr>
        <w:t xml:space="preserve"> the enforced disappearance</w:t>
      </w:r>
      <w:r w:rsidR="00B95B04">
        <w:rPr>
          <w:lang w:val="en-GB"/>
        </w:rPr>
        <w:t xml:space="preserve"> has control over the territory where the person was disappeared – the Committee </w:t>
      </w:r>
      <w:r w:rsidR="00A804FF">
        <w:rPr>
          <w:lang w:val="en-GB"/>
        </w:rPr>
        <w:t>may</w:t>
      </w:r>
      <w:r w:rsidR="00B95B04">
        <w:rPr>
          <w:lang w:val="en-GB"/>
        </w:rPr>
        <w:t xml:space="preserve"> </w:t>
      </w:r>
      <w:r w:rsidR="00A804FF">
        <w:rPr>
          <w:lang w:val="en-GB"/>
        </w:rPr>
        <w:t>request</w:t>
      </w:r>
      <w:r w:rsidR="00B95B04">
        <w:rPr>
          <w:lang w:val="en-GB"/>
        </w:rPr>
        <w:t xml:space="preserve"> the </w:t>
      </w:r>
      <w:r w:rsidR="00F6307D">
        <w:rPr>
          <w:lang w:val="en-GB"/>
        </w:rPr>
        <w:t>State</w:t>
      </w:r>
      <w:r w:rsidR="00B95B04">
        <w:rPr>
          <w:lang w:val="en-GB"/>
        </w:rPr>
        <w:t xml:space="preserve"> party </w:t>
      </w:r>
      <w:r w:rsidR="00E37E8C">
        <w:rPr>
          <w:lang w:val="en-GB"/>
        </w:rPr>
        <w:t xml:space="preserve">to </w:t>
      </w:r>
      <w:r w:rsidR="00B95B04">
        <w:rPr>
          <w:lang w:val="en-GB"/>
        </w:rPr>
        <w:t>take all measures</w:t>
      </w:r>
      <w:r w:rsidR="00830873">
        <w:rPr>
          <w:lang w:val="en-GB"/>
        </w:rPr>
        <w:t xml:space="preserve"> that are necessary to search for and locate him or her</w:t>
      </w:r>
      <w:r w:rsidR="00B95B04">
        <w:rPr>
          <w:lang w:val="en-GB"/>
        </w:rPr>
        <w:t xml:space="preserve">, including </w:t>
      </w:r>
      <w:r w:rsidR="00B95B04" w:rsidRPr="00A44C9E">
        <w:rPr>
          <w:lang w:val="en-GB"/>
        </w:rPr>
        <w:t>interim measures</w:t>
      </w:r>
      <w:r w:rsidR="00B95B04">
        <w:rPr>
          <w:lang w:val="en-GB"/>
        </w:rPr>
        <w:t xml:space="preserve">, such as registering the case in a specific database, securing mass graves, collecting the DNA of the families, providing assistance to the family, take steps, to the extent possible, </w:t>
      </w:r>
      <w:r w:rsidR="00906FFF">
        <w:rPr>
          <w:lang w:val="en-GB"/>
        </w:rPr>
        <w:t>to</w:t>
      </w:r>
      <w:r w:rsidR="00B95B04">
        <w:rPr>
          <w:lang w:val="en-GB"/>
        </w:rPr>
        <w:t xml:space="preserve"> get information from the NSA on the fate or the whereabouts of the disappeared etc.</w:t>
      </w:r>
    </w:p>
    <w:p w14:paraId="6237A343" w14:textId="5A24EB2B" w:rsidR="00B95B04" w:rsidRPr="00BB3D44" w:rsidRDefault="00A57DBD" w:rsidP="00B95B04">
      <w:pPr>
        <w:rPr>
          <w:lang w:val="en-GB"/>
        </w:rPr>
      </w:pPr>
      <w:r>
        <w:rPr>
          <w:lang w:val="en-GB"/>
        </w:rPr>
        <w:t>Under articles 31 and 32</w:t>
      </w:r>
      <w:r w:rsidR="005F222B">
        <w:rPr>
          <w:lang w:val="en-GB"/>
        </w:rPr>
        <w:t xml:space="preserve"> of the Convention</w:t>
      </w:r>
      <w:r w:rsidR="00B95B04">
        <w:rPr>
          <w:lang w:val="en-GB"/>
        </w:rPr>
        <w:t xml:space="preserve">, the Committee may receive communications alleging that the </w:t>
      </w:r>
      <w:r w:rsidR="00F6307D">
        <w:rPr>
          <w:lang w:val="en-GB"/>
        </w:rPr>
        <w:t>State</w:t>
      </w:r>
      <w:r w:rsidR="00B95B04">
        <w:rPr>
          <w:lang w:val="en-GB"/>
        </w:rPr>
        <w:t xml:space="preserve"> </w:t>
      </w:r>
      <w:r w:rsidR="00DE0A5E">
        <w:rPr>
          <w:lang w:val="en-GB"/>
        </w:rPr>
        <w:t xml:space="preserve">party </w:t>
      </w:r>
      <w:r w:rsidR="00B95B04">
        <w:rPr>
          <w:lang w:val="en-GB"/>
        </w:rPr>
        <w:t xml:space="preserve">has violated its obligations under article 3 </w:t>
      </w:r>
      <w:r w:rsidR="00956B4C">
        <w:rPr>
          <w:lang w:val="en-GB"/>
        </w:rPr>
        <w:t>[</w:t>
      </w:r>
      <w:r w:rsidR="00B95B04" w:rsidRPr="00956B4C">
        <w:rPr>
          <w:lang w:val="en-GB"/>
        </w:rPr>
        <w:t>and</w:t>
      </w:r>
      <w:proofErr w:type="gramStart"/>
      <w:r w:rsidR="00956B4C">
        <w:rPr>
          <w:lang w:val="en-GB"/>
        </w:rPr>
        <w:t>][</w:t>
      </w:r>
      <w:proofErr w:type="gramEnd"/>
      <w:r w:rsidR="00B068FB" w:rsidRPr="00956B4C">
        <w:rPr>
          <w:lang w:val="en-GB"/>
        </w:rPr>
        <w:t>read together with</w:t>
      </w:r>
      <w:r w:rsidR="00B068FB">
        <w:rPr>
          <w:lang w:val="en-GB"/>
        </w:rPr>
        <w:t xml:space="preserve">] </w:t>
      </w:r>
      <w:r w:rsidR="00C51A89">
        <w:rPr>
          <w:lang w:val="en-GB"/>
        </w:rPr>
        <w:t xml:space="preserve">articles </w:t>
      </w:r>
      <w:r w:rsidR="00B95B04">
        <w:rPr>
          <w:lang w:val="en-GB"/>
        </w:rPr>
        <w:t xml:space="preserve">4 to 16, as well as 24 and 25, with respect to an </w:t>
      </w:r>
      <w:r w:rsidR="00173A44">
        <w:rPr>
          <w:lang w:val="en-GB"/>
        </w:rPr>
        <w:t>[</w:t>
      </w:r>
      <w:r w:rsidR="00173A44" w:rsidRPr="00883C80">
        <w:rPr>
          <w:lang w:val="en-GB"/>
        </w:rPr>
        <w:t>actual or potential</w:t>
      </w:r>
      <w:r w:rsidR="00173A44">
        <w:rPr>
          <w:lang w:val="en-GB"/>
        </w:rPr>
        <w:t xml:space="preserve">] </w:t>
      </w:r>
      <w:r w:rsidR="00B95B04">
        <w:rPr>
          <w:lang w:val="en-GB"/>
        </w:rPr>
        <w:t>enforced disappearance</w:t>
      </w:r>
      <w:r w:rsidR="00173A44">
        <w:rPr>
          <w:lang w:val="en-GB"/>
        </w:rPr>
        <w:t xml:space="preserve"> </w:t>
      </w:r>
      <w:r w:rsidR="00D56847">
        <w:rPr>
          <w:lang w:val="en-GB"/>
        </w:rPr>
        <w:t>falling within the scope of article 3.</w:t>
      </w:r>
    </w:p>
    <w:p w14:paraId="2911250E" w14:textId="1FD3F642" w:rsidR="00B95B04" w:rsidRPr="00BB3D44" w:rsidRDefault="00B95B04" w:rsidP="00B95B04">
      <w:pPr>
        <w:rPr>
          <w:lang w:val="en-GB"/>
        </w:rPr>
      </w:pPr>
      <w:r>
        <w:rPr>
          <w:lang w:val="en-GB"/>
        </w:rPr>
        <w:t>Under article</w:t>
      </w:r>
      <w:r w:rsidR="005F222B">
        <w:rPr>
          <w:lang w:val="en-GB"/>
        </w:rPr>
        <w:t xml:space="preserve"> 33 of the Convention</w:t>
      </w:r>
      <w:r>
        <w:rPr>
          <w:lang w:val="en-GB"/>
        </w:rPr>
        <w:t xml:space="preserve">, the Committee may request a </w:t>
      </w:r>
      <w:r w:rsidR="00F6307D">
        <w:rPr>
          <w:lang w:val="en-GB"/>
        </w:rPr>
        <w:t>State</w:t>
      </w:r>
      <w:r>
        <w:rPr>
          <w:lang w:val="en-GB"/>
        </w:rPr>
        <w:t xml:space="preserve"> party to undertake a visit, if it receives reliable information indicating that </w:t>
      </w:r>
      <w:r w:rsidR="00266191">
        <w:rPr>
          <w:lang w:val="en-GB"/>
        </w:rPr>
        <w:t>this</w:t>
      </w:r>
      <w:r>
        <w:rPr>
          <w:lang w:val="en-GB"/>
        </w:rPr>
        <w:t xml:space="preserve"> </w:t>
      </w:r>
      <w:r w:rsidR="00F6307D">
        <w:rPr>
          <w:lang w:val="en-GB"/>
        </w:rPr>
        <w:t>State</w:t>
      </w:r>
      <w:r>
        <w:rPr>
          <w:lang w:val="en-GB"/>
        </w:rPr>
        <w:t xml:space="preserve"> party is seriously violating its obligations under article 3 </w:t>
      </w:r>
      <w:r w:rsidR="00266191">
        <w:rPr>
          <w:lang w:val="en-GB"/>
        </w:rPr>
        <w:t>[</w:t>
      </w:r>
      <w:r w:rsidR="00266191" w:rsidRPr="00B66395">
        <w:rPr>
          <w:lang w:val="en-GB"/>
        </w:rPr>
        <w:t>and</w:t>
      </w:r>
      <w:proofErr w:type="gramStart"/>
      <w:r w:rsidR="00883C80" w:rsidRPr="00B66395">
        <w:rPr>
          <w:lang w:val="en-GB"/>
        </w:rPr>
        <w:t>][</w:t>
      </w:r>
      <w:proofErr w:type="gramEnd"/>
      <w:r w:rsidR="00266191" w:rsidRPr="00B66395">
        <w:rPr>
          <w:lang w:val="en-GB"/>
        </w:rPr>
        <w:t>read together with</w:t>
      </w:r>
      <w:r w:rsidR="00266191">
        <w:rPr>
          <w:lang w:val="en-GB"/>
        </w:rPr>
        <w:t>]</w:t>
      </w:r>
      <w:r w:rsidR="00B84BB1">
        <w:rPr>
          <w:lang w:val="en-GB"/>
        </w:rPr>
        <w:t xml:space="preserve"> </w:t>
      </w:r>
      <w:r>
        <w:rPr>
          <w:lang w:val="en-GB"/>
        </w:rPr>
        <w:t xml:space="preserve">articles 4 to </w:t>
      </w:r>
      <w:r>
        <w:rPr>
          <w:lang w:val="en-GB"/>
        </w:rPr>
        <w:lastRenderedPageBreak/>
        <w:t xml:space="preserve">16, as well as 24 and 25 in relation to </w:t>
      </w:r>
      <w:r w:rsidR="00E24E77">
        <w:rPr>
          <w:lang w:val="en-GB"/>
        </w:rPr>
        <w:t>an</w:t>
      </w:r>
      <w:r w:rsidR="00D72111">
        <w:rPr>
          <w:lang w:val="en-GB"/>
        </w:rPr>
        <w:t xml:space="preserve"> [</w:t>
      </w:r>
      <w:r w:rsidR="00D72111" w:rsidRPr="00C87B07">
        <w:rPr>
          <w:lang w:val="en-GB"/>
        </w:rPr>
        <w:t>actual or potential</w:t>
      </w:r>
      <w:r w:rsidR="00D72111">
        <w:rPr>
          <w:lang w:val="en-GB"/>
        </w:rPr>
        <w:t>]</w:t>
      </w:r>
      <w:r w:rsidR="00E24E77">
        <w:rPr>
          <w:lang w:val="en-GB"/>
        </w:rPr>
        <w:t xml:space="preserve"> enforced disappearance falling within the scope of article 3</w:t>
      </w:r>
      <w:r>
        <w:rPr>
          <w:lang w:val="en-GB"/>
        </w:rPr>
        <w:t>.</w:t>
      </w:r>
    </w:p>
    <w:p w14:paraId="3B7F6458" w14:textId="4CFF1101" w:rsidR="00294558" w:rsidRDefault="00B95B04" w:rsidP="00B95B04">
      <w:pPr>
        <w:rPr>
          <w:lang w:val="en-GB"/>
        </w:rPr>
      </w:pPr>
      <w:r>
        <w:rPr>
          <w:lang w:val="en-GB"/>
        </w:rPr>
        <w:t>Under article</w:t>
      </w:r>
      <w:r w:rsidR="00F037C9">
        <w:rPr>
          <w:lang w:val="en-GB"/>
        </w:rPr>
        <w:t xml:space="preserve"> 34</w:t>
      </w:r>
      <w:r>
        <w:rPr>
          <w:lang w:val="en-GB"/>
        </w:rPr>
        <w:t>, the Committee may</w:t>
      </w:r>
      <w:r w:rsidR="00FB63C3">
        <w:rPr>
          <w:lang w:val="en-GB"/>
        </w:rPr>
        <w:t xml:space="preserve">, after seeking from </w:t>
      </w:r>
      <w:r w:rsidR="00C843D3">
        <w:rPr>
          <w:lang w:val="en-GB"/>
        </w:rPr>
        <w:t>a</w:t>
      </w:r>
      <w:r w:rsidR="00FB63C3">
        <w:rPr>
          <w:lang w:val="en-GB"/>
        </w:rPr>
        <w:t xml:space="preserve"> State party concerned all relevant information on the situation, urgently </w:t>
      </w:r>
      <w:r>
        <w:rPr>
          <w:lang w:val="en-GB"/>
        </w:rPr>
        <w:t>bring to the attention of the General Assembly</w:t>
      </w:r>
      <w:r w:rsidR="00FB63C3">
        <w:rPr>
          <w:lang w:val="en-GB"/>
        </w:rPr>
        <w:t xml:space="preserve">, through the Secretary </w:t>
      </w:r>
      <w:r w:rsidR="00383906">
        <w:rPr>
          <w:lang w:val="en-GB"/>
        </w:rPr>
        <w:t>G</w:t>
      </w:r>
      <w:r w:rsidR="00FB63C3">
        <w:rPr>
          <w:lang w:val="en-GB"/>
        </w:rPr>
        <w:t xml:space="preserve">eneral of the United Nations, a widespread or systematic practice of </w:t>
      </w:r>
      <w:r w:rsidR="00A5158A">
        <w:rPr>
          <w:lang w:val="en-GB"/>
        </w:rPr>
        <w:t>enforced disappearances falling within the scope of article 3</w:t>
      </w:r>
      <w:r w:rsidR="00790307">
        <w:rPr>
          <w:lang w:val="en-GB"/>
        </w:rPr>
        <w:t xml:space="preserve"> </w:t>
      </w:r>
      <w:r w:rsidR="00677323">
        <w:rPr>
          <w:lang w:val="en-GB"/>
        </w:rPr>
        <w:t>i</w:t>
      </w:r>
      <w:r w:rsidR="00790307">
        <w:rPr>
          <w:lang w:val="en-GB"/>
        </w:rPr>
        <w:t>n the territory under the jurisdiction of the State party.</w:t>
      </w:r>
    </w:p>
    <w:p w14:paraId="6B81FECE" w14:textId="54FED705" w:rsidR="001C2A89" w:rsidRDefault="001C2A89" w:rsidP="00AF5552">
      <w:pPr>
        <w:numPr>
          <w:ilvl w:val="0"/>
          <w:numId w:val="0"/>
        </w:numPr>
        <w:rPr>
          <w:lang w:val="en-GB"/>
        </w:rPr>
      </w:pPr>
    </w:p>
    <w:p w14:paraId="46647612" w14:textId="77777777" w:rsidR="0025631F" w:rsidRPr="00A40A5A" w:rsidRDefault="0025631F" w:rsidP="00AF5552">
      <w:pPr>
        <w:numPr>
          <w:ilvl w:val="0"/>
          <w:numId w:val="0"/>
        </w:numPr>
        <w:rPr>
          <w:lang w:val="en-US"/>
        </w:rPr>
      </w:pPr>
    </w:p>
    <w:p w14:paraId="68E22E07" w14:textId="480CAF1D" w:rsidR="0029339A" w:rsidRPr="00A40A5A" w:rsidRDefault="0029339A" w:rsidP="00AF5552">
      <w:pPr>
        <w:numPr>
          <w:ilvl w:val="0"/>
          <w:numId w:val="0"/>
        </w:numPr>
        <w:rPr>
          <w:lang w:val="en-US"/>
        </w:rPr>
      </w:pPr>
    </w:p>
    <w:p w14:paraId="0F6B9DBD" w14:textId="6B2A08C2" w:rsidR="004E55D2" w:rsidRPr="00A40A5A" w:rsidRDefault="004E55D2" w:rsidP="00AF5552">
      <w:pPr>
        <w:numPr>
          <w:ilvl w:val="0"/>
          <w:numId w:val="0"/>
        </w:numPr>
        <w:rPr>
          <w:lang w:val="en-US"/>
        </w:rPr>
      </w:pPr>
    </w:p>
    <w:p w14:paraId="3E4958B5" w14:textId="77777777" w:rsidR="00E230E1" w:rsidRPr="00A40A5A" w:rsidRDefault="00E230E1" w:rsidP="00AF5552">
      <w:pPr>
        <w:numPr>
          <w:ilvl w:val="0"/>
          <w:numId w:val="0"/>
        </w:numPr>
        <w:rPr>
          <w:lang w:val="en-US"/>
        </w:rPr>
      </w:pPr>
    </w:p>
    <w:p w14:paraId="46A4D70C" w14:textId="1E72DCCF" w:rsidR="004D4691" w:rsidRPr="00A40A5A" w:rsidRDefault="004D4691" w:rsidP="00AF5552">
      <w:pPr>
        <w:numPr>
          <w:ilvl w:val="0"/>
          <w:numId w:val="0"/>
        </w:numPr>
        <w:rPr>
          <w:lang w:val="en-US"/>
        </w:rPr>
      </w:pPr>
    </w:p>
    <w:p w14:paraId="7B56180F" w14:textId="77777777" w:rsidR="00CC634D" w:rsidRPr="00CC35EF" w:rsidRDefault="00CC634D" w:rsidP="00AF5552">
      <w:pPr>
        <w:numPr>
          <w:ilvl w:val="0"/>
          <w:numId w:val="0"/>
        </w:numPr>
        <w:rPr>
          <w:lang w:val="en-US"/>
        </w:rPr>
      </w:pPr>
    </w:p>
    <w:p w14:paraId="703B723B" w14:textId="77777777" w:rsidR="00CC634D" w:rsidRPr="00CC35EF" w:rsidRDefault="00CC634D" w:rsidP="00AF5552">
      <w:pPr>
        <w:numPr>
          <w:ilvl w:val="0"/>
          <w:numId w:val="0"/>
        </w:numPr>
        <w:rPr>
          <w:lang w:val="en-US"/>
        </w:rPr>
      </w:pPr>
    </w:p>
    <w:p w14:paraId="277FF492" w14:textId="77777777" w:rsidR="0052316A" w:rsidRPr="00CC35EF" w:rsidRDefault="0052316A" w:rsidP="00AF5552">
      <w:pPr>
        <w:numPr>
          <w:ilvl w:val="0"/>
          <w:numId w:val="0"/>
        </w:numPr>
        <w:rPr>
          <w:b/>
          <w:bCs/>
          <w:lang w:val="en-US"/>
        </w:rPr>
      </w:pPr>
    </w:p>
    <w:p w14:paraId="14EB0CE9" w14:textId="77777777" w:rsidR="00264614" w:rsidRPr="00CC35EF" w:rsidRDefault="00264614" w:rsidP="00AF5552">
      <w:pPr>
        <w:numPr>
          <w:ilvl w:val="0"/>
          <w:numId w:val="0"/>
        </w:numPr>
        <w:rPr>
          <w:lang w:val="en-US"/>
        </w:rPr>
      </w:pPr>
    </w:p>
    <w:p w14:paraId="2083A959" w14:textId="77777777" w:rsidR="001D7723" w:rsidRPr="00CC35EF" w:rsidRDefault="001D7723" w:rsidP="00AF5552">
      <w:pPr>
        <w:numPr>
          <w:ilvl w:val="0"/>
          <w:numId w:val="0"/>
        </w:numPr>
        <w:rPr>
          <w:lang w:val="en-US"/>
        </w:rPr>
      </w:pPr>
    </w:p>
    <w:sectPr w:rsidR="001D7723" w:rsidRPr="00CC35EF" w:rsidSect="004243D8">
      <w:headerReference w:type="default" r:id="rId7"/>
      <w:pgSz w:w="11900" w:h="16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5C88C" w14:textId="77777777" w:rsidR="003D5BF3" w:rsidRDefault="003D5BF3" w:rsidP="004F5280">
      <w:r>
        <w:separator/>
      </w:r>
    </w:p>
  </w:endnote>
  <w:endnote w:type="continuationSeparator" w:id="0">
    <w:p w14:paraId="0D8222CF" w14:textId="77777777" w:rsidR="003D5BF3" w:rsidRDefault="003D5BF3" w:rsidP="004F5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Lucida Grande">
    <w:panose1 w:val="020B0600040502020204"/>
    <w:charset w:val="00"/>
    <w:family w:val="swiss"/>
    <w:pitch w:val="variable"/>
    <w:sig w:usb0="E1000AEF" w:usb1="5000A1FF" w:usb2="00000000" w:usb3="00000000" w:csb0="000001BF" w:csb1="00000000"/>
  </w:font>
  <w:font w:name="Times Roman">
    <w:altName w:val="Times New Roman"/>
    <w:panose1 w:val="00000500000000020000"/>
    <w:charset w:val="00"/>
    <w:family w:val="auto"/>
    <w:pitch w:val="variable"/>
    <w:sig w:usb0="E00002FF" w:usb1="5000205A"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88F55" w14:textId="77777777" w:rsidR="003D5BF3" w:rsidRDefault="003D5BF3" w:rsidP="00264BD3">
      <w:pPr>
        <w:numPr>
          <w:ilvl w:val="0"/>
          <w:numId w:val="0"/>
        </w:numPr>
        <w:ind w:left="720"/>
      </w:pPr>
      <w:r>
        <w:separator/>
      </w:r>
    </w:p>
  </w:footnote>
  <w:footnote w:type="continuationSeparator" w:id="0">
    <w:p w14:paraId="1CD56180" w14:textId="77777777" w:rsidR="003D5BF3" w:rsidRDefault="003D5BF3" w:rsidP="00264BD3">
      <w:pPr>
        <w:numPr>
          <w:ilvl w:val="0"/>
          <w:numId w:val="0"/>
        </w:numPr>
        <w:ind w:left="720"/>
      </w:pPr>
      <w:r>
        <w:continuationSeparator/>
      </w:r>
    </w:p>
  </w:footnote>
  <w:footnote w:type="continuationNotice" w:id="1">
    <w:p w14:paraId="3E3618C4" w14:textId="77777777" w:rsidR="003D5BF3" w:rsidRDefault="003D5BF3" w:rsidP="00264BD3">
      <w:pPr>
        <w:numPr>
          <w:ilvl w:val="0"/>
          <w:numId w:val="0"/>
        </w:numPr>
        <w:spacing w:before="0" w:after="0" w:line="240" w:lineRule="auto"/>
        <w:ind w:left="720"/>
      </w:pPr>
    </w:p>
  </w:footnote>
  <w:footnote w:id="2">
    <w:p w14:paraId="1BF74518" w14:textId="7A596E7E" w:rsidR="00D3786C" w:rsidRPr="00ED78AB" w:rsidRDefault="00D3786C">
      <w:pPr>
        <w:pStyle w:val="Notedebasdepage"/>
        <w:rPr>
          <w:lang w:val="en-US"/>
        </w:rPr>
      </w:pPr>
      <w:r>
        <w:rPr>
          <w:rStyle w:val="Appelnotedebasdep"/>
        </w:rPr>
        <w:footnoteRef/>
      </w:r>
      <w:r w:rsidRPr="00ED78AB">
        <w:rPr>
          <w:lang w:val="en-US"/>
        </w:rPr>
        <w:t xml:space="preserve"> </w:t>
      </w:r>
      <w:r w:rsidR="00C40B81" w:rsidRPr="00145279">
        <w:rPr>
          <w:lang w:val="en-US"/>
        </w:rPr>
        <w:t xml:space="preserve">See </w:t>
      </w:r>
      <w:r w:rsidR="008A4BDC">
        <w:rPr>
          <w:lang w:val="en-US"/>
        </w:rPr>
        <w:t xml:space="preserve">inter alia </w:t>
      </w:r>
      <w:proofErr w:type="spellStart"/>
      <w:r w:rsidR="00470A98" w:rsidRPr="00431B82">
        <w:rPr>
          <w:lang w:val="en-US"/>
        </w:rPr>
        <w:t>IACtHR</w:t>
      </w:r>
      <w:proofErr w:type="spellEnd"/>
      <w:r w:rsidR="00470A98">
        <w:rPr>
          <w:lang w:val="en-US"/>
        </w:rPr>
        <w:t xml:space="preserve">, </w:t>
      </w:r>
      <w:r w:rsidR="003C7838">
        <w:rPr>
          <w:lang w:val="en-US"/>
        </w:rPr>
        <w:t>ju</w:t>
      </w:r>
      <w:r w:rsidR="00EB2884">
        <w:rPr>
          <w:lang w:val="en-US"/>
        </w:rPr>
        <w:t xml:space="preserve">dgement </w:t>
      </w:r>
      <w:r w:rsidR="00B94E94">
        <w:rPr>
          <w:lang w:val="en-US"/>
        </w:rPr>
        <w:t>of July 29, 1988 (Merits)</w:t>
      </w:r>
      <w:r w:rsidR="00083D88">
        <w:rPr>
          <w:lang w:val="en-US"/>
        </w:rPr>
        <w:t xml:space="preserve">, </w:t>
      </w:r>
      <w:r w:rsidR="00083D88">
        <w:rPr>
          <w:i/>
          <w:iCs/>
          <w:lang w:val="en-US"/>
        </w:rPr>
        <w:t xml:space="preserve">Case of </w:t>
      </w:r>
      <w:proofErr w:type="spellStart"/>
      <w:r w:rsidR="00083D88" w:rsidRPr="00D70BB9">
        <w:rPr>
          <w:i/>
          <w:iCs/>
          <w:lang w:val="en-US"/>
        </w:rPr>
        <w:t>Velásquez</w:t>
      </w:r>
      <w:r w:rsidR="00083D88">
        <w:rPr>
          <w:i/>
          <w:iCs/>
          <w:lang w:val="en-US"/>
        </w:rPr>
        <w:t>-Rodr</w:t>
      </w:r>
      <w:r w:rsidR="00F56454">
        <w:rPr>
          <w:i/>
          <w:iCs/>
          <w:lang w:val="en-US"/>
        </w:rPr>
        <w:t>í</w:t>
      </w:r>
      <w:r w:rsidR="00083D88">
        <w:rPr>
          <w:i/>
          <w:iCs/>
          <w:lang w:val="en-US"/>
        </w:rPr>
        <w:t>guez</w:t>
      </w:r>
      <w:proofErr w:type="spellEnd"/>
      <w:r w:rsidR="00083D88">
        <w:rPr>
          <w:i/>
          <w:iCs/>
          <w:lang w:val="en-US"/>
        </w:rPr>
        <w:t xml:space="preserve"> v. Honduras</w:t>
      </w:r>
      <w:r w:rsidR="00695698">
        <w:rPr>
          <w:lang w:val="en-US"/>
        </w:rPr>
        <w:t>, §§ 169-182;</w:t>
      </w:r>
      <w:r w:rsidR="0087655A">
        <w:rPr>
          <w:lang w:val="en-US"/>
        </w:rPr>
        <w:t xml:space="preserve"> </w:t>
      </w:r>
      <w:r w:rsidR="00310479">
        <w:rPr>
          <w:lang w:val="en-US"/>
        </w:rPr>
        <w:t xml:space="preserve">judgment of 31 January 2006 (Merits, Reparations and Costs), </w:t>
      </w:r>
      <w:r w:rsidR="00310479">
        <w:rPr>
          <w:i/>
          <w:iCs/>
          <w:lang w:val="en-US"/>
        </w:rPr>
        <w:t>Case of the Pueblo</w:t>
      </w:r>
      <w:r w:rsidR="00323004">
        <w:rPr>
          <w:i/>
          <w:iCs/>
          <w:lang w:val="en-US"/>
        </w:rPr>
        <w:t xml:space="preserve"> Bello</w:t>
      </w:r>
      <w:r w:rsidR="00310479">
        <w:rPr>
          <w:i/>
          <w:iCs/>
          <w:lang w:val="en-US"/>
        </w:rPr>
        <w:t xml:space="preserve"> Massacre v. </w:t>
      </w:r>
      <w:r w:rsidR="00310479" w:rsidRPr="00260937">
        <w:rPr>
          <w:lang w:val="en-US"/>
        </w:rPr>
        <w:t>Colombia</w:t>
      </w:r>
      <w:r w:rsidR="00310479">
        <w:rPr>
          <w:lang w:val="en-US"/>
        </w:rPr>
        <w:t xml:space="preserve">, § 123; </w:t>
      </w:r>
      <w:r w:rsidR="00310479" w:rsidRPr="00260937">
        <w:rPr>
          <w:lang w:val="en-US"/>
        </w:rPr>
        <w:t>judgment</w:t>
      </w:r>
      <w:r w:rsidR="00310479" w:rsidRPr="00431B82">
        <w:rPr>
          <w:lang w:val="en-US"/>
        </w:rPr>
        <w:t xml:space="preserve"> of 16 November 2009 (Preliminary objection, Merits, reparations and costs), </w:t>
      </w:r>
      <w:r w:rsidR="00310479" w:rsidRPr="00431B82">
        <w:rPr>
          <w:i/>
          <w:lang w:val="en-US"/>
        </w:rPr>
        <w:t xml:space="preserve">Case of González et al. </w:t>
      </w:r>
      <w:r w:rsidR="00310479" w:rsidRPr="00AC0A05">
        <w:rPr>
          <w:i/>
          <w:lang w:val="en-US"/>
        </w:rPr>
        <w:t xml:space="preserve">(« Cotton Field ») v. Mexico, </w:t>
      </w:r>
      <w:r w:rsidR="00310479" w:rsidRPr="00AC0A05">
        <w:rPr>
          <w:lang w:val="en-US"/>
        </w:rPr>
        <w:t>§ 280-283; judgment of November 19 2015</w:t>
      </w:r>
      <w:r w:rsidR="00310479">
        <w:rPr>
          <w:lang w:val="en-US"/>
        </w:rPr>
        <w:t xml:space="preserve">, (Preliminary objections, merits, reparations and costs), </w:t>
      </w:r>
      <w:r w:rsidR="00310479" w:rsidRPr="00D70BB9">
        <w:rPr>
          <w:i/>
          <w:iCs/>
          <w:lang w:val="en-US"/>
        </w:rPr>
        <w:t xml:space="preserve">Case of </w:t>
      </w:r>
      <w:proofErr w:type="spellStart"/>
      <w:r w:rsidR="00310479" w:rsidRPr="00D70BB9">
        <w:rPr>
          <w:i/>
          <w:iCs/>
          <w:lang w:val="en-US"/>
        </w:rPr>
        <w:t>Velásquez</w:t>
      </w:r>
      <w:proofErr w:type="spellEnd"/>
      <w:r w:rsidR="00310479" w:rsidRPr="00D70BB9">
        <w:rPr>
          <w:i/>
          <w:iCs/>
          <w:lang w:val="en-US"/>
        </w:rPr>
        <w:t xml:space="preserve"> </w:t>
      </w:r>
      <w:proofErr w:type="spellStart"/>
      <w:r w:rsidR="00310479" w:rsidRPr="00D70BB9">
        <w:rPr>
          <w:i/>
          <w:iCs/>
          <w:lang w:val="en-US"/>
        </w:rPr>
        <w:t>Paiz</w:t>
      </w:r>
      <w:proofErr w:type="spellEnd"/>
      <w:r w:rsidR="00310479" w:rsidRPr="00D70BB9">
        <w:rPr>
          <w:i/>
          <w:iCs/>
          <w:lang w:val="en-US"/>
        </w:rPr>
        <w:t xml:space="preserve"> et al. v. Guatemala</w:t>
      </w:r>
      <w:r w:rsidR="00310479">
        <w:rPr>
          <w:lang w:val="en-US"/>
        </w:rPr>
        <w:t>, § 109</w:t>
      </w:r>
      <w:r w:rsidR="00470A98">
        <w:rPr>
          <w:lang w:val="en-US"/>
        </w:rPr>
        <w:t xml:space="preserve">; ECtHR, </w:t>
      </w:r>
      <w:r w:rsidR="00470A98" w:rsidRPr="00FC5848">
        <w:rPr>
          <w:i/>
          <w:iCs/>
          <w:lang w:val="en-GB"/>
        </w:rPr>
        <w:t>Osman v. The United Kingdom</w:t>
      </w:r>
      <w:r w:rsidR="00470A98" w:rsidRPr="00FC5848">
        <w:rPr>
          <w:lang w:val="en-GB"/>
        </w:rPr>
        <w:t>, Judgment of 28 October 1998, Application No. 23452/94, paras 115-116</w:t>
      </w:r>
      <w:r w:rsidR="00161286">
        <w:rPr>
          <w:lang w:val="en-GB"/>
        </w:rPr>
        <w:t>;</w:t>
      </w:r>
      <w:r w:rsidR="00161286" w:rsidRPr="00FC5848">
        <w:rPr>
          <w:lang w:val="en-GB"/>
        </w:rPr>
        <w:t xml:space="preserve"> </w:t>
      </w:r>
      <w:proofErr w:type="spellStart"/>
      <w:r w:rsidR="00161286" w:rsidRPr="00FC5848">
        <w:rPr>
          <w:i/>
          <w:iCs/>
          <w:lang w:val="en-GB"/>
        </w:rPr>
        <w:t>Kiliç</w:t>
      </w:r>
      <w:proofErr w:type="spellEnd"/>
      <w:r w:rsidR="00161286" w:rsidRPr="00FC5848">
        <w:rPr>
          <w:i/>
          <w:iCs/>
          <w:lang w:val="en-GB"/>
        </w:rPr>
        <w:t xml:space="preserve"> v. Turkey</w:t>
      </w:r>
      <w:r w:rsidR="00161286" w:rsidRPr="00FC5848">
        <w:rPr>
          <w:lang w:val="en-GB"/>
        </w:rPr>
        <w:t>, Judgment of 28 March 2000, Application No. 22492/93, paras 62-63</w:t>
      </w:r>
      <w:r w:rsidR="008B0A99">
        <w:rPr>
          <w:lang w:val="en-GB"/>
        </w:rPr>
        <w:t>.</w:t>
      </w:r>
    </w:p>
  </w:footnote>
  <w:footnote w:id="3">
    <w:p w14:paraId="7BE858D9" w14:textId="254C26BC" w:rsidR="00212252" w:rsidRPr="002E7B0F" w:rsidRDefault="00145279" w:rsidP="00161AEA">
      <w:pPr>
        <w:pStyle w:val="Notedebasdepage"/>
        <w:rPr>
          <w:lang w:val="en-US"/>
        </w:rPr>
      </w:pPr>
      <w:r>
        <w:rPr>
          <w:rStyle w:val="Appelnotedebasdep"/>
        </w:rPr>
        <w:footnoteRef/>
      </w:r>
      <w:r w:rsidRPr="00145279">
        <w:rPr>
          <w:lang w:val="en-US"/>
        </w:rPr>
        <w:t xml:space="preserve"> See</w:t>
      </w:r>
      <w:r w:rsidR="00140AEC">
        <w:rPr>
          <w:lang w:val="en-US"/>
        </w:rPr>
        <w:t xml:space="preserve"> </w:t>
      </w:r>
      <w:r w:rsidRPr="00145279">
        <w:rPr>
          <w:lang w:val="en-US"/>
        </w:rPr>
        <w:t xml:space="preserve">ECtHR, judgment of 2 August 2005, </w:t>
      </w:r>
      <w:proofErr w:type="spellStart"/>
      <w:r w:rsidRPr="00145279">
        <w:rPr>
          <w:i/>
          <w:lang w:val="en-US"/>
        </w:rPr>
        <w:t>Taniş</w:t>
      </w:r>
      <w:proofErr w:type="spellEnd"/>
      <w:r w:rsidRPr="00145279">
        <w:rPr>
          <w:i/>
          <w:lang w:val="en-US"/>
        </w:rPr>
        <w:t xml:space="preserve"> and others v. Turkey</w:t>
      </w:r>
      <w:r w:rsidRPr="00145279">
        <w:rPr>
          <w:lang w:val="en-US"/>
        </w:rPr>
        <w:t xml:space="preserve"> (app. n° 65899/01), §§ 206-210 ; judgment of 31 July 2012, </w:t>
      </w:r>
      <w:r w:rsidRPr="00145279">
        <w:rPr>
          <w:i/>
          <w:lang w:val="en-US"/>
        </w:rPr>
        <w:t>Er and others v. Turkey</w:t>
      </w:r>
      <w:r w:rsidRPr="00145279">
        <w:rPr>
          <w:lang w:val="en-US"/>
        </w:rPr>
        <w:t xml:space="preserve"> (app. n° 23016/04), §§ 66-79 </w:t>
      </w:r>
      <w:r>
        <w:rPr>
          <w:lang w:val="en-US"/>
        </w:rPr>
        <w:t xml:space="preserve">; </w:t>
      </w:r>
      <w:r w:rsidRPr="00145279">
        <w:rPr>
          <w:lang w:val="en-US"/>
        </w:rPr>
        <w:t xml:space="preserve">judgment of 16 April 2013, </w:t>
      </w:r>
      <w:proofErr w:type="spellStart"/>
      <w:r w:rsidRPr="00145279">
        <w:rPr>
          <w:i/>
          <w:lang w:val="en-US"/>
        </w:rPr>
        <w:t>Meryem</w:t>
      </w:r>
      <w:proofErr w:type="spellEnd"/>
      <w:r w:rsidRPr="00145279">
        <w:rPr>
          <w:i/>
          <w:lang w:val="en-US"/>
        </w:rPr>
        <w:t xml:space="preserve"> </w:t>
      </w:r>
      <w:proofErr w:type="spellStart"/>
      <w:r w:rsidRPr="00145279">
        <w:rPr>
          <w:i/>
          <w:lang w:val="en-US"/>
        </w:rPr>
        <w:t>Çelik</w:t>
      </w:r>
      <w:proofErr w:type="spellEnd"/>
      <w:r w:rsidRPr="00145279">
        <w:rPr>
          <w:i/>
          <w:lang w:val="en-US"/>
        </w:rPr>
        <w:t xml:space="preserve"> and others v. Turkey</w:t>
      </w:r>
      <w:r w:rsidRPr="00145279">
        <w:rPr>
          <w:lang w:val="en-US"/>
        </w:rPr>
        <w:t xml:space="preserve"> (app. n° 3598/03), §§ 48-60 ; judgment of 9 November 2006, </w:t>
      </w:r>
      <w:proofErr w:type="spellStart"/>
      <w:r w:rsidRPr="00145279">
        <w:rPr>
          <w:i/>
          <w:lang w:val="en-US"/>
        </w:rPr>
        <w:t>Imakayeva</w:t>
      </w:r>
      <w:proofErr w:type="spellEnd"/>
      <w:r w:rsidRPr="00145279">
        <w:rPr>
          <w:i/>
          <w:lang w:val="en-US"/>
        </w:rPr>
        <w:t xml:space="preserve"> v. Russia</w:t>
      </w:r>
      <w:r w:rsidRPr="00145279">
        <w:rPr>
          <w:lang w:val="en-US"/>
        </w:rPr>
        <w:t xml:space="preserve"> (app. n° 7615/02), §§ 139-143 ; judgment of 3 July 2008, </w:t>
      </w:r>
      <w:proofErr w:type="spellStart"/>
      <w:r w:rsidRPr="00145279">
        <w:rPr>
          <w:i/>
          <w:iCs/>
          <w:lang w:val="en-US"/>
        </w:rPr>
        <w:t>Musayeva</w:t>
      </w:r>
      <w:proofErr w:type="spellEnd"/>
      <w:r w:rsidRPr="00145279">
        <w:rPr>
          <w:i/>
          <w:iCs/>
          <w:lang w:val="en-US"/>
        </w:rPr>
        <w:t xml:space="preserve"> v. Russia </w:t>
      </w:r>
      <w:r w:rsidRPr="00145279">
        <w:rPr>
          <w:lang w:val="en-US"/>
        </w:rPr>
        <w:t xml:space="preserve">(app. n° 12703/02), §§ 95-107 ; judgment of 28 August 2018, </w:t>
      </w:r>
      <w:proofErr w:type="spellStart"/>
      <w:r w:rsidRPr="00145279">
        <w:rPr>
          <w:i/>
          <w:lang w:val="en-US"/>
        </w:rPr>
        <w:t>Alikhanovy</w:t>
      </w:r>
      <w:proofErr w:type="spellEnd"/>
      <w:r w:rsidRPr="00145279">
        <w:rPr>
          <w:i/>
          <w:lang w:val="en-US"/>
        </w:rPr>
        <w:t xml:space="preserve"> v</w:t>
      </w:r>
      <w:r w:rsidRPr="00145279">
        <w:rPr>
          <w:lang w:val="en-US"/>
        </w:rPr>
        <w:t xml:space="preserve">. </w:t>
      </w:r>
      <w:r w:rsidRPr="00145279">
        <w:rPr>
          <w:i/>
          <w:lang w:val="en-US"/>
        </w:rPr>
        <w:t xml:space="preserve">Russia </w:t>
      </w:r>
      <w:r w:rsidRPr="00145279">
        <w:rPr>
          <w:lang w:val="en-US"/>
        </w:rPr>
        <w:t xml:space="preserve">(app. n° 17054/06), §§ 70-75 ; judgment of 2 October 2018, </w:t>
      </w:r>
      <w:proofErr w:type="spellStart"/>
      <w:r w:rsidRPr="00145279">
        <w:rPr>
          <w:i/>
          <w:lang w:val="en-US"/>
        </w:rPr>
        <w:t>Tsakoyevy</w:t>
      </w:r>
      <w:proofErr w:type="spellEnd"/>
      <w:r w:rsidRPr="00145279">
        <w:rPr>
          <w:i/>
          <w:lang w:val="en-US"/>
        </w:rPr>
        <w:t xml:space="preserve"> v. Russia</w:t>
      </w:r>
      <w:r w:rsidRPr="00145279">
        <w:rPr>
          <w:lang w:val="en-US"/>
        </w:rPr>
        <w:t xml:space="preserve"> (app. n° 16397/07), §§ 115-121</w:t>
      </w:r>
      <w:r w:rsidR="003F3D23">
        <w:rPr>
          <w:lang w:val="en-US"/>
        </w:rPr>
        <w:t>.</w:t>
      </w:r>
      <w:r w:rsidRPr="00C51B57">
        <w:rPr>
          <w:lang w:val="en-US"/>
        </w:rPr>
        <w:t xml:space="preserve">HRCttee, </w:t>
      </w:r>
      <w:r w:rsidRPr="00C51B57">
        <w:rPr>
          <w:i/>
          <w:lang w:val="en-US" w:eastAsia="ja-JP"/>
        </w:rPr>
        <w:t xml:space="preserve">María Eugenia Padilla García, Ricardo Ulises </w:t>
      </w:r>
      <w:proofErr w:type="spellStart"/>
      <w:r w:rsidRPr="00C51B57">
        <w:rPr>
          <w:i/>
          <w:lang w:val="en-US" w:eastAsia="ja-JP"/>
        </w:rPr>
        <w:t>Téllez</w:t>
      </w:r>
      <w:proofErr w:type="spellEnd"/>
      <w:r w:rsidRPr="00C51B57">
        <w:rPr>
          <w:i/>
          <w:lang w:val="en-US" w:eastAsia="ja-JP"/>
        </w:rPr>
        <w:t xml:space="preserve"> Padilla and María Eugenia </w:t>
      </w:r>
      <w:proofErr w:type="spellStart"/>
      <w:r w:rsidRPr="00C51B57">
        <w:rPr>
          <w:i/>
          <w:lang w:val="en-US" w:eastAsia="ja-JP"/>
        </w:rPr>
        <w:t>Zaldívar</w:t>
      </w:r>
      <w:proofErr w:type="spellEnd"/>
      <w:r w:rsidRPr="00C51B57">
        <w:rPr>
          <w:i/>
          <w:lang w:val="en-US" w:eastAsia="ja-JP"/>
        </w:rPr>
        <w:t xml:space="preserve"> Padilla v. Mexico</w:t>
      </w:r>
      <w:r w:rsidRPr="00C51B57">
        <w:rPr>
          <w:lang w:val="en-US" w:eastAsia="ja-JP"/>
        </w:rPr>
        <w:t>, 15 July 2019, comm.  2750/2016</w:t>
      </w:r>
      <w:r w:rsidR="0057036B">
        <w:rPr>
          <w:lang w:val="en-US" w:eastAsia="ja-JP"/>
        </w:rPr>
        <w:t>, § 9.4</w:t>
      </w:r>
      <w:r w:rsidRPr="00C51B57">
        <w:rPr>
          <w:lang w:val="en-US" w:eastAsia="ja-JP"/>
        </w:rPr>
        <w:t xml:space="preserve">; </w:t>
      </w:r>
      <w:proofErr w:type="spellStart"/>
      <w:r w:rsidRPr="00C51B57">
        <w:rPr>
          <w:i/>
          <w:lang w:val="en-US"/>
        </w:rPr>
        <w:t>Midiam</w:t>
      </w:r>
      <w:proofErr w:type="spellEnd"/>
      <w:r w:rsidRPr="00C51B57">
        <w:rPr>
          <w:i/>
          <w:lang w:val="en-US"/>
        </w:rPr>
        <w:t xml:space="preserve"> </w:t>
      </w:r>
      <w:proofErr w:type="spellStart"/>
      <w:r w:rsidRPr="00C51B57">
        <w:rPr>
          <w:i/>
          <w:lang w:val="en-US"/>
        </w:rPr>
        <w:t>Iricelda</w:t>
      </w:r>
      <w:proofErr w:type="spellEnd"/>
      <w:r w:rsidRPr="00C51B57">
        <w:rPr>
          <w:i/>
          <w:lang w:val="en-US"/>
        </w:rPr>
        <w:t xml:space="preserve"> Valdez </w:t>
      </w:r>
      <w:proofErr w:type="spellStart"/>
      <w:r w:rsidRPr="00C51B57">
        <w:rPr>
          <w:i/>
          <w:lang w:val="en-US"/>
        </w:rPr>
        <w:t>Cantú</w:t>
      </w:r>
      <w:proofErr w:type="spellEnd"/>
      <w:r w:rsidRPr="00C51B57">
        <w:rPr>
          <w:i/>
          <w:lang w:val="en-US"/>
        </w:rPr>
        <w:t xml:space="preserve"> and María Hortencia Rivas Rodríguez v. Mexico</w:t>
      </w:r>
      <w:r w:rsidRPr="00C51B57">
        <w:rPr>
          <w:lang w:val="en-US"/>
        </w:rPr>
        <w:t>, 24 October 2019, comm.  2766/2016</w:t>
      </w:r>
      <w:r w:rsidR="002F6424">
        <w:rPr>
          <w:lang w:val="en-US"/>
        </w:rPr>
        <w:t xml:space="preserve">, </w:t>
      </w:r>
      <w:r w:rsidR="00347E12">
        <w:rPr>
          <w:lang w:val="en-US"/>
        </w:rPr>
        <w:t xml:space="preserve">§ </w:t>
      </w:r>
      <w:r w:rsidR="002F6424">
        <w:rPr>
          <w:lang w:val="en-US"/>
        </w:rPr>
        <w:t>12.4</w:t>
      </w:r>
      <w:r w:rsidR="00347E12">
        <w:rPr>
          <w:lang w:val="en-US"/>
        </w:rPr>
        <w:t>; Irma Leticia Hidalgo Rea v. Mexico, 25 March 2021, comm. 3259/2018, § 9.3.</w:t>
      </w:r>
    </w:p>
  </w:footnote>
  <w:footnote w:id="4">
    <w:p w14:paraId="6C04FD81" w14:textId="684B1031" w:rsidR="00840A00" w:rsidRPr="00673831" w:rsidRDefault="00840A00">
      <w:pPr>
        <w:pStyle w:val="Notedebasdepage"/>
        <w:rPr>
          <w:lang w:val="en-US"/>
        </w:rPr>
      </w:pPr>
      <w:r>
        <w:rPr>
          <w:rStyle w:val="Appelnotedebasdep"/>
        </w:rPr>
        <w:footnoteRef/>
      </w:r>
      <w:r w:rsidRPr="00840A00">
        <w:rPr>
          <w:lang w:val="en-US"/>
        </w:rPr>
        <w:t xml:space="preserve"> </w:t>
      </w:r>
      <w:r w:rsidRPr="00673831">
        <w:rPr>
          <w:lang w:val="en-US"/>
        </w:rPr>
        <w:t xml:space="preserve">See </w:t>
      </w:r>
      <w:proofErr w:type="spellStart"/>
      <w:r w:rsidRPr="00673831">
        <w:rPr>
          <w:lang w:val="en-US"/>
        </w:rPr>
        <w:t>IACtHR</w:t>
      </w:r>
      <w:proofErr w:type="spellEnd"/>
      <w:r w:rsidRPr="00673831">
        <w:rPr>
          <w:lang w:val="en-US"/>
        </w:rPr>
        <w:t xml:space="preserve">, judgment of 5 July 2004 (Merits, Reparations and Costs), </w:t>
      </w:r>
      <w:r w:rsidRPr="00673831">
        <w:rPr>
          <w:i/>
          <w:lang w:val="en-US"/>
        </w:rPr>
        <w:t>case of the 19 Merchants v. Colombia</w:t>
      </w:r>
      <w:r w:rsidRPr="00673831">
        <w:rPr>
          <w:lang w:val="en-US"/>
        </w:rPr>
        <w:t xml:space="preserve">; judgment of September 15, 2005 (Merits, Reparations, and Costs), </w:t>
      </w:r>
      <w:r w:rsidRPr="00673831">
        <w:rPr>
          <w:i/>
          <w:lang w:val="en-US"/>
        </w:rPr>
        <w:t>case of the ‘</w:t>
      </w:r>
      <w:proofErr w:type="spellStart"/>
      <w:r w:rsidRPr="00673831">
        <w:rPr>
          <w:i/>
          <w:lang w:val="en-US"/>
        </w:rPr>
        <w:t>Mapiripán</w:t>
      </w:r>
      <w:proofErr w:type="spellEnd"/>
      <w:r w:rsidRPr="00673831">
        <w:rPr>
          <w:i/>
          <w:lang w:val="en-US"/>
        </w:rPr>
        <w:t xml:space="preserve"> Massacre’ v. Colombia</w:t>
      </w:r>
      <w:r w:rsidR="00673831">
        <w:rPr>
          <w:lang w:val="en-US"/>
        </w:rPr>
        <w:t xml:space="preserve">; </w:t>
      </w:r>
      <w:proofErr w:type="spellStart"/>
      <w:r w:rsidR="00673831" w:rsidRPr="00673831">
        <w:rPr>
          <w:lang w:val="en-US"/>
        </w:rPr>
        <w:t>HRCttee</w:t>
      </w:r>
      <w:proofErr w:type="spellEnd"/>
      <w:r w:rsidR="00673831" w:rsidRPr="00673831">
        <w:rPr>
          <w:lang w:val="en-US"/>
        </w:rPr>
        <w:t xml:space="preserve">, </w:t>
      </w:r>
      <w:r w:rsidR="00673831" w:rsidRPr="00673831">
        <w:rPr>
          <w:i/>
          <w:lang w:val="en-US"/>
        </w:rPr>
        <w:t>Rosa Maria Serna et al.</w:t>
      </w:r>
      <w:r w:rsidR="00673831" w:rsidRPr="00673831">
        <w:rPr>
          <w:lang w:val="en-US"/>
        </w:rPr>
        <w:t>, 9 July 2015, comm.</w:t>
      </w:r>
      <w:r w:rsidR="00BE29D0">
        <w:rPr>
          <w:lang w:val="en-US"/>
        </w:rPr>
        <w:t xml:space="preserve"> </w:t>
      </w:r>
      <w:r w:rsidR="00673831" w:rsidRPr="00673831">
        <w:rPr>
          <w:lang w:val="en-US"/>
        </w:rPr>
        <w:t>2134/2012.</w:t>
      </w:r>
    </w:p>
  </w:footnote>
  <w:footnote w:id="5">
    <w:p w14:paraId="7A5E2CE2" w14:textId="51724D81" w:rsidR="00840A00" w:rsidRPr="00840A00" w:rsidRDefault="00840A00">
      <w:pPr>
        <w:pStyle w:val="Notedebasdepage"/>
        <w:rPr>
          <w:lang w:val="en-US"/>
        </w:rPr>
      </w:pPr>
      <w:r>
        <w:rPr>
          <w:rStyle w:val="Appelnotedebasdep"/>
        </w:rPr>
        <w:footnoteRef/>
      </w:r>
      <w:r w:rsidRPr="00840A00">
        <w:rPr>
          <w:lang w:val="en-US"/>
        </w:rPr>
        <w:t xml:space="preserve"> </w:t>
      </w:r>
      <w:proofErr w:type="spellStart"/>
      <w:r w:rsidRPr="00840A00">
        <w:rPr>
          <w:lang w:val="en-US"/>
        </w:rPr>
        <w:t>IACtHR</w:t>
      </w:r>
      <w:proofErr w:type="spellEnd"/>
      <w:r w:rsidRPr="00840A00">
        <w:rPr>
          <w:lang w:val="en-US"/>
        </w:rPr>
        <w:t xml:space="preserve">, judgement of 24 January 1998, </w:t>
      </w:r>
      <w:r w:rsidRPr="00840A00">
        <w:rPr>
          <w:i/>
          <w:lang w:val="en-US"/>
        </w:rPr>
        <w:t>Blake case v. Guatemala</w:t>
      </w:r>
      <w:r w:rsidRPr="00840A00">
        <w:rPr>
          <w:lang w:val="en-US"/>
        </w:rPr>
        <w:t>, §§ 76 and 78.</w:t>
      </w:r>
    </w:p>
  </w:footnote>
  <w:footnote w:id="6">
    <w:p w14:paraId="155F6C21" w14:textId="29141AEA" w:rsidR="008F6787" w:rsidRPr="008F6787" w:rsidRDefault="008F6787">
      <w:pPr>
        <w:pStyle w:val="Notedebasdepage"/>
        <w:rPr>
          <w:lang w:val="en-US"/>
        </w:rPr>
      </w:pPr>
      <w:r>
        <w:rPr>
          <w:rStyle w:val="Appelnotedebasdep"/>
        </w:rPr>
        <w:footnoteRef/>
      </w:r>
      <w:r w:rsidRPr="008F6787">
        <w:rPr>
          <w:lang w:val="en-US"/>
        </w:rPr>
        <w:t xml:space="preserve"> </w:t>
      </w:r>
      <w:r w:rsidR="009A347F">
        <w:rPr>
          <w:lang w:val="en-US"/>
        </w:rPr>
        <w:t>R</w:t>
      </w:r>
      <w:r w:rsidRPr="008F6787">
        <w:rPr>
          <w:lang w:val="en-US"/>
        </w:rPr>
        <w:t>eport of the intersessional open-ended Working Group to elaborate a draft legally binding normative instrument for the protection of all persons from enforced disappearance (</w:t>
      </w:r>
      <w:proofErr w:type="gramStart"/>
      <w:r w:rsidRPr="008F6787">
        <w:rPr>
          <w:lang w:val="en-US"/>
        </w:rPr>
        <w:t>thereafter :</w:t>
      </w:r>
      <w:proofErr w:type="gramEnd"/>
      <w:r w:rsidRPr="008F6787">
        <w:rPr>
          <w:lang w:val="en-US"/>
        </w:rPr>
        <w:t xml:space="preserve"> the Drafting Working Group), first session (January 2003), E/CN.4/2003/71, § 35</w:t>
      </w:r>
      <w:r>
        <w:rPr>
          <w:lang w:val="en-US"/>
        </w:rPr>
        <w:t xml:space="preserve">; </w:t>
      </w:r>
      <w:r w:rsidRPr="008F6787">
        <w:rPr>
          <w:lang w:val="en-US"/>
        </w:rPr>
        <w:t>report of the Drafting Working Group, first session (January 2003), E/CN.4/2003/71, § 39 ; and second session (January 2004), E/CN4./2004/59, § 17.</w:t>
      </w:r>
    </w:p>
  </w:footnote>
  <w:footnote w:id="7">
    <w:p w14:paraId="6EA62884" w14:textId="2C85FB78" w:rsidR="00F92E43" w:rsidRPr="00F92E43" w:rsidRDefault="00F92E43">
      <w:pPr>
        <w:pStyle w:val="Notedebasdepage"/>
        <w:rPr>
          <w:lang w:val="en-US"/>
        </w:rPr>
      </w:pPr>
      <w:r>
        <w:rPr>
          <w:rStyle w:val="Appelnotedebasdep"/>
        </w:rPr>
        <w:footnoteRef/>
      </w:r>
      <w:r w:rsidRPr="00F92E43">
        <w:rPr>
          <w:lang w:val="en-US"/>
        </w:rPr>
        <w:t xml:space="preserve"> Drafting Working Group, fifth session (September 2005), E/CN.4/2006/57, §</w:t>
      </w:r>
      <w:proofErr w:type="gramStart"/>
      <w:r w:rsidRPr="00F92E43">
        <w:rPr>
          <w:lang w:val="en-US"/>
        </w:rPr>
        <w:t>13 :</w:t>
      </w:r>
      <w:proofErr w:type="gramEnd"/>
      <w:r w:rsidRPr="00F92E43">
        <w:rPr>
          <w:lang w:val="en-US"/>
        </w:rPr>
        <w:t xml:space="preserve"> « Many delegations suggested replacing the words ‘enforced disappearances’ by a reference to acts or conduct described or defined in article 1, in order to highlight the fact that disappearances committed by non-</w:t>
      </w:r>
      <w:r w:rsidR="00F6307D">
        <w:rPr>
          <w:lang w:val="en-US"/>
        </w:rPr>
        <w:t>State</w:t>
      </w:r>
      <w:r w:rsidRPr="00F92E43">
        <w:rPr>
          <w:lang w:val="en-US"/>
        </w:rPr>
        <w:t xml:space="preserve"> actors are not of the same nature as those committed by agents of the State and fall outside the sphere of application of article 1. ».</w:t>
      </w:r>
    </w:p>
  </w:footnote>
  <w:footnote w:id="8">
    <w:p w14:paraId="3A3FCCE1" w14:textId="278A01EF" w:rsidR="002E3756" w:rsidRPr="002E3756" w:rsidRDefault="002E3756">
      <w:pPr>
        <w:pStyle w:val="Notedebasdepage"/>
        <w:rPr>
          <w:lang w:val="en-US"/>
        </w:rPr>
      </w:pPr>
      <w:r>
        <w:rPr>
          <w:rStyle w:val="Appelnotedebasdep"/>
        </w:rPr>
        <w:footnoteRef/>
      </w:r>
      <w:r w:rsidRPr="002E3756">
        <w:rPr>
          <w:lang w:val="en-US"/>
        </w:rPr>
        <w:t xml:space="preserve"> </w:t>
      </w:r>
      <w:r>
        <w:rPr>
          <w:lang w:val="en-US"/>
        </w:rPr>
        <w:t xml:space="preserve">See concluding observations </w:t>
      </w:r>
      <w:r w:rsidR="0067653C">
        <w:rPr>
          <w:lang w:val="en-US"/>
        </w:rPr>
        <w:t xml:space="preserve">on </w:t>
      </w:r>
      <w:proofErr w:type="spellStart"/>
      <w:r w:rsidR="0067653C">
        <w:rPr>
          <w:lang w:val="en-US"/>
        </w:rPr>
        <w:t>Irak</w:t>
      </w:r>
      <w:proofErr w:type="spellEnd"/>
      <w:r w:rsidR="0067653C">
        <w:rPr>
          <w:lang w:val="en-US"/>
        </w:rPr>
        <w:t>, CED/C/IRQ/CO/1, §§ 22-23</w:t>
      </w:r>
      <w:r w:rsidR="008747D4">
        <w:rPr>
          <w:lang w:val="en-US"/>
        </w:rPr>
        <w:t xml:space="preserve"> and CED/C/IRQ/OAI/1, §§ 8-9</w:t>
      </w:r>
      <w:r w:rsidR="0067653C">
        <w:rPr>
          <w:lang w:val="en-US"/>
        </w:rPr>
        <w:t xml:space="preserve">; </w:t>
      </w:r>
      <w:r w:rsidR="007D7251">
        <w:rPr>
          <w:lang w:val="en-US"/>
        </w:rPr>
        <w:t>Colombia, CED/C/COL/CO/1, §§ 23-24</w:t>
      </w:r>
      <w:r w:rsidR="0098153A">
        <w:rPr>
          <w:lang w:val="en-US"/>
        </w:rPr>
        <w:t xml:space="preserve"> and CED/C/COL/OAI/1, §§ 22-23; </w:t>
      </w:r>
      <w:r w:rsidR="0067653C">
        <w:rPr>
          <w:lang w:val="en-US"/>
        </w:rPr>
        <w:t>Mexico</w:t>
      </w:r>
      <w:r w:rsidR="007D7251">
        <w:rPr>
          <w:lang w:val="en-US"/>
        </w:rPr>
        <w:t>, CED/C/MEX/CO/1, §§ 23-24</w:t>
      </w:r>
      <w:r w:rsidR="00B436FD">
        <w:rPr>
          <w:lang w:val="en-US"/>
        </w:rPr>
        <w:t xml:space="preserve"> and CED/C/MEX/FAI/1, §§ 10-11</w:t>
      </w:r>
      <w:r w:rsidR="00372691">
        <w:rPr>
          <w:lang w:val="en-US"/>
        </w:rPr>
        <w:t xml:space="preserve">; </w:t>
      </w:r>
      <w:r w:rsidR="005A667A">
        <w:rPr>
          <w:lang w:val="en-US"/>
        </w:rPr>
        <w:t>Gabon,</w:t>
      </w:r>
      <w:r w:rsidR="00576642">
        <w:rPr>
          <w:lang w:val="en-US"/>
        </w:rPr>
        <w:t xml:space="preserve"> CED/C/GAB/CO/1, §§ 19-20; </w:t>
      </w:r>
      <w:r w:rsidR="003F62C5">
        <w:rPr>
          <w:lang w:val="en-US"/>
        </w:rPr>
        <w:t xml:space="preserve">Honduras, CED/C/HND/CO/1, §§ 28-29; </w:t>
      </w:r>
      <w:r w:rsidR="0085229F">
        <w:rPr>
          <w:lang w:val="en-US"/>
        </w:rPr>
        <w:t xml:space="preserve">Panama, CED/C/PAN/CO/1, §§ 12-13; </w:t>
      </w:r>
      <w:r w:rsidR="003F62C5">
        <w:rPr>
          <w:lang w:val="en-US"/>
        </w:rPr>
        <w:t>Niger, CED/C/NER/CO/1, §§ 18-19; Greece, CED/C/GRC/CO/1, §§ 26-27.</w:t>
      </w:r>
    </w:p>
  </w:footnote>
  <w:footnote w:id="9">
    <w:p w14:paraId="0C36638E" w14:textId="77777777" w:rsidR="001E6406" w:rsidRPr="00121D72" w:rsidRDefault="001E6406" w:rsidP="001E6406">
      <w:pPr>
        <w:pStyle w:val="Notedebasdepage"/>
        <w:rPr>
          <w:lang w:val="en-US"/>
        </w:rPr>
      </w:pPr>
      <w:r>
        <w:rPr>
          <w:rStyle w:val="Appelnotedebasdep"/>
        </w:rPr>
        <w:footnoteRef/>
      </w:r>
      <w:r w:rsidRPr="003A244A">
        <w:rPr>
          <w:lang w:val="en-US"/>
        </w:rPr>
        <w:t xml:space="preserve"> </w:t>
      </w:r>
      <w:r>
        <w:rPr>
          <w:lang w:val="en-US"/>
        </w:rPr>
        <w:t xml:space="preserve">See also </w:t>
      </w:r>
      <w:r>
        <w:rPr>
          <w:i/>
          <w:iCs/>
          <w:lang w:val="en-US"/>
        </w:rPr>
        <w:t>Report of the Working Group on Enforced or Involuntary Disappearances. Addendum. Best practices on enforced disappearances in domestic criminal legislation</w:t>
      </w:r>
      <w:r>
        <w:rPr>
          <w:lang w:val="en-US"/>
        </w:rPr>
        <w:t>, A/HRC/16/48/Add.3, § 13-15: at that time the WGEID noted that 45 States had criminalized enforced disappearance as a crime against humanity following the definition provided for in article 7 of the Rome Statute. The Working Group encouraged more States to ratify the Rome Statute and to transpose crimes of the ICC Statute into domestic law, while reiterating its reservations on the specific definition of enforced disappearances in the Rome Statute, and recommending that it be interpreted by the national authorities in line with the more adequate provisions of article 2 of the ICPPED.</w:t>
      </w:r>
    </w:p>
  </w:footnote>
  <w:footnote w:id="10">
    <w:p w14:paraId="1D95FD01" w14:textId="77777777" w:rsidR="001E6406" w:rsidRPr="006462D0" w:rsidRDefault="001E6406" w:rsidP="001E6406">
      <w:pPr>
        <w:pStyle w:val="Notedebasdepage"/>
        <w:rPr>
          <w:lang w:val="en-US"/>
        </w:rPr>
      </w:pPr>
      <w:r>
        <w:rPr>
          <w:rStyle w:val="Appelnotedebasdep"/>
        </w:rPr>
        <w:footnoteRef/>
      </w:r>
      <w:r w:rsidRPr="006462D0">
        <w:rPr>
          <w:lang w:val="en-US"/>
        </w:rPr>
        <w:t xml:space="preserve"> See </w:t>
      </w:r>
      <w:r w:rsidRPr="006462D0">
        <w:rPr>
          <w:i/>
          <w:iCs/>
          <w:lang w:val="en-US"/>
        </w:rPr>
        <w:t>Regulation n° 2000/15 of the United Nations Transitional Administration in East Timor (UNTAET)</w:t>
      </w:r>
      <w:r w:rsidRPr="006462D0">
        <w:rPr>
          <w:lang w:val="en-US"/>
        </w:rPr>
        <w:t xml:space="preserve">, on the establishment of panels with exclusive jurisdiction over serious criminal offences, 6 June 2000, sections 5(1) and 5(2)(h) ; </w:t>
      </w:r>
      <w:r w:rsidRPr="006462D0">
        <w:rPr>
          <w:i/>
          <w:iCs/>
          <w:lang w:val="en-US"/>
        </w:rPr>
        <w:t>Statute of the Extraordinary African Chambers within the Senegalese courts</w:t>
      </w:r>
      <w:r w:rsidRPr="006462D0">
        <w:rPr>
          <w:lang w:val="en-US"/>
        </w:rPr>
        <w:t xml:space="preserve">, annexed to the agreement signed between the African Union and the Government of the Republic of Senegal, 22 August 2012, art. 6(f); </w:t>
      </w:r>
      <w:r w:rsidRPr="006462D0">
        <w:rPr>
          <w:i/>
          <w:iCs/>
          <w:lang w:val="en-US"/>
        </w:rPr>
        <w:t>Law n° 10.001 on the Central African Penal Code</w:t>
      </w:r>
      <w:r w:rsidRPr="006462D0">
        <w:rPr>
          <w:lang w:val="en-US"/>
        </w:rPr>
        <w:t xml:space="preserve">, art. 153 and </w:t>
      </w:r>
      <w:r w:rsidRPr="006462D0">
        <w:rPr>
          <w:i/>
          <w:iCs/>
          <w:lang w:val="en-US"/>
        </w:rPr>
        <w:t xml:space="preserve">Organic Law n° 15-003 on the creation, </w:t>
      </w:r>
      <w:proofErr w:type="spellStart"/>
      <w:r w:rsidRPr="006462D0">
        <w:rPr>
          <w:i/>
          <w:iCs/>
          <w:lang w:val="en-US"/>
        </w:rPr>
        <w:t>organisation</w:t>
      </w:r>
      <w:proofErr w:type="spellEnd"/>
      <w:r w:rsidRPr="006462D0">
        <w:rPr>
          <w:i/>
          <w:iCs/>
          <w:lang w:val="en-US"/>
        </w:rPr>
        <w:t xml:space="preserve"> and functioning of the Special Criminal Court in the Central African Republic</w:t>
      </w:r>
      <w:r w:rsidRPr="006462D0">
        <w:rPr>
          <w:lang w:val="en-US"/>
        </w:rPr>
        <w:t xml:space="preserve">, 2015 ; </w:t>
      </w:r>
      <w:r w:rsidRPr="006462D0">
        <w:rPr>
          <w:i/>
          <w:iCs/>
          <w:lang w:val="en-US"/>
        </w:rPr>
        <w:t>Law n° 05/L-053 on Specialist Chambers and Specialist Prosecutor’s Office of the Assembly of Republic of Kosovo</w:t>
      </w:r>
      <w:r w:rsidRPr="006462D0">
        <w:rPr>
          <w:lang w:val="en-US"/>
        </w:rPr>
        <w:t>, 3 August 2015, art. 13(1)(</w:t>
      </w:r>
      <w:proofErr w:type="spellStart"/>
      <w:r w:rsidRPr="006462D0">
        <w:rPr>
          <w:lang w:val="en-US"/>
        </w:rPr>
        <w:t>i</w:t>
      </w:r>
      <w:proofErr w:type="spellEnd"/>
      <w:r w:rsidRPr="006462D0">
        <w:rPr>
          <w:lang w:val="en-US"/>
        </w:rPr>
        <w:t>).</w:t>
      </w:r>
    </w:p>
  </w:footnote>
  <w:footnote w:id="11">
    <w:p w14:paraId="1E17CE9B" w14:textId="77777777" w:rsidR="001E6406" w:rsidRPr="006462D0" w:rsidRDefault="001E6406" w:rsidP="001E6406">
      <w:pPr>
        <w:pStyle w:val="Notedebasdepage"/>
        <w:rPr>
          <w:lang w:val="en-US"/>
        </w:rPr>
      </w:pPr>
      <w:r>
        <w:rPr>
          <w:rStyle w:val="Appelnotedebasdep"/>
        </w:rPr>
        <w:footnoteRef/>
      </w:r>
      <w:r w:rsidRPr="006462D0">
        <w:rPr>
          <w:lang w:val="en-US"/>
        </w:rPr>
        <w:t xml:space="preserve"> ICTY, </w:t>
      </w:r>
      <w:r w:rsidRPr="006462D0">
        <w:rPr>
          <w:smallCaps/>
          <w:lang w:val="en-US"/>
        </w:rPr>
        <w:t>Trial Chamber</w:t>
      </w:r>
      <w:r w:rsidRPr="006462D0">
        <w:rPr>
          <w:lang w:val="en-US"/>
        </w:rPr>
        <w:t xml:space="preserve">, judgment of 15 April 2011, </w:t>
      </w:r>
      <w:r w:rsidRPr="006462D0">
        <w:rPr>
          <w:i/>
          <w:iCs/>
          <w:lang w:val="en-US"/>
        </w:rPr>
        <w:t>Prosecutor v. Gotovina et al.</w:t>
      </w:r>
      <w:r w:rsidRPr="006462D0">
        <w:rPr>
          <w:lang w:val="en-US"/>
        </w:rPr>
        <w:t xml:space="preserve"> </w:t>
      </w:r>
      <w:r w:rsidRPr="001E6406">
        <w:rPr>
          <w:lang w:val="en-US"/>
        </w:rPr>
        <w:t xml:space="preserve">(IT-06-90), §§ 1831-1839 and 1891. </w:t>
      </w:r>
      <w:r w:rsidRPr="006462D0">
        <w:rPr>
          <w:smallCaps/>
          <w:lang w:val="en-US"/>
        </w:rPr>
        <w:t>ECCC, Trial Chamber</w:t>
      </w:r>
      <w:r w:rsidRPr="006462D0">
        <w:rPr>
          <w:lang w:val="en-US"/>
        </w:rPr>
        <w:t xml:space="preserve">, judgment of 7 August 2014, </w:t>
      </w:r>
      <w:r w:rsidRPr="006462D0">
        <w:rPr>
          <w:i/>
          <w:iCs/>
          <w:lang w:val="en-US"/>
        </w:rPr>
        <w:t xml:space="preserve">Prosecutor v. </w:t>
      </w:r>
      <w:proofErr w:type="spellStart"/>
      <w:r w:rsidRPr="006462D0">
        <w:rPr>
          <w:i/>
          <w:iCs/>
          <w:lang w:val="en-US"/>
        </w:rPr>
        <w:t>Nuon</w:t>
      </w:r>
      <w:proofErr w:type="spellEnd"/>
      <w:r w:rsidRPr="006462D0">
        <w:rPr>
          <w:i/>
          <w:iCs/>
          <w:lang w:val="en-US"/>
        </w:rPr>
        <w:t xml:space="preserve"> </w:t>
      </w:r>
      <w:proofErr w:type="spellStart"/>
      <w:r w:rsidRPr="006462D0">
        <w:rPr>
          <w:i/>
          <w:iCs/>
          <w:lang w:val="en-US"/>
        </w:rPr>
        <w:t>Chea</w:t>
      </w:r>
      <w:proofErr w:type="spellEnd"/>
      <w:r w:rsidRPr="006462D0">
        <w:rPr>
          <w:i/>
          <w:iCs/>
          <w:lang w:val="en-US"/>
        </w:rPr>
        <w:t xml:space="preserve"> and Khieu </w:t>
      </w:r>
      <w:proofErr w:type="spellStart"/>
      <w:r w:rsidRPr="006462D0">
        <w:rPr>
          <w:i/>
          <w:iCs/>
          <w:lang w:val="en-US"/>
        </w:rPr>
        <w:t>Samphan</w:t>
      </w:r>
      <w:proofErr w:type="spellEnd"/>
      <w:r w:rsidRPr="006462D0">
        <w:rPr>
          <w:lang w:val="en-US"/>
        </w:rPr>
        <w:t xml:space="preserve"> (Case n° 002/01), §§ 441-44 (see also §§ 640-643, 653-657, 942, 1029, 1032, 1036, 1054). More recently, see ECCC, </w:t>
      </w:r>
      <w:r w:rsidRPr="006462D0">
        <w:rPr>
          <w:bCs/>
          <w:smallCaps/>
          <w:lang w:val="en-US"/>
        </w:rPr>
        <w:t>Trial Chamber</w:t>
      </w:r>
      <w:r w:rsidRPr="006462D0">
        <w:rPr>
          <w:bCs/>
          <w:lang w:val="en-US"/>
        </w:rPr>
        <w:t xml:space="preserve">, judgment of 17 November 2018, </w:t>
      </w:r>
      <w:r w:rsidRPr="006462D0">
        <w:rPr>
          <w:i/>
          <w:lang w:val="en-US"/>
        </w:rPr>
        <w:t xml:space="preserve">Prosecutor v. </w:t>
      </w:r>
      <w:proofErr w:type="spellStart"/>
      <w:r w:rsidRPr="006462D0">
        <w:rPr>
          <w:i/>
          <w:lang w:val="en-US"/>
        </w:rPr>
        <w:t>Nuon</w:t>
      </w:r>
      <w:proofErr w:type="spellEnd"/>
      <w:r w:rsidRPr="006462D0">
        <w:rPr>
          <w:i/>
          <w:lang w:val="en-US"/>
        </w:rPr>
        <w:t xml:space="preserve"> </w:t>
      </w:r>
      <w:proofErr w:type="spellStart"/>
      <w:r w:rsidRPr="006462D0">
        <w:rPr>
          <w:i/>
          <w:lang w:val="en-US"/>
        </w:rPr>
        <w:t>Chea</w:t>
      </w:r>
      <w:proofErr w:type="spellEnd"/>
      <w:r w:rsidRPr="006462D0">
        <w:rPr>
          <w:i/>
          <w:lang w:val="en-US"/>
        </w:rPr>
        <w:t xml:space="preserve"> &amp; Khieu </w:t>
      </w:r>
      <w:proofErr w:type="spellStart"/>
      <w:r w:rsidRPr="006462D0">
        <w:rPr>
          <w:i/>
          <w:lang w:val="en-US"/>
        </w:rPr>
        <w:t>Samphan</w:t>
      </w:r>
      <w:proofErr w:type="spellEnd"/>
      <w:r w:rsidRPr="006462D0">
        <w:rPr>
          <w:bCs/>
          <w:lang w:val="en-US"/>
        </w:rPr>
        <w:t xml:space="preserve"> (Case n° 002/02),</w:t>
      </w:r>
      <w:r w:rsidRPr="006462D0">
        <w:rPr>
          <w:rStyle w:val="lev"/>
          <w:lang w:val="en-US"/>
        </w:rPr>
        <w:t xml:space="preserve"> </w:t>
      </w:r>
      <w:r w:rsidRPr="006462D0">
        <w:rPr>
          <w:rStyle w:val="lev"/>
          <w:b w:val="0"/>
          <w:lang w:val="en-US"/>
        </w:rPr>
        <w:t>§§ 753-755 (see also §§ 1200-1204, 1422-1429, 1708-1712, 1838-1846, 2852-2858, 3160-3166, 3341-3342, 3927, 4147, 4152, 4198).</w:t>
      </w:r>
      <w:r w:rsidRPr="006462D0">
        <w:rPr>
          <w:lang w:val="en-US"/>
        </w:rPr>
        <w:t xml:space="preserve"> </w:t>
      </w:r>
      <w:r>
        <w:t xml:space="preserve">Chambres africaine extraordinaire d’assises, </w:t>
      </w:r>
      <w:r>
        <w:rPr>
          <w:rFonts w:ascii="Times Roman" w:hAnsi="Times Roman" w:cs="Times Roman"/>
          <w:i/>
          <w:iCs/>
        </w:rPr>
        <w:t xml:space="preserve">Ministère public c. </w:t>
      </w:r>
      <w:proofErr w:type="spellStart"/>
      <w:r>
        <w:rPr>
          <w:rFonts w:ascii="Times Roman" w:hAnsi="Times Roman" w:cs="Times Roman"/>
          <w:i/>
          <w:iCs/>
        </w:rPr>
        <w:t>Hissène</w:t>
      </w:r>
      <w:proofErr w:type="spellEnd"/>
      <w:r>
        <w:rPr>
          <w:rFonts w:ascii="Times Roman" w:hAnsi="Times Roman" w:cs="Times Roman"/>
          <w:i/>
          <w:iCs/>
        </w:rPr>
        <w:t xml:space="preserve"> Habré</w:t>
      </w:r>
      <w:r>
        <w:t xml:space="preserve">, jugement, 30 mai 2016, § 1471. </w:t>
      </w:r>
      <w:r w:rsidRPr="006462D0">
        <w:rPr>
          <w:rFonts w:eastAsiaTheme="minorEastAsia"/>
          <w:lang w:val="en-US"/>
        </w:rPr>
        <w:t xml:space="preserve">ICC, </w:t>
      </w:r>
      <w:r w:rsidRPr="006462D0">
        <w:rPr>
          <w:lang w:val="en-US"/>
        </w:rPr>
        <w:t>Pre-Trial Chamber III, Situation in the Republic of Burundi, Public Redacted version</w:t>
      </w:r>
      <w:r w:rsidRPr="006462D0">
        <w:rPr>
          <w:rFonts w:eastAsiaTheme="minorEastAsia"/>
          <w:color w:val="000000"/>
          <w:sz w:val="26"/>
          <w:szCs w:val="26"/>
          <w:lang w:val="en-US" w:eastAsia="ja-JP"/>
        </w:rPr>
        <w:t xml:space="preserve"> </w:t>
      </w:r>
      <w:r w:rsidRPr="006462D0">
        <w:rPr>
          <w:lang w:val="en-US"/>
        </w:rPr>
        <w:t xml:space="preserve">of “Decision pursuant to Article 15 of the Rome Statute on the Authorization of an Investigation into the situation in the Republic of Burundi”, ICC-01/17-X-9-US-Exp, 25 October 2017, Date Public Redacted Version: 9 November 2017, § 120. </w:t>
      </w:r>
    </w:p>
  </w:footnote>
  <w:footnote w:id="12">
    <w:p w14:paraId="6E4579D7" w14:textId="64373C35" w:rsidR="00C10DEE" w:rsidRPr="0039707D" w:rsidRDefault="00C10DEE">
      <w:pPr>
        <w:pStyle w:val="Notedebasdepage"/>
        <w:rPr>
          <w:lang w:val="en-US"/>
        </w:rPr>
      </w:pPr>
      <w:r>
        <w:rPr>
          <w:rStyle w:val="Appelnotedebasdep"/>
        </w:rPr>
        <w:footnoteRef/>
      </w:r>
      <w:r w:rsidRPr="006462D0">
        <w:rPr>
          <w:lang w:val="en-US"/>
        </w:rPr>
        <w:t xml:space="preserve"> </w:t>
      </w:r>
      <w:r w:rsidR="0039707D" w:rsidRPr="0039707D">
        <w:rPr>
          <w:lang w:val="en-US"/>
        </w:rPr>
        <w:t xml:space="preserve">See: </w:t>
      </w:r>
      <w:hyperlink r:id="rId1" w:history="1">
        <w:r w:rsidR="0039707D" w:rsidRPr="0039707D">
          <w:rPr>
            <w:rStyle w:val="Lienhypertexte"/>
            <w:lang w:val="en-US"/>
          </w:rPr>
          <w:t>https://ihl-databases.icrc.org/customary-ihl/eng/docs/v1_rul_rule98</w:t>
        </w:r>
      </w:hyperlink>
      <w:r w:rsidR="0039707D" w:rsidRPr="0039707D">
        <w:rPr>
          <w:lang w:val="en-US"/>
        </w:rPr>
        <w:t>.</w:t>
      </w:r>
    </w:p>
  </w:footnote>
  <w:footnote w:id="13">
    <w:p w14:paraId="0226249E" w14:textId="39E30E31" w:rsidR="001121EF" w:rsidRPr="001121EF" w:rsidRDefault="001121EF">
      <w:pPr>
        <w:pStyle w:val="Notedebasdepage"/>
        <w:rPr>
          <w:lang w:val="en-US"/>
        </w:rPr>
      </w:pPr>
      <w:r>
        <w:rPr>
          <w:rStyle w:val="Appelnotedebasdep"/>
        </w:rPr>
        <w:footnoteRef/>
      </w:r>
      <w:r w:rsidRPr="001121EF">
        <w:rPr>
          <w:lang w:val="en-US"/>
        </w:rPr>
        <w:t xml:space="preserve"> </w:t>
      </w:r>
      <w:r w:rsidR="00405476" w:rsidRPr="00F83BA6">
        <w:rPr>
          <w:lang w:val="en-US"/>
        </w:rPr>
        <w:t>Independent International</w:t>
      </w:r>
      <w:r w:rsidR="00405476" w:rsidRPr="0039707D">
        <w:rPr>
          <w:lang w:val="en-US"/>
        </w:rPr>
        <w:t xml:space="preserve"> Commission of Inquiry on the Syrian Arab Republic,</w:t>
      </w:r>
      <w:r w:rsidR="00405476" w:rsidRPr="0039707D">
        <w:rPr>
          <w:i/>
          <w:lang w:val="en-US"/>
        </w:rPr>
        <w:t xml:space="preserve"> </w:t>
      </w:r>
      <w:proofErr w:type="gramStart"/>
      <w:r w:rsidR="00405476" w:rsidRPr="0039707D">
        <w:rPr>
          <w:i/>
          <w:lang w:val="en-US"/>
        </w:rPr>
        <w:t>Without</w:t>
      </w:r>
      <w:proofErr w:type="gramEnd"/>
      <w:r w:rsidR="00405476" w:rsidRPr="0039707D">
        <w:rPr>
          <w:i/>
          <w:lang w:val="en-US"/>
        </w:rPr>
        <w:t xml:space="preserve"> a trace: enforced disappearances in Syria (Conference room paper)</w:t>
      </w:r>
      <w:r w:rsidR="00405476" w:rsidRPr="0039707D">
        <w:rPr>
          <w:lang w:val="en-US"/>
        </w:rPr>
        <w:t>, 19 December 2013</w:t>
      </w:r>
      <w:r w:rsidR="000B474C">
        <w:rPr>
          <w:lang w:val="en-US"/>
        </w:rPr>
        <w:t xml:space="preserve">; </w:t>
      </w:r>
      <w:r w:rsidR="004B0558">
        <w:rPr>
          <w:lang w:val="en-US"/>
        </w:rPr>
        <w:t>Situation of human rights in Yemen, including violations and abuses since September 2014. Detailed findings of the Group of Eminent International and Regional Experts on Yemen, A/HRC/45/CRP.7, 29 September 2020, § 166 [enforced disappearances by the De Facto Authorities in Sana’a]</w:t>
      </w:r>
      <w:r w:rsidR="00816CB9">
        <w:rPr>
          <w:lang w:val="en-US"/>
        </w:rPr>
        <w:t xml:space="preserve">; </w:t>
      </w:r>
      <w:r w:rsidR="00846EA5">
        <w:rPr>
          <w:lang w:val="en-US"/>
        </w:rPr>
        <w:t xml:space="preserve">Report of the Independent Fact-Finding Mission on Libya, </w:t>
      </w:r>
      <w:r w:rsidR="00E553D7">
        <w:rPr>
          <w:lang w:val="en-US"/>
        </w:rPr>
        <w:t xml:space="preserve">A/HRC/48/83, </w:t>
      </w:r>
      <w:r w:rsidR="00846EA5">
        <w:rPr>
          <w:lang w:val="en-US"/>
        </w:rPr>
        <w:t xml:space="preserve">29 November 2021, </w:t>
      </w:r>
      <w:r w:rsidR="00E553D7">
        <w:rPr>
          <w:lang w:val="en-US"/>
        </w:rPr>
        <w:t>§ 14</w:t>
      </w:r>
      <w:r w:rsidR="003C222F">
        <w:rPr>
          <w:lang w:val="en-US"/>
        </w:rPr>
        <w:t>.</w:t>
      </w:r>
    </w:p>
  </w:footnote>
  <w:footnote w:id="14">
    <w:p w14:paraId="28C19C6B" w14:textId="77777777" w:rsidR="002836C0" w:rsidRPr="006462D0" w:rsidRDefault="002836C0" w:rsidP="002836C0">
      <w:pPr>
        <w:pStyle w:val="Notedebasdepage"/>
        <w:rPr>
          <w:lang w:val="en-US"/>
        </w:rPr>
      </w:pPr>
      <w:r w:rsidRPr="00E47D81">
        <w:rPr>
          <w:vertAlign w:val="superscript"/>
        </w:rPr>
        <w:footnoteRef/>
      </w:r>
      <w:r w:rsidRPr="006462D0">
        <w:rPr>
          <w:lang w:val="en-US"/>
        </w:rPr>
        <w:t xml:space="preserve"> Report of the Working Group on Enforced or Involuntary Disappearances, A/HRC/42/40, 30 July </w:t>
      </w:r>
      <w:proofErr w:type="gramStart"/>
      <w:r w:rsidRPr="006462D0">
        <w:rPr>
          <w:lang w:val="en-US"/>
        </w:rPr>
        <w:t>2019,§</w:t>
      </w:r>
      <w:proofErr w:type="gramEnd"/>
      <w:r w:rsidRPr="006462D0">
        <w:rPr>
          <w:lang w:val="en-US"/>
        </w:rPr>
        <w:t xml:space="preserve"> 94.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D8958" w14:textId="6E534E1E" w:rsidR="00C10DEE" w:rsidRPr="006462D0" w:rsidRDefault="00C10DEE" w:rsidP="00F12C0E">
    <w:pPr>
      <w:pStyle w:val="En-tte"/>
      <w:numPr>
        <w:ilvl w:val="0"/>
        <w:numId w:val="0"/>
      </w:numPr>
      <w:ind w:left="360"/>
      <w:jc w:val="right"/>
      <w:rPr>
        <w:sz w:val="20"/>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80445D"/>
    <w:multiLevelType w:val="hybridMultilevel"/>
    <w:tmpl w:val="E8105832"/>
    <w:lvl w:ilvl="0" w:tplc="18B093F2">
      <w:start w:val="1"/>
      <w:numFmt w:val="decimal"/>
      <w:pStyle w:val="Nor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BC4595E"/>
    <w:multiLevelType w:val="hybridMultilevel"/>
    <w:tmpl w:val="00120016"/>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 w15:restartNumberingAfterBreak="0">
    <w:nsid w:val="1D4B6D3D"/>
    <w:multiLevelType w:val="hybridMultilevel"/>
    <w:tmpl w:val="F7CA978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3BBA072F"/>
    <w:multiLevelType w:val="multilevel"/>
    <w:tmpl w:val="7A360D08"/>
    <w:styleLink w:val="Listeactuelle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74D1207"/>
    <w:multiLevelType w:val="hybridMultilevel"/>
    <w:tmpl w:val="7F9ABE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CE23BC2"/>
    <w:multiLevelType w:val="hybridMultilevel"/>
    <w:tmpl w:val="823E17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6C2D48"/>
    <w:multiLevelType w:val="hybridMultilevel"/>
    <w:tmpl w:val="09E4E926"/>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7" w15:restartNumberingAfterBreak="0">
    <w:nsid w:val="6CE73029"/>
    <w:multiLevelType w:val="multilevel"/>
    <w:tmpl w:val="09E4E926"/>
    <w:styleLink w:val="Listeactuelle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6E295A6A"/>
    <w:multiLevelType w:val="hybridMultilevel"/>
    <w:tmpl w:val="5232BABE"/>
    <w:lvl w:ilvl="0" w:tplc="040C0017">
      <w:start w:val="1"/>
      <w:numFmt w:val="lowerLetter"/>
      <w:lvlText w:val="%1)"/>
      <w:lvlJc w:val="left"/>
      <w:pPr>
        <w:ind w:left="1287" w:hanging="360"/>
      </w:pPr>
    </w:lvl>
    <w:lvl w:ilvl="1" w:tplc="040C0019" w:tentative="1">
      <w:start w:val="1"/>
      <w:numFmt w:val="lowerLetter"/>
      <w:lvlText w:val="%2."/>
      <w:lvlJc w:val="left"/>
      <w:pPr>
        <w:ind w:left="2007" w:hanging="360"/>
      </w:pPr>
    </w:lvl>
    <w:lvl w:ilvl="2" w:tplc="040C001B" w:tentative="1">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abstractNum w:abstractNumId="9" w15:restartNumberingAfterBreak="0">
    <w:nsid w:val="717858F2"/>
    <w:multiLevelType w:val="hybridMultilevel"/>
    <w:tmpl w:val="8E48D5B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764D3B93"/>
    <w:multiLevelType w:val="hybridMultilevel"/>
    <w:tmpl w:val="29065018"/>
    <w:lvl w:ilvl="0" w:tplc="EA429EB6">
      <w:numFmt w:val="bullet"/>
      <w:lvlText w:val="-"/>
      <w:lvlJc w:val="left"/>
      <w:pPr>
        <w:ind w:left="927" w:hanging="360"/>
      </w:pPr>
      <w:rPr>
        <w:rFonts w:ascii="Times New Roman" w:eastAsiaTheme="minorEastAsia" w:hAnsi="Times New Roman" w:cs="Times New Roman" w:hint="default"/>
      </w:rPr>
    </w:lvl>
    <w:lvl w:ilvl="1" w:tplc="040C0003" w:tentative="1">
      <w:start w:val="1"/>
      <w:numFmt w:val="bullet"/>
      <w:lvlText w:val="o"/>
      <w:lvlJc w:val="left"/>
      <w:pPr>
        <w:ind w:left="1647" w:hanging="360"/>
      </w:pPr>
      <w:rPr>
        <w:rFonts w:ascii="Courier New" w:hAnsi="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1" w15:restartNumberingAfterBreak="0">
    <w:nsid w:val="77CF0D85"/>
    <w:multiLevelType w:val="multilevel"/>
    <w:tmpl w:val="DCC651CC"/>
    <w:styleLink w:val="Listeactuelle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E2223D7"/>
    <w:multiLevelType w:val="hybridMultilevel"/>
    <w:tmpl w:val="4712EDCC"/>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16cid:durableId="960527053">
    <w:abstractNumId w:val="5"/>
  </w:num>
  <w:num w:numId="2" w16cid:durableId="1986621122">
    <w:abstractNumId w:val="8"/>
  </w:num>
  <w:num w:numId="3" w16cid:durableId="146439657">
    <w:abstractNumId w:val="10"/>
  </w:num>
  <w:num w:numId="4" w16cid:durableId="1816339297">
    <w:abstractNumId w:val="4"/>
  </w:num>
  <w:num w:numId="5" w16cid:durableId="1070813152">
    <w:abstractNumId w:val="9"/>
  </w:num>
  <w:num w:numId="6" w16cid:durableId="290324737">
    <w:abstractNumId w:val="0"/>
  </w:num>
  <w:num w:numId="7" w16cid:durableId="672074251">
    <w:abstractNumId w:val="11"/>
  </w:num>
  <w:num w:numId="8" w16cid:durableId="1542210097">
    <w:abstractNumId w:val="1"/>
  </w:num>
  <w:num w:numId="9" w16cid:durableId="865367711">
    <w:abstractNumId w:val="12"/>
  </w:num>
  <w:num w:numId="10" w16cid:durableId="1658682768">
    <w:abstractNumId w:val="6"/>
  </w:num>
  <w:num w:numId="11" w16cid:durableId="1187794456">
    <w:abstractNumId w:val="7"/>
  </w:num>
  <w:num w:numId="12" w16cid:durableId="1072385242">
    <w:abstractNumId w:val="2"/>
  </w:num>
  <w:num w:numId="13" w16cid:durableId="1150251757">
    <w:abstractNumId w:val="3"/>
  </w:num>
  <w:num w:numId="14" w16cid:durableId="8339374">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709"/>
    <w:rsid w:val="00000379"/>
    <w:rsid w:val="0000171A"/>
    <w:rsid w:val="000017C9"/>
    <w:rsid w:val="00002459"/>
    <w:rsid w:val="000024CE"/>
    <w:rsid w:val="00003450"/>
    <w:rsid w:val="00003A56"/>
    <w:rsid w:val="00006C2C"/>
    <w:rsid w:val="00007EBD"/>
    <w:rsid w:val="0001010A"/>
    <w:rsid w:val="000118D0"/>
    <w:rsid w:val="00011CC6"/>
    <w:rsid w:val="00012139"/>
    <w:rsid w:val="000157FF"/>
    <w:rsid w:val="000158A5"/>
    <w:rsid w:val="00016505"/>
    <w:rsid w:val="000166C5"/>
    <w:rsid w:val="000177A3"/>
    <w:rsid w:val="00020264"/>
    <w:rsid w:val="000203CE"/>
    <w:rsid w:val="0002099B"/>
    <w:rsid w:val="000248CF"/>
    <w:rsid w:val="0002521E"/>
    <w:rsid w:val="00025DA2"/>
    <w:rsid w:val="000277E3"/>
    <w:rsid w:val="00030AD3"/>
    <w:rsid w:val="00031B0A"/>
    <w:rsid w:val="00033C36"/>
    <w:rsid w:val="00034FE6"/>
    <w:rsid w:val="0003637C"/>
    <w:rsid w:val="0003646A"/>
    <w:rsid w:val="00037470"/>
    <w:rsid w:val="00037992"/>
    <w:rsid w:val="0004152A"/>
    <w:rsid w:val="0004177B"/>
    <w:rsid w:val="000420BC"/>
    <w:rsid w:val="0004242E"/>
    <w:rsid w:val="0004502F"/>
    <w:rsid w:val="000462DF"/>
    <w:rsid w:val="00052000"/>
    <w:rsid w:val="00052642"/>
    <w:rsid w:val="00053A66"/>
    <w:rsid w:val="000600C7"/>
    <w:rsid w:val="000675BA"/>
    <w:rsid w:val="00070822"/>
    <w:rsid w:val="00070F6D"/>
    <w:rsid w:val="00071942"/>
    <w:rsid w:val="00073742"/>
    <w:rsid w:val="000741DD"/>
    <w:rsid w:val="00074E7F"/>
    <w:rsid w:val="00075FE3"/>
    <w:rsid w:val="00076626"/>
    <w:rsid w:val="00077DD9"/>
    <w:rsid w:val="0008124C"/>
    <w:rsid w:val="00082086"/>
    <w:rsid w:val="0008253E"/>
    <w:rsid w:val="00083D88"/>
    <w:rsid w:val="00085EED"/>
    <w:rsid w:val="000866E7"/>
    <w:rsid w:val="00093DAD"/>
    <w:rsid w:val="0009401B"/>
    <w:rsid w:val="00094D35"/>
    <w:rsid w:val="00095068"/>
    <w:rsid w:val="0009590E"/>
    <w:rsid w:val="000970ED"/>
    <w:rsid w:val="000A1786"/>
    <w:rsid w:val="000A1D1A"/>
    <w:rsid w:val="000A2D62"/>
    <w:rsid w:val="000A53E6"/>
    <w:rsid w:val="000A59D1"/>
    <w:rsid w:val="000A6F4B"/>
    <w:rsid w:val="000A7DBD"/>
    <w:rsid w:val="000B0688"/>
    <w:rsid w:val="000B15C4"/>
    <w:rsid w:val="000B231F"/>
    <w:rsid w:val="000B254B"/>
    <w:rsid w:val="000B4677"/>
    <w:rsid w:val="000B474C"/>
    <w:rsid w:val="000B50A1"/>
    <w:rsid w:val="000C1EB0"/>
    <w:rsid w:val="000C3CBD"/>
    <w:rsid w:val="000C4068"/>
    <w:rsid w:val="000C6D2F"/>
    <w:rsid w:val="000C6E0D"/>
    <w:rsid w:val="000C78D8"/>
    <w:rsid w:val="000D10A7"/>
    <w:rsid w:val="000D419A"/>
    <w:rsid w:val="000D4E26"/>
    <w:rsid w:val="000D704B"/>
    <w:rsid w:val="000E0DA8"/>
    <w:rsid w:val="000E2174"/>
    <w:rsid w:val="000E5DBA"/>
    <w:rsid w:val="000E7968"/>
    <w:rsid w:val="000F315E"/>
    <w:rsid w:val="000F393D"/>
    <w:rsid w:val="000F4700"/>
    <w:rsid w:val="000F77F2"/>
    <w:rsid w:val="0010019B"/>
    <w:rsid w:val="0010040C"/>
    <w:rsid w:val="00103440"/>
    <w:rsid w:val="00103E7D"/>
    <w:rsid w:val="00104E87"/>
    <w:rsid w:val="001075FF"/>
    <w:rsid w:val="001121EF"/>
    <w:rsid w:val="00112509"/>
    <w:rsid w:val="00113322"/>
    <w:rsid w:val="001169DA"/>
    <w:rsid w:val="00117431"/>
    <w:rsid w:val="00117722"/>
    <w:rsid w:val="00121D72"/>
    <w:rsid w:val="00121FA6"/>
    <w:rsid w:val="00123029"/>
    <w:rsid w:val="00123A28"/>
    <w:rsid w:val="001275FD"/>
    <w:rsid w:val="00127ED4"/>
    <w:rsid w:val="00130A80"/>
    <w:rsid w:val="00130E48"/>
    <w:rsid w:val="001344D1"/>
    <w:rsid w:val="001347AE"/>
    <w:rsid w:val="00140351"/>
    <w:rsid w:val="00140AEC"/>
    <w:rsid w:val="00141669"/>
    <w:rsid w:val="00142165"/>
    <w:rsid w:val="001437F9"/>
    <w:rsid w:val="00143D75"/>
    <w:rsid w:val="00145279"/>
    <w:rsid w:val="00146999"/>
    <w:rsid w:val="00146B97"/>
    <w:rsid w:val="00146D1C"/>
    <w:rsid w:val="001470D2"/>
    <w:rsid w:val="00147249"/>
    <w:rsid w:val="0014794C"/>
    <w:rsid w:val="00147992"/>
    <w:rsid w:val="00154139"/>
    <w:rsid w:val="00154663"/>
    <w:rsid w:val="00154A09"/>
    <w:rsid w:val="00154BBA"/>
    <w:rsid w:val="00154CDB"/>
    <w:rsid w:val="00155B64"/>
    <w:rsid w:val="00156624"/>
    <w:rsid w:val="00156B49"/>
    <w:rsid w:val="00160584"/>
    <w:rsid w:val="00160718"/>
    <w:rsid w:val="00161286"/>
    <w:rsid w:val="00161AEA"/>
    <w:rsid w:val="00162A12"/>
    <w:rsid w:val="00162FE3"/>
    <w:rsid w:val="00165DF3"/>
    <w:rsid w:val="001700E1"/>
    <w:rsid w:val="00170720"/>
    <w:rsid w:val="00171247"/>
    <w:rsid w:val="00171B4D"/>
    <w:rsid w:val="001728F6"/>
    <w:rsid w:val="00172B23"/>
    <w:rsid w:val="001732E8"/>
    <w:rsid w:val="00173A44"/>
    <w:rsid w:val="00173A6B"/>
    <w:rsid w:val="00176E67"/>
    <w:rsid w:val="001800F7"/>
    <w:rsid w:val="00180545"/>
    <w:rsid w:val="001807C9"/>
    <w:rsid w:val="00180ACD"/>
    <w:rsid w:val="00181892"/>
    <w:rsid w:val="00185425"/>
    <w:rsid w:val="00186142"/>
    <w:rsid w:val="00186722"/>
    <w:rsid w:val="00190120"/>
    <w:rsid w:val="00190CC4"/>
    <w:rsid w:val="001916DD"/>
    <w:rsid w:val="001946D3"/>
    <w:rsid w:val="001961E1"/>
    <w:rsid w:val="001A0A99"/>
    <w:rsid w:val="001A0E4D"/>
    <w:rsid w:val="001A13D1"/>
    <w:rsid w:val="001A13F4"/>
    <w:rsid w:val="001A1882"/>
    <w:rsid w:val="001A2E99"/>
    <w:rsid w:val="001A46A3"/>
    <w:rsid w:val="001A5C07"/>
    <w:rsid w:val="001A5F56"/>
    <w:rsid w:val="001B27E4"/>
    <w:rsid w:val="001B2B5D"/>
    <w:rsid w:val="001B2C34"/>
    <w:rsid w:val="001B3CAC"/>
    <w:rsid w:val="001B57B3"/>
    <w:rsid w:val="001C0682"/>
    <w:rsid w:val="001C16B5"/>
    <w:rsid w:val="001C1BF5"/>
    <w:rsid w:val="001C2A89"/>
    <w:rsid w:val="001C5017"/>
    <w:rsid w:val="001C521B"/>
    <w:rsid w:val="001C5E7B"/>
    <w:rsid w:val="001D00CE"/>
    <w:rsid w:val="001D1361"/>
    <w:rsid w:val="001D13AB"/>
    <w:rsid w:val="001D2257"/>
    <w:rsid w:val="001D5625"/>
    <w:rsid w:val="001D7723"/>
    <w:rsid w:val="001E1B3E"/>
    <w:rsid w:val="001E31F6"/>
    <w:rsid w:val="001E5072"/>
    <w:rsid w:val="001E6406"/>
    <w:rsid w:val="001E6DB5"/>
    <w:rsid w:val="001F1358"/>
    <w:rsid w:val="001F2854"/>
    <w:rsid w:val="001F46AE"/>
    <w:rsid w:val="001F7390"/>
    <w:rsid w:val="00200C86"/>
    <w:rsid w:val="00201A2B"/>
    <w:rsid w:val="00202D91"/>
    <w:rsid w:val="00204840"/>
    <w:rsid w:val="00205F1A"/>
    <w:rsid w:val="00206566"/>
    <w:rsid w:val="00206CC3"/>
    <w:rsid w:val="0020775D"/>
    <w:rsid w:val="0020781E"/>
    <w:rsid w:val="00207CCC"/>
    <w:rsid w:val="002101C4"/>
    <w:rsid w:val="00210230"/>
    <w:rsid w:val="0021060E"/>
    <w:rsid w:val="00212252"/>
    <w:rsid w:val="0021386E"/>
    <w:rsid w:val="0021550D"/>
    <w:rsid w:val="00216D33"/>
    <w:rsid w:val="002171F3"/>
    <w:rsid w:val="00220A27"/>
    <w:rsid w:val="00221950"/>
    <w:rsid w:val="00224A69"/>
    <w:rsid w:val="0022689C"/>
    <w:rsid w:val="00227918"/>
    <w:rsid w:val="00230173"/>
    <w:rsid w:val="002315EF"/>
    <w:rsid w:val="00232DF2"/>
    <w:rsid w:val="00233963"/>
    <w:rsid w:val="002339BC"/>
    <w:rsid w:val="00234CE4"/>
    <w:rsid w:val="00241FCB"/>
    <w:rsid w:val="002433A3"/>
    <w:rsid w:val="0024368B"/>
    <w:rsid w:val="002438B9"/>
    <w:rsid w:val="00243F62"/>
    <w:rsid w:val="0024562B"/>
    <w:rsid w:val="00245FA1"/>
    <w:rsid w:val="00247930"/>
    <w:rsid w:val="00250CAF"/>
    <w:rsid w:val="00251EAD"/>
    <w:rsid w:val="00255997"/>
    <w:rsid w:val="0025631F"/>
    <w:rsid w:val="00257B8F"/>
    <w:rsid w:val="002607A8"/>
    <w:rsid w:val="00260937"/>
    <w:rsid w:val="0026229A"/>
    <w:rsid w:val="00264614"/>
    <w:rsid w:val="00264BD3"/>
    <w:rsid w:val="00265BAA"/>
    <w:rsid w:val="00266191"/>
    <w:rsid w:val="0026746D"/>
    <w:rsid w:val="00267F83"/>
    <w:rsid w:val="00271926"/>
    <w:rsid w:val="00272987"/>
    <w:rsid w:val="0027696B"/>
    <w:rsid w:val="00280F44"/>
    <w:rsid w:val="002836C0"/>
    <w:rsid w:val="00285AB3"/>
    <w:rsid w:val="002915E5"/>
    <w:rsid w:val="00291B27"/>
    <w:rsid w:val="0029339A"/>
    <w:rsid w:val="00294558"/>
    <w:rsid w:val="00295A4D"/>
    <w:rsid w:val="002960B1"/>
    <w:rsid w:val="0029777A"/>
    <w:rsid w:val="00297A63"/>
    <w:rsid w:val="002A0535"/>
    <w:rsid w:val="002A07C3"/>
    <w:rsid w:val="002A2E46"/>
    <w:rsid w:val="002A37F8"/>
    <w:rsid w:val="002A4EAF"/>
    <w:rsid w:val="002A7E64"/>
    <w:rsid w:val="002B0940"/>
    <w:rsid w:val="002B185F"/>
    <w:rsid w:val="002B1E72"/>
    <w:rsid w:val="002B3AD1"/>
    <w:rsid w:val="002B504A"/>
    <w:rsid w:val="002B6458"/>
    <w:rsid w:val="002B7759"/>
    <w:rsid w:val="002C2D44"/>
    <w:rsid w:val="002C353A"/>
    <w:rsid w:val="002C5859"/>
    <w:rsid w:val="002C7156"/>
    <w:rsid w:val="002D05A3"/>
    <w:rsid w:val="002D1272"/>
    <w:rsid w:val="002D2CD6"/>
    <w:rsid w:val="002D5E5A"/>
    <w:rsid w:val="002D6769"/>
    <w:rsid w:val="002E19C8"/>
    <w:rsid w:val="002E2C90"/>
    <w:rsid w:val="002E3756"/>
    <w:rsid w:val="002E49E3"/>
    <w:rsid w:val="002E4CE6"/>
    <w:rsid w:val="002E57A2"/>
    <w:rsid w:val="002E69C8"/>
    <w:rsid w:val="002E7B0F"/>
    <w:rsid w:val="002F076C"/>
    <w:rsid w:val="002F09C1"/>
    <w:rsid w:val="002F13A6"/>
    <w:rsid w:val="002F2C8F"/>
    <w:rsid w:val="002F6365"/>
    <w:rsid w:val="002F6424"/>
    <w:rsid w:val="002F730B"/>
    <w:rsid w:val="003012D0"/>
    <w:rsid w:val="003022CA"/>
    <w:rsid w:val="00302F94"/>
    <w:rsid w:val="0030513F"/>
    <w:rsid w:val="00305E10"/>
    <w:rsid w:val="003062C0"/>
    <w:rsid w:val="00310479"/>
    <w:rsid w:val="0031461A"/>
    <w:rsid w:val="00316D69"/>
    <w:rsid w:val="003170A5"/>
    <w:rsid w:val="00320F27"/>
    <w:rsid w:val="00322008"/>
    <w:rsid w:val="00323004"/>
    <w:rsid w:val="003257BB"/>
    <w:rsid w:val="0032691D"/>
    <w:rsid w:val="00326E72"/>
    <w:rsid w:val="00331626"/>
    <w:rsid w:val="00331E88"/>
    <w:rsid w:val="00332576"/>
    <w:rsid w:val="003350F9"/>
    <w:rsid w:val="00336DDC"/>
    <w:rsid w:val="00344247"/>
    <w:rsid w:val="003458A4"/>
    <w:rsid w:val="00347169"/>
    <w:rsid w:val="00347E12"/>
    <w:rsid w:val="003507FF"/>
    <w:rsid w:val="003533C2"/>
    <w:rsid w:val="00356415"/>
    <w:rsid w:val="00356AD7"/>
    <w:rsid w:val="0035753D"/>
    <w:rsid w:val="00357E85"/>
    <w:rsid w:val="00360787"/>
    <w:rsid w:val="00360FCF"/>
    <w:rsid w:val="003610B2"/>
    <w:rsid w:val="0036117E"/>
    <w:rsid w:val="00362B44"/>
    <w:rsid w:val="003646FD"/>
    <w:rsid w:val="00365027"/>
    <w:rsid w:val="00366EFE"/>
    <w:rsid w:val="00367F26"/>
    <w:rsid w:val="00370C9E"/>
    <w:rsid w:val="00372641"/>
    <w:rsid w:val="00372691"/>
    <w:rsid w:val="0037294A"/>
    <w:rsid w:val="00372A81"/>
    <w:rsid w:val="00376A88"/>
    <w:rsid w:val="00380021"/>
    <w:rsid w:val="003812DB"/>
    <w:rsid w:val="00382C6B"/>
    <w:rsid w:val="003834DB"/>
    <w:rsid w:val="003834EA"/>
    <w:rsid w:val="00383906"/>
    <w:rsid w:val="003848C0"/>
    <w:rsid w:val="00385048"/>
    <w:rsid w:val="003867D2"/>
    <w:rsid w:val="00386DBF"/>
    <w:rsid w:val="003900CD"/>
    <w:rsid w:val="00392AC0"/>
    <w:rsid w:val="00393DB8"/>
    <w:rsid w:val="00393DD2"/>
    <w:rsid w:val="0039599C"/>
    <w:rsid w:val="00395B11"/>
    <w:rsid w:val="00396DE9"/>
    <w:rsid w:val="0039707D"/>
    <w:rsid w:val="0039782F"/>
    <w:rsid w:val="003A244A"/>
    <w:rsid w:val="003A3E91"/>
    <w:rsid w:val="003A430D"/>
    <w:rsid w:val="003A4649"/>
    <w:rsid w:val="003A5E3F"/>
    <w:rsid w:val="003A7BA7"/>
    <w:rsid w:val="003B2455"/>
    <w:rsid w:val="003B32AF"/>
    <w:rsid w:val="003B5123"/>
    <w:rsid w:val="003B54BA"/>
    <w:rsid w:val="003B57E0"/>
    <w:rsid w:val="003B78DF"/>
    <w:rsid w:val="003C116A"/>
    <w:rsid w:val="003C1A27"/>
    <w:rsid w:val="003C1AFC"/>
    <w:rsid w:val="003C222F"/>
    <w:rsid w:val="003C356A"/>
    <w:rsid w:val="003C38BB"/>
    <w:rsid w:val="003C3C58"/>
    <w:rsid w:val="003C5364"/>
    <w:rsid w:val="003C61CF"/>
    <w:rsid w:val="003C7838"/>
    <w:rsid w:val="003D0359"/>
    <w:rsid w:val="003D0F55"/>
    <w:rsid w:val="003D567E"/>
    <w:rsid w:val="003D5BF3"/>
    <w:rsid w:val="003D5E21"/>
    <w:rsid w:val="003D6197"/>
    <w:rsid w:val="003E00D0"/>
    <w:rsid w:val="003E0709"/>
    <w:rsid w:val="003E2B58"/>
    <w:rsid w:val="003E325A"/>
    <w:rsid w:val="003E39E5"/>
    <w:rsid w:val="003E5091"/>
    <w:rsid w:val="003E6033"/>
    <w:rsid w:val="003E6AFA"/>
    <w:rsid w:val="003F3890"/>
    <w:rsid w:val="003F3D23"/>
    <w:rsid w:val="003F62C5"/>
    <w:rsid w:val="003F76C7"/>
    <w:rsid w:val="00404805"/>
    <w:rsid w:val="00405476"/>
    <w:rsid w:val="00407674"/>
    <w:rsid w:val="00411C31"/>
    <w:rsid w:val="00412D4E"/>
    <w:rsid w:val="00412E61"/>
    <w:rsid w:val="0041449B"/>
    <w:rsid w:val="0041512D"/>
    <w:rsid w:val="004173E1"/>
    <w:rsid w:val="00420A58"/>
    <w:rsid w:val="00422F5B"/>
    <w:rsid w:val="00423F2B"/>
    <w:rsid w:val="004243D8"/>
    <w:rsid w:val="00424E5D"/>
    <w:rsid w:val="0042587D"/>
    <w:rsid w:val="00426242"/>
    <w:rsid w:val="00426E54"/>
    <w:rsid w:val="00426F56"/>
    <w:rsid w:val="0043108C"/>
    <w:rsid w:val="004311B1"/>
    <w:rsid w:val="00431AED"/>
    <w:rsid w:val="00431B82"/>
    <w:rsid w:val="0043654A"/>
    <w:rsid w:val="004374B7"/>
    <w:rsid w:val="0044120B"/>
    <w:rsid w:val="004430C1"/>
    <w:rsid w:val="00443EB7"/>
    <w:rsid w:val="00445223"/>
    <w:rsid w:val="004454A7"/>
    <w:rsid w:val="00446631"/>
    <w:rsid w:val="0045049E"/>
    <w:rsid w:val="00450A7E"/>
    <w:rsid w:val="00451041"/>
    <w:rsid w:val="00451114"/>
    <w:rsid w:val="00451280"/>
    <w:rsid w:val="004520E9"/>
    <w:rsid w:val="004522B8"/>
    <w:rsid w:val="004531BD"/>
    <w:rsid w:val="004563C5"/>
    <w:rsid w:val="0046191B"/>
    <w:rsid w:val="004641A5"/>
    <w:rsid w:val="0046491E"/>
    <w:rsid w:val="00464CE2"/>
    <w:rsid w:val="00467AA8"/>
    <w:rsid w:val="00470A98"/>
    <w:rsid w:val="00471345"/>
    <w:rsid w:val="00471E65"/>
    <w:rsid w:val="004800B1"/>
    <w:rsid w:val="004810AC"/>
    <w:rsid w:val="00481393"/>
    <w:rsid w:val="0048192C"/>
    <w:rsid w:val="00482057"/>
    <w:rsid w:val="00482144"/>
    <w:rsid w:val="00484092"/>
    <w:rsid w:val="0048434E"/>
    <w:rsid w:val="00485515"/>
    <w:rsid w:val="00486A6D"/>
    <w:rsid w:val="00487B5F"/>
    <w:rsid w:val="00491086"/>
    <w:rsid w:val="004910B9"/>
    <w:rsid w:val="00492B03"/>
    <w:rsid w:val="004A06A0"/>
    <w:rsid w:val="004A2A71"/>
    <w:rsid w:val="004A4D38"/>
    <w:rsid w:val="004B0558"/>
    <w:rsid w:val="004B087B"/>
    <w:rsid w:val="004B211C"/>
    <w:rsid w:val="004B2E19"/>
    <w:rsid w:val="004B4009"/>
    <w:rsid w:val="004B4637"/>
    <w:rsid w:val="004B4686"/>
    <w:rsid w:val="004B4BEC"/>
    <w:rsid w:val="004B4F6E"/>
    <w:rsid w:val="004B5C93"/>
    <w:rsid w:val="004B7867"/>
    <w:rsid w:val="004C088B"/>
    <w:rsid w:val="004C0A53"/>
    <w:rsid w:val="004C1CB7"/>
    <w:rsid w:val="004C2340"/>
    <w:rsid w:val="004C3261"/>
    <w:rsid w:val="004C3F3E"/>
    <w:rsid w:val="004C702E"/>
    <w:rsid w:val="004C72F9"/>
    <w:rsid w:val="004C7927"/>
    <w:rsid w:val="004D129A"/>
    <w:rsid w:val="004D1C47"/>
    <w:rsid w:val="004D4691"/>
    <w:rsid w:val="004D5A00"/>
    <w:rsid w:val="004D5DCA"/>
    <w:rsid w:val="004D664B"/>
    <w:rsid w:val="004D7056"/>
    <w:rsid w:val="004D7DA9"/>
    <w:rsid w:val="004E2B0F"/>
    <w:rsid w:val="004E4FF9"/>
    <w:rsid w:val="004E55D2"/>
    <w:rsid w:val="004F1634"/>
    <w:rsid w:val="004F421D"/>
    <w:rsid w:val="004F4777"/>
    <w:rsid w:val="004F5280"/>
    <w:rsid w:val="00501092"/>
    <w:rsid w:val="00501740"/>
    <w:rsid w:val="00502071"/>
    <w:rsid w:val="00502101"/>
    <w:rsid w:val="00502B92"/>
    <w:rsid w:val="00504AAB"/>
    <w:rsid w:val="00506EE4"/>
    <w:rsid w:val="00507038"/>
    <w:rsid w:val="00507D09"/>
    <w:rsid w:val="005115CC"/>
    <w:rsid w:val="00512FEF"/>
    <w:rsid w:val="00513935"/>
    <w:rsid w:val="005139FA"/>
    <w:rsid w:val="00513C7E"/>
    <w:rsid w:val="00513CBE"/>
    <w:rsid w:val="00521A40"/>
    <w:rsid w:val="00522258"/>
    <w:rsid w:val="00522876"/>
    <w:rsid w:val="0052316A"/>
    <w:rsid w:val="00524E69"/>
    <w:rsid w:val="005263FC"/>
    <w:rsid w:val="00526D33"/>
    <w:rsid w:val="0052762C"/>
    <w:rsid w:val="00531F17"/>
    <w:rsid w:val="005336DB"/>
    <w:rsid w:val="00533B5B"/>
    <w:rsid w:val="00534F91"/>
    <w:rsid w:val="005403E1"/>
    <w:rsid w:val="005410B4"/>
    <w:rsid w:val="0054503E"/>
    <w:rsid w:val="00545084"/>
    <w:rsid w:val="005469E5"/>
    <w:rsid w:val="00546E20"/>
    <w:rsid w:val="00552E89"/>
    <w:rsid w:val="0055369F"/>
    <w:rsid w:val="00553A17"/>
    <w:rsid w:val="00555F3F"/>
    <w:rsid w:val="005566D6"/>
    <w:rsid w:val="005600DD"/>
    <w:rsid w:val="0056171A"/>
    <w:rsid w:val="0056288B"/>
    <w:rsid w:val="00562E09"/>
    <w:rsid w:val="00563E6F"/>
    <w:rsid w:val="0056530E"/>
    <w:rsid w:val="005655BF"/>
    <w:rsid w:val="0056618B"/>
    <w:rsid w:val="00566203"/>
    <w:rsid w:val="0056661F"/>
    <w:rsid w:val="00567A50"/>
    <w:rsid w:val="00567D37"/>
    <w:rsid w:val="00570067"/>
    <w:rsid w:val="0057023C"/>
    <w:rsid w:val="0057036B"/>
    <w:rsid w:val="005706BF"/>
    <w:rsid w:val="00571F32"/>
    <w:rsid w:val="00572508"/>
    <w:rsid w:val="00576642"/>
    <w:rsid w:val="00576E02"/>
    <w:rsid w:val="0057705F"/>
    <w:rsid w:val="0057794F"/>
    <w:rsid w:val="00582BF3"/>
    <w:rsid w:val="005838E5"/>
    <w:rsid w:val="005856A3"/>
    <w:rsid w:val="005916EC"/>
    <w:rsid w:val="00591F16"/>
    <w:rsid w:val="005938E2"/>
    <w:rsid w:val="00594097"/>
    <w:rsid w:val="00596198"/>
    <w:rsid w:val="005970AD"/>
    <w:rsid w:val="00597EF5"/>
    <w:rsid w:val="005A295A"/>
    <w:rsid w:val="005A30AF"/>
    <w:rsid w:val="005A5BED"/>
    <w:rsid w:val="005A667A"/>
    <w:rsid w:val="005B395A"/>
    <w:rsid w:val="005B3A33"/>
    <w:rsid w:val="005C2150"/>
    <w:rsid w:val="005C60AA"/>
    <w:rsid w:val="005D2638"/>
    <w:rsid w:val="005D2FA7"/>
    <w:rsid w:val="005D5412"/>
    <w:rsid w:val="005D6B5D"/>
    <w:rsid w:val="005D7845"/>
    <w:rsid w:val="005D78B6"/>
    <w:rsid w:val="005E1AE8"/>
    <w:rsid w:val="005E1BF5"/>
    <w:rsid w:val="005E5024"/>
    <w:rsid w:val="005E7403"/>
    <w:rsid w:val="005F0CC8"/>
    <w:rsid w:val="005F1045"/>
    <w:rsid w:val="005F1399"/>
    <w:rsid w:val="005F222B"/>
    <w:rsid w:val="005F278B"/>
    <w:rsid w:val="005F37BD"/>
    <w:rsid w:val="005F5352"/>
    <w:rsid w:val="005F6B07"/>
    <w:rsid w:val="005F7BB0"/>
    <w:rsid w:val="00602544"/>
    <w:rsid w:val="006034F3"/>
    <w:rsid w:val="00603BD1"/>
    <w:rsid w:val="0061034D"/>
    <w:rsid w:val="00610C47"/>
    <w:rsid w:val="00610D1E"/>
    <w:rsid w:val="00610F29"/>
    <w:rsid w:val="00615C85"/>
    <w:rsid w:val="006161D9"/>
    <w:rsid w:val="006163C0"/>
    <w:rsid w:val="00621C2F"/>
    <w:rsid w:val="00624309"/>
    <w:rsid w:val="00626211"/>
    <w:rsid w:val="00640152"/>
    <w:rsid w:val="00642E17"/>
    <w:rsid w:val="006462D0"/>
    <w:rsid w:val="00646564"/>
    <w:rsid w:val="00646E22"/>
    <w:rsid w:val="00647738"/>
    <w:rsid w:val="006503B9"/>
    <w:rsid w:val="00653C3D"/>
    <w:rsid w:val="006542C0"/>
    <w:rsid w:val="00655BFC"/>
    <w:rsid w:val="00655F66"/>
    <w:rsid w:val="00656B03"/>
    <w:rsid w:val="0065758B"/>
    <w:rsid w:val="006615EB"/>
    <w:rsid w:val="00662C9C"/>
    <w:rsid w:val="00665BC8"/>
    <w:rsid w:val="00667846"/>
    <w:rsid w:val="00667CA1"/>
    <w:rsid w:val="00670C41"/>
    <w:rsid w:val="00671875"/>
    <w:rsid w:val="006729FD"/>
    <w:rsid w:val="006733A5"/>
    <w:rsid w:val="00673831"/>
    <w:rsid w:val="0067438C"/>
    <w:rsid w:val="006752E6"/>
    <w:rsid w:val="00675906"/>
    <w:rsid w:val="00675A9C"/>
    <w:rsid w:val="0067653C"/>
    <w:rsid w:val="00677323"/>
    <w:rsid w:val="00677F31"/>
    <w:rsid w:val="00677F85"/>
    <w:rsid w:val="00680202"/>
    <w:rsid w:val="0068033D"/>
    <w:rsid w:val="00681BAC"/>
    <w:rsid w:val="006832C4"/>
    <w:rsid w:val="00683B4F"/>
    <w:rsid w:val="00685DC8"/>
    <w:rsid w:val="00690521"/>
    <w:rsid w:val="00692F27"/>
    <w:rsid w:val="00694DFC"/>
    <w:rsid w:val="00695698"/>
    <w:rsid w:val="00695A26"/>
    <w:rsid w:val="00695B25"/>
    <w:rsid w:val="006A35F1"/>
    <w:rsid w:val="006A3E63"/>
    <w:rsid w:val="006A5728"/>
    <w:rsid w:val="006A5C76"/>
    <w:rsid w:val="006A62B3"/>
    <w:rsid w:val="006B4F2F"/>
    <w:rsid w:val="006B5827"/>
    <w:rsid w:val="006C0848"/>
    <w:rsid w:val="006C216A"/>
    <w:rsid w:val="006C2543"/>
    <w:rsid w:val="006C3FE7"/>
    <w:rsid w:val="006C637E"/>
    <w:rsid w:val="006C7F53"/>
    <w:rsid w:val="006D0BE3"/>
    <w:rsid w:val="006D1837"/>
    <w:rsid w:val="006D1A2C"/>
    <w:rsid w:val="006D33A1"/>
    <w:rsid w:val="006D36F8"/>
    <w:rsid w:val="006D5780"/>
    <w:rsid w:val="006D605D"/>
    <w:rsid w:val="006D62A4"/>
    <w:rsid w:val="006D77B0"/>
    <w:rsid w:val="006D77F6"/>
    <w:rsid w:val="006D780A"/>
    <w:rsid w:val="006E05A0"/>
    <w:rsid w:val="006E2164"/>
    <w:rsid w:val="006E3AC2"/>
    <w:rsid w:val="006E5DA0"/>
    <w:rsid w:val="006E60A7"/>
    <w:rsid w:val="006F0CC9"/>
    <w:rsid w:val="006F2F76"/>
    <w:rsid w:val="006F3321"/>
    <w:rsid w:val="006F3EB1"/>
    <w:rsid w:val="006F620A"/>
    <w:rsid w:val="006F70F5"/>
    <w:rsid w:val="0070020C"/>
    <w:rsid w:val="007025C3"/>
    <w:rsid w:val="00703E46"/>
    <w:rsid w:val="00704196"/>
    <w:rsid w:val="007047AE"/>
    <w:rsid w:val="00707788"/>
    <w:rsid w:val="00707ACE"/>
    <w:rsid w:val="007129AD"/>
    <w:rsid w:val="00712D78"/>
    <w:rsid w:val="00714B37"/>
    <w:rsid w:val="0071630D"/>
    <w:rsid w:val="0071632E"/>
    <w:rsid w:val="0071663B"/>
    <w:rsid w:val="00716970"/>
    <w:rsid w:val="00720640"/>
    <w:rsid w:val="00721DA8"/>
    <w:rsid w:val="00725A8C"/>
    <w:rsid w:val="00726788"/>
    <w:rsid w:val="00726D8B"/>
    <w:rsid w:val="00735CA8"/>
    <w:rsid w:val="00737736"/>
    <w:rsid w:val="00737982"/>
    <w:rsid w:val="007406F6"/>
    <w:rsid w:val="00741CCE"/>
    <w:rsid w:val="007422F0"/>
    <w:rsid w:val="00742A9A"/>
    <w:rsid w:val="00743402"/>
    <w:rsid w:val="00752EC3"/>
    <w:rsid w:val="00754145"/>
    <w:rsid w:val="007561E0"/>
    <w:rsid w:val="0075731F"/>
    <w:rsid w:val="00760EB4"/>
    <w:rsid w:val="007624E1"/>
    <w:rsid w:val="00762A19"/>
    <w:rsid w:val="00763BF3"/>
    <w:rsid w:val="00767999"/>
    <w:rsid w:val="0077096C"/>
    <w:rsid w:val="00772F3E"/>
    <w:rsid w:val="007809E2"/>
    <w:rsid w:val="007815FD"/>
    <w:rsid w:val="00781E22"/>
    <w:rsid w:val="0078343B"/>
    <w:rsid w:val="007838D2"/>
    <w:rsid w:val="007845F3"/>
    <w:rsid w:val="00785699"/>
    <w:rsid w:val="00790307"/>
    <w:rsid w:val="007910DF"/>
    <w:rsid w:val="007915D3"/>
    <w:rsid w:val="007916A1"/>
    <w:rsid w:val="00791DDC"/>
    <w:rsid w:val="00793CE3"/>
    <w:rsid w:val="00794E74"/>
    <w:rsid w:val="00795198"/>
    <w:rsid w:val="00796457"/>
    <w:rsid w:val="00796E28"/>
    <w:rsid w:val="00797BB5"/>
    <w:rsid w:val="007A1816"/>
    <w:rsid w:val="007A36FA"/>
    <w:rsid w:val="007A4305"/>
    <w:rsid w:val="007A45ED"/>
    <w:rsid w:val="007A620F"/>
    <w:rsid w:val="007A6766"/>
    <w:rsid w:val="007B0473"/>
    <w:rsid w:val="007B2DBF"/>
    <w:rsid w:val="007B3779"/>
    <w:rsid w:val="007B3E88"/>
    <w:rsid w:val="007B5E52"/>
    <w:rsid w:val="007B61E0"/>
    <w:rsid w:val="007B6A3F"/>
    <w:rsid w:val="007B755A"/>
    <w:rsid w:val="007C03BF"/>
    <w:rsid w:val="007C1183"/>
    <w:rsid w:val="007C3DB5"/>
    <w:rsid w:val="007C3DFB"/>
    <w:rsid w:val="007C44F9"/>
    <w:rsid w:val="007C684A"/>
    <w:rsid w:val="007C71FB"/>
    <w:rsid w:val="007C7813"/>
    <w:rsid w:val="007C7D12"/>
    <w:rsid w:val="007D1E71"/>
    <w:rsid w:val="007D2998"/>
    <w:rsid w:val="007D37B6"/>
    <w:rsid w:val="007D4B2E"/>
    <w:rsid w:val="007D538A"/>
    <w:rsid w:val="007D6381"/>
    <w:rsid w:val="007D6544"/>
    <w:rsid w:val="007D6CB5"/>
    <w:rsid w:val="007D7251"/>
    <w:rsid w:val="007D7CF1"/>
    <w:rsid w:val="007E0967"/>
    <w:rsid w:val="007E2E5A"/>
    <w:rsid w:val="007E4F2E"/>
    <w:rsid w:val="007F0253"/>
    <w:rsid w:val="007F22C9"/>
    <w:rsid w:val="007F25B2"/>
    <w:rsid w:val="007F2F1D"/>
    <w:rsid w:val="007F5D52"/>
    <w:rsid w:val="007F72F9"/>
    <w:rsid w:val="00804CFC"/>
    <w:rsid w:val="00812326"/>
    <w:rsid w:val="00812BDE"/>
    <w:rsid w:val="00814917"/>
    <w:rsid w:val="00815517"/>
    <w:rsid w:val="00816BD2"/>
    <w:rsid w:val="00816CB9"/>
    <w:rsid w:val="008172BF"/>
    <w:rsid w:val="0082334B"/>
    <w:rsid w:val="008263AC"/>
    <w:rsid w:val="00830873"/>
    <w:rsid w:val="00831C26"/>
    <w:rsid w:val="00834494"/>
    <w:rsid w:val="00835111"/>
    <w:rsid w:val="00835A1E"/>
    <w:rsid w:val="00840A00"/>
    <w:rsid w:val="00844E1D"/>
    <w:rsid w:val="00846031"/>
    <w:rsid w:val="00846EA5"/>
    <w:rsid w:val="00851537"/>
    <w:rsid w:val="0085229F"/>
    <w:rsid w:val="00852886"/>
    <w:rsid w:val="0085290C"/>
    <w:rsid w:val="0085397D"/>
    <w:rsid w:val="00855374"/>
    <w:rsid w:val="00855F63"/>
    <w:rsid w:val="008569DB"/>
    <w:rsid w:val="00857835"/>
    <w:rsid w:val="008606D9"/>
    <w:rsid w:val="0086463D"/>
    <w:rsid w:val="008661C0"/>
    <w:rsid w:val="00871056"/>
    <w:rsid w:val="00871A50"/>
    <w:rsid w:val="008747D4"/>
    <w:rsid w:val="0087486A"/>
    <w:rsid w:val="0087607E"/>
    <w:rsid w:val="0087655A"/>
    <w:rsid w:val="008765A6"/>
    <w:rsid w:val="0088103B"/>
    <w:rsid w:val="008813E0"/>
    <w:rsid w:val="008816D7"/>
    <w:rsid w:val="00881EE7"/>
    <w:rsid w:val="00882F91"/>
    <w:rsid w:val="00883077"/>
    <w:rsid w:val="00883B8B"/>
    <w:rsid w:val="00883C80"/>
    <w:rsid w:val="00885961"/>
    <w:rsid w:val="00885C85"/>
    <w:rsid w:val="00890FE7"/>
    <w:rsid w:val="008929EC"/>
    <w:rsid w:val="00892AA0"/>
    <w:rsid w:val="0089421B"/>
    <w:rsid w:val="00895A27"/>
    <w:rsid w:val="00896354"/>
    <w:rsid w:val="008A3807"/>
    <w:rsid w:val="008A3893"/>
    <w:rsid w:val="008A4AEA"/>
    <w:rsid w:val="008A4BDC"/>
    <w:rsid w:val="008B05EC"/>
    <w:rsid w:val="008B07EF"/>
    <w:rsid w:val="008B0A99"/>
    <w:rsid w:val="008B1009"/>
    <w:rsid w:val="008B3077"/>
    <w:rsid w:val="008B37CB"/>
    <w:rsid w:val="008B3CDC"/>
    <w:rsid w:val="008B4759"/>
    <w:rsid w:val="008B499E"/>
    <w:rsid w:val="008B59A2"/>
    <w:rsid w:val="008C1CAD"/>
    <w:rsid w:val="008C335E"/>
    <w:rsid w:val="008C4F25"/>
    <w:rsid w:val="008C7EA4"/>
    <w:rsid w:val="008D07B1"/>
    <w:rsid w:val="008D0B6C"/>
    <w:rsid w:val="008D0FC5"/>
    <w:rsid w:val="008D1E2C"/>
    <w:rsid w:val="008D1E41"/>
    <w:rsid w:val="008D2878"/>
    <w:rsid w:val="008E20E4"/>
    <w:rsid w:val="008E648E"/>
    <w:rsid w:val="008F18E9"/>
    <w:rsid w:val="008F3847"/>
    <w:rsid w:val="008F3F80"/>
    <w:rsid w:val="008F595F"/>
    <w:rsid w:val="008F6314"/>
    <w:rsid w:val="008F6787"/>
    <w:rsid w:val="008F754D"/>
    <w:rsid w:val="00901D4B"/>
    <w:rsid w:val="0090606C"/>
    <w:rsid w:val="00906FFF"/>
    <w:rsid w:val="009070FA"/>
    <w:rsid w:val="00907858"/>
    <w:rsid w:val="00912A42"/>
    <w:rsid w:val="00913596"/>
    <w:rsid w:val="00914C60"/>
    <w:rsid w:val="0092076A"/>
    <w:rsid w:val="0092277E"/>
    <w:rsid w:val="009228D3"/>
    <w:rsid w:val="009234C5"/>
    <w:rsid w:val="009246D2"/>
    <w:rsid w:val="0092485D"/>
    <w:rsid w:val="00924B3D"/>
    <w:rsid w:val="00926660"/>
    <w:rsid w:val="00926B03"/>
    <w:rsid w:val="009274EA"/>
    <w:rsid w:val="00927606"/>
    <w:rsid w:val="009316F0"/>
    <w:rsid w:val="009328B7"/>
    <w:rsid w:val="00932EC4"/>
    <w:rsid w:val="009330E5"/>
    <w:rsid w:val="009343AF"/>
    <w:rsid w:val="009347BF"/>
    <w:rsid w:val="009402DC"/>
    <w:rsid w:val="00940CC9"/>
    <w:rsid w:val="00944B61"/>
    <w:rsid w:val="009457E9"/>
    <w:rsid w:val="00945AEB"/>
    <w:rsid w:val="00950ED2"/>
    <w:rsid w:val="00952A57"/>
    <w:rsid w:val="0095422A"/>
    <w:rsid w:val="00956B4C"/>
    <w:rsid w:val="0096201B"/>
    <w:rsid w:val="009629DC"/>
    <w:rsid w:val="0096368A"/>
    <w:rsid w:val="00964B4B"/>
    <w:rsid w:val="00965BF7"/>
    <w:rsid w:val="00971755"/>
    <w:rsid w:val="00971CB0"/>
    <w:rsid w:val="0097436D"/>
    <w:rsid w:val="00974945"/>
    <w:rsid w:val="00975655"/>
    <w:rsid w:val="0098153A"/>
    <w:rsid w:val="009824C6"/>
    <w:rsid w:val="00982852"/>
    <w:rsid w:val="00983628"/>
    <w:rsid w:val="00984651"/>
    <w:rsid w:val="00984757"/>
    <w:rsid w:val="00985FDB"/>
    <w:rsid w:val="009912D9"/>
    <w:rsid w:val="00995187"/>
    <w:rsid w:val="00996D71"/>
    <w:rsid w:val="009973AF"/>
    <w:rsid w:val="009A1D03"/>
    <w:rsid w:val="009A347F"/>
    <w:rsid w:val="009A3C89"/>
    <w:rsid w:val="009A4144"/>
    <w:rsid w:val="009A61F3"/>
    <w:rsid w:val="009A78BD"/>
    <w:rsid w:val="009B3B99"/>
    <w:rsid w:val="009B3E69"/>
    <w:rsid w:val="009B474E"/>
    <w:rsid w:val="009B4E8E"/>
    <w:rsid w:val="009B7B80"/>
    <w:rsid w:val="009B7B8F"/>
    <w:rsid w:val="009C2C02"/>
    <w:rsid w:val="009C6852"/>
    <w:rsid w:val="009D3070"/>
    <w:rsid w:val="009D3349"/>
    <w:rsid w:val="009D3352"/>
    <w:rsid w:val="009D75B8"/>
    <w:rsid w:val="009E0AFA"/>
    <w:rsid w:val="009E1511"/>
    <w:rsid w:val="009E23D0"/>
    <w:rsid w:val="009E2DBD"/>
    <w:rsid w:val="009E2DD3"/>
    <w:rsid w:val="009E4026"/>
    <w:rsid w:val="009E42D6"/>
    <w:rsid w:val="009E64BF"/>
    <w:rsid w:val="009E77D8"/>
    <w:rsid w:val="009E7EDE"/>
    <w:rsid w:val="009F0D02"/>
    <w:rsid w:val="009F0F74"/>
    <w:rsid w:val="009F0FAF"/>
    <w:rsid w:val="009F11D6"/>
    <w:rsid w:val="009F1EB8"/>
    <w:rsid w:val="009F4C86"/>
    <w:rsid w:val="009F5822"/>
    <w:rsid w:val="00A0010D"/>
    <w:rsid w:val="00A00599"/>
    <w:rsid w:val="00A01066"/>
    <w:rsid w:val="00A016A1"/>
    <w:rsid w:val="00A061B5"/>
    <w:rsid w:val="00A068FD"/>
    <w:rsid w:val="00A072C1"/>
    <w:rsid w:val="00A077F5"/>
    <w:rsid w:val="00A1086D"/>
    <w:rsid w:val="00A108FD"/>
    <w:rsid w:val="00A10B73"/>
    <w:rsid w:val="00A14DC3"/>
    <w:rsid w:val="00A16B0A"/>
    <w:rsid w:val="00A16FDE"/>
    <w:rsid w:val="00A17E06"/>
    <w:rsid w:val="00A20FE2"/>
    <w:rsid w:val="00A2277A"/>
    <w:rsid w:val="00A23006"/>
    <w:rsid w:val="00A243A8"/>
    <w:rsid w:val="00A26457"/>
    <w:rsid w:val="00A26675"/>
    <w:rsid w:val="00A31369"/>
    <w:rsid w:val="00A317DD"/>
    <w:rsid w:val="00A331FE"/>
    <w:rsid w:val="00A33F05"/>
    <w:rsid w:val="00A34015"/>
    <w:rsid w:val="00A3408A"/>
    <w:rsid w:val="00A3528D"/>
    <w:rsid w:val="00A3579B"/>
    <w:rsid w:val="00A40A5A"/>
    <w:rsid w:val="00A41D60"/>
    <w:rsid w:val="00A44C9E"/>
    <w:rsid w:val="00A44CF2"/>
    <w:rsid w:val="00A45244"/>
    <w:rsid w:val="00A5069B"/>
    <w:rsid w:val="00A5158A"/>
    <w:rsid w:val="00A5298C"/>
    <w:rsid w:val="00A57DBD"/>
    <w:rsid w:val="00A57EB0"/>
    <w:rsid w:val="00A60B6F"/>
    <w:rsid w:val="00A61FCE"/>
    <w:rsid w:val="00A62BBD"/>
    <w:rsid w:val="00A63143"/>
    <w:rsid w:val="00A633CC"/>
    <w:rsid w:val="00A63A63"/>
    <w:rsid w:val="00A6530A"/>
    <w:rsid w:val="00A737F4"/>
    <w:rsid w:val="00A73D5E"/>
    <w:rsid w:val="00A74CA7"/>
    <w:rsid w:val="00A75405"/>
    <w:rsid w:val="00A75442"/>
    <w:rsid w:val="00A77428"/>
    <w:rsid w:val="00A804FF"/>
    <w:rsid w:val="00A82B6B"/>
    <w:rsid w:val="00A91338"/>
    <w:rsid w:val="00A92587"/>
    <w:rsid w:val="00A94529"/>
    <w:rsid w:val="00A95D72"/>
    <w:rsid w:val="00A96FEE"/>
    <w:rsid w:val="00A97468"/>
    <w:rsid w:val="00AA0707"/>
    <w:rsid w:val="00AA149B"/>
    <w:rsid w:val="00AA3B43"/>
    <w:rsid w:val="00AA43A5"/>
    <w:rsid w:val="00AA45FF"/>
    <w:rsid w:val="00AA5320"/>
    <w:rsid w:val="00AA6295"/>
    <w:rsid w:val="00AA75CB"/>
    <w:rsid w:val="00AB0CF4"/>
    <w:rsid w:val="00AB65E1"/>
    <w:rsid w:val="00AB78B9"/>
    <w:rsid w:val="00AC0A05"/>
    <w:rsid w:val="00AC290A"/>
    <w:rsid w:val="00AC42C7"/>
    <w:rsid w:val="00AC48E4"/>
    <w:rsid w:val="00AC4C4F"/>
    <w:rsid w:val="00AC69BF"/>
    <w:rsid w:val="00AC7815"/>
    <w:rsid w:val="00AD17A1"/>
    <w:rsid w:val="00AD7A7A"/>
    <w:rsid w:val="00AD7C24"/>
    <w:rsid w:val="00AE0650"/>
    <w:rsid w:val="00AE59A5"/>
    <w:rsid w:val="00AE7BCE"/>
    <w:rsid w:val="00AF0099"/>
    <w:rsid w:val="00AF455A"/>
    <w:rsid w:val="00AF5552"/>
    <w:rsid w:val="00B0016C"/>
    <w:rsid w:val="00B00FB5"/>
    <w:rsid w:val="00B0330F"/>
    <w:rsid w:val="00B03318"/>
    <w:rsid w:val="00B03CBD"/>
    <w:rsid w:val="00B068FB"/>
    <w:rsid w:val="00B114F4"/>
    <w:rsid w:val="00B1198E"/>
    <w:rsid w:val="00B127A3"/>
    <w:rsid w:val="00B12E51"/>
    <w:rsid w:val="00B13B04"/>
    <w:rsid w:val="00B17161"/>
    <w:rsid w:val="00B17AC3"/>
    <w:rsid w:val="00B20587"/>
    <w:rsid w:val="00B21DE4"/>
    <w:rsid w:val="00B2307E"/>
    <w:rsid w:val="00B2411F"/>
    <w:rsid w:val="00B244CE"/>
    <w:rsid w:val="00B2479D"/>
    <w:rsid w:val="00B256F1"/>
    <w:rsid w:val="00B25F2C"/>
    <w:rsid w:val="00B26B14"/>
    <w:rsid w:val="00B27A4E"/>
    <w:rsid w:val="00B27E53"/>
    <w:rsid w:val="00B312E8"/>
    <w:rsid w:val="00B319A2"/>
    <w:rsid w:val="00B34824"/>
    <w:rsid w:val="00B40C71"/>
    <w:rsid w:val="00B436FD"/>
    <w:rsid w:val="00B45730"/>
    <w:rsid w:val="00B47ED2"/>
    <w:rsid w:val="00B50299"/>
    <w:rsid w:val="00B50E0A"/>
    <w:rsid w:val="00B5108D"/>
    <w:rsid w:val="00B513A8"/>
    <w:rsid w:val="00B51B67"/>
    <w:rsid w:val="00B52D74"/>
    <w:rsid w:val="00B54FFD"/>
    <w:rsid w:val="00B554CE"/>
    <w:rsid w:val="00B630EE"/>
    <w:rsid w:val="00B640F8"/>
    <w:rsid w:val="00B65B3B"/>
    <w:rsid w:val="00B66395"/>
    <w:rsid w:val="00B6791F"/>
    <w:rsid w:val="00B6796A"/>
    <w:rsid w:val="00B679F0"/>
    <w:rsid w:val="00B70E00"/>
    <w:rsid w:val="00B71775"/>
    <w:rsid w:val="00B738DE"/>
    <w:rsid w:val="00B73976"/>
    <w:rsid w:val="00B749C4"/>
    <w:rsid w:val="00B7526F"/>
    <w:rsid w:val="00B75A44"/>
    <w:rsid w:val="00B76A97"/>
    <w:rsid w:val="00B84BB1"/>
    <w:rsid w:val="00B86A7A"/>
    <w:rsid w:val="00B871AF"/>
    <w:rsid w:val="00B921A5"/>
    <w:rsid w:val="00B92B02"/>
    <w:rsid w:val="00B93C81"/>
    <w:rsid w:val="00B94E94"/>
    <w:rsid w:val="00B95B04"/>
    <w:rsid w:val="00B97255"/>
    <w:rsid w:val="00B97E55"/>
    <w:rsid w:val="00BA001D"/>
    <w:rsid w:val="00BA00BA"/>
    <w:rsid w:val="00BA0A97"/>
    <w:rsid w:val="00BA22B6"/>
    <w:rsid w:val="00BA3DA6"/>
    <w:rsid w:val="00BA4AB1"/>
    <w:rsid w:val="00BA60DB"/>
    <w:rsid w:val="00BA6307"/>
    <w:rsid w:val="00BA681B"/>
    <w:rsid w:val="00BA75C2"/>
    <w:rsid w:val="00BB0522"/>
    <w:rsid w:val="00BB145F"/>
    <w:rsid w:val="00BB17DF"/>
    <w:rsid w:val="00BB1F5B"/>
    <w:rsid w:val="00BB23AA"/>
    <w:rsid w:val="00BB2661"/>
    <w:rsid w:val="00BB3936"/>
    <w:rsid w:val="00BC0066"/>
    <w:rsid w:val="00BC0457"/>
    <w:rsid w:val="00BC0717"/>
    <w:rsid w:val="00BC1885"/>
    <w:rsid w:val="00BC1F65"/>
    <w:rsid w:val="00BC2566"/>
    <w:rsid w:val="00BC2615"/>
    <w:rsid w:val="00BC2EF4"/>
    <w:rsid w:val="00BC33A4"/>
    <w:rsid w:val="00BC6088"/>
    <w:rsid w:val="00BD1A27"/>
    <w:rsid w:val="00BD2174"/>
    <w:rsid w:val="00BD2651"/>
    <w:rsid w:val="00BD2FDE"/>
    <w:rsid w:val="00BD4930"/>
    <w:rsid w:val="00BD56EE"/>
    <w:rsid w:val="00BD64E1"/>
    <w:rsid w:val="00BD69DB"/>
    <w:rsid w:val="00BD6DDA"/>
    <w:rsid w:val="00BD7103"/>
    <w:rsid w:val="00BE168C"/>
    <w:rsid w:val="00BE29D0"/>
    <w:rsid w:val="00BE3502"/>
    <w:rsid w:val="00BE351A"/>
    <w:rsid w:val="00BE4DB1"/>
    <w:rsid w:val="00BE6579"/>
    <w:rsid w:val="00BE6971"/>
    <w:rsid w:val="00BE7E8F"/>
    <w:rsid w:val="00BF0A98"/>
    <w:rsid w:val="00BF2A79"/>
    <w:rsid w:val="00BF2D16"/>
    <w:rsid w:val="00BF31C1"/>
    <w:rsid w:val="00BF3D90"/>
    <w:rsid w:val="00BF5262"/>
    <w:rsid w:val="00BF639C"/>
    <w:rsid w:val="00C01477"/>
    <w:rsid w:val="00C02641"/>
    <w:rsid w:val="00C05D12"/>
    <w:rsid w:val="00C07012"/>
    <w:rsid w:val="00C10DEE"/>
    <w:rsid w:val="00C12EC0"/>
    <w:rsid w:val="00C141A9"/>
    <w:rsid w:val="00C15554"/>
    <w:rsid w:val="00C16330"/>
    <w:rsid w:val="00C17A65"/>
    <w:rsid w:val="00C20C07"/>
    <w:rsid w:val="00C20C0C"/>
    <w:rsid w:val="00C2123C"/>
    <w:rsid w:val="00C224DE"/>
    <w:rsid w:val="00C23C6C"/>
    <w:rsid w:val="00C254D4"/>
    <w:rsid w:val="00C25B4E"/>
    <w:rsid w:val="00C268B9"/>
    <w:rsid w:val="00C3149E"/>
    <w:rsid w:val="00C3699F"/>
    <w:rsid w:val="00C37305"/>
    <w:rsid w:val="00C40B81"/>
    <w:rsid w:val="00C40C3F"/>
    <w:rsid w:val="00C428BB"/>
    <w:rsid w:val="00C42E2F"/>
    <w:rsid w:val="00C4377B"/>
    <w:rsid w:val="00C44D32"/>
    <w:rsid w:val="00C451DA"/>
    <w:rsid w:val="00C479F7"/>
    <w:rsid w:val="00C5096B"/>
    <w:rsid w:val="00C509FF"/>
    <w:rsid w:val="00C51730"/>
    <w:rsid w:val="00C51A89"/>
    <w:rsid w:val="00C51B57"/>
    <w:rsid w:val="00C530ED"/>
    <w:rsid w:val="00C545AC"/>
    <w:rsid w:val="00C57053"/>
    <w:rsid w:val="00C60900"/>
    <w:rsid w:val="00C60E41"/>
    <w:rsid w:val="00C61476"/>
    <w:rsid w:val="00C6647A"/>
    <w:rsid w:val="00C709E3"/>
    <w:rsid w:val="00C738AF"/>
    <w:rsid w:val="00C73ED3"/>
    <w:rsid w:val="00C74313"/>
    <w:rsid w:val="00C7455C"/>
    <w:rsid w:val="00C75321"/>
    <w:rsid w:val="00C755F5"/>
    <w:rsid w:val="00C823A9"/>
    <w:rsid w:val="00C82C59"/>
    <w:rsid w:val="00C841DE"/>
    <w:rsid w:val="00C843D3"/>
    <w:rsid w:val="00C87B07"/>
    <w:rsid w:val="00C914A0"/>
    <w:rsid w:val="00C9269D"/>
    <w:rsid w:val="00C9457C"/>
    <w:rsid w:val="00C94AD0"/>
    <w:rsid w:val="00C94F62"/>
    <w:rsid w:val="00C94F7F"/>
    <w:rsid w:val="00C978CE"/>
    <w:rsid w:val="00CA193C"/>
    <w:rsid w:val="00CA3AFA"/>
    <w:rsid w:val="00CA4275"/>
    <w:rsid w:val="00CA4610"/>
    <w:rsid w:val="00CA5CEC"/>
    <w:rsid w:val="00CB24E0"/>
    <w:rsid w:val="00CB3A03"/>
    <w:rsid w:val="00CB44D0"/>
    <w:rsid w:val="00CB5630"/>
    <w:rsid w:val="00CB636E"/>
    <w:rsid w:val="00CB7A1A"/>
    <w:rsid w:val="00CB7FEC"/>
    <w:rsid w:val="00CC35EF"/>
    <w:rsid w:val="00CC54C2"/>
    <w:rsid w:val="00CC634D"/>
    <w:rsid w:val="00CC63F5"/>
    <w:rsid w:val="00CC6EBA"/>
    <w:rsid w:val="00CC715D"/>
    <w:rsid w:val="00CC7326"/>
    <w:rsid w:val="00CD0A07"/>
    <w:rsid w:val="00CD232E"/>
    <w:rsid w:val="00CD3270"/>
    <w:rsid w:val="00CD32CD"/>
    <w:rsid w:val="00CD466F"/>
    <w:rsid w:val="00CE2CC2"/>
    <w:rsid w:val="00CE51F6"/>
    <w:rsid w:val="00CE5C25"/>
    <w:rsid w:val="00CF284E"/>
    <w:rsid w:val="00CF2E2C"/>
    <w:rsid w:val="00CF65ED"/>
    <w:rsid w:val="00CF67B7"/>
    <w:rsid w:val="00D011EF"/>
    <w:rsid w:val="00D015CD"/>
    <w:rsid w:val="00D04A12"/>
    <w:rsid w:val="00D06088"/>
    <w:rsid w:val="00D07272"/>
    <w:rsid w:val="00D07D7F"/>
    <w:rsid w:val="00D1044B"/>
    <w:rsid w:val="00D10C84"/>
    <w:rsid w:val="00D12783"/>
    <w:rsid w:val="00D138C7"/>
    <w:rsid w:val="00D14D96"/>
    <w:rsid w:val="00D1751A"/>
    <w:rsid w:val="00D17FB5"/>
    <w:rsid w:val="00D20F90"/>
    <w:rsid w:val="00D22621"/>
    <w:rsid w:val="00D234CD"/>
    <w:rsid w:val="00D25D51"/>
    <w:rsid w:val="00D27083"/>
    <w:rsid w:val="00D276DA"/>
    <w:rsid w:val="00D3786C"/>
    <w:rsid w:val="00D404F3"/>
    <w:rsid w:val="00D40503"/>
    <w:rsid w:val="00D41D88"/>
    <w:rsid w:val="00D42701"/>
    <w:rsid w:val="00D43ACF"/>
    <w:rsid w:val="00D449DC"/>
    <w:rsid w:val="00D45074"/>
    <w:rsid w:val="00D45425"/>
    <w:rsid w:val="00D45864"/>
    <w:rsid w:val="00D46B0E"/>
    <w:rsid w:val="00D4795A"/>
    <w:rsid w:val="00D5132E"/>
    <w:rsid w:val="00D516FD"/>
    <w:rsid w:val="00D51F71"/>
    <w:rsid w:val="00D52CC0"/>
    <w:rsid w:val="00D53BC2"/>
    <w:rsid w:val="00D55D07"/>
    <w:rsid w:val="00D56847"/>
    <w:rsid w:val="00D61EB6"/>
    <w:rsid w:val="00D62424"/>
    <w:rsid w:val="00D65047"/>
    <w:rsid w:val="00D703BF"/>
    <w:rsid w:val="00D70BB9"/>
    <w:rsid w:val="00D70C44"/>
    <w:rsid w:val="00D719D4"/>
    <w:rsid w:val="00D72042"/>
    <w:rsid w:val="00D72111"/>
    <w:rsid w:val="00D72855"/>
    <w:rsid w:val="00D72F5D"/>
    <w:rsid w:val="00D73CBF"/>
    <w:rsid w:val="00D745DF"/>
    <w:rsid w:val="00D75438"/>
    <w:rsid w:val="00D81B6C"/>
    <w:rsid w:val="00D81FCB"/>
    <w:rsid w:val="00D820D6"/>
    <w:rsid w:val="00D8253A"/>
    <w:rsid w:val="00D829E4"/>
    <w:rsid w:val="00D8587B"/>
    <w:rsid w:val="00D859B3"/>
    <w:rsid w:val="00D85D4E"/>
    <w:rsid w:val="00D861B0"/>
    <w:rsid w:val="00D87525"/>
    <w:rsid w:val="00D87CAF"/>
    <w:rsid w:val="00D90F71"/>
    <w:rsid w:val="00D934DC"/>
    <w:rsid w:val="00D937BE"/>
    <w:rsid w:val="00D970CE"/>
    <w:rsid w:val="00D977C0"/>
    <w:rsid w:val="00D97869"/>
    <w:rsid w:val="00D97D42"/>
    <w:rsid w:val="00DA252C"/>
    <w:rsid w:val="00DA2B66"/>
    <w:rsid w:val="00DA2DC7"/>
    <w:rsid w:val="00DA4A72"/>
    <w:rsid w:val="00DA4CB2"/>
    <w:rsid w:val="00DA5EAE"/>
    <w:rsid w:val="00DA7F53"/>
    <w:rsid w:val="00DB1A6A"/>
    <w:rsid w:val="00DB1E01"/>
    <w:rsid w:val="00DB663C"/>
    <w:rsid w:val="00DB6941"/>
    <w:rsid w:val="00DC0287"/>
    <w:rsid w:val="00DC25C2"/>
    <w:rsid w:val="00DC2B82"/>
    <w:rsid w:val="00DC30A0"/>
    <w:rsid w:val="00DC479C"/>
    <w:rsid w:val="00DC6124"/>
    <w:rsid w:val="00DC6164"/>
    <w:rsid w:val="00DC7BB6"/>
    <w:rsid w:val="00DD196C"/>
    <w:rsid w:val="00DD1985"/>
    <w:rsid w:val="00DD1AF1"/>
    <w:rsid w:val="00DD4BB7"/>
    <w:rsid w:val="00DD6193"/>
    <w:rsid w:val="00DD6A9A"/>
    <w:rsid w:val="00DE0A5E"/>
    <w:rsid w:val="00DE0B9F"/>
    <w:rsid w:val="00DE11DF"/>
    <w:rsid w:val="00DE25F4"/>
    <w:rsid w:val="00DE2796"/>
    <w:rsid w:val="00DE2BA1"/>
    <w:rsid w:val="00DE34F5"/>
    <w:rsid w:val="00DE3FF8"/>
    <w:rsid w:val="00DE4D0C"/>
    <w:rsid w:val="00DF3D3E"/>
    <w:rsid w:val="00DF6E55"/>
    <w:rsid w:val="00DF71E9"/>
    <w:rsid w:val="00DF7B1D"/>
    <w:rsid w:val="00E02F1E"/>
    <w:rsid w:val="00E05477"/>
    <w:rsid w:val="00E057F5"/>
    <w:rsid w:val="00E12630"/>
    <w:rsid w:val="00E12788"/>
    <w:rsid w:val="00E1347B"/>
    <w:rsid w:val="00E1476F"/>
    <w:rsid w:val="00E14CA5"/>
    <w:rsid w:val="00E16BEA"/>
    <w:rsid w:val="00E21292"/>
    <w:rsid w:val="00E230E1"/>
    <w:rsid w:val="00E24C81"/>
    <w:rsid w:val="00E24E77"/>
    <w:rsid w:val="00E37E8C"/>
    <w:rsid w:val="00E42344"/>
    <w:rsid w:val="00E428BC"/>
    <w:rsid w:val="00E43F3A"/>
    <w:rsid w:val="00E44575"/>
    <w:rsid w:val="00E47945"/>
    <w:rsid w:val="00E47999"/>
    <w:rsid w:val="00E50F44"/>
    <w:rsid w:val="00E51077"/>
    <w:rsid w:val="00E533D6"/>
    <w:rsid w:val="00E545E6"/>
    <w:rsid w:val="00E553D7"/>
    <w:rsid w:val="00E57464"/>
    <w:rsid w:val="00E57B16"/>
    <w:rsid w:val="00E61393"/>
    <w:rsid w:val="00E61A9E"/>
    <w:rsid w:val="00E61BBF"/>
    <w:rsid w:val="00E62CAC"/>
    <w:rsid w:val="00E63408"/>
    <w:rsid w:val="00E63A22"/>
    <w:rsid w:val="00E654F4"/>
    <w:rsid w:val="00E66699"/>
    <w:rsid w:val="00E70778"/>
    <w:rsid w:val="00E7109E"/>
    <w:rsid w:val="00E741B2"/>
    <w:rsid w:val="00E750D0"/>
    <w:rsid w:val="00E764DD"/>
    <w:rsid w:val="00E766CC"/>
    <w:rsid w:val="00E76A73"/>
    <w:rsid w:val="00E77F6A"/>
    <w:rsid w:val="00E80AA9"/>
    <w:rsid w:val="00E80E68"/>
    <w:rsid w:val="00E81053"/>
    <w:rsid w:val="00E81772"/>
    <w:rsid w:val="00E83006"/>
    <w:rsid w:val="00E83167"/>
    <w:rsid w:val="00E841B2"/>
    <w:rsid w:val="00E85186"/>
    <w:rsid w:val="00E8553F"/>
    <w:rsid w:val="00E8720C"/>
    <w:rsid w:val="00E942E3"/>
    <w:rsid w:val="00E95C60"/>
    <w:rsid w:val="00E96EB1"/>
    <w:rsid w:val="00E9745D"/>
    <w:rsid w:val="00E97F47"/>
    <w:rsid w:val="00EA0743"/>
    <w:rsid w:val="00EA234D"/>
    <w:rsid w:val="00EA5F53"/>
    <w:rsid w:val="00EA7729"/>
    <w:rsid w:val="00EA7A2E"/>
    <w:rsid w:val="00EA7F68"/>
    <w:rsid w:val="00EA7F8E"/>
    <w:rsid w:val="00EB009A"/>
    <w:rsid w:val="00EB027B"/>
    <w:rsid w:val="00EB034A"/>
    <w:rsid w:val="00EB1D39"/>
    <w:rsid w:val="00EB2884"/>
    <w:rsid w:val="00EB3CE1"/>
    <w:rsid w:val="00EB4B3D"/>
    <w:rsid w:val="00EB57E6"/>
    <w:rsid w:val="00EB589A"/>
    <w:rsid w:val="00EB7498"/>
    <w:rsid w:val="00EB7BDB"/>
    <w:rsid w:val="00EC2795"/>
    <w:rsid w:val="00EC3CC2"/>
    <w:rsid w:val="00EC4017"/>
    <w:rsid w:val="00ED0F83"/>
    <w:rsid w:val="00ED17E9"/>
    <w:rsid w:val="00ED1C39"/>
    <w:rsid w:val="00ED1EF4"/>
    <w:rsid w:val="00ED2DF9"/>
    <w:rsid w:val="00ED5F3D"/>
    <w:rsid w:val="00ED78AB"/>
    <w:rsid w:val="00ED7EAB"/>
    <w:rsid w:val="00EE0434"/>
    <w:rsid w:val="00EE22A1"/>
    <w:rsid w:val="00EE348A"/>
    <w:rsid w:val="00EE4356"/>
    <w:rsid w:val="00EF34CD"/>
    <w:rsid w:val="00EF37E4"/>
    <w:rsid w:val="00EF40DF"/>
    <w:rsid w:val="00EF5C18"/>
    <w:rsid w:val="00EF6FDA"/>
    <w:rsid w:val="00F01CCA"/>
    <w:rsid w:val="00F0208E"/>
    <w:rsid w:val="00F02808"/>
    <w:rsid w:val="00F02A38"/>
    <w:rsid w:val="00F037C9"/>
    <w:rsid w:val="00F03D1F"/>
    <w:rsid w:val="00F05B1D"/>
    <w:rsid w:val="00F05B41"/>
    <w:rsid w:val="00F06301"/>
    <w:rsid w:val="00F06BD1"/>
    <w:rsid w:val="00F06D5D"/>
    <w:rsid w:val="00F07C54"/>
    <w:rsid w:val="00F10F86"/>
    <w:rsid w:val="00F12C0E"/>
    <w:rsid w:val="00F137E4"/>
    <w:rsid w:val="00F15DCE"/>
    <w:rsid w:val="00F16148"/>
    <w:rsid w:val="00F17821"/>
    <w:rsid w:val="00F227A1"/>
    <w:rsid w:val="00F2430D"/>
    <w:rsid w:val="00F247DE"/>
    <w:rsid w:val="00F30251"/>
    <w:rsid w:val="00F30E0E"/>
    <w:rsid w:val="00F332BE"/>
    <w:rsid w:val="00F33DBA"/>
    <w:rsid w:val="00F34396"/>
    <w:rsid w:val="00F35113"/>
    <w:rsid w:val="00F36F22"/>
    <w:rsid w:val="00F37634"/>
    <w:rsid w:val="00F37D43"/>
    <w:rsid w:val="00F37DC7"/>
    <w:rsid w:val="00F43576"/>
    <w:rsid w:val="00F44C87"/>
    <w:rsid w:val="00F45090"/>
    <w:rsid w:val="00F47F7A"/>
    <w:rsid w:val="00F502A3"/>
    <w:rsid w:val="00F52936"/>
    <w:rsid w:val="00F534E9"/>
    <w:rsid w:val="00F535AE"/>
    <w:rsid w:val="00F54618"/>
    <w:rsid w:val="00F54763"/>
    <w:rsid w:val="00F547B0"/>
    <w:rsid w:val="00F54DBB"/>
    <w:rsid w:val="00F56259"/>
    <w:rsid w:val="00F56400"/>
    <w:rsid w:val="00F56454"/>
    <w:rsid w:val="00F564F2"/>
    <w:rsid w:val="00F6061E"/>
    <w:rsid w:val="00F6307D"/>
    <w:rsid w:val="00F65743"/>
    <w:rsid w:val="00F65B25"/>
    <w:rsid w:val="00F66C6B"/>
    <w:rsid w:val="00F72A0C"/>
    <w:rsid w:val="00F756B4"/>
    <w:rsid w:val="00F7746B"/>
    <w:rsid w:val="00F80450"/>
    <w:rsid w:val="00F81784"/>
    <w:rsid w:val="00F83916"/>
    <w:rsid w:val="00F83BA6"/>
    <w:rsid w:val="00F8460D"/>
    <w:rsid w:val="00F84B11"/>
    <w:rsid w:val="00F84EFA"/>
    <w:rsid w:val="00F868E4"/>
    <w:rsid w:val="00F86AEB"/>
    <w:rsid w:val="00F907CB"/>
    <w:rsid w:val="00F92E43"/>
    <w:rsid w:val="00F9359C"/>
    <w:rsid w:val="00F97138"/>
    <w:rsid w:val="00F972A8"/>
    <w:rsid w:val="00F973FF"/>
    <w:rsid w:val="00F975C8"/>
    <w:rsid w:val="00FA2D59"/>
    <w:rsid w:val="00FA5921"/>
    <w:rsid w:val="00FA6A4E"/>
    <w:rsid w:val="00FB16D1"/>
    <w:rsid w:val="00FB26BD"/>
    <w:rsid w:val="00FB2763"/>
    <w:rsid w:val="00FB2F2A"/>
    <w:rsid w:val="00FB4D5B"/>
    <w:rsid w:val="00FB63C3"/>
    <w:rsid w:val="00FB68A4"/>
    <w:rsid w:val="00FB6FC8"/>
    <w:rsid w:val="00FB7ADE"/>
    <w:rsid w:val="00FC0E5D"/>
    <w:rsid w:val="00FC3266"/>
    <w:rsid w:val="00FC5575"/>
    <w:rsid w:val="00FC5CB9"/>
    <w:rsid w:val="00FC696A"/>
    <w:rsid w:val="00FC72CD"/>
    <w:rsid w:val="00FD0B1F"/>
    <w:rsid w:val="00FD0C29"/>
    <w:rsid w:val="00FD5F97"/>
    <w:rsid w:val="00FD6D4D"/>
    <w:rsid w:val="00FE3506"/>
    <w:rsid w:val="00FE3627"/>
    <w:rsid w:val="00FE43C1"/>
    <w:rsid w:val="00FE6F01"/>
    <w:rsid w:val="00FF0F76"/>
    <w:rsid w:val="00FF20B9"/>
    <w:rsid w:val="00FF575C"/>
    <w:rsid w:val="00FF6181"/>
    <w:rsid w:val="00FF7F4A"/>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735BE788"/>
  <w14:defaultImageDpi w14:val="300"/>
  <w15:docId w15:val="{F94CC519-0C31-4843-B2BE-A123C7DC2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fr-FR"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2D0"/>
    <w:pPr>
      <w:numPr>
        <w:numId w:val="6"/>
      </w:numPr>
      <w:suppressAutoHyphens/>
      <w:spacing w:before="120" w:after="120" w:line="360" w:lineRule="auto"/>
      <w:jc w:val="both"/>
    </w:pPr>
    <w:rPr>
      <w:rFonts w:eastAsia="Times New Roman"/>
      <w:sz w:val="24"/>
      <w:lang w:eastAsia="fr-FR"/>
    </w:rPr>
  </w:style>
  <w:style w:type="paragraph" w:styleId="Titre2">
    <w:name w:val="heading 2"/>
    <w:basedOn w:val="Normal"/>
    <w:next w:val="Normal"/>
    <w:link w:val="Titre2Car"/>
    <w:uiPriority w:val="9"/>
    <w:unhideWhenUsed/>
    <w:qFormat/>
    <w:rsid w:val="00B95B0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Appelnotedebasdep">
    <w:name w:val="footnote reference"/>
    <w:basedOn w:val="Policepardfaut"/>
    <w:uiPriority w:val="99"/>
    <w:unhideWhenUsed/>
    <w:qFormat/>
    <w:rsid w:val="00F247DE"/>
    <w:rPr>
      <w:vertAlign w:val="superscript"/>
    </w:rPr>
  </w:style>
  <w:style w:type="paragraph" w:styleId="Notedebasdepage">
    <w:name w:val="footnote text"/>
    <w:basedOn w:val="Normal"/>
    <w:link w:val="NotedebasdepageCar"/>
    <w:qFormat/>
    <w:rsid w:val="005B3A33"/>
    <w:pPr>
      <w:numPr>
        <w:numId w:val="0"/>
      </w:numPr>
    </w:pPr>
    <w:rPr>
      <w:rFonts w:eastAsia="SimSun"/>
      <w:sz w:val="20"/>
      <w:lang w:eastAsia="zh-CN"/>
    </w:rPr>
  </w:style>
  <w:style w:type="paragraph" w:styleId="Textedebulles">
    <w:name w:val="Balloon Text"/>
    <w:basedOn w:val="Normal"/>
    <w:semiHidden/>
    <w:rsid w:val="00A53329"/>
    <w:rPr>
      <w:rFonts w:ascii="Lucida Grande" w:hAnsi="Lucida Grande"/>
      <w:sz w:val="18"/>
      <w:szCs w:val="18"/>
    </w:rPr>
  </w:style>
  <w:style w:type="character" w:customStyle="1" w:styleId="NotedebasdepageCar">
    <w:name w:val="Note de bas de page Car"/>
    <w:basedOn w:val="Policepardfaut"/>
    <w:link w:val="Notedebasdepage"/>
    <w:rsid w:val="001F46AE"/>
    <w:rPr>
      <w:rFonts w:eastAsia="SimSun"/>
      <w:lang w:eastAsia="zh-CN"/>
    </w:rPr>
  </w:style>
  <w:style w:type="paragraph" w:styleId="Citation">
    <w:name w:val="Quote"/>
    <w:basedOn w:val="Normal"/>
    <w:next w:val="Normal"/>
    <w:link w:val="CitationCar"/>
    <w:qFormat/>
    <w:rsid w:val="007422F0"/>
    <w:pPr>
      <w:suppressAutoHyphens w:val="0"/>
      <w:ind w:left="567"/>
    </w:pPr>
    <w:rPr>
      <w:iCs/>
      <w:szCs w:val="24"/>
      <w:lang w:eastAsia="en-GB"/>
    </w:rPr>
  </w:style>
  <w:style w:type="character" w:customStyle="1" w:styleId="CitationCar">
    <w:name w:val="Citation Car"/>
    <w:basedOn w:val="Policepardfaut"/>
    <w:link w:val="Citation"/>
    <w:rsid w:val="007422F0"/>
    <w:rPr>
      <w:rFonts w:eastAsia="Times New Roman"/>
      <w:iCs/>
      <w:sz w:val="24"/>
      <w:szCs w:val="24"/>
      <w:lang w:eastAsia="en-GB"/>
    </w:rPr>
  </w:style>
  <w:style w:type="paragraph" w:styleId="En-tte">
    <w:name w:val="header"/>
    <w:basedOn w:val="Normal"/>
    <w:link w:val="En-tteCar"/>
    <w:uiPriority w:val="99"/>
    <w:unhideWhenUsed/>
    <w:rsid w:val="004F5280"/>
    <w:pPr>
      <w:tabs>
        <w:tab w:val="center" w:pos="4536"/>
        <w:tab w:val="right" w:pos="9072"/>
      </w:tabs>
    </w:pPr>
  </w:style>
  <w:style w:type="character" w:customStyle="1" w:styleId="En-tteCar">
    <w:name w:val="En-tête Car"/>
    <w:basedOn w:val="Policepardfaut"/>
    <w:link w:val="En-tte"/>
    <w:uiPriority w:val="99"/>
    <w:rsid w:val="004F5280"/>
    <w:rPr>
      <w:rFonts w:eastAsia="Times New Roman"/>
      <w:sz w:val="24"/>
      <w:lang w:eastAsia="fr-FR"/>
    </w:rPr>
  </w:style>
  <w:style w:type="paragraph" w:styleId="Pieddepage">
    <w:name w:val="footer"/>
    <w:basedOn w:val="Normal"/>
    <w:link w:val="PieddepageCar"/>
    <w:uiPriority w:val="99"/>
    <w:unhideWhenUsed/>
    <w:rsid w:val="004F5280"/>
    <w:pPr>
      <w:tabs>
        <w:tab w:val="center" w:pos="4536"/>
        <w:tab w:val="right" w:pos="9072"/>
      </w:tabs>
    </w:pPr>
  </w:style>
  <w:style w:type="character" w:customStyle="1" w:styleId="PieddepageCar">
    <w:name w:val="Pied de page Car"/>
    <w:basedOn w:val="Policepardfaut"/>
    <w:link w:val="Pieddepage"/>
    <w:uiPriority w:val="99"/>
    <w:rsid w:val="004F5280"/>
    <w:rPr>
      <w:rFonts w:eastAsia="Times New Roman"/>
      <w:sz w:val="24"/>
      <w:lang w:eastAsia="fr-FR"/>
    </w:rPr>
  </w:style>
  <w:style w:type="paragraph" w:styleId="NormalWeb">
    <w:name w:val="Normal (Web)"/>
    <w:basedOn w:val="Normal"/>
    <w:uiPriority w:val="99"/>
    <w:unhideWhenUsed/>
    <w:rsid w:val="007D4B2E"/>
    <w:pPr>
      <w:suppressAutoHyphens w:val="0"/>
      <w:spacing w:before="100" w:beforeAutospacing="1" w:after="100" w:afterAutospacing="1"/>
      <w:jc w:val="left"/>
    </w:pPr>
    <w:rPr>
      <w:rFonts w:eastAsiaTheme="minorEastAsia"/>
      <w:sz w:val="20"/>
    </w:rPr>
  </w:style>
  <w:style w:type="character" w:styleId="lev">
    <w:name w:val="Strong"/>
    <w:basedOn w:val="Policepardfaut"/>
    <w:uiPriority w:val="22"/>
    <w:qFormat/>
    <w:rsid w:val="007D4B2E"/>
    <w:rPr>
      <w:b/>
      <w:bCs/>
    </w:rPr>
  </w:style>
  <w:style w:type="character" w:customStyle="1" w:styleId="apple-converted-space">
    <w:name w:val="apple-converted-space"/>
    <w:basedOn w:val="Policepardfaut"/>
    <w:rsid w:val="007D4B2E"/>
  </w:style>
  <w:style w:type="paragraph" w:styleId="Paragraphedeliste">
    <w:name w:val="List Paragraph"/>
    <w:basedOn w:val="Normal"/>
    <w:uiPriority w:val="34"/>
    <w:qFormat/>
    <w:rsid w:val="00A108FD"/>
    <w:pPr>
      <w:contextualSpacing/>
    </w:pPr>
  </w:style>
  <w:style w:type="paragraph" w:customStyle="1" w:styleId="Style1">
    <w:name w:val="Style1"/>
    <w:basedOn w:val="Normal"/>
    <w:qFormat/>
    <w:rsid w:val="006462D0"/>
    <w:rPr>
      <w:lang w:val="en-GB"/>
    </w:rPr>
  </w:style>
  <w:style w:type="character" w:customStyle="1" w:styleId="Titre2Car">
    <w:name w:val="Titre 2 Car"/>
    <w:basedOn w:val="Policepardfaut"/>
    <w:link w:val="Titre2"/>
    <w:uiPriority w:val="9"/>
    <w:rsid w:val="00B95B04"/>
    <w:rPr>
      <w:rFonts w:asciiTheme="majorHAnsi" w:eastAsiaTheme="majorEastAsia" w:hAnsiTheme="majorHAnsi" w:cstheme="majorBidi"/>
      <w:b/>
      <w:bCs/>
      <w:color w:val="4F81BD" w:themeColor="accent1"/>
      <w:sz w:val="26"/>
      <w:szCs w:val="26"/>
      <w:lang w:eastAsia="fr-FR"/>
    </w:rPr>
  </w:style>
  <w:style w:type="character" w:styleId="Lienhypertexte">
    <w:name w:val="Hyperlink"/>
    <w:basedOn w:val="Policepardfaut"/>
    <w:uiPriority w:val="99"/>
    <w:unhideWhenUsed/>
    <w:rsid w:val="0039707D"/>
    <w:rPr>
      <w:color w:val="0000FF" w:themeColor="hyperlink"/>
      <w:u w:val="single"/>
    </w:rPr>
  </w:style>
  <w:style w:type="numbering" w:customStyle="1" w:styleId="Listeactuelle1">
    <w:name w:val="Liste actuelle1"/>
    <w:uiPriority w:val="99"/>
    <w:rsid w:val="005B3A33"/>
    <w:pPr>
      <w:numPr>
        <w:numId w:val="7"/>
      </w:numPr>
    </w:pPr>
  </w:style>
  <w:style w:type="paragraph" w:styleId="Rvision">
    <w:name w:val="Revision"/>
    <w:hidden/>
    <w:uiPriority w:val="99"/>
    <w:semiHidden/>
    <w:rsid w:val="00892AA0"/>
    <w:rPr>
      <w:rFonts w:eastAsia="Times New Roman"/>
      <w:sz w:val="24"/>
      <w:lang w:eastAsia="fr-FR"/>
    </w:rPr>
  </w:style>
  <w:style w:type="character" w:styleId="Marquedecommentaire">
    <w:name w:val="annotation reference"/>
    <w:basedOn w:val="Policepardfaut"/>
    <w:uiPriority w:val="99"/>
    <w:semiHidden/>
    <w:unhideWhenUsed/>
    <w:rsid w:val="00522876"/>
    <w:rPr>
      <w:sz w:val="16"/>
      <w:szCs w:val="16"/>
    </w:rPr>
  </w:style>
  <w:style w:type="paragraph" w:styleId="Commentaire">
    <w:name w:val="annotation text"/>
    <w:basedOn w:val="Normal"/>
    <w:link w:val="CommentaireCar"/>
    <w:uiPriority w:val="99"/>
    <w:semiHidden/>
    <w:unhideWhenUsed/>
    <w:rsid w:val="00522876"/>
    <w:pPr>
      <w:spacing w:line="240" w:lineRule="auto"/>
    </w:pPr>
    <w:rPr>
      <w:sz w:val="20"/>
    </w:rPr>
  </w:style>
  <w:style w:type="character" w:customStyle="1" w:styleId="CommentaireCar">
    <w:name w:val="Commentaire Car"/>
    <w:basedOn w:val="Policepardfaut"/>
    <w:link w:val="Commentaire"/>
    <w:uiPriority w:val="99"/>
    <w:semiHidden/>
    <w:rsid w:val="00522876"/>
    <w:rPr>
      <w:rFonts w:eastAsia="Times New Roman"/>
      <w:lang w:eastAsia="fr-FR"/>
    </w:rPr>
  </w:style>
  <w:style w:type="paragraph" w:styleId="Objetducommentaire">
    <w:name w:val="annotation subject"/>
    <w:basedOn w:val="Commentaire"/>
    <w:next w:val="Commentaire"/>
    <w:link w:val="ObjetducommentaireCar"/>
    <w:uiPriority w:val="99"/>
    <w:semiHidden/>
    <w:unhideWhenUsed/>
    <w:rsid w:val="00522876"/>
    <w:rPr>
      <w:b/>
      <w:bCs/>
    </w:rPr>
  </w:style>
  <w:style w:type="character" w:customStyle="1" w:styleId="ObjetducommentaireCar">
    <w:name w:val="Objet du commentaire Car"/>
    <w:basedOn w:val="CommentaireCar"/>
    <w:link w:val="Objetducommentaire"/>
    <w:uiPriority w:val="99"/>
    <w:semiHidden/>
    <w:rsid w:val="00522876"/>
    <w:rPr>
      <w:rFonts w:eastAsia="Times New Roman"/>
      <w:b/>
      <w:bCs/>
      <w:lang w:eastAsia="fr-FR"/>
    </w:rPr>
  </w:style>
  <w:style w:type="numbering" w:customStyle="1" w:styleId="Listeactuelle2">
    <w:name w:val="Liste actuelle2"/>
    <w:uiPriority w:val="99"/>
    <w:rsid w:val="00A96FEE"/>
    <w:pPr>
      <w:numPr>
        <w:numId w:val="11"/>
      </w:numPr>
    </w:pPr>
  </w:style>
  <w:style w:type="numbering" w:customStyle="1" w:styleId="Listeactuelle3">
    <w:name w:val="Liste actuelle3"/>
    <w:uiPriority w:val="99"/>
    <w:rsid w:val="00491086"/>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782845">
      <w:bodyDiv w:val="1"/>
      <w:marLeft w:val="0"/>
      <w:marRight w:val="0"/>
      <w:marTop w:val="0"/>
      <w:marBottom w:val="0"/>
      <w:divBdr>
        <w:top w:val="none" w:sz="0" w:space="0" w:color="auto"/>
        <w:left w:val="none" w:sz="0" w:space="0" w:color="auto"/>
        <w:bottom w:val="none" w:sz="0" w:space="0" w:color="auto"/>
        <w:right w:val="none" w:sz="0" w:space="0" w:color="auto"/>
      </w:divBdr>
    </w:div>
    <w:div w:id="669792225">
      <w:bodyDiv w:val="1"/>
      <w:marLeft w:val="0"/>
      <w:marRight w:val="0"/>
      <w:marTop w:val="0"/>
      <w:marBottom w:val="0"/>
      <w:divBdr>
        <w:top w:val="none" w:sz="0" w:space="0" w:color="auto"/>
        <w:left w:val="none" w:sz="0" w:space="0" w:color="auto"/>
        <w:bottom w:val="none" w:sz="0" w:space="0" w:color="auto"/>
        <w:right w:val="none" w:sz="0" w:space="0" w:color="auto"/>
      </w:divBdr>
      <w:divsChild>
        <w:div w:id="507057565">
          <w:marLeft w:val="0"/>
          <w:marRight w:val="0"/>
          <w:marTop w:val="0"/>
          <w:marBottom w:val="0"/>
          <w:divBdr>
            <w:top w:val="none" w:sz="0" w:space="0" w:color="auto"/>
            <w:left w:val="none" w:sz="0" w:space="0" w:color="auto"/>
            <w:bottom w:val="none" w:sz="0" w:space="0" w:color="auto"/>
            <w:right w:val="none" w:sz="0" w:space="0" w:color="auto"/>
          </w:divBdr>
          <w:divsChild>
            <w:div w:id="1390226639">
              <w:marLeft w:val="0"/>
              <w:marRight w:val="0"/>
              <w:marTop w:val="0"/>
              <w:marBottom w:val="0"/>
              <w:divBdr>
                <w:top w:val="none" w:sz="0" w:space="0" w:color="auto"/>
                <w:left w:val="none" w:sz="0" w:space="0" w:color="auto"/>
                <w:bottom w:val="none" w:sz="0" w:space="0" w:color="auto"/>
                <w:right w:val="none" w:sz="0" w:space="0" w:color="auto"/>
              </w:divBdr>
              <w:divsChild>
                <w:div w:id="193967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650150">
      <w:bodyDiv w:val="1"/>
      <w:marLeft w:val="0"/>
      <w:marRight w:val="0"/>
      <w:marTop w:val="0"/>
      <w:marBottom w:val="0"/>
      <w:divBdr>
        <w:top w:val="none" w:sz="0" w:space="0" w:color="auto"/>
        <w:left w:val="none" w:sz="0" w:space="0" w:color="auto"/>
        <w:bottom w:val="none" w:sz="0" w:space="0" w:color="auto"/>
        <w:right w:val="none" w:sz="0" w:space="0" w:color="auto"/>
      </w:divBdr>
    </w:div>
    <w:div w:id="1922836540">
      <w:bodyDiv w:val="1"/>
      <w:marLeft w:val="0"/>
      <w:marRight w:val="0"/>
      <w:marTop w:val="0"/>
      <w:marBottom w:val="0"/>
      <w:divBdr>
        <w:top w:val="none" w:sz="0" w:space="0" w:color="auto"/>
        <w:left w:val="none" w:sz="0" w:space="0" w:color="auto"/>
        <w:bottom w:val="none" w:sz="0" w:space="0" w:color="auto"/>
        <w:right w:val="none" w:sz="0" w:space="0" w:color="auto"/>
      </w:divBdr>
      <w:divsChild>
        <w:div w:id="878586599">
          <w:marLeft w:val="0"/>
          <w:marRight w:val="0"/>
          <w:marTop w:val="0"/>
          <w:marBottom w:val="0"/>
          <w:divBdr>
            <w:top w:val="none" w:sz="0" w:space="0" w:color="auto"/>
            <w:left w:val="none" w:sz="0" w:space="0" w:color="auto"/>
            <w:bottom w:val="none" w:sz="0" w:space="0" w:color="auto"/>
            <w:right w:val="none" w:sz="0" w:space="0" w:color="auto"/>
          </w:divBdr>
          <w:divsChild>
            <w:div w:id="833182981">
              <w:marLeft w:val="0"/>
              <w:marRight w:val="0"/>
              <w:marTop w:val="0"/>
              <w:marBottom w:val="0"/>
              <w:divBdr>
                <w:top w:val="none" w:sz="0" w:space="0" w:color="auto"/>
                <w:left w:val="none" w:sz="0" w:space="0" w:color="auto"/>
                <w:bottom w:val="none" w:sz="0" w:space="0" w:color="auto"/>
                <w:right w:val="none" w:sz="0" w:space="0" w:color="auto"/>
              </w:divBdr>
              <w:divsChild>
                <w:div w:id="51369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996557">
      <w:bodyDiv w:val="1"/>
      <w:marLeft w:val="0"/>
      <w:marRight w:val="0"/>
      <w:marTop w:val="0"/>
      <w:marBottom w:val="0"/>
      <w:divBdr>
        <w:top w:val="none" w:sz="0" w:space="0" w:color="auto"/>
        <w:left w:val="none" w:sz="0" w:space="0" w:color="auto"/>
        <w:bottom w:val="none" w:sz="0" w:space="0" w:color="auto"/>
        <w:right w:val="none" w:sz="0" w:space="0" w:color="auto"/>
      </w:divBdr>
      <w:divsChild>
        <w:div w:id="800028511">
          <w:marLeft w:val="0"/>
          <w:marRight w:val="0"/>
          <w:marTop w:val="0"/>
          <w:marBottom w:val="0"/>
          <w:divBdr>
            <w:top w:val="none" w:sz="0" w:space="0" w:color="auto"/>
            <w:left w:val="none" w:sz="0" w:space="0" w:color="auto"/>
            <w:bottom w:val="none" w:sz="0" w:space="0" w:color="auto"/>
            <w:right w:val="none" w:sz="0" w:space="0" w:color="auto"/>
          </w:divBdr>
          <w:divsChild>
            <w:div w:id="1376613839">
              <w:marLeft w:val="0"/>
              <w:marRight w:val="0"/>
              <w:marTop w:val="0"/>
              <w:marBottom w:val="0"/>
              <w:divBdr>
                <w:top w:val="none" w:sz="0" w:space="0" w:color="auto"/>
                <w:left w:val="none" w:sz="0" w:space="0" w:color="auto"/>
                <w:bottom w:val="none" w:sz="0" w:space="0" w:color="auto"/>
                <w:right w:val="none" w:sz="0" w:space="0" w:color="auto"/>
              </w:divBdr>
              <w:divsChild>
                <w:div w:id="194649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010919">
          <w:marLeft w:val="0"/>
          <w:marRight w:val="0"/>
          <w:marTop w:val="0"/>
          <w:marBottom w:val="0"/>
          <w:divBdr>
            <w:top w:val="none" w:sz="0" w:space="0" w:color="auto"/>
            <w:left w:val="none" w:sz="0" w:space="0" w:color="auto"/>
            <w:bottom w:val="none" w:sz="0" w:space="0" w:color="auto"/>
            <w:right w:val="none" w:sz="0" w:space="0" w:color="auto"/>
          </w:divBdr>
          <w:divsChild>
            <w:div w:id="1732924665">
              <w:marLeft w:val="0"/>
              <w:marRight w:val="0"/>
              <w:marTop w:val="0"/>
              <w:marBottom w:val="0"/>
              <w:divBdr>
                <w:top w:val="none" w:sz="0" w:space="0" w:color="auto"/>
                <w:left w:val="none" w:sz="0" w:space="0" w:color="auto"/>
                <w:bottom w:val="none" w:sz="0" w:space="0" w:color="auto"/>
                <w:right w:val="none" w:sz="0" w:space="0" w:color="auto"/>
              </w:divBdr>
              <w:divsChild>
                <w:div w:id="37712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ihl-databases.icrc.org/customary-ihl/eng/docs/v1_rul_rule98"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3778E4-A449-44A1-8F04-BDFC526DFEC0}"/>
</file>

<file path=customXml/itemProps2.xml><?xml version="1.0" encoding="utf-8"?>
<ds:datastoreItem xmlns:ds="http://schemas.openxmlformats.org/officeDocument/2006/customXml" ds:itemID="{DDBD55B9-3A60-4044-8CEF-EB584D23167C}"/>
</file>

<file path=customXml/itemProps3.xml><?xml version="1.0" encoding="utf-8"?>
<ds:datastoreItem xmlns:ds="http://schemas.openxmlformats.org/officeDocument/2006/customXml" ds:itemID="{361572C1-A963-42C3-8F83-3A19B3E8B89C}"/>
</file>

<file path=docProps/app.xml><?xml version="1.0" encoding="utf-8"?>
<Properties xmlns="http://schemas.openxmlformats.org/officeDocument/2006/extended-properties" xmlns:vt="http://schemas.openxmlformats.org/officeDocument/2006/docPropsVTypes">
  <Template>Normal.dotm</Template>
  <TotalTime>21</TotalTime>
  <Pages>9</Pages>
  <Words>2240</Words>
  <Characters>12324</Characters>
  <Application>Microsoft Office Word</Application>
  <DocSecurity>0</DocSecurity>
  <Lines>102</Lines>
  <Paragraphs>29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Olivier de Frouville</dc:creator>
  <cp:keywords/>
  <dc:description/>
  <cp:lastModifiedBy>Olivier de Frouville</cp:lastModifiedBy>
  <cp:revision>57</cp:revision>
  <dcterms:created xsi:type="dcterms:W3CDTF">2022-05-05T08:15:00Z</dcterms:created>
  <dcterms:modified xsi:type="dcterms:W3CDTF">2022-05-06T07:59:00Z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