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FF7E5" w14:textId="4FD2E07B" w:rsidR="00D84460" w:rsidRPr="009332C6" w:rsidRDefault="009332C6" w:rsidP="00D84460">
      <w:pPr>
        <w:spacing w:line="240" w:lineRule="auto"/>
        <w:rPr>
          <w:rFonts w:ascii="Eudoxus Sans" w:eastAsia="Times New Roman" w:hAnsi="Eudoxus Sans" w:cs="Times New Roman"/>
          <w:b/>
          <w:bCs/>
          <w:color w:val="000000"/>
          <w:kern w:val="0"/>
          <w:lang w:eastAsia="en-GB"/>
          <w14:ligatures w14:val="none"/>
        </w:rPr>
      </w:pPr>
      <w:r w:rsidRPr="009332C6">
        <w:rPr>
          <w:rFonts w:ascii="Eudoxus Sans" w:eastAsia="Times New Roman" w:hAnsi="Eudoxus Sans" w:cs="Times New Roman"/>
          <w:b/>
          <w:bCs/>
          <w:color w:val="000000"/>
          <w:kern w:val="0"/>
          <w:lang w:eastAsia="en-GB"/>
          <w14:ligatures w14:val="none"/>
        </w:rPr>
        <w:t>Submission to the UN Committee on the Elimination of All Forms of Racial Discrimination</w:t>
      </w:r>
      <w:r>
        <w:rPr>
          <w:rFonts w:ascii="Eudoxus Sans" w:eastAsia="Times New Roman" w:hAnsi="Eudoxus Sans" w:cs="Times New Roman"/>
          <w:b/>
          <w:bCs/>
          <w:color w:val="000000"/>
          <w:kern w:val="0"/>
          <w:lang w:eastAsia="en-GB"/>
          <w14:ligatures w14:val="none"/>
        </w:rPr>
        <w:t xml:space="preserve"> – </w:t>
      </w:r>
      <w:r w:rsidR="00D84460" w:rsidRPr="00C4536A">
        <w:rPr>
          <w:rFonts w:ascii="Eudoxus Sans" w:eastAsia="Times New Roman" w:hAnsi="Eudoxus Sans" w:cs="Times New Roman"/>
          <w:b/>
          <w:bCs/>
          <w:color w:val="000000"/>
          <w:kern w:val="0"/>
          <w:lang w:eastAsia="en-GB"/>
          <w14:ligatures w14:val="none"/>
        </w:rPr>
        <w:t>List of themes in relation to the combined twenty-fourth to twenty-sixth periodic reports of the United Kingdom of Great Britain and Northern Ireland</w:t>
      </w:r>
      <w:r w:rsidR="00210B59" w:rsidRPr="00C4536A">
        <w:rPr>
          <w:rFonts w:ascii="Eudoxus Sans" w:eastAsia="Times New Roman" w:hAnsi="Eudoxus Sans" w:cs="Times New Roman"/>
          <w:b/>
          <w:bCs/>
          <w:color w:val="000000"/>
          <w:kern w:val="0"/>
          <w:lang w:eastAsia="en-GB"/>
          <w14:ligatures w14:val="none"/>
        </w:rPr>
        <w:t xml:space="preserve">. </w:t>
      </w:r>
    </w:p>
    <w:p w14:paraId="7015E5BA" w14:textId="77777777" w:rsidR="00D84460" w:rsidRPr="00C4536A" w:rsidRDefault="00D84460" w:rsidP="00D84460">
      <w:pPr>
        <w:spacing w:after="0" w:line="240" w:lineRule="auto"/>
        <w:rPr>
          <w:rFonts w:ascii="Eudoxus Sans" w:eastAsia="Times New Roman" w:hAnsi="Eudoxus Sans" w:cs="Times New Roman"/>
          <w:kern w:val="0"/>
          <w:lang w:eastAsia="en-GB"/>
          <w14:ligatures w14:val="none"/>
        </w:rPr>
      </w:pPr>
    </w:p>
    <w:p w14:paraId="11F93175" w14:textId="77777777" w:rsidR="002D300B" w:rsidRPr="00C4536A" w:rsidRDefault="00D84460" w:rsidP="002D300B">
      <w:p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b/>
          <w:bCs/>
          <w:color w:val="000000"/>
          <w:kern w:val="0"/>
          <w:lang w:eastAsia="en-GB"/>
          <w14:ligatures w14:val="none"/>
        </w:rPr>
        <w:t>Legal, institutional and policy framework for the implementation of the Convention in domestic law and access to justice (Articles 1, 2, 4 and 6):</w:t>
      </w:r>
    </w:p>
    <w:p w14:paraId="44DE7221" w14:textId="498DA373" w:rsidR="006B7302" w:rsidRPr="00C4536A" w:rsidRDefault="00A518D7" w:rsidP="002D300B">
      <w:pPr>
        <w:pStyle w:val="ListParagraph"/>
        <w:numPr>
          <w:ilvl w:val="0"/>
          <w:numId w:val="30"/>
        </w:num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kern w:val="0"/>
          <w:lang w:eastAsia="en-GB"/>
          <w14:ligatures w14:val="none"/>
        </w:rPr>
        <w:t>Detailed information on domestic legislation prohibiting racial discrimination in accordance with the definition contained in article 1 (1) of the Convention, and its application in all the State party’s jurisdictions.</w:t>
      </w:r>
    </w:p>
    <w:p w14:paraId="75609A8E" w14:textId="77777777" w:rsidR="00A518D7" w:rsidRPr="00C4536A" w:rsidRDefault="00A518D7" w:rsidP="00A518D7">
      <w:pPr>
        <w:pStyle w:val="ListParagraph"/>
        <w:spacing w:line="240" w:lineRule="auto"/>
        <w:rPr>
          <w:rFonts w:ascii="Eudoxus Sans" w:eastAsia="Times New Roman" w:hAnsi="Eudoxus Sans" w:cs="Times New Roman"/>
          <w:kern w:val="0"/>
          <w:lang w:eastAsia="en-GB"/>
          <w14:ligatures w14:val="none"/>
        </w:rPr>
      </w:pPr>
    </w:p>
    <w:p w14:paraId="4BF085FC" w14:textId="1F1925EA" w:rsidR="002D300B" w:rsidRPr="00C4536A" w:rsidRDefault="00D84460" w:rsidP="002D300B">
      <w:pPr>
        <w:pStyle w:val="ListParagraph"/>
        <w:numPr>
          <w:ilvl w:val="0"/>
          <w:numId w:val="30"/>
        </w:num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The specific impacts of the following legislation, action plans and initiatives on preventing and tackling racial discrimination and inequality experienced by national and ethnic minorities and non-citizens, including migrants, asylum seekers, refugees and stateless persons: </w:t>
      </w:r>
      <w:r w:rsidR="00496A22" w:rsidRPr="00C4536A">
        <w:rPr>
          <w:rFonts w:ascii="Eudoxus Sans" w:eastAsia="Times New Roman" w:hAnsi="Eudoxus Sans" w:cs="Times New Roman"/>
          <w:color w:val="000000"/>
          <w:kern w:val="0"/>
          <w:lang w:eastAsia="en-GB"/>
          <w14:ligatures w14:val="none"/>
        </w:rPr>
        <w:t xml:space="preserve">the Race Equality Framework for Scotland 2016-2030, </w:t>
      </w:r>
      <w:r w:rsidRPr="00C4536A">
        <w:rPr>
          <w:rFonts w:ascii="Eudoxus Sans" w:eastAsia="Times New Roman" w:hAnsi="Eudoxus Sans" w:cs="Times New Roman"/>
          <w:color w:val="000000"/>
          <w:kern w:val="0"/>
          <w:lang w:eastAsia="en-GB"/>
          <w14:ligatures w14:val="none"/>
        </w:rPr>
        <w:t>the Anti-racist Wales Action Plan, the Criminal Justice Anti-racist Action Plan for Wales, the Well-being of Future Generations (Wales) Act (2015), the Nation of Sanctuary Refugee and Asylum Seeker Plan, the Welsh Government’s Race Disparity Evidence Unit, including the Equality, Race and Disability Evidence Units, the UK Government’s Inclusive Britain Plan, Migration and Civil Liberties legislation and politicians’ rhetoric on race and racism.  </w:t>
      </w:r>
    </w:p>
    <w:p w14:paraId="6FFDD94B" w14:textId="77777777" w:rsidR="002D300B" w:rsidRPr="00C4536A" w:rsidRDefault="002D300B" w:rsidP="002D300B">
      <w:pPr>
        <w:pStyle w:val="ListParagraph"/>
        <w:spacing w:line="240" w:lineRule="auto"/>
        <w:rPr>
          <w:rFonts w:ascii="Eudoxus Sans" w:eastAsia="Times New Roman" w:hAnsi="Eudoxus Sans" w:cs="Times New Roman"/>
          <w:kern w:val="0"/>
          <w:lang w:eastAsia="en-GB"/>
          <w14:ligatures w14:val="none"/>
        </w:rPr>
      </w:pPr>
    </w:p>
    <w:p w14:paraId="109394AF" w14:textId="563286A5" w:rsidR="002D300B" w:rsidRPr="00C4536A" w:rsidRDefault="00D84460" w:rsidP="002D300B">
      <w:pPr>
        <w:pStyle w:val="ListParagraph"/>
        <w:numPr>
          <w:ilvl w:val="0"/>
          <w:numId w:val="30"/>
        </w:num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color w:val="000000"/>
          <w:kern w:val="0"/>
          <w:lang w:eastAsia="en-GB"/>
          <w14:ligatures w14:val="none"/>
        </w:rPr>
        <w:t>The specific measures taken to progress the incorporation of the Convention into domestic law in all four nations in the UK</w:t>
      </w:r>
      <w:r w:rsidR="00D361DD" w:rsidRPr="00C4536A">
        <w:rPr>
          <w:rFonts w:ascii="Eudoxus Sans" w:eastAsia="Times New Roman" w:hAnsi="Eudoxus Sans" w:cs="Times New Roman"/>
          <w:color w:val="000000"/>
          <w:kern w:val="0"/>
          <w:lang w:eastAsia="en-GB"/>
          <w14:ligatures w14:val="none"/>
        </w:rPr>
        <w:t xml:space="preserve"> (CERD/C/GBR/CO/21-23, para. 8)</w:t>
      </w:r>
      <w:r w:rsidRPr="00C4536A">
        <w:rPr>
          <w:rFonts w:ascii="Eudoxus Sans" w:eastAsia="Times New Roman" w:hAnsi="Eudoxus Sans" w:cs="Times New Roman"/>
          <w:color w:val="000000"/>
          <w:kern w:val="0"/>
          <w:lang w:eastAsia="en-GB"/>
          <w14:ligatures w14:val="none"/>
        </w:rPr>
        <w:t xml:space="preserve">. </w:t>
      </w:r>
    </w:p>
    <w:p w14:paraId="08BBB6F9" w14:textId="77777777" w:rsidR="002D300B" w:rsidRPr="00C4536A" w:rsidRDefault="002D300B" w:rsidP="002D300B">
      <w:pPr>
        <w:pStyle w:val="ListParagraph"/>
        <w:rPr>
          <w:rFonts w:ascii="Eudoxus Sans" w:eastAsia="Times New Roman" w:hAnsi="Eudoxus Sans" w:cs="Times New Roman"/>
          <w:color w:val="000000"/>
          <w:kern w:val="0"/>
          <w:lang w:eastAsia="en-GB"/>
          <w14:ligatures w14:val="none"/>
        </w:rPr>
      </w:pPr>
    </w:p>
    <w:p w14:paraId="066AB847" w14:textId="2B33DC16" w:rsidR="002D300B" w:rsidRPr="00C4536A" w:rsidRDefault="00D84460" w:rsidP="005654DC">
      <w:pPr>
        <w:pStyle w:val="ListParagraph"/>
        <w:numPr>
          <w:ilvl w:val="0"/>
          <w:numId w:val="30"/>
        </w:numPr>
        <w:spacing w:line="240" w:lineRule="auto"/>
        <w:rPr>
          <w:rFonts w:ascii="Eudoxus Sans" w:eastAsia="Times New Roman" w:hAnsi="Eudoxus Sans"/>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The specific measures taken to ensure and enforce public sector bodies and organisations across the UK adhere </w:t>
      </w:r>
      <w:r w:rsidR="002E3A0D" w:rsidRPr="00C4536A">
        <w:rPr>
          <w:rFonts w:ascii="Eudoxus Sans" w:eastAsia="Times New Roman" w:hAnsi="Eudoxus Sans" w:cs="Times New Roman"/>
          <w:color w:val="000000"/>
          <w:kern w:val="0"/>
          <w:lang w:eastAsia="en-GB"/>
          <w14:ligatures w14:val="none"/>
        </w:rPr>
        <w:t>to</w:t>
      </w:r>
      <w:r w:rsidRPr="00C4536A">
        <w:rPr>
          <w:rFonts w:ascii="Eudoxus Sans" w:eastAsia="Times New Roman" w:hAnsi="Eudoxus Sans" w:cs="Times New Roman"/>
          <w:color w:val="000000"/>
          <w:kern w:val="0"/>
          <w:lang w:eastAsia="en-GB"/>
          <w14:ligatures w14:val="none"/>
        </w:rPr>
        <w:t xml:space="preserve"> the Equality Act 2010, the Public Sector Equality Duty (PSED) and the socio-economic duty</w:t>
      </w:r>
      <w:r w:rsidR="00FF4D2B" w:rsidRPr="00C4536A">
        <w:rPr>
          <w:rFonts w:ascii="Eudoxus Sans" w:eastAsia="Times New Roman" w:hAnsi="Eudoxus Sans" w:cs="Times New Roman"/>
          <w:color w:val="000000"/>
          <w:kern w:val="0"/>
          <w:lang w:eastAsia="en-GB"/>
          <w14:ligatures w14:val="none"/>
        </w:rPr>
        <w:t xml:space="preserve"> </w:t>
      </w:r>
      <w:r w:rsidR="005654DC" w:rsidRPr="00C4536A">
        <w:rPr>
          <w:rFonts w:ascii="Eudoxus Sans" w:eastAsia="Times New Roman" w:hAnsi="Eudoxus Sans"/>
          <w:color w:val="000000"/>
          <w:kern w:val="0"/>
          <w:lang w:eastAsia="en-GB"/>
          <w14:ligatures w14:val="none"/>
        </w:rPr>
        <w:t>(CERD/C/GBR/CO/21-23, para. 7).</w:t>
      </w:r>
    </w:p>
    <w:p w14:paraId="472C375C" w14:textId="77777777" w:rsidR="002D300B" w:rsidRPr="00C4536A" w:rsidRDefault="002D300B" w:rsidP="002D300B">
      <w:pPr>
        <w:pStyle w:val="ListParagraph"/>
        <w:rPr>
          <w:rFonts w:ascii="Eudoxus Sans" w:eastAsia="Times New Roman" w:hAnsi="Eudoxus Sans" w:cs="Times New Roman"/>
          <w:color w:val="000000"/>
          <w:kern w:val="0"/>
          <w:lang w:eastAsia="en-GB"/>
          <w14:ligatures w14:val="none"/>
        </w:rPr>
      </w:pPr>
    </w:p>
    <w:p w14:paraId="52C8F863" w14:textId="77777777" w:rsidR="002D300B" w:rsidRPr="00C4536A" w:rsidRDefault="00D84460" w:rsidP="002D300B">
      <w:pPr>
        <w:pStyle w:val="ListParagraph"/>
        <w:numPr>
          <w:ilvl w:val="0"/>
          <w:numId w:val="30"/>
        </w:num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Updated information on the scope of legal aid and representation available to minority ethnic groups, asylum seekers, refugees, victims of trafficking and other persons in vulnerable situations. </w:t>
      </w:r>
    </w:p>
    <w:p w14:paraId="02EDC7CF" w14:textId="77777777" w:rsidR="002D300B" w:rsidRPr="00C4536A" w:rsidRDefault="002D300B" w:rsidP="002D300B">
      <w:pPr>
        <w:pStyle w:val="ListParagraph"/>
        <w:rPr>
          <w:rFonts w:ascii="Eudoxus Sans" w:eastAsia="Times New Roman" w:hAnsi="Eudoxus Sans" w:cs="Times New Roman"/>
          <w:color w:val="000000"/>
          <w:kern w:val="0"/>
          <w:lang w:eastAsia="en-GB"/>
          <w14:ligatures w14:val="none"/>
        </w:rPr>
      </w:pPr>
    </w:p>
    <w:p w14:paraId="0EB5D85E" w14:textId="734FADBC" w:rsidR="00D84460" w:rsidRPr="00C4536A" w:rsidRDefault="00D84460" w:rsidP="002D300B">
      <w:pPr>
        <w:pStyle w:val="ListParagraph"/>
        <w:numPr>
          <w:ilvl w:val="0"/>
          <w:numId w:val="30"/>
        </w:num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color w:val="000000"/>
          <w:kern w:val="0"/>
          <w:lang w:eastAsia="en-GB"/>
          <w14:ligatures w14:val="none"/>
        </w:rPr>
        <w:t>Updated information on the role and scope of England and Wales’s National Human Rights Institution. </w:t>
      </w:r>
    </w:p>
    <w:p w14:paraId="685DCC04" w14:textId="235E0267" w:rsidR="00E9015D" w:rsidRPr="00C4536A" w:rsidRDefault="00F0291C" w:rsidP="00E9015D">
      <w:p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b/>
          <w:bCs/>
          <w:color w:val="000000"/>
          <w:kern w:val="0"/>
          <w:lang w:eastAsia="en-GB"/>
          <w14:ligatures w14:val="none"/>
        </w:rPr>
        <w:t>D</w:t>
      </w:r>
      <w:r w:rsidR="00E9015D" w:rsidRPr="00C4536A">
        <w:rPr>
          <w:rFonts w:ascii="Eudoxus Sans" w:eastAsia="Times New Roman" w:hAnsi="Eudoxus Sans" w:cs="Times New Roman"/>
          <w:b/>
          <w:bCs/>
          <w:color w:val="000000"/>
          <w:kern w:val="0"/>
          <w:lang w:eastAsia="en-GB"/>
          <w14:ligatures w14:val="none"/>
        </w:rPr>
        <w:t>ata collection</w:t>
      </w:r>
      <w:r w:rsidRPr="00C4536A">
        <w:rPr>
          <w:rFonts w:ascii="Eudoxus Sans" w:eastAsia="Times New Roman" w:hAnsi="Eudoxus Sans" w:cs="Times New Roman"/>
          <w:b/>
          <w:bCs/>
          <w:color w:val="000000"/>
          <w:kern w:val="0"/>
          <w:lang w:eastAsia="en-GB"/>
          <w14:ligatures w14:val="none"/>
        </w:rPr>
        <w:t xml:space="preserve"> to tackle racial discrimination (Article 4)</w:t>
      </w:r>
      <w:r w:rsidR="00E9015D" w:rsidRPr="00C4536A">
        <w:rPr>
          <w:rFonts w:ascii="Eudoxus Sans" w:eastAsia="Times New Roman" w:hAnsi="Eudoxus Sans" w:cs="Times New Roman"/>
          <w:b/>
          <w:bCs/>
          <w:color w:val="000000"/>
          <w:kern w:val="0"/>
          <w:lang w:eastAsia="en-GB"/>
          <w14:ligatures w14:val="none"/>
        </w:rPr>
        <w:t>: </w:t>
      </w:r>
    </w:p>
    <w:p w14:paraId="2F432F56" w14:textId="0D246799" w:rsidR="00391373" w:rsidRPr="00C4536A" w:rsidRDefault="00E9015D" w:rsidP="00391373">
      <w:pPr>
        <w:pStyle w:val="ListParagraph"/>
        <w:numPr>
          <w:ilvl w:val="0"/>
          <w:numId w:val="30"/>
        </w:numPr>
        <w:spacing w:line="240" w:lineRule="auto"/>
        <w:textAlignment w:val="baseline"/>
        <w:rPr>
          <w:rFonts w:ascii="Eudoxus Sans" w:eastAsia="Times New Roman" w:hAnsi="Eudoxus Sans" w:cs="Times New Roman"/>
          <w:b/>
          <w:bCs/>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The specific measures taken and resources used to systematically collect and publish fully disaggregated ethnicity data, disaggregated for each of the devolved nations in the State party (CERD/C/GBR/CO/21-23, para. 14).</w:t>
      </w:r>
    </w:p>
    <w:p w14:paraId="509CACC5" w14:textId="77777777" w:rsidR="00391373" w:rsidRPr="00C4536A" w:rsidRDefault="00391373" w:rsidP="00391373">
      <w:pPr>
        <w:pStyle w:val="ListParagraph"/>
        <w:spacing w:line="240" w:lineRule="auto"/>
        <w:textAlignment w:val="baseline"/>
        <w:rPr>
          <w:rFonts w:ascii="Eudoxus Sans" w:eastAsia="Times New Roman" w:hAnsi="Eudoxus Sans" w:cs="Times New Roman"/>
          <w:b/>
          <w:bCs/>
          <w:color w:val="000000"/>
          <w:kern w:val="0"/>
          <w:lang w:eastAsia="en-GB"/>
          <w14:ligatures w14:val="none"/>
        </w:rPr>
      </w:pPr>
    </w:p>
    <w:p w14:paraId="4E74C25C" w14:textId="78DD302A" w:rsidR="00391373" w:rsidRPr="00C4536A" w:rsidRDefault="00391373" w:rsidP="00391373">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Updated data and information on unemployment, employment and activity rates of individuals from minority ethnic groups, throughout the UK and the targeted measures to address unemployment, occupational segregation, retention, the over-representation of minority ethnic groups in precarious work and discriminatory practices </w:t>
      </w:r>
      <w:proofErr w:type="gramStart"/>
      <w:r w:rsidRPr="00C4536A">
        <w:rPr>
          <w:rFonts w:ascii="Eudoxus Sans" w:eastAsia="Times New Roman" w:hAnsi="Eudoxus Sans" w:cs="Times New Roman"/>
          <w:color w:val="000000"/>
          <w:kern w:val="0"/>
          <w:lang w:eastAsia="en-GB"/>
          <w14:ligatures w14:val="none"/>
        </w:rPr>
        <w:t>with regard to</w:t>
      </w:r>
      <w:proofErr w:type="gramEnd"/>
      <w:r w:rsidRPr="00C4536A">
        <w:rPr>
          <w:rFonts w:ascii="Eudoxus Sans" w:eastAsia="Times New Roman" w:hAnsi="Eudoxus Sans" w:cs="Times New Roman"/>
          <w:color w:val="000000"/>
          <w:kern w:val="0"/>
          <w:lang w:eastAsia="en-GB"/>
          <w14:ligatures w14:val="none"/>
        </w:rPr>
        <w:t xml:space="preserve"> recruitment, salaries, promotions and other conditions of employment (CERD/C/GBR/CO/21-23, para. 33).</w:t>
      </w:r>
    </w:p>
    <w:p w14:paraId="4155A65B" w14:textId="77777777" w:rsidR="00391373" w:rsidRPr="00C4536A" w:rsidRDefault="00391373" w:rsidP="00391373">
      <w:pPr>
        <w:pStyle w:val="ListParagraph"/>
        <w:rPr>
          <w:rFonts w:ascii="Eudoxus Sans" w:eastAsia="Times New Roman" w:hAnsi="Eudoxus Sans" w:cs="Times New Roman"/>
          <w:color w:val="000000"/>
          <w:kern w:val="0"/>
          <w:lang w:eastAsia="en-GB"/>
          <w14:ligatures w14:val="none"/>
        </w:rPr>
      </w:pPr>
    </w:p>
    <w:p w14:paraId="3963C5E5" w14:textId="34E379D3" w:rsidR="00F26876" w:rsidRPr="00C4536A" w:rsidRDefault="00D6289C" w:rsidP="00F26876">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lastRenderedPageBreak/>
        <w:t xml:space="preserve">Updated data and information on the levels of poverty experienced by minority ethnic groups across the UK and the specific measures taken to ensure the minority ethnic population in the UK is not disproportionately impacted by the cost-of-living crisis and the impact of these measures. </w:t>
      </w:r>
      <w:r w:rsidR="00F26876" w:rsidRPr="00C4536A">
        <w:rPr>
          <w:rFonts w:ascii="Eudoxus Sans" w:eastAsia="Times New Roman" w:hAnsi="Eudoxus Sans" w:cs="Times New Roman"/>
          <w:color w:val="000000"/>
          <w:kern w:val="0"/>
          <w:lang w:eastAsia="en-GB"/>
          <w14:ligatures w14:val="none"/>
        </w:rPr>
        <w:br/>
      </w:r>
    </w:p>
    <w:p w14:paraId="24A8859A" w14:textId="624B0E00" w:rsidR="00F26876" w:rsidRPr="00C4536A" w:rsidRDefault="00F26876" w:rsidP="00F26876">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Updated data and information on the proportion of the minority ethnic population in the UK who own their own home, who live in private-rented accommodation, who live in overcrowded housing, who are homeless, and the specific measures taken to address</w:t>
      </w:r>
      <w:r w:rsidR="00050FD3" w:rsidRPr="00C4536A">
        <w:rPr>
          <w:rFonts w:ascii="Eudoxus Sans" w:eastAsia="Times New Roman" w:hAnsi="Eudoxus Sans" w:cs="Times New Roman"/>
          <w:color w:val="000000"/>
          <w:kern w:val="0"/>
          <w:lang w:eastAsia="en-GB"/>
          <w14:ligatures w14:val="none"/>
        </w:rPr>
        <w:t xml:space="preserve"> the lack of social housing and</w:t>
      </w:r>
      <w:r w:rsidRPr="00C4536A">
        <w:rPr>
          <w:rFonts w:ascii="Eudoxus Sans" w:eastAsia="Times New Roman" w:hAnsi="Eudoxus Sans" w:cs="Times New Roman"/>
          <w:color w:val="000000"/>
          <w:kern w:val="0"/>
          <w:lang w:eastAsia="en-GB"/>
          <w14:ligatures w14:val="none"/>
        </w:rPr>
        <w:t xml:space="preserve"> substandard, including overcrowded housing conditions for minority ethnic groups. </w:t>
      </w:r>
    </w:p>
    <w:p w14:paraId="18797A05" w14:textId="77777777" w:rsidR="00EA27BA" w:rsidRPr="00C4536A" w:rsidRDefault="00EA27BA" w:rsidP="00EA27BA">
      <w:pPr>
        <w:pStyle w:val="ListParagraph"/>
        <w:spacing w:after="0" w:line="240" w:lineRule="auto"/>
        <w:textAlignment w:val="baseline"/>
        <w:rPr>
          <w:rFonts w:ascii="Eudoxus Sans" w:eastAsia="Times New Roman" w:hAnsi="Eudoxus Sans" w:cs="Times New Roman"/>
          <w:color w:val="000000"/>
          <w:kern w:val="0"/>
          <w:lang w:eastAsia="en-GB"/>
          <w14:ligatures w14:val="none"/>
        </w:rPr>
      </w:pPr>
    </w:p>
    <w:p w14:paraId="7CE49BB2" w14:textId="6A3AFBCF" w:rsidR="002D300B" w:rsidRPr="00C4536A" w:rsidRDefault="00D84460" w:rsidP="00EA27BA">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Updated data and information on ethnic disproportionality across the UK in the use of stop and search powers, tasers, strip-searching of children, facial recognition technology, arrests,</w:t>
      </w:r>
      <w:r w:rsidR="00607632" w:rsidRPr="00C4536A">
        <w:rPr>
          <w:rFonts w:ascii="Eudoxus Sans" w:eastAsia="Times New Roman" w:hAnsi="Eudoxus Sans" w:cs="Times New Roman"/>
          <w:color w:val="000000"/>
          <w:kern w:val="0"/>
          <w:lang w:eastAsia="en-GB"/>
          <w14:ligatures w14:val="none"/>
        </w:rPr>
        <w:t xml:space="preserve"> </w:t>
      </w:r>
      <w:r w:rsidRPr="00C4536A">
        <w:rPr>
          <w:rFonts w:ascii="Eudoxus Sans" w:eastAsia="Times New Roman" w:hAnsi="Eudoxus Sans" w:cs="Times New Roman"/>
          <w:color w:val="000000"/>
          <w:kern w:val="0"/>
          <w:lang w:eastAsia="en-GB"/>
          <w14:ligatures w14:val="none"/>
        </w:rPr>
        <w:t>use of force, deaths in police custody and joint enterprise and the specific measures taken to prevent ethnic disproportionately in the above areas of policing</w:t>
      </w:r>
      <w:r w:rsidR="00C15635" w:rsidRPr="00C4536A">
        <w:rPr>
          <w:rFonts w:ascii="Eudoxus Sans" w:eastAsia="Times New Roman" w:hAnsi="Eudoxus Sans" w:cs="Times New Roman"/>
          <w:color w:val="000000"/>
          <w:kern w:val="0"/>
          <w:lang w:eastAsia="en-GB"/>
          <w14:ligatures w14:val="none"/>
        </w:rPr>
        <w:t xml:space="preserve"> (CERD/C/GBR/CO/21-23, para. 27).</w:t>
      </w:r>
    </w:p>
    <w:p w14:paraId="57C43D1E" w14:textId="77777777" w:rsidR="002D300B" w:rsidRPr="00C4536A" w:rsidRDefault="002D300B" w:rsidP="002D300B">
      <w:pPr>
        <w:pStyle w:val="ListParagraph"/>
        <w:spacing w:after="0" w:line="240" w:lineRule="auto"/>
        <w:textAlignment w:val="baseline"/>
        <w:rPr>
          <w:rFonts w:ascii="Eudoxus Sans" w:eastAsia="Times New Roman" w:hAnsi="Eudoxus Sans" w:cs="Times New Roman"/>
          <w:color w:val="000000"/>
          <w:kern w:val="0"/>
          <w:lang w:eastAsia="en-GB"/>
          <w14:ligatures w14:val="none"/>
        </w:rPr>
      </w:pPr>
    </w:p>
    <w:p w14:paraId="6D576D36" w14:textId="29FC74D5" w:rsidR="002D300B" w:rsidRPr="00C4536A" w:rsidRDefault="00D84460"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Updated data and information on the sentencing of minority ethnic individuals and on ethnic disproportionality of the prison and probation population, including in the youth secure estate (including secure children’s homes, Secure Training Centres and Young Offender Institutions) across the UK, and the impact of the measures taken to address the overrepresentation of minority ethnic groups in the criminal justice system</w:t>
      </w:r>
      <w:r w:rsidR="006B4AEC" w:rsidRPr="00C4536A">
        <w:rPr>
          <w:rFonts w:ascii="Eudoxus Sans" w:eastAsia="Times New Roman" w:hAnsi="Eudoxus Sans" w:cs="Times New Roman"/>
          <w:color w:val="000000"/>
          <w:kern w:val="0"/>
          <w:lang w:eastAsia="en-GB"/>
          <w14:ligatures w14:val="none"/>
        </w:rPr>
        <w:t xml:space="preserve"> (CERD/C/GBR/CO/21-23, para. 29)</w:t>
      </w:r>
      <w:r w:rsidRPr="00C4536A">
        <w:rPr>
          <w:rFonts w:ascii="Eudoxus Sans" w:eastAsia="Times New Roman" w:hAnsi="Eudoxus Sans" w:cs="Times New Roman"/>
          <w:color w:val="000000"/>
          <w:kern w:val="0"/>
          <w:lang w:eastAsia="en-GB"/>
          <w14:ligatures w14:val="none"/>
        </w:rPr>
        <w:t xml:space="preserve">. </w:t>
      </w:r>
    </w:p>
    <w:p w14:paraId="4E059EFC" w14:textId="77777777" w:rsidR="002D300B" w:rsidRPr="00C4536A" w:rsidRDefault="002D300B" w:rsidP="002D300B">
      <w:pPr>
        <w:pStyle w:val="ListParagraph"/>
        <w:rPr>
          <w:rFonts w:ascii="Eudoxus Sans" w:eastAsia="Times New Roman" w:hAnsi="Eudoxus Sans" w:cs="Times New Roman"/>
          <w:color w:val="000000"/>
          <w:kern w:val="0"/>
          <w:lang w:eastAsia="en-GB"/>
          <w14:ligatures w14:val="none"/>
        </w:rPr>
      </w:pPr>
    </w:p>
    <w:p w14:paraId="2419C396" w14:textId="1CA955AE" w:rsidR="002D300B" w:rsidRPr="00C4536A" w:rsidRDefault="00D84460"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Updated data and information on racial hate crime and hate speech, including the number of complaints and convictions, the measures taken to prevent racial hate crime and to improve victim’s satisfaction and the impact of these measures in each four nations </w:t>
      </w:r>
      <w:r w:rsidR="00EE3738" w:rsidRPr="00C4536A">
        <w:rPr>
          <w:rFonts w:ascii="Eudoxus Sans" w:eastAsia="Times New Roman" w:hAnsi="Eudoxus Sans" w:cs="Times New Roman"/>
          <w:color w:val="000000"/>
          <w:kern w:val="0"/>
          <w:lang w:eastAsia="en-GB"/>
          <w14:ligatures w14:val="none"/>
        </w:rPr>
        <w:t xml:space="preserve">(CERD/C/GBR/CO/21-23, para. </w:t>
      </w:r>
      <w:r w:rsidR="00375640" w:rsidRPr="00C4536A">
        <w:rPr>
          <w:rFonts w:ascii="Eudoxus Sans" w:eastAsia="Times New Roman" w:hAnsi="Eudoxus Sans" w:cs="Times New Roman"/>
          <w:color w:val="000000"/>
          <w:kern w:val="0"/>
          <w:lang w:eastAsia="en-GB"/>
          <w14:ligatures w14:val="none"/>
        </w:rPr>
        <w:t>15</w:t>
      </w:r>
      <w:r w:rsidR="00067E80" w:rsidRPr="00C4536A">
        <w:rPr>
          <w:rFonts w:ascii="Eudoxus Sans" w:eastAsia="Times New Roman" w:hAnsi="Eudoxus Sans" w:cs="Times New Roman"/>
          <w:color w:val="000000"/>
          <w:kern w:val="0"/>
          <w:lang w:eastAsia="en-GB"/>
          <w14:ligatures w14:val="none"/>
        </w:rPr>
        <w:t>-</w:t>
      </w:r>
      <w:r w:rsidR="00EE3738" w:rsidRPr="00C4536A">
        <w:rPr>
          <w:rFonts w:ascii="Eudoxus Sans" w:eastAsia="Times New Roman" w:hAnsi="Eudoxus Sans" w:cs="Times New Roman"/>
          <w:color w:val="000000"/>
          <w:kern w:val="0"/>
          <w:lang w:eastAsia="en-GB"/>
          <w14:ligatures w14:val="none"/>
        </w:rPr>
        <w:t>16).</w:t>
      </w:r>
    </w:p>
    <w:p w14:paraId="0B71263D" w14:textId="77777777" w:rsidR="002D300B" w:rsidRPr="00C4536A" w:rsidRDefault="002D300B" w:rsidP="002D300B">
      <w:pPr>
        <w:pStyle w:val="ListParagraph"/>
        <w:rPr>
          <w:rFonts w:ascii="Eudoxus Sans" w:eastAsia="Times New Roman" w:hAnsi="Eudoxus Sans" w:cs="Times New Roman"/>
          <w:color w:val="000000"/>
          <w:kern w:val="0"/>
          <w:lang w:eastAsia="en-GB"/>
          <w14:ligatures w14:val="none"/>
        </w:rPr>
      </w:pPr>
    </w:p>
    <w:p w14:paraId="41BC0C9C" w14:textId="5C224D45" w:rsidR="002D300B" w:rsidRPr="00C4536A" w:rsidRDefault="00D84460"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The specific measures taken to tackle the under-reporting of domestic abuse and violence to the police by minority ethnic women across the UK and the under-reporting of hate crime to the police across the UK</w:t>
      </w:r>
      <w:r w:rsidR="0093474C" w:rsidRPr="00C4536A">
        <w:rPr>
          <w:rFonts w:ascii="Eudoxus Sans" w:eastAsia="Times New Roman" w:hAnsi="Eudoxus Sans" w:cs="Times New Roman"/>
          <w:color w:val="000000"/>
          <w:kern w:val="0"/>
          <w:lang w:eastAsia="en-GB"/>
          <w14:ligatures w14:val="none"/>
        </w:rPr>
        <w:t xml:space="preserve"> (CERD/C/GBR/CO/21-23, para</w:t>
      </w:r>
      <w:r w:rsidR="00ED11B3" w:rsidRPr="00C4536A">
        <w:rPr>
          <w:rFonts w:ascii="Eudoxus Sans" w:eastAsia="Times New Roman" w:hAnsi="Eudoxus Sans" w:cs="Times New Roman"/>
          <w:color w:val="000000"/>
          <w:kern w:val="0"/>
          <w:lang w:eastAsia="en-GB"/>
          <w14:ligatures w14:val="none"/>
        </w:rPr>
        <w:t>.</w:t>
      </w:r>
      <w:r w:rsidR="0093474C" w:rsidRPr="00C4536A">
        <w:rPr>
          <w:rFonts w:ascii="Eudoxus Sans" w:eastAsia="Times New Roman" w:hAnsi="Eudoxus Sans" w:cs="Times New Roman"/>
          <w:color w:val="000000"/>
          <w:kern w:val="0"/>
          <w:lang w:eastAsia="en-GB"/>
          <w14:ligatures w14:val="none"/>
        </w:rPr>
        <w:t xml:space="preserve"> 15</w:t>
      </w:r>
      <w:r w:rsidR="00067E80" w:rsidRPr="00C4536A">
        <w:rPr>
          <w:rFonts w:ascii="Eudoxus Sans" w:eastAsia="Times New Roman" w:hAnsi="Eudoxus Sans" w:cs="Times New Roman"/>
          <w:color w:val="000000"/>
          <w:kern w:val="0"/>
          <w:lang w:eastAsia="en-GB"/>
          <w14:ligatures w14:val="none"/>
        </w:rPr>
        <w:t>-</w:t>
      </w:r>
      <w:r w:rsidR="0093474C" w:rsidRPr="00C4536A">
        <w:rPr>
          <w:rFonts w:ascii="Eudoxus Sans" w:eastAsia="Times New Roman" w:hAnsi="Eudoxus Sans" w:cs="Times New Roman"/>
          <w:color w:val="000000"/>
          <w:kern w:val="0"/>
          <w:lang w:eastAsia="en-GB"/>
          <w14:ligatures w14:val="none"/>
        </w:rPr>
        <w:t>16).</w:t>
      </w:r>
    </w:p>
    <w:p w14:paraId="6B6D09BD" w14:textId="77777777" w:rsidR="004A1E48" w:rsidRPr="00C4536A" w:rsidRDefault="004A1E48" w:rsidP="004A1E48">
      <w:pPr>
        <w:pStyle w:val="ListParagraph"/>
        <w:rPr>
          <w:rFonts w:ascii="Eudoxus Sans" w:eastAsia="Times New Roman" w:hAnsi="Eudoxus Sans" w:cs="Times New Roman"/>
          <w:color w:val="000000"/>
          <w:kern w:val="0"/>
          <w:lang w:eastAsia="en-GB"/>
          <w14:ligatures w14:val="none"/>
        </w:rPr>
      </w:pPr>
    </w:p>
    <w:p w14:paraId="1215DA86" w14:textId="549C1081" w:rsidR="004A1E48" w:rsidRPr="00C4536A" w:rsidRDefault="004A1E48"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Updated data and information on racial bullying, attainment and exclusion rates at schools by ethnicity, across the UK and the impact of the measures taken to address underachievement, the high exclusion rate of students from minority ethnic groups and racial bullying </w:t>
      </w:r>
      <w:r w:rsidRPr="00C4536A">
        <w:rPr>
          <w:rFonts w:ascii="Eudoxus Sans" w:eastAsia="Times New Roman" w:hAnsi="Eudoxus Sans"/>
          <w:color w:val="000000"/>
          <w:kern w:val="0"/>
          <w:lang w:eastAsia="en-GB"/>
          <w14:ligatures w14:val="none"/>
        </w:rPr>
        <w:t>(CERD/C/GBR/CO/21-23, para. 35).</w:t>
      </w:r>
    </w:p>
    <w:p w14:paraId="4C955775" w14:textId="77777777" w:rsidR="004A1E48" w:rsidRPr="00C4536A" w:rsidRDefault="004A1E48" w:rsidP="004A1E48">
      <w:pPr>
        <w:pStyle w:val="ListParagraph"/>
        <w:rPr>
          <w:rFonts w:ascii="Eudoxus Sans" w:eastAsia="Times New Roman" w:hAnsi="Eudoxus Sans" w:cs="Times New Roman"/>
          <w:color w:val="000000"/>
          <w:kern w:val="0"/>
          <w:lang w:eastAsia="en-GB"/>
          <w14:ligatures w14:val="none"/>
        </w:rPr>
      </w:pPr>
    </w:p>
    <w:p w14:paraId="5C4E8D73" w14:textId="6BAC174A" w:rsidR="004A1E48" w:rsidRPr="00C4536A" w:rsidRDefault="004A1E48"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Updated data and information on ethnic disproportionality in voter registration and turnout across the UK and the impact of the Voter ID requirements in the Elections Act 2022 on voter turnout.</w:t>
      </w:r>
    </w:p>
    <w:p w14:paraId="45273BA1" w14:textId="77777777" w:rsidR="004A1E48" w:rsidRPr="00C4536A" w:rsidRDefault="004A1E48" w:rsidP="004A1E48">
      <w:pPr>
        <w:spacing w:after="0" w:line="240" w:lineRule="auto"/>
        <w:textAlignment w:val="baseline"/>
        <w:rPr>
          <w:rFonts w:ascii="Eudoxus Sans" w:eastAsia="Times New Roman" w:hAnsi="Eudoxus Sans" w:cs="Times New Roman"/>
          <w:color w:val="000000"/>
          <w:kern w:val="0"/>
          <w:lang w:eastAsia="en-GB"/>
          <w14:ligatures w14:val="none"/>
        </w:rPr>
      </w:pPr>
    </w:p>
    <w:p w14:paraId="39BA6176" w14:textId="44067216" w:rsidR="00D6289C" w:rsidRPr="00C4536A" w:rsidRDefault="00EA27BA" w:rsidP="004A1E48">
      <w:p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b/>
          <w:bCs/>
          <w:color w:val="000000"/>
          <w:kern w:val="0"/>
          <w:lang w:eastAsia="en-GB"/>
          <w14:ligatures w14:val="none"/>
        </w:rPr>
        <w:t>Discrimination against national or ethnic minorities (Articles 2 to 7): </w:t>
      </w:r>
    </w:p>
    <w:p w14:paraId="0A875D09" w14:textId="28717BD6" w:rsidR="002D300B" w:rsidRPr="00C4536A" w:rsidRDefault="00D84460" w:rsidP="00F26876">
      <w:pPr>
        <w:pStyle w:val="ListParagraph"/>
        <w:numPr>
          <w:ilvl w:val="0"/>
          <w:numId w:val="30"/>
        </w:numPr>
        <w:spacing w:after="0" w:line="240" w:lineRule="auto"/>
        <w:textAlignment w:val="baseline"/>
        <w:rPr>
          <w:rFonts w:ascii="Eudoxus Sans" w:eastAsia="Times New Roman" w:hAnsi="Eudoxus Sans"/>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The specific measures taken to ensure minority ethnic populations across the UK have equal access to health </w:t>
      </w:r>
      <w:r w:rsidR="00492B7E" w:rsidRPr="00C4536A">
        <w:rPr>
          <w:rFonts w:ascii="Eudoxus Sans" w:eastAsia="Times New Roman" w:hAnsi="Eudoxus Sans" w:cs="Times New Roman"/>
          <w:color w:val="000000"/>
          <w:kern w:val="0"/>
          <w:lang w:eastAsia="en-GB"/>
          <w14:ligatures w14:val="none"/>
        </w:rPr>
        <w:t>(including mental health</w:t>
      </w:r>
      <w:r w:rsidR="002F0AC9" w:rsidRPr="00C4536A">
        <w:rPr>
          <w:rFonts w:ascii="Eudoxus Sans" w:eastAsia="Times New Roman" w:hAnsi="Eudoxus Sans" w:cs="Times New Roman"/>
          <w:color w:val="000000"/>
          <w:kern w:val="0"/>
          <w:lang w:eastAsia="en-GB"/>
          <w14:ligatures w14:val="none"/>
        </w:rPr>
        <w:t>) care</w:t>
      </w:r>
      <w:r w:rsidR="00D125B0" w:rsidRPr="00C4536A">
        <w:rPr>
          <w:rFonts w:ascii="Eudoxus Sans" w:eastAsia="Times New Roman" w:hAnsi="Eudoxus Sans" w:cs="Times New Roman"/>
          <w:color w:val="000000"/>
          <w:kern w:val="0"/>
          <w:lang w:eastAsia="en-GB"/>
          <w14:ligatures w14:val="none"/>
        </w:rPr>
        <w:t>,</w:t>
      </w:r>
      <w:r w:rsidRPr="00C4536A">
        <w:rPr>
          <w:rFonts w:ascii="Eudoxus Sans" w:eastAsia="Times New Roman" w:hAnsi="Eudoxus Sans" w:cs="Times New Roman"/>
          <w:color w:val="000000"/>
          <w:kern w:val="0"/>
          <w:lang w:eastAsia="en-GB"/>
          <w14:ligatures w14:val="none"/>
        </w:rPr>
        <w:t xml:space="preserve"> to ensure that their health access and outcomes are not hindered by barriers and the impact of these measures</w:t>
      </w:r>
      <w:r w:rsidR="00D125B0" w:rsidRPr="00C4536A">
        <w:rPr>
          <w:rFonts w:ascii="Eudoxus Sans" w:eastAsia="Times New Roman" w:hAnsi="Eudoxus Sans" w:cs="Times New Roman"/>
          <w:color w:val="000000"/>
          <w:kern w:val="0"/>
          <w:lang w:eastAsia="en-GB"/>
          <w14:ligatures w14:val="none"/>
        </w:rPr>
        <w:t xml:space="preserve"> </w:t>
      </w:r>
      <w:r w:rsidR="00D125B0" w:rsidRPr="00C4536A">
        <w:rPr>
          <w:rFonts w:ascii="Eudoxus Sans" w:eastAsia="Times New Roman" w:hAnsi="Eudoxus Sans"/>
          <w:color w:val="000000"/>
          <w:kern w:val="0"/>
          <w:lang w:eastAsia="en-GB"/>
          <w14:ligatures w14:val="none"/>
        </w:rPr>
        <w:t>(CERD/C/GBR/CO/21-23, para. 31).</w:t>
      </w:r>
      <w:r w:rsidR="00F26876" w:rsidRPr="00C4536A">
        <w:rPr>
          <w:rFonts w:ascii="Eudoxus Sans" w:eastAsia="Times New Roman" w:hAnsi="Eudoxus Sans"/>
          <w:color w:val="000000"/>
          <w:kern w:val="0"/>
          <w:lang w:eastAsia="en-GB"/>
          <w14:ligatures w14:val="none"/>
        </w:rPr>
        <w:br/>
      </w:r>
    </w:p>
    <w:p w14:paraId="1E0B2CEF" w14:textId="7081EB3B" w:rsidR="002D300B" w:rsidRPr="00C4536A" w:rsidRDefault="00110C29"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lastRenderedPageBreak/>
        <w:t xml:space="preserve">The government’s counter-terrorism strategy, </w:t>
      </w:r>
      <w:r w:rsidR="006D4D0F" w:rsidRPr="00C4536A">
        <w:rPr>
          <w:rFonts w:ascii="Eudoxus Sans" w:eastAsia="Times New Roman" w:hAnsi="Eudoxus Sans" w:cs="Times New Roman"/>
          <w:color w:val="000000"/>
          <w:kern w:val="0"/>
          <w:lang w:eastAsia="en-GB"/>
          <w14:ligatures w14:val="none"/>
        </w:rPr>
        <w:t>‘</w:t>
      </w:r>
      <w:r w:rsidRPr="00C4536A">
        <w:rPr>
          <w:rFonts w:ascii="Eudoxus Sans" w:eastAsia="Times New Roman" w:hAnsi="Eudoxus Sans" w:cs="Times New Roman"/>
          <w:color w:val="000000"/>
          <w:kern w:val="0"/>
          <w:lang w:eastAsia="en-GB"/>
          <w14:ligatures w14:val="none"/>
        </w:rPr>
        <w:t>Prevent</w:t>
      </w:r>
      <w:r w:rsidR="006D4D0F" w:rsidRPr="00C4536A">
        <w:rPr>
          <w:rFonts w:ascii="Eudoxus Sans" w:eastAsia="Times New Roman" w:hAnsi="Eudoxus Sans" w:cs="Times New Roman"/>
          <w:color w:val="000000"/>
          <w:kern w:val="0"/>
          <w:lang w:eastAsia="en-GB"/>
          <w14:ligatures w14:val="none"/>
        </w:rPr>
        <w:t>’</w:t>
      </w:r>
      <w:r w:rsidRPr="00C4536A">
        <w:rPr>
          <w:rFonts w:ascii="Eudoxus Sans" w:eastAsia="Times New Roman" w:hAnsi="Eudoxus Sans" w:cs="Times New Roman"/>
          <w:color w:val="000000"/>
          <w:kern w:val="0"/>
          <w:lang w:eastAsia="en-GB"/>
          <w14:ligatures w14:val="none"/>
        </w:rPr>
        <w:t xml:space="preserve"> and the definition of extremism</w:t>
      </w:r>
      <w:r w:rsidR="006D4D0F" w:rsidRPr="00C4536A">
        <w:rPr>
          <w:rFonts w:ascii="Eudoxus Sans" w:eastAsia="Times New Roman" w:hAnsi="Eudoxus Sans" w:cs="Times New Roman"/>
          <w:color w:val="000000"/>
          <w:kern w:val="0"/>
          <w:lang w:eastAsia="en-GB"/>
          <w14:ligatures w14:val="none"/>
        </w:rPr>
        <w:t xml:space="preserve"> (CERD/C/GBR/CO/21-23, para. 19).</w:t>
      </w:r>
    </w:p>
    <w:p w14:paraId="2DC79FC5" w14:textId="77777777" w:rsidR="002D300B" w:rsidRPr="00C4536A" w:rsidRDefault="002D300B" w:rsidP="002D300B">
      <w:pPr>
        <w:pStyle w:val="ListParagraph"/>
        <w:rPr>
          <w:rFonts w:ascii="Eudoxus Sans" w:eastAsia="Times New Roman" w:hAnsi="Eudoxus Sans" w:cs="Times New Roman"/>
          <w:color w:val="000000"/>
          <w:kern w:val="0"/>
          <w:lang w:eastAsia="en-GB"/>
          <w14:ligatures w14:val="none"/>
        </w:rPr>
      </w:pPr>
    </w:p>
    <w:p w14:paraId="12896564" w14:textId="6FC27B1D" w:rsidR="00D84460" w:rsidRPr="00C4536A" w:rsidRDefault="00110C29"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The impact of the Public Order Act (2023) and the Police Crime Sentencing and </w:t>
      </w:r>
      <w:r w:rsidR="002D300B" w:rsidRPr="00C4536A">
        <w:rPr>
          <w:rFonts w:ascii="Eudoxus Sans" w:eastAsia="Times New Roman" w:hAnsi="Eudoxus Sans" w:cs="Times New Roman"/>
          <w:color w:val="000000"/>
          <w:kern w:val="0"/>
          <w:lang w:eastAsia="en-GB"/>
          <w14:ligatures w14:val="none"/>
        </w:rPr>
        <w:t>Courts Act</w:t>
      </w:r>
      <w:r w:rsidRPr="00C4536A">
        <w:rPr>
          <w:rFonts w:ascii="Eudoxus Sans" w:eastAsia="Times New Roman" w:hAnsi="Eudoxus Sans" w:cs="Times New Roman"/>
          <w:color w:val="000000"/>
          <w:kern w:val="0"/>
          <w:lang w:eastAsia="en-GB"/>
          <w14:ligatures w14:val="none"/>
        </w:rPr>
        <w:t xml:space="preserve"> (2022) on rights to protest for Black and minority ethnic communities.</w:t>
      </w:r>
      <w:r w:rsidR="00D84460" w:rsidRPr="00C4536A">
        <w:rPr>
          <w:rFonts w:ascii="Eudoxus Sans" w:eastAsia="Times New Roman" w:hAnsi="Eudoxus Sans" w:cs="Times New Roman"/>
          <w:color w:val="000000"/>
          <w:kern w:val="0"/>
          <w:lang w:eastAsia="en-GB"/>
          <w14:ligatures w14:val="none"/>
        </w:rPr>
        <w:br/>
      </w:r>
    </w:p>
    <w:p w14:paraId="3C037A0E" w14:textId="77777777" w:rsidR="00D84460" w:rsidRPr="00C4536A" w:rsidRDefault="00D84460" w:rsidP="00D84460">
      <w:p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b/>
          <w:bCs/>
          <w:color w:val="000000"/>
          <w:kern w:val="0"/>
          <w:lang w:eastAsia="en-GB"/>
          <w14:ligatures w14:val="none"/>
        </w:rPr>
        <w:t>Situation of non-citizens, including migrants, asylum seekers, refugees and stateless persons (Articles 5 and 7): </w:t>
      </w:r>
    </w:p>
    <w:p w14:paraId="64E4B680" w14:textId="72E34190" w:rsidR="00B41641" w:rsidRPr="00C4536A" w:rsidRDefault="00D84460"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Updated data and information on the number of asylum seekers and migrants held in immigration centres, including children, and on the conditions and the range of services provided during their stay in the centres, and clarification on the statutory time limit and judicial oversight for detention</w:t>
      </w:r>
      <w:r w:rsidR="002F30F8" w:rsidRPr="00C4536A">
        <w:rPr>
          <w:rFonts w:ascii="Eudoxus Sans" w:eastAsia="Times New Roman" w:hAnsi="Eudoxus Sans" w:cs="Times New Roman"/>
          <w:color w:val="000000"/>
          <w:kern w:val="0"/>
          <w:lang w:eastAsia="en-GB"/>
          <w14:ligatures w14:val="none"/>
        </w:rPr>
        <w:t xml:space="preserve"> (CERD/C/GBR/CO/21-23, para. 39).</w:t>
      </w:r>
    </w:p>
    <w:p w14:paraId="15EE65F9" w14:textId="77777777" w:rsidR="00B41641" w:rsidRPr="00C4536A" w:rsidRDefault="00B41641" w:rsidP="00B41641">
      <w:pPr>
        <w:pStyle w:val="ListParagraph"/>
        <w:spacing w:after="0" w:line="240" w:lineRule="auto"/>
        <w:textAlignment w:val="baseline"/>
        <w:rPr>
          <w:rFonts w:ascii="Eudoxus Sans" w:eastAsia="Times New Roman" w:hAnsi="Eudoxus Sans" w:cs="Times New Roman"/>
          <w:color w:val="000000"/>
          <w:kern w:val="0"/>
          <w:lang w:eastAsia="en-GB"/>
          <w14:ligatures w14:val="none"/>
        </w:rPr>
      </w:pPr>
    </w:p>
    <w:p w14:paraId="6CEA4959" w14:textId="77777777" w:rsidR="00B41641" w:rsidRPr="00C4536A" w:rsidRDefault="00D84460"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Updated data and information on the access of migrants, asylum seekers, refugees and stateless persons to education, housing, health (including mental </w:t>
      </w:r>
      <w:r w:rsidR="002D300B" w:rsidRPr="00C4536A">
        <w:rPr>
          <w:rFonts w:ascii="Eudoxus Sans" w:eastAsia="Times New Roman" w:hAnsi="Eudoxus Sans" w:cs="Times New Roman"/>
          <w:color w:val="000000"/>
          <w:kern w:val="0"/>
          <w:lang w:eastAsia="en-GB"/>
          <w14:ligatures w14:val="none"/>
        </w:rPr>
        <w:t>health) services</w:t>
      </w:r>
      <w:r w:rsidRPr="00C4536A">
        <w:rPr>
          <w:rFonts w:ascii="Eudoxus Sans" w:eastAsia="Times New Roman" w:hAnsi="Eudoxus Sans" w:cs="Times New Roman"/>
          <w:color w:val="000000"/>
          <w:kern w:val="0"/>
          <w:lang w:eastAsia="en-GB"/>
          <w14:ligatures w14:val="none"/>
        </w:rPr>
        <w:t>, employment and legal advice and support services across the UK and information on cases of exploitation and forced labour of migrants and the outcomes of those cases, including prosecutions, convictions and remedies provided to victims.</w:t>
      </w:r>
    </w:p>
    <w:p w14:paraId="730CBC10" w14:textId="77777777" w:rsidR="00B41641" w:rsidRPr="00C4536A" w:rsidRDefault="00B41641" w:rsidP="00B41641">
      <w:pPr>
        <w:pStyle w:val="ListParagraph"/>
        <w:rPr>
          <w:rFonts w:ascii="Eudoxus Sans" w:eastAsia="Times New Roman" w:hAnsi="Eudoxus Sans" w:cs="Times New Roman"/>
          <w:color w:val="000000"/>
          <w:kern w:val="0"/>
          <w:lang w:eastAsia="en-GB"/>
          <w14:ligatures w14:val="none"/>
        </w:rPr>
      </w:pPr>
    </w:p>
    <w:p w14:paraId="6F1EA41A" w14:textId="0C1D4B14" w:rsidR="00D84460" w:rsidRPr="00C4536A" w:rsidRDefault="00D84460" w:rsidP="00E9015D">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The impact of the Illegal Immigration Act (2023), Safety of Rwanda (Asylum and Immigration) </w:t>
      </w:r>
      <w:r w:rsidR="00EC3BB9" w:rsidRPr="00C4536A">
        <w:rPr>
          <w:rFonts w:ascii="Eudoxus Sans" w:eastAsia="Times New Roman" w:hAnsi="Eudoxus Sans" w:cs="Times New Roman"/>
          <w:color w:val="000000"/>
          <w:kern w:val="0"/>
          <w:lang w:eastAsia="en-GB"/>
          <w14:ligatures w14:val="none"/>
        </w:rPr>
        <w:t>Act (2024)</w:t>
      </w:r>
      <w:r w:rsidRPr="00C4536A">
        <w:rPr>
          <w:rFonts w:ascii="Eudoxus Sans" w:eastAsia="Times New Roman" w:hAnsi="Eudoxus Sans" w:cs="Times New Roman"/>
          <w:color w:val="000000"/>
          <w:kern w:val="0"/>
          <w:lang w:eastAsia="en-GB"/>
          <w14:ligatures w14:val="none"/>
        </w:rPr>
        <w:t>, the National Security Act 2023, Citizenship Deprivation and the Nationality and Borders Act (2022) (which also impacts UK citizens), on asylum seekers, refugees, migrants and stateless persons. </w:t>
      </w:r>
    </w:p>
    <w:p w14:paraId="058A7BF9" w14:textId="77777777" w:rsidR="00D84460" w:rsidRPr="00C4536A" w:rsidRDefault="00D84460" w:rsidP="00D84460">
      <w:pPr>
        <w:spacing w:after="0" w:line="240" w:lineRule="auto"/>
        <w:rPr>
          <w:rFonts w:ascii="Eudoxus Sans" w:eastAsia="Times New Roman" w:hAnsi="Eudoxus Sans" w:cs="Times New Roman"/>
          <w:kern w:val="0"/>
          <w:lang w:eastAsia="en-GB"/>
          <w14:ligatures w14:val="none"/>
        </w:rPr>
      </w:pPr>
    </w:p>
    <w:p w14:paraId="2CC2C31E" w14:textId="178C8B37" w:rsidR="00D84460" w:rsidRPr="00C4536A" w:rsidRDefault="00210B59" w:rsidP="00D84460">
      <w:pPr>
        <w:spacing w:line="240" w:lineRule="auto"/>
        <w:rPr>
          <w:rFonts w:ascii="Eudoxus Sans" w:eastAsia="Times New Roman" w:hAnsi="Eudoxus Sans"/>
          <w:b/>
          <w:bCs/>
          <w:color w:val="000000"/>
          <w:kern w:val="0"/>
          <w:lang w:eastAsia="en-GB"/>
          <w14:ligatures w14:val="none"/>
        </w:rPr>
      </w:pPr>
      <w:r w:rsidRPr="00C4536A">
        <w:rPr>
          <w:rFonts w:ascii="Eudoxus Sans" w:eastAsia="Times New Roman" w:hAnsi="Eudoxus Sans" w:cs="Times New Roman"/>
          <w:b/>
          <w:bCs/>
          <w:color w:val="000000"/>
          <w:kern w:val="0"/>
          <w:lang w:eastAsia="en-GB"/>
          <w14:ligatures w14:val="none"/>
        </w:rPr>
        <w:t>I</w:t>
      </w:r>
      <w:r w:rsidRPr="00C4536A">
        <w:rPr>
          <w:rFonts w:ascii="Eudoxus Sans" w:eastAsia="Times New Roman" w:hAnsi="Eudoxus Sans"/>
          <w:b/>
          <w:bCs/>
          <w:color w:val="000000"/>
          <w:kern w:val="0"/>
          <w:lang w:eastAsia="en-GB"/>
          <w14:ligatures w14:val="none"/>
        </w:rPr>
        <w:t>mpact of the COVID-19 Pandemic:</w:t>
      </w:r>
    </w:p>
    <w:p w14:paraId="3CE2B54A" w14:textId="53C79FDC" w:rsidR="00B41641" w:rsidRPr="00C4536A" w:rsidRDefault="003E07ED" w:rsidP="00FF5B31">
      <w:pPr>
        <w:pStyle w:val="ListParagraph"/>
        <w:numPr>
          <w:ilvl w:val="0"/>
          <w:numId w:val="30"/>
        </w:numPr>
        <w:spacing w:after="0" w:line="240" w:lineRule="auto"/>
        <w:textAlignment w:val="baseline"/>
        <w:rPr>
          <w:rFonts w:ascii="Eudoxus Sans" w:eastAsia="Times New Roman" w:hAnsi="Eudoxus Sans"/>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Information on t</w:t>
      </w:r>
      <w:r w:rsidR="00D84460" w:rsidRPr="00C4536A">
        <w:rPr>
          <w:rFonts w:ascii="Eudoxus Sans" w:eastAsia="Times New Roman" w:hAnsi="Eudoxus Sans" w:cs="Times New Roman"/>
          <w:color w:val="000000"/>
          <w:kern w:val="0"/>
          <w:lang w:eastAsia="en-GB"/>
          <w14:ligatures w14:val="none"/>
        </w:rPr>
        <w:t xml:space="preserve">he impact of the COVID-19 pandemic, </w:t>
      </w:r>
      <w:r w:rsidR="00FF5B31" w:rsidRPr="00C4536A">
        <w:rPr>
          <w:rFonts w:ascii="Eudoxus Sans" w:eastAsia="Times New Roman" w:hAnsi="Eudoxus Sans"/>
          <w:color w:val="000000"/>
          <w:kern w:val="0"/>
          <w:lang w:eastAsia="en-GB"/>
          <w14:ligatures w14:val="none"/>
        </w:rPr>
        <w:t>on minority ethnic groups across the UK in relation to hate crime, education, housing, health services and employment.</w:t>
      </w:r>
      <w:r w:rsidR="00D84460" w:rsidRPr="00C4536A">
        <w:rPr>
          <w:rFonts w:ascii="Eudoxus Sans" w:eastAsia="Times New Roman" w:hAnsi="Eudoxus Sans" w:cs="Times New Roman"/>
          <w:color w:val="000000"/>
          <w:kern w:val="0"/>
          <w:lang w:eastAsia="en-GB"/>
          <w14:ligatures w14:val="none"/>
        </w:rPr>
        <w:t xml:space="preserve"> </w:t>
      </w:r>
    </w:p>
    <w:p w14:paraId="36FF7031" w14:textId="77777777" w:rsidR="00B41641" w:rsidRPr="00C4536A" w:rsidRDefault="00B41641" w:rsidP="00B41641">
      <w:pPr>
        <w:pStyle w:val="ListParagraph"/>
        <w:spacing w:after="0" w:line="240" w:lineRule="auto"/>
        <w:textAlignment w:val="baseline"/>
        <w:rPr>
          <w:rFonts w:ascii="Eudoxus Sans" w:eastAsia="Times New Roman" w:hAnsi="Eudoxus Sans" w:cs="Times New Roman"/>
          <w:color w:val="000000"/>
          <w:kern w:val="0"/>
          <w:lang w:eastAsia="en-GB"/>
          <w14:ligatures w14:val="none"/>
        </w:rPr>
      </w:pPr>
    </w:p>
    <w:p w14:paraId="4A7DF914" w14:textId="2786013C" w:rsidR="008A278C" w:rsidRPr="00C4536A" w:rsidRDefault="008A278C" w:rsidP="008A278C">
      <w:p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b/>
          <w:bCs/>
          <w:color w:val="000000"/>
          <w:kern w:val="0"/>
          <w:lang w:eastAsia="en-GB"/>
          <w14:ligatures w14:val="none"/>
        </w:rPr>
        <w:t>Gypsy, Roma and Travellers Rights</w:t>
      </w:r>
      <w:r w:rsidRPr="00C4536A">
        <w:rPr>
          <w:rFonts w:ascii="Eudoxus Sans" w:eastAsia="Times New Roman" w:hAnsi="Eudoxus Sans" w:cs="Times New Roman"/>
          <w:color w:val="000000"/>
          <w:kern w:val="0"/>
          <w:lang w:eastAsia="en-GB"/>
          <w14:ligatures w14:val="none"/>
        </w:rPr>
        <w:t>:</w:t>
      </w:r>
    </w:p>
    <w:p w14:paraId="1107F97D" w14:textId="77777777" w:rsidR="008A278C" w:rsidRPr="00C4536A" w:rsidRDefault="008A278C" w:rsidP="00B41641">
      <w:pPr>
        <w:pStyle w:val="ListParagraph"/>
        <w:spacing w:after="0" w:line="240" w:lineRule="auto"/>
        <w:textAlignment w:val="baseline"/>
        <w:rPr>
          <w:rFonts w:ascii="Eudoxus Sans" w:eastAsia="Times New Roman" w:hAnsi="Eudoxus Sans" w:cs="Times New Roman"/>
          <w:color w:val="000000"/>
          <w:kern w:val="0"/>
          <w:lang w:eastAsia="en-GB"/>
          <w14:ligatures w14:val="none"/>
        </w:rPr>
      </w:pPr>
    </w:p>
    <w:p w14:paraId="49D6CF5D" w14:textId="04EEF957" w:rsidR="00B41641" w:rsidRPr="00C4536A" w:rsidRDefault="00D84460" w:rsidP="00E9015D">
      <w:pPr>
        <w:pStyle w:val="ListParagraph"/>
        <w:numPr>
          <w:ilvl w:val="0"/>
          <w:numId w:val="30"/>
        </w:numPr>
        <w:spacing w:after="0" w:line="240" w:lineRule="auto"/>
        <w:textAlignment w:val="baseline"/>
        <w:rPr>
          <w:rFonts w:ascii="Eudoxus Sans" w:eastAsia="Times New Roman" w:hAnsi="Eudoxus Sans"/>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 xml:space="preserve">The progress </w:t>
      </w:r>
      <w:r w:rsidR="002B7942" w:rsidRPr="00C4536A">
        <w:rPr>
          <w:rFonts w:ascii="Eudoxus Sans" w:eastAsia="Times New Roman" w:hAnsi="Eudoxus Sans" w:cs="Times New Roman"/>
          <w:color w:val="000000"/>
          <w:kern w:val="0"/>
          <w:lang w:eastAsia="en-GB"/>
          <w14:ligatures w14:val="none"/>
        </w:rPr>
        <w:t>made on</w:t>
      </w:r>
      <w:r w:rsidRPr="00C4536A">
        <w:rPr>
          <w:rFonts w:ascii="Eudoxus Sans" w:eastAsia="Times New Roman" w:hAnsi="Eudoxus Sans" w:cs="Times New Roman"/>
          <w:color w:val="000000"/>
          <w:kern w:val="0"/>
          <w:lang w:eastAsia="en-GB"/>
          <w14:ligatures w14:val="none"/>
        </w:rPr>
        <w:t xml:space="preserve"> improving the socio-economic situation of Gypsy, Roma and Traveller</w:t>
      </w:r>
      <w:r w:rsidR="002B7942" w:rsidRPr="00C4536A">
        <w:rPr>
          <w:rFonts w:ascii="Eudoxus Sans" w:eastAsia="Times New Roman" w:hAnsi="Eudoxus Sans" w:cs="Times New Roman"/>
          <w:color w:val="000000"/>
          <w:kern w:val="0"/>
          <w:lang w:eastAsia="en-GB"/>
          <w14:ligatures w14:val="none"/>
        </w:rPr>
        <w:t xml:space="preserve"> </w:t>
      </w:r>
      <w:r w:rsidRPr="00C4536A">
        <w:rPr>
          <w:rFonts w:ascii="Eudoxus Sans" w:eastAsia="Times New Roman" w:hAnsi="Eudoxus Sans" w:cs="Times New Roman"/>
          <w:color w:val="000000"/>
          <w:kern w:val="0"/>
          <w:lang w:eastAsia="en-GB"/>
          <w14:ligatures w14:val="none"/>
        </w:rPr>
        <w:t>groups, across the UK including their access to education, healthcare, employment and housing</w:t>
      </w:r>
      <w:r w:rsidR="00E66686" w:rsidRPr="00C4536A">
        <w:rPr>
          <w:rFonts w:ascii="Eudoxus Sans" w:eastAsia="Times New Roman" w:hAnsi="Eudoxus Sans" w:cs="Times New Roman"/>
          <w:color w:val="000000"/>
          <w:kern w:val="0"/>
          <w:lang w:eastAsia="en-GB"/>
          <w14:ligatures w14:val="none"/>
        </w:rPr>
        <w:t xml:space="preserve"> </w:t>
      </w:r>
      <w:r w:rsidR="00E66686" w:rsidRPr="00C4536A">
        <w:rPr>
          <w:rFonts w:ascii="Eudoxus Sans" w:eastAsia="Times New Roman" w:hAnsi="Eudoxus Sans"/>
          <w:color w:val="000000"/>
          <w:kern w:val="0"/>
          <w:lang w:eastAsia="en-GB"/>
          <w14:ligatures w14:val="none"/>
        </w:rPr>
        <w:t>(CERD/C/GBR/CO/21-23, para. 25).</w:t>
      </w:r>
    </w:p>
    <w:p w14:paraId="50DDFBCD" w14:textId="77777777" w:rsidR="00B41641" w:rsidRPr="00C4536A" w:rsidRDefault="00B41641" w:rsidP="00B41641">
      <w:pPr>
        <w:pStyle w:val="ListParagraph"/>
        <w:rPr>
          <w:rFonts w:ascii="Eudoxus Sans" w:eastAsia="Times New Roman" w:hAnsi="Eudoxus Sans" w:cs="Times New Roman"/>
          <w:color w:val="000000"/>
          <w:kern w:val="0"/>
          <w:u w:val="single"/>
          <w:lang w:eastAsia="en-GB"/>
          <w14:ligatures w14:val="none"/>
        </w:rPr>
      </w:pPr>
    </w:p>
    <w:p w14:paraId="6793BBBE" w14:textId="77777777" w:rsidR="00E743B5" w:rsidRPr="00C4536A" w:rsidRDefault="00D84460" w:rsidP="00197382">
      <w:pPr>
        <w:pStyle w:val="ListParagraph"/>
        <w:numPr>
          <w:ilvl w:val="0"/>
          <w:numId w:val="30"/>
        </w:numPr>
        <w:spacing w:after="0" w:line="240" w:lineRule="auto"/>
        <w:textAlignment w:val="baseline"/>
        <w:rPr>
          <w:rFonts w:ascii="Eudoxus Sans" w:eastAsia="Times New Roman" w:hAnsi="Eudoxus Sans" w:cs="Times New Roman"/>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The specific impacts of the Police Crime Sentencing and Courts Act (2022)</w:t>
      </w:r>
      <w:r w:rsidR="002A6CBD" w:rsidRPr="00C4536A">
        <w:rPr>
          <w:rFonts w:ascii="Eudoxus Sans" w:eastAsia="Times New Roman" w:hAnsi="Eudoxus Sans" w:cs="Times New Roman"/>
          <w:color w:val="000000"/>
          <w:kern w:val="0"/>
          <w:lang w:eastAsia="en-GB"/>
          <w14:ligatures w14:val="none"/>
        </w:rPr>
        <w:t xml:space="preserve"> </w:t>
      </w:r>
      <w:r w:rsidRPr="00C4536A">
        <w:rPr>
          <w:rFonts w:ascii="Eudoxus Sans" w:eastAsia="Times New Roman" w:hAnsi="Eudoxus Sans" w:cs="Times New Roman"/>
          <w:color w:val="000000"/>
          <w:kern w:val="0"/>
          <w:lang w:eastAsia="en-GB"/>
          <w14:ligatures w14:val="none"/>
        </w:rPr>
        <w:t>on Gypsy, Roma and Traveller housing and settlement and the specific measures</w:t>
      </w:r>
      <w:r w:rsidR="001D0A10" w:rsidRPr="00C4536A">
        <w:rPr>
          <w:rFonts w:ascii="Eudoxus Sans" w:eastAsia="Times New Roman" w:hAnsi="Eudoxus Sans" w:cs="Times New Roman"/>
          <w:color w:val="000000"/>
          <w:kern w:val="0"/>
          <w:lang w:eastAsia="en-GB"/>
          <w14:ligatures w14:val="none"/>
        </w:rPr>
        <w:t xml:space="preserve"> taken</w:t>
      </w:r>
      <w:r w:rsidRPr="00C4536A">
        <w:rPr>
          <w:rFonts w:ascii="Eudoxus Sans" w:eastAsia="Times New Roman" w:hAnsi="Eudoxus Sans" w:cs="Times New Roman"/>
          <w:color w:val="000000"/>
          <w:kern w:val="0"/>
          <w:lang w:eastAsia="en-GB"/>
          <w14:ligatures w14:val="none"/>
        </w:rPr>
        <w:t xml:space="preserve"> to mitigate the adverse impacts of the Act on Gypsy, Roma and Traveller populations in England and Wales. </w:t>
      </w:r>
    </w:p>
    <w:p w14:paraId="1B302F0A" w14:textId="77777777" w:rsidR="005E4E45" w:rsidRPr="00C4536A" w:rsidRDefault="005E4E45" w:rsidP="005E4E45">
      <w:pPr>
        <w:spacing w:after="0" w:line="240" w:lineRule="auto"/>
        <w:textAlignment w:val="baseline"/>
        <w:rPr>
          <w:rFonts w:ascii="Eudoxus Sans" w:eastAsia="Times New Roman" w:hAnsi="Eudoxus Sans" w:cs="Times New Roman"/>
          <w:color w:val="000000"/>
          <w:kern w:val="0"/>
          <w:lang w:eastAsia="en-GB"/>
          <w14:ligatures w14:val="none"/>
        </w:rPr>
      </w:pPr>
    </w:p>
    <w:p w14:paraId="16431981" w14:textId="77777777" w:rsidR="00B41641" w:rsidRPr="00C4536A" w:rsidRDefault="00D84460" w:rsidP="00B41641">
      <w:pPr>
        <w:spacing w:line="240" w:lineRule="auto"/>
        <w:rPr>
          <w:rFonts w:ascii="Eudoxus Sans" w:eastAsia="Times New Roman" w:hAnsi="Eudoxus Sans" w:cs="Times New Roman"/>
          <w:kern w:val="0"/>
          <w:lang w:eastAsia="en-GB"/>
          <w14:ligatures w14:val="none"/>
        </w:rPr>
      </w:pPr>
      <w:r w:rsidRPr="00C4536A">
        <w:rPr>
          <w:rFonts w:ascii="Eudoxus Sans" w:eastAsia="Times New Roman" w:hAnsi="Eudoxus Sans" w:cs="Times New Roman"/>
          <w:b/>
          <w:bCs/>
          <w:color w:val="000000"/>
          <w:kern w:val="0"/>
          <w:lang w:eastAsia="en-GB"/>
          <w14:ligatures w14:val="none"/>
        </w:rPr>
        <w:t>Other measures to combat prejudice and intolerance (Article 7): </w:t>
      </w:r>
    </w:p>
    <w:p w14:paraId="2EDA8367" w14:textId="22B04749" w:rsidR="00D84460" w:rsidRPr="00C4536A" w:rsidRDefault="00D84460" w:rsidP="00E9015D">
      <w:pPr>
        <w:pStyle w:val="ListParagraph"/>
        <w:numPr>
          <w:ilvl w:val="0"/>
          <w:numId w:val="30"/>
        </w:numPr>
        <w:spacing w:line="240" w:lineRule="auto"/>
        <w:rPr>
          <w:rFonts w:ascii="Eudoxus Sans" w:eastAsia="Times New Roman" w:hAnsi="Eudoxus Sans"/>
          <w:color w:val="000000"/>
          <w:kern w:val="0"/>
          <w:lang w:eastAsia="en-GB"/>
          <w14:ligatures w14:val="none"/>
        </w:rPr>
      </w:pPr>
      <w:r w:rsidRPr="00C4536A">
        <w:rPr>
          <w:rFonts w:ascii="Eudoxus Sans" w:eastAsia="Times New Roman" w:hAnsi="Eudoxus Sans" w:cs="Times New Roman"/>
          <w:color w:val="000000"/>
          <w:kern w:val="0"/>
          <w:lang w:eastAsia="en-GB"/>
          <w14:ligatures w14:val="none"/>
        </w:rPr>
        <w:t>The impact of the New Curriculum for Wales and the specific measures taken to provide a more diverse and balanced curriculum in England, Scotland and Northern Ireland</w:t>
      </w:r>
      <w:r w:rsidR="00067E80" w:rsidRPr="00C4536A">
        <w:rPr>
          <w:rFonts w:ascii="Eudoxus Sans" w:eastAsia="Times New Roman" w:hAnsi="Eudoxus Sans" w:cs="Times New Roman"/>
          <w:color w:val="000000"/>
          <w:kern w:val="0"/>
          <w:lang w:eastAsia="en-GB"/>
          <w14:ligatures w14:val="none"/>
        </w:rPr>
        <w:t xml:space="preserve"> </w:t>
      </w:r>
      <w:r w:rsidR="00067E80" w:rsidRPr="00C4536A">
        <w:rPr>
          <w:rFonts w:ascii="Eudoxus Sans" w:eastAsia="Times New Roman" w:hAnsi="Eudoxus Sans"/>
          <w:color w:val="000000"/>
          <w:kern w:val="0"/>
          <w:lang w:eastAsia="en-GB"/>
          <w14:ligatures w14:val="none"/>
        </w:rPr>
        <w:t xml:space="preserve">(CERD/C/GBR/CO/21-23, para. 34-35.) </w:t>
      </w:r>
    </w:p>
    <w:p w14:paraId="030FAD26" w14:textId="77777777" w:rsidR="00432EE8" w:rsidRPr="00C4536A" w:rsidRDefault="00432EE8">
      <w:pPr>
        <w:rPr>
          <w:rFonts w:ascii="Eudoxus Sans" w:hAnsi="Eudoxus Sans"/>
        </w:rPr>
      </w:pPr>
    </w:p>
    <w:sectPr w:rsidR="00432EE8" w:rsidRPr="00C4536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76EF0" w14:textId="77777777" w:rsidR="008825FE" w:rsidRDefault="008825FE" w:rsidP="00B41641">
      <w:pPr>
        <w:spacing w:after="0" w:line="240" w:lineRule="auto"/>
      </w:pPr>
      <w:r>
        <w:separator/>
      </w:r>
    </w:p>
  </w:endnote>
  <w:endnote w:type="continuationSeparator" w:id="0">
    <w:p w14:paraId="08C9930D" w14:textId="77777777" w:rsidR="008825FE" w:rsidRDefault="008825FE" w:rsidP="00B41641">
      <w:pPr>
        <w:spacing w:after="0" w:line="240" w:lineRule="auto"/>
      </w:pPr>
      <w:r>
        <w:continuationSeparator/>
      </w:r>
    </w:p>
  </w:endnote>
  <w:endnote w:type="continuationNotice" w:id="1">
    <w:p w14:paraId="7F12E380" w14:textId="77777777" w:rsidR="008825FE" w:rsidRDefault="008825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udoxus Sans">
    <w:panose1 w:val="00000000000000000000"/>
    <w:charset w:val="00"/>
    <w:family w:val="auto"/>
    <w:pitch w:val="variable"/>
    <w:sig w:usb0="A10000FF" w:usb1="40006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484750"/>
      <w:docPartObj>
        <w:docPartGallery w:val="Page Numbers (Bottom of Page)"/>
        <w:docPartUnique/>
      </w:docPartObj>
    </w:sdtPr>
    <w:sdtEndPr>
      <w:rPr>
        <w:noProof/>
      </w:rPr>
    </w:sdtEndPr>
    <w:sdtContent>
      <w:p w14:paraId="5FFEB3C3" w14:textId="5B82D7E9" w:rsidR="00B41641" w:rsidRDefault="00B416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799ED4" w14:textId="77777777" w:rsidR="00B41641" w:rsidRDefault="00B41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776DF" w14:textId="77777777" w:rsidR="008825FE" w:rsidRDefault="008825FE" w:rsidP="00B41641">
      <w:pPr>
        <w:spacing w:after="0" w:line="240" w:lineRule="auto"/>
      </w:pPr>
      <w:r>
        <w:separator/>
      </w:r>
    </w:p>
  </w:footnote>
  <w:footnote w:type="continuationSeparator" w:id="0">
    <w:p w14:paraId="636848C9" w14:textId="77777777" w:rsidR="008825FE" w:rsidRDefault="008825FE" w:rsidP="00B41641">
      <w:pPr>
        <w:spacing w:after="0" w:line="240" w:lineRule="auto"/>
      </w:pPr>
      <w:r>
        <w:continuationSeparator/>
      </w:r>
    </w:p>
  </w:footnote>
  <w:footnote w:type="continuationNotice" w:id="1">
    <w:p w14:paraId="1F3D4B98" w14:textId="77777777" w:rsidR="008825FE" w:rsidRDefault="008825F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2EDB"/>
    <w:multiLevelType w:val="multilevel"/>
    <w:tmpl w:val="64B2719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63D55"/>
    <w:multiLevelType w:val="multilevel"/>
    <w:tmpl w:val="62803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AF5CA3"/>
    <w:multiLevelType w:val="multilevel"/>
    <w:tmpl w:val="3836E4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F96287"/>
    <w:multiLevelType w:val="hybridMultilevel"/>
    <w:tmpl w:val="CFBABB60"/>
    <w:lvl w:ilvl="0" w:tplc="AA9251FC">
      <w:start w:val="1"/>
      <w:numFmt w:val="decimal"/>
      <w:lvlText w:val="%1."/>
      <w:lvlJc w:val="left"/>
      <w:pPr>
        <w:ind w:left="720" w:hanging="360"/>
      </w:pPr>
      <w:rPr>
        <w:rFonts w:ascii="Eudoxus Sans" w:hAnsi="Eudoxus San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624752"/>
    <w:multiLevelType w:val="hybridMultilevel"/>
    <w:tmpl w:val="CAFCA7A2"/>
    <w:lvl w:ilvl="0" w:tplc="AA9251FC">
      <w:start w:val="1"/>
      <w:numFmt w:val="decimal"/>
      <w:lvlText w:val="%1."/>
      <w:lvlJc w:val="left"/>
      <w:pPr>
        <w:ind w:left="720" w:hanging="360"/>
      </w:pPr>
      <w:rPr>
        <w:rFonts w:ascii="Eudoxus Sans" w:hAnsi="Eudoxus San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C44730"/>
    <w:multiLevelType w:val="hybridMultilevel"/>
    <w:tmpl w:val="9926AF38"/>
    <w:lvl w:ilvl="0" w:tplc="AA9251FC">
      <w:start w:val="1"/>
      <w:numFmt w:val="decimal"/>
      <w:lvlText w:val="%1."/>
      <w:lvlJc w:val="left"/>
      <w:pPr>
        <w:ind w:left="720" w:hanging="360"/>
      </w:pPr>
      <w:rPr>
        <w:rFonts w:ascii="Eudoxus Sans" w:hAnsi="Eudoxus San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C54D21"/>
    <w:multiLevelType w:val="multilevel"/>
    <w:tmpl w:val="505AF40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9E0B49"/>
    <w:multiLevelType w:val="hybridMultilevel"/>
    <w:tmpl w:val="1B62F0D8"/>
    <w:lvl w:ilvl="0" w:tplc="FFFFFFFF">
      <w:start w:val="1"/>
      <w:numFmt w:val="decimal"/>
      <w:lvlText w:val="%1."/>
      <w:lvlJc w:val="left"/>
      <w:pPr>
        <w:ind w:left="720" w:hanging="360"/>
      </w:pPr>
      <w:rPr>
        <w:rFonts w:ascii="Eudoxus Sans" w:hAnsi="Eudoxus San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2325C8"/>
    <w:multiLevelType w:val="multilevel"/>
    <w:tmpl w:val="2A6826B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A6103C"/>
    <w:multiLevelType w:val="multilevel"/>
    <w:tmpl w:val="DE7A72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1D3627"/>
    <w:multiLevelType w:val="hybridMultilevel"/>
    <w:tmpl w:val="7EC02874"/>
    <w:lvl w:ilvl="0" w:tplc="AA9251FC">
      <w:start w:val="1"/>
      <w:numFmt w:val="decimal"/>
      <w:lvlText w:val="%1."/>
      <w:lvlJc w:val="left"/>
      <w:pPr>
        <w:ind w:left="720" w:hanging="360"/>
      </w:pPr>
      <w:rPr>
        <w:rFonts w:ascii="Eudoxus Sans" w:hAnsi="Eudoxus San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A902FD"/>
    <w:multiLevelType w:val="hybridMultilevel"/>
    <w:tmpl w:val="C13A7B6C"/>
    <w:lvl w:ilvl="0" w:tplc="AA9251FC">
      <w:start w:val="1"/>
      <w:numFmt w:val="decimal"/>
      <w:lvlText w:val="%1."/>
      <w:lvlJc w:val="left"/>
      <w:pPr>
        <w:ind w:left="720" w:hanging="360"/>
      </w:pPr>
      <w:rPr>
        <w:rFonts w:ascii="Eudoxus Sans" w:hAnsi="Eudoxus San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2753896">
    <w:abstractNumId w:val="1"/>
  </w:num>
  <w:num w:numId="2" w16cid:durableId="1662545429">
    <w:abstractNumId w:val="2"/>
    <w:lvlOverride w:ilvl="0">
      <w:lvl w:ilvl="0">
        <w:numFmt w:val="decimal"/>
        <w:lvlText w:val="%1."/>
        <w:lvlJc w:val="left"/>
      </w:lvl>
    </w:lvlOverride>
  </w:num>
  <w:num w:numId="3" w16cid:durableId="1026325009">
    <w:abstractNumId w:val="2"/>
    <w:lvlOverride w:ilvl="0">
      <w:lvl w:ilvl="0">
        <w:numFmt w:val="decimal"/>
        <w:lvlText w:val="%1."/>
        <w:lvlJc w:val="left"/>
      </w:lvl>
    </w:lvlOverride>
  </w:num>
  <w:num w:numId="4" w16cid:durableId="1526821679">
    <w:abstractNumId w:val="2"/>
    <w:lvlOverride w:ilvl="0">
      <w:lvl w:ilvl="0">
        <w:numFmt w:val="decimal"/>
        <w:lvlText w:val="%1."/>
        <w:lvlJc w:val="left"/>
      </w:lvl>
    </w:lvlOverride>
  </w:num>
  <w:num w:numId="5" w16cid:durableId="1983078747">
    <w:abstractNumId w:val="2"/>
    <w:lvlOverride w:ilvl="0">
      <w:lvl w:ilvl="0">
        <w:numFmt w:val="decimal"/>
        <w:lvlText w:val="%1."/>
        <w:lvlJc w:val="left"/>
      </w:lvl>
    </w:lvlOverride>
  </w:num>
  <w:num w:numId="6" w16cid:durableId="1445425379">
    <w:abstractNumId w:val="2"/>
    <w:lvlOverride w:ilvl="0">
      <w:lvl w:ilvl="0">
        <w:numFmt w:val="decimal"/>
        <w:lvlText w:val="%1."/>
        <w:lvlJc w:val="left"/>
      </w:lvl>
    </w:lvlOverride>
  </w:num>
  <w:num w:numId="7" w16cid:durableId="1583948076">
    <w:abstractNumId w:val="2"/>
    <w:lvlOverride w:ilvl="0">
      <w:lvl w:ilvl="0">
        <w:numFmt w:val="decimal"/>
        <w:lvlText w:val="%1."/>
        <w:lvlJc w:val="left"/>
      </w:lvl>
    </w:lvlOverride>
  </w:num>
  <w:num w:numId="8" w16cid:durableId="292290970">
    <w:abstractNumId w:val="9"/>
    <w:lvlOverride w:ilvl="0">
      <w:lvl w:ilvl="0">
        <w:numFmt w:val="decimal"/>
        <w:lvlText w:val="%1."/>
        <w:lvlJc w:val="left"/>
      </w:lvl>
    </w:lvlOverride>
  </w:num>
  <w:num w:numId="9" w16cid:durableId="1131557233">
    <w:abstractNumId w:val="9"/>
    <w:lvlOverride w:ilvl="0">
      <w:lvl w:ilvl="0">
        <w:numFmt w:val="decimal"/>
        <w:lvlText w:val="%1."/>
        <w:lvlJc w:val="left"/>
      </w:lvl>
    </w:lvlOverride>
  </w:num>
  <w:num w:numId="10" w16cid:durableId="106631028">
    <w:abstractNumId w:val="9"/>
    <w:lvlOverride w:ilvl="0">
      <w:lvl w:ilvl="0">
        <w:numFmt w:val="decimal"/>
        <w:lvlText w:val="%1."/>
        <w:lvlJc w:val="left"/>
      </w:lvl>
    </w:lvlOverride>
  </w:num>
  <w:num w:numId="11" w16cid:durableId="1824538290">
    <w:abstractNumId w:val="9"/>
    <w:lvlOverride w:ilvl="0">
      <w:lvl w:ilvl="0">
        <w:numFmt w:val="decimal"/>
        <w:lvlText w:val="%1."/>
        <w:lvlJc w:val="left"/>
      </w:lvl>
    </w:lvlOverride>
  </w:num>
  <w:num w:numId="12" w16cid:durableId="245118774">
    <w:abstractNumId w:val="9"/>
    <w:lvlOverride w:ilvl="0">
      <w:lvl w:ilvl="0">
        <w:numFmt w:val="decimal"/>
        <w:lvlText w:val="%1."/>
        <w:lvlJc w:val="left"/>
      </w:lvl>
    </w:lvlOverride>
  </w:num>
  <w:num w:numId="13" w16cid:durableId="994648352">
    <w:abstractNumId w:val="9"/>
    <w:lvlOverride w:ilvl="0">
      <w:lvl w:ilvl="0">
        <w:numFmt w:val="decimal"/>
        <w:lvlText w:val="%1."/>
        <w:lvlJc w:val="left"/>
      </w:lvl>
    </w:lvlOverride>
  </w:num>
  <w:num w:numId="14" w16cid:durableId="1397818762">
    <w:abstractNumId w:val="9"/>
    <w:lvlOverride w:ilvl="0">
      <w:lvl w:ilvl="0">
        <w:numFmt w:val="decimal"/>
        <w:lvlText w:val="%1."/>
        <w:lvlJc w:val="left"/>
      </w:lvl>
    </w:lvlOverride>
  </w:num>
  <w:num w:numId="15" w16cid:durableId="1774472089">
    <w:abstractNumId w:val="9"/>
    <w:lvlOverride w:ilvl="0">
      <w:lvl w:ilvl="0">
        <w:numFmt w:val="decimal"/>
        <w:lvlText w:val="%1."/>
        <w:lvlJc w:val="left"/>
      </w:lvl>
    </w:lvlOverride>
  </w:num>
  <w:num w:numId="16" w16cid:durableId="85852585">
    <w:abstractNumId w:val="9"/>
    <w:lvlOverride w:ilvl="0">
      <w:lvl w:ilvl="0">
        <w:numFmt w:val="decimal"/>
        <w:lvlText w:val="%1."/>
        <w:lvlJc w:val="left"/>
      </w:lvl>
    </w:lvlOverride>
  </w:num>
  <w:num w:numId="17" w16cid:durableId="1205605368">
    <w:abstractNumId w:val="9"/>
    <w:lvlOverride w:ilvl="0">
      <w:lvl w:ilvl="0">
        <w:numFmt w:val="decimal"/>
        <w:lvlText w:val="%1."/>
        <w:lvlJc w:val="left"/>
      </w:lvl>
    </w:lvlOverride>
  </w:num>
  <w:num w:numId="18" w16cid:durableId="1566261405">
    <w:abstractNumId w:val="9"/>
    <w:lvlOverride w:ilvl="0">
      <w:lvl w:ilvl="0">
        <w:numFmt w:val="decimal"/>
        <w:lvlText w:val="%1."/>
        <w:lvlJc w:val="left"/>
      </w:lvl>
    </w:lvlOverride>
  </w:num>
  <w:num w:numId="19" w16cid:durableId="293219894">
    <w:abstractNumId w:val="9"/>
    <w:lvlOverride w:ilvl="0">
      <w:lvl w:ilvl="0">
        <w:numFmt w:val="decimal"/>
        <w:lvlText w:val="%1."/>
        <w:lvlJc w:val="left"/>
      </w:lvl>
    </w:lvlOverride>
  </w:num>
  <w:num w:numId="20" w16cid:durableId="1765299849">
    <w:abstractNumId w:val="9"/>
    <w:lvlOverride w:ilvl="0">
      <w:lvl w:ilvl="0">
        <w:numFmt w:val="decimal"/>
        <w:lvlText w:val="%1."/>
        <w:lvlJc w:val="left"/>
      </w:lvl>
    </w:lvlOverride>
  </w:num>
  <w:num w:numId="21" w16cid:durableId="1572613483">
    <w:abstractNumId w:val="9"/>
    <w:lvlOverride w:ilvl="0">
      <w:lvl w:ilvl="0">
        <w:numFmt w:val="decimal"/>
        <w:lvlText w:val="%1."/>
        <w:lvlJc w:val="left"/>
      </w:lvl>
    </w:lvlOverride>
  </w:num>
  <w:num w:numId="22" w16cid:durableId="178663632">
    <w:abstractNumId w:val="0"/>
    <w:lvlOverride w:ilvl="0">
      <w:lvl w:ilvl="0">
        <w:numFmt w:val="decimal"/>
        <w:lvlText w:val="%1."/>
        <w:lvlJc w:val="left"/>
      </w:lvl>
    </w:lvlOverride>
  </w:num>
  <w:num w:numId="23" w16cid:durableId="1246186547">
    <w:abstractNumId w:val="0"/>
    <w:lvlOverride w:ilvl="0">
      <w:lvl w:ilvl="0">
        <w:numFmt w:val="decimal"/>
        <w:lvlText w:val="%1."/>
        <w:lvlJc w:val="left"/>
      </w:lvl>
    </w:lvlOverride>
  </w:num>
  <w:num w:numId="24" w16cid:durableId="904100934">
    <w:abstractNumId w:val="0"/>
    <w:lvlOverride w:ilvl="0">
      <w:lvl w:ilvl="0">
        <w:numFmt w:val="decimal"/>
        <w:lvlText w:val="%1."/>
        <w:lvlJc w:val="left"/>
      </w:lvl>
    </w:lvlOverride>
  </w:num>
  <w:num w:numId="25" w16cid:durableId="352925850">
    <w:abstractNumId w:val="8"/>
    <w:lvlOverride w:ilvl="0">
      <w:lvl w:ilvl="0">
        <w:numFmt w:val="decimal"/>
        <w:lvlText w:val="%1."/>
        <w:lvlJc w:val="left"/>
      </w:lvl>
    </w:lvlOverride>
  </w:num>
  <w:num w:numId="26" w16cid:durableId="1791825082">
    <w:abstractNumId w:val="8"/>
    <w:lvlOverride w:ilvl="0">
      <w:lvl w:ilvl="0">
        <w:numFmt w:val="decimal"/>
        <w:lvlText w:val="%1."/>
        <w:lvlJc w:val="left"/>
      </w:lvl>
    </w:lvlOverride>
  </w:num>
  <w:num w:numId="27" w16cid:durableId="1728992655">
    <w:abstractNumId w:val="8"/>
    <w:lvlOverride w:ilvl="0">
      <w:lvl w:ilvl="0">
        <w:numFmt w:val="decimal"/>
        <w:lvlText w:val="%1."/>
        <w:lvlJc w:val="left"/>
      </w:lvl>
    </w:lvlOverride>
  </w:num>
  <w:num w:numId="28" w16cid:durableId="1877691995">
    <w:abstractNumId w:val="8"/>
    <w:lvlOverride w:ilvl="0">
      <w:lvl w:ilvl="0">
        <w:numFmt w:val="decimal"/>
        <w:lvlText w:val="%1."/>
        <w:lvlJc w:val="left"/>
      </w:lvl>
    </w:lvlOverride>
  </w:num>
  <w:num w:numId="29" w16cid:durableId="195507830">
    <w:abstractNumId w:val="6"/>
    <w:lvlOverride w:ilvl="0">
      <w:lvl w:ilvl="0">
        <w:numFmt w:val="decimal"/>
        <w:lvlText w:val="%1."/>
        <w:lvlJc w:val="left"/>
      </w:lvl>
    </w:lvlOverride>
  </w:num>
  <w:num w:numId="30" w16cid:durableId="1065682697">
    <w:abstractNumId w:val="3"/>
  </w:num>
  <w:num w:numId="31" w16cid:durableId="1988045052">
    <w:abstractNumId w:val="11"/>
  </w:num>
  <w:num w:numId="32" w16cid:durableId="2034531420">
    <w:abstractNumId w:val="5"/>
  </w:num>
  <w:num w:numId="33" w16cid:durableId="2133207882">
    <w:abstractNumId w:val="10"/>
  </w:num>
  <w:num w:numId="34" w16cid:durableId="596140189">
    <w:abstractNumId w:val="4"/>
  </w:num>
  <w:num w:numId="35" w16cid:durableId="5663848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460"/>
    <w:rsid w:val="00022B8A"/>
    <w:rsid w:val="00050FD3"/>
    <w:rsid w:val="00067E80"/>
    <w:rsid w:val="000E7CA5"/>
    <w:rsid w:val="00110C29"/>
    <w:rsid w:val="00147190"/>
    <w:rsid w:val="00157756"/>
    <w:rsid w:val="00171604"/>
    <w:rsid w:val="00172EA6"/>
    <w:rsid w:val="00197382"/>
    <w:rsid w:val="001D0A10"/>
    <w:rsid w:val="001D20DE"/>
    <w:rsid w:val="00210B59"/>
    <w:rsid w:val="00287D94"/>
    <w:rsid w:val="002A6CBD"/>
    <w:rsid w:val="002B7942"/>
    <w:rsid w:val="002D300B"/>
    <w:rsid w:val="002E3672"/>
    <w:rsid w:val="002E3A0D"/>
    <w:rsid w:val="002F0AC9"/>
    <w:rsid w:val="002F30F8"/>
    <w:rsid w:val="00311FAD"/>
    <w:rsid w:val="00341629"/>
    <w:rsid w:val="00375640"/>
    <w:rsid w:val="00391373"/>
    <w:rsid w:val="003A5B00"/>
    <w:rsid w:val="003E07ED"/>
    <w:rsid w:val="00432EE8"/>
    <w:rsid w:val="00492B7E"/>
    <w:rsid w:val="00496A22"/>
    <w:rsid w:val="004A1E48"/>
    <w:rsid w:val="00536B2D"/>
    <w:rsid w:val="005654DC"/>
    <w:rsid w:val="00595F67"/>
    <w:rsid w:val="005A74FB"/>
    <w:rsid w:val="005E4E45"/>
    <w:rsid w:val="005E5152"/>
    <w:rsid w:val="00603F8B"/>
    <w:rsid w:val="00607632"/>
    <w:rsid w:val="006A1D26"/>
    <w:rsid w:val="006B4AEC"/>
    <w:rsid w:val="006B7302"/>
    <w:rsid w:val="006D4D0F"/>
    <w:rsid w:val="006F3902"/>
    <w:rsid w:val="007D7669"/>
    <w:rsid w:val="008825FE"/>
    <w:rsid w:val="008916B1"/>
    <w:rsid w:val="008A278C"/>
    <w:rsid w:val="008B43BB"/>
    <w:rsid w:val="00927F97"/>
    <w:rsid w:val="009332C6"/>
    <w:rsid w:val="0093474C"/>
    <w:rsid w:val="0095037F"/>
    <w:rsid w:val="0095116F"/>
    <w:rsid w:val="009551EE"/>
    <w:rsid w:val="00A518D7"/>
    <w:rsid w:val="00A76E6D"/>
    <w:rsid w:val="00AA354C"/>
    <w:rsid w:val="00AB0002"/>
    <w:rsid w:val="00B41641"/>
    <w:rsid w:val="00B63C8E"/>
    <w:rsid w:val="00B8283F"/>
    <w:rsid w:val="00B97631"/>
    <w:rsid w:val="00C11517"/>
    <w:rsid w:val="00C15635"/>
    <w:rsid w:val="00C2507C"/>
    <w:rsid w:val="00C4536A"/>
    <w:rsid w:val="00C64745"/>
    <w:rsid w:val="00D06713"/>
    <w:rsid w:val="00D125B0"/>
    <w:rsid w:val="00D361DD"/>
    <w:rsid w:val="00D6289C"/>
    <w:rsid w:val="00D84460"/>
    <w:rsid w:val="00D85C2D"/>
    <w:rsid w:val="00DA2E8A"/>
    <w:rsid w:val="00DE464E"/>
    <w:rsid w:val="00E35846"/>
    <w:rsid w:val="00E66686"/>
    <w:rsid w:val="00E743B5"/>
    <w:rsid w:val="00E9015D"/>
    <w:rsid w:val="00EA27BA"/>
    <w:rsid w:val="00EC3BB9"/>
    <w:rsid w:val="00ED00C7"/>
    <w:rsid w:val="00ED11B3"/>
    <w:rsid w:val="00EE3738"/>
    <w:rsid w:val="00F0291C"/>
    <w:rsid w:val="00F26876"/>
    <w:rsid w:val="00F85612"/>
    <w:rsid w:val="00FC2856"/>
    <w:rsid w:val="00FF4D2B"/>
    <w:rsid w:val="00FF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EE93B"/>
  <w15:chartTrackingRefBased/>
  <w15:docId w15:val="{1E5C5A46-6F5E-445A-AA63-24FC31652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00B"/>
    <w:pPr>
      <w:ind w:left="720"/>
      <w:contextualSpacing/>
    </w:pPr>
  </w:style>
  <w:style w:type="paragraph" w:styleId="Header">
    <w:name w:val="header"/>
    <w:basedOn w:val="Normal"/>
    <w:link w:val="HeaderChar"/>
    <w:uiPriority w:val="99"/>
    <w:unhideWhenUsed/>
    <w:rsid w:val="00B41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641"/>
  </w:style>
  <w:style w:type="paragraph" w:styleId="Footer">
    <w:name w:val="footer"/>
    <w:basedOn w:val="Normal"/>
    <w:link w:val="FooterChar"/>
    <w:uiPriority w:val="99"/>
    <w:unhideWhenUsed/>
    <w:rsid w:val="00B41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641"/>
  </w:style>
  <w:style w:type="paragraph" w:styleId="NormalWeb">
    <w:name w:val="Normal (Web)"/>
    <w:basedOn w:val="Normal"/>
    <w:uiPriority w:val="99"/>
    <w:semiHidden/>
    <w:unhideWhenUsed/>
    <w:rsid w:val="005654DC"/>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C11517"/>
    <w:rPr>
      <w:sz w:val="16"/>
      <w:szCs w:val="16"/>
    </w:rPr>
  </w:style>
  <w:style w:type="paragraph" w:styleId="CommentText">
    <w:name w:val="annotation text"/>
    <w:basedOn w:val="Normal"/>
    <w:link w:val="CommentTextChar"/>
    <w:uiPriority w:val="99"/>
    <w:unhideWhenUsed/>
    <w:rsid w:val="00C11517"/>
    <w:pPr>
      <w:spacing w:line="240" w:lineRule="auto"/>
    </w:pPr>
    <w:rPr>
      <w:sz w:val="20"/>
      <w:szCs w:val="20"/>
    </w:rPr>
  </w:style>
  <w:style w:type="character" w:customStyle="1" w:styleId="CommentTextChar">
    <w:name w:val="Comment Text Char"/>
    <w:basedOn w:val="DefaultParagraphFont"/>
    <w:link w:val="CommentText"/>
    <w:uiPriority w:val="99"/>
    <w:rsid w:val="00C11517"/>
    <w:rPr>
      <w:sz w:val="20"/>
      <w:szCs w:val="20"/>
    </w:rPr>
  </w:style>
  <w:style w:type="paragraph" w:styleId="CommentSubject">
    <w:name w:val="annotation subject"/>
    <w:basedOn w:val="CommentText"/>
    <w:next w:val="CommentText"/>
    <w:link w:val="CommentSubjectChar"/>
    <w:uiPriority w:val="99"/>
    <w:semiHidden/>
    <w:unhideWhenUsed/>
    <w:rsid w:val="00C11517"/>
    <w:rPr>
      <w:b/>
      <w:bCs/>
    </w:rPr>
  </w:style>
  <w:style w:type="character" w:customStyle="1" w:styleId="CommentSubjectChar">
    <w:name w:val="Comment Subject Char"/>
    <w:basedOn w:val="CommentTextChar"/>
    <w:link w:val="CommentSubject"/>
    <w:uiPriority w:val="99"/>
    <w:semiHidden/>
    <w:rsid w:val="00C115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09681">
      <w:bodyDiv w:val="1"/>
      <w:marLeft w:val="0"/>
      <w:marRight w:val="0"/>
      <w:marTop w:val="0"/>
      <w:marBottom w:val="0"/>
      <w:divBdr>
        <w:top w:val="none" w:sz="0" w:space="0" w:color="auto"/>
        <w:left w:val="none" w:sz="0" w:space="0" w:color="auto"/>
        <w:bottom w:val="none" w:sz="0" w:space="0" w:color="auto"/>
        <w:right w:val="none" w:sz="0" w:space="0" w:color="auto"/>
      </w:divBdr>
    </w:div>
    <w:div w:id="181356026">
      <w:bodyDiv w:val="1"/>
      <w:marLeft w:val="0"/>
      <w:marRight w:val="0"/>
      <w:marTop w:val="0"/>
      <w:marBottom w:val="0"/>
      <w:divBdr>
        <w:top w:val="none" w:sz="0" w:space="0" w:color="auto"/>
        <w:left w:val="none" w:sz="0" w:space="0" w:color="auto"/>
        <w:bottom w:val="none" w:sz="0" w:space="0" w:color="auto"/>
        <w:right w:val="none" w:sz="0" w:space="0" w:color="auto"/>
      </w:divBdr>
    </w:div>
    <w:div w:id="486095124">
      <w:bodyDiv w:val="1"/>
      <w:marLeft w:val="0"/>
      <w:marRight w:val="0"/>
      <w:marTop w:val="0"/>
      <w:marBottom w:val="0"/>
      <w:divBdr>
        <w:top w:val="none" w:sz="0" w:space="0" w:color="auto"/>
        <w:left w:val="none" w:sz="0" w:space="0" w:color="auto"/>
        <w:bottom w:val="none" w:sz="0" w:space="0" w:color="auto"/>
        <w:right w:val="none" w:sz="0" w:space="0" w:color="auto"/>
      </w:divBdr>
    </w:div>
    <w:div w:id="810947146">
      <w:bodyDiv w:val="1"/>
      <w:marLeft w:val="0"/>
      <w:marRight w:val="0"/>
      <w:marTop w:val="0"/>
      <w:marBottom w:val="0"/>
      <w:divBdr>
        <w:top w:val="none" w:sz="0" w:space="0" w:color="auto"/>
        <w:left w:val="none" w:sz="0" w:space="0" w:color="auto"/>
        <w:bottom w:val="none" w:sz="0" w:space="0" w:color="auto"/>
        <w:right w:val="none" w:sz="0" w:space="0" w:color="auto"/>
      </w:divBdr>
    </w:div>
    <w:div w:id="1026634385">
      <w:bodyDiv w:val="1"/>
      <w:marLeft w:val="0"/>
      <w:marRight w:val="0"/>
      <w:marTop w:val="0"/>
      <w:marBottom w:val="0"/>
      <w:divBdr>
        <w:top w:val="none" w:sz="0" w:space="0" w:color="auto"/>
        <w:left w:val="none" w:sz="0" w:space="0" w:color="auto"/>
        <w:bottom w:val="none" w:sz="0" w:space="0" w:color="auto"/>
        <w:right w:val="none" w:sz="0" w:space="0" w:color="auto"/>
      </w:divBdr>
    </w:div>
    <w:div w:id="1031495984">
      <w:bodyDiv w:val="1"/>
      <w:marLeft w:val="0"/>
      <w:marRight w:val="0"/>
      <w:marTop w:val="0"/>
      <w:marBottom w:val="0"/>
      <w:divBdr>
        <w:top w:val="none" w:sz="0" w:space="0" w:color="auto"/>
        <w:left w:val="none" w:sz="0" w:space="0" w:color="auto"/>
        <w:bottom w:val="none" w:sz="0" w:space="0" w:color="auto"/>
        <w:right w:val="none" w:sz="0" w:space="0" w:color="auto"/>
      </w:divBdr>
    </w:div>
    <w:div w:id="1191644598">
      <w:bodyDiv w:val="1"/>
      <w:marLeft w:val="0"/>
      <w:marRight w:val="0"/>
      <w:marTop w:val="0"/>
      <w:marBottom w:val="0"/>
      <w:divBdr>
        <w:top w:val="none" w:sz="0" w:space="0" w:color="auto"/>
        <w:left w:val="none" w:sz="0" w:space="0" w:color="auto"/>
        <w:bottom w:val="none" w:sz="0" w:space="0" w:color="auto"/>
        <w:right w:val="none" w:sz="0" w:space="0" w:color="auto"/>
      </w:divBdr>
    </w:div>
    <w:div w:id="1439986415">
      <w:bodyDiv w:val="1"/>
      <w:marLeft w:val="0"/>
      <w:marRight w:val="0"/>
      <w:marTop w:val="0"/>
      <w:marBottom w:val="0"/>
      <w:divBdr>
        <w:top w:val="none" w:sz="0" w:space="0" w:color="auto"/>
        <w:left w:val="none" w:sz="0" w:space="0" w:color="auto"/>
        <w:bottom w:val="none" w:sz="0" w:space="0" w:color="auto"/>
        <w:right w:val="none" w:sz="0" w:space="0" w:color="auto"/>
      </w:divBdr>
    </w:div>
    <w:div w:id="1513103539">
      <w:bodyDiv w:val="1"/>
      <w:marLeft w:val="0"/>
      <w:marRight w:val="0"/>
      <w:marTop w:val="0"/>
      <w:marBottom w:val="0"/>
      <w:divBdr>
        <w:top w:val="none" w:sz="0" w:space="0" w:color="auto"/>
        <w:left w:val="none" w:sz="0" w:space="0" w:color="auto"/>
        <w:bottom w:val="none" w:sz="0" w:space="0" w:color="auto"/>
        <w:right w:val="none" w:sz="0" w:space="0" w:color="auto"/>
      </w:divBdr>
    </w:div>
    <w:div w:id="1827236379">
      <w:bodyDiv w:val="1"/>
      <w:marLeft w:val="0"/>
      <w:marRight w:val="0"/>
      <w:marTop w:val="0"/>
      <w:marBottom w:val="0"/>
      <w:divBdr>
        <w:top w:val="none" w:sz="0" w:space="0" w:color="auto"/>
        <w:left w:val="none" w:sz="0" w:space="0" w:color="auto"/>
        <w:bottom w:val="none" w:sz="0" w:space="0" w:color="auto"/>
        <w:right w:val="none" w:sz="0" w:space="0" w:color="auto"/>
      </w:divBdr>
    </w:div>
    <w:div w:id="187488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2024-05-06T18:44:47+00:00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E23439-AD67-4308-8B96-335E62D8B4CD}">
  <ds:schemaRefs>
    <ds:schemaRef ds:uri="http://schemas.microsoft.com/office/2006/metadata/properties"/>
    <ds:schemaRef ds:uri="http://schemas.microsoft.com/office/infopath/2007/PartnerControls"/>
    <ds:schemaRef ds:uri="dc7f5752-6344-4405-a98d-e072ad927fb3"/>
    <ds:schemaRef ds:uri="e91b11b9-afb5-4405-b8ea-af36a366c417"/>
  </ds:schemaRefs>
</ds:datastoreItem>
</file>

<file path=customXml/itemProps2.xml><?xml version="1.0" encoding="utf-8"?>
<ds:datastoreItem xmlns:ds="http://schemas.openxmlformats.org/officeDocument/2006/customXml" ds:itemID="{37DE3ACD-A2FF-4612-9CDC-751C785BF438}"/>
</file>

<file path=customXml/itemProps3.xml><?xml version="1.0" encoding="utf-8"?>
<ds:datastoreItem xmlns:ds="http://schemas.openxmlformats.org/officeDocument/2006/customXml" ds:itemID="{CB4CFEC3-3FBF-4D86-9D1E-A108005F89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Pages>
  <Words>1212</Words>
  <Characters>6915</Characters>
  <Application>Microsoft Office Word</Application>
  <DocSecurity>0</DocSecurity>
  <Lines>57</Lines>
  <Paragraphs>16</Paragraphs>
  <ScaleCrop>false</ScaleCrop>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Tanti</dc:creator>
  <cp:keywords/>
  <dc:description/>
  <cp:lastModifiedBy>Christina Tanti</cp:lastModifiedBy>
  <cp:revision>79</cp:revision>
  <dcterms:created xsi:type="dcterms:W3CDTF">2024-04-25T14:15:00Z</dcterms:created>
  <dcterms:modified xsi:type="dcterms:W3CDTF">2024-05-03T14:33:00Z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y fmtid="{D5CDD505-2E9C-101B-9397-08002B2CF9AE}" pid="4" name="Order">
    <vt:r8>100</vt:r8>
  </property>
</Properties>
</file>