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F3AE5" w14:textId="5E756933" w:rsidR="008B4FE0" w:rsidRPr="009F6581" w:rsidRDefault="00FD27B4" w:rsidP="00BA4671">
      <w:pPr>
        <w:jc w:val="center"/>
        <w:rPr>
          <w:rFonts w:asciiTheme="majorBidi" w:hAnsiTheme="majorBidi" w:cstheme="majorBidi"/>
          <w:b/>
          <w:bCs/>
          <w:color w:val="44546A" w:themeColor="text2"/>
          <w:sz w:val="36"/>
          <w:szCs w:val="36"/>
        </w:rPr>
      </w:pPr>
      <w:r w:rsidRPr="009F6581">
        <w:rPr>
          <w:rFonts w:asciiTheme="majorBidi" w:hAnsiTheme="majorBidi" w:cstheme="majorBidi"/>
          <w:b/>
          <w:bCs/>
          <w:color w:val="44546A" w:themeColor="text2"/>
          <w:sz w:val="36"/>
          <w:szCs w:val="36"/>
        </w:rPr>
        <w:t>Maat's report to the Human Rights Committee on Kuwait</w:t>
      </w:r>
    </w:p>
    <w:p w14:paraId="5951BC3E" w14:textId="30D84D48" w:rsidR="00FD27B4" w:rsidRPr="00BA4671" w:rsidRDefault="00C81880" w:rsidP="00BA4671">
      <w:pPr>
        <w:jc w:val="center"/>
        <w:rPr>
          <w:rFonts w:asciiTheme="majorBidi" w:hAnsiTheme="majorBidi" w:cstheme="majorBidi"/>
          <w:sz w:val="24"/>
          <w:szCs w:val="24"/>
        </w:rPr>
      </w:pPr>
      <w:r w:rsidRPr="00BA4671">
        <w:rPr>
          <w:rFonts w:asciiTheme="majorBidi" w:hAnsiTheme="majorBidi" w:cstheme="majorBidi"/>
          <w:sz w:val="24"/>
          <w:szCs w:val="24"/>
        </w:rPr>
        <w:t>Submitted to the 136</w:t>
      </w:r>
      <w:r w:rsidRPr="00233EA1">
        <w:rPr>
          <w:rFonts w:asciiTheme="majorBidi" w:hAnsiTheme="majorBidi" w:cstheme="majorBidi"/>
          <w:sz w:val="24"/>
          <w:szCs w:val="24"/>
          <w:vertAlign w:val="superscript"/>
        </w:rPr>
        <w:t>th</w:t>
      </w:r>
      <w:r w:rsidRPr="00BA4671">
        <w:rPr>
          <w:rFonts w:asciiTheme="majorBidi" w:hAnsiTheme="majorBidi" w:cstheme="majorBidi"/>
          <w:sz w:val="24"/>
          <w:szCs w:val="24"/>
        </w:rPr>
        <w:t xml:space="preserve"> Session (October 10, 2022- November 4, 2022)</w:t>
      </w:r>
    </w:p>
    <w:p w14:paraId="440D5A14" w14:textId="7163B072" w:rsidR="00C81880" w:rsidRPr="00BA4671" w:rsidRDefault="00C81880" w:rsidP="009F6581">
      <w:pPr>
        <w:jc w:val="both"/>
        <w:rPr>
          <w:rFonts w:asciiTheme="majorBidi" w:hAnsiTheme="majorBidi" w:cstheme="majorBidi"/>
          <w:b/>
          <w:bCs/>
          <w:color w:val="44546A" w:themeColor="text2"/>
          <w:sz w:val="28"/>
          <w:szCs w:val="28"/>
        </w:rPr>
      </w:pPr>
      <w:r w:rsidRPr="00BA4671">
        <w:rPr>
          <w:rFonts w:asciiTheme="majorBidi" w:hAnsiTheme="majorBidi" w:cstheme="majorBidi"/>
          <w:b/>
          <w:bCs/>
          <w:color w:val="44546A" w:themeColor="text2"/>
          <w:sz w:val="28"/>
          <w:szCs w:val="28"/>
        </w:rPr>
        <w:t>Permeable</w:t>
      </w:r>
    </w:p>
    <w:p w14:paraId="5C373AA8" w14:textId="3D8E34DE" w:rsidR="00C81880" w:rsidRDefault="00C81880"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Maat for Peace, Development and Human Rights </w:t>
      </w:r>
      <w:r w:rsidR="00233EA1">
        <w:rPr>
          <w:rFonts w:asciiTheme="majorBidi" w:hAnsiTheme="majorBidi" w:cstheme="majorBidi"/>
          <w:sz w:val="24"/>
          <w:szCs w:val="24"/>
        </w:rPr>
        <w:t>presents</w:t>
      </w:r>
      <w:r w:rsidRPr="00BA4671">
        <w:rPr>
          <w:rFonts w:asciiTheme="majorBidi" w:hAnsiTheme="majorBidi" w:cstheme="majorBidi"/>
          <w:sz w:val="24"/>
          <w:szCs w:val="24"/>
        </w:rPr>
        <w:t xml:space="preserve"> this report to the Human Rights Committee regarding </w:t>
      </w:r>
      <w:bookmarkStart w:id="0" w:name="OLE_LINK41"/>
      <w:bookmarkStart w:id="1" w:name="OLE_LINK42"/>
      <w:r w:rsidRPr="00BA4671">
        <w:rPr>
          <w:rFonts w:asciiTheme="majorBidi" w:hAnsiTheme="majorBidi" w:cstheme="majorBidi"/>
          <w:sz w:val="24"/>
          <w:szCs w:val="24"/>
        </w:rPr>
        <w:t xml:space="preserve">Kuwait's review at the 136th Session </w:t>
      </w:r>
      <w:bookmarkStart w:id="2" w:name="OLE_LINK43"/>
      <w:bookmarkEnd w:id="0"/>
      <w:bookmarkEnd w:id="1"/>
      <w:r w:rsidR="00C5002D">
        <w:rPr>
          <w:rFonts w:asciiTheme="majorBidi" w:hAnsiTheme="majorBidi" w:cstheme="majorBidi"/>
          <w:sz w:val="24"/>
          <w:szCs w:val="24"/>
        </w:rPr>
        <w:t>within the framework of</w:t>
      </w:r>
      <w:r w:rsidRPr="00BA4671">
        <w:rPr>
          <w:rFonts w:asciiTheme="majorBidi" w:hAnsiTheme="majorBidi" w:cstheme="majorBidi"/>
          <w:sz w:val="24"/>
          <w:szCs w:val="24"/>
        </w:rPr>
        <w:t xml:space="preserve"> the List of Issues</w:t>
      </w:r>
      <w:bookmarkEnd w:id="2"/>
      <w:r w:rsidR="00C5002D">
        <w:rPr>
          <w:rFonts w:asciiTheme="majorBidi" w:hAnsiTheme="majorBidi" w:cstheme="majorBidi"/>
          <w:sz w:val="24"/>
          <w:szCs w:val="24"/>
        </w:rPr>
        <w:t xml:space="preserve">. </w:t>
      </w:r>
      <w:r w:rsidR="008C3B48">
        <w:rPr>
          <w:rFonts w:asciiTheme="majorBidi" w:hAnsiTheme="majorBidi" w:cstheme="majorBidi"/>
          <w:sz w:val="24"/>
          <w:szCs w:val="24"/>
        </w:rPr>
        <w:t xml:space="preserve">Although </w:t>
      </w:r>
      <w:r w:rsidR="00C5002D">
        <w:rPr>
          <w:rFonts w:asciiTheme="majorBidi" w:hAnsiTheme="majorBidi" w:cstheme="majorBidi"/>
          <w:sz w:val="24"/>
          <w:szCs w:val="24"/>
        </w:rPr>
        <w:t xml:space="preserve">Kuwait </w:t>
      </w:r>
      <w:r w:rsidRPr="00BA4671">
        <w:rPr>
          <w:rFonts w:asciiTheme="majorBidi" w:hAnsiTheme="majorBidi" w:cstheme="majorBidi"/>
          <w:sz w:val="24"/>
          <w:szCs w:val="24"/>
        </w:rPr>
        <w:t xml:space="preserve">acceded to the International Covenant on Civil and Political Rights in April 1996, </w:t>
      </w:r>
      <w:r w:rsidR="008C3B48">
        <w:rPr>
          <w:rFonts w:asciiTheme="majorBidi" w:hAnsiTheme="majorBidi" w:cstheme="majorBidi"/>
          <w:sz w:val="24"/>
          <w:szCs w:val="24"/>
        </w:rPr>
        <w:t>it</w:t>
      </w:r>
      <w:r w:rsidRPr="00BA4671">
        <w:rPr>
          <w:rFonts w:asciiTheme="majorBidi" w:hAnsiTheme="majorBidi" w:cstheme="majorBidi"/>
          <w:sz w:val="24"/>
          <w:szCs w:val="24"/>
        </w:rPr>
        <w:t xml:space="preserve"> made an interpretative</w:t>
      </w:r>
      <w:r w:rsidR="008C3B48">
        <w:rPr>
          <w:rFonts w:asciiTheme="majorBidi" w:hAnsiTheme="majorBidi" w:cstheme="majorBidi"/>
          <w:sz w:val="24"/>
          <w:szCs w:val="24"/>
        </w:rPr>
        <w:t xml:space="preserve"> declaration concerning article</w:t>
      </w:r>
      <w:r w:rsidRPr="00BA4671">
        <w:rPr>
          <w:rFonts w:asciiTheme="majorBidi" w:hAnsiTheme="majorBidi" w:cstheme="majorBidi"/>
          <w:sz w:val="24"/>
          <w:szCs w:val="24"/>
        </w:rPr>
        <w:t xml:space="preserve"> (</w:t>
      </w:r>
      <w:r w:rsidR="00347A82">
        <w:rPr>
          <w:rFonts w:asciiTheme="majorBidi" w:hAnsiTheme="majorBidi" w:cstheme="majorBidi"/>
          <w:sz w:val="24"/>
          <w:szCs w:val="24"/>
        </w:rPr>
        <w:t>2), paragraph 1, and article 3. It declared that the Kuwaiti law guarantees</w:t>
      </w:r>
      <w:r w:rsidRPr="00BA4671">
        <w:rPr>
          <w:rFonts w:asciiTheme="majorBidi" w:hAnsiTheme="majorBidi" w:cstheme="majorBidi"/>
          <w:sz w:val="24"/>
          <w:szCs w:val="24"/>
        </w:rPr>
        <w:t xml:space="preserve"> equality between men and women within the limits of the principles of Islamic law</w:t>
      </w:r>
      <w:r w:rsidR="00376B02">
        <w:rPr>
          <w:rFonts w:asciiTheme="majorBidi" w:hAnsiTheme="majorBidi" w:cstheme="majorBidi"/>
          <w:sz w:val="24"/>
          <w:szCs w:val="24"/>
        </w:rPr>
        <w:t>, and that</w:t>
      </w:r>
      <w:r w:rsidRPr="00BA4671">
        <w:rPr>
          <w:rFonts w:asciiTheme="majorBidi" w:hAnsiTheme="majorBidi" w:cstheme="majorBidi"/>
          <w:sz w:val="24"/>
          <w:szCs w:val="24"/>
        </w:rPr>
        <w:t xml:space="preserve"> the Government of Kuwait considers </w:t>
      </w:r>
      <w:r w:rsidR="00376B02">
        <w:rPr>
          <w:rFonts w:asciiTheme="majorBidi" w:hAnsiTheme="majorBidi" w:cstheme="majorBidi"/>
          <w:sz w:val="24"/>
          <w:szCs w:val="24"/>
        </w:rPr>
        <w:t xml:space="preserve">the provisions of </w:t>
      </w:r>
      <w:r w:rsidRPr="00BA4671">
        <w:rPr>
          <w:rFonts w:asciiTheme="majorBidi" w:hAnsiTheme="majorBidi" w:cstheme="majorBidi"/>
          <w:sz w:val="24"/>
          <w:szCs w:val="24"/>
        </w:rPr>
        <w:t xml:space="preserve">article 23 on the family </w:t>
      </w:r>
      <w:r w:rsidR="002B7746">
        <w:rPr>
          <w:rFonts w:asciiTheme="majorBidi" w:hAnsiTheme="majorBidi" w:cstheme="majorBidi"/>
          <w:sz w:val="24"/>
          <w:szCs w:val="24"/>
        </w:rPr>
        <w:t>is subjected</w:t>
      </w:r>
      <w:r w:rsidRPr="00BA4671">
        <w:rPr>
          <w:rFonts w:asciiTheme="majorBidi" w:hAnsiTheme="majorBidi" w:cstheme="majorBidi"/>
          <w:sz w:val="24"/>
          <w:szCs w:val="24"/>
        </w:rPr>
        <w:t xml:space="preserve"> to Islamic sharia. </w:t>
      </w:r>
      <w:r w:rsidR="00D10B18">
        <w:rPr>
          <w:rFonts w:asciiTheme="majorBidi" w:hAnsiTheme="majorBidi" w:cstheme="majorBidi"/>
          <w:sz w:val="24"/>
          <w:szCs w:val="24"/>
        </w:rPr>
        <w:t xml:space="preserve">It should be noted that </w:t>
      </w:r>
      <w:r w:rsidRPr="00BA4671">
        <w:rPr>
          <w:rFonts w:asciiTheme="majorBidi" w:hAnsiTheme="majorBidi" w:cstheme="majorBidi"/>
          <w:sz w:val="24"/>
          <w:szCs w:val="24"/>
        </w:rPr>
        <w:t>Kuwait is not a signatory to the Optional Protocols to the International Covenant on Civil and Political Rights and therefore continues to apply the death penalty.</w:t>
      </w:r>
    </w:p>
    <w:p w14:paraId="31226507" w14:textId="34548C3A" w:rsidR="00E97EBE" w:rsidRPr="00E97EBE" w:rsidRDefault="00E97EBE" w:rsidP="009F6581">
      <w:pPr>
        <w:jc w:val="both"/>
        <w:rPr>
          <w:rFonts w:asciiTheme="majorBidi" w:hAnsiTheme="majorBidi" w:cstheme="majorBidi"/>
          <w:b/>
          <w:bCs/>
          <w:color w:val="44546A" w:themeColor="text2"/>
          <w:sz w:val="28"/>
          <w:szCs w:val="28"/>
        </w:rPr>
      </w:pPr>
      <w:r w:rsidRPr="00E97EBE">
        <w:rPr>
          <w:rFonts w:asciiTheme="majorBidi" w:hAnsiTheme="majorBidi" w:cstheme="majorBidi"/>
          <w:b/>
          <w:bCs/>
          <w:color w:val="44546A" w:themeColor="text2"/>
          <w:sz w:val="28"/>
          <w:szCs w:val="28"/>
        </w:rPr>
        <w:t>Overview of the situation of political and civil rights in Kuwait</w:t>
      </w:r>
    </w:p>
    <w:p w14:paraId="57B2B2D1" w14:textId="1F5B8A29" w:rsidR="00D10B18" w:rsidRDefault="00D10B18" w:rsidP="009F6581">
      <w:pPr>
        <w:ind w:firstLine="720"/>
        <w:jc w:val="both"/>
        <w:rPr>
          <w:rFonts w:asciiTheme="majorBidi" w:hAnsiTheme="majorBidi" w:cstheme="majorBidi"/>
          <w:sz w:val="24"/>
          <w:szCs w:val="24"/>
        </w:rPr>
      </w:pPr>
      <w:r w:rsidRPr="00D10B18">
        <w:rPr>
          <w:rFonts w:asciiTheme="majorBidi" w:hAnsiTheme="majorBidi" w:cstheme="majorBidi"/>
          <w:sz w:val="24"/>
          <w:szCs w:val="24"/>
        </w:rPr>
        <w:t xml:space="preserve">The Kuwaiti government imposes some restrictions on freedom of opinion and expression, including freedom of expression on the Internet, and </w:t>
      </w:r>
      <w:r w:rsidR="00383932">
        <w:rPr>
          <w:rFonts w:asciiTheme="majorBidi" w:hAnsiTheme="majorBidi" w:cstheme="majorBidi"/>
          <w:sz w:val="24"/>
          <w:szCs w:val="24"/>
        </w:rPr>
        <w:t>do</w:t>
      </w:r>
      <w:r w:rsidRPr="00D10B18">
        <w:rPr>
          <w:rFonts w:asciiTheme="majorBidi" w:hAnsiTheme="majorBidi" w:cstheme="majorBidi"/>
          <w:sz w:val="24"/>
          <w:szCs w:val="24"/>
        </w:rPr>
        <w:t xml:space="preserve"> not allow peaceful gatherings</w:t>
      </w:r>
      <w:r w:rsidR="00383932">
        <w:rPr>
          <w:rFonts w:asciiTheme="majorBidi" w:hAnsiTheme="majorBidi" w:cstheme="majorBidi"/>
          <w:sz w:val="24"/>
          <w:szCs w:val="24"/>
        </w:rPr>
        <w:t>. T</w:t>
      </w:r>
      <w:r w:rsidRPr="00D10B18">
        <w:rPr>
          <w:rFonts w:asciiTheme="majorBidi" w:hAnsiTheme="majorBidi" w:cstheme="majorBidi"/>
          <w:sz w:val="24"/>
          <w:szCs w:val="24"/>
        </w:rPr>
        <w:t>his comes in parallel with the continuation of security policies within detention centers as citizens</w:t>
      </w:r>
      <w:r w:rsidR="00970C43">
        <w:rPr>
          <w:rFonts w:asciiTheme="majorBidi" w:hAnsiTheme="majorBidi" w:cstheme="majorBidi"/>
          <w:sz w:val="24"/>
          <w:szCs w:val="24"/>
        </w:rPr>
        <w:t xml:space="preserve"> are exposed to ill –treatment. In addition, the </w:t>
      </w:r>
      <w:r w:rsidRPr="00D10B18">
        <w:rPr>
          <w:rFonts w:asciiTheme="majorBidi" w:hAnsiTheme="majorBidi" w:cstheme="majorBidi"/>
          <w:sz w:val="24"/>
          <w:szCs w:val="24"/>
        </w:rPr>
        <w:t xml:space="preserve">Kuwaiti women are still subjected to </w:t>
      </w:r>
      <w:r w:rsidR="00970C43">
        <w:rPr>
          <w:rFonts w:asciiTheme="majorBidi" w:hAnsiTheme="majorBidi" w:cstheme="majorBidi"/>
          <w:sz w:val="24"/>
          <w:szCs w:val="24"/>
        </w:rPr>
        <w:t>some</w:t>
      </w:r>
      <w:r w:rsidRPr="00D10B18">
        <w:rPr>
          <w:rFonts w:asciiTheme="majorBidi" w:hAnsiTheme="majorBidi" w:cstheme="majorBidi"/>
          <w:sz w:val="24"/>
          <w:szCs w:val="24"/>
        </w:rPr>
        <w:t xml:space="preserve"> kind</w:t>
      </w:r>
      <w:r w:rsidR="00970C43">
        <w:rPr>
          <w:rFonts w:asciiTheme="majorBidi" w:hAnsiTheme="majorBidi" w:cstheme="majorBidi"/>
          <w:sz w:val="24"/>
          <w:szCs w:val="24"/>
        </w:rPr>
        <w:t xml:space="preserve"> of discrimination, especially i</w:t>
      </w:r>
      <w:r w:rsidRPr="00D10B18">
        <w:rPr>
          <w:rFonts w:asciiTheme="majorBidi" w:hAnsiTheme="majorBidi" w:cstheme="majorBidi"/>
          <w:sz w:val="24"/>
          <w:szCs w:val="24"/>
        </w:rPr>
        <w:t>n matters related to nationality, as</w:t>
      </w:r>
      <w:r w:rsidR="001F39CA">
        <w:rPr>
          <w:rFonts w:asciiTheme="majorBidi" w:hAnsiTheme="majorBidi" w:cstheme="majorBidi"/>
          <w:sz w:val="24"/>
          <w:szCs w:val="24"/>
        </w:rPr>
        <w:t xml:space="preserve"> unlike men,</w:t>
      </w:r>
      <w:r w:rsidRPr="00D10B18">
        <w:rPr>
          <w:rFonts w:asciiTheme="majorBidi" w:hAnsiTheme="majorBidi" w:cstheme="majorBidi"/>
          <w:sz w:val="24"/>
          <w:szCs w:val="24"/>
        </w:rPr>
        <w:t xml:space="preserve"> </w:t>
      </w:r>
      <w:r w:rsidR="001F39CA">
        <w:rPr>
          <w:rFonts w:asciiTheme="majorBidi" w:hAnsiTheme="majorBidi" w:cstheme="majorBidi"/>
          <w:sz w:val="24"/>
          <w:szCs w:val="24"/>
        </w:rPr>
        <w:t>wome</w:t>
      </w:r>
      <w:r w:rsidRPr="00D10B18">
        <w:rPr>
          <w:rFonts w:asciiTheme="majorBidi" w:hAnsiTheme="majorBidi" w:cstheme="majorBidi"/>
          <w:sz w:val="24"/>
          <w:szCs w:val="24"/>
        </w:rPr>
        <w:t xml:space="preserve">n cannot transfer citizenship to </w:t>
      </w:r>
      <w:r w:rsidR="001F39CA">
        <w:rPr>
          <w:rFonts w:asciiTheme="majorBidi" w:hAnsiTheme="majorBidi" w:cstheme="majorBidi"/>
          <w:sz w:val="24"/>
          <w:szCs w:val="24"/>
        </w:rPr>
        <w:t>their</w:t>
      </w:r>
      <w:r w:rsidRPr="00D10B18">
        <w:rPr>
          <w:rFonts w:asciiTheme="majorBidi" w:hAnsiTheme="majorBidi" w:cstheme="majorBidi"/>
          <w:sz w:val="24"/>
          <w:szCs w:val="24"/>
        </w:rPr>
        <w:t xml:space="preserve"> children.</w:t>
      </w:r>
    </w:p>
    <w:p w14:paraId="69274D8A" w14:textId="5E3EBDF4" w:rsidR="00301C7E" w:rsidRPr="00BA4671" w:rsidRDefault="00301C7E"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In the meantime, the Government </w:t>
      </w:r>
      <w:r w:rsidR="001F39CA">
        <w:rPr>
          <w:rFonts w:asciiTheme="majorBidi" w:hAnsiTheme="majorBidi" w:cstheme="majorBidi"/>
          <w:sz w:val="24"/>
          <w:szCs w:val="24"/>
        </w:rPr>
        <w:t>relies on a set of</w:t>
      </w:r>
      <w:r w:rsidRPr="00BA4671">
        <w:rPr>
          <w:rFonts w:asciiTheme="majorBidi" w:hAnsiTheme="majorBidi" w:cstheme="majorBidi"/>
          <w:sz w:val="24"/>
          <w:szCs w:val="24"/>
        </w:rPr>
        <w:t xml:space="preserve"> broad and vague</w:t>
      </w:r>
      <w:r w:rsidR="001F39CA">
        <w:rPr>
          <w:rFonts w:asciiTheme="majorBidi" w:hAnsiTheme="majorBidi" w:cstheme="majorBidi"/>
          <w:sz w:val="24"/>
          <w:szCs w:val="24"/>
        </w:rPr>
        <w:t>ly-worded</w:t>
      </w:r>
      <w:r w:rsidRPr="00BA4671">
        <w:rPr>
          <w:rFonts w:asciiTheme="majorBidi" w:hAnsiTheme="majorBidi" w:cstheme="majorBidi"/>
          <w:sz w:val="24"/>
          <w:szCs w:val="24"/>
        </w:rPr>
        <w:t xml:space="preserve"> laws that increase its ability to control citizens' political and civil rights in advance</w:t>
      </w:r>
      <w:r w:rsidR="002846C1" w:rsidRPr="00BA4671">
        <w:rPr>
          <w:rStyle w:val="FootnoteReference"/>
          <w:rFonts w:asciiTheme="majorBidi" w:hAnsiTheme="majorBidi" w:cstheme="majorBidi"/>
          <w:sz w:val="24"/>
          <w:szCs w:val="24"/>
        </w:rPr>
        <w:footnoteReference w:id="1"/>
      </w:r>
      <w:r w:rsidRPr="00BA4671">
        <w:rPr>
          <w:rFonts w:asciiTheme="majorBidi" w:hAnsiTheme="majorBidi" w:cstheme="majorBidi"/>
          <w:sz w:val="24"/>
          <w:szCs w:val="24"/>
        </w:rPr>
        <w:t xml:space="preserve">. </w:t>
      </w:r>
      <w:r w:rsidR="006B5142">
        <w:rPr>
          <w:rFonts w:asciiTheme="majorBidi" w:hAnsiTheme="majorBidi" w:cstheme="majorBidi"/>
          <w:sz w:val="24"/>
          <w:szCs w:val="24"/>
        </w:rPr>
        <w:t xml:space="preserve">These legislations include </w:t>
      </w:r>
      <w:r w:rsidRPr="00BA4671">
        <w:rPr>
          <w:rFonts w:asciiTheme="majorBidi" w:hAnsiTheme="majorBidi" w:cstheme="majorBidi"/>
          <w:sz w:val="24"/>
          <w:szCs w:val="24"/>
        </w:rPr>
        <w:t xml:space="preserve">the </w:t>
      </w:r>
      <w:bookmarkStart w:id="3" w:name="OLE_LINK44"/>
      <w:bookmarkStart w:id="4" w:name="OLE_LINK45"/>
      <w:r w:rsidRPr="00BA4671">
        <w:rPr>
          <w:rFonts w:asciiTheme="majorBidi" w:hAnsiTheme="majorBidi" w:cstheme="majorBidi"/>
          <w:sz w:val="24"/>
          <w:szCs w:val="24"/>
        </w:rPr>
        <w:t>Telecommunications Regulation Act</w:t>
      </w:r>
      <w:bookmarkEnd w:id="3"/>
      <w:bookmarkEnd w:id="4"/>
      <w:r w:rsidRPr="00BA4671">
        <w:rPr>
          <w:rFonts w:asciiTheme="majorBidi" w:hAnsiTheme="majorBidi" w:cstheme="majorBidi"/>
          <w:sz w:val="24"/>
          <w:szCs w:val="24"/>
        </w:rPr>
        <w:t>, No. 37 of 2014, which strictly controls all information presented in the media and increases pressure on the independent press</w:t>
      </w:r>
      <w:r w:rsidR="002846C1" w:rsidRPr="00BA4671">
        <w:rPr>
          <w:rFonts w:asciiTheme="majorBidi" w:hAnsiTheme="majorBidi" w:cstheme="majorBidi"/>
          <w:sz w:val="24"/>
          <w:szCs w:val="24"/>
        </w:rPr>
        <w:t>.</w:t>
      </w:r>
      <w:r w:rsidRPr="00BA4671">
        <w:rPr>
          <w:rFonts w:asciiTheme="majorBidi" w:hAnsiTheme="majorBidi" w:cstheme="majorBidi"/>
          <w:sz w:val="24"/>
          <w:szCs w:val="24"/>
        </w:rPr>
        <w:t xml:space="preserve"> </w:t>
      </w:r>
      <w:r w:rsidR="002846C1" w:rsidRPr="00BA4671">
        <w:rPr>
          <w:rFonts w:asciiTheme="majorBidi" w:hAnsiTheme="majorBidi" w:cstheme="majorBidi"/>
          <w:sz w:val="24"/>
          <w:szCs w:val="24"/>
        </w:rPr>
        <w:t>I</w:t>
      </w:r>
      <w:r w:rsidRPr="00BA4671">
        <w:rPr>
          <w:rFonts w:asciiTheme="majorBidi" w:hAnsiTheme="majorBidi" w:cstheme="majorBidi"/>
          <w:sz w:val="24"/>
          <w:szCs w:val="24"/>
        </w:rPr>
        <w:t>n addition to the Cybercrime Act No. 63 of 2016, which broadly limits freedom of opinion and expression on the Internet</w:t>
      </w:r>
      <w:r w:rsidR="002846C1" w:rsidRPr="00BA4671">
        <w:rPr>
          <w:rStyle w:val="FootnoteReference"/>
          <w:rFonts w:asciiTheme="majorBidi" w:hAnsiTheme="majorBidi" w:cstheme="majorBidi"/>
          <w:sz w:val="24"/>
          <w:szCs w:val="24"/>
        </w:rPr>
        <w:footnoteReference w:id="2"/>
      </w:r>
      <w:r w:rsidR="002846C1" w:rsidRPr="00BA4671">
        <w:rPr>
          <w:rFonts w:asciiTheme="majorBidi" w:hAnsiTheme="majorBidi" w:cstheme="majorBidi"/>
          <w:sz w:val="24"/>
          <w:szCs w:val="24"/>
        </w:rPr>
        <w:t>.</w:t>
      </w:r>
      <w:r w:rsidRPr="00BA4671">
        <w:rPr>
          <w:rFonts w:asciiTheme="majorBidi" w:hAnsiTheme="majorBidi" w:cstheme="majorBidi"/>
          <w:sz w:val="24"/>
          <w:szCs w:val="24"/>
        </w:rPr>
        <w:t xml:space="preserve"> </w:t>
      </w:r>
      <w:r w:rsidR="002846C1" w:rsidRPr="00BA4671">
        <w:rPr>
          <w:rFonts w:asciiTheme="majorBidi" w:hAnsiTheme="majorBidi" w:cstheme="majorBidi"/>
          <w:sz w:val="24"/>
          <w:szCs w:val="24"/>
        </w:rPr>
        <w:t>Meanwhile</w:t>
      </w:r>
      <w:r w:rsidR="00216CFF">
        <w:rPr>
          <w:rFonts w:asciiTheme="majorBidi" w:hAnsiTheme="majorBidi" w:cstheme="majorBidi"/>
          <w:sz w:val="24"/>
          <w:szCs w:val="24"/>
        </w:rPr>
        <w:t>, many of Kuwait's legislative</w:t>
      </w:r>
      <w:r w:rsidRPr="00BA4671">
        <w:rPr>
          <w:rFonts w:asciiTheme="majorBidi" w:hAnsiTheme="majorBidi" w:cstheme="majorBidi"/>
          <w:sz w:val="24"/>
          <w:szCs w:val="24"/>
        </w:rPr>
        <w:t xml:space="preserve"> articles impose clear obstacles to the exercise of the right of peaceful assembly by certain </w:t>
      </w:r>
      <w:r w:rsidR="002C7278">
        <w:rPr>
          <w:rFonts w:asciiTheme="majorBidi" w:hAnsiTheme="majorBidi" w:cstheme="majorBidi"/>
          <w:sz w:val="24"/>
          <w:szCs w:val="24"/>
        </w:rPr>
        <w:t>groups</w:t>
      </w:r>
      <w:r w:rsidRPr="00BA4671">
        <w:rPr>
          <w:rFonts w:asciiTheme="majorBidi" w:hAnsiTheme="majorBidi" w:cstheme="majorBidi"/>
          <w:sz w:val="24"/>
          <w:szCs w:val="24"/>
        </w:rPr>
        <w:t xml:space="preserve"> of citizens, particularly the Bedouin population, Article 12 of Act No. 65 of 1979 makes peaceful assembly of citizens difficult.</w:t>
      </w:r>
      <w:r w:rsidR="002846C1" w:rsidRPr="00BA4671">
        <w:rPr>
          <w:rStyle w:val="FootnoteReference"/>
          <w:rFonts w:asciiTheme="majorBidi" w:hAnsiTheme="majorBidi" w:cstheme="majorBidi"/>
          <w:sz w:val="24"/>
          <w:szCs w:val="24"/>
        </w:rPr>
        <w:footnoteReference w:id="3"/>
      </w:r>
    </w:p>
    <w:p w14:paraId="2AB8FC8B" w14:textId="4253E4A6" w:rsidR="00EE3B9E" w:rsidRPr="00BA4671" w:rsidRDefault="00EE3B9E" w:rsidP="009F6581">
      <w:pPr>
        <w:jc w:val="both"/>
        <w:rPr>
          <w:rFonts w:asciiTheme="majorBidi" w:hAnsiTheme="majorBidi" w:cstheme="majorBidi"/>
          <w:color w:val="ED7D31" w:themeColor="accent2"/>
          <w:sz w:val="24"/>
          <w:szCs w:val="24"/>
        </w:rPr>
      </w:pPr>
      <w:r w:rsidRPr="00BA4671">
        <w:rPr>
          <w:rFonts w:asciiTheme="majorBidi" w:hAnsiTheme="majorBidi" w:cstheme="majorBidi"/>
          <w:color w:val="ED7D31" w:themeColor="accent2"/>
          <w:sz w:val="24"/>
          <w:szCs w:val="24"/>
        </w:rPr>
        <w:t>Suggested Question</w:t>
      </w:r>
    </w:p>
    <w:p w14:paraId="27778B99" w14:textId="544E6C7C" w:rsidR="00EE3B9E" w:rsidRPr="00BA4671" w:rsidRDefault="00EE3B9E"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 xml:space="preserve">Can the Committee request the Kuwaiti Government to clarify recent steps taken to amend laws </w:t>
      </w:r>
      <w:r w:rsidR="002C7278">
        <w:rPr>
          <w:rFonts w:asciiTheme="majorBidi" w:hAnsiTheme="majorBidi" w:cstheme="majorBidi"/>
          <w:b/>
          <w:bCs/>
          <w:sz w:val="24"/>
          <w:szCs w:val="24"/>
        </w:rPr>
        <w:t>imposing</w:t>
      </w:r>
      <w:r w:rsidRPr="00BA4671">
        <w:rPr>
          <w:rFonts w:asciiTheme="majorBidi" w:hAnsiTheme="majorBidi" w:cstheme="majorBidi"/>
          <w:b/>
          <w:bCs/>
          <w:sz w:val="24"/>
          <w:szCs w:val="24"/>
        </w:rPr>
        <w:t xml:space="preserve"> restrictions on political and civil </w:t>
      </w:r>
      <w:r w:rsidR="002C7278">
        <w:rPr>
          <w:rFonts w:asciiTheme="majorBidi" w:hAnsiTheme="majorBidi" w:cstheme="majorBidi"/>
          <w:b/>
          <w:bCs/>
          <w:sz w:val="24"/>
          <w:szCs w:val="24"/>
        </w:rPr>
        <w:t>freedoms</w:t>
      </w:r>
      <w:r w:rsidRPr="00BA4671">
        <w:rPr>
          <w:rFonts w:asciiTheme="majorBidi" w:hAnsiTheme="majorBidi" w:cstheme="majorBidi"/>
          <w:b/>
          <w:bCs/>
          <w:sz w:val="24"/>
          <w:szCs w:val="24"/>
        </w:rPr>
        <w:t>?</w:t>
      </w:r>
    </w:p>
    <w:p w14:paraId="17FED684" w14:textId="3A9CD1DB" w:rsidR="00EE3B9E" w:rsidRPr="00E97EBE" w:rsidRDefault="00EE3B9E" w:rsidP="009F6581">
      <w:pPr>
        <w:jc w:val="both"/>
        <w:rPr>
          <w:rFonts w:asciiTheme="majorBidi" w:hAnsiTheme="majorBidi" w:cstheme="majorBidi"/>
          <w:b/>
          <w:bCs/>
          <w:color w:val="44546A" w:themeColor="text2"/>
          <w:sz w:val="24"/>
          <w:szCs w:val="24"/>
        </w:rPr>
      </w:pPr>
      <w:r w:rsidRPr="00E97EBE">
        <w:rPr>
          <w:rFonts w:asciiTheme="majorBidi" w:hAnsiTheme="majorBidi" w:cstheme="majorBidi"/>
          <w:b/>
          <w:bCs/>
          <w:color w:val="44546A" w:themeColor="text2"/>
          <w:sz w:val="24"/>
          <w:szCs w:val="24"/>
        </w:rPr>
        <w:lastRenderedPageBreak/>
        <w:t xml:space="preserve">Article 3 Gender Equality </w:t>
      </w:r>
    </w:p>
    <w:p w14:paraId="7FA95C17" w14:textId="52CF4F83" w:rsidR="00EE3B9E" w:rsidRPr="00BA4671" w:rsidRDefault="00EE3B9E"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Article 3 of the Convention stipulates that the State party shall take all measures aimed at achieving gender equality in political and civil rights. In this regard, </w:t>
      </w:r>
      <w:r w:rsidR="0033643F">
        <w:rPr>
          <w:rFonts w:asciiTheme="majorBidi" w:hAnsiTheme="majorBidi" w:cstheme="majorBidi"/>
          <w:sz w:val="24"/>
          <w:szCs w:val="24"/>
        </w:rPr>
        <w:t>Maat commends</w:t>
      </w:r>
      <w:r w:rsidRPr="00BA4671">
        <w:rPr>
          <w:rFonts w:asciiTheme="majorBidi" w:hAnsiTheme="majorBidi" w:cstheme="majorBidi"/>
          <w:sz w:val="24"/>
          <w:szCs w:val="24"/>
        </w:rPr>
        <w:t xml:space="preserve"> the recent efforts</w:t>
      </w:r>
      <w:r w:rsidR="0033643F">
        <w:rPr>
          <w:rFonts w:asciiTheme="majorBidi" w:hAnsiTheme="majorBidi" w:cstheme="majorBidi"/>
          <w:sz w:val="24"/>
          <w:szCs w:val="24"/>
        </w:rPr>
        <w:t xml:space="preserve"> made by the</w:t>
      </w:r>
      <w:r w:rsidRPr="00BA4671">
        <w:rPr>
          <w:rFonts w:asciiTheme="majorBidi" w:hAnsiTheme="majorBidi" w:cstheme="majorBidi"/>
          <w:sz w:val="24"/>
          <w:szCs w:val="24"/>
        </w:rPr>
        <w:t xml:space="preserve"> </w:t>
      </w:r>
      <w:r w:rsidR="0033643F" w:rsidRPr="00BA4671">
        <w:rPr>
          <w:rFonts w:asciiTheme="majorBidi" w:hAnsiTheme="majorBidi" w:cstheme="majorBidi"/>
          <w:sz w:val="24"/>
          <w:szCs w:val="24"/>
        </w:rPr>
        <w:t>Kuwait</w:t>
      </w:r>
      <w:r w:rsidR="0033643F">
        <w:rPr>
          <w:rFonts w:asciiTheme="majorBidi" w:hAnsiTheme="majorBidi" w:cstheme="majorBidi"/>
          <w:sz w:val="24"/>
          <w:szCs w:val="24"/>
        </w:rPr>
        <w:t>i</w:t>
      </w:r>
      <w:r w:rsidR="0033643F" w:rsidRPr="00BA4671">
        <w:rPr>
          <w:rFonts w:asciiTheme="majorBidi" w:hAnsiTheme="majorBidi" w:cstheme="majorBidi"/>
          <w:sz w:val="24"/>
          <w:szCs w:val="24"/>
        </w:rPr>
        <w:t xml:space="preserve"> </w:t>
      </w:r>
      <w:r w:rsidR="0033643F">
        <w:rPr>
          <w:rFonts w:asciiTheme="majorBidi" w:hAnsiTheme="majorBidi" w:cstheme="majorBidi"/>
          <w:sz w:val="24"/>
          <w:szCs w:val="24"/>
        </w:rPr>
        <w:t>g</w:t>
      </w:r>
      <w:r w:rsidRPr="00BA4671">
        <w:rPr>
          <w:rFonts w:asciiTheme="majorBidi" w:hAnsiTheme="majorBidi" w:cstheme="majorBidi"/>
          <w:sz w:val="24"/>
          <w:szCs w:val="24"/>
        </w:rPr>
        <w:t xml:space="preserve">overnment to empower women and reduce gender discrimination, </w:t>
      </w:r>
      <w:r w:rsidR="000C2C48">
        <w:rPr>
          <w:rFonts w:asciiTheme="majorBidi" w:hAnsiTheme="majorBidi" w:cstheme="majorBidi"/>
          <w:sz w:val="24"/>
          <w:szCs w:val="24"/>
        </w:rPr>
        <w:t>topped by its decision to appoint</w:t>
      </w:r>
      <w:r w:rsidRPr="00BA4671">
        <w:rPr>
          <w:rFonts w:asciiTheme="majorBidi" w:hAnsiTheme="majorBidi" w:cstheme="majorBidi"/>
          <w:sz w:val="24"/>
          <w:szCs w:val="24"/>
        </w:rPr>
        <w:t xml:space="preserve"> female judges for the first time in the history of Kuwait in addition to </w:t>
      </w:r>
      <w:r w:rsidR="000C2C48">
        <w:rPr>
          <w:rFonts w:asciiTheme="majorBidi" w:hAnsiTheme="majorBidi" w:cstheme="majorBidi"/>
          <w:sz w:val="24"/>
          <w:szCs w:val="24"/>
        </w:rPr>
        <w:t>allowing women to hold</w:t>
      </w:r>
      <w:r w:rsidRPr="00BA4671">
        <w:rPr>
          <w:rFonts w:asciiTheme="majorBidi" w:hAnsiTheme="majorBidi" w:cstheme="majorBidi"/>
          <w:sz w:val="24"/>
          <w:szCs w:val="24"/>
        </w:rPr>
        <w:t xml:space="preserve"> senior positions in the Kuwaiti Public Prosecutor's Office. On the other hand, Maat for Peace is disappointed and concerned by the impact of societal norms on women's rights to political participation. In December 2020, Kuwait's citizens elected a new women-free parliament, with 326 candidates, including 29 women</w:t>
      </w:r>
      <w:r w:rsidR="00C3681A" w:rsidRPr="00BA4671">
        <w:rPr>
          <w:rFonts w:asciiTheme="majorBidi" w:hAnsiTheme="majorBidi" w:cstheme="majorBidi"/>
          <w:sz w:val="24"/>
          <w:szCs w:val="24"/>
        </w:rPr>
        <w:t>.</w:t>
      </w:r>
      <w:r w:rsidRPr="00BA4671">
        <w:rPr>
          <w:rFonts w:asciiTheme="majorBidi" w:hAnsiTheme="majorBidi" w:cstheme="majorBidi"/>
          <w:sz w:val="24"/>
          <w:szCs w:val="24"/>
        </w:rPr>
        <w:t xml:space="preserve"> The same was repeated in the May 2022 Municipal Council elections when 10 candidates were</w:t>
      </w:r>
      <w:r w:rsidR="001C2798" w:rsidRPr="00BA4671">
        <w:rPr>
          <w:rFonts w:asciiTheme="majorBidi" w:hAnsiTheme="majorBidi" w:cstheme="majorBidi"/>
          <w:sz w:val="24"/>
          <w:szCs w:val="24"/>
        </w:rPr>
        <w:t xml:space="preserve"> </w:t>
      </w:r>
      <w:r w:rsidRPr="00BA4671">
        <w:rPr>
          <w:rFonts w:asciiTheme="majorBidi" w:hAnsiTheme="majorBidi" w:cstheme="majorBidi"/>
          <w:sz w:val="24"/>
          <w:szCs w:val="24"/>
        </w:rPr>
        <w:t>elected, not including a woman</w:t>
      </w:r>
      <w:r w:rsidR="00386586" w:rsidRPr="00BA4671">
        <w:rPr>
          <w:rStyle w:val="FootnoteReference"/>
          <w:rFonts w:asciiTheme="majorBidi" w:hAnsiTheme="majorBidi" w:cstheme="majorBidi"/>
          <w:sz w:val="24"/>
          <w:szCs w:val="24"/>
        </w:rPr>
        <w:footnoteReference w:id="4"/>
      </w:r>
      <w:r w:rsidRPr="00BA4671">
        <w:rPr>
          <w:rFonts w:asciiTheme="majorBidi" w:hAnsiTheme="majorBidi" w:cstheme="majorBidi"/>
          <w:sz w:val="24"/>
          <w:szCs w:val="24"/>
        </w:rPr>
        <w:t xml:space="preserve">. In this context, women continue to face unfair discrimination with regard to nationality laws, as they are unable to </w:t>
      </w:r>
      <w:r w:rsidR="00B90FC3">
        <w:rPr>
          <w:rFonts w:asciiTheme="majorBidi" w:hAnsiTheme="majorBidi" w:cstheme="majorBidi"/>
          <w:sz w:val="24"/>
          <w:szCs w:val="24"/>
        </w:rPr>
        <w:t>transfer</w:t>
      </w:r>
      <w:r w:rsidRPr="00BA4671">
        <w:rPr>
          <w:rFonts w:asciiTheme="majorBidi" w:hAnsiTheme="majorBidi" w:cstheme="majorBidi"/>
          <w:sz w:val="24"/>
          <w:szCs w:val="24"/>
        </w:rPr>
        <w:t xml:space="preserve"> nationality to their children.</w:t>
      </w:r>
      <w:r w:rsidR="00386586" w:rsidRPr="00BA4671">
        <w:rPr>
          <w:rStyle w:val="FootnoteReference"/>
          <w:rFonts w:asciiTheme="majorBidi" w:hAnsiTheme="majorBidi" w:cstheme="majorBidi"/>
          <w:sz w:val="24"/>
          <w:szCs w:val="24"/>
        </w:rPr>
        <w:footnoteReference w:id="5"/>
      </w:r>
    </w:p>
    <w:p w14:paraId="2627777F" w14:textId="7755F09D" w:rsidR="00386586" w:rsidRPr="00BA4671" w:rsidRDefault="00386586" w:rsidP="009F6581">
      <w:pPr>
        <w:jc w:val="both"/>
        <w:rPr>
          <w:rFonts w:asciiTheme="majorBidi" w:hAnsiTheme="majorBidi" w:cstheme="majorBidi"/>
          <w:color w:val="ED7D31" w:themeColor="accent2"/>
          <w:sz w:val="24"/>
          <w:szCs w:val="24"/>
        </w:rPr>
      </w:pPr>
      <w:r w:rsidRPr="00BA4671">
        <w:rPr>
          <w:rFonts w:asciiTheme="majorBidi" w:hAnsiTheme="majorBidi" w:cstheme="majorBidi"/>
          <w:color w:val="ED7D31" w:themeColor="accent2"/>
          <w:sz w:val="24"/>
          <w:szCs w:val="24"/>
        </w:rPr>
        <w:t>Suggested Questions</w:t>
      </w:r>
    </w:p>
    <w:p w14:paraId="36FCAD7F" w14:textId="161E64CF" w:rsidR="00386586" w:rsidRPr="00BA4671" w:rsidRDefault="00386586"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Is it possible for the Committee to enquire about the various steps that the Government of Kuwait will take to overcome societal norms and traditions that prevent women's participation in national parliaments, and does the Government intend to establish a fixed quota for women to ensure their political rights?</w:t>
      </w:r>
    </w:p>
    <w:p w14:paraId="63650101" w14:textId="65C76C4F" w:rsidR="00386586" w:rsidRPr="00BA4671" w:rsidRDefault="005914A7"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Is it possible for the committee to call on the Kuwaiti government to clarify its position regarding the removal of legislation imposed on women's right to obtain citizenship?</w:t>
      </w:r>
    </w:p>
    <w:p w14:paraId="2E93105B" w14:textId="71A097E4" w:rsidR="005914A7" w:rsidRPr="00E97EBE" w:rsidRDefault="008E1302" w:rsidP="009F6581">
      <w:pPr>
        <w:jc w:val="both"/>
        <w:rPr>
          <w:rFonts w:asciiTheme="majorBidi" w:hAnsiTheme="majorBidi" w:cstheme="majorBidi"/>
          <w:b/>
          <w:bCs/>
          <w:color w:val="44546A" w:themeColor="text2"/>
          <w:sz w:val="24"/>
          <w:szCs w:val="24"/>
        </w:rPr>
      </w:pPr>
      <w:r w:rsidRPr="00E97EBE">
        <w:rPr>
          <w:rFonts w:asciiTheme="majorBidi" w:hAnsiTheme="majorBidi" w:cstheme="majorBidi"/>
          <w:b/>
          <w:bCs/>
          <w:color w:val="44546A" w:themeColor="text2"/>
          <w:sz w:val="24"/>
          <w:szCs w:val="24"/>
        </w:rPr>
        <w:t>Article 7 prohibition of torture</w:t>
      </w:r>
    </w:p>
    <w:p w14:paraId="076F1573" w14:textId="2CBA8B9C" w:rsidR="001C2798" w:rsidRPr="00BA4671" w:rsidRDefault="001C2798"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Article 7 of the Convention prohibits torture and ill-treatment by States parties. In spite of</w:t>
      </w:r>
      <w:r w:rsidR="00CA2390">
        <w:rPr>
          <w:rFonts w:asciiTheme="majorBidi" w:hAnsiTheme="majorBidi" w:cstheme="majorBidi"/>
          <w:sz w:val="24"/>
          <w:szCs w:val="24"/>
        </w:rPr>
        <w:t xml:space="preserve"> this</w:t>
      </w:r>
      <w:r w:rsidRPr="00BA4671">
        <w:rPr>
          <w:rFonts w:asciiTheme="majorBidi" w:hAnsiTheme="majorBidi" w:cstheme="majorBidi"/>
          <w:sz w:val="24"/>
          <w:szCs w:val="24"/>
        </w:rPr>
        <w:t>, many human rights assessments revealed some cases of torture and ill-treatment within the detention centers of the security services in Kuwait. In January 2022, a torture room was discovered at Kuwait's Security Headquarters</w:t>
      </w:r>
      <w:r w:rsidR="009F4C51" w:rsidRPr="00BA4671">
        <w:rPr>
          <w:rFonts w:asciiTheme="majorBidi" w:hAnsiTheme="majorBidi" w:cstheme="majorBidi"/>
          <w:sz w:val="24"/>
          <w:szCs w:val="24"/>
        </w:rPr>
        <w:t xml:space="preserve">, in </w:t>
      </w:r>
      <w:r w:rsidRPr="00BA4671">
        <w:rPr>
          <w:rFonts w:asciiTheme="majorBidi" w:hAnsiTheme="majorBidi" w:cstheme="majorBidi"/>
          <w:sz w:val="24"/>
          <w:szCs w:val="24"/>
        </w:rPr>
        <w:t xml:space="preserve">which the accused were </w:t>
      </w:r>
      <w:r w:rsidR="00E9239E">
        <w:rPr>
          <w:rFonts w:asciiTheme="majorBidi" w:hAnsiTheme="majorBidi" w:cstheme="majorBidi"/>
          <w:sz w:val="24"/>
          <w:szCs w:val="24"/>
        </w:rPr>
        <w:t>tortured</w:t>
      </w:r>
      <w:r w:rsidR="009F4C51" w:rsidRPr="00BA4671">
        <w:rPr>
          <w:rStyle w:val="FootnoteReference"/>
          <w:rFonts w:asciiTheme="majorBidi" w:hAnsiTheme="majorBidi" w:cstheme="majorBidi"/>
          <w:sz w:val="24"/>
          <w:szCs w:val="24"/>
        </w:rPr>
        <w:footnoteReference w:id="6"/>
      </w:r>
      <w:r w:rsidR="009F4C51" w:rsidRPr="00BA4671">
        <w:rPr>
          <w:rFonts w:asciiTheme="majorBidi" w:hAnsiTheme="majorBidi" w:cstheme="majorBidi"/>
          <w:sz w:val="24"/>
          <w:szCs w:val="24"/>
        </w:rPr>
        <w:t>.</w:t>
      </w:r>
      <w:r w:rsidRPr="00BA4671">
        <w:rPr>
          <w:rFonts w:asciiTheme="majorBidi" w:hAnsiTheme="majorBidi" w:cstheme="majorBidi"/>
          <w:sz w:val="24"/>
          <w:szCs w:val="24"/>
        </w:rPr>
        <w:t xml:space="preserve"> </w:t>
      </w:r>
      <w:r w:rsidR="009F4C51" w:rsidRPr="00BA4671">
        <w:rPr>
          <w:rFonts w:asciiTheme="majorBidi" w:hAnsiTheme="majorBidi" w:cstheme="majorBidi"/>
          <w:sz w:val="24"/>
          <w:szCs w:val="24"/>
        </w:rPr>
        <w:t>D</w:t>
      </w:r>
      <w:r w:rsidRPr="00BA4671">
        <w:rPr>
          <w:rFonts w:asciiTheme="majorBidi" w:hAnsiTheme="majorBidi" w:cstheme="majorBidi"/>
          <w:sz w:val="24"/>
          <w:szCs w:val="24"/>
        </w:rPr>
        <w:t>espite the Government's investigation and the suspension of four officers, the conduct of investigations to date still required greater transparency and clarity by the Government.</w:t>
      </w:r>
    </w:p>
    <w:p w14:paraId="1935B582" w14:textId="288F9F79" w:rsidR="009F4C51" w:rsidRPr="00BA4671" w:rsidRDefault="009F4C51"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On the other hand, in June 2022, a Kuwaiti citizen was </w:t>
      </w:r>
      <w:r w:rsidR="000653EC">
        <w:rPr>
          <w:rFonts w:asciiTheme="majorBidi" w:hAnsiTheme="majorBidi" w:cstheme="majorBidi"/>
          <w:sz w:val="24"/>
          <w:szCs w:val="24"/>
        </w:rPr>
        <w:t xml:space="preserve">severely </w:t>
      </w:r>
      <w:r w:rsidRPr="00BA4671">
        <w:rPr>
          <w:rFonts w:asciiTheme="majorBidi" w:hAnsiTheme="majorBidi" w:cstheme="majorBidi"/>
          <w:sz w:val="24"/>
          <w:szCs w:val="24"/>
        </w:rPr>
        <w:t xml:space="preserve">tortured </w:t>
      </w:r>
      <w:r w:rsidR="000653EC">
        <w:rPr>
          <w:rFonts w:asciiTheme="majorBidi" w:hAnsiTheme="majorBidi" w:cstheme="majorBidi"/>
          <w:sz w:val="24"/>
          <w:szCs w:val="24"/>
        </w:rPr>
        <w:t xml:space="preserve">in </w:t>
      </w:r>
      <w:r w:rsidRPr="00BA4671">
        <w:rPr>
          <w:rFonts w:asciiTheme="majorBidi" w:hAnsiTheme="majorBidi" w:cstheme="majorBidi"/>
          <w:sz w:val="24"/>
          <w:szCs w:val="24"/>
        </w:rPr>
        <w:t>the Criminal Investigation Department of the Ministry of Interior, which resulted in him entering t</w:t>
      </w:r>
      <w:r w:rsidR="000653EC">
        <w:rPr>
          <w:rFonts w:asciiTheme="majorBidi" w:hAnsiTheme="majorBidi" w:cstheme="majorBidi"/>
          <w:sz w:val="24"/>
          <w:szCs w:val="24"/>
        </w:rPr>
        <w:t xml:space="preserve">he intensive care unit. This incident has </w:t>
      </w:r>
      <w:r w:rsidR="00443818">
        <w:rPr>
          <w:rFonts w:asciiTheme="majorBidi" w:hAnsiTheme="majorBidi" w:cstheme="majorBidi"/>
          <w:sz w:val="24"/>
          <w:szCs w:val="24"/>
        </w:rPr>
        <w:t xml:space="preserve">raised </w:t>
      </w:r>
      <w:r w:rsidRPr="00BA4671">
        <w:rPr>
          <w:rFonts w:asciiTheme="majorBidi" w:hAnsiTheme="majorBidi" w:cstheme="majorBidi"/>
          <w:sz w:val="24"/>
          <w:szCs w:val="24"/>
        </w:rPr>
        <w:t xml:space="preserve">many human rights voices on social media </w:t>
      </w:r>
      <w:r w:rsidR="00443818">
        <w:rPr>
          <w:rFonts w:asciiTheme="majorBidi" w:hAnsiTheme="majorBidi" w:cstheme="majorBidi"/>
          <w:sz w:val="24"/>
          <w:szCs w:val="24"/>
        </w:rPr>
        <w:t>who called for immediate</w:t>
      </w:r>
      <w:r w:rsidRPr="00BA4671">
        <w:rPr>
          <w:rFonts w:asciiTheme="majorBidi" w:hAnsiTheme="majorBidi" w:cstheme="majorBidi"/>
          <w:sz w:val="24"/>
          <w:szCs w:val="24"/>
        </w:rPr>
        <w:t xml:space="preserve"> </w:t>
      </w:r>
      <w:r w:rsidR="00443818">
        <w:rPr>
          <w:rFonts w:asciiTheme="majorBidi" w:hAnsiTheme="majorBidi" w:cstheme="majorBidi"/>
          <w:sz w:val="24"/>
          <w:szCs w:val="24"/>
        </w:rPr>
        <w:t xml:space="preserve">investigation of the </w:t>
      </w:r>
      <w:r w:rsidRPr="00BA4671">
        <w:rPr>
          <w:rFonts w:asciiTheme="majorBidi" w:hAnsiTheme="majorBidi" w:cstheme="majorBidi"/>
          <w:sz w:val="24"/>
          <w:szCs w:val="24"/>
        </w:rPr>
        <w:t>crime</w:t>
      </w:r>
      <w:r w:rsidR="006B7642" w:rsidRPr="00BA4671">
        <w:rPr>
          <w:rStyle w:val="FootnoteReference"/>
          <w:rFonts w:asciiTheme="majorBidi" w:hAnsiTheme="majorBidi" w:cstheme="majorBidi"/>
          <w:sz w:val="24"/>
          <w:szCs w:val="24"/>
        </w:rPr>
        <w:footnoteReference w:id="7"/>
      </w:r>
      <w:r w:rsidRPr="00BA4671">
        <w:rPr>
          <w:rFonts w:asciiTheme="majorBidi" w:hAnsiTheme="majorBidi" w:cstheme="majorBidi"/>
          <w:sz w:val="24"/>
          <w:szCs w:val="24"/>
        </w:rPr>
        <w:t>. In a related context, some allegations indicate</w:t>
      </w:r>
      <w:r w:rsidR="00A84F90">
        <w:rPr>
          <w:rFonts w:asciiTheme="majorBidi" w:hAnsiTheme="majorBidi" w:cstheme="majorBidi"/>
          <w:sz w:val="24"/>
          <w:szCs w:val="24"/>
        </w:rPr>
        <w:t xml:space="preserve"> that</w:t>
      </w:r>
      <w:r w:rsidRPr="00BA4671">
        <w:rPr>
          <w:rFonts w:asciiTheme="majorBidi" w:hAnsiTheme="majorBidi" w:cstheme="majorBidi"/>
          <w:sz w:val="24"/>
          <w:szCs w:val="24"/>
        </w:rPr>
        <w:t xml:space="preserve"> </w:t>
      </w:r>
      <w:r w:rsidR="006B7642" w:rsidRPr="00BA4671">
        <w:rPr>
          <w:rFonts w:asciiTheme="majorBidi" w:hAnsiTheme="majorBidi" w:cstheme="majorBidi"/>
          <w:sz w:val="24"/>
          <w:szCs w:val="24"/>
        </w:rPr>
        <w:t>s</w:t>
      </w:r>
      <w:r w:rsidRPr="00BA4671">
        <w:rPr>
          <w:rFonts w:asciiTheme="majorBidi" w:hAnsiTheme="majorBidi" w:cstheme="majorBidi"/>
          <w:sz w:val="24"/>
          <w:szCs w:val="24"/>
        </w:rPr>
        <w:t xml:space="preserve">ome </w:t>
      </w:r>
      <w:r w:rsidRPr="00BA4671">
        <w:rPr>
          <w:rFonts w:asciiTheme="majorBidi" w:hAnsiTheme="majorBidi" w:cstheme="majorBidi"/>
          <w:sz w:val="24"/>
          <w:szCs w:val="24"/>
        </w:rPr>
        <w:lastRenderedPageBreak/>
        <w:t>detainees were subjected to torture and ill-treatment in November 2021 at the hands of the Kuwaiti State Security Service and the Public Prosecution, in order to force them to forcibly confess to charges they did not commit.</w:t>
      </w:r>
      <w:r w:rsidR="006B7642" w:rsidRPr="00BA4671">
        <w:rPr>
          <w:rStyle w:val="FootnoteReference"/>
          <w:rFonts w:asciiTheme="majorBidi" w:hAnsiTheme="majorBidi" w:cstheme="majorBidi"/>
          <w:sz w:val="24"/>
          <w:szCs w:val="24"/>
        </w:rPr>
        <w:footnoteReference w:id="8"/>
      </w:r>
    </w:p>
    <w:p w14:paraId="20A3DE09" w14:textId="39AF92C2" w:rsidR="009F4C51" w:rsidRPr="00BA4671" w:rsidRDefault="006B7642"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In this context, some human rights estimates suggest that the persistence of incidents of torture i</w:t>
      </w:r>
      <w:r w:rsidR="00A84F90">
        <w:rPr>
          <w:rFonts w:asciiTheme="majorBidi" w:hAnsiTheme="majorBidi" w:cstheme="majorBidi"/>
          <w:sz w:val="24"/>
          <w:szCs w:val="24"/>
        </w:rPr>
        <w:t>n Kuwait is due to the prevailing</w:t>
      </w:r>
      <w:r w:rsidRPr="00BA4671">
        <w:rPr>
          <w:rFonts w:asciiTheme="majorBidi" w:hAnsiTheme="majorBidi" w:cstheme="majorBidi"/>
          <w:sz w:val="24"/>
          <w:szCs w:val="24"/>
        </w:rPr>
        <w:t xml:space="preserve"> culture of impunity</w:t>
      </w:r>
      <w:r w:rsidR="003752D9" w:rsidRPr="00BA4671">
        <w:rPr>
          <w:rFonts w:asciiTheme="majorBidi" w:hAnsiTheme="majorBidi" w:cstheme="majorBidi"/>
          <w:sz w:val="24"/>
          <w:szCs w:val="24"/>
        </w:rPr>
        <w:t>.</w:t>
      </w:r>
      <w:r w:rsidRPr="00BA4671">
        <w:rPr>
          <w:rFonts w:asciiTheme="majorBidi" w:hAnsiTheme="majorBidi" w:cstheme="majorBidi"/>
          <w:sz w:val="24"/>
          <w:szCs w:val="24"/>
        </w:rPr>
        <w:t xml:space="preserve"> Although few members of the security forces and other Ministry staff have been investigated following allegations of torture, investigations are rarely effective, and very few individuals have been punished</w:t>
      </w:r>
      <w:r w:rsidR="003752D9" w:rsidRPr="00BA4671">
        <w:rPr>
          <w:rFonts w:asciiTheme="majorBidi" w:hAnsiTheme="majorBidi" w:cstheme="majorBidi"/>
          <w:sz w:val="24"/>
          <w:szCs w:val="24"/>
        </w:rPr>
        <w:t>.</w:t>
      </w:r>
      <w:r w:rsidRPr="00BA4671">
        <w:rPr>
          <w:rFonts w:asciiTheme="majorBidi" w:hAnsiTheme="majorBidi" w:cstheme="majorBidi"/>
          <w:sz w:val="24"/>
          <w:szCs w:val="24"/>
        </w:rPr>
        <w:t xml:space="preserve"> This comes in conjunction with the lack of independence and impartiality of the complaint and investigation mechanisms involved in investigating various crimes of torture and the absence of training </w:t>
      </w:r>
      <w:r w:rsidR="001F480E">
        <w:rPr>
          <w:rFonts w:asciiTheme="majorBidi" w:hAnsiTheme="majorBidi" w:cstheme="majorBidi"/>
          <w:sz w:val="24"/>
          <w:szCs w:val="24"/>
        </w:rPr>
        <w:t xml:space="preserve">necessary </w:t>
      </w:r>
      <w:r w:rsidRPr="00BA4671">
        <w:rPr>
          <w:rFonts w:asciiTheme="majorBidi" w:hAnsiTheme="majorBidi" w:cstheme="majorBidi"/>
          <w:sz w:val="24"/>
          <w:szCs w:val="24"/>
        </w:rPr>
        <w:t>for law e</w:t>
      </w:r>
      <w:r w:rsidR="001F480E">
        <w:rPr>
          <w:rFonts w:asciiTheme="majorBidi" w:hAnsiTheme="majorBidi" w:cstheme="majorBidi"/>
          <w:sz w:val="24"/>
          <w:szCs w:val="24"/>
        </w:rPr>
        <w:t>nforcement personnel to reduce</w:t>
      </w:r>
      <w:r w:rsidRPr="00BA4671">
        <w:rPr>
          <w:rFonts w:asciiTheme="majorBidi" w:hAnsiTheme="majorBidi" w:cstheme="majorBidi"/>
          <w:sz w:val="24"/>
          <w:szCs w:val="24"/>
        </w:rPr>
        <w:t xml:space="preserve"> </w:t>
      </w:r>
      <w:r w:rsidR="001F480E">
        <w:rPr>
          <w:rFonts w:asciiTheme="majorBidi" w:hAnsiTheme="majorBidi" w:cstheme="majorBidi"/>
          <w:sz w:val="24"/>
          <w:szCs w:val="24"/>
        </w:rPr>
        <w:t xml:space="preserve">and prevent </w:t>
      </w:r>
      <w:r w:rsidRPr="00BA4671">
        <w:rPr>
          <w:rFonts w:asciiTheme="majorBidi" w:hAnsiTheme="majorBidi" w:cstheme="majorBidi"/>
          <w:sz w:val="24"/>
          <w:szCs w:val="24"/>
        </w:rPr>
        <w:t>torture.</w:t>
      </w:r>
      <w:r w:rsidR="003752D9" w:rsidRPr="00BA4671">
        <w:rPr>
          <w:rStyle w:val="FootnoteReference"/>
          <w:rFonts w:asciiTheme="majorBidi" w:hAnsiTheme="majorBidi" w:cstheme="majorBidi"/>
          <w:sz w:val="24"/>
          <w:szCs w:val="24"/>
        </w:rPr>
        <w:footnoteReference w:id="9"/>
      </w:r>
    </w:p>
    <w:p w14:paraId="6C23578E" w14:textId="17B29CC7" w:rsidR="006B7642" w:rsidRPr="00BA4671" w:rsidRDefault="005E6EB7" w:rsidP="009F6581">
      <w:pPr>
        <w:jc w:val="both"/>
        <w:rPr>
          <w:rFonts w:asciiTheme="majorBidi" w:hAnsiTheme="majorBidi" w:cstheme="majorBidi"/>
          <w:color w:val="ED7D31" w:themeColor="accent2"/>
          <w:sz w:val="24"/>
          <w:szCs w:val="24"/>
        </w:rPr>
      </w:pPr>
      <w:r w:rsidRPr="00BA4671">
        <w:rPr>
          <w:rFonts w:asciiTheme="majorBidi" w:hAnsiTheme="majorBidi" w:cstheme="majorBidi"/>
          <w:color w:val="ED7D31" w:themeColor="accent2"/>
          <w:sz w:val="24"/>
          <w:szCs w:val="24"/>
        </w:rPr>
        <w:t>Suggested questions</w:t>
      </w:r>
    </w:p>
    <w:p w14:paraId="30D91ED8" w14:textId="77777777" w:rsidR="005E6EB7" w:rsidRPr="00BA4671" w:rsidRDefault="005E6EB7"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Could the committee request the government to clarify the various statistics related to the prosecution of members of law enforcement agencies for crimes of torture committed by a number of them?</w:t>
      </w:r>
    </w:p>
    <w:p w14:paraId="3A352ABA" w14:textId="392F65F7" w:rsidR="005E6EB7" w:rsidRPr="00BA4671" w:rsidRDefault="005E6EB7"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Could the committee request the government to clarify its efforts to train law enforcement agencies to renounce and combat torture?</w:t>
      </w:r>
    </w:p>
    <w:p w14:paraId="6A678ECB" w14:textId="57CABA09" w:rsidR="005E6EB7" w:rsidRPr="00E97EBE" w:rsidRDefault="005E6EB7" w:rsidP="009F6581">
      <w:pPr>
        <w:jc w:val="both"/>
        <w:rPr>
          <w:rFonts w:asciiTheme="majorBidi" w:hAnsiTheme="majorBidi" w:cstheme="majorBidi"/>
          <w:b/>
          <w:bCs/>
          <w:color w:val="44546A" w:themeColor="text2"/>
          <w:sz w:val="24"/>
          <w:szCs w:val="24"/>
        </w:rPr>
      </w:pPr>
      <w:r w:rsidRPr="00E97EBE">
        <w:rPr>
          <w:rFonts w:asciiTheme="majorBidi" w:hAnsiTheme="majorBidi" w:cstheme="majorBidi"/>
          <w:b/>
          <w:bCs/>
          <w:color w:val="44546A" w:themeColor="text2"/>
          <w:sz w:val="24"/>
          <w:szCs w:val="24"/>
        </w:rPr>
        <w:t>Article 9 &amp; 10 Prevention of arbitrary arrests</w:t>
      </w:r>
    </w:p>
    <w:p w14:paraId="174FBE38" w14:textId="7863BD38" w:rsidR="005E6EB7" w:rsidRPr="00BA4671" w:rsidRDefault="005E6EB7"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Articles 9 and 10 of the Convention stipulate that people should not be arbitrarily deprived of their liberty. </w:t>
      </w:r>
      <w:r w:rsidR="002D329B" w:rsidRPr="00BA4671">
        <w:rPr>
          <w:rFonts w:asciiTheme="majorBidi" w:hAnsiTheme="majorBidi" w:cstheme="majorBidi"/>
          <w:sz w:val="24"/>
          <w:szCs w:val="24"/>
        </w:rPr>
        <w:t>However</w:t>
      </w:r>
      <w:r w:rsidRPr="00BA4671">
        <w:rPr>
          <w:rFonts w:asciiTheme="majorBidi" w:hAnsiTheme="majorBidi" w:cstheme="majorBidi"/>
          <w:sz w:val="24"/>
          <w:szCs w:val="24"/>
        </w:rPr>
        <w:t>, the Kuwaiti security services are still involved in the detention and arrest of a number of citizens, especially human rights activists, in an arbitrary manner without charging them, or even allowing them to communicate with Lawyers, and in this context, the Kuwaiti security forces arrested eight people from 4 to 6 November 2021, without a clear legal basis, and later they were accused of sending money to the Lebanese Hezbollah, which is an armed group banned in Kuwait.</w:t>
      </w:r>
      <w:r w:rsidR="002D329B" w:rsidRPr="00BA4671">
        <w:rPr>
          <w:rStyle w:val="FootnoteReference"/>
          <w:rFonts w:asciiTheme="majorBidi" w:hAnsiTheme="majorBidi" w:cstheme="majorBidi"/>
          <w:sz w:val="24"/>
          <w:szCs w:val="24"/>
        </w:rPr>
        <w:footnoteReference w:id="10"/>
      </w:r>
    </w:p>
    <w:p w14:paraId="301DD436" w14:textId="7E119D1F" w:rsidR="005E6EB7" w:rsidRPr="00BA4671" w:rsidRDefault="002D329B" w:rsidP="009F6581">
      <w:pPr>
        <w:jc w:val="both"/>
        <w:rPr>
          <w:rFonts w:asciiTheme="majorBidi" w:hAnsiTheme="majorBidi" w:cstheme="majorBidi"/>
          <w:color w:val="ED7D31" w:themeColor="accent2"/>
          <w:sz w:val="24"/>
          <w:szCs w:val="24"/>
        </w:rPr>
      </w:pPr>
      <w:r w:rsidRPr="00BA4671">
        <w:rPr>
          <w:rFonts w:asciiTheme="majorBidi" w:hAnsiTheme="majorBidi" w:cstheme="majorBidi"/>
          <w:color w:val="ED7D31" w:themeColor="accent2"/>
          <w:sz w:val="24"/>
          <w:szCs w:val="24"/>
        </w:rPr>
        <w:t>Suggested Questions</w:t>
      </w:r>
    </w:p>
    <w:p w14:paraId="528BA3B8" w14:textId="60A2E1EA" w:rsidR="002D329B" w:rsidRPr="00BA4671" w:rsidRDefault="002D329B"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Maat for Peace leads the committee to ask the government about the legal measures it takes during the arrest of individuals, and are fair trial procedures provided for them?</w:t>
      </w:r>
    </w:p>
    <w:p w14:paraId="63C1BDF3" w14:textId="1BC96021" w:rsidR="00ED5D70" w:rsidRPr="00E97EBE" w:rsidRDefault="00ED5D70" w:rsidP="009F6581">
      <w:pPr>
        <w:jc w:val="both"/>
        <w:rPr>
          <w:rFonts w:asciiTheme="majorBidi" w:hAnsiTheme="majorBidi" w:cstheme="majorBidi"/>
          <w:b/>
          <w:bCs/>
          <w:color w:val="44546A" w:themeColor="text2"/>
          <w:sz w:val="24"/>
          <w:szCs w:val="24"/>
        </w:rPr>
      </w:pPr>
      <w:r w:rsidRPr="00E97EBE">
        <w:rPr>
          <w:rFonts w:asciiTheme="majorBidi" w:hAnsiTheme="majorBidi" w:cstheme="majorBidi"/>
          <w:b/>
          <w:bCs/>
          <w:color w:val="44546A" w:themeColor="text2"/>
          <w:sz w:val="24"/>
          <w:szCs w:val="24"/>
        </w:rPr>
        <w:t>Article 19 The right to freedom of opinion and expression</w:t>
      </w:r>
    </w:p>
    <w:p w14:paraId="177986AA" w14:textId="7CD22FB3" w:rsidR="00ED5D70" w:rsidRPr="00BA4671" w:rsidRDefault="00ED5D70"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Article 19 of the Convention stipulates that Member States must respect citizens' rights to freedom of opinion and expression. While the Kuwaiti Government must provide explicit </w:t>
      </w:r>
      <w:r w:rsidRPr="00BA4671">
        <w:rPr>
          <w:rFonts w:asciiTheme="majorBidi" w:hAnsiTheme="majorBidi" w:cstheme="majorBidi"/>
          <w:sz w:val="24"/>
          <w:szCs w:val="24"/>
        </w:rPr>
        <w:lastRenderedPageBreak/>
        <w:t xml:space="preserve">guarantees of respect for and preservation of this right. However, its practice involves targeting human rights defenders, particularly on the Internet insulting the </w:t>
      </w:r>
      <w:r w:rsidR="00D84187" w:rsidRPr="00BA4671">
        <w:rPr>
          <w:rFonts w:asciiTheme="majorBidi" w:hAnsiTheme="majorBidi" w:cstheme="majorBidi"/>
          <w:sz w:val="24"/>
          <w:szCs w:val="24"/>
        </w:rPr>
        <w:t xml:space="preserve">Emir </w:t>
      </w:r>
      <w:r w:rsidRPr="00BA4671">
        <w:rPr>
          <w:rFonts w:asciiTheme="majorBidi" w:hAnsiTheme="majorBidi" w:cstheme="majorBidi"/>
          <w:sz w:val="24"/>
          <w:szCs w:val="24"/>
        </w:rPr>
        <w:t>or the judiciary or undermining national security</w:t>
      </w:r>
      <w:r w:rsidRPr="00BA4671">
        <w:rPr>
          <w:rStyle w:val="FootnoteReference"/>
          <w:rFonts w:asciiTheme="majorBidi" w:hAnsiTheme="majorBidi" w:cstheme="majorBidi"/>
          <w:sz w:val="24"/>
          <w:szCs w:val="24"/>
        </w:rPr>
        <w:footnoteReference w:id="11"/>
      </w:r>
      <w:r w:rsidRPr="00BA4671">
        <w:rPr>
          <w:rFonts w:asciiTheme="majorBidi" w:hAnsiTheme="majorBidi" w:cstheme="majorBidi"/>
          <w:sz w:val="24"/>
          <w:szCs w:val="24"/>
        </w:rPr>
        <w:t>.</w:t>
      </w:r>
    </w:p>
    <w:p w14:paraId="404DE6C9" w14:textId="1A2A3043" w:rsidR="00ED5D70" w:rsidRPr="00BA4671" w:rsidRDefault="00E511AD" w:rsidP="009F6581">
      <w:pPr>
        <w:ind w:firstLine="720"/>
        <w:jc w:val="both"/>
        <w:rPr>
          <w:rFonts w:asciiTheme="majorBidi" w:hAnsiTheme="majorBidi" w:cstheme="majorBidi"/>
          <w:sz w:val="24"/>
          <w:szCs w:val="24"/>
        </w:rPr>
      </w:pPr>
      <w:r>
        <w:rPr>
          <w:rFonts w:asciiTheme="majorBidi" w:hAnsiTheme="majorBidi" w:cstheme="majorBidi"/>
          <w:sz w:val="24"/>
          <w:szCs w:val="24"/>
        </w:rPr>
        <w:t>In</w:t>
      </w:r>
      <w:r w:rsidR="00ED5D70" w:rsidRPr="00BA4671">
        <w:rPr>
          <w:rFonts w:asciiTheme="majorBidi" w:hAnsiTheme="majorBidi" w:cstheme="majorBidi"/>
          <w:sz w:val="24"/>
          <w:szCs w:val="24"/>
        </w:rPr>
        <w:t xml:space="preserve"> 2021, the Kuwaiti Government targeted many activists and human rights defenders with all human rights violations because of the peaceful expression of their views. In July 2021, the Kuwaiti security forces arrested the poet Jamal al-Sayer, </w:t>
      </w:r>
      <w:r w:rsidR="00D84187" w:rsidRPr="00BA4671">
        <w:rPr>
          <w:rFonts w:asciiTheme="majorBidi" w:hAnsiTheme="majorBidi" w:cstheme="majorBidi"/>
          <w:sz w:val="24"/>
          <w:szCs w:val="24"/>
        </w:rPr>
        <w:t>after</w:t>
      </w:r>
      <w:r w:rsidR="00ED5D70" w:rsidRPr="00BA4671">
        <w:rPr>
          <w:rFonts w:asciiTheme="majorBidi" w:hAnsiTheme="majorBidi" w:cstheme="majorBidi"/>
          <w:sz w:val="24"/>
          <w:szCs w:val="24"/>
        </w:rPr>
        <w:t xml:space="preserve"> raiding his ho</w:t>
      </w:r>
      <w:r>
        <w:rPr>
          <w:rFonts w:asciiTheme="majorBidi" w:hAnsiTheme="majorBidi" w:cstheme="majorBidi"/>
          <w:sz w:val="24"/>
          <w:szCs w:val="24"/>
        </w:rPr>
        <w:t>use at night.</w:t>
      </w:r>
      <w:r w:rsidR="00ED5D70" w:rsidRPr="00BA4671">
        <w:rPr>
          <w:rFonts w:asciiTheme="majorBidi" w:hAnsiTheme="majorBidi" w:cstheme="majorBidi"/>
          <w:sz w:val="24"/>
          <w:szCs w:val="24"/>
        </w:rPr>
        <w:t xml:space="preserve"> </w:t>
      </w:r>
      <w:r w:rsidRPr="00BA4671">
        <w:rPr>
          <w:rFonts w:asciiTheme="majorBidi" w:hAnsiTheme="majorBidi" w:cstheme="majorBidi"/>
          <w:sz w:val="24"/>
          <w:szCs w:val="24"/>
        </w:rPr>
        <w:t>S</w:t>
      </w:r>
      <w:r w:rsidR="00ED5D70" w:rsidRPr="00BA4671">
        <w:rPr>
          <w:rFonts w:asciiTheme="majorBidi" w:hAnsiTheme="majorBidi" w:cstheme="majorBidi"/>
          <w:sz w:val="24"/>
          <w:szCs w:val="24"/>
        </w:rPr>
        <w:t xml:space="preserve">everal charges </w:t>
      </w:r>
      <w:r>
        <w:rPr>
          <w:rFonts w:asciiTheme="majorBidi" w:hAnsiTheme="majorBidi" w:cstheme="majorBidi"/>
          <w:sz w:val="24"/>
          <w:szCs w:val="24"/>
        </w:rPr>
        <w:t>have been</w:t>
      </w:r>
      <w:r w:rsidR="00ED5D70" w:rsidRPr="00BA4671">
        <w:rPr>
          <w:rFonts w:asciiTheme="majorBidi" w:hAnsiTheme="majorBidi" w:cstheme="majorBidi"/>
          <w:sz w:val="24"/>
          <w:szCs w:val="24"/>
        </w:rPr>
        <w:t xml:space="preserve"> brought against </w:t>
      </w:r>
      <w:r w:rsidR="007D5B6A">
        <w:rPr>
          <w:rFonts w:asciiTheme="majorBidi" w:hAnsiTheme="majorBidi" w:cstheme="majorBidi"/>
          <w:sz w:val="24"/>
          <w:szCs w:val="24"/>
        </w:rPr>
        <w:t xml:space="preserve">him, including </w:t>
      </w:r>
      <w:bookmarkStart w:id="5" w:name="OLE_LINK46"/>
      <w:bookmarkStart w:id="6" w:name="OLE_LINK47"/>
      <w:r w:rsidR="00DB45D0">
        <w:rPr>
          <w:rFonts w:asciiTheme="majorBidi" w:hAnsiTheme="majorBidi" w:cstheme="majorBidi"/>
          <w:sz w:val="24"/>
          <w:szCs w:val="24"/>
        </w:rPr>
        <w:t>insulting</w:t>
      </w:r>
      <w:r w:rsidR="007D5B6A">
        <w:rPr>
          <w:rFonts w:asciiTheme="majorBidi" w:hAnsiTheme="majorBidi" w:cstheme="majorBidi"/>
          <w:sz w:val="24"/>
          <w:szCs w:val="24"/>
        </w:rPr>
        <w:t xml:space="preserve"> the Emir</w:t>
      </w:r>
      <w:r>
        <w:rPr>
          <w:rFonts w:asciiTheme="majorBidi" w:hAnsiTheme="majorBidi" w:cstheme="majorBidi"/>
          <w:sz w:val="24"/>
          <w:szCs w:val="24"/>
        </w:rPr>
        <w:t xml:space="preserve"> </w:t>
      </w:r>
      <w:bookmarkEnd w:id="5"/>
      <w:bookmarkEnd w:id="6"/>
      <w:r>
        <w:rPr>
          <w:rFonts w:asciiTheme="majorBidi" w:hAnsiTheme="majorBidi" w:cstheme="majorBidi"/>
          <w:sz w:val="24"/>
          <w:szCs w:val="24"/>
        </w:rPr>
        <w:t>and broadcasting fake news, a</w:t>
      </w:r>
      <w:r w:rsidR="00ED5D70" w:rsidRPr="00BA4671">
        <w:rPr>
          <w:rFonts w:asciiTheme="majorBidi" w:hAnsiTheme="majorBidi" w:cstheme="majorBidi"/>
          <w:sz w:val="24"/>
          <w:szCs w:val="24"/>
        </w:rPr>
        <w:t>gains</w:t>
      </w:r>
      <w:r w:rsidR="00DB45D0">
        <w:rPr>
          <w:rFonts w:asciiTheme="majorBidi" w:hAnsiTheme="majorBidi" w:cstheme="majorBidi"/>
          <w:sz w:val="24"/>
          <w:szCs w:val="24"/>
        </w:rPr>
        <w:t xml:space="preserve">t the backdrop of his critical </w:t>
      </w:r>
      <w:r w:rsidR="00ED5D70" w:rsidRPr="00BA4671">
        <w:rPr>
          <w:rFonts w:asciiTheme="majorBidi" w:hAnsiTheme="majorBidi" w:cstheme="majorBidi"/>
          <w:sz w:val="24"/>
          <w:szCs w:val="24"/>
        </w:rPr>
        <w:t xml:space="preserve">posts on social media </w:t>
      </w:r>
      <w:r w:rsidR="00062F16">
        <w:rPr>
          <w:rFonts w:asciiTheme="majorBidi" w:hAnsiTheme="majorBidi" w:cstheme="majorBidi"/>
          <w:sz w:val="24"/>
          <w:szCs w:val="24"/>
        </w:rPr>
        <w:t>in which he accuses</w:t>
      </w:r>
      <w:r w:rsidR="00ED5D70" w:rsidRPr="00BA4671">
        <w:rPr>
          <w:rFonts w:asciiTheme="majorBidi" w:hAnsiTheme="majorBidi" w:cstheme="majorBidi"/>
          <w:sz w:val="24"/>
          <w:szCs w:val="24"/>
        </w:rPr>
        <w:t xml:space="preserve"> the government of corruption and </w:t>
      </w:r>
      <w:r w:rsidR="00062F16">
        <w:rPr>
          <w:rFonts w:asciiTheme="majorBidi" w:hAnsiTheme="majorBidi" w:cstheme="majorBidi"/>
          <w:sz w:val="24"/>
          <w:szCs w:val="24"/>
        </w:rPr>
        <w:t>negligence</w:t>
      </w:r>
      <w:r w:rsidR="00ED5D70" w:rsidRPr="00BA4671">
        <w:rPr>
          <w:rFonts w:asciiTheme="majorBidi" w:hAnsiTheme="majorBidi" w:cstheme="majorBidi"/>
          <w:sz w:val="24"/>
          <w:szCs w:val="24"/>
        </w:rPr>
        <w:t xml:space="preserve">. </w:t>
      </w:r>
      <w:r w:rsidR="00D84187" w:rsidRPr="00BA4671">
        <w:rPr>
          <w:rFonts w:asciiTheme="majorBidi" w:hAnsiTheme="majorBidi" w:cstheme="majorBidi"/>
          <w:sz w:val="24"/>
          <w:szCs w:val="24"/>
        </w:rPr>
        <w:t>However, i</w:t>
      </w:r>
      <w:r w:rsidR="00ED5D70" w:rsidRPr="00BA4671">
        <w:rPr>
          <w:rFonts w:asciiTheme="majorBidi" w:hAnsiTheme="majorBidi" w:cstheme="majorBidi"/>
          <w:sz w:val="24"/>
          <w:szCs w:val="24"/>
        </w:rPr>
        <w:t xml:space="preserve">n July </w:t>
      </w:r>
      <w:r w:rsidR="00D84187" w:rsidRPr="00BA4671">
        <w:rPr>
          <w:rFonts w:asciiTheme="majorBidi" w:hAnsiTheme="majorBidi" w:cstheme="majorBidi"/>
          <w:sz w:val="24"/>
          <w:szCs w:val="24"/>
        </w:rPr>
        <w:t>2021</w:t>
      </w:r>
      <w:r w:rsidR="00ED5D70" w:rsidRPr="00BA4671">
        <w:rPr>
          <w:rFonts w:asciiTheme="majorBidi" w:hAnsiTheme="majorBidi" w:cstheme="majorBidi"/>
          <w:sz w:val="24"/>
          <w:szCs w:val="24"/>
        </w:rPr>
        <w:t xml:space="preserve">, human rights activist and </w:t>
      </w:r>
      <w:r w:rsidR="00952B43" w:rsidRPr="00BA4671">
        <w:rPr>
          <w:rFonts w:asciiTheme="majorBidi" w:hAnsiTheme="majorBidi" w:cstheme="majorBidi"/>
          <w:sz w:val="24"/>
          <w:szCs w:val="24"/>
        </w:rPr>
        <w:t xml:space="preserve">Bidoon </w:t>
      </w:r>
      <w:r w:rsidR="00ED5D70" w:rsidRPr="00BA4671">
        <w:rPr>
          <w:rFonts w:asciiTheme="majorBidi" w:hAnsiTheme="majorBidi" w:cstheme="majorBidi"/>
          <w:sz w:val="24"/>
          <w:szCs w:val="24"/>
        </w:rPr>
        <w:t>rights defender Mohamme</w:t>
      </w:r>
      <w:r w:rsidR="00062F16">
        <w:rPr>
          <w:rFonts w:asciiTheme="majorBidi" w:hAnsiTheme="majorBidi" w:cstheme="majorBidi"/>
          <w:sz w:val="24"/>
          <w:szCs w:val="24"/>
        </w:rPr>
        <w:t>d al-</w:t>
      </w:r>
      <w:proofErr w:type="spellStart"/>
      <w:r w:rsidR="00062F16">
        <w:rPr>
          <w:rFonts w:asciiTheme="majorBidi" w:hAnsiTheme="majorBidi" w:cstheme="majorBidi"/>
          <w:sz w:val="24"/>
          <w:szCs w:val="24"/>
        </w:rPr>
        <w:t>Barghash</w:t>
      </w:r>
      <w:proofErr w:type="spellEnd"/>
      <w:r w:rsidR="00062F16">
        <w:rPr>
          <w:rFonts w:asciiTheme="majorBidi" w:hAnsiTheme="majorBidi" w:cstheme="majorBidi"/>
          <w:sz w:val="24"/>
          <w:szCs w:val="24"/>
        </w:rPr>
        <w:t xml:space="preserve"> </w:t>
      </w:r>
      <w:r w:rsidR="006F3FEA">
        <w:rPr>
          <w:rFonts w:asciiTheme="majorBidi" w:hAnsiTheme="majorBidi" w:cstheme="majorBidi"/>
          <w:sz w:val="24"/>
          <w:szCs w:val="24"/>
        </w:rPr>
        <w:t xml:space="preserve">was </w:t>
      </w:r>
      <w:r w:rsidR="00062F16">
        <w:rPr>
          <w:rFonts w:asciiTheme="majorBidi" w:hAnsiTheme="majorBidi" w:cstheme="majorBidi"/>
          <w:sz w:val="24"/>
          <w:szCs w:val="24"/>
        </w:rPr>
        <w:t>summon</w:t>
      </w:r>
      <w:r w:rsidR="006F3FEA">
        <w:rPr>
          <w:rFonts w:asciiTheme="majorBidi" w:hAnsiTheme="majorBidi" w:cstheme="majorBidi"/>
          <w:sz w:val="24"/>
          <w:szCs w:val="24"/>
        </w:rPr>
        <w:t xml:space="preserve">ed by </w:t>
      </w:r>
      <w:r w:rsidR="00ED5D70" w:rsidRPr="00BA4671">
        <w:rPr>
          <w:rFonts w:asciiTheme="majorBidi" w:hAnsiTheme="majorBidi" w:cstheme="majorBidi"/>
          <w:sz w:val="24"/>
          <w:szCs w:val="24"/>
        </w:rPr>
        <w:t xml:space="preserve">Kuwait's State Security Service because of his opinions posted on social media </w:t>
      </w:r>
      <w:r w:rsidR="00273761">
        <w:rPr>
          <w:rFonts w:asciiTheme="majorBidi" w:hAnsiTheme="majorBidi" w:cstheme="majorBidi"/>
          <w:sz w:val="24"/>
          <w:szCs w:val="24"/>
        </w:rPr>
        <w:t xml:space="preserve">defending </w:t>
      </w:r>
      <w:r w:rsidR="00952B43">
        <w:rPr>
          <w:rFonts w:asciiTheme="majorBidi" w:hAnsiTheme="majorBidi" w:cstheme="majorBidi"/>
          <w:sz w:val="24"/>
          <w:szCs w:val="24"/>
        </w:rPr>
        <w:t xml:space="preserve">Bidoon’s </w:t>
      </w:r>
      <w:r w:rsidR="00ED5D70" w:rsidRPr="00BA4671">
        <w:rPr>
          <w:rFonts w:asciiTheme="majorBidi" w:hAnsiTheme="majorBidi" w:cstheme="majorBidi"/>
          <w:sz w:val="24"/>
          <w:szCs w:val="24"/>
        </w:rPr>
        <w:t>rights</w:t>
      </w:r>
      <w:r w:rsidR="00D84187" w:rsidRPr="00BA4671">
        <w:rPr>
          <w:rFonts w:asciiTheme="majorBidi" w:hAnsiTheme="majorBidi" w:cstheme="majorBidi"/>
          <w:sz w:val="24"/>
          <w:szCs w:val="24"/>
        </w:rPr>
        <w:t>.</w:t>
      </w:r>
      <w:r w:rsidR="00ED5D70" w:rsidRPr="00BA4671">
        <w:rPr>
          <w:rFonts w:asciiTheme="majorBidi" w:hAnsiTheme="majorBidi" w:cstheme="majorBidi"/>
          <w:sz w:val="24"/>
          <w:szCs w:val="24"/>
        </w:rPr>
        <w:t xml:space="preserve"> In March 2021, MP Bad</w:t>
      </w:r>
      <w:r w:rsidR="00D84187" w:rsidRPr="00BA4671">
        <w:rPr>
          <w:rFonts w:asciiTheme="majorBidi" w:hAnsiTheme="majorBidi" w:cstheme="majorBidi"/>
          <w:sz w:val="24"/>
          <w:szCs w:val="24"/>
        </w:rPr>
        <w:t>e</w:t>
      </w:r>
      <w:r w:rsidR="00ED5D70" w:rsidRPr="00BA4671">
        <w:rPr>
          <w:rFonts w:asciiTheme="majorBidi" w:hAnsiTheme="majorBidi" w:cstheme="majorBidi"/>
          <w:sz w:val="24"/>
          <w:szCs w:val="24"/>
        </w:rPr>
        <w:t>r al-</w:t>
      </w:r>
      <w:proofErr w:type="spellStart"/>
      <w:r w:rsidR="00ED5D70" w:rsidRPr="00BA4671">
        <w:rPr>
          <w:rFonts w:asciiTheme="majorBidi" w:hAnsiTheme="majorBidi" w:cstheme="majorBidi"/>
          <w:sz w:val="24"/>
          <w:szCs w:val="24"/>
        </w:rPr>
        <w:t>Dahoum</w:t>
      </w:r>
      <w:proofErr w:type="spellEnd"/>
      <w:r w:rsidR="00ED5D70" w:rsidRPr="00BA4671">
        <w:rPr>
          <w:rFonts w:asciiTheme="majorBidi" w:hAnsiTheme="majorBidi" w:cstheme="majorBidi"/>
          <w:sz w:val="24"/>
          <w:szCs w:val="24"/>
        </w:rPr>
        <w:t xml:space="preserve"> wa</w:t>
      </w:r>
      <w:r w:rsidR="005E64F1">
        <w:rPr>
          <w:rFonts w:asciiTheme="majorBidi" w:hAnsiTheme="majorBidi" w:cstheme="majorBidi"/>
          <w:sz w:val="24"/>
          <w:szCs w:val="24"/>
        </w:rPr>
        <w:t xml:space="preserve">s </w:t>
      </w:r>
      <w:r w:rsidR="00273761">
        <w:rPr>
          <w:rFonts w:asciiTheme="majorBidi" w:hAnsiTheme="majorBidi" w:cstheme="majorBidi"/>
          <w:sz w:val="24"/>
          <w:szCs w:val="24"/>
          <w:lang w:bidi="ar-EG"/>
        </w:rPr>
        <w:t>discharged for</w:t>
      </w:r>
      <w:r w:rsidR="00ED5D70" w:rsidRPr="00BA4671">
        <w:rPr>
          <w:rFonts w:asciiTheme="majorBidi" w:hAnsiTheme="majorBidi" w:cstheme="majorBidi"/>
          <w:sz w:val="24"/>
          <w:szCs w:val="24"/>
        </w:rPr>
        <w:t xml:space="preserve"> his political opinions against the Emir of Kuwait.</w:t>
      </w:r>
      <w:r w:rsidR="004B78B0" w:rsidRPr="00BA4671">
        <w:rPr>
          <w:rStyle w:val="FootnoteReference"/>
          <w:rFonts w:asciiTheme="majorBidi" w:hAnsiTheme="majorBidi" w:cstheme="majorBidi"/>
          <w:sz w:val="24"/>
          <w:szCs w:val="24"/>
        </w:rPr>
        <w:footnoteReference w:id="12"/>
      </w:r>
    </w:p>
    <w:p w14:paraId="4053B197" w14:textId="58CE76AF" w:rsidR="004B78B0" w:rsidRPr="00BA4671" w:rsidRDefault="004B78B0" w:rsidP="009F6581">
      <w:pPr>
        <w:jc w:val="both"/>
        <w:rPr>
          <w:rFonts w:asciiTheme="majorBidi" w:hAnsiTheme="majorBidi" w:cstheme="majorBidi"/>
          <w:color w:val="ED7D31" w:themeColor="accent2"/>
          <w:sz w:val="24"/>
          <w:szCs w:val="24"/>
        </w:rPr>
      </w:pPr>
      <w:r w:rsidRPr="00BA4671">
        <w:rPr>
          <w:rFonts w:asciiTheme="majorBidi" w:hAnsiTheme="majorBidi" w:cstheme="majorBidi"/>
          <w:color w:val="ED7D31" w:themeColor="accent2"/>
          <w:sz w:val="24"/>
          <w:szCs w:val="24"/>
        </w:rPr>
        <w:t>Suggested Questions</w:t>
      </w:r>
    </w:p>
    <w:p w14:paraId="03ABEEF2" w14:textId="23A27430" w:rsidR="004B78B0" w:rsidRPr="00BA4671" w:rsidRDefault="004B78B0"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Is it possible for the Committee to call on the Kuwaiti Government to respect freedom of opinion and expression and not to arrest people for their political opinions?</w:t>
      </w:r>
    </w:p>
    <w:p w14:paraId="439136FC" w14:textId="77777777" w:rsidR="002D676B" w:rsidRPr="00E97EBE" w:rsidRDefault="004B78B0" w:rsidP="009F6581">
      <w:pPr>
        <w:jc w:val="both"/>
        <w:rPr>
          <w:rFonts w:asciiTheme="majorBidi" w:hAnsiTheme="majorBidi" w:cstheme="majorBidi"/>
          <w:b/>
          <w:bCs/>
          <w:color w:val="44546A" w:themeColor="text2"/>
          <w:sz w:val="24"/>
          <w:szCs w:val="24"/>
        </w:rPr>
      </w:pPr>
      <w:r w:rsidRPr="00E97EBE">
        <w:rPr>
          <w:rFonts w:asciiTheme="majorBidi" w:hAnsiTheme="majorBidi" w:cstheme="majorBidi"/>
          <w:b/>
          <w:bCs/>
          <w:color w:val="44546A" w:themeColor="text2"/>
          <w:sz w:val="24"/>
          <w:szCs w:val="24"/>
        </w:rPr>
        <w:t>Article 21 Right to Peaceful Assembly</w:t>
      </w:r>
    </w:p>
    <w:p w14:paraId="3DF3979E" w14:textId="34F74162" w:rsidR="002D676B" w:rsidRPr="00BA4671" w:rsidRDefault="002D676B" w:rsidP="009F6581">
      <w:pPr>
        <w:ind w:firstLine="720"/>
        <w:jc w:val="both"/>
        <w:rPr>
          <w:rFonts w:asciiTheme="majorBidi" w:hAnsiTheme="majorBidi" w:cstheme="majorBidi"/>
          <w:sz w:val="24"/>
          <w:szCs w:val="24"/>
        </w:rPr>
      </w:pPr>
      <w:r w:rsidRPr="00BA4671">
        <w:rPr>
          <w:rFonts w:asciiTheme="majorBidi" w:hAnsiTheme="majorBidi" w:cstheme="majorBidi"/>
          <w:sz w:val="24"/>
          <w:szCs w:val="24"/>
        </w:rPr>
        <w:t xml:space="preserve">Although Article 21 of the Convention recommends member states to respect the right to peaceful assembly of citizens, Kuwaiti security services impose restrictions on peaceful assembly. In August 2021, the General Department of Criminal Investigation at the Ministry of Interior summoned 19 activists claiming </w:t>
      </w:r>
      <w:bookmarkStart w:id="7" w:name="OLE_LINK48"/>
      <w:bookmarkStart w:id="8" w:name="OLE_LINK49"/>
      <w:r w:rsidRPr="00BA4671">
        <w:rPr>
          <w:rFonts w:asciiTheme="majorBidi" w:hAnsiTheme="majorBidi" w:cstheme="majorBidi"/>
          <w:sz w:val="24"/>
          <w:szCs w:val="24"/>
        </w:rPr>
        <w:t xml:space="preserve">Bidoon </w:t>
      </w:r>
      <w:bookmarkEnd w:id="7"/>
      <w:bookmarkEnd w:id="8"/>
      <w:r w:rsidRPr="00BA4671">
        <w:rPr>
          <w:rFonts w:asciiTheme="majorBidi" w:hAnsiTheme="majorBidi" w:cstheme="majorBidi"/>
          <w:sz w:val="24"/>
          <w:szCs w:val="24"/>
        </w:rPr>
        <w:t>rights on charges of unauthorized gathering. This approach indicates that the government does not tolerate demonstrations opposing it in any way.</w:t>
      </w:r>
      <w:r w:rsidRPr="00BA4671">
        <w:rPr>
          <w:rStyle w:val="FootnoteReference"/>
          <w:rFonts w:asciiTheme="majorBidi" w:hAnsiTheme="majorBidi" w:cstheme="majorBidi"/>
          <w:sz w:val="24"/>
          <w:szCs w:val="24"/>
        </w:rPr>
        <w:footnoteReference w:id="13"/>
      </w:r>
    </w:p>
    <w:p w14:paraId="52650FCD" w14:textId="0236AAFE" w:rsidR="00D60E3C" w:rsidRPr="00BA4671" w:rsidRDefault="00BA4671" w:rsidP="009F6581">
      <w:pPr>
        <w:jc w:val="both"/>
        <w:rPr>
          <w:rFonts w:asciiTheme="majorBidi" w:hAnsiTheme="majorBidi" w:cstheme="majorBidi"/>
          <w:color w:val="ED7D31" w:themeColor="accent2"/>
          <w:sz w:val="24"/>
          <w:szCs w:val="24"/>
        </w:rPr>
      </w:pPr>
      <w:r w:rsidRPr="00BA4671">
        <w:rPr>
          <w:rFonts w:asciiTheme="majorBidi" w:hAnsiTheme="majorBidi" w:cstheme="majorBidi"/>
          <w:color w:val="ED7D31" w:themeColor="accent2"/>
          <w:sz w:val="24"/>
          <w:szCs w:val="24"/>
        </w:rPr>
        <w:t>Suggested Questions</w:t>
      </w:r>
    </w:p>
    <w:p w14:paraId="320D570A" w14:textId="77777777" w:rsidR="00BA4671" w:rsidRPr="00BA4671" w:rsidRDefault="00BA4671"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Is it possible for the committee to ask the government to clarify the statistics on requests for peaceful demonstrations and its position on acceptance or rejection, in the last 3 years?</w:t>
      </w:r>
    </w:p>
    <w:p w14:paraId="2B8019E8" w14:textId="44D0F286" w:rsidR="00BA4671" w:rsidRPr="00BA4671" w:rsidRDefault="00BA4671" w:rsidP="009F6581">
      <w:pPr>
        <w:jc w:val="both"/>
        <w:rPr>
          <w:rFonts w:asciiTheme="majorBidi" w:hAnsiTheme="majorBidi" w:cstheme="majorBidi"/>
          <w:b/>
          <w:bCs/>
          <w:sz w:val="24"/>
          <w:szCs w:val="24"/>
        </w:rPr>
      </w:pPr>
      <w:r w:rsidRPr="00BA4671">
        <w:rPr>
          <w:rFonts w:asciiTheme="majorBidi" w:hAnsiTheme="majorBidi" w:cstheme="majorBidi"/>
          <w:b/>
          <w:bCs/>
          <w:sz w:val="24"/>
          <w:szCs w:val="24"/>
        </w:rPr>
        <w:t>Is it possible for the committee to ask the government about the measures it has taken to guarantee freedom of peaceful assembly?</w:t>
      </w:r>
    </w:p>
    <w:sectPr w:rsidR="00BA4671" w:rsidRPr="00BA467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3A6FB" w14:textId="77777777" w:rsidR="00C24865" w:rsidRDefault="00C24865" w:rsidP="00FD27B4">
      <w:pPr>
        <w:spacing w:after="0" w:line="240" w:lineRule="auto"/>
      </w:pPr>
      <w:r>
        <w:separator/>
      </w:r>
    </w:p>
  </w:endnote>
  <w:endnote w:type="continuationSeparator" w:id="0">
    <w:p w14:paraId="2C20FF2C" w14:textId="77777777" w:rsidR="00C24865" w:rsidRDefault="00C24865" w:rsidP="00FD2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EA4B3" w14:textId="77777777" w:rsidR="00C24865" w:rsidRDefault="00C24865" w:rsidP="00FD27B4">
      <w:pPr>
        <w:spacing w:after="0" w:line="240" w:lineRule="auto"/>
      </w:pPr>
      <w:r>
        <w:separator/>
      </w:r>
    </w:p>
  </w:footnote>
  <w:footnote w:type="continuationSeparator" w:id="0">
    <w:p w14:paraId="2A9DB072" w14:textId="77777777" w:rsidR="00C24865" w:rsidRDefault="00C24865" w:rsidP="00FD27B4">
      <w:pPr>
        <w:spacing w:after="0" w:line="240" w:lineRule="auto"/>
      </w:pPr>
      <w:r>
        <w:continuationSeparator/>
      </w:r>
    </w:p>
  </w:footnote>
  <w:footnote w:id="1">
    <w:p w14:paraId="7E8B9279" w14:textId="2F327400" w:rsidR="002846C1" w:rsidRDefault="002846C1">
      <w:pPr>
        <w:pStyle w:val="FootnoteText"/>
      </w:pPr>
      <w:r>
        <w:rPr>
          <w:rStyle w:val="FootnoteReference"/>
        </w:rPr>
        <w:footnoteRef/>
      </w:r>
      <w:r>
        <w:t xml:space="preserve"> </w:t>
      </w:r>
      <w:r>
        <w:rPr>
          <w:rtl/>
        </w:rPr>
        <w:t xml:space="preserve">قانون رقم 37 لسنة 2014 بإنشاء هيئة تنظيم الاتصالات وتقنية المعلومات (37 / 2014 </w:t>
      </w:r>
      <w:r>
        <w:t>)</w:t>
      </w:r>
      <w:r>
        <w:rPr>
          <w:rtl/>
        </w:rPr>
        <w:t>، المحامي ،</w:t>
      </w:r>
      <w:r>
        <w:rPr>
          <w:b/>
          <w:bCs/>
          <w:rtl/>
        </w:rPr>
        <w:t xml:space="preserve"> </w:t>
      </w:r>
      <w:hyperlink r:id="rId1" w:history="1">
        <w:r>
          <w:rPr>
            <w:rStyle w:val="Hyperlink"/>
            <w:b/>
            <w:bCs/>
          </w:rPr>
          <w:t>https://bit.ly/3yBSpOv</w:t>
        </w:r>
      </w:hyperlink>
    </w:p>
  </w:footnote>
  <w:footnote w:id="2">
    <w:p w14:paraId="48515473" w14:textId="764F8CE5" w:rsidR="002846C1" w:rsidRDefault="002846C1">
      <w:pPr>
        <w:pStyle w:val="FootnoteText"/>
      </w:pPr>
      <w:r>
        <w:rPr>
          <w:rStyle w:val="FootnoteReference"/>
        </w:rPr>
        <w:footnoteRef/>
      </w:r>
      <w:r>
        <w:t xml:space="preserve"> </w:t>
      </w:r>
      <w:r w:rsidR="00EE3B9E">
        <w:t xml:space="preserve">Kuwait: New Cyber Crimes Law restricts expression and targets online activists. article19. </w:t>
      </w:r>
      <w:hyperlink r:id="rId2" w:history="1">
        <w:r w:rsidR="00EE3B9E">
          <w:rPr>
            <w:rStyle w:val="Hyperlink"/>
          </w:rPr>
          <w:t>https://bit.ly/3o4c58E</w:t>
        </w:r>
      </w:hyperlink>
    </w:p>
  </w:footnote>
  <w:footnote w:id="3">
    <w:p w14:paraId="6CA853CC" w14:textId="6641D142" w:rsidR="002846C1" w:rsidRDefault="002846C1">
      <w:pPr>
        <w:pStyle w:val="FootnoteText"/>
      </w:pPr>
      <w:r>
        <w:rPr>
          <w:rStyle w:val="FootnoteReference"/>
        </w:rPr>
        <w:footnoteRef/>
      </w:r>
      <w:r>
        <w:t xml:space="preserve"> </w:t>
      </w:r>
      <w:r w:rsidR="00EE3B9E">
        <w:rPr>
          <w:rFonts w:cs="Arial"/>
          <w:rtl/>
        </w:rPr>
        <w:t xml:space="preserve">مرسوم بالقانون رقم 65 لسنة 1979 في شأن الاجتماعات العامة والتجمعات ( 65 / 1979 )، المحامي ، </w:t>
      </w:r>
      <w:hyperlink r:id="rId3" w:history="1">
        <w:r w:rsidR="00EE3B9E">
          <w:rPr>
            <w:rStyle w:val="Hyperlink"/>
            <w:rFonts w:cs="Arial"/>
          </w:rPr>
          <w:t>https://bit.ly/3z0gO1t</w:t>
        </w:r>
      </w:hyperlink>
    </w:p>
  </w:footnote>
  <w:footnote w:id="4">
    <w:p w14:paraId="0E8BD624" w14:textId="07331607" w:rsidR="00386586" w:rsidRDefault="00386586">
      <w:pPr>
        <w:pStyle w:val="FootnoteText"/>
      </w:pPr>
      <w:r>
        <w:rPr>
          <w:rStyle w:val="FootnoteReference"/>
        </w:rPr>
        <w:footnoteRef/>
      </w:r>
      <w:r>
        <w:t xml:space="preserve"> </w:t>
      </w:r>
      <w:r>
        <w:rPr>
          <w:rFonts w:cs="Arial"/>
          <w:rtl/>
        </w:rPr>
        <w:t xml:space="preserve">هل ينتصر نظام الكوتا للمرأة الكويتية؟، الإندبندنت العربية، يونيو ٢٠٢٢ ، </w:t>
      </w:r>
      <w:hyperlink r:id="rId4" w:history="1">
        <w:r>
          <w:rPr>
            <w:rStyle w:val="Hyperlink"/>
            <w:rFonts w:cs="Arial"/>
          </w:rPr>
          <w:t>https://bit.ly/3ALuKOc</w:t>
        </w:r>
      </w:hyperlink>
    </w:p>
  </w:footnote>
  <w:footnote w:id="5">
    <w:p w14:paraId="31EE2B1B" w14:textId="786FFAF9" w:rsidR="00386586" w:rsidRDefault="00386586" w:rsidP="00386586">
      <w:pPr>
        <w:pStyle w:val="FootnoteText"/>
        <w:bidi/>
      </w:pPr>
      <w:r>
        <w:rPr>
          <w:rStyle w:val="FootnoteReference"/>
        </w:rPr>
        <w:footnoteRef/>
      </w:r>
      <w:r>
        <w:t xml:space="preserve"> </w:t>
      </w:r>
      <w:r>
        <w:rPr>
          <w:rFonts w:cs="Arial"/>
          <w:rtl/>
        </w:rPr>
        <w:t xml:space="preserve">تقرير الرابطة الوطنية للأمن الأسري " رواسي  والجمعية الثقافية الاجتماعية النسائية و جمعية سوروبتمست الكويتية لتنمية المجتمع الموازي لتقرير دولة الكويت المقدم إلى اللجنة المعنية بالقضاء على التمييز ضد المرأة 2021، </w:t>
      </w:r>
      <w:hyperlink r:id="rId5" w:history="1">
        <w:r>
          <w:rPr>
            <w:rStyle w:val="Hyperlink"/>
            <w:rFonts w:cs="Arial"/>
          </w:rPr>
          <w:t>https://bit.ly/3IxFRw9</w:t>
        </w:r>
      </w:hyperlink>
      <w:r>
        <w:rPr>
          <w:rFonts w:cs="Arial"/>
          <w:rtl/>
        </w:rPr>
        <w:t xml:space="preserve"> </w:t>
      </w:r>
    </w:p>
  </w:footnote>
  <w:footnote w:id="6">
    <w:p w14:paraId="3D13E91B" w14:textId="73A54988" w:rsidR="009F4C51" w:rsidRDefault="009F4C51">
      <w:pPr>
        <w:pStyle w:val="FootnoteText"/>
      </w:pPr>
      <w:r>
        <w:rPr>
          <w:rStyle w:val="FootnoteReference"/>
        </w:rPr>
        <w:footnoteRef/>
      </w:r>
      <w:r>
        <w:t xml:space="preserve"> </w:t>
      </w:r>
      <w:r>
        <w:rPr>
          <w:rFonts w:cs="Arial"/>
          <w:rtl/>
        </w:rPr>
        <w:t xml:space="preserve">فضيحة تهز الكويت غرف تعذيب في مقر جهاز أمن الدولة، العرب ، يناير ٢٠٢٢ ، </w:t>
      </w:r>
      <w:hyperlink r:id="rId6" w:history="1">
        <w:r>
          <w:rPr>
            <w:rStyle w:val="Hyperlink"/>
            <w:rFonts w:cs="Arial"/>
          </w:rPr>
          <w:t>https://bit.ly/3yYtmqi</w:t>
        </w:r>
      </w:hyperlink>
    </w:p>
  </w:footnote>
  <w:footnote w:id="7">
    <w:p w14:paraId="23B6F614" w14:textId="0B3494B4" w:rsidR="006B7642" w:rsidRDefault="006B7642">
      <w:pPr>
        <w:pStyle w:val="FootnoteText"/>
      </w:pPr>
      <w:r>
        <w:rPr>
          <w:rStyle w:val="FootnoteReference"/>
        </w:rPr>
        <w:footnoteRef/>
      </w:r>
      <w:r>
        <w:t xml:space="preserve"> </w:t>
      </w:r>
      <w:r>
        <w:rPr>
          <w:rtl/>
        </w:rPr>
        <w:t xml:space="preserve">تعذيب مواطن كويتي غضب عبر مواقع التواصل الاجتماعي ومطالبات بمحاسبة المتورطين  فما القصة؟، بي بي سي العربية ، يونيو ٢٠٢٢ ، </w:t>
      </w:r>
      <w:hyperlink r:id="rId7" w:history="1">
        <w:r>
          <w:rPr>
            <w:rStyle w:val="Hyperlink"/>
          </w:rPr>
          <w:t>https://bbc.in/3nV3Rjr</w:t>
        </w:r>
      </w:hyperlink>
    </w:p>
  </w:footnote>
  <w:footnote w:id="8">
    <w:p w14:paraId="1EC64A02" w14:textId="76F8658D" w:rsidR="006B7642" w:rsidRDefault="006B7642">
      <w:pPr>
        <w:pStyle w:val="FootnoteText"/>
      </w:pPr>
      <w:r>
        <w:rPr>
          <w:rStyle w:val="FootnoteReference"/>
        </w:rPr>
        <w:footnoteRef/>
      </w:r>
      <w:r>
        <w:t xml:space="preserve"> Detainees subjected to torture and ill-treatment</w:t>
      </w:r>
      <w:r>
        <w:rPr>
          <w:rtl/>
        </w:rPr>
        <w:t>.</w:t>
      </w:r>
      <w:r>
        <w:rPr>
          <w:rFonts w:ascii="Segoe UI" w:eastAsia="Times New Roman" w:hAnsi="Segoe UI" w:cs="Segoe UI"/>
          <w:color w:val="0F1419"/>
          <w:sz w:val="23"/>
          <w:szCs w:val="23"/>
          <w:shd w:val="clear" w:color="auto" w:fill="FFFFFF"/>
          <w:rtl/>
        </w:rPr>
        <w:t xml:space="preserve"> </w:t>
      </w:r>
      <w:r>
        <w:t>Gulf Centre for Human Rights</w:t>
      </w:r>
      <w:r>
        <w:rPr>
          <w:rtl/>
        </w:rPr>
        <w:t xml:space="preserve">. </w:t>
      </w:r>
      <w:hyperlink r:id="rId8" w:history="1">
        <w:r>
          <w:rPr>
            <w:rStyle w:val="Hyperlink"/>
          </w:rPr>
          <w:t>https://bit.ly/3IzqGCA</w:t>
        </w:r>
      </w:hyperlink>
    </w:p>
  </w:footnote>
  <w:footnote w:id="9">
    <w:p w14:paraId="71697B95" w14:textId="215CDD5A" w:rsidR="003752D9" w:rsidRDefault="003752D9">
      <w:pPr>
        <w:pStyle w:val="FootnoteText"/>
      </w:pPr>
      <w:r>
        <w:rPr>
          <w:rStyle w:val="FootnoteReference"/>
        </w:rPr>
        <w:footnoteRef/>
      </w:r>
      <w:r>
        <w:t xml:space="preserve"> </w:t>
      </w:r>
      <w:r w:rsidR="005E6EB7">
        <w:t>International Day in Support of Victims of Torture: Kuwait</w:t>
      </w:r>
      <w:r w:rsidR="005E6EB7">
        <w:rPr>
          <w:rtl/>
        </w:rPr>
        <w:t>.</w:t>
      </w:r>
      <w:r w:rsidR="005E6EB7">
        <w:rPr>
          <w:rFonts w:ascii="Lato" w:eastAsia="Times New Roman" w:hAnsi="Lato" w:cs="Times New Roman"/>
          <w:color w:val="1C1C1C"/>
          <w:sz w:val="27"/>
          <w:szCs w:val="27"/>
          <w:shd w:val="clear" w:color="auto" w:fill="FFFFFF"/>
          <w:rtl/>
        </w:rPr>
        <w:t xml:space="preserve"> </w:t>
      </w:r>
      <w:r w:rsidR="005E6EB7">
        <w:t>The European Centre for Democracy and Human Rights</w:t>
      </w:r>
      <w:r w:rsidR="005E6EB7">
        <w:rPr>
          <w:rtl/>
        </w:rPr>
        <w:t xml:space="preserve">. </w:t>
      </w:r>
      <w:hyperlink r:id="rId9" w:history="1">
        <w:r w:rsidR="005E6EB7">
          <w:rPr>
            <w:rStyle w:val="Hyperlink"/>
          </w:rPr>
          <w:t>https://bit.ly/3azsX49</w:t>
        </w:r>
      </w:hyperlink>
    </w:p>
  </w:footnote>
  <w:footnote w:id="10">
    <w:p w14:paraId="255EF472" w14:textId="01786E08" w:rsidR="002D329B" w:rsidRDefault="002D329B">
      <w:pPr>
        <w:pStyle w:val="FootnoteText"/>
      </w:pPr>
      <w:r>
        <w:rPr>
          <w:rStyle w:val="FootnoteReference"/>
        </w:rPr>
        <w:footnoteRef/>
      </w:r>
      <w:r>
        <w:t xml:space="preserve"> </w:t>
      </w:r>
      <w:r w:rsidR="00ED5D70">
        <w:rPr>
          <w:rtl/>
        </w:rPr>
        <w:t xml:space="preserve">أوضاع حقوق الإنسان في المنطقة العربية في ظل جانحة كورونا، مؤسسة ماعت للسلام والتنمية وحقوق الإنسان ، </w:t>
      </w:r>
      <w:hyperlink r:id="rId10" w:history="1">
        <w:r w:rsidR="00ED5D70">
          <w:rPr>
            <w:rStyle w:val="Hyperlink"/>
          </w:rPr>
          <w:t>https://bit.ly/3MAVQtO</w:t>
        </w:r>
      </w:hyperlink>
    </w:p>
  </w:footnote>
  <w:footnote w:id="11">
    <w:p w14:paraId="4EC26C6C" w14:textId="5BD1015E" w:rsidR="00ED5D70" w:rsidRDefault="00ED5D70">
      <w:pPr>
        <w:pStyle w:val="FootnoteText"/>
      </w:pPr>
      <w:r>
        <w:rPr>
          <w:rStyle w:val="FootnoteReference"/>
        </w:rPr>
        <w:footnoteRef/>
      </w:r>
      <w:r>
        <w:t xml:space="preserve"> </w:t>
      </w:r>
      <w:r>
        <w:rPr>
          <w:rtl/>
        </w:rPr>
        <w:t xml:space="preserve">الكويت ، المدافعين عن حقوق الإنسان ، </w:t>
      </w:r>
      <w:hyperlink r:id="rId11" w:history="1">
        <w:r>
          <w:rPr>
            <w:rStyle w:val="Hyperlink"/>
          </w:rPr>
          <w:t>https://bit.ly/3AIawoE</w:t>
        </w:r>
      </w:hyperlink>
    </w:p>
  </w:footnote>
  <w:footnote w:id="12">
    <w:p w14:paraId="46327498" w14:textId="550FEBB4" w:rsidR="004B78B0" w:rsidRDefault="004B78B0">
      <w:pPr>
        <w:pStyle w:val="FootnoteText"/>
      </w:pPr>
      <w:r>
        <w:rPr>
          <w:rStyle w:val="FootnoteReference"/>
        </w:rPr>
        <w:footnoteRef/>
      </w:r>
      <w:r>
        <w:t xml:space="preserve"> </w:t>
      </w:r>
      <w:r>
        <w:rPr>
          <w:rtl/>
        </w:rPr>
        <w:t>أوضاع حقوق الإنسان في المنطقة العربية في ظل جانحة كورونا، مرجع سابق ذكره</w:t>
      </w:r>
    </w:p>
  </w:footnote>
  <w:footnote w:id="13">
    <w:p w14:paraId="0C940C4B" w14:textId="1F5B4BBB" w:rsidR="002D676B" w:rsidRDefault="002D676B" w:rsidP="002D676B">
      <w:pPr>
        <w:pStyle w:val="FootnoteText"/>
        <w:bidi/>
      </w:pPr>
      <w:r>
        <w:rPr>
          <w:rStyle w:val="FootnoteReference"/>
        </w:rPr>
        <w:footnoteRef/>
      </w:r>
      <w:r>
        <w:t xml:space="preserve"> </w:t>
      </w:r>
      <w:r>
        <w:rPr>
          <w:rtl/>
        </w:rPr>
        <w:t xml:space="preserve">أوضاع حقوق الإنسان في المنطقة العربية في ظل جانحة كورونا، مرجع سابق ذكره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B210C" w14:textId="4DD22AFC" w:rsidR="00C52C0F" w:rsidRDefault="00C52C0F">
    <w:pPr>
      <w:pStyle w:val="Header"/>
    </w:pPr>
    <w:r>
      <w:rPr>
        <w:noProof/>
      </w:rPr>
      <w:drawing>
        <wp:inline distT="0" distB="0" distL="0" distR="0" wp14:anchorId="12C7E323" wp14:editId="1961642C">
          <wp:extent cx="1471930" cy="1143000"/>
          <wp:effectExtent l="0" t="0" r="0" b="0"/>
          <wp:docPr id="2" name="صورة 1"/>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7B4"/>
    <w:rsid w:val="00062F16"/>
    <w:rsid w:val="000653EC"/>
    <w:rsid w:val="000C2C48"/>
    <w:rsid w:val="001C2798"/>
    <w:rsid w:val="001F39CA"/>
    <w:rsid w:val="001F480E"/>
    <w:rsid w:val="00216CFF"/>
    <w:rsid w:val="00233EA1"/>
    <w:rsid w:val="00273761"/>
    <w:rsid w:val="002846C1"/>
    <w:rsid w:val="002B7746"/>
    <w:rsid w:val="002C2A69"/>
    <w:rsid w:val="002C7278"/>
    <w:rsid w:val="002D329B"/>
    <w:rsid w:val="002D676B"/>
    <w:rsid w:val="00301C7E"/>
    <w:rsid w:val="0033643F"/>
    <w:rsid w:val="00347A82"/>
    <w:rsid w:val="003752D9"/>
    <w:rsid w:val="00376B02"/>
    <w:rsid w:val="00383932"/>
    <w:rsid w:val="00386586"/>
    <w:rsid w:val="003D6B5A"/>
    <w:rsid w:val="00443818"/>
    <w:rsid w:val="004B78B0"/>
    <w:rsid w:val="005914A7"/>
    <w:rsid w:val="005E64F1"/>
    <w:rsid w:val="005E6EB7"/>
    <w:rsid w:val="006832FD"/>
    <w:rsid w:val="006B5142"/>
    <w:rsid w:val="006B7642"/>
    <w:rsid w:val="006F3FEA"/>
    <w:rsid w:val="007428C4"/>
    <w:rsid w:val="007D5B6A"/>
    <w:rsid w:val="008B4FE0"/>
    <w:rsid w:val="008C3B48"/>
    <w:rsid w:val="008E1302"/>
    <w:rsid w:val="00952B43"/>
    <w:rsid w:val="00970C43"/>
    <w:rsid w:val="009F4C51"/>
    <w:rsid w:val="009F6581"/>
    <w:rsid w:val="00A84F90"/>
    <w:rsid w:val="00B55AEF"/>
    <w:rsid w:val="00B90FC3"/>
    <w:rsid w:val="00BA4671"/>
    <w:rsid w:val="00C24865"/>
    <w:rsid w:val="00C3681A"/>
    <w:rsid w:val="00C5002D"/>
    <w:rsid w:val="00C52C0F"/>
    <w:rsid w:val="00C81880"/>
    <w:rsid w:val="00CA2390"/>
    <w:rsid w:val="00D10B18"/>
    <w:rsid w:val="00D60E3C"/>
    <w:rsid w:val="00D84187"/>
    <w:rsid w:val="00DB45D0"/>
    <w:rsid w:val="00E511AD"/>
    <w:rsid w:val="00E53924"/>
    <w:rsid w:val="00E9239E"/>
    <w:rsid w:val="00E97EBE"/>
    <w:rsid w:val="00ED5D70"/>
    <w:rsid w:val="00EE3B9E"/>
    <w:rsid w:val="00FD27B4"/>
    <w:rsid w:val="00FD55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135DB"/>
  <w15:chartTrackingRefBased/>
  <w15:docId w15:val="{4CBA8FD8-F316-4E2F-9FFF-06ACDEE52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7B4"/>
  </w:style>
  <w:style w:type="paragraph" w:styleId="Footer">
    <w:name w:val="footer"/>
    <w:basedOn w:val="Normal"/>
    <w:link w:val="FooterChar"/>
    <w:uiPriority w:val="99"/>
    <w:unhideWhenUsed/>
    <w:rsid w:val="00FD2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7B4"/>
  </w:style>
  <w:style w:type="paragraph" w:styleId="FootnoteText">
    <w:name w:val="footnote text"/>
    <w:basedOn w:val="Normal"/>
    <w:link w:val="FootnoteTextChar"/>
    <w:uiPriority w:val="99"/>
    <w:semiHidden/>
    <w:unhideWhenUsed/>
    <w:rsid w:val="002846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46C1"/>
    <w:rPr>
      <w:sz w:val="20"/>
      <w:szCs w:val="20"/>
    </w:rPr>
  </w:style>
  <w:style w:type="character" w:styleId="FootnoteReference">
    <w:name w:val="footnote reference"/>
    <w:basedOn w:val="DefaultParagraphFont"/>
    <w:uiPriority w:val="99"/>
    <w:semiHidden/>
    <w:unhideWhenUsed/>
    <w:rsid w:val="002846C1"/>
    <w:rPr>
      <w:vertAlign w:val="superscript"/>
    </w:rPr>
  </w:style>
  <w:style w:type="character" w:styleId="Hyperlink">
    <w:name w:val="Hyperlink"/>
    <w:basedOn w:val="DefaultParagraphFont"/>
    <w:uiPriority w:val="99"/>
    <w:semiHidden/>
    <w:unhideWhenUsed/>
    <w:rsid w:val="002846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744999">
      <w:bodyDiv w:val="1"/>
      <w:marLeft w:val="0"/>
      <w:marRight w:val="0"/>
      <w:marTop w:val="0"/>
      <w:marBottom w:val="0"/>
      <w:divBdr>
        <w:top w:val="none" w:sz="0" w:space="0" w:color="auto"/>
        <w:left w:val="none" w:sz="0" w:space="0" w:color="auto"/>
        <w:bottom w:val="none" w:sz="0" w:space="0" w:color="auto"/>
        <w:right w:val="none" w:sz="0" w:space="0" w:color="auto"/>
      </w:divBdr>
    </w:div>
    <w:div w:id="1830977265">
      <w:bodyDiv w:val="1"/>
      <w:marLeft w:val="0"/>
      <w:marRight w:val="0"/>
      <w:marTop w:val="0"/>
      <w:marBottom w:val="0"/>
      <w:divBdr>
        <w:top w:val="none" w:sz="0" w:space="0" w:color="auto"/>
        <w:left w:val="none" w:sz="0" w:space="0" w:color="auto"/>
        <w:bottom w:val="none" w:sz="0" w:space="0" w:color="auto"/>
        <w:right w:val="none" w:sz="0" w:space="0" w:color="auto"/>
      </w:divBdr>
    </w:div>
    <w:div w:id="206205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IzqGCA" TargetMode="External"/><Relationship Id="rId3" Type="http://schemas.openxmlformats.org/officeDocument/2006/relationships/hyperlink" Target="https://bit.ly/3z0gO1t" TargetMode="External"/><Relationship Id="rId7" Type="http://schemas.openxmlformats.org/officeDocument/2006/relationships/hyperlink" Target="https://bbc.in/3nV3Rjr" TargetMode="External"/><Relationship Id="rId2" Type="http://schemas.openxmlformats.org/officeDocument/2006/relationships/hyperlink" Target="https://bit.ly/3o4c58E" TargetMode="External"/><Relationship Id="rId1" Type="http://schemas.openxmlformats.org/officeDocument/2006/relationships/hyperlink" Target="https://bit.ly/3yBSpOv" TargetMode="External"/><Relationship Id="rId6" Type="http://schemas.openxmlformats.org/officeDocument/2006/relationships/hyperlink" Target="https://bit.ly/3yYtmqi" TargetMode="External"/><Relationship Id="rId11" Type="http://schemas.openxmlformats.org/officeDocument/2006/relationships/hyperlink" Target="https://bit.ly/3AIawoE" TargetMode="External"/><Relationship Id="rId5" Type="http://schemas.openxmlformats.org/officeDocument/2006/relationships/hyperlink" Target="https://bit.ly/3IxFRw9" TargetMode="External"/><Relationship Id="rId10" Type="http://schemas.openxmlformats.org/officeDocument/2006/relationships/hyperlink" Target="https://bit.ly/3MAVQtO" TargetMode="External"/><Relationship Id="rId4" Type="http://schemas.openxmlformats.org/officeDocument/2006/relationships/hyperlink" Target="https://bit.ly/3ALuKOc" TargetMode="External"/><Relationship Id="rId9" Type="http://schemas.openxmlformats.org/officeDocument/2006/relationships/hyperlink" Target="https://bit.ly/3azsX4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F1939-05A9-4039-AC06-FB083E1FBDC9}">
  <ds:schemaRefs>
    <ds:schemaRef ds:uri="http://schemas.openxmlformats.org/officeDocument/2006/bibliography"/>
  </ds:schemaRefs>
</ds:datastoreItem>
</file>

<file path=customXml/itemProps2.xml><?xml version="1.0" encoding="utf-8"?>
<ds:datastoreItem xmlns:ds="http://schemas.openxmlformats.org/officeDocument/2006/customXml" ds:itemID="{7CA1C65E-F0D5-4085-B1D5-5E43D80CECE4}"/>
</file>

<file path=customXml/itemProps3.xml><?xml version="1.0" encoding="utf-8"?>
<ds:datastoreItem xmlns:ds="http://schemas.openxmlformats.org/officeDocument/2006/customXml" ds:itemID="{6DE01C2E-6D8B-4F37-ACD4-9E0759CA2DF2}"/>
</file>

<file path=customXml/itemProps4.xml><?xml version="1.0" encoding="utf-8"?>
<ds:datastoreItem xmlns:ds="http://schemas.openxmlformats.org/officeDocument/2006/customXml" ds:itemID="{9B9A1D3A-4329-4C2C-906A-7D31AA5777CC}"/>
</file>

<file path=docProps/app.xml><?xml version="1.0" encoding="utf-8"?>
<Properties xmlns="http://schemas.openxmlformats.org/officeDocument/2006/extended-properties" xmlns:vt="http://schemas.openxmlformats.org/officeDocument/2006/docPropsVTypes">
  <Template>Normal</Template>
  <TotalTime>117</TotalTime>
  <Pages>4</Pages>
  <Words>1386</Words>
  <Characters>7902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 Support</dc:creator>
  <cp:keywords/>
  <dc:description/>
  <cp:lastModifiedBy>m.sabri@maatpeace.org</cp:lastModifiedBy>
  <cp:revision>8</cp:revision>
  <dcterms:created xsi:type="dcterms:W3CDTF">2022-07-14T17:06:00Z</dcterms:created>
  <dcterms:modified xsi:type="dcterms:W3CDTF">2022-08-15T15:40:00Z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