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4F3E1" w14:textId="77777777" w:rsidR="00997F84" w:rsidRDefault="00997F84" w:rsidP="00F947EB">
      <w:pPr>
        <w:spacing w:before="120"/>
        <w:rPr>
          <w:b/>
        </w:rPr>
      </w:pPr>
    </w:p>
    <w:p w14:paraId="42ACDCA0" w14:textId="77777777" w:rsidR="00997F84" w:rsidRDefault="00997F84" w:rsidP="00F947EB">
      <w:pPr>
        <w:spacing w:before="120"/>
        <w:rPr>
          <w:b/>
        </w:rPr>
      </w:pPr>
    </w:p>
    <w:p w14:paraId="7C98B073" w14:textId="77777777" w:rsidR="00A415F0" w:rsidRDefault="00A415F0" w:rsidP="00997F84">
      <w:pPr>
        <w:jc w:val="center"/>
        <w:rPr>
          <w:rFonts w:asciiTheme="majorBidi" w:hAnsiTheme="majorBidi" w:cstheme="majorBidi"/>
          <w:b/>
          <w:bCs/>
          <w:color w:val="000000" w:themeColor="text1"/>
        </w:rPr>
      </w:pPr>
    </w:p>
    <w:p w14:paraId="08B6332D" w14:textId="77777777" w:rsidR="00A415F0" w:rsidRDefault="00A415F0" w:rsidP="00997F84">
      <w:pPr>
        <w:jc w:val="center"/>
        <w:rPr>
          <w:rFonts w:asciiTheme="majorBidi" w:hAnsiTheme="majorBidi" w:cstheme="majorBidi"/>
          <w:b/>
          <w:bCs/>
          <w:color w:val="000000" w:themeColor="text1"/>
        </w:rPr>
      </w:pPr>
    </w:p>
    <w:p w14:paraId="50D60184" w14:textId="77777777" w:rsidR="00A415F0" w:rsidRDefault="00A415F0" w:rsidP="00997F84">
      <w:pPr>
        <w:jc w:val="center"/>
        <w:rPr>
          <w:rFonts w:asciiTheme="majorBidi" w:hAnsiTheme="majorBidi" w:cstheme="majorBidi"/>
          <w:b/>
          <w:bCs/>
          <w:color w:val="000000" w:themeColor="text1"/>
        </w:rPr>
      </w:pPr>
    </w:p>
    <w:p w14:paraId="3D04F953" w14:textId="77777777" w:rsidR="00A415F0" w:rsidRDefault="00A415F0" w:rsidP="00997F84">
      <w:pPr>
        <w:jc w:val="center"/>
        <w:rPr>
          <w:rFonts w:asciiTheme="majorBidi" w:hAnsiTheme="majorBidi" w:cstheme="majorBidi"/>
          <w:b/>
          <w:bCs/>
          <w:color w:val="000000" w:themeColor="text1"/>
        </w:rPr>
      </w:pPr>
    </w:p>
    <w:p w14:paraId="02DDACDD" w14:textId="77777777" w:rsidR="00A415F0" w:rsidRDefault="00A415F0" w:rsidP="00997F84">
      <w:pPr>
        <w:jc w:val="center"/>
        <w:rPr>
          <w:rFonts w:asciiTheme="majorBidi" w:hAnsiTheme="majorBidi" w:cstheme="majorBidi"/>
          <w:b/>
          <w:bCs/>
          <w:color w:val="000000" w:themeColor="text1"/>
        </w:rPr>
      </w:pPr>
    </w:p>
    <w:p w14:paraId="56EEAC7C" w14:textId="77777777" w:rsidR="00A415F0" w:rsidRDefault="00A415F0" w:rsidP="001F4F0A">
      <w:pPr>
        <w:rPr>
          <w:rFonts w:asciiTheme="majorBidi" w:hAnsiTheme="majorBidi" w:cstheme="majorBidi"/>
          <w:b/>
          <w:bCs/>
          <w:color w:val="000000" w:themeColor="text1"/>
        </w:rPr>
      </w:pPr>
    </w:p>
    <w:p w14:paraId="1D5BF316" w14:textId="77777777" w:rsidR="00A415F0" w:rsidRDefault="00A415F0" w:rsidP="00997F84">
      <w:pPr>
        <w:jc w:val="center"/>
        <w:rPr>
          <w:rFonts w:asciiTheme="majorBidi" w:hAnsiTheme="majorBidi" w:cstheme="majorBidi"/>
          <w:b/>
          <w:bCs/>
          <w:color w:val="000000" w:themeColor="text1"/>
        </w:rPr>
      </w:pPr>
    </w:p>
    <w:p w14:paraId="6B895500" w14:textId="77777777" w:rsidR="00997F84" w:rsidRPr="00DC20EB" w:rsidRDefault="00997F84" w:rsidP="00997F84">
      <w:pPr>
        <w:jc w:val="center"/>
        <w:rPr>
          <w:rFonts w:cstheme="majorBidi"/>
          <w:bCs/>
          <w:color w:val="000000" w:themeColor="text1"/>
        </w:rPr>
      </w:pPr>
      <w:r w:rsidRPr="00DC20EB">
        <w:rPr>
          <w:rFonts w:cstheme="majorBidi"/>
          <w:bCs/>
          <w:color w:val="000000" w:themeColor="text1"/>
        </w:rPr>
        <w:t>116° Período de Sesiones del Comité para la Eliminación de la Discriminación Racial</w:t>
      </w:r>
    </w:p>
    <w:p w14:paraId="0E8EE22E" w14:textId="77777777" w:rsidR="00997F84" w:rsidRPr="00DC20EB" w:rsidRDefault="00997F84" w:rsidP="00997F84">
      <w:pPr>
        <w:jc w:val="center"/>
        <w:rPr>
          <w:rFonts w:cstheme="majorBidi"/>
          <w:bCs/>
          <w:color w:val="000000" w:themeColor="text1"/>
          <w:lang w:val="es-MX"/>
        </w:rPr>
      </w:pPr>
      <w:r w:rsidRPr="00DC20EB">
        <w:rPr>
          <w:rFonts w:cstheme="majorBidi"/>
          <w:bCs/>
          <w:color w:val="000000" w:themeColor="text1"/>
          <w:lang w:val="es-MX"/>
        </w:rPr>
        <w:t xml:space="preserve">Evaluación Periódica de los informes consolidados del Estado de Guatemala 18°, 19° y 20° </w:t>
      </w:r>
    </w:p>
    <w:p w14:paraId="1A87B7E2" w14:textId="77777777" w:rsidR="00997F84" w:rsidRPr="00DC20EB" w:rsidRDefault="00997F84" w:rsidP="00997F84">
      <w:pPr>
        <w:rPr>
          <w:rFonts w:cstheme="majorBidi"/>
          <w:bCs/>
          <w:color w:val="000000" w:themeColor="text1"/>
          <w:lang w:val="es-MX"/>
        </w:rPr>
      </w:pPr>
    </w:p>
    <w:p w14:paraId="63A62347" w14:textId="77777777" w:rsidR="00997F84" w:rsidRPr="00DC20EB" w:rsidRDefault="00997F84" w:rsidP="00997F84">
      <w:pPr>
        <w:rPr>
          <w:rFonts w:cstheme="majorBidi"/>
          <w:bCs/>
          <w:color w:val="000000" w:themeColor="text1"/>
          <w:lang w:val="es-MX"/>
        </w:rPr>
      </w:pPr>
    </w:p>
    <w:p w14:paraId="77A45440" w14:textId="77777777" w:rsidR="00A415F0" w:rsidRPr="00DC20EB" w:rsidRDefault="00A415F0" w:rsidP="00997F84">
      <w:pPr>
        <w:rPr>
          <w:rFonts w:cstheme="majorBidi"/>
          <w:bCs/>
          <w:color w:val="000000" w:themeColor="text1"/>
          <w:lang w:val="es-MX"/>
        </w:rPr>
      </w:pPr>
    </w:p>
    <w:p w14:paraId="764105F2" w14:textId="77777777" w:rsidR="00A415F0" w:rsidRPr="00DC20EB" w:rsidRDefault="00A415F0" w:rsidP="00997F84">
      <w:pPr>
        <w:rPr>
          <w:rFonts w:cstheme="majorBidi"/>
          <w:bCs/>
          <w:color w:val="000000" w:themeColor="text1"/>
          <w:lang w:val="es-MX"/>
        </w:rPr>
      </w:pPr>
    </w:p>
    <w:p w14:paraId="378E07EE" w14:textId="77777777" w:rsidR="00A415F0" w:rsidRPr="00DC20EB" w:rsidRDefault="00A415F0" w:rsidP="00997F84">
      <w:pPr>
        <w:rPr>
          <w:rFonts w:cstheme="majorBidi"/>
          <w:bCs/>
          <w:color w:val="000000" w:themeColor="text1"/>
          <w:lang w:val="es-MX"/>
        </w:rPr>
      </w:pPr>
    </w:p>
    <w:p w14:paraId="5ED30868" w14:textId="77777777" w:rsidR="00A415F0" w:rsidRPr="00DC20EB" w:rsidRDefault="00A415F0" w:rsidP="00997F84">
      <w:pPr>
        <w:rPr>
          <w:rFonts w:cstheme="majorBidi"/>
          <w:bCs/>
          <w:color w:val="000000" w:themeColor="text1"/>
          <w:lang w:val="es-MX"/>
        </w:rPr>
      </w:pPr>
    </w:p>
    <w:p w14:paraId="7E6A088D" w14:textId="77777777" w:rsidR="00A415F0" w:rsidRPr="00DC20EB" w:rsidRDefault="00A415F0" w:rsidP="00997F84">
      <w:pPr>
        <w:rPr>
          <w:rFonts w:cstheme="majorBidi"/>
          <w:bCs/>
          <w:color w:val="000000" w:themeColor="text1"/>
          <w:lang w:val="es-MX"/>
        </w:rPr>
      </w:pPr>
    </w:p>
    <w:p w14:paraId="44D70CCC" w14:textId="77777777" w:rsidR="00A415F0" w:rsidRPr="00DC20EB" w:rsidRDefault="00A415F0" w:rsidP="00997F84">
      <w:pPr>
        <w:rPr>
          <w:rFonts w:cstheme="majorBidi"/>
          <w:bCs/>
          <w:color w:val="000000" w:themeColor="text1"/>
          <w:lang w:val="es-MX"/>
        </w:rPr>
      </w:pPr>
    </w:p>
    <w:p w14:paraId="0912C674" w14:textId="77777777" w:rsidR="00A415F0" w:rsidRPr="00DC20EB" w:rsidRDefault="00A415F0" w:rsidP="00997F84">
      <w:pPr>
        <w:rPr>
          <w:rFonts w:cstheme="majorBidi"/>
          <w:bCs/>
          <w:color w:val="000000" w:themeColor="text1"/>
          <w:lang w:val="es-MX"/>
        </w:rPr>
      </w:pPr>
    </w:p>
    <w:p w14:paraId="30540989" w14:textId="77777777" w:rsidR="00A415F0" w:rsidRPr="00DC20EB" w:rsidRDefault="00A415F0" w:rsidP="00997F84">
      <w:pPr>
        <w:rPr>
          <w:rFonts w:cstheme="majorBidi"/>
          <w:bCs/>
          <w:color w:val="000000" w:themeColor="text1"/>
          <w:lang w:val="es-MX"/>
        </w:rPr>
      </w:pPr>
    </w:p>
    <w:p w14:paraId="22FEABDB" w14:textId="77777777" w:rsidR="00A415F0" w:rsidRPr="00DC20EB" w:rsidRDefault="00A415F0" w:rsidP="004D1708">
      <w:pPr>
        <w:jc w:val="center"/>
        <w:rPr>
          <w:rFonts w:cstheme="majorBidi"/>
          <w:bCs/>
          <w:color w:val="000000" w:themeColor="text1"/>
          <w:lang w:val="es-MX"/>
        </w:rPr>
      </w:pPr>
    </w:p>
    <w:p w14:paraId="526B7DB4" w14:textId="16AE995A" w:rsidR="004D1708" w:rsidRPr="00DC20EB" w:rsidRDefault="009A6F3A" w:rsidP="001F4F0A">
      <w:pPr>
        <w:jc w:val="center"/>
        <w:rPr>
          <w:rFonts w:cstheme="majorBidi"/>
          <w:bCs/>
          <w:color w:val="000000" w:themeColor="text1"/>
          <w:lang w:val="es-MX"/>
        </w:rPr>
      </w:pPr>
      <w:r w:rsidRPr="00DC20EB">
        <w:rPr>
          <w:rFonts w:cstheme="majorBidi"/>
          <w:bCs/>
          <w:color w:val="000000" w:themeColor="text1"/>
          <w:lang w:val="es-MX"/>
        </w:rPr>
        <w:t xml:space="preserve">Informe presentado por </w:t>
      </w:r>
      <w:r w:rsidR="00B337A1" w:rsidRPr="00DC20EB">
        <w:rPr>
          <w:rFonts w:cstheme="majorBidi"/>
          <w:bCs/>
          <w:color w:val="000000" w:themeColor="text1"/>
          <w:lang w:val="es-MX"/>
        </w:rPr>
        <w:t>Centro de Acción Legal en Derechos Humanos –CALDH, Instituto Amaq, Bufete para Pueblos Indígenas, Asociación Bufete Jurídico de Rabinal</w:t>
      </w:r>
      <w:r w:rsidRPr="00DC20EB">
        <w:rPr>
          <w:rFonts w:cstheme="majorBidi"/>
          <w:bCs/>
          <w:color w:val="000000" w:themeColor="text1"/>
          <w:lang w:val="es-MX"/>
        </w:rPr>
        <w:t xml:space="preserve">  -ABJP, Espacio Nacional de Autoridades Indígenas Iximulew, </w:t>
      </w:r>
      <w:r w:rsidR="005A292C">
        <w:rPr>
          <w:rFonts w:cstheme="majorBidi"/>
          <w:bCs/>
          <w:color w:val="000000" w:themeColor="text1"/>
          <w:lang w:val="es-MX"/>
        </w:rPr>
        <w:t>Asociación Comunitaria para el Desarrollo -S</w:t>
      </w:r>
      <w:r w:rsidRPr="00DC20EB">
        <w:rPr>
          <w:rFonts w:cstheme="majorBidi"/>
          <w:bCs/>
          <w:color w:val="000000" w:themeColor="text1"/>
          <w:lang w:val="es-MX"/>
        </w:rPr>
        <w:t>ERJUS</w:t>
      </w:r>
      <w:r w:rsidR="005A292C">
        <w:rPr>
          <w:rFonts w:cstheme="majorBidi"/>
          <w:bCs/>
          <w:color w:val="000000" w:themeColor="text1"/>
          <w:lang w:val="es-MX"/>
        </w:rPr>
        <w:t>,</w:t>
      </w:r>
      <w:r w:rsidR="005A292C" w:rsidRPr="005A292C">
        <w:rPr>
          <w:rFonts w:cstheme="majorBidi"/>
          <w:bCs/>
          <w:color w:val="000000" w:themeColor="text1"/>
          <w:lang w:val="es-MX"/>
        </w:rPr>
        <w:t xml:space="preserve"> </w:t>
      </w:r>
      <w:r w:rsidR="005A292C">
        <w:rPr>
          <w:rFonts w:cstheme="majorBidi"/>
          <w:bCs/>
          <w:color w:val="000000" w:themeColor="text1"/>
          <w:lang w:val="es-MX"/>
        </w:rPr>
        <w:t xml:space="preserve">Programa Actuando Juntas </w:t>
      </w:r>
      <w:r w:rsidR="005A292C" w:rsidRPr="00DC20EB">
        <w:rPr>
          <w:rFonts w:cstheme="majorBidi"/>
          <w:bCs/>
          <w:color w:val="000000" w:themeColor="text1"/>
          <w:lang w:val="es-MX"/>
        </w:rPr>
        <w:t>Jotay</w:t>
      </w:r>
      <w:r w:rsidR="005A292C">
        <w:rPr>
          <w:rFonts w:cstheme="majorBidi"/>
          <w:bCs/>
          <w:color w:val="000000" w:themeColor="text1"/>
          <w:lang w:val="es-MX"/>
        </w:rPr>
        <w:t xml:space="preserve">,  </w:t>
      </w:r>
      <w:r w:rsidR="005A292C" w:rsidRPr="00DC20EB">
        <w:rPr>
          <w:rFonts w:cstheme="majorBidi"/>
          <w:bCs/>
          <w:color w:val="000000" w:themeColor="text1"/>
          <w:lang w:val="es-MX"/>
        </w:rPr>
        <w:t>Plataforma Internacional contra la Impunidad</w:t>
      </w:r>
      <w:r w:rsidR="005A292C">
        <w:rPr>
          <w:rFonts w:cstheme="majorBidi"/>
          <w:bCs/>
          <w:color w:val="000000" w:themeColor="text1"/>
          <w:lang w:val="es-MX"/>
        </w:rPr>
        <w:t xml:space="preserve"> -PICI</w:t>
      </w:r>
      <w:r w:rsidR="005A292C" w:rsidRPr="00DC20EB">
        <w:rPr>
          <w:rFonts w:cstheme="majorBidi"/>
          <w:bCs/>
          <w:color w:val="000000" w:themeColor="text1"/>
          <w:lang w:val="es-MX"/>
        </w:rPr>
        <w:t>,</w:t>
      </w:r>
    </w:p>
    <w:p w14:paraId="00C24AD8" w14:textId="77777777" w:rsidR="004D1708" w:rsidRPr="00DC20EB" w:rsidRDefault="004D1708" w:rsidP="004D1708">
      <w:pPr>
        <w:jc w:val="center"/>
        <w:rPr>
          <w:rFonts w:cstheme="majorBidi"/>
          <w:bCs/>
          <w:color w:val="000000" w:themeColor="text1"/>
          <w:lang w:val="es-MX"/>
        </w:rPr>
      </w:pPr>
    </w:p>
    <w:p w14:paraId="38BDFBE3" w14:textId="77777777" w:rsidR="004D1708" w:rsidRPr="00DC20EB" w:rsidRDefault="00B337A1" w:rsidP="004D1708">
      <w:pPr>
        <w:jc w:val="center"/>
        <w:rPr>
          <w:rFonts w:cstheme="majorBidi"/>
          <w:bCs/>
          <w:color w:val="000000" w:themeColor="text1"/>
          <w:lang w:val="es-MX"/>
        </w:rPr>
      </w:pPr>
      <w:r w:rsidRPr="00DC20EB">
        <w:rPr>
          <w:rFonts w:cstheme="majorBidi"/>
          <w:bCs/>
          <w:color w:val="000000" w:themeColor="text1"/>
          <w:lang w:val="es-MX"/>
        </w:rPr>
        <w:t>Octubre</w:t>
      </w:r>
      <w:r w:rsidR="004D1708" w:rsidRPr="00DC20EB">
        <w:rPr>
          <w:rFonts w:cstheme="majorBidi"/>
          <w:bCs/>
          <w:color w:val="000000" w:themeColor="text1"/>
          <w:lang w:val="es-MX"/>
        </w:rPr>
        <w:t xml:space="preserve"> de 2025</w:t>
      </w:r>
    </w:p>
    <w:p w14:paraId="305015CA" w14:textId="77777777" w:rsidR="0008795A" w:rsidRDefault="0008795A" w:rsidP="00997F84">
      <w:pPr>
        <w:rPr>
          <w:rFonts w:asciiTheme="majorBidi" w:hAnsiTheme="majorBidi" w:cstheme="majorBidi"/>
          <w:b/>
          <w:bCs/>
          <w:color w:val="000000" w:themeColor="text1"/>
          <w:lang w:val="es-MX"/>
        </w:rPr>
        <w:sectPr w:rsidR="0008795A" w:rsidSect="005A292C">
          <w:headerReference w:type="default" r:id="rId8"/>
          <w:pgSz w:w="12242" w:h="15842" w:code="1"/>
          <w:pgMar w:top="1985" w:right="1985" w:bottom="1985" w:left="1985" w:header="794" w:footer="680" w:gutter="0"/>
          <w:cols w:space="708"/>
          <w:docGrid w:linePitch="360"/>
        </w:sectPr>
      </w:pPr>
    </w:p>
    <w:p w14:paraId="6B750EE0" w14:textId="77777777" w:rsidR="00A415F0" w:rsidRDefault="00A415F0" w:rsidP="00997F84">
      <w:pPr>
        <w:rPr>
          <w:rFonts w:asciiTheme="majorBidi" w:hAnsiTheme="majorBidi" w:cstheme="majorBidi"/>
          <w:b/>
          <w:bCs/>
          <w:color w:val="000000" w:themeColor="text1"/>
          <w:lang w:val="es-MX"/>
        </w:rPr>
      </w:pPr>
    </w:p>
    <w:p w14:paraId="04C8A3C3" w14:textId="77777777" w:rsidR="00A415F0" w:rsidRDefault="00A415F0" w:rsidP="00997F84">
      <w:pPr>
        <w:rPr>
          <w:rFonts w:asciiTheme="majorBidi" w:hAnsiTheme="majorBidi" w:cstheme="majorBidi"/>
          <w:b/>
          <w:bCs/>
          <w:color w:val="000000" w:themeColor="text1"/>
          <w:lang w:val="es-MX"/>
        </w:rPr>
      </w:pPr>
    </w:p>
    <w:p w14:paraId="203F1109" w14:textId="77777777" w:rsidR="00A415F0" w:rsidRDefault="00A415F0" w:rsidP="00997F84">
      <w:pPr>
        <w:rPr>
          <w:rFonts w:asciiTheme="majorBidi" w:hAnsiTheme="majorBidi" w:cstheme="majorBidi"/>
          <w:b/>
          <w:bCs/>
          <w:color w:val="000000" w:themeColor="text1"/>
          <w:lang w:val="es-MX"/>
        </w:rPr>
      </w:pPr>
    </w:p>
    <w:p w14:paraId="2E7D4BA8" w14:textId="77777777" w:rsidR="00A415F0" w:rsidRDefault="00A415F0" w:rsidP="00997F84">
      <w:pPr>
        <w:rPr>
          <w:rFonts w:asciiTheme="majorBidi" w:hAnsiTheme="majorBidi" w:cstheme="majorBidi"/>
          <w:b/>
          <w:bCs/>
          <w:color w:val="000000" w:themeColor="text1"/>
          <w:lang w:val="es-MX"/>
        </w:rPr>
      </w:pPr>
    </w:p>
    <w:sdt>
      <w:sdtPr>
        <w:rPr>
          <w:rFonts w:asciiTheme="minorHAnsi" w:eastAsiaTheme="minorHAnsi" w:hAnsiTheme="minorHAnsi" w:cstheme="minorBidi"/>
          <w:b w:val="0"/>
          <w:bCs w:val="0"/>
          <w:color w:val="auto"/>
          <w:kern w:val="2"/>
          <w:sz w:val="24"/>
          <w:szCs w:val="24"/>
          <w:lang w:val="es-ES" w:eastAsia="en-US"/>
        </w:rPr>
        <w:id w:val="-908065386"/>
        <w:docPartObj>
          <w:docPartGallery w:val="Table of Contents"/>
          <w:docPartUnique/>
        </w:docPartObj>
      </w:sdtPr>
      <w:sdtEndPr>
        <w:rPr>
          <w:noProof/>
          <w:lang w:val="es-ES_tradnl"/>
        </w:rPr>
      </w:sdtEndPr>
      <w:sdtContent>
        <w:p w14:paraId="17CC2727" w14:textId="77777777" w:rsidR="00C361D4" w:rsidRDefault="00C361D4" w:rsidP="00C361D4">
          <w:pPr>
            <w:pStyle w:val="TtuloTDC"/>
            <w:jc w:val="center"/>
          </w:pPr>
          <w:r>
            <w:rPr>
              <w:lang w:val="es-ES"/>
            </w:rPr>
            <w:t>Índice</w:t>
          </w:r>
        </w:p>
        <w:p w14:paraId="34D9ED63" w14:textId="54FE559E" w:rsidR="00180C27" w:rsidRDefault="007A06D3">
          <w:pPr>
            <w:pStyle w:val="TDC1"/>
            <w:tabs>
              <w:tab w:val="right" w:leader="dot" w:pos="8262"/>
            </w:tabs>
            <w:rPr>
              <w:rFonts w:eastAsiaTheme="minorEastAsia" w:cstheme="minorBidi"/>
              <w:b w:val="0"/>
              <w:bCs w:val="0"/>
              <w:i w:val="0"/>
              <w:iCs w:val="0"/>
              <w:noProof/>
              <w:lang w:val="es-ES" w:eastAsia="es-ES"/>
              <w14:ligatures w14:val="standardContextual"/>
            </w:rPr>
          </w:pPr>
          <w:r w:rsidRPr="004D1708">
            <w:rPr>
              <w:i w:val="0"/>
              <w:iCs w:val="0"/>
            </w:rPr>
            <w:fldChar w:fldCharType="begin"/>
          </w:r>
          <w:r w:rsidR="00C361D4" w:rsidRPr="004D1708">
            <w:rPr>
              <w:i w:val="0"/>
              <w:iCs w:val="0"/>
            </w:rPr>
            <w:instrText>TOC \o "1-3" \h \z \u</w:instrText>
          </w:r>
          <w:r w:rsidRPr="004D1708">
            <w:rPr>
              <w:i w:val="0"/>
              <w:iCs w:val="0"/>
            </w:rPr>
            <w:fldChar w:fldCharType="separate"/>
          </w:r>
          <w:hyperlink w:anchor="_Toc211498211" w:history="1">
            <w:r w:rsidR="00180C27" w:rsidRPr="00D20AC1">
              <w:rPr>
                <w:rStyle w:val="Hipervnculo"/>
                <w:noProof/>
                <w:lang w:val="es-MX"/>
              </w:rPr>
              <w:t>Introducción</w:t>
            </w:r>
            <w:r w:rsidR="00180C27">
              <w:rPr>
                <w:noProof/>
                <w:webHidden/>
              </w:rPr>
              <w:tab/>
            </w:r>
            <w:r w:rsidR="00180C27">
              <w:rPr>
                <w:noProof/>
                <w:webHidden/>
              </w:rPr>
              <w:fldChar w:fldCharType="begin"/>
            </w:r>
            <w:r w:rsidR="00180C27">
              <w:rPr>
                <w:noProof/>
                <w:webHidden/>
              </w:rPr>
              <w:instrText xml:space="preserve"> PAGEREF _Toc211498211 \h </w:instrText>
            </w:r>
            <w:r w:rsidR="00180C27">
              <w:rPr>
                <w:noProof/>
                <w:webHidden/>
              </w:rPr>
            </w:r>
            <w:r w:rsidR="00180C27">
              <w:rPr>
                <w:noProof/>
                <w:webHidden/>
              </w:rPr>
              <w:fldChar w:fldCharType="separate"/>
            </w:r>
            <w:r w:rsidR="00180C27">
              <w:rPr>
                <w:noProof/>
                <w:webHidden/>
              </w:rPr>
              <w:t>2</w:t>
            </w:r>
            <w:r w:rsidR="00180C27">
              <w:rPr>
                <w:noProof/>
                <w:webHidden/>
              </w:rPr>
              <w:fldChar w:fldCharType="end"/>
            </w:r>
          </w:hyperlink>
        </w:p>
        <w:p w14:paraId="2774CF06" w14:textId="501B8F38" w:rsidR="00180C27" w:rsidRDefault="00180C27">
          <w:pPr>
            <w:pStyle w:val="TDC1"/>
            <w:tabs>
              <w:tab w:val="left" w:pos="480"/>
              <w:tab w:val="right" w:leader="dot" w:pos="8262"/>
            </w:tabs>
            <w:rPr>
              <w:rFonts w:eastAsiaTheme="minorEastAsia" w:cstheme="minorBidi"/>
              <w:b w:val="0"/>
              <w:bCs w:val="0"/>
              <w:i w:val="0"/>
              <w:iCs w:val="0"/>
              <w:noProof/>
              <w:lang w:val="es-ES" w:eastAsia="es-ES"/>
              <w14:ligatures w14:val="standardContextual"/>
            </w:rPr>
          </w:pPr>
          <w:hyperlink w:anchor="_Toc211498212" w:history="1">
            <w:r w:rsidRPr="00D20AC1">
              <w:rPr>
                <w:rStyle w:val="Hipervnculo"/>
                <w:noProof/>
              </w:rPr>
              <w:t>A.</w:t>
            </w:r>
            <w:r>
              <w:rPr>
                <w:rFonts w:eastAsiaTheme="minorEastAsia" w:cstheme="minorBidi"/>
                <w:b w:val="0"/>
                <w:bCs w:val="0"/>
                <w:i w:val="0"/>
                <w:iCs w:val="0"/>
                <w:noProof/>
                <w:lang w:val="es-ES" w:eastAsia="es-ES"/>
                <w14:ligatures w14:val="standardContextual"/>
              </w:rPr>
              <w:tab/>
            </w:r>
            <w:r w:rsidRPr="00D20AC1">
              <w:rPr>
                <w:rStyle w:val="Hipervnculo"/>
                <w:noProof/>
              </w:rPr>
              <w:t>Contexto de la falta de mecanismos de reparación para violaciones a los derechos humanos en Guatemala</w:t>
            </w:r>
            <w:r>
              <w:rPr>
                <w:noProof/>
                <w:webHidden/>
              </w:rPr>
              <w:tab/>
            </w:r>
            <w:r>
              <w:rPr>
                <w:noProof/>
                <w:webHidden/>
              </w:rPr>
              <w:fldChar w:fldCharType="begin"/>
            </w:r>
            <w:r>
              <w:rPr>
                <w:noProof/>
                <w:webHidden/>
              </w:rPr>
              <w:instrText xml:space="preserve"> PAGEREF _Toc211498212 \h </w:instrText>
            </w:r>
            <w:r>
              <w:rPr>
                <w:noProof/>
                <w:webHidden/>
              </w:rPr>
            </w:r>
            <w:r>
              <w:rPr>
                <w:noProof/>
                <w:webHidden/>
              </w:rPr>
              <w:fldChar w:fldCharType="separate"/>
            </w:r>
            <w:r>
              <w:rPr>
                <w:noProof/>
                <w:webHidden/>
              </w:rPr>
              <w:t>4</w:t>
            </w:r>
            <w:r>
              <w:rPr>
                <w:noProof/>
                <w:webHidden/>
              </w:rPr>
              <w:fldChar w:fldCharType="end"/>
            </w:r>
          </w:hyperlink>
        </w:p>
        <w:p w14:paraId="4736EDC6" w14:textId="075853B5" w:rsidR="00180C27" w:rsidRDefault="00180C27">
          <w:pPr>
            <w:pStyle w:val="TDC1"/>
            <w:tabs>
              <w:tab w:val="left" w:pos="480"/>
              <w:tab w:val="right" w:leader="dot" w:pos="8262"/>
            </w:tabs>
            <w:rPr>
              <w:rFonts w:eastAsiaTheme="minorEastAsia" w:cstheme="minorBidi"/>
              <w:b w:val="0"/>
              <w:bCs w:val="0"/>
              <w:i w:val="0"/>
              <w:iCs w:val="0"/>
              <w:noProof/>
              <w:lang w:val="es-ES" w:eastAsia="es-ES"/>
              <w14:ligatures w14:val="standardContextual"/>
            </w:rPr>
          </w:pPr>
          <w:hyperlink w:anchor="_Toc211498213" w:history="1">
            <w:r w:rsidRPr="00D20AC1">
              <w:rPr>
                <w:rStyle w:val="Hipervnculo"/>
                <w:noProof/>
              </w:rPr>
              <w:t>B.</w:t>
            </w:r>
            <w:r>
              <w:rPr>
                <w:rFonts w:eastAsiaTheme="minorEastAsia" w:cstheme="minorBidi"/>
                <w:b w:val="0"/>
                <w:bCs w:val="0"/>
                <w:i w:val="0"/>
                <w:iCs w:val="0"/>
                <w:noProof/>
                <w:lang w:val="es-ES" w:eastAsia="es-ES"/>
                <w14:ligatures w14:val="standardContextual"/>
              </w:rPr>
              <w:tab/>
            </w:r>
            <w:r w:rsidRPr="00D20AC1">
              <w:rPr>
                <w:rStyle w:val="Hipervnculo"/>
                <w:noProof/>
              </w:rPr>
              <w:t>Falta de reparación en casos de justicia transicional (Lista de temas, Acceso a la justicia, párr. 27)</w:t>
            </w:r>
            <w:r>
              <w:rPr>
                <w:noProof/>
                <w:webHidden/>
              </w:rPr>
              <w:tab/>
            </w:r>
            <w:r>
              <w:rPr>
                <w:noProof/>
                <w:webHidden/>
              </w:rPr>
              <w:fldChar w:fldCharType="begin"/>
            </w:r>
            <w:r>
              <w:rPr>
                <w:noProof/>
                <w:webHidden/>
              </w:rPr>
              <w:instrText xml:space="preserve"> PAGEREF _Toc211498213 \h </w:instrText>
            </w:r>
            <w:r>
              <w:rPr>
                <w:noProof/>
                <w:webHidden/>
              </w:rPr>
            </w:r>
            <w:r>
              <w:rPr>
                <w:noProof/>
                <w:webHidden/>
              </w:rPr>
              <w:fldChar w:fldCharType="separate"/>
            </w:r>
            <w:r>
              <w:rPr>
                <w:noProof/>
                <w:webHidden/>
              </w:rPr>
              <w:t>6</w:t>
            </w:r>
            <w:r>
              <w:rPr>
                <w:noProof/>
                <w:webHidden/>
              </w:rPr>
              <w:fldChar w:fldCharType="end"/>
            </w:r>
          </w:hyperlink>
        </w:p>
        <w:p w14:paraId="214CA18B" w14:textId="49FDC9E8" w:rsidR="00180C27" w:rsidRDefault="00180C27">
          <w:pPr>
            <w:pStyle w:val="TDC1"/>
            <w:tabs>
              <w:tab w:val="left" w:pos="480"/>
              <w:tab w:val="right" w:leader="dot" w:pos="8262"/>
            </w:tabs>
            <w:rPr>
              <w:rFonts w:eastAsiaTheme="minorEastAsia" w:cstheme="minorBidi"/>
              <w:b w:val="0"/>
              <w:bCs w:val="0"/>
              <w:i w:val="0"/>
              <w:iCs w:val="0"/>
              <w:noProof/>
              <w:lang w:val="es-ES" w:eastAsia="es-ES"/>
              <w14:ligatures w14:val="standardContextual"/>
            </w:rPr>
          </w:pPr>
          <w:hyperlink w:anchor="_Toc211498214" w:history="1">
            <w:r w:rsidRPr="00D20AC1">
              <w:rPr>
                <w:rStyle w:val="Hipervnculo"/>
                <w:noProof/>
                <w:lang w:val="es-GT"/>
              </w:rPr>
              <w:t>C.</w:t>
            </w:r>
            <w:r>
              <w:rPr>
                <w:rFonts w:eastAsiaTheme="minorEastAsia" w:cstheme="minorBidi"/>
                <w:b w:val="0"/>
                <w:bCs w:val="0"/>
                <w:i w:val="0"/>
                <w:iCs w:val="0"/>
                <w:noProof/>
                <w:lang w:val="es-ES" w:eastAsia="es-ES"/>
                <w14:ligatures w14:val="standardContextual"/>
              </w:rPr>
              <w:tab/>
            </w:r>
            <w:r w:rsidRPr="00D20AC1">
              <w:rPr>
                <w:rStyle w:val="Hipervnculo"/>
                <w:noProof/>
                <w:lang w:val="es-GT"/>
              </w:rPr>
              <w:t>Incumplimiento de sentencias en el ámbito penal relacionadas con mujeres indígenas (Lista de temas Situación de los pueblos indígenas y afrodescendientes, párr. 23)</w:t>
            </w:r>
            <w:r>
              <w:rPr>
                <w:noProof/>
                <w:webHidden/>
              </w:rPr>
              <w:tab/>
            </w:r>
            <w:r>
              <w:rPr>
                <w:noProof/>
                <w:webHidden/>
              </w:rPr>
              <w:fldChar w:fldCharType="begin"/>
            </w:r>
            <w:r>
              <w:rPr>
                <w:noProof/>
                <w:webHidden/>
              </w:rPr>
              <w:instrText xml:space="preserve"> PAGEREF _Toc211498214 \h </w:instrText>
            </w:r>
            <w:r>
              <w:rPr>
                <w:noProof/>
                <w:webHidden/>
              </w:rPr>
            </w:r>
            <w:r>
              <w:rPr>
                <w:noProof/>
                <w:webHidden/>
              </w:rPr>
              <w:fldChar w:fldCharType="separate"/>
            </w:r>
            <w:r>
              <w:rPr>
                <w:noProof/>
                <w:webHidden/>
              </w:rPr>
              <w:t>7</w:t>
            </w:r>
            <w:r>
              <w:rPr>
                <w:noProof/>
                <w:webHidden/>
              </w:rPr>
              <w:fldChar w:fldCharType="end"/>
            </w:r>
          </w:hyperlink>
        </w:p>
        <w:p w14:paraId="13DE1875" w14:textId="77C1E1B8" w:rsidR="00180C27" w:rsidRDefault="00180C27">
          <w:pPr>
            <w:pStyle w:val="TDC1"/>
            <w:tabs>
              <w:tab w:val="left" w:pos="480"/>
              <w:tab w:val="right" w:leader="dot" w:pos="8262"/>
            </w:tabs>
            <w:rPr>
              <w:rFonts w:eastAsiaTheme="minorEastAsia" w:cstheme="minorBidi"/>
              <w:b w:val="0"/>
              <w:bCs w:val="0"/>
              <w:i w:val="0"/>
              <w:iCs w:val="0"/>
              <w:noProof/>
              <w:lang w:val="es-ES" w:eastAsia="es-ES"/>
              <w14:ligatures w14:val="standardContextual"/>
            </w:rPr>
          </w:pPr>
          <w:hyperlink w:anchor="_Toc211498215" w:history="1">
            <w:r w:rsidRPr="00D20AC1">
              <w:rPr>
                <w:rStyle w:val="Hipervnculo"/>
                <w:noProof/>
                <w:lang w:val="es-GT"/>
              </w:rPr>
              <w:t>D.</w:t>
            </w:r>
            <w:r>
              <w:rPr>
                <w:rFonts w:eastAsiaTheme="minorEastAsia" w:cstheme="minorBidi"/>
                <w:b w:val="0"/>
                <w:bCs w:val="0"/>
                <w:i w:val="0"/>
                <w:iCs w:val="0"/>
                <w:noProof/>
                <w:lang w:val="es-ES" w:eastAsia="es-ES"/>
                <w14:ligatures w14:val="standardContextual"/>
              </w:rPr>
              <w:tab/>
            </w:r>
            <w:r w:rsidRPr="00D20AC1">
              <w:rPr>
                <w:rStyle w:val="Hipervnculo"/>
                <w:noProof/>
                <w:lang w:val="es-GT"/>
              </w:rPr>
              <w:t>Desafíos en el cumplimiento de sentencias en la vía constitucional (listado de temas, acceso a la justicia, párr. 27; situación de los pueblos indígenas y afrodescendientes, párr. 16).</w:t>
            </w:r>
            <w:r>
              <w:rPr>
                <w:noProof/>
                <w:webHidden/>
              </w:rPr>
              <w:tab/>
            </w:r>
            <w:r>
              <w:rPr>
                <w:noProof/>
                <w:webHidden/>
              </w:rPr>
              <w:fldChar w:fldCharType="begin"/>
            </w:r>
            <w:r>
              <w:rPr>
                <w:noProof/>
                <w:webHidden/>
              </w:rPr>
              <w:instrText xml:space="preserve"> PAGEREF _Toc211498215 \h </w:instrText>
            </w:r>
            <w:r>
              <w:rPr>
                <w:noProof/>
                <w:webHidden/>
              </w:rPr>
            </w:r>
            <w:r>
              <w:rPr>
                <w:noProof/>
                <w:webHidden/>
              </w:rPr>
              <w:fldChar w:fldCharType="separate"/>
            </w:r>
            <w:r>
              <w:rPr>
                <w:noProof/>
                <w:webHidden/>
              </w:rPr>
              <w:t>9</w:t>
            </w:r>
            <w:r>
              <w:rPr>
                <w:noProof/>
                <w:webHidden/>
              </w:rPr>
              <w:fldChar w:fldCharType="end"/>
            </w:r>
          </w:hyperlink>
        </w:p>
        <w:p w14:paraId="4A5CF481" w14:textId="04A4B430" w:rsidR="00180C27" w:rsidRDefault="00180C27">
          <w:pPr>
            <w:pStyle w:val="TDC1"/>
            <w:tabs>
              <w:tab w:val="left" w:pos="480"/>
              <w:tab w:val="right" w:leader="dot" w:pos="8262"/>
            </w:tabs>
            <w:rPr>
              <w:rFonts w:eastAsiaTheme="minorEastAsia" w:cstheme="minorBidi"/>
              <w:b w:val="0"/>
              <w:bCs w:val="0"/>
              <w:i w:val="0"/>
              <w:iCs w:val="0"/>
              <w:noProof/>
              <w:lang w:val="es-ES" w:eastAsia="es-ES"/>
              <w14:ligatures w14:val="standardContextual"/>
            </w:rPr>
          </w:pPr>
          <w:hyperlink w:anchor="_Toc211498216" w:history="1">
            <w:r w:rsidRPr="00D20AC1">
              <w:rPr>
                <w:rStyle w:val="Hipervnculo"/>
                <w:noProof/>
              </w:rPr>
              <w:t>E.</w:t>
            </w:r>
            <w:r>
              <w:rPr>
                <w:rFonts w:eastAsiaTheme="minorEastAsia" w:cstheme="minorBidi"/>
                <w:b w:val="0"/>
                <w:bCs w:val="0"/>
                <w:i w:val="0"/>
                <w:iCs w:val="0"/>
                <w:noProof/>
                <w:lang w:val="es-ES" w:eastAsia="es-ES"/>
                <w14:ligatures w14:val="standardContextual"/>
              </w:rPr>
              <w:tab/>
            </w:r>
            <w:r w:rsidRPr="00D20AC1">
              <w:rPr>
                <w:rStyle w:val="Hipervnculo"/>
                <w:noProof/>
              </w:rPr>
              <w:t>Falta de reparación a personas defensoras de derechos humanos criminalizadas (</w:t>
            </w:r>
            <w:r w:rsidRPr="00D20AC1">
              <w:rPr>
                <w:rStyle w:val="Hipervnculo"/>
                <w:noProof/>
                <w:lang w:val="es-GT"/>
              </w:rPr>
              <w:t>listado de temas, acceso a la justicia, párrs. 13 y  27)</w:t>
            </w:r>
            <w:r>
              <w:rPr>
                <w:noProof/>
                <w:webHidden/>
              </w:rPr>
              <w:tab/>
            </w:r>
            <w:r>
              <w:rPr>
                <w:noProof/>
                <w:webHidden/>
              </w:rPr>
              <w:fldChar w:fldCharType="begin"/>
            </w:r>
            <w:r>
              <w:rPr>
                <w:noProof/>
                <w:webHidden/>
              </w:rPr>
              <w:instrText xml:space="preserve"> PAGEREF _Toc211498216 \h </w:instrText>
            </w:r>
            <w:r>
              <w:rPr>
                <w:noProof/>
                <w:webHidden/>
              </w:rPr>
            </w:r>
            <w:r>
              <w:rPr>
                <w:noProof/>
                <w:webHidden/>
              </w:rPr>
              <w:fldChar w:fldCharType="separate"/>
            </w:r>
            <w:r>
              <w:rPr>
                <w:noProof/>
                <w:webHidden/>
              </w:rPr>
              <w:t>12</w:t>
            </w:r>
            <w:r>
              <w:rPr>
                <w:noProof/>
                <w:webHidden/>
              </w:rPr>
              <w:fldChar w:fldCharType="end"/>
            </w:r>
          </w:hyperlink>
        </w:p>
        <w:p w14:paraId="6B1CD4F3" w14:textId="6D9CC004" w:rsidR="00180C27" w:rsidRDefault="00180C27">
          <w:pPr>
            <w:pStyle w:val="TDC1"/>
            <w:tabs>
              <w:tab w:val="right" w:leader="dot" w:pos="8262"/>
            </w:tabs>
            <w:rPr>
              <w:rFonts w:eastAsiaTheme="minorEastAsia" w:cstheme="minorBidi"/>
              <w:b w:val="0"/>
              <w:bCs w:val="0"/>
              <w:i w:val="0"/>
              <w:iCs w:val="0"/>
              <w:noProof/>
              <w:lang w:val="es-ES" w:eastAsia="es-ES"/>
              <w14:ligatures w14:val="standardContextual"/>
            </w:rPr>
          </w:pPr>
          <w:hyperlink w:anchor="_Toc211498217" w:history="1">
            <w:r w:rsidRPr="00D20AC1">
              <w:rPr>
                <w:rStyle w:val="Hipervnculo"/>
                <w:noProof/>
              </w:rPr>
              <w:t>F. Racismo judicial y criminalización (listado de temas, situación de los pueblos indígenas y afrodescendientes, párrs. 12 y 17)</w:t>
            </w:r>
            <w:r>
              <w:rPr>
                <w:noProof/>
                <w:webHidden/>
              </w:rPr>
              <w:tab/>
            </w:r>
            <w:r>
              <w:rPr>
                <w:noProof/>
                <w:webHidden/>
              </w:rPr>
              <w:fldChar w:fldCharType="begin"/>
            </w:r>
            <w:r>
              <w:rPr>
                <w:noProof/>
                <w:webHidden/>
              </w:rPr>
              <w:instrText xml:space="preserve"> PAGEREF _Toc211498217 \h </w:instrText>
            </w:r>
            <w:r>
              <w:rPr>
                <w:noProof/>
                <w:webHidden/>
              </w:rPr>
            </w:r>
            <w:r>
              <w:rPr>
                <w:noProof/>
                <w:webHidden/>
              </w:rPr>
              <w:fldChar w:fldCharType="separate"/>
            </w:r>
            <w:r>
              <w:rPr>
                <w:noProof/>
                <w:webHidden/>
              </w:rPr>
              <w:t>15</w:t>
            </w:r>
            <w:r>
              <w:rPr>
                <w:noProof/>
                <w:webHidden/>
              </w:rPr>
              <w:fldChar w:fldCharType="end"/>
            </w:r>
          </w:hyperlink>
        </w:p>
        <w:p w14:paraId="4C22512F" w14:textId="7BF8C6B6" w:rsidR="00180C27" w:rsidRDefault="00180C27">
          <w:pPr>
            <w:pStyle w:val="TDC1"/>
            <w:tabs>
              <w:tab w:val="right" w:leader="dot" w:pos="8262"/>
            </w:tabs>
            <w:rPr>
              <w:rFonts w:eastAsiaTheme="minorEastAsia" w:cstheme="minorBidi"/>
              <w:b w:val="0"/>
              <w:bCs w:val="0"/>
              <w:i w:val="0"/>
              <w:iCs w:val="0"/>
              <w:noProof/>
              <w:lang w:val="es-ES" w:eastAsia="es-ES"/>
              <w14:ligatures w14:val="standardContextual"/>
            </w:rPr>
          </w:pPr>
          <w:hyperlink w:anchor="_Toc211498218" w:history="1">
            <w:r w:rsidRPr="00D20AC1">
              <w:rPr>
                <w:rStyle w:val="Hipervnculo"/>
                <w:noProof/>
              </w:rPr>
              <w:t>Recomendaciones</w:t>
            </w:r>
            <w:r>
              <w:rPr>
                <w:noProof/>
                <w:webHidden/>
              </w:rPr>
              <w:tab/>
            </w:r>
            <w:r>
              <w:rPr>
                <w:noProof/>
                <w:webHidden/>
              </w:rPr>
              <w:fldChar w:fldCharType="begin"/>
            </w:r>
            <w:r>
              <w:rPr>
                <w:noProof/>
                <w:webHidden/>
              </w:rPr>
              <w:instrText xml:space="preserve"> PAGEREF _Toc211498218 \h </w:instrText>
            </w:r>
            <w:r>
              <w:rPr>
                <w:noProof/>
                <w:webHidden/>
              </w:rPr>
            </w:r>
            <w:r>
              <w:rPr>
                <w:noProof/>
                <w:webHidden/>
              </w:rPr>
              <w:fldChar w:fldCharType="separate"/>
            </w:r>
            <w:r>
              <w:rPr>
                <w:noProof/>
                <w:webHidden/>
              </w:rPr>
              <w:t>17</w:t>
            </w:r>
            <w:r>
              <w:rPr>
                <w:noProof/>
                <w:webHidden/>
              </w:rPr>
              <w:fldChar w:fldCharType="end"/>
            </w:r>
          </w:hyperlink>
        </w:p>
        <w:p w14:paraId="5B9148EC" w14:textId="2C5B2E3A" w:rsidR="00180C27" w:rsidRDefault="00180C27">
          <w:pPr>
            <w:pStyle w:val="TDC1"/>
            <w:tabs>
              <w:tab w:val="right" w:leader="dot" w:pos="8262"/>
            </w:tabs>
            <w:rPr>
              <w:rFonts w:eastAsiaTheme="minorEastAsia" w:cstheme="minorBidi"/>
              <w:b w:val="0"/>
              <w:bCs w:val="0"/>
              <w:i w:val="0"/>
              <w:iCs w:val="0"/>
              <w:noProof/>
              <w:lang w:val="es-ES" w:eastAsia="es-ES"/>
              <w14:ligatures w14:val="standardContextual"/>
            </w:rPr>
          </w:pPr>
          <w:hyperlink w:anchor="_Toc211498219" w:history="1">
            <w:r w:rsidRPr="00D20AC1">
              <w:rPr>
                <w:rStyle w:val="Hipervnculo"/>
                <w:noProof/>
                <w:lang w:val="es-GT"/>
              </w:rPr>
              <w:t>Anexo</w:t>
            </w:r>
            <w:r>
              <w:rPr>
                <w:noProof/>
                <w:webHidden/>
              </w:rPr>
              <w:tab/>
            </w:r>
            <w:r>
              <w:rPr>
                <w:noProof/>
                <w:webHidden/>
              </w:rPr>
              <w:fldChar w:fldCharType="begin"/>
            </w:r>
            <w:r>
              <w:rPr>
                <w:noProof/>
                <w:webHidden/>
              </w:rPr>
              <w:instrText xml:space="preserve"> PAGEREF _Toc211498219 \h </w:instrText>
            </w:r>
            <w:r>
              <w:rPr>
                <w:noProof/>
                <w:webHidden/>
              </w:rPr>
            </w:r>
            <w:r>
              <w:rPr>
                <w:noProof/>
                <w:webHidden/>
              </w:rPr>
              <w:fldChar w:fldCharType="separate"/>
            </w:r>
            <w:r>
              <w:rPr>
                <w:noProof/>
                <w:webHidden/>
              </w:rPr>
              <w:t>18</w:t>
            </w:r>
            <w:r>
              <w:rPr>
                <w:noProof/>
                <w:webHidden/>
              </w:rPr>
              <w:fldChar w:fldCharType="end"/>
            </w:r>
          </w:hyperlink>
        </w:p>
        <w:p w14:paraId="6FA75F32" w14:textId="181DBE13" w:rsidR="00180C27" w:rsidRDefault="00180C27">
          <w:pPr>
            <w:pStyle w:val="TDC2"/>
            <w:tabs>
              <w:tab w:val="right" w:leader="dot" w:pos="8262"/>
            </w:tabs>
            <w:rPr>
              <w:rFonts w:eastAsiaTheme="minorEastAsia" w:cstheme="minorBidi"/>
              <w:b w:val="0"/>
              <w:bCs w:val="0"/>
              <w:noProof/>
              <w:sz w:val="24"/>
              <w:szCs w:val="24"/>
              <w:lang w:val="es-ES" w:eastAsia="es-ES"/>
              <w14:ligatures w14:val="standardContextual"/>
            </w:rPr>
          </w:pPr>
          <w:hyperlink w:anchor="_Toc211498220" w:history="1">
            <w:r w:rsidRPr="00D20AC1">
              <w:rPr>
                <w:rStyle w:val="Hipervnculo"/>
                <w:noProof/>
                <w:lang w:val="es-GT"/>
              </w:rPr>
              <w:t>Consentimiento de organizaciones y personas cuyos casos se mencionan en el infome.</w:t>
            </w:r>
            <w:r>
              <w:rPr>
                <w:noProof/>
                <w:webHidden/>
              </w:rPr>
              <w:tab/>
            </w:r>
            <w:r>
              <w:rPr>
                <w:noProof/>
                <w:webHidden/>
              </w:rPr>
              <w:fldChar w:fldCharType="begin"/>
            </w:r>
            <w:r>
              <w:rPr>
                <w:noProof/>
                <w:webHidden/>
              </w:rPr>
              <w:instrText xml:space="preserve"> PAGEREF _Toc211498220 \h </w:instrText>
            </w:r>
            <w:r>
              <w:rPr>
                <w:noProof/>
                <w:webHidden/>
              </w:rPr>
            </w:r>
            <w:r>
              <w:rPr>
                <w:noProof/>
                <w:webHidden/>
              </w:rPr>
              <w:fldChar w:fldCharType="separate"/>
            </w:r>
            <w:r>
              <w:rPr>
                <w:noProof/>
                <w:webHidden/>
              </w:rPr>
              <w:t>18</w:t>
            </w:r>
            <w:r>
              <w:rPr>
                <w:noProof/>
                <w:webHidden/>
              </w:rPr>
              <w:fldChar w:fldCharType="end"/>
            </w:r>
          </w:hyperlink>
        </w:p>
        <w:p w14:paraId="37285FA5" w14:textId="02FBFCBA" w:rsidR="00C361D4" w:rsidRDefault="007A06D3">
          <w:r w:rsidRPr="004D1708">
            <w:rPr>
              <w:b/>
              <w:bCs/>
              <w:noProof/>
            </w:rPr>
            <w:fldChar w:fldCharType="end"/>
          </w:r>
        </w:p>
      </w:sdtContent>
    </w:sdt>
    <w:p w14:paraId="22EA13C9" w14:textId="77777777" w:rsidR="00A415F0" w:rsidRDefault="00A415F0" w:rsidP="00997F84">
      <w:pPr>
        <w:rPr>
          <w:rFonts w:asciiTheme="majorBidi" w:hAnsiTheme="majorBidi" w:cstheme="majorBidi"/>
          <w:b/>
          <w:bCs/>
          <w:color w:val="000000" w:themeColor="text1"/>
          <w:lang w:val="es-MX"/>
        </w:rPr>
      </w:pPr>
    </w:p>
    <w:p w14:paraId="0905CD81" w14:textId="77777777" w:rsidR="00A415F0" w:rsidRDefault="00A415F0" w:rsidP="00997F84">
      <w:pPr>
        <w:rPr>
          <w:rFonts w:asciiTheme="majorBidi" w:hAnsiTheme="majorBidi" w:cstheme="majorBidi"/>
          <w:b/>
          <w:bCs/>
          <w:color w:val="000000" w:themeColor="text1"/>
          <w:lang w:val="es-MX"/>
        </w:rPr>
      </w:pPr>
    </w:p>
    <w:p w14:paraId="3EA98C47" w14:textId="77777777" w:rsidR="00A415F0" w:rsidRDefault="00A415F0" w:rsidP="00997F84">
      <w:pPr>
        <w:rPr>
          <w:rFonts w:asciiTheme="majorBidi" w:hAnsiTheme="majorBidi" w:cstheme="majorBidi"/>
          <w:b/>
          <w:bCs/>
          <w:color w:val="000000" w:themeColor="text1"/>
          <w:lang w:val="es-MX"/>
        </w:rPr>
      </w:pPr>
    </w:p>
    <w:p w14:paraId="09776566" w14:textId="77777777" w:rsidR="00A415F0" w:rsidRDefault="00A415F0" w:rsidP="00997F84">
      <w:pPr>
        <w:rPr>
          <w:rFonts w:asciiTheme="majorBidi" w:hAnsiTheme="majorBidi" w:cstheme="majorBidi"/>
          <w:b/>
          <w:bCs/>
          <w:color w:val="000000" w:themeColor="text1"/>
          <w:lang w:val="es-MX"/>
        </w:rPr>
      </w:pPr>
    </w:p>
    <w:p w14:paraId="4479B938" w14:textId="77777777" w:rsidR="00A415F0" w:rsidRDefault="00A415F0" w:rsidP="00997F84">
      <w:pPr>
        <w:rPr>
          <w:rFonts w:asciiTheme="majorBidi" w:hAnsiTheme="majorBidi" w:cstheme="majorBidi"/>
          <w:b/>
          <w:bCs/>
          <w:color w:val="000000" w:themeColor="text1"/>
          <w:lang w:val="es-MX"/>
        </w:rPr>
      </w:pPr>
    </w:p>
    <w:p w14:paraId="0CC377E8" w14:textId="77777777" w:rsidR="003A3E5B" w:rsidRDefault="003A3E5B" w:rsidP="00997F84">
      <w:pPr>
        <w:rPr>
          <w:rFonts w:asciiTheme="majorBidi" w:hAnsiTheme="majorBidi" w:cstheme="majorBidi"/>
          <w:b/>
          <w:bCs/>
          <w:color w:val="000000" w:themeColor="text1"/>
          <w:lang w:val="es-MX"/>
        </w:rPr>
      </w:pPr>
    </w:p>
    <w:p w14:paraId="41DBBB99" w14:textId="77777777" w:rsidR="003A3E5B" w:rsidRDefault="003A3E5B" w:rsidP="00997F84">
      <w:pPr>
        <w:rPr>
          <w:rFonts w:asciiTheme="majorBidi" w:hAnsiTheme="majorBidi" w:cstheme="majorBidi"/>
          <w:b/>
          <w:bCs/>
          <w:color w:val="000000" w:themeColor="text1"/>
          <w:lang w:val="es-MX"/>
        </w:rPr>
      </w:pPr>
    </w:p>
    <w:p w14:paraId="19596A40" w14:textId="77777777" w:rsidR="003A3E5B" w:rsidRDefault="003A3E5B" w:rsidP="00997F84">
      <w:pPr>
        <w:rPr>
          <w:rFonts w:asciiTheme="majorBidi" w:hAnsiTheme="majorBidi" w:cstheme="majorBidi"/>
          <w:b/>
          <w:bCs/>
          <w:color w:val="000000" w:themeColor="text1"/>
          <w:lang w:val="es-MX"/>
        </w:rPr>
      </w:pPr>
    </w:p>
    <w:p w14:paraId="27D45008" w14:textId="5381104E" w:rsidR="00997F84" w:rsidRDefault="00997F84" w:rsidP="00E808BA">
      <w:pPr>
        <w:pStyle w:val="Ttulo1"/>
        <w:jc w:val="center"/>
        <w:rPr>
          <w:lang w:val="es-MX"/>
        </w:rPr>
      </w:pPr>
      <w:bookmarkStart w:id="0" w:name="_Toc211498211"/>
      <w:r>
        <w:rPr>
          <w:lang w:val="es-MX"/>
        </w:rPr>
        <w:lastRenderedPageBreak/>
        <w:t>Introducción</w:t>
      </w:r>
      <w:bookmarkEnd w:id="0"/>
    </w:p>
    <w:p w14:paraId="170F0525" w14:textId="77777777" w:rsidR="00997F84" w:rsidRDefault="00997F84" w:rsidP="00997F84">
      <w:pPr>
        <w:rPr>
          <w:lang w:val="es-MX"/>
        </w:rPr>
      </w:pPr>
    </w:p>
    <w:p w14:paraId="364525CC" w14:textId="34A61BED" w:rsidR="00031C83" w:rsidRPr="00031C83" w:rsidRDefault="002942A3" w:rsidP="00031C83">
      <w:pPr>
        <w:pStyle w:val="Prrafodelista"/>
        <w:numPr>
          <w:ilvl w:val="0"/>
          <w:numId w:val="5"/>
        </w:numPr>
        <w:jc w:val="both"/>
      </w:pPr>
      <w:r w:rsidRPr="00B4793A">
        <w:t>De acuerdo con la lista</w:t>
      </w:r>
      <w:r w:rsidR="00031C83">
        <w:t xml:space="preserve"> de temas</w:t>
      </w:r>
      <w:r w:rsidRPr="00B4793A">
        <w:t xml:space="preserve"> relativa a los informes periódicos 18º a 20º combinados de Guatemala</w:t>
      </w:r>
      <w:r w:rsidR="00031C83">
        <w:t xml:space="preserve"> emitida por el Comité CERD</w:t>
      </w:r>
      <w:r w:rsidRPr="00B4793A">
        <w:t xml:space="preserve">, y tomando como eje transversal el derecho a la reparación que tienen las víctimas de violaciones a los derechos humanos, vinculados con el derecho a la igualdad y no discriminación,  tierra y territorio y acceso a la justicia, se realizan las siguientes </w:t>
      </w:r>
      <w:r w:rsidR="001F4F0A">
        <w:t>recomendaciones</w:t>
      </w:r>
      <w:r w:rsidR="00883DC3" w:rsidRPr="00B4793A">
        <w:t>, a partir de la necesidad que el Estado de Guatemala repare de manera integral a las comunidades y personas defensoras de derechos humanos</w:t>
      </w:r>
      <w:r w:rsidR="0073254F">
        <w:t xml:space="preserve"> y del territorio</w:t>
      </w:r>
      <w:r w:rsidR="00883DC3" w:rsidRPr="00B4793A">
        <w:t xml:space="preserve">. </w:t>
      </w:r>
    </w:p>
    <w:p w14:paraId="15C7D648" w14:textId="47EB930E" w:rsidR="00031C83" w:rsidRPr="00031C83" w:rsidRDefault="003A3E5B" w:rsidP="00031C83">
      <w:pPr>
        <w:pStyle w:val="Prrafodelista"/>
        <w:numPr>
          <w:ilvl w:val="0"/>
          <w:numId w:val="5"/>
        </w:numPr>
        <w:jc w:val="both"/>
      </w:pPr>
      <w:r w:rsidRPr="00B4793A">
        <w:t xml:space="preserve">Lamentablemente, en Guatemala las violaciones </w:t>
      </w:r>
      <w:r w:rsidR="00B83DA6" w:rsidRPr="00B4793A">
        <w:t>a</w:t>
      </w:r>
      <w:r w:rsidRPr="00B4793A">
        <w:t xml:space="preserve"> derechos de los pueblos indígenas han sido una constante en la historia del país</w:t>
      </w:r>
      <w:r w:rsidR="00031C83">
        <w:t>.</w:t>
      </w:r>
      <w:r w:rsidR="0073254F">
        <w:t xml:space="preserve"> </w:t>
      </w:r>
      <w:r w:rsidR="00031C83" w:rsidRPr="00B4793A">
        <w:t xml:space="preserve">En el 2003 se creó el Programa Nacional de Resarcimiento, que surgió como un compromiso de los Acuerdos de Paz como un mecanismo administrativo de reparación; sin embargo 20 años después fue cancelado y sus avances no fueron sustanciales, tal como se reporta en el </w:t>
      </w:r>
      <w:r w:rsidR="005909FC">
        <w:t>I</w:t>
      </w:r>
      <w:r w:rsidR="005909FC" w:rsidRPr="00B4793A">
        <w:t>nforme 20</w:t>
      </w:r>
      <w:r w:rsidR="005909FC">
        <w:rPr>
          <w:i/>
          <w:iCs/>
        </w:rPr>
        <w:t xml:space="preserve"> </w:t>
      </w:r>
      <w:r w:rsidR="00031C83" w:rsidRPr="00B4793A">
        <w:rPr>
          <w:i/>
          <w:iCs/>
        </w:rPr>
        <w:t>Años del PNR: Impacto del Programa Nacional de Resarcimiento para las víctimas del conflicto armado de Guatemala</w:t>
      </w:r>
      <w:r w:rsidR="00031C83" w:rsidRPr="00B4793A">
        <w:t xml:space="preserve">, elaborado por </w:t>
      </w:r>
      <w:proofErr w:type="spellStart"/>
      <w:r w:rsidR="00031C83" w:rsidRPr="00B4793A">
        <w:t>Impunity</w:t>
      </w:r>
      <w:proofErr w:type="spellEnd"/>
      <w:r w:rsidR="00031C83" w:rsidRPr="00B4793A">
        <w:t xml:space="preserve"> </w:t>
      </w:r>
      <w:proofErr w:type="spellStart"/>
      <w:r w:rsidR="00031C83" w:rsidRPr="00B4793A">
        <w:t>Watch</w:t>
      </w:r>
      <w:proofErr w:type="spellEnd"/>
      <w:r w:rsidR="00031C83">
        <w:rPr>
          <w:rStyle w:val="Refdenotaalpie"/>
        </w:rPr>
        <w:footnoteReference w:id="1"/>
      </w:r>
      <w:r w:rsidR="00031C83" w:rsidRPr="00B4793A">
        <w:t xml:space="preserve">. </w:t>
      </w:r>
    </w:p>
    <w:p w14:paraId="2E745376" w14:textId="7A205989" w:rsidR="00B83DA6" w:rsidRPr="004D1708" w:rsidRDefault="003552B2" w:rsidP="002942A3">
      <w:pPr>
        <w:pStyle w:val="Prrafodelista"/>
        <w:numPr>
          <w:ilvl w:val="0"/>
          <w:numId w:val="5"/>
        </w:numPr>
        <w:jc w:val="both"/>
      </w:pPr>
      <w:r w:rsidRPr="00B4793A">
        <w:t>En la vía judicial, p</w:t>
      </w:r>
      <w:r w:rsidR="00B83DA6" w:rsidRPr="00B4793A">
        <w:t xml:space="preserve">ara que las víctimas de violaciones a derechos humanos puedan acceder a una reparación, deben denunciar estos hechos y seguir un proceso penal, conseguir una sentencia condenatoria que habilita la realización de una audiencia de reparación digna y </w:t>
      </w:r>
      <w:r w:rsidRPr="00B4793A">
        <w:t>en esa audiencia</w:t>
      </w:r>
      <w:r w:rsidR="00B83DA6" w:rsidRPr="00B4793A">
        <w:t xml:space="preserve"> solicitar medidas de reparación. </w:t>
      </w:r>
      <w:r w:rsidR="005909FC" w:rsidRPr="00B4793A">
        <w:t>Ha</w:t>
      </w:r>
      <w:r w:rsidR="00B83DA6" w:rsidRPr="00B4793A">
        <w:t xml:space="preserve"> habido experiencias en donde las personas han </w:t>
      </w:r>
      <w:r w:rsidR="009A6F3A" w:rsidRPr="00B4793A">
        <w:t>ejerci</w:t>
      </w:r>
      <w:r w:rsidR="005909FC">
        <w:t>do</w:t>
      </w:r>
      <w:r w:rsidR="00B83DA6" w:rsidRPr="00B4793A">
        <w:t xml:space="preserve"> este derecho y se les han otorgado medidas de reparación </w:t>
      </w:r>
      <w:proofErr w:type="gramStart"/>
      <w:r w:rsidR="00B83DA6" w:rsidRPr="00B4793A">
        <w:t>transformadora</w:t>
      </w:r>
      <w:proofErr w:type="gramEnd"/>
      <w:r w:rsidR="00B83DA6" w:rsidRPr="00B4793A">
        <w:t xml:space="preserve"> pero estas no se cumplen porque no hay un órgano encargado de darle seguimiento al cumplimiento de estas medidas. </w:t>
      </w:r>
    </w:p>
    <w:p w14:paraId="3FB29E66" w14:textId="77777777" w:rsidR="00B83DA6" w:rsidRPr="004D1708" w:rsidRDefault="00B83DA6" w:rsidP="002942A3">
      <w:pPr>
        <w:pStyle w:val="Prrafodelista"/>
        <w:numPr>
          <w:ilvl w:val="0"/>
          <w:numId w:val="5"/>
        </w:numPr>
        <w:jc w:val="both"/>
      </w:pPr>
      <w:r w:rsidRPr="00B4793A">
        <w:t xml:space="preserve">La legislación guatemalteca contempla y regula la función de los órganos </w:t>
      </w:r>
      <w:r w:rsidR="009A6F3A" w:rsidRPr="00B4793A">
        <w:t>jurisdiccionales</w:t>
      </w:r>
      <w:r w:rsidRPr="00B4793A">
        <w:t xml:space="preserve"> de ejecución, que son los que velan por el cumplimiento de las penas para las personas que han recibido una sentencia condenatoria pero solo realizan el cómputo de los años de prisión que se le ha fijado a una persona condenada o el pago de multa si fue impuesta esta sanción. En algunos casos, velan por el pago de la reparación económica pero no de otras medidas relacionadas con la rehabilitación, satisfacción, restitución y las medidas de no repetición. </w:t>
      </w:r>
    </w:p>
    <w:p w14:paraId="4273824D" w14:textId="77777777" w:rsidR="00B83DA6" w:rsidRPr="004D1708" w:rsidRDefault="00B83DA6" w:rsidP="002942A3">
      <w:pPr>
        <w:pStyle w:val="Prrafodelista"/>
        <w:numPr>
          <w:ilvl w:val="0"/>
          <w:numId w:val="5"/>
        </w:numPr>
        <w:jc w:val="both"/>
      </w:pPr>
      <w:r w:rsidRPr="00B4793A">
        <w:t xml:space="preserve">Otro mecanismo que tienen las personas víctimas de violaciones a sus derechos </w:t>
      </w:r>
      <w:r w:rsidR="003552B2" w:rsidRPr="00B4793A">
        <w:t>para obte</w:t>
      </w:r>
      <w:r w:rsidR="009A6F3A">
        <w:t>ne</w:t>
      </w:r>
      <w:r w:rsidR="003552B2" w:rsidRPr="00B4793A">
        <w:t xml:space="preserve">r reparación </w:t>
      </w:r>
      <w:r w:rsidRPr="00B4793A">
        <w:t xml:space="preserve">es acudir a la vía civil a demandar el pago de daños y perjuicios, pero en esta vía, las resoluciones se limitan al pago de una </w:t>
      </w:r>
      <w:r w:rsidRPr="00B4793A">
        <w:lastRenderedPageBreak/>
        <w:t xml:space="preserve">indemnización económica con el agravante que un proceso de esta naturaleza puede durar más de diez años. </w:t>
      </w:r>
    </w:p>
    <w:p w14:paraId="645A963E" w14:textId="43E81DA3" w:rsidR="00997F84" w:rsidRDefault="00B83DA6" w:rsidP="00670D83">
      <w:pPr>
        <w:pStyle w:val="Prrafodelista"/>
        <w:numPr>
          <w:ilvl w:val="0"/>
          <w:numId w:val="5"/>
        </w:numPr>
        <w:jc w:val="both"/>
      </w:pPr>
      <w:r w:rsidRPr="00B4793A">
        <w:t xml:space="preserve">Actualmente, el </w:t>
      </w:r>
      <w:r w:rsidR="009A6F3A" w:rsidRPr="00B4793A">
        <w:t>gobierno</w:t>
      </w:r>
      <w:r w:rsidR="00555CAB">
        <w:rPr>
          <w:rStyle w:val="Refdenotaalpie"/>
        </w:rPr>
        <w:footnoteReference w:id="2"/>
      </w:r>
      <w:r w:rsidRPr="00B4793A">
        <w:t xml:space="preserve"> está trabajando un Plan de Dignificación y Reparación a Víctimas que</w:t>
      </w:r>
      <w:r w:rsidRPr="00B83DA6">
        <w:t xml:space="preserve"> se centra en medidas para atender a quienes sufrieron </w:t>
      </w:r>
      <w:r w:rsidR="003552B2">
        <w:t xml:space="preserve">daños </w:t>
      </w:r>
      <w:r w:rsidRPr="00B83DA6">
        <w:t xml:space="preserve">durante el </w:t>
      </w:r>
      <w:r w:rsidR="00031C83" w:rsidRPr="00B83DA6">
        <w:t>Conflicto Armado Interno</w:t>
      </w:r>
      <w:r w:rsidRPr="00B83DA6">
        <w:t>.</w:t>
      </w:r>
      <w:r w:rsidR="009A6F3A">
        <w:t xml:space="preserve"> </w:t>
      </w:r>
      <w:r w:rsidRPr="00B83DA6">
        <w:t>Este plan, liderado por la</w:t>
      </w:r>
      <w:r>
        <w:t xml:space="preserve"> Comisión Presidencial por la Paz y los Derechos Humanos (COPADEH) </w:t>
      </w:r>
      <w:r w:rsidRPr="00B83DA6">
        <w:t>busca resarcir económicamente</w:t>
      </w:r>
      <w:r>
        <w:t xml:space="preserve"> a las víctimas y también </w:t>
      </w:r>
      <w:r w:rsidRPr="00B83DA6">
        <w:t>garantizar la memoria histórica, la verdad y la no repetición de los hechos violentos</w:t>
      </w:r>
      <w:r>
        <w:t>; sin embargo, hasta la fecha no se ha emitido un acuerdo gubernativo que apruebe dicho plan. Además, se enfoca solo en las víctimas del Conflicto Armando Interno y no en todas aquellas personas que han sido víctimas de la vulneración de sus derechos humanos</w:t>
      </w:r>
      <w:r w:rsidR="00031C83">
        <w:rPr>
          <w:rStyle w:val="Refdenotaalpie"/>
        </w:rPr>
        <w:footnoteReference w:id="3"/>
      </w:r>
      <w:r>
        <w:t xml:space="preserve">. </w:t>
      </w:r>
    </w:p>
    <w:p w14:paraId="0242B34D" w14:textId="77777777" w:rsidR="009319FC" w:rsidRDefault="009319FC" w:rsidP="009319FC">
      <w:pPr>
        <w:jc w:val="both"/>
      </w:pPr>
    </w:p>
    <w:p w14:paraId="3382BD81" w14:textId="77777777" w:rsidR="001F4F0A" w:rsidRDefault="001F4F0A" w:rsidP="009319FC">
      <w:pPr>
        <w:jc w:val="both"/>
      </w:pPr>
    </w:p>
    <w:p w14:paraId="33219100" w14:textId="77777777" w:rsidR="001F4F0A" w:rsidRDefault="001F4F0A" w:rsidP="009319FC">
      <w:pPr>
        <w:jc w:val="both"/>
      </w:pPr>
    </w:p>
    <w:p w14:paraId="1C8111C9" w14:textId="77777777" w:rsidR="001F4F0A" w:rsidRDefault="001F4F0A" w:rsidP="009319FC">
      <w:pPr>
        <w:jc w:val="both"/>
      </w:pPr>
    </w:p>
    <w:p w14:paraId="1CE6311A" w14:textId="77777777" w:rsidR="001F4F0A" w:rsidRDefault="001F4F0A" w:rsidP="009319FC">
      <w:pPr>
        <w:jc w:val="both"/>
      </w:pPr>
    </w:p>
    <w:p w14:paraId="4842B0C0" w14:textId="77777777" w:rsidR="001F4F0A" w:rsidRDefault="001F4F0A" w:rsidP="009319FC">
      <w:pPr>
        <w:jc w:val="both"/>
      </w:pPr>
    </w:p>
    <w:p w14:paraId="0F8B15C6" w14:textId="77777777" w:rsidR="001F4F0A" w:rsidRDefault="001F4F0A" w:rsidP="009319FC">
      <w:pPr>
        <w:jc w:val="both"/>
      </w:pPr>
    </w:p>
    <w:p w14:paraId="25735388" w14:textId="77777777" w:rsidR="001F4F0A" w:rsidRDefault="001F4F0A" w:rsidP="009319FC">
      <w:pPr>
        <w:jc w:val="both"/>
      </w:pPr>
    </w:p>
    <w:p w14:paraId="1BA841A3" w14:textId="77777777" w:rsidR="001F4F0A" w:rsidRDefault="001F4F0A" w:rsidP="009319FC">
      <w:pPr>
        <w:jc w:val="both"/>
      </w:pPr>
    </w:p>
    <w:p w14:paraId="093068A7" w14:textId="77777777" w:rsidR="001F4F0A" w:rsidRDefault="001F4F0A" w:rsidP="009319FC">
      <w:pPr>
        <w:jc w:val="both"/>
      </w:pPr>
    </w:p>
    <w:p w14:paraId="669405C4" w14:textId="77777777" w:rsidR="001F4F0A" w:rsidRDefault="001F4F0A" w:rsidP="009319FC">
      <w:pPr>
        <w:jc w:val="both"/>
      </w:pPr>
    </w:p>
    <w:p w14:paraId="5AEC2CD2" w14:textId="77777777" w:rsidR="001F4F0A" w:rsidRDefault="001F4F0A" w:rsidP="009319FC">
      <w:pPr>
        <w:jc w:val="both"/>
      </w:pPr>
    </w:p>
    <w:p w14:paraId="7BEB8A3E" w14:textId="77777777" w:rsidR="001F4F0A" w:rsidRDefault="001F4F0A" w:rsidP="009319FC">
      <w:pPr>
        <w:jc w:val="both"/>
      </w:pPr>
    </w:p>
    <w:p w14:paraId="49592F01" w14:textId="77777777" w:rsidR="001F4F0A" w:rsidRDefault="001F4F0A" w:rsidP="009319FC">
      <w:pPr>
        <w:jc w:val="both"/>
      </w:pPr>
    </w:p>
    <w:p w14:paraId="1BFA2126" w14:textId="77777777" w:rsidR="001F4F0A" w:rsidRDefault="001F4F0A" w:rsidP="009319FC">
      <w:pPr>
        <w:jc w:val="both"/>
      </w:pPr>
    </w:p>
    <w:p w14:paraId="0F169C94" w14:textId="77777777" w:rsidR="001F4F0A" w:rsidRDefault="001F4F0A" w:rsidP="009319FC">
      <w:pPr>
        <w:jc w:val="both"/>
      </w:pPr>
    </w:p>
    <w:p w14:paraId="274AF67A" w14:textId="77777777" w:rsidR="001F4F0A" w:rsidRDefault="001F4F0A" w:rsidP="009319FC">
      <w:pPr>
        <w:jc w:val="both"/>
      </w:pPr>
    </w:p>
    <w:p w14:paraId="5A9AC5C9" w14:textId="77777777" w:rsidR="00E808BA" w:rsidRDefault="00E808BA" w:rsidP="009319FC">
      <w:pPr>
        <w:jc w:val="both"/>
      </w:pPr>
    </w:p>
    <w:p w14:paraId="3E1F1C9E" w14:textId="77777777" w:rsidR="00E808BA" w:rsidRDefault="00E808BA" w:rsidP="009319FC">
      <w:pPr>
        <w:jc w:val="both"/>
      </w:pPr>
    </w:p>
    <w:p w14:paraId="1C912C30" w14:textId="5A7C6AF9" w:rsidR="00710F70" w:rsidRPr="00E808BA" w:rsidRDefault="00710F70" w:rsidP="00710F70">
      <w:pPr>
        <w:pStyle w:val="Ttulo1"/>
        <w:numPr>
          <w:ilvl w:val="0"/>
          <w:numId w:val="2"/>
        </w:numPr>
        <w:rPr>
          <w:sz w:val="28"/>
          <w:szCs w:val="28"/>
        </w:rPr>
      </w:pPr>
      <w:bookmarkStart w:id="1" w:name="_Toc211498212"/>
      <w:r w:rsidRPr="004D1CC4">
        <w:rPr>
          <w:sz w:val="28"/>
          <w:szCs w:val="28"/>
        </w:rPr>
        <w:lastRenderedPageBreak/>
        <w:t xml:space="preserve">Contexto de la falta de mecanismos de reparación </w:t>
      </w:r>
      <w:r w:rsidR="004D1CC4" w:rsidRPr="004D1CC4">
        <w:rPr>
          <w:sz w:val="28"/>
          <w:szCs w:val="28"/>
        </w:rPr>
        <w:t>para violaciones a los derechos humanos en Guatemala</w:t>
      </w:r>
      <w:bookmarkEnd w:id="1"/>
    </w:p>
    <w:p w14:paraId="0858F440" w14:textId="77777777" w:rsidR="004D1CC4" w:rsidRPr="001F2BAD" w:rsidRDefault="00A415F0" w:rsidP="004D1CC4">
      <w:pPr>
        <w:pStyle w:val="m8rfq"/>
        <w:numPr>
          <w:ilvl w:val="0"/>
          <w:numId w:val="4"/>
        </w:numPr>
        <w:spacing w:before="0" w:beforeAutospacing="0" w:after="0" w:afterAutospacing="0"/>
        <w:jc w:val="both"/>
        <w:textAlignment w:val="baseline"/>
        <w:rPr>
          <w:rFonts w:asciiTheme="minorHAnsi" w:hAnsiTheme="minorHAnsi" w:cstheme="minorHAnsi"/>
        </w:rPr>
      </w:pPr>
      <w:r w:rsidRPr="004D1CC4">
        <w:rPr>
          <w:rFonts w:asciiTheme="minorHAnsi" w:eastAsiaTheme="minorHAnsi" w:hAnsiTheme="minorHAnsi" w:cstheme="minorHAnsi"/>
          <w:kern w:val="2"/>
          <w:lang w:eastAsia="en-US"/>
        </w:rPr>
        <w:t>Existe un principio en el derecho</w:t>
      </w:r>
      <w:r w:rsidR="003552B2">
        <w:rPr>
          <w:rFonts w:asciiTheme="minorHAnsi" w:eastAsiaTheme="minorHAnsi" w:hAnsiTheme="minorHAnsi" w:cstheme="minorHAnsi"/>
          <w:kern w:val="2"/>
          <w:lang w:eastAsia="en-US"/>
        </w:rPr>
        <w:t xml:space="preserve"> internacional</w:t>
      </w:r>
      <w:r w:rsidRPr="004D1CC4">
        <w:rPr>
          <w:rFonts w:asciiTheme="minorHAnsi" w:eastAsiaTheme="minorHAnsi" w:hAnsiTheme="minorHAnsi" w:cstheme="minorHAnsi"/>
          <w:kern w:val="2"/>
          <w:lang w:eastAsia="en-US"/>
        </w:rPr>
        <w:t xml:space="preserve"> que establece que, quien cause un daño debe repararlo, el cual es aplicable a las violaciones de derechos humanos</w:t>
      </w:r>
      <w:r w:rsidR="004D1CC4" w:rsidRPr="004D1CC4">
        <w:rPr>
          <w:rFonts w:asciiTheme="minorHAnsi" w:eastAsiaTheme="minorHAnsi" w:hAnsiTheme="minorHAnsi" w:cstheme="minorHAnsi"/>
          <w:kern w:val="2"/>
          <w:lang w:eastAsia="en-US"/>
        </w:rPr>
        <w:t xml:space="preserve">. </w:t>
      </w:r>
      <w:r w:rsidR="004D1CC4" w:rsidRPr="004D1CC4">
        <w:rPr>
          <w:rFonts w:asciiTheme="minorHAnsi" w:hAnsiTheme="minorHAnsi" w:cstheme="minorHAnsi"/>
          <w:color w:val="141413"/>
        </w:rPr>
        <w:t xml:space="preserve">El derecho a la reparación a víctimas de graves violaciones a los derechos humanos está reconocido en la normativa nacional e internacional. A nivel internacional se </w:t>
      </w:r>
      <w:r w:rsidR="003552B2">
        <w:rPr>
          <w:rFonts w:asciiTheme="minorHAnsi" w:hAnsiTheme="minorHAnsi" w:cstheme="minorHAnsi"/>
          <w:color w:val="141413"/>
        </w:rPr>
        <w:t>ha establecido</w:t>
      </w:r>
      <w:r w:rsidR="004D1CC4" w:rsidRPr="004D1CC4">
        <w:rPr>
          <w:rFonts w:asciiTheme="minorHAnsi" w:hAnsiTheme="minorHAnsi" w:cstheme="minorHAnsi"/>
          <w:color w:val="141413"/>
        </w:rPr>
        <w:t xml:space="preserve"> que “toda violación de un derecho humano da lugar a un derecho de la víctima o sus derechohabientes a obtener reparación, el cual implica el deber del Estado de reparar”</w:t>
      </w:r>
      <w:r w:rsidR="004D1CC4">
        <w:rPr>
          <w:rStyle w:val="Refdenotaalpie"/>
          <w:rFonts w:cstheme="minorHAnsi"/>
          <w:color w:val="141413"/>
        </w:rPr>
        <w:footnoteReference w:id="4"/>
      </w:r>
      <w:r w:rsidR="004D1CC4" w:rsidRPr="004D1CC4">
        <w:rPr>
          <w:rFonts w:asciiTheme="minorHAnsi" w:hAnsiTheme="minorHAnsi" w:cstheme="minorHAnsi"/>
          <w:color w:val="141413"/>
        </w:rPr>
        <w:t>. En el mismo sentido, la Corte Interamericana de Derechos Humanos (Corte IDH) “ha indicado que toda violación de una obligación internacional que haya producido daño comporta el deber de repararlo adecuadamente, y que esta disposición… constituye uno de los principios fundamentales del Derecho Internacional contemporáneo sobre responsabilidad de un Estado”</w:t>
      </w:r>
      <w:r w:rsidR="004D1CC4">
        <w:rPr>
          <w:rStyle w:val="Refdenotaalpie"/>
          <w:rFonts w:cstheme="minorHAnsi"/>
          <w:color w:val="141413"/>
        </w:rPr>
        <w:footnoteReference w:id="5"/>
      </w:r>
    </w:p>
    <w:p w14:paraId="579EE150" w14:textId="77777777" w:rsidR="00A415F0" w:rsidRPr="00A415F0" w:rsidRDefault="00A415F0" w:rsidP="00A415F0">
      <w:pPr>
        <w:pStyle w:val="m8rfq"/>
        <w:numPr>
          <w:ilvl w:val="0"/>
          <w:numId w:val="4"/>
        </w:numPr>
        <w:spacing w:before="0" w:beforeAutospacing="0" w:after="0" w:afterAutospacing="0"/>
        <w:jc w:val="both"/>
        <w:textAlignment w:val="baseline"/>
      </w:pPr>
      <w:r w:rsidRPr="00A415F0">
        <w:rPr>
          <w:rFonts w:asciiTheme="minorHAnsi" w:eastAsiaTheme="minorHAnsi" w:hAnsiTheme="minorHAnsi" w:cstheme="minorBidi"/>
          <w:kern w:val="2"/>
          <w:lang w:eastAsia="en-US"/>
        </w:rPr>
        <w:t xml:space="preserve">El objetivo de las reparaciones es eliminar las consecuencias de la </w:t>
      </w:r>
      <w:hyperlink r:id="rId9" w:tgtFrame="_blank" w:history="1">
        <w:r w:rsidRPr="00A415F0">
          <w:rPr>
            <w:rFonts w:asciiTheme="minorHAnsi" w:eastAsiaTheme="minorHAnsi" w:hAnsiTheme="minorHAnsi" w:cstheme="minorBidi"/>
            <w:kern w:val="2"/>
            <w:lang w:eastAsia="en-US"/>
          </w:rPr>
          <w:t>violación</w:t>
        </w:r>
      </w:hyperlink>
      <w:r w:rsidRPr="00A415F0">
        <w:rPr>
          <w:rFonts w:asciiTheme="minorHAnsi" w:eastAsiaTheme="minorHAnsi" w:hAnsiTheme="minorHAnsi" w:cstheme="minorBidi"/>
          <w:kern w:val="2"/>
          <w:lang w:eastAsia="en-US"/>
        </w:rPr>
        <w:t>, es decir, revertir el daño causado, pero esto no es si</w:t>
      </w:r>
      <w:r w:rsidR="00C361D4">
        <w:rPr>
          <w:rFonts w:asciiTheme="minorHAnsi" w:eastAsiaTheme="minorHAnsi" w:hAnsiTheme="minorHAnsi" w:cstheme="minorBidi"/>
          <w:kern w:val="2"/>
          <w:lang w:eastAsia="en-US"/>
        </w:rPr>
        <w:t>e</w:t>
      </w:r>
      <w:r w:rsidRPr="00A415F0">
        <w:rPr>
          <w:rFonts w:asciiTheme="minorHAnsi" w:eastAsiaTheme="minorHAnsi" w:hAnsiTheme="minorHAnsi" w:cstheme="minorBidi"/>
          <w:kern w:val="2"/>
          <w:lang w:eastAsia="en-US"/>
        </w:rPr>
        <w:t>mpre posible, por eso se habla de una reparación integral o una reparación transformadora, que lleve consigo los componentes de indemnización, sati</w:t>
      </w:r>
      <w:r w:rsidR="00C361D4">
        <w:rPr>
          <w:rFonts w:asciiTheme="minorHAnsi" w:eastAsiaTheme="minorHAnsi" w:hAnsiTheme="minorHAnsi" w:cstheme="minorBidi"/>
          <w:kern w:val="2"/>
          <w:lang w:eastAsia="en-US"/>
        </w:rPr>
        <w:t>s</w:t>
      </w:r>
      <w:r w:rsidRPr="00A415F0">
        <w:rPr>
          <w:rFonts w:asciiTheme="minorHAnsi" w:eastAsiaTheme="minorHAnsi" w:hAnsiTheme="minorHAnsi" w:cstheme="minorBidi"/>
          <w:kern w:val="2"/>
          <w:lang w:eastAsia="en-US"/>
        </w:rPr>
        <w:t xml:space="preserve">facción, rehabilitación, restitución y medidas de no repetición. </w:t>
      </w:r>
    </w:p>
    <w:p w14:paraId="05369E65" w14:textId="77777777" w:rsidR="004D1CC4" w:rsidRDefault="00A415F0" w:rsidP="004D1CC4">
      <w:pPr>
        <w:pStyle w:val="m8rfq"/>
        <w:numPr>
          <w:ilvl w:val="0"/>
          <w:numId w:val="4"/>
        </w:numPr>
        <w:spacing w:before="0" w:beforeAutospacing="0" w:after="0" w:afterAutospacing="0"/>
        <w:jc w:val="both"/>
        <w:textAlignment w:val="baseline"/>
        <w:rPr>
          <w:rFonts w:asciiTheme="minorHAnsi" w:eastAsiaTheme="minorHAnsi" w:hAnsiTheme="minorHAnsi" w:cstheme="minorBidi"/>
          <w:kern w:val="2"/>
          <w:lang w:eastAsia="en-US"/>
        </w:rPr>
      </w:pPr>
      <w:r w:rsidRPr="004D1CC4">
        <w:rPr>
          <w:rFonts w:asciiTheme="minorHAnsi" w:eastAsiaTheme="minorHAnsi" w:hAnsiTheme="minorHAnsi" w:cstheme="minorBidi"/>
          <w:kern w:val="2"/>
          <w:lang w:eastAsia="en-US"/>
        </w:rPr>
        <w:t xml:space="preserve">En Guatemala, lamentablemente las violaciones a los derechos humanos se han dado a lo largo de la historia del país. Desde las graves violaciones a los derechos humanos y al derecho internacional humanitario, ocurridas durante el </w:t>
      </w:r>
      <w:r w:rsidR="00C361D4" w:rsidRPr="004D1CC4">
        <w:rPr>
          <w:rFonts w:asciiTheme="minorHAnsi" w:eastAsiaTheme="minorHAnsi" w:hAnsiTheme="minorHAnsi" w:cstheme="minorBidi"/>
          <w:kern w:val="2"/>
          <w:lang w:eastAsia="en-US"/>
        </w:rPr>
        <w:t>conflicto armado interno</w:t>
      </w:r>
      <w:r w:rsidR="004D1CC4" w:rsidRPr="004D1CC4">
        <w:rPr>
          <w:rFonts w:asciiTheme="minorHAnsi" w:eastAsiaTheme="minorHAnsi" w:hAnsiTheme="minorHAnsi" w:cstheme="minorBidi"/>
          <w:kern w:val="2"/>
          <w:lang w:eastAsia="en-US"/>
        </w:rPr>
        <w:t xml:space="preserve"> hasta</w:t>
      </w:r>
      <w:r w:rsidR="009A6F3A">
        <w:rPr>
          <w:rFonts w:asciiTheme="minorHAnsi" w:eastAsiaTheme="minorHAnsi" w:hAnsiTheme="minorHAnsi" w:cstheme="minorBidi"/>
          <w:kern w:val="2"/>
          <w:lang w:eastAsia="en-US"/>
        </w:rPr>
        <w:t xml:space="preserve"> </w:t>
      </w:r>
      <w:r w:rsidR="004D1CC4" w:rsidRPr="004D1CC4">
        <w:rPr>
          <w:rFonts w:asciiTheme="minorHAnsi" w:eastAsiaTheme="minorHAnsi" w:hAnsiTheme="minorHAnsi" w:cstheme="minorBidi"/>
          <w:kern w:val="2"/>
          <w:lang w:eastAsia="en-US"/>
        </w:rPr>
        <w:t>violaciones a los derechos individuales y colectivos de los pueblos indígenas</w:t>
      </w:r>
      <w:r w:rsidR="001F2BAD">
        <w:rPr>
          <w:rFonts w:asciiTheme="minorHAnsi" w:eastAsiaTheme="minorHAnsi" w:hAnsiTheme="minorHAnsi" w:cstheme="minorBidi"/>
          <w:kern w:val="2"/>
          <w:lang w:eastAsia="en-US"/>
        </w:rPr>
        <w:t xml:space="preserve"> en contextos de defensa del territorio,</w:t>
      </w:r>
      <w:r w:rsidR="004D1CC4" w:rsidRPr="004D1CC4">
        <w:rPr>
          <w:rFonts w:asciiTheme="minorHAnsi" w:eastAsiaTheme="minorHAnsi" w:hAnsiTheme="minorHAnsi" w:cstheme="minorBidi"/>
          <w:kern w:val="2"/>
          <w:lang w:eastAsia="en-US"/>
        </w:rPr>
        <w:t xml:space="preserve"> que persisten hasta hoy. </w:t>
      </w:r>
    </w:p>
    <w:p w14:paraId="1B67447D" w14:textId="77777777" w:rsidR="003552B2" w:rsidRDefault="001F2BAD" w:rsidP="003552B2">
      <w:pPr>
        <w:pStyle w:val="m8rfq"/>
        <w:numPr>
          <w:ilvl w:val="0"/>
          <w:numId w:val="4"/>
        </w:numPr>
        <w:spacing w:before="0" w:beforeAutospacing="0" w:after="0" w:afterAutospacing="0"/>
        <w:jc w:val="both"/>
        <w:textAlignment w:val="baseline"/>
        <w:rPr>
          <w:rFonts w:asciiTheme="minorHAnsi" w:eastAsiaTheme="minorHAnsi" w:hAnsiTheme="minorHAnsi" w:cstheme="minorBidi"/>
          <w:kern w:val="2"/>
          <w:lang w:eastAsia="en-US"/>
        </w:rPr>
      </w:pPr>
      <w:r>
        <w:rPr>
          <w:rFonts w:asciiTheme="minorHAnsi" w:eastAsiaTheme="minorHAnsi" w:hAnsiTheme="minorHAnsi" w:cstheme="minorBidi"/>
          <w:kern w:val="2"/>
          <w:lang w:eastAsia="en-US"/>
        </w:rPr>
        <w:t xml:space="preserve">Aunque por 20 años funcionó el </w:t>
      </w:r>
      <w:r w:rsidR="004D1CC4" w:rsidRPr="001F2BAD">
        <w:rPr>
          <w:rFonts w:asciiTheme="minorHAnsi" w:eastAsiaTheme="minorHAnsi" w:hAnsiTheme="minorHAnsi" w:cstheme="minorBidi"/>
          <w:kern w:val="2"/>
          <w:lang w:eastAsia="en-US"/>
        </w:rPr>
        <w:t xml:space="preserve">Programa Nacional de Resarcimiento </w:t>
      </w:r>
      <w:r w:rsidR="004D1CC4" w:rsidRPr="00DD23B6">
        <w:rPr>
          <w:rFonts w:asciiTheme="minorHAnsi" w:eastAsiaTheme="minorHAnsi" w:hAnsiTheme="minorHAnsi" w:cstheme="minorBidi"/>
          <w:kern w:val="2"/>
          <w:lang w:eastAsia="en-US"/>
        </w:rPr>
        <w:t xml:space="preserve">que se creó en el 2003 como parte de </w:t>
      </w:r>
      <w:r w:rsidR="004D1CC4" w:rsidRPr="004D1CC4">
        <w:rPr>
          <w:rFonts w:asciiTheme="minorHAnsi" w:eastAsiaTheme="minorHAnsi" w:hAnsiTheme="minorHAnsi" w:cstheme="minorBidi"/>
          <w:kern w:val="2"/>
          <w:lang w:eastAsia="en-US"/>
        </w:rPr>
        <w:t>los Acuerdos de Paz</w:t>
      </w:r>
      <w:r w:rsidRPr="00DD23B6">
        <w:rPr>
          <w:rFonts w:asciiTheme="minorHAnsi" w:eastAsiaTheme="minorHAnsi" w:hAnsiTheme="minorHAnsi" w:cstheme="minorBidi"/>
          <w:kern w:val="2"/>
          <w:lang w:eastAsia="en-US"/>
        </w:rPr>
        <w:t>,</w:t>
      </w:r>
      <w:r w:rsidR="00DD23B6" w:rsidRPr="00DD23B6">
        <w:rPr>
          <w:rFonts w:asciiTheme="minorHAnsi" w:eastAsiaTheme="minorHAnsi" w:hAnsiTheme="minorHAnsi" w:cstheme="minorBidi"/>
          <w:kern w:val="2"/>
          <w:lang w:eastAsia="en-US"/>
        </w:rPr>
        <w:t xml:space="preserve"> y</w:t>
      </w:r>
      <w:r w:rsidRPr="00DD23B6">
        <w:rPr>
          <w:rFonts w:asciiTheme="minorHAnsi" w:eastAsiaTheme="minorHAnsi" w:hAnsiTheme="minorHAnsi" w:cstheme="minorBidi"/>
          <w:kern w:val="2"/>
          <w:lang w:eastAsia="en-US"/>
        </w:rPr>
        <w:t xml:space="preserve"> que buscaba reparar a las víctimas del </w:t>
      </w:r>
      <w:r w:rsidR="00C361D4" w:rsidRPr="00DD23B6">
        <w:rPr>
          <w:rFonts w:asciiTheme="minorHAnsi" w:eastAsiaTheme="minorHAnsi" w:hAnsiTheme="minorHAnsi" w:cstheme="minorBidi"/>
          <w:kern w:val="2"/>
          <w:lang w:eastAsia="en-US"/>
        </w:rPr>
        <w:t>conflicto armado interno</w:t>
      </w:r>
      <w:r w:rsidRPr="00DD23B6">
        <w:rPr>
          <w:rFonts w:asciiTheme="minorHAnsi" w:eastAsiaTheme="minorHAnsi" w:hAnsiTheme="minorHAnsi" w:cstheme="minorBidi"/>
          <w:kern w:val="2"/>
          <w:lang w:eastAsia="en-US"/>
        </w:rPr>
        <w:t xml:space="preserve"> en Guatemala, este desapareció</w:t>
      </w:r>
      <w:r w:rsidR="00DD23B6" w:rsidRPr="00DD23B6">
        <w:rPr>
          <w:rFonts w:asciiTheme="minorHAnsi" w:eastAsiaTheme="minorHAnsi" w:hAnsiTheme="minorHAnsi" w:cstheme="minorBidi"/>
          <w:kern w:val="2"/>
          <w:lang w:eastAsia="en-US"/>
        </w:rPr>
        <w:t>, sin cumplir con el objetivo para el que fue creado</w:t>
      </w:r>
      <w:r w:rsidR="00D404CA">
        <w:rPr>
          <w:rStyle w:val="Refdenotaalpie"/>
          <w:rFonts w:eastAsiaTheme="minorHAnsi" w:cstheme="minorBidi"/>
          <w:kern w:val="2"/>
          <w:lang w:eastAsia="en-US"/>
        </w:rPr>
        <w:footnoteReference w:id="6"/>
      </w:r>
      <w:r w:rsidR="00DD23B6" w:rsidRPr="00DD23B6">
        <w:rPr>
          <w:rFonts w:asciiTheme="minorHAnsi" w:eastAsiaTheme="minorHAnsi" w:hAnsiTheme="minorHAnsi" w:cstheme="minorBidi"/>
          <w:kern w:val="2"/>
          <w:lang w:eastAsia="en-US"/>
        </w:rPr>
        <w:t xml:space="preserve">. </w:t>
      </w:r>
      <w:r w:rsidR="003552B2">
        <w:rPr>
          <w:rFonts w:asciiTheme="minorHAnsi" w:eastAsiaTheme="minorHAnsi" w:hAnsiTheme="minorHAnsi" w:cstheme="minorBidi"/>
          <w:kern w:val="2"/>
          <w:lang w:eastAsia="en-US"/>
        </w:rPr>
        <w:t>Por lo que actualmente, n</w:t>
      </w:r>
      <w:r w:rsidR="00DD23B6" w:rsidRPr="003552B2">
        <w:rPr>
          <w:rFonts w:asciiTheme="minorHAnsi" w:eastAsiaTheme="minorHAnsi" w:hAnsiTheme="minorHAnsi" w:cstheme="minorBidi"/>
          <w:kern w:val="2"/>
          <w:lang w:eastAsia="en-US"/>
        </w:rPr>
        <w:t xml:space="preserve">o hay en Guatemala un mecanismo </w:t>
      </w:r>
      <w:r w:rsidR="009A6F3A" w:rsidRPr="003552B2">
        <w:rPr>
          <w:rFonts w:asciiTheme="minorHAnsi" w:eastAsiaTheme="minorHAnsi" w:hAnsiTheme="minorHAnsi" w:cstheme="minorBidi"/>
          <w:kern w:val="2"/>
          <w:lang w:eastAsia="en-US"/>
        </w:rPr>
        <w:t>administrativo</w:t>
      </w:r>
      <w:r w:rsidR="00DD23B6" w:rsidRPr="003552B2">
        <w:rPr>
          <w:rFonts w:asciiTheme="minorHAnsi" w:eastAsiaTheme="minorHAnsi" w:hAnsiTheme="minorHAnsi" w:cstheme="minorBidi"/>
          <w:kern w:val="2"/>
          <w:lang w:eastAsia="en-US"/>
        </w:rPr>
        <w:t xml:space="preserve"> que pueda reparar a las víctimas que han sido vulnerad</w:t>
      </w:r>
      <w:r w:rsidR="009E6106" w:rsidRPr="003552B2">
        <w:rPr>
          <w:rFonts w:asciiTheme="minorHAnsi" w:eastAsiaTheme="minorHAnsi" w:hAnsiTheme="minorHAnsi" w:cstheme="minorBidi"/>
          <w:kern w:val="2"/>
          <w:lang w:eastAsia="en-US"/>
        </w:rPr>
        <w:t>a</w:t>
      </w:r>
      <w:r w:rsidR="00DD23B6" w:rsidRPr="003552B2">
        <w:rPr>
          <w:rFonts w:asciiTheme="minorHAnsi" w:eastAsiaTheme="minorHAnsi" w:hAnsiTheme="minorHAnsi" w:cstheme="minorBidi"/>
          <w:kern w:val="2"/>
          <w:lang w:eastAsia="en-US"/>
        </w:rPr>
        <w:t xml:space="preserve">s en sus derechos humanos. Para obtener medidas de reparación se </w:t>
      </w:r>
      <w:r w:rsidR="00DD23B6" w:rsidRPr="003552B2">
        <w:rPr>
          <w:rFonts w:asciiTheme="minorHAnsi" w:eastAsiaTheme="minorHAnsi" w:hAnsiTheme="minorHAnsi" w:cstheme="minorBidi"/>
          <w:kern w:val="2"/>
          <w:lang w:eastAsia="en-US"/>
        </w:rPr>
        <w:lastRenderedPageBreak/>
        <w:t>debe iniciar un proceso penal o constitucional, que determine que hubo una violación</w:t>
      </w:r>
      <w:r w:rsidR="00C361D4" w:rsidRPr="003552B2">
        <w:rPr>
          <w:rFonts w:asciiTheme="minorHAnsi" w:eastAsiaTheme="minorHAnsi" w:hAnsiTheme="minorHAnsi" w:cstheme="minorBidi"/>
          <w:kern w:val="2"/>
          <w:lang w:eastAsia="en-US"/>
        </w:rPr>
        <w:t xml:space="preserve"> de derecho</w:t>
      </w:r>
      <w:r w:rsidR="003552B2">
        <w:rPr>
          <w:rFonts w:asciiTheme="minorHAnsi" w:eastAsiaTheme="minorHAnsi" w:hAnsiTheme="minorHAnsi" w:cstheme="minorBidi"/>
          <w:kern w:val="2"/>
          <w:lang w:eastAsia="en-US"/>
        </w:rPr>
        <w:t>s</w:t>
      </w:r>
      <w:r w:rsidR="00DD23B6" w:rsidRPr="003552B2">
        <w:rPr>
          <w:rFonts w:asciiTheme="minorHAnsi" w:eastAsiaTheme="minorHAnsi" w:hAnsiTheme="minorHAnsi" w:cstheme="minorBidi"/>
          <w:kern w:val="2"/>
          <w:lang w:eastAsia="en-US"/>
        </w:rPr>
        <w:t xml:space="preserve"> y que esta debe ser reparada. </w:t>
      </w:r>
      <w:r w:rsidR="009E6106" w:rsidRPr="003552B2">
        <w:rPr>
          <w:rFonts w:asciiTheme="minorHAnsi" w:eastAsiaTheme="minorHAnsi" w:hAnsiTheme="minorHAnsi" w:cstheme="minorBidi"/>
          <w:kern w:val="2"/>
          <w:lang w:eastAsia="en-US"/>
        </w:rPr>
        <w:t xml:space="preserve">Para los casos de genocidio, </w:t>
      </w:r>
      <w:r w:rsidR="009A6F3A" w:rsidRPr="003552B2">
        <w:rPr>
          <w:rFonts w:asciiTheme="minorHAnsi" w:eastAsiaTheme="minorHAnsi" w:hAnsiTheme="minorHAnsi" w:cstheme="minorBidi"/>
          <w:kern w:val="2"/>
          <w:lang w:eastAsia="en-US"/>
        </w:rPr>
        <w:t>desapariciones</w:t>
      </w:r>
      <w:r w:rsidR="009E6106" w:rsidRPr="003552B2">
        <w:rPr>
          <w:rFonts w:asciiTheme="minorHAnsi" w:eastAsiaTheme="minorHAnsi" w:hAnsiTheme="minorHAnsi" w:cstheme="minorBidi"/>
          <w:kern w:val="2"/>
          <w:lang w:eastAsia="en-US"/>
        </w:rPr>
        <w:t xml:space="preserve"> forzadas, masacres y violencia sexual</w:t>
      </w:r>
      <w:r w:rsidR="00C361D4" w:rsidRPr="003552B2">
        <w:rPr>
          <w:rFonts w:asciiTheme="minorHAnsi" w:eastAsiaTheme="minorHAnsi" w:hAnsiTheme="minorHAnsi" w:cstheme="minorBidi"/>
          <w:kern w:val="2"/>
          <w:lang w:eastAsia="en-US"/>
        </w:rPr>
        <w:t>, ocurridos durante la guerra interna, las víctimas</w:t>
      </w:r>
      <w:r w:rsidR="009E6106" w:rsidRPr="003552B2">
        <w:rPr>
          <w:rFonts w:asciiTheme="minorHAnsi" w:eastAsiaTheme="minorHAnsi" w:hAnsiTheme="minorHAnsi" w:cstheme="minorBidi"/>
          <w:kern w:val="2"/>
          <w:lang w:eastAsia="en-US"/>
        </w:rPr>
        <w:t xml:space="preserve"> deben presentar su denuncia, esperar a que el Ministerio Público realice la investigación respectiva y lleve el caso a un juicio. Si se determina que la persona</w:t>
      </w:r>
      <w:r w:rsidR="00C361D4" w:rsidRPr="003552B2">
        <w:rPr>
          <w:rFonts w:asciiTheme="minorHAnsi" w:eastAsiaTheme="minorHAnsi" w:hAnsiTheme="minorHAnsi" w:cstheme="minorBidi"/>
          <w:kern w:val="2"/>
          <w:lang w:eastAsia="en-US"/>
        </w:rPr>
        <w:t xml:space="preserve"> procesada</w:t>
      </w:r>
      <w:r w:rsidR="009E6106" w:rsidRPr="003552B2">
        <w:rPr>
          <w:rFonts w:asciiTheme="minorHAnsi" w:eastAsiaTheme="minorHAnsi" w:hAnsiTheme="minorHAnsi" w:cstheme="minorBidi"/>
          <w:kern w:val="2"/>
          <w:lang w:eastAsia="en-US"/>
        </w:rPr>
        <w:t xml:space="preserve"> es responsable, se </w:t>
      </w:r>
      <w:r w:rsidR="00C361D4" w:rsidRPr="003552B2">
        <w:rPr>
          <w:rFonts w:asciiTheme="minorHAnsi" w:eastAsiaTheme="minorHAnsi" w:hAnsiTheme="minorHAnsi" w:cstheme="minorBidi"/>
          <w:kern w:val="2"/>
          <w:lang w:eastAsia="en-US"/>
        </w:rPr>
        <w:t>realiza</w:t>
      </w:r>
      <w:r w:rsidR="009E6106" w:rsidRPr="003552B2">
        <w:rPr>
          <w:rFonts w:asciiTheme="minorHAnsi" w:eastAsiaTheme="minorHAnsi" w:hAnsiTheme="minorHAnsi" w:cstheme="minorBidi"/>
          <w:kern w:val="2"/>
          <w:lang w:eastAsia="en-US"/>
        </w:rPr>
        <w:t xml:space="preserve"> una audiencia de reparación digna, y si el tribunal lo considera, se dictan medidas de reparación</w:t>
      </w:r>
      <w:r w:rsidR="00C361D4" w:rsidRPr="003552B2">
        <w:rPr>
          <w:rFonts w:asciiTheme="minorHAnsi" w:eastAsiaTheme="minorHAnsi" w:hAnsiTheme="minorHAnsi" w:cstheme="minorBidi"/>
          <w:kern w:val="2"/>
          <w:lang w:eastAsia="en-US"/>
        </w:rPr>
        <w:t xml:space="preserve"> a favor de las víctimas</w:t>
      </w:r>
      <w:r w:rsidR="009E6106" w:rsidRPr="003552B2">
        <w:rPr>
          <w:rFonts w:asciiTheme="minorHAnsi" w:eastAsiaTheme="minorHAnsi" w:hAnsiTheme="minorHAnsi" w:cstheme="minorBidi"/>
          <w:kern w:val="2"/>
          <w:lang w:eastAsia="en-US"/>
        </w:rPr>
        <w:t xml:space="preserve">. </w:t>
      </w:r>
    </w:p>
    <w:p w14:paraId="63BB20F0" w14:textId="638A352D" w:rsidR="004D1CC4" w:rsidRPr="003552B2" w:rsidRDefault="009E6106" w:rsidP="003552B2">
      <w:pPr>
        <w:pStyle w:val="m8rfq"/>
        <w:numPr>
          <w:ilvl w:val="0"/>
          <w:numId w:val="4"/>
        </w:numPr>
        <w:spacing w:before="0" w:beforeAutospacing="0" w:after="0" w:afterAutospacing="0"/>
        <w:jc w:val="both"/>
        <w:textAlignment w:val="baseline"/>
        <w:rPr>
          <w:rFonts w:asciiTheme="minorHAnsi" w:eastAsiaTheme="minorHAnsi" w:hAnsiTheme="minorHAnsi" w:cstheme="minorBidi"/>
          <w:kern w:val="2"/>
          <w:lang w:eastAsia="en-US"/>
        </w:rPr>
      </w:pPr>
      <w:r w:rsidRPr="003552B2">
        <w:rPr>
          <w:rFonts w:asciiTheme="minorHAnsi" w:eastAsiaTheme="minorHAnsi" w:hAnsiTheme="minorHAnsi" w:cstheme="minorBidi"/>
          <w:kern w:val="2"/>
          <w:lang w:eastAsia="en-US"/>
        </w:rPr>
        <w:t>En los casos donde las comunidades indígenas han exigido que se respete</w:t>
      </w:r>
      <w:r w:rsidR="00C361D4" w:rsidRPr="003552B2">
        <w:rPr>
          <w:rFonts w:asciiTheme="minorHAnsi" w:eastAsiaTheme="minorHAnsi" w:hAnsiTheme="minorHAnsi" w:cstheme="minorBidi"/>
          <w:kern w:val="2"/>
          <w:lang w:eastAsia="en-US"/>
        </w:rPr>
        <w:t>n</w:t>
      </w:r>
      <w:r w:rsidRPr="003552B2">
        <w:rPr>
          <w:rFonts w:asciiTheme="minorHAnsi" w:eastAsiaTheme="minorHAnsi" w:hAnsiTheme="minorHAnsi" w:cstheme="minorBidi"/>
          <w:kern w:val="2"/>
          <w:lang w:eastAsia="en-US"/>
        </w:rPr>
        <w:t xml:space="preserve"> sus derechos a la tierra, el territorio y consulta, a través de la justicia constitucional, han obtenido sentencia</w:t>
      </w:r>
      <w:r w:rsidR="001E23AF" w:rsidRPr="003552B2">
        <w:rPr>
          <w:rFonts w:asciiTheme="minorHAnsi" w:eastAsiaTheme="minorHAnsi" w:hAnsiTheme="minorHAnsi" w:cstheme="minorBidi"/>
          <w:kern w:val="2"/>
          <w:lang w:eastAsia="en-US"/>
        </w:rPr>
        <w:t>s</w:t>
      </w:r>
      <w:r w:rsidRPr="003552B2">
        <w:rPr>
          <w:rFonts w:asciiTheme="minorHAnsi" w:eastAsiaTheme="minorHAnsi" w:hAnsiTheme="minorHAnsi" w:cstheme="minorBidi"/>
          <w:kern w:val="2"/>
          <w:lang w:eastAsia="en-US"/>
        </w:rPr>
        <w:t xml:space="preserve"> reparadora</w:t>
      </w:r>
      <w:r w:rsidR="001E23AF" w:rsidRPr="003552B2">
        <w:rPr>
          <w:rFonts w:asciiTheme="minorHAnsi" w:eastAsiaTheme="minorHAnsi" w:hAnsiTheme="minorHAnsi" w:cstheme="minorBidi"/>
          <w:kern w:val="2"/>
          <w:lang w:eastAsia="en-US"/>
        </w:rPr>
        <w:t xml:space="preserve">s, que impone al Estado la obligación de realizar consultas </w:t>
      </w:r>
      <w:r w:rsidR="00C361D4" w:rsidRPr="003552B2">
        <w:rPr>
          <w:rFonts w:asciiTheme="minorHAnsi" w:eastAsiaTheme="minorHAnsi" w:hAnsiTheme="minorHAnsi" w:cstheme="minorBidi"/>
          <w:kern w:val="2"/>
          <w:lang w:eastAsia="en-US"/>
        </w:rPr>
        <w:t>y determinar los daños causados por los proyectos iniciados sin consulta previa</w:t>
      </w:r>
      <w:r w:rsidR="001E23AF" w:rsidRPr="003552B2">
        <w:rPr>
          <w:rFonts w:asciiTheme="minorHAnsi" w:eastAsiaTheme="minorHAnsi" w:hAnsiTheme="minorHAnsi" w:cstheme="minorBidi"/>
          <w:kern w:val="2"/>
          <w:lang w:eastAsia="en-US"/>
        </w:rPr>
        <w:t xml:space="preserve">. La implementación de estas </w:t>
      </w:r>
      <w:r w:rsidR="009A6F3A" w:rsidRPr="003552B2">
        <w:rPr>
          <w:rFonts w:asciiTheme="minorHAnsi" w:eastAsiaTheme="minorHAnsi" w:hAnsiTheme="minorHAnsi" w:cstheme="minorBidi"/>
          <w:kern w:val="2"/>
          <w:lang w:eastAsia="en-US"/>
        </w:rPr>
        <w:t>sentencias</w:t>
      </w:r>
      <w:r w:rsidR="001E23AF" w:rsidRPr="003552B2">
        <w:rPr>
          <w:rFonts w:asciiTheme="minorHAnsi" w:eastAsiaTheme="minorHAnsi" w:hAnsiTheme="minorHAnsi" w:cstheme="minorBidi"/>
          <w:kern w:val="2"/>
          <w:lang w:eastAsia="en-US"/>
        </w:rPr>
        <w:t xml:space="preserve"> ha sido un reto para las comunidades indígenas</w:t>
      </w:r>
      <w:r w:rsidR="001F4F0A">
        <w:rPr>
          <w:rStyle w:val="Refdenotaalpie"/>
          <w:rFonts w:eastAsiaTheme="minorHAnsi" w:cstheme="minorBidi"/>
          <w:kern w:val="2"/>
          <w:lang w:eastAsia="en-US"/>
        </w:rPr>
        <w:footnoteReference w:id="7"/>
      </w:r>
      <w:r w:rsidR="001E23AF" w:rsidRPr="003552B2">
        <w:rPr>
          <w:rFonts w:asciiTheme="minorHAnsi" w:eastAsiaTheme="minorHAnsi" w:hAnsiTheme="minorHAnsi" w:cstheme="minorBidi"/>
          <w:kern w:val="2"/>
          <w:lang w:eastAsia="en-US"/>
        </w:rPr>
        <w:t>.</w:t>
      </w:r>
    </w:p>
    <w:p w14:paraId="1CEB7380" w14:textId="77777777" w:rsidR="003552B2" w:rsidRDefault="001E23AF" w:rsidP="0073254F">
      <w:pPr>
        <w:pStyle w:val="m8rfq"/>
        <w:numPr>
          <w:ilvl w:val="0"/>
          <w:numId w:val="4"/>
        </w:numPr>
        <w:jc w:val="both"/>
        <w:textAlignment w:val="baseline"/>
        <w:rPr>
          <w:rFonts w:asciiTheme="minorHAnsi" w:eastAsiaTheme="minorHAnsi" w:hAnsiTheme="minorHAnsi" w:cstheme="minorBidi"/>
          <w:kern w:val="2"/>
          <w:lang w:eastAsia="en-US"/>
        </w:rPr>
      </w:pPr>
      <w:r>
        <w:rPr>
          <w:rFonts w:asciiTheme="minorHAnsi" w:eastAsiaTheme="minorHAnsi" w:hAnsiTheme="minorHAnsi" w:cstheme="minorBidi"/>
          <w:kern w:val="2"/>
          <w:lang w:eastAsia="en-US"/>
        </w:rPr>
        <w:t>Por otro lado, las personas defensoras de derechos humanos que han sido criminalizadas y han sido sometidas a un proceso penal hasta su última fase; es decir el debate oral y público y en donde se ha demostrado su inocencia en sentencias absol</w:t>
      </w:r>
      <w:r w:rsidR="00C361D4">
        <w:rPr>
          <w:rFonts w:asciiTheme="minorHAnsi" w:eastAsiaTheme="minorHAnsi" w:hAnsiTheme="minorHAnsi" w:cstheme="minorBidi"/>
          <w:kern w:val="2"/>
          <w:lang w:eastAsia="en-US"/>
        </w:rPr>
        <w:t>u</w:t>
      </w:r>
      <w:r>
        <w:rPr>
          <w:rFonts w:asciiTheme="minorHAnsi" w:eastAsiaTheme="minorHAnsi" w:hAnsiTheme="minorHAnsi" w:cstheme="minorBidi"/>
          <w:kern w:val="2"/>
          <w:lang w:eastAsia="en-US"/>
        </w:rPr>
        <w:t xml:space="preserve">torias, no tienen una forma de reclamar una reparación por los meses o años que han permanecido en prisión, por la estigmatización que se generó en cuanto a su </w:t>
      </w:r>
      <w:r w:rsidR="00C361D4">
        <w:rPr>
          <w:rFonts w:asciiTheme="minorHAnsi" w:eastAsiaTheme="minorHAnsi" w:hAnsiTheme="minorHAnsi" w:cstheme="minorBidi"/>
          <w:kern w:val="2"/>
          <w:lang w:eastAsia="en-US"/>
        </w:rPr>
        <w:t>labor de defensor de derechos humanos</w:t>
      </w:r>
      <w:r>
        <w:rPr>
          <w:rFonts w:asciiTheme="minorHAnsi" w:eastAsiaTheme="minorHAnsi" w:hAnsiTheme="minorHAnsi" w:cstheme="minorBidi"/>
          <w:kern w:val="2"/>
          <w:lang w:eastAsia="en-US"/>
        </w:rPr>
        <w:t xml:space="preserve"> y los daños individuales, familiares y comunitarios causados.</w:t>
      </w:r>
    </w:p>
    <w:p w14:paraId="0B6F1CC4" w14:textId="7CAD398E" w:rsidR="00950F54" w:rsidRPr="00E808BA" w:rsidRDefault="00950F54" w:rsidP="00950F54">
      <w:pPr>
        <w:pStyle w:val="Ttulo1"/>
        <w:numPr>
          <w:ilvl w:val="0"/>
          <w:numId w:val="2"/>
        </w:numPr>
        <w:rPr>
          <w:rFonts w:eastAsiaTheme="minorHAnsi"/>
          <w:sz w:val="28"/>
          <w:szCs w:val="28"/>
        </w:rPr>
      </w:pPr>
      <w:bookmarkStart w:id="2" w:name="_Toc211498213"/>
      <w:r w:rsidRPr="00950F54">
        <w:rPr>
          <w:rFonts w:eastAsiaTheme="minorHAnsi"/>
          <w:sz w:val="28"/>
          <w:szCs w:val="28"/>
        </w:rPr>
        <w:t>Falta de reparación en casos de justicia transicional</w:t>
      </w:r>
      <w:r w:rsidR="00503EBF">
        <w:rPr>
          <w:rFonts w:eastAsiaTheme="minorHAnsi"/>
          <w:sz w:val="28"/>
          <w:szCs w:val="28"/>
        </w:rPr>
        <w:t xml:space="preserve"> (Lista de temas, Acceso a la justicia, párr. 27)</w:t>
      </w:r>
      <w:bookmarkEnd w:id="2"/>
    </w:p>
    <w:p w14:paraId="40AF3F6E" w14:textId="19A24F85" w:rsidR="00B4793A" w:rsidRDefault="00974DE0" w:rsidP="00B4793A">
      <w:pPr>
        <w:pStyle w:val="Prrafodelista"/>
        <w:numPr>
          <w:ilvl w:val="0"/>
          <w:numId w:val="4"/>
        </w:numPr>
        <w:jc w:val="both"/>
      </w:pPr>
      <w:r>
        <w:t>Varios casos se han presentado ante el sistema de justicia guatemalteco</w:t>
      </w:r>
      <w:r w:rsidR="009402BD">
        <w:rPr>
          <w:rStyle w:val="Refdenotaalpie"/>
        </w:rPr>
        <w:footnoteReference w:id="8"/>
      </w:r>
      <w:r>
        <w:t xml:space="preserve">, </w:t>
      </w:r>
      <w:r w:rsidR="007E1807">
        <w:t>por</w:t>
      </w:r>
      <w:r>
        <w:t xml:space="preserve"> las graves violaciones a los derechos humanos ocurridos durante el conflicto armado interno</w:t>
      </w:r>
      <w:r w:rsidR="009402BD">
        <w:t xml:space="preserve">. </w:t>
      </w:r>
      <w:r w:rsidR="009402BD" w:rsidRPr="001F2F56">
        <w:t xml:space="preserve">Pocos </w:t>
      </w:r>
      <w:r w:rsidRPr="001F2F56">
        <w:t>han tenido una sentencia condenatoria</w:t>
      </w:r>
      <w:r w:rsidR="00B337A1">
        <w:t xml:space="preserve"> y </w:t>
      </w:r>
      <w:r w:rsidR="009402BD" w:rsidRPr="001F2F56">
        <w:t xml:space="preserve">en los cuales </w:t>
      </w:r>
      <w:r w:rsidR="00C361D4" w:rsidRPr="001F2F56">
        <w:t xml:space="preserve">se ha llevado a cabo </w:t>
      </w:r>
      <w:r w:rsidRPr="001F2F56">
        <w:t>una audiencia de reparación digna</w:t>
      </w:r>
      <w:r w:rsidR="00B2022B">
        <w:t xml:space="preserve"> y obtenido</w:t>
      </w:r>
      <w:r w:rsidRPr="001F2F56">
        <w:t xml:space="preserve"> medidas de reparación</w:t>
      </w:r>
      <w:r w:rsidR="009402BD">
        <w:rPr>
          <w:rStyle w:val="Refdenotaalpie"/>
        </w:rPr>
        <w:footnoteReference w:id="9"/>
      </w:r>
      <w:r>
        <w:t xml:space="preserve">. Un caso ilustrativo es el de las mujeres </w:t>
      </w:r>
      <w:proofErr w:type="spellStart"/>
      <w:r w:rsidR="00D6631E">
        <w:t>ach</w:t>
      </w:r>
      <w:r w:rsidR="006F1CC6">
        <w:t>i</w:t>
      </w:r>
      <w:proofErr w:type="spellEnd"/>
      <w:r>
        <w:t>, víctimas de violencia sexual, que en el 2022 llevaron adelante un juicio en contra de cinco ex paramilitares, quienes fueron condenados</w:t>
      </w:r>
      <w:r w:rsidR="009402BD">
        <w:rPr>
          <w:rStyle w:val="Refdenotaalpie"/>
        </w:rPr>
        <w:footnoteReference w:id="10"/>
      </w:r>
      <w:r w:rsidR="00B2022B">
        <w:t xml:space="preserve"> y se dictaron 12 medidas de reparación</w:t>
      </w:r>
      <w:r w:rsidR="00B2022B">
        <w:rPr>
          <w:rStyle w:val="Refdenotaalpie"/>
        </w:rPr>
        <w:footnoteReference w:id="11"/>
      </w:r>
      <w:r>
        <w:t xml:space="preserve">. En este proceso el </w:t>
      </w:r>
      <w:r>
        <w:lastRenderedPageBreak/>
        <w:t>Estado de Guatemala a través de la Procuraduría General de la Nación, fue llamado como tercero civilmente demand</w:t>
      </w:r>
      <w:r w:rsidR="00D6631E">
        <w:t>ad</w:t>
      </w:r>
      <w:r>
        <w:t xml:space="preserve">o para que las medidas otorgadas pudieran ser cumplidas de manera efectiva. </w:t>
      </w:r>
      <w:r w:rsidR="009402BD">
        <w:t>Sin embargo, esto no ha sido posible</w:t>
      </w:r>
      <w:r w:rsidR="0003684E">
        <w:t xml:space="preserve">, </w:t>
      </w:r>
      <w:r w:rsidR="009A6F3A">
        <w:t>principalmente</w:t>
      </w:r>
      <w:r w:rsidR="0003684E">
        <w:t xml:space="preserve"> </w:t>
      </w:r>
      <w:r w:rsidR="00B2022B">
        <w:t>porque la sentencia</w:t>
      </w:r>
      <w:r w:rsidR="00B337A1">
        <w:t>,</w:t>
      </w:r>
      <w:r w:rsidR="00B2022B">
        <w:t xml:space="preserve"> tres años después de haberse dictado no está firme, ya que los acusados han presentado diferentes impugnaciones y el sistema de justicia </w:t>
      </w:r>
      <w:r w:rsidR="0003684E">
        <w:t>h</w:t>
      </w:r>
      <w:r w:rsidR="00B2022B">
        <w:t>a demorado en resolverlas.</w:t>
      </w:r>
    </w:p>
    <w:p w14:paraId="1E212998" w14:textId="53B34E7F" w:rsidR="00C361D4" w:rsidRPr="00B4793A" w:rsidRDefault="00B4793A" w:rsidP="00B4793A">
      <w:pPr>
        <w:pStyle w:val="Prrafodelista"/>
        <w:numPr>
          <w:ilvl w:val="0"/>
          <w:numId w:val="4"/>
        </w:numPr>
        <w:jc w:val="both"/>
      </w:pPr>
      <w:r>
        <w:t>Las</w:t>
      </w:r>
      <w:r w:rsidR="00B2022B">
        <w:t xml:space="preserve"> víctimas del caso mujeres </w:t>
      </w:r>
      <w:proofErr w:type="spellStart"/>
      <w:r w:rsidR="00D6631E">
        <w:t>ach</w:t>
      </w:r>
      <w:r w:rsidR="006F1CC6">
        <w:t>i</w:t>
      </w:r>
      <w:proofErr w:type="spellEnd"/>
      <w:r w:rsidR="00B2022B">
        <w:t>, han tenido que acudir a las diferentes instancias públicas para iniciar con el cumplimiento de las medidas de reparación</w:t>
      </w:r>
      <w:r>
        <w:t>; sin embargo,</w:t>
      </w:r>
      <w:r w:rsidR="00C361D4" w:rsidRPr="00B4793A">
        <w:t xml:space="preserve"> han encontrado obstáculos estructurales para que las medidas sean cumplidas porque se les impone la carga de tener que </w:t>
      </w:r>
      <w:r w:rsidR="0003684E">
        <w:t>completar</w:t>
      </w:r>
      <w:r w:rsidR="00C361D4" w:rsidRPr="00B4793A">
        <w:t xml:space="preserve"> requisitos </w:t>
      </w:r>
      <w:r>
        <w:t>burocráticos, procedimientos rígidos y falta de comprensión de las y los funcionarios públicos que no toma</w:t>
      </w:r>
      <w:r w:rsidR="00C361D4" w:rsidRPr="00B4793A">
        <w:t xml:space="preserve">n </w:t>
      </w:r>
      <w:r>
        <w:t xml:space="preserve">en </w:t>
      </w:r>
      <w:r w:rsidR="00C361D4" w:rsidRPr="00B4793A">
        <w:t xml:space="preserve">cuenta que ya hay una sentencia que </w:t>
      </w:r>
      <w:r w:rsidR="009402BD" w:rsidRPr="00B4793A">
        <w:t xml:space="preserve">las </w:t>
      </w:r>
      <w:r w:rsidR="00C361D4" w:rsidRPr="00B4793A">
        <w:t xml:space="preserve">declaró </w:t>
      </w:r>
      <w:r w:rsidR="009402BD" w:rsidRPr="00B4793A">
        <w:t>como</w:t>
      </w:r>
      <w:r w:rsidR="00C361D4" w:rsidRPr="00B4793A">
        <w:t xml:space="preserve"> víctimas de graves violaciones a derechos humanos</w:t>
      </w:r>
      <w:r w:rsidR="009402BD" w:rsidRPr="00B4793A">
        <w:t>, que son mujeres con padecimientos graves de salud y que son de la tercera edad</w:t>
      </w:r>
      <w:r w:rsidR="009402BD">
        <w:rPr>
          <w:rStyle w:val="Refdenotaalpie"/>
        </w:rPr>
        <w:footnoteReference w:id="12"/>
      </w:r>
      <w:r w:rsidR="009402BD" w:rsidRPr="00B4793A">
        <w:t>; y por lo tanto, los trámites y requisitos deberían estar simplificados</w:t>
      </w:r>
      <w:r w:rsidR="00C361D4" w:rsidRPr="00B4793A">
        <w:t xml:space="preserve">. Por ejemplo, una de las medidas otorgadas es brindar becas a los hijos, hijas, nietos y nietas de las sobrevivientes. El Ministerio de Educación en Guatemala, </w:t>
      </w:r>
      <w:r w:rsidR="00D6631E" w:rsidRPr="00B4793A">
        <w:t>les</w:t>
      </w:r>
      <w:r w:rsidR="00C361D4" w:rsidRPr="00B4793A">
        <w:t xml:space="preserve"> ha solicitado a las sobrevivientes que presenten certificados de nacimiento de sus hijas, hijos, nietos y nietas para acreditar el vínculo que tienen y que puedan ser </w:t>
      </w:r>
      <w:r w:rsidR="009A6F3A" w:rsidRPr="00B4793A">
        <w:t>beneficiados</w:t>
      </w:r>
      <w:r w:rsidR="00C361D4" w:rsidRPr="00B4793A">
        <w:t xml:space="preserve"> con las becas</w:t>
      </w:r>
      <w:r w:rsidR="002942A3" w:rsidRPr="00B4793A">
        <w:t xml:space="preserve">, </w:t>
      </w:r>
      <w:r w:rsidR="009A6F3A" w:rsidRPr="00B4793A">
        <w:t>cargándoles</w:t>
      </w:r>
      <w:r w:rsidR="002942A3" w:rsidRPr="00B4793A">
        <w:t xml:space="preserve"> a ellas el costo de estos </w:t>
      </w:r>
      <w:r w:rsidR="009A6F3A" w:rsidRPr="00B4793A">
        <w:t>documentos</w:t>
      </w:r>
      <w:r w:rsidR="001F4F0A">
        <w:rPr>
          <w:rStyle w:val="Refdenotaalpie"/>
        </w:rPr>
        <w:footnoteReference w:id="13"/>
      </w:r>
      <w:r w:rsidR="00C361D4" w:rsidRPr="00B4793A">
        <w:t xml:space="preserve">. Además, que se utilizan parámetros creados </w:t>
      </w:r>
      <w:r w:rsidR="002942A3" w:rsidRPr="00B4793A">
        <w:t xml:space="preserve">para otorgamiento de bolsas de </w:t>
      </w:r>
      <w:r w:rsidR="002F5D8D" w:rsidRPr="00B4793A">
        <w:t>estudio y</w:t>
      </w:r>
      <w:r w:rsidR="002942A3" w:rsidRPr="00B4793A">
        <w:t xml:space="preserve"> de otros programas, </w:t>
      </w:r>
      <w:r w:rsidR="009402BD" w:rsidRPr="00B4793A">
        <w:t xml:space="preserve">cuyos montos no </w:t>
      </w:r>
      <w:r w:rsidR="002942A3" w:rsidRPr="00B4793A">
        <w:t>son acordes a un mecanismo de reparación</w:t>
      </w:r>
      <w:r w:rsidR="009402BD">
        <w:rPr>
          <w:rStyle w:val="Refdenotaalpie"/>
        </w:rPr>
        <w:footnoteReference w:id="14"/>
      </w:r>
      <w:r w:rsidR="002942A3" w:rsidRPr="00B4793A">
        <w:t xml:space="preserve">. </w:t>
      </w:r>
    </w:p>
    <w:p w14:paraId="79455C65" w14:textId="257902FA" w:rsidR="00950F54" w:rsidRDefault="009402BD" w:rsidP="00950F54">
      <w:pPr>
        <w:pStyle w:val="Prrafodelista"/>
        <w:numPr>
          <w:ilvl w:val="0"/>
          <w:numId w:val="4"/>
        </w:numPr>
        <w:jc w:val="both"/>
      </w:pPr>
      <w:r>
        <w:t xml:space="preserve">La falta de conocimiento y concientización en los funcionarios públicos para comprender qué implica el cumplimiento de una sentencia que ha ordenado medidas de reparación es otro obstáculo </w:t>
      </w:r>
      <w:r w:rsidR="002F5D8D">
        <w:t>identificado,</w:t>
      </w:r>
      <w:r>
        <w:t xml:space="preserve"> así como los trámites burocráticos de las diferentes </w:t>
      </w:r>
      <w:r w:rsidR="009A6F3A">
        <w:t>dependencias</w:t>
      </w:r>
      <w:r>
        <w:t xml:space="preserve"> a cargo de cumplir con estas reparaciones. </w:t>
      </w:r>
    </w:p>
    <w:p w14:paraId="30A6E698" w14:textId="6471C7F1" w:rsidR="0053335B" w:rsidRPr="00E808BA" w:rsidRDefault="0053335B" w:rsidP="0053335B">
      <w:pPr>
        <w:pStyle w:val="Ttulo1"/>
        <w:numPr>
          <w:ilvl w:val="0"/>
          <w:numId w:val="2"/>
        </w:numPr>
        <w:jc w:val="both"/>
        <w:rPr>
          <w:sz w:val="28"/>
          <w:szCs w:val="28"/>
          <w:lang w:val="es-GT"/>
        </w:rPr>
      </w:pPr>
      <w:bookmarkStart w:id="3" w:name="_Toc211498214"/>
      <w:r w:rsidRPr="00E808BA">
        <w:rPr>
          <w:sz w:val="28"/>
          <w:szCs w:val="28"/>
          <w:lang w:val="es-GT"/>
        </w:rPr>
        <w:t>Incumplimiento de sentencias en el ámbito penal</w:t>
      </w:r>
      <w:r w:rsidR="00EE7601" w:rsidRPr="00E808BA">
        <w:rPr>
          <w:sz w:val="28"/>
          <w:szCs w:val="28"/>
          <w:lang w:val="es-GT"/>
        </w:rPr>
        <w:t xml:space="preserve"> relacionadas con mujeres indígenas</w:t>
      </w:r>
      <w:r w:rsidR="00503EBF" w:rsidRPr="00E808BA">
        <w:rPr>
          <w:sz w:val="28"/>
          <w:szCs w:val="28"/>
          <w:lang w:val="es-GT"/>
        </w:rPr>
        <w:t xml:space="preserve"> (Lista de temas Situación de los pueblos indígenas y afrodescendientes, párr. 23)</w:t>
      </w:r>
      <w:bookmarkEnd w:id="3"/>
    </w:p>
    <w:p w14:paraId="0DE920FA" w14:textId="7E6CB883" w:rsidR="00C50829" w:rsidRPr="00C50829" w:rsidRDefault="00C50829" w:rsidP="00E409EF">
      <w:pPr>
        <w:pStyle w:val="Prrafodelista"/>
        <w:numPr>
          <w:ilvl w:val="0"/>
          <w:numId w:val="4"/>
        </w:numPr>
        <w:jc w:val="both"/>
        <w:rPr>
          <w:rFonts w:cstheme="minorHAnsi"/>
        </w:rPr>
      </w:pPr>
      <w:r>
        <w:t xml:space="preserve">En casos relacionados con defensoras de derechos humanos tampoco se han cumplido las sentencias que han dictado medidas de reparación, como lo es el caso de la </w:t>
      </w:r>
      <w:r w:rsidR="001F4F0A">
        <w:t>periodista</w:t>
      </w:r>
      <w:r>
        <w:t xml:space="preserve"> </w:t>
      </w:r>
      <w:r w:rsidRPr="00E409EF">
        <w:t xml:space="preserve">Norma Lila Sut </w:t>
      </w:r>
      <w:proofErr w:type="spellStart"/>
      <w:r w:rsidRPr="00E409EF">
        <w:t>Sancir</w:t>
      </w:r>
      <w:proofErr w:type="spellEnd"/>
      <w:r>
        <w:t xml:space="preserve">. </w:t>
      </w:r>
      <w:r w:rsidRPr="00E409EF">
        <w:t xml:space="preserve">El 31 de enero de 2024 se reconoció </w:t>
      </w:r>
      <w:r w:rsidRPr="00E409EF">
        <w:lastRenderedPageBreak/>
        <w:t>en un Tribunal de Sentencia Penal</w:t>
      </w:r>
      <w:r w:rsidR="00F43E05">
        <w:rPr>
          <w:rStyle w:val="Refdenotaalpie"/>
        </w:rPr>
        <w:footnoteReference w:id="15"/>
      </w:r>
      <w:r w:rsidRPr="00E409EF">
        <w:t>, el importante aporte que realiza el periodismo comunitario en Guatemala</w:t>
      </w:r>
      <w:r w:rsidR="00F43E05">
        <w:rPr>
          <w:rStyle w:val="Refdenotaalpie"/>
        </w:rPr>
        <w:footnoteReference w:id="16"/>
      </w:r>
      <w:r w:rsidRPr="00E409EF">
        <w:t xml:space="preserve">. </w:t>
      </w:r>
    </w:p>
    <w:p w14:paraId="43A2BC6F" w14:textId="718B32CB" w:rsidR="00E409EF" w:rsidRDefault="00E409EF" w:rsidP="00C50829">
      <w:pPr>
        <w:pStyle w:val="Prrafodelista"/>
        <w:numPr>
          <w:ilvl w:val="0"/>
          <w:numId w:val="4"/>
        </w:numPr>
        <w:jc w:val="both"/>
        <w:rPr>
          <w:rFonts w:cstheme="minorHAnsi"/>
        </w:rPr>
      </w:pPr>
      <w:r w:rsidRPr="00C50829">
        <w:rPr>
          <w:rFonts w:cstheme="minorHAnsi"/>
        </w:rPr>
        <w:t xml:space="preserve">En la audiencia de reparación digna que se llevó en el proceso, participó como querellante adhesiva tanto la víctima directa Norma </w:t>
      </w:r>
      <w:proofErr w:type="spellStart"/>
      <w:r w:rsidRPr="00C50829">
        <w:rPr>
          <w:rFonts w:cstheme="minorHAnsi"/>
        </w:rPr>
        <w:t>Sancir</w:t>
      </w:r>
      <w:proofErr w:type="spellEnd"/>
      <w:r w:rsidRPr="00C50829">
        <w:rPr>
          <w:rFonts w:cstheme="minorHAnsi"/>
        </w:rPr>
        <w:t xml:space="preserve"> como la entidad Centro para la Acción Legal en Derechos Humanos (CALDH), y la Procuraduría General de la Nación (PGN) como terce</w:t>
      </w:r>
      <w:r w:rsidR="00C50829" w:rsidRPr="00C50829">
        <w:rPr>
          <w:rFonts w:cstheme="minorHAnsi"/>
        </w:rPr>
        <w:t>ro civilmente demandado</w:t>
      </w:r>
      <w:r w:rsidRPr="00C50829">
        <w:rPr>
          <w:rFonts w:cstheme="minorHAnsi"/>
        </w:rPr>
        <w:t xml:space="preserve">. </w:t>
      </w:r>
      <w:r w:rsidRPr="006C4127">
        <w:rPr>
          <w:rFonts w:cstheme="minorHAnsi"/>
        </w:rPr>
        <w:t>Una de las medias consiste en oficiar a la Presidencia del Organismo Judicial y Corte Suprema de Justicia, a efecto de tomar en consideración la posibilidad de expandir el proyecto de crear en cada una de las cabeceras departamentales Juzgados de Primera Instancia Penal de Turno y Juzgados de Paz Penal de Turnos, a efecto las personas puedan resolver su situación jurídica dentro de los plazos razonables.</w:t>
      </w:r>
      <w:r w:rsidR="00C50829">
        <w:rPr>
          <w:rFonts w:cstheme="minorHAnsi"/>
        </w:rPr>
        <w:t xml:space="preserve"> </w:t>
      </w:r>
      <w:r w:rsidRPr="006C4127">
        <w:rPr>
          <w:rFonts w:cstheme="minorHAnsi"/>
        </w:rPr>
        <w:t xml:space="preserve">Esto se hizo porque una de las situaciones que se mencionaron como parte de los hechos denunciados por Norma </w:t>
      </w:r>
      <w:proofErr w:type="spellStart"/>
      <w:r w:rsidRPr="006C4127">
        <w:rPr>
          <w:rFonts w:cstheme="minorHAnsi"/>
        </w:rPr>
        <w:t>Sancir</w:t>
      </w:r>
      <w:proofErr w:type="spellEnd"/>
      <w:r w:rsidRPr="006C4127">
        <w:rPr>
          <w:rFonts w:cstheme="minorHAnsi"/>
        </w:rPr>
        <w:t xml:space="preserve"> es que no pudo ser escuchada en un plazo razonable por falta de un juzgado de turno, lo que provocó que se mantuviera detenida en </w:t>
      </w:r>
      <w:r w:rsidR="001F4F0A">
        <w:rPr>
          <w:rFonts w:cstheme="minorHAnsi"/>
        </w:rPr>
        <w:t>el Centro de Detención Preventiva para Hombres y Mujeres Los Jocotes,</w:t>
      </w:r>
      <w:r w:rsidRPr="006C4127">
        <w:rPr>
          <w:rFonts w:cstheme="minorHAnsi"/>
        </w:rPr>
        <w:t xml:space="preserve"> por varios días</w:t>
      </w:r>
      <w:r w:rsidR="001F4F0A">
        <w:rPr>
          <w:rStyle w:val="Refdenotaalpie"/>
          <w:rFonts w:cstheme="minorHAnsi"/>
        </w:rPr>
        <w:footnoteReference w:id="17"/>
      </w:r>
      <w:r w:rsidRPr="006C4127">
        <w:rPr>
          <w:rFonts w:cstheme="minorHAnsi"/>
        </w:rPr>
        <w:t xml:space="preserve">.  </w:t>
      </w:r>
      <w:r w:rsidR="00C50829">
        <w:rPr>
          <w:rFonts w:cstheme="minorHAnsi"/>
        </w:rPr>
        <w:t>Sin embargo, aunque la sentencia está firme, las medidas de reparación no se han cumplido</w:t>
      </w:r>
      <w:r w:rsidR="00F43E05">
        <w:rPr>
          <w:rStyle w:val="Refdenotaalpie"/>
          <w:rFonts w:cstheme="minorHAnsi"/>
        </w:rPr>
        <w:footnoteReference w:id="18"/>
      </w:r>
      <w:r w:rsidR="00C50829">
        <w:rPr>
          <w:rFonts w:cstheme="minorHAnsi"/>
        </w:rPr>
        <w:t>.</w:t>
      </w:r>
    </w:p>
    <w:p w14:paraId="5523CF35" w14:textId="77777777" w:rsidR="006C52C5" w:rsidRDefault="006C52C5" w:rsidP="006C52C5">
      <w:pPr>
        <w:pStyle w:val="Prrafodelista"/>
        <w:numPr>
          <w:ilvl w:val="0"/>
          <w:numId w:val="4"/>
        </w:numPr>
        <w:jc w:val="both"/>
      </w:pPr>
      <w:r>
        <w:t>Otro caso en donde se dictaron medidas de reparación integral pero que no se han cumplido es el de Juana Raymundo, quien fue víctima de femicidio</w:t>
      </w:r>
      <w:r w:rsidR="00EE7601">
        <w:rPr>
          <w:rStyle w:val="Refdenotaalpie"/>
        </w:rPr>
        <w:footnoteReference w:id="19"/>
      </w:r>
      <w:r>
        <w:t xml:space="preserve">. </w:t>
      </w:r>
      <w:r w:rsidRPr="002E1336">
        <w:t xml:space="preserve">El Tribunal pudo constatar que </w:t>
      </w:r>
      <w:r>
        <w:t xml:space="preserve">Juana </w:t>
      </w:r>
      <w:r w:rsidRPr="002E1336">
        <w:t>“fue objeto de violencia contra la mujer la cual, en una relación desigual de poderla cual la había mantenido bajo el dominio de su conviviente y agresor”</w:t>
      </w:r>
      <w:r w:rsidRPr="002E1336">
        <w:rPr>
          <w:rStyle w:val="Refdenotaalpie"/>
        </w:rPr>
        <w:footnoteReference w:id="20"/>
      </w:r>
      <w:r w:rsidRPr="002E1336">
        <w:t>, lo cual es un elemento del tipo penal de femicidio según lo establece el artículo 6 de la materia. Para analizar esta relación desigual de poder el Tribunal resalta lo que establece la Convención Interamericana para Prevenir, Sancionar y Erradicar la Violencia contra la Mujer “Convención de Belém Do Pará” en su artículo 1, y transcribe la definición de la Violencia contra la Mujer, que según dicho instrumento internacional es “cualquier acción o conducta, basada en su género, que cause muerte, daño o sufrimiento físico, sexual o psicológico a la mujer tanto en el ámbito público como en el privado”</w:t>
      </w:r>
      <w:r w:rsidRPr="002E1336">
        <w:rPr>
          <w:rStyle w:val="Refdenotaalpie"/>
        </w:rPr>
        <w:footnoteReference w:id="21"/>
      </w:r>
      <w:r w:rsidRPr="002E1336">
        <w:t>.</w:t>
      </w:r>
    </w:p>
    <w:p w14:paraId="59D0F8C6" w14:textId="08D1442C" w:rsidR="006C52C5" w:rsidRDefault="006C52C5" w:rsidP="006C52C5">
      <w:pPr>
        <w:pStyle w:val="Prrafodelista"/>
        <w:numPr>
          <w:ilvl w:val="0"/>
          <w:numId w:val="4"/>
        </w:numPr>
        <w:jc w:val="both"/>
      </w:pPr>
      <w:r>
        <w:lastRenderedPageBreak/>
        <w:t>E</w:t>
      </w:r>
      <w:r w:rsidRPr="002E1336">
        <w:t xml:space="preserve">l Tribunal de Sentencia aprobó medidas </w:t>
      </w:r>
      <w:r>
        <w:t xml:space="preserve">de reparación digna y transformadora </w:t>
      </w:r>
      <w:r w:rsidRPr="002E1336">
        <w:t xml:space="preserve">que abarcan la rehabilitación, la satisfacción y </w:t>
      </w:r>
      <w:r>
        <w:t>la</w:t>
      </w:r>
      <w:r w:rsidRPr="002E1336">
        <w:t xml:space="preserve"> no repetición</w:t>
      </w:r>
      <w:r w:rsidR="00EE7601">
        <w:rPr>
          <w:rStyle w:val="Refdenotaalpie"/>
        </w:rPr>
        <w:footnoteReference w:id="22"/>
      </w:r>
      <w:r>
        <w:t>. El Tribunal hizo énfasis</w:t>
      </w:r>
      <w:r w:rsidRPr="002E1336">
        <w:t xml:space="preserve"> en las medidas de no repetición</w:t>
      </w:r>
      <w:r>
        <w:t>,</w:t>
      </w:r>
      <w:r w:rsidRPr="002E1336">
        <w:t xml:space="preserve"> pues al </w:t>
      </w:r>
      <w:r>
        <w:t xml:space="preserve">ordenar la </w:t>
      </w:r>
      <w:r w:rsidRPr="002E1336">
        <w:t>conmemora</w:t>
      </w:r>
      <w:r>
        <w:t xml:space="preserve">ción anual </w:t>
      </w:r>
      <w:r w:rsidRPr="002E1336">
        <w:t xml:space="preserve">la vida de </w:t>
      </w:r>
      <w:r>
        <w:t xml:space="preserve">Juana </w:t>
      </w:r>
      <w:r w:rsidRPr="002E1336">
        <w:t xml:space="preserve">y colocar una placa </w:t>
      </w:r>
      <w:r>
        <w:t>en su memoria</w:t>
      </w:r>
      <w:r w:rsidRPr="002E1336">
        <w:t xml:space="preserve"> se recordará </w:t>
      </w:r>
      <w:r>
        <w:t xml:space="preserve">que </w:t>
      </w:r>
      <w:r w:rsidRPr="002E1336">
        <w:t>el femicidio en su contra</w:t>
      </w:r>
      <w:r>
        <w:t xml:space="preserve"> </w:t>
      </w:r>
      <w:r w:rsidRPr="002E1336">
        <w:t xml:space="preserve">fue juzgado y que la persona que cometió el hecho fue </w:t>
      </w:r>
      <w:r w:rsidR="002F5D8D" w:rsidRPr="002E1336">
        <w:t>condenada</w:t>
      </w:r>
      <w:r w:rsidRPr="002E1336">
        <w:t>, lo que enviar</w:t>
      </w:r>
      <w:r>
        <w:t>á el</w:t>
      </w:r>
      <w:r w:rsidRPr="002E1336">
        <w:t xml:space="preserve"> mensaje </w:t>
      </w:r>
      <w:r>
        <w:t>de</w:t>
      </w:r>
      <w:r w:rsidRPr="002E1336">
        <w:t xml:space="preserve"> que la vida de las mujeres sí importa y que </w:t>
      </w:r>
      <w:r>
        <w:t>todas tienen el</w:t>
      </w:r>
      <w:r w:rsidRPr="002E1336">
        <w:t xml:space="preserve"> derecho a una vida libre de violencia.</w:t>
      </w:r>
      <w:r>
        <w:t xml:space="preserve"> Pero estas medidas no se han cumplido</w:t>
      </w:r>
      <w:r w:rsidR="001F4F0A">
        <w:rPr>
          <w:rStyle w:val="Refdenotaalpie"/>
        </w:rPr>
        <w:footnoteReference w:id="23"/>
      </w:r>
      <w:r>
        <w:t xml:space="preserve">. </w:t>
      </w:r>
    </w:p>
    <w:p w14:paraId="1CE4677C" w14:textId="77777777" w:rsidR="00EE7601" w:rsidRDefault="00EE7601" w:rsidP="001F4F0A">
      <w:pPr>
        <w:jc w:val="both"/>
      </w:pPr>
    </w:p>
    <w:p w14:paraId="4293AD18" w14:textId="1631F81B" w:rsidR="007E1807" w:rsidRPr="00E808BA" w:rsidRDefault="00C361D4" w:rsidP="007E1807">
      <w:pPr>
        <w:pStyle w:val="Ttulo1"/>
        <w:numPr>
          <w:ilvl w:val="0"/>
          <w:numId w:val="2"/>
        </w:numPr>
        <w:jc w:val="both"/>
        <w:rPr>
          <w:sz w:val="28"/>
          <w:szCs w:val="28"/>
          <w:lang w:val="es-GT"/>
        </w:rPr>
      </w:pPr>
      <w:bookmarkStart w:id="4" w:name="_Toc211498215"/>
      <w:r w:rsidRPr="00E808BA">
        <w:rPr>
          <w:sz w:val="28"/>
          <w:szCs w:val="28"/>
          <w:lang w:val="es-GT"/>
        </w:rPr>
        <w:t>Desafíos en el cumplimiento de sentencias en la vía constitucional</w:t>
      </w:r>
      <w:r w:rsidR="00503EBF" w:rsidRPr="00E808BA">
        <w:rPr>
          <w:sz w:val="28"/>
          <w:szCs w:val="28"/>
          <w:lang w:val="es-GT"/>
        </w:rPr>
        <w:t xml:space="preserve"> (listado de temas, acceso a la justicia, párr. 27; situación de los pueblos indígenas y afrodescendientes, párr. 16).</w:t>
      </w:r>
      <w:bookmarkEnd w:id="4"/>
    </w:p>
    <w:p w14:paraId="366442DE" w14:textId="77777777" w:rsidR="009402BD" w:rsidRPr="007E1807" w:rsidRDefault="009402BD" w:rsidP="007E1807">
      <w:pPr>
        <w:pStyle w:val="Prrafodelista"/>
        <w:numPr>
          <w:ilvl w:val="0"/>
          <w:numId w:val="4"/>
        </w:numPr>
        <w:jc w:val="both"/>
        <w:rPr>
          <w:lang w:val="es-GT"/>
        </w:rPr>
      </w:pPr>
      <w:r w:rsidRPr="007E1807">
        <w:rPr>
          <w:lang w:val="es-GT"/>
        </w:rPr>
        <w:t xml:space="preserve">En el marco de la firma de los Acuerdos de Paz en Guatemala, el Congreso de la República aprobó una nueva Ley General de Electricidad, Decreto 93-96. Ese mismo año 1996, ratificó el Convenio 169 de la Organización Internacional del Trabajo sobre Pueblos Indígenas y Tribales en Países </w:t>
      </w:r>
      <w:r w:rsidR="009A6F3A" w:rsidRPr="007E1807">
        <w:rPr>
          <w:lang w:val="es-GT"/>
        </w:rPr>
        <w:t>Independientes</w:t>
      </w:r>
      <w:r w:rsidRPr="007E1807">
        <w:rPr>
          <w:lang w:val="es-GT"/>
        </w:rPr>
        <w:t xml:space="preserve"> y un año </w:t>
      </w:r>
      <w:r w:rsidR="009A6F3A" w:rsidRPr="007E1807">
        <w:rPr>
          <w:lang w:val="es-GT"/>
        </w:rPr>
        <w:t>después</w:t>
      </w:r>
      <w:r w:rsidRPr="007E1807">
        <w:rPr>
          <w:lang w:val="es-GT"/>
        </w:rPr>
        <w:t>, en 1997 una nueva Ley de Minería, Decreto 48-97. Estos tres instrumentos jurídicos generaron derechos y obligaciones para el Estado en relación con los pueblos indígenas, como el de la consulta previa, pero las instituciones del Estado no cumplieron, bajo el pretexto que ni la Ley General de Electricidad ni la Ley de Minería, establecían como requisito llevar a cabo una consulta previa a los pueblos indígenas</w:t>
      </w:r>
      <w:r w:rsidR="001F2F56">
        <w:rPr>
          <w:rStyle w:val="Refdenotaalpie"/>
          <w:lang w:val="es-GT"/>
        </w:rPr>
        <w:footnoteReference w:id="24"/>
      </w:r>
      <w:r w:rsidRPr="007E1807">
        <w:rPr>
          <w:lang w:val="es-GT"/>
        </w:rPr>
        <w:t xml:space="preserve">. </w:t>
      </w:r>
    </w:p>
    <w:p w14:paraId="3F661916" w14:textId="77777777" w:rsidR="00F43575" w:rsidRDefault="001F2F56" w:rsidP="007E1807">
      <w:pPr>
        <w:pStyle w:val="Prrafodelista"/>
        <w:numPr>
          <w:ilvl w:val="0"/>
          <w:numId w:val="4"/>
        </w:numPr>
        <w:jc w:val="both"/>
        <w:rPr>
          <w:lang w:val="es-GT"/>
        </w:rPr>
      </w:pPr>
      <w:r>
        <w:rPr>
          <w:lang w:val="es-GT"/>
        </w:rPr>
        <w:t>Los pueblos indígenas acudieron a la justicia constitucional para hacer ver la violación a sus derechos colectivos, y después de varios años</w:t>
      </w:r>
      <w:r>
        <w:rPr>
          <w:rStyle w:val="Refdenotaalpie"/>
          <w:lang w:val="es-GT"/>
        </w:rPr>
        <w:footnoteReference w:id="25"/>
      </w:r>
      <w:r>
        <w:rPr>
          <w:lang w:val="es-GT"/>
        </w:rPr>
        <w:t>, finalmente la Corte de Constitucionalidad reconoció este derecho y emitió varias sentencias que buscaban reparar el daño causado. Para lo cual ordenó llevar a cabo la consulta y en otros casos que se realizar</w:t>
      </w:r>
      <w:r w:rsidR="007E1807">
        <w:rPr>
          <w:lang w:val="es-GT"/>
        </w:rPr>
        <w:t>á</w:t>
      </w:r>
      <w:r>
        <w:rPr>
          <w:lang w:val="es-GT"/>
        </w:rPr>
        <w:t>n estudios para determinar si los trabajos de exploración y explotación iniciados sin participación de los pueblos indígenas habí</w:t>
      </w:r>
      <w:r w:rsidR="007E1807">
        <w:rPr>
          <w:lang w:val="es-GT"/>
        </w:rPr>
        <w:t>a</w:t>
      </w:r>
      <w:r>
        <w:rPr>
          <w:lang w:val="es-GT"/>
        </w:rPr>
        <w:t>n causado daños</w:t>
      </w:r>
      <w:r w:rsidR="00031C83">
        <w:rPr>
          <w:rStyle w:val="Refdenotaalpie"/>
          <w:lang w:val="es-GT"/>
        </w:rPr>
        <w:footnoteReference w:id="26"/>
      </w:r>
      <w:r>
        <w:rPr>
          <w:lang w:val="es-GT"/>
        </w:rPr>
        <w:t>.</w:t>
      </w:r>
    </w:p>
    <w:p w14:paraId="4ADD440C" w14:textId="3470AB14" w:rsidR="009A6F3A" w:rsidRDefault="00B4793A" w:rsidP="009A6F3A">
      <w:pPr>
        <w:pStyle w:val="Prrafodelista"/>
        <w:numPr>
          <w:ilvl w:val="0"/>
          <w:numId w:val="4"/>
        </w:numPr>
        <w:jc w:val="both"/>
        <w:rPr>
          <w:lang w:val="es-GT"/>
        </w:rPr>
      </w:pPr>
      <w:r>
        <w:rPr>
          <w:lang w:val="es-GT"/>
        </w:rPr>
        <w:lastRenderedPageBreak/>
        <w:t>Hasta</w:t>
      </w:r>
      <w:r w:rsidR="00F43575">
        <w:rPr>
          <w:lang w:val="es-GT"/>
        </w:rPr>
        <w:t xml:space="preserve"> la fecha ninguna sentencia</w:t>
      </w:r>
      <w:r w:rsidR="007E1807">
        <w:rPr>
          <w:lang w:val="es-GT"/>
        </w:rPr>
        <w:t>,</w:t>
      </w:r>
      <w:r w:rsidR="00F43575">
        <w:rPr>
          <w:lang w:val="es-GT"/>
        </w:rPr>
        <w:t xml:space="preserve"> que ha ordenado revisar si hubo daños causados por los proyectos extractivos</w:t>
      </w:r>
      <w:r w:rsidR="007E1807">
        <w:rPr>
          <w:lang w:val="es-GT"/>
        </w:rPr>
        <w:t>,</w:t>
      </w:r>
      <w:r w:rsidR="00F43575">
        <w:rPr>
          <w:lang w:val="es-GT"/>
        </w:rPr>
        <w:t xml:space="preserve"> se ha cumplido. En el caso de las consultas, la única que ha </w:t>
      </w:r>
      <w:r w:rsidR="00164540">
        <w:rPr>
          <w:lang w:val="es-GT"/>
        </w:rPr>
        <w:t>avanzado,</w:t>
      </w:r>
      <w:r w:rsidR="00F43575">
        <w:rPr>
          <w:lang w:val="es-GT"/>
        </w:rPr>
        <w:t xml:space="preserve"> pero ha llevado caso cinco años de implementación es el caso del Parlamento Xinka en Guatemala. Por otro lado, casos como el de la </w:t>
      </w:r>
      <w:r w:rsidR="009A6F3A">
        <w:rPr>
          <w:lang w:val="es-GT"/>
        </w:rPr>
        <w:t>Resistencia</w:t>
      </w:r>
      <w:r w:rsidR="00F43575">
        <w:rPr>
          <w:lang w:val="es-GT"/>
        </w:rPr>
        <w:t xml:space="preserve"> Pacífica la Puya</w:t>
      </w:r>
      <w:r w:rsidR="007E1807">
        <w:rPr>
          <w:lang w:val="es-GT"/>
        </w:rPr>
        <w:t xml:space="preserve">, no han avanzado. De acuerdo con el Ministerio de Energía y Minas, este proceso inició en mayo de 2022, y hasta la fecha no se ha entrado formalmente al proceso </w:t>
      </w:r>
      <w:r>
        <w:rPr>
          <w:lang w:val="es-GT"/>
        </w:rPr>
        <w:t>de</w:t>
      </w:r>
      <w:r w:rsidR="007E1807">
        <w:rPr>
          <w:lang w:val="es-GT"/>
        </w:rPr>
        <w:t xml:space="preserve"> la consulta</w:t>
      </w:r>
      <w:r w:rsidR="004E70FD">
        <w:rPr>
          <w:rStyle w:val="Refdenotaalpie"/>
          <w:lang w:val="es-GT"/>
        </w:rPr>
        <w:footnoteReference w:id="27"/>
      </w:r>
      <w:r w:rsidR="007E1807">
        <w:rPr>
          <w:lang w:val="es-GT"/>
        </w:rPr>
        <w:t xml:space="preserve">. </w:t>
      </w:r>
      <w:r w:rsidR="00883DC3">
        <w:rPr>
          <w:lang w:val="es-GT"/>
        </w:rPr>
        <w:t>Estos procesos se han caracterizado porque las empresas generan un ámbito coercitivo para las comunidades, donde se presiona para que los procesos</w:t>
      </w:r>
      <w:r>
        <w:rPr>
          <w:lang w:val="es-GT"/>
        </w:rPr>
        <w:t xml:space="preserve"> de consulta se realicen de manera ágil sin considerar las dinámicas de toma de decisión de las comunidades</w:t>
      </w:r>
      <w:r w:rsidR="00883DC3">
        <w:rPr>
          <w:lang w:val="es-GT"/>
        </w:rPr>
        <w:t>. El actuar de las empresas no siempre ha sido de buena fe, que es un principio de los procesos de consulta</w:t>
      </w:r>
      <w:r w:rsidR="004E70FD">
        <w:rPr>
          <w:rStyle w:val="Refdenotaalpie"/>
          <w:lang w:val="es-GT"/>
        </w:rPr>
        <w:footnoteReference w:id="28"/>
      </w:r>
      <w:r w:rsidR="00883DC3">
        <w:rPr>
          <w:lang w:val="es-GT"/>
        </w:rPr>
        <w:t>.</w:t>
      </w:r>
    </w:p>
    <w:p w14:paraId="25885F25" w14:textId="35D2C29E" w:rsidR="00710F70" w:rsidRDefault="007E1807" w:rsidP="009A6F3A">
      <w:pPr>
        <w:pStyle w:val="Prrafodelista"/>
        <w:numPr>
          <w:ilvl w:val="0"/>
          <w:numId w:val="4"/>
        </w:numPr>
        <w:jc w:val="both"/>
        <w:rPr>
          <w:lang w:val="es-GT"/>
        </w:rPr>
      </w:pPr>
      <w:r w:rsidRPr="009A6F3A">
        <w:rPr>
          <w:lang w:val="es-GT"/>
        </w:rPr>
        <w:t xml:space="preserve">Por el contrario, </w:t>
      </w:r>
      <w:r w:rsidR="00883DC3" w:rsidRPr="009A6F3A">
        <w:rPr>
          <w:lang w:val="es-GT"/>
        </w:rPr>
        <w:t>a pesar que las empresas conocen de los derechos de las comu</w:t>
      </w:r>
      <w:r w:rsidR="00B4793A" w:rsidRPr="009A6F3A">
        <w:rPr>
          <w:lang w:val="es-GT"/>
        </w:rPr>
        <w:t>n</w:t>
      </w:r>
      <w:r w:rsidR="00883DC3" w:rsidRPr="009A6F3A">
        <w:rPr>
          <w:lang w:val="es-GT"/>
        </w:rPr>
        <w:t xml:space="preserve">idades indígenas, no </w:t>
      </w:r>
      <w:r w:rsidR="00B4793A" w:rsidRPr="009A6F3A">
        <w:rPr>
          <w:lang w:val="es-GT"/>
        </w:rPr>
        <w:t>los cumplen</w:t>
      </w:r>
      <w:r w:rsidR="00883DC3" w:rsidRPr="009A6F3A">
        <w:rPr>
          <w:lang w:val="es-GT"/>
        </w:rPr>
        <w:t>. Pero si han demandado al Estado en arbitrajes que conoce el Centro Internacional de Arreglo de Diferencias relativas a Inversiones (CIADI). Recientemente, el Estado ha sido condenado a pagar un mon</w:t>
      </w:r>
      <w:r w:rsidR="00493F00" w:rsidRPr="009A6F3A">
        <w:rPr>
          <w:lang w:val="es-GT"/>
        </w:rPr>
        <w:t>t</w:t>
      </w:r>
      <w:r w:rsidR="00883DC3" w:rsidRPr="009A6F3A">
        <w:rPr>
          <w:lang w:val="es-GT"/>
        </w:rPr>
        <w:t>o de US$</w:t>
      </w:r>
      <w:r w:rsidR="00493F00" w:rsidRPr="009A6F3A">
        <w:rPr>
          <w:lang w:val="es-GT"/>
        </w:rPr>
        <w:t>1</w:t>
      </w:r>
      <w:r w:rsidR="00883DC3" w:rsidRPr="009A6F3A">
        <w:rPr>
          <w:lang w:val="es-GT"/>
        </w:rPr>
        <w:t>6</w:t>
      </w:r>
      <w:r w:rsidR="00493F00" w:rsidRPr="009A6F3A">
        <w:rPr>
          <w:lang w:val="es-GT"/>
        </w:rPr>
        <w:t>6.4</w:t>
      </w:r>
      <w:r w:rsidR="00883DC3" w:rsidRPr="009A6F3A">
        <w:rPr>
          <w:lang w:val="es-GT"/>
        </w:rPr>
        <w:t xml:space="preserve"> millones </w:t>
      </w:r>
      <w:r w:rsidR="00493F00" w:rsidRPr="009A6F3A">
        <w:rPr>
          <w:lang w:val="es-GT"/>
        </w:rPr>
        <w:t>a empresas que no pudieron operar en el país</w:t>
      </w:r>
      <w:r w:rsidR="0003684E">
        <w:rPr>
          <w:rStyle w:val="Refdenotaalpie"/>
          <w:lang w:val="es-GT"/>
        </w:rPr>
        <w:footnoteReference w:id="29"/>
      </w:r>
      <w:r w:rsidR="00883DC3" w:rsidRPr="009A6F3A">
        <w:rPr>
          <w:lang w:val="es-GT"/>
        </w:rPr>
        <w:t xml:space="preserve">. </w:t>
      </w:r>
      <w:r w:rsidR="00493F00" w:rsidRPr="009A6F3A">
        <w:rPr>
          <w:lang w:val="es-GT"/>
        </w:rPr>
        <w:t xml:space="preserve"> Sin embargo, en uno de los casos relacionados con la construcción de una hidroeléctrica por parte de la entidad Energía y Renovación Holding, en CIADI, estableció que </w:t>
      </w:r>
      <w:r w:rsidR="00493F00" w:rsidRPr="009A6F3A">
        <w:rPr>
          <w:b/>
          <w:bCs/>
          <w:lang w:val="es-GT"/>
        </w:rPr>
        <w:t>la empresa no cumplió “plenamente con su deber de mitigar los daños”</w:t>
      </w:r>
      <w:r w:rsidR="00493F00" w:rsidRPr="009A6F3A">
        <w:rPr>
          <w:lang w:val="es-GT"/>
        </w:rPr>
        <w:t> por lo que redujo la indemnización a recibir por parte de Guatemala en un 20% hasta los 64.504.000 USD.</w:t>
      </w:r>
      <w:r w:rsidR="00493F00">
        <w:rPr>
          <w:rStyle w:val="Refdenotaalpie"/>
          <w:lang w:val="es-GT"/>
        </w:rPr>
        <w:footnoteReference w:id="30"/>
      </w:r>
      <w:r w:rsidR="00164540">
        <w:rPr>
          <w:lang w:val="es-GT"/>
        </w:rPr>
        <w:t xml:space="preserve"> </w:t>
      </w:r>
      <w:r w:rsidR="00493F00" w:rsidRPr="009A6F3A">
        <w:rPr>
          <w:lang w:val="es-GT"/>
        </w:rPr>
        <w:t xml:space="preserve">Esto demuestra que las sentencias en donde se ordena hacer una revisión de los daños y que estos sean reparados no se han cumplido en detrimento de los derechos de las comunidades indígenas. </w:t>
      </w:r>
    </w:p>
    <w:p w14:paraId="7BB6DFA9" w14:textId="7180ED3B" w:rsidR="000422B0" w:rsidRPr="004F6CD8" w:rsidRDefault="000422B0" w:rsidP="000422B0">
      <w:pPr>
        <w:pStyle w:val="Prrafodelista"/>
        <w:numPr>
          <w:ilvl w:val="0"/>
          <w:numId w:val="4"/>
        </w:numPr>
        <w:jc w:val="both"/>
        <w:rPr>
          <w:lang w:val="es-GT"/>
        </w:rPr>
      </w:pPr>
      <w:r w:rsidRPr="000422B0">
        <w:rPr>
          <w:lang w:val="es-GT"/>
        </w:rPr>
        <w:t xml:space="preserve">Otro caso que ejemplifica esta situación es </w:t>
      </w:r>
      <w:r w:rsidRPr="004F6CD8">
        <w:rPr>
          <w:lang w:val="es-GT"/>
        </w:rPr>
        <w:t xml:space="preserve">el conocido como Yichk’isis, que es una microrregión en el municipio de San Mateo Ixtatán, al norte de Huehuetenango, Guatemala el cual ha sido históricamente marcado por conflictos de diversos tipos y por las secuelas de la violencia durante la guerra, en donde las comunidades indígenas Q’anjob’al, Chuj y Akateko llevan más de una década defendiendo su </w:t>
      </w:r>
      <w:r w:rsidRPr="004F6CD8">
        <w:rPr>
          <w:lang w:val="es-GT"/>
        </w:rPr>
        <w:lastRenderedPageBreak/>
        <w:t>territorio frente a proyectos hidroeléctricos San Mateo y San Andrés de la empresa Energía y Renovación Holding S.A. que se construyeron sin haber promovido una consulta libre, previa e informada, por parte del Estado.</w:t>
      </w:r>
      <w:r w:rsidR="004F6CD8">
        <w:rPr>
          <w:lang w:val="es-GT"/>
        </w:rPr>
        <w:t xml:space="preserve"> </w:t>
      </w:r>
      <w:r w:rsidRPr="004F6CD8">
        <w:rPr>
          <w:lang w:val="es-GT"/>
        </w:rPr>
        <w:t xml:space="preserve">Sin </w:t>
      </w:r>
      <w:r w:rsidR="00034CB2" w:rsidRPr="004F6CD8">
        <w:rPr>
          <w:lang w:val="es-GT"/>
        </w:rPr>
        <w:t>embargo,</w:t>
      </w:r>
      <w:r w:rsidRPr="004F6CD8">
        <w:rPr>
          <w:lang w:val="es-GT"/>
        </w:rPr>
        <w:t xml:space="preserve"> en 2009, la comunidad, sí había realizado una consulta comunitaria de buena fe</w:t>
      </w:r>
      <w:r w:rsidRPr="004F6CD8">
        <w:rPr>
          <w:rStyle w:val="Refdenotaalpie"/>
          <w:sz w:val="24"/>
          <w:lang w:val="es-GT"/>
        </w:rPr>
        <w:footnoteReference w:id="31"/>
      </w:r>
      <w:r w:rsidRPr="004F6CD8">
        <w:rPr>
          <w:lang w:val="es-GT"/>
        </w:rPr>
        <w:t xml:space="preserve"> en la que rechazaron megaproyectos y la explotación de las riquezas naturales del</w:t>
      </w:r>
      <w:r w:rsidRPr="000422B0">
        <w:rPr>
          <w:color w:val="5B9BD5" w:themeColor="accent5"/>
          <w:lang w:val="es-GT"/>
        </w:rPr>
        <w:t xml:space="preserve"> </w:t>
      </w:r>
      <w:r w:rsidRPr="004F6CD8">
        <w:rPr>
          <w:lang w:val="es-GT"/>
        </w:rPr>
        <w:t>territorio</w:t>
      </w:r>
      <w:r w:rsidRPr="004F6CD8">
        <w:rPr>
          <w:rStyle w:val="Refdenotaalpie"/>
          <w:sz w:val="24"/>
          <w:lang w:val="es-GT"/>
        </w:rPr>
        <w:footnoteReference w:id="32"/>
      </w:r>
      <w:r w:rsidRPr="004F6CD8">
        <w:rPr>
          <w:lang w:val="es-GT"/>
        </w:rPr>
        <w:t xml:space="preserve">. Estos proyectos conllevaron graves consecuencias ambientales y vulneraciones de derechos e incluso la negación por parte de la empresa </w:t>
      </w:r>
      <w:r w:rsidR="004F6CD8">
        <w:rPr>
          <w:lang w:val="es-GT"/>
        </w:rPr>
        <w:t xml:space="preserve">de la </w:t>
      </w:r>
      <w:r w:rsidRPr="004F6CD8">
        <w:rPr>
          <w:lang w:val="es-GT"/>
        </w:rPr>
        <w:t>existencia de pueblos indígenas en el país. La resistencia iniciada en 2013, escaló en 2018, cuando los pobladores presentaron una queja ante el Mecanismo Independiente de Consulta e Investigación (MICI) del Grupo BID (Banco Interamericano de Desarrollo)</w:t>
      </w:r>
      <w:r w:rsidRPr="004F6CD8">
        <w:rPr>
          <w:rStyle w:val="Refdenotaalpie"/>
          <w:sz w:val="24"/>
          <w:lang w:val="es-GT"/>
        </w:rPr>
        <w:footnoteReference w:id="33"/>
      </w:r>
      <w:r w:rsidRPr="004F6CD8">
        <w:rPr>
          <w:lang w:val="es-GT"/>
        </w:rPr>
        <w:t>, entidad que financiaba los proyectos hidroeléctricos.</w:t>
      </w:r>
    </w:p>
    <w:p w14:paraId="31AF52B4" w14:textId="77777777" w:rsidR="000422B0" w:rsidRPr="004F6CD8" w:rsidRDefault="000422B0" w:rsidP="000422B0">
      <w:pPr>
        <w:pStyle w:val="Prrafodelista"/>
        <w:numPr>
          <w:ilvl w:val="0"/>
          <w:numId w:val="4"/>
        </w:numPr>
        <w:jc w:val="both"/>
        <w:rPr>
          <w:lang w:val="es-GT"/>
        </w:rPr>
      </w:pPr>
      <w:r w:rsidRPr="004F6CD8">
        <w:rPr>
          <w:lang w:val="es-GT"/>
        </w:rPr>
        <w:t>Tras una exhaustiva investigación, el MICI concluyó en 2021 que el banco no había cumplido con sus propios estándares de debida diligencia y emitió un informe que recomienda al BID el retiro de la inversión,</w:t>
      </w:r>
      <w:r w:rsidR="004F6CD8">
        <w:rPr>
          <w:lang w:val="es-GT"/>
        </w:rPr>
        <w:t xml:space="preserve"> </w:t>
      </w:r>
      <w:r w:rsidRPr="004F6CD8">
        <w:rPr>
          <w:lang w:val="es-GT"/>
        </w:rPr>
        <w:t>entre otras 26 recomendaciones. El Directorio aprueba la recomendación 27 de “retiro responsable” de la inversión, sentando un precedente en las decisiones de los Bancos Multilaterales de Desarrollo (BMD) y establece un plan de salida, un plan acción y un</w:t>
      </w:r>
      <w:r w:rsidR="004F6CD8">
        <w:rPr>
          <w:lang w:val="es-GT"/>
        </w:rPr>
        <w:t xml:space="preserve"> </w:t>
      </w:r>
      <w:r w:rsidRPr="004F6CD8">
        <w:rPr>
          <w:lang w:val="es-GT"/>
        </w:rPr>
        <w:t>plan de</w:t>
      </w:r>
      <w:r w:rsidR="004F6CD8">
        <w:rPr>
          <w:lang w:val="es-GT"/>
        </w:rPr>
        <w:t xml:space="preserve"> </w:t>
      </w:r>
      <w:r w:rsidRPr="004F6CD8">
        <w:rPr>
          <w:lang w:val="es-GT"/>
        </w:rPr>
        <w:t>transición para que hechos como los ocurridos en Yichk’isis no vuelvan a ocurrir. Sin embargo, la licencia continúa vigente a favor de Promoción y Desarrollos Hídricos, S.A (actualmente Energía y Renovación, S.A.)</w:t>
      </w:r>
      <w:r w:rsidR="004F6CD8">
        <w:rPr>
          <w:strike/>
          <w:lang w:val="es-GT"/>
        </w:rPr>
        <w:t xml:space="preserve"> </w:t>
      </w:r>
      <w:r w:rsidRPr="004F6CD8">
        <w:rPr>
          <w:lang w:val="es-GT"/>
        </w:rPr>
        <w:t>como se evidencia en el Acuerdo Ministerial 252-2011, de fecha 13 de diciembre de 2011, donde el Ministerio de Energía y Minas autorizó  a la entidad GENERADORA SAN MATEO S.A. la instalación de la HIDROELÉCTRICA POJOM II(GU3794A-01)</w:t>
      </w:r>
      <w:r w:rsidRPr="004F6CD8">
        <w:rPr>
          <w:rStyle w:val="Refdenotaalpie"/>
          <w:sz w:val="24"/>
          <w:lang w:val="es-GT"/>
        </w:rPr>
        <w:footnoteReference w:id="34"/>
      </w:r>
      <w:r w:rsidRPr="004F6CD8">
        <w:rPr>
          <w:lang w:val="es-GT"/>
        </w:rPr>
        <w:t>, con una capacidad instalada de 23.00MW, en el municipio de San Mateo Ixtatán(GU3798A-01)</w:t>
      </w:r>
      <w:r w:rsidRPr="004F6CD8">
        <w:rPr>
          <w:rStyle w:val="Refdenotaalpie"/>
          <w:sz w:val="24"/>
          <w:lang w:val="es-GT"/>
        </w:rPr>
        <w:footnoteReference w:id="35"/>
      </w:r>
      <w:r w:rsidRPr="004F6CD8">
        <w:rPr>
          <w:lang w:val="es-GT"/>
        </w:rPr>
        <w:t xml:space="preserve">, Huehuetenango, para un plazo de 50 años, sin haber agotado el derecho de consulta previa, libre e informada según el Convenio 169 de la OIT. Esta disposición afectó negativamente el desarrollo ambiental de las comunidades, la cultura, su cosmovisión, sus sitios sagrados, además de contaminar las aguas de cinco ríos (Primavera, Varsovia, Palmira, Negro y Pojom) de San Mateo Ixtatán, </w:t>
      </w:r>
      <w:r w:rsidRPr="004F6CD8">
        <w:rPr>
          <w:lang w:val="es-GT"/>
        </w:rPr>
        <w:lastRenderedPageBreak/>
        <w:t>Huehuetenango que con tanto esfuerzo las comunidades indígenas han cuidado y respetado la sagrada agua que corre en los territorios de generación en generación.</w:t>
      </w:r>
    </w:p>
    <w:p w14:paraId="2E04840E" w14:textId="77777777" w:rsidR="000422B0" w:rsidRPr="009A6F3A" w:rsidRDefault="004F6CD8" w:rsidP="009A6F3A">
      <w:pPr>
        <w:pStyle w:val="Prrafodelista"/>
        <w:numPr>
          <w:ilvl w:val="0"/>
          <w:numId w:val="4"/>
        </w:numPr>
        <w:jc w:val="both"/>
        <w:rPr>
          <w:lang w:val="es-GT"/>
        </w:rPr>
      </w:pPr>
      <w:r>
        <w:rPr>
          <w:lang w:val="es-GT"/>
        </w:rPr>
        <w:t xml:space="preserve">Con estos casos se evidencia esa desigualdad en el trato de las comunidades y </w:t>
      </w:r>
      <w:r w:rsidR="0073254F">
        <w:rPr>
          <w:lang w:val="es-GT"/>
        </w:rPr>
        <w:t>las empresas</w:t>
      </w:r>
      <w:r>
        <w:rPr>
          <w:lang w:val="es-GT"/>
        </w:rPr>
        <w:t xml:space="preserve"> porque, las comunidades han tenido que activar mecanismos legales para hacer ver la vulneración de sus derechos y aún cuando quedan demostradas en procesos legales, las reparaciones no se cumplen. </w:t>
      </w:r>
    </w:p>
    <w:p w14:paraId="7E4ADD8E" w14:textId="77777777" w:rsidR="00463119" w:rsidRDefault="00463119" w:rsidP="00463119">
      <w:pPr>
        <w:jc w:val="both"/>
        <w:rPr>
          <w:lang w:val="es-GT"/>
        </w:rPr>
      </w:pPr>
    </w:p>
    <w:p w14:paraId="5E9221B2" w14:textId="67523881" w:rsidR="00F947EB" w:rsidRPr="00E808BA" w:rsidRDefault="002942A3" w:rsidP="00F947EB">
      <w:pPr>
        <w:pStyle w:val="Ttulo1"/>
        <w:numPr>
          <w:ilvl w:val="0"/>
          <w:numId w:val="2"/>
        </w:numPr>
        <w:jc w:val="both"/>
        <w:rPr>
          <w:sz w:val="28"/>
          <w:szCs w:val="28"/>
        </w:rPr>
      </w:pPr>
      <w:bookmarkStart w:id="5" w:name="_Toc211498216"/>
      <w:r w:rsidRPr="00E808BA">
        <w:rPr>
          <w:sz w:val="28"/>
          <w:szCs w:val="28"/>
        </w:rPr>
        <w:t>Falta de reparación a personas defensoras de derechos huma</w:t>
      </w:r>
      <w:r w:rsidR="007F4287" w:rsidRPr="00E808BA">
        <w:rPr>
          <w:sz w:val="28"/>
          <w:szCs w:val="28"/>
        </w:rPr>
        <w:t>n</w:t>
      </w:r>
      <w:r w:rsidRPr="00E808BA">
        <w:rPr>
          <w:sz w:val="28"/>
          <w:szCs w:val="28"/>
        </w:rPr>
        <w:t>os criminalizadas</w:t>
      </w:r>
      <w:r w:rsidR="00503EBF" w:rsidRPr="00E808BA">
        <w:rPr>
          <w:sz w:val="28"/>
          <w:szCs w:val="28"/>
        </w:rPr>
        <w:t xml:space="preserve"> (</w:t>
      </w:r>
      <w:r w:rsidR="00503EBF" w:rsidRPr="00E808BA">
        <w:rPr>
          <w:sz w:val="28"/>
          <w:szCs w:val="28"/>
          <w:lang w:val="es-GT"/>
        </w:rPr>
        <w:t>listado de temas, acceso a la justicia, párrs. 13 y  27)</w:t>
      </w:r>
      <w:bookmarkEnd w:id="5"/>
    </w:p>
    <w:p w14:paraId="27239CC1" w14:textId="77777777" w:rsidR="00C166C3" w:rsidRPr="00C166C3" w:rsidRDefault="00C166C3" w:rsidP="00C166C3">
      <w:pPr>
        <w:pStyle w:val="Prrafodelista"/>
        <w:numPr>
          <w:ilvl w:val="0"/>
          <w:numId w:val="4"/>
        </w:numPr>
        <w:shd w:val="clear" w:color="auto" w:fill="FFFFFF"/>
        <w:jc w:val="both"/>
      </w:pPr>
      <w:r w:rsidRPr="00C166C3">
        <w:t>La criminalización de las personas defensoras de derechos humanos, a menudo utilizada como estrategia para silenciar y debilitar sus causas, representa una grave amenaza para el ejercicio de la democracia y el estado de derecho. Aunque la absolución final pueda reivindicar su inocencia, el proceso judicial en sí mismo es una forma de castigo que deja cicatrices profundas e irreparables, especialmente cuando los cargos se desestiman por no individualizar los delitos, evidenciando el carácter arbitrario y frívolo de la persecución penal.</w:t>
      </w:r>
    </w:p>
    <w:p w14:paraId="1C4171F4" w14:textId="77777777" w:rsidR="00C166C3" w:rsidRDefault="00C166C3" w:rsidP="00C166C3">
      <w:pPr>
        <w:pStyle w:val="Prrafodelista"/>
        <w:numPr>
          <w:ilvl w:val="0"/>
          <w:numId w:val="4"/>
        </w:numPr>
        <w:shd w:val="clear" w:color="auto" w:fill="FFFFFF"/>
        <w:jc w:val="both"/>
      </w:pPr>
      <w:r w:rsidRPr="00C166C3">
        <w:t>El uso indebido del derecho penal para atacar a defensores se ha convertido en una táctica común en muchos países, especialmente en América Latina. Las autoridades o terceros interesados empresas presentan denuncias por delitos graves —como terrorismo, sedición o afectación al desarrollo entre otras— con pruebas débiles, basándose en acusaciones generalizadas contra defensores</w:t>
      </w:r>
      <w:r>
        <w:t>.</w:t>
      </w:r>
    </w:p>
    <w:p w14:paraId="15BD6F51" w14:textId="1AB08B40" w:rsidR="00155BCF" w:rsidRDefault="00C166C3" w:rsidP="00C166C3">
      <w:pPr>
        <w:pStyle w:val="Prrafodelista"/>
        <w:numPr>
          <w:ilvl w:val="0"/>
          <w:numId w:val="4"/>
        </w:numPr>
        <w:ind w:left="714" w:hanging="357"/>
        <w:jc w:val="both"/>
      </w:pPr>
      <w:r w:rsidRPr="007E1807">
        <w:t xml:space="preserve">La criminalización de defensores y defensoras de derechos humanos en </w:t>
      </w:r>
      <w:r w:rsidR="001F4F0A" w:rsidRPr="007E1807">
        <w:t>Guatemala</w:t>
      </w:r>
      <w:r w:rsidRPr="007E1807">
        <w:t xml:space="preserve"> ha sido plenamente documenta</w:t>
      </w:r>
      <w:r>
        <w:rPr>
          <w:rStyle w:val="Refdenotaalpie"/>
        </w:rPr>
        <w:footnoteReference w:id="36"/>
      </w:r>
      <w:r w:rsidRPr="007E1807">
        <w:t>; sin embargo, de lo que no se ha hablado lo suficiente es de los impactos físicos, psicológicos y comunitarios en la vida personal, familiar y social de quienes han sufrido estos procesos injustos. Las personas quedan con el estigma de haber sido procesad</w:t>
      </w:r>
      <w:r w:rsidR="00E808BA">
        <w:t>a</w:t>
      </w:r>
      <w:r w:rsidRPr="007E1807">
        <w:t>s</w:t>
      </w:r>
      <w:r>
        <w:rPr>
          <w:rStyle w:val="Refdenotaalpie"/>
        </w:rPr>
        <w:footnoteReference w:id="37"/>
      </w:r>
      <w:r>
        <w:t xml:space="preserve"> además de las afectaciones ya mencionadas </w:t>
      </w:r>
      <w:r w:rsidRPr="007E1807">
        <w:t xml:space="preserve">porque no hay un mecanismo interno que permita restaurar los derechos que fueron afectados. </w:t>
      </w:r>
    </w:p>
    <w:p w14:paraId="1F642974" w14:textId="77777777" w:rsidR="00C166C3" w:rsidRPr="00C166C3" w:rsidRDefault="00C166C3" w:rsidP="00E81F4D">
      <w:pPr>
        <w:pStyle w:val="Prrafodelista"/>
        <w:numPr>
          <w:ilvl w:val="0"/>
          <w:numId w:val="4"/>
        </w:numPr>
        <w:ind w:left="714" w:hanging="357"/>
        <w:jc w:val="both"/>
      </w:pPr>
      <w:r>
        <w:t xml:space="preserve">La criminalización como tal, sigue ocurriendo en Guatemala, y otro caso que refleja esta situación es la </w:t>
      </w:r>
      <w:r w:rsidRPr="00C166C3">
        <w:t xml:space="preserve">del territorio del Valle de </w:t>
      </w:r>
      <w:proofErr w:type="spellStart"/>
      <w:r w:rsidRPr="00C166C3">
        <w:t>Palajunoj</w:t>
      </w:r>
      <w:proofErr w:type="spellEnd"/>
      <w:r w:rsidR="00E81F4D">
        <w:t>, Quetzaltenango</w:t>
      </w:r>
      <w:r w:rsidRPr="00C166C3">
        <w:t xml:space="preserve"> donde </w:t>
      </w:r>
      <w:r w:rsidR="00155BCF">
        <w:t xml:space="preserve">varias empresas </w:t>
      </w:r>
      <w:r w:rsidRPr="00C166C3">
        <w:t>generan devastación de la Madre Naturaleza.</w:t>
      </w:r>
      <w:r>
        <w:t xml:space="preserve"> </w:t>
      </w:r>
      <w:r w:rsidR="00155BCF">
        <w:t>Ante la defensa del territorio que realizan las comunidades, las empresas</w:t>
      </w:r>
      <w:r>
        <w:t xml:space="preserve"> denuncian a </w:t>
      </w:r>
      <w:r w:rsidR="00155BCF">
        <w:lastRenderedPageBreak/>
        <w:t xml:space="preserve">sus </w:t>
      </w:r>
      <w:r>
        <w:t>integrantes</w:t>
      </w:r>
      <w:r w:rsidR="00EE7601">
        <w:rPr>
          <w:rStyle w:val="Refdenotaalpie"/>
        </w:rPr>
        <w:footnoteReference w:id="38"/>
      </w:r>
      <w:r>
        <w:t>.</w:t>
      </w:r>
      <w:r w:rsidRPr="00C166C3">
        <w:t xml:space="preserve">  A menudo, la acusación no logra identificar de manera individualizada la responsabilidad penal de cada persona implicada, una omisión fundamental que contraviene los principios del debido proceso y la presunción de inocencia. A pesar de esta deficiencia, el proceso avanza, sometiendo a las personas defensoras a años de incertidumbre, estigmatización y desgaste económico y emocional; lo que conlleva a un proceso de acompañamiento psicosocial por parte de organizaciones sociales aliadas, debido a que desde el Estado el tema de reparación no se logra concretar</w:t>
      </w:r>
      <w:r w:rsidRPr="00C166C3">
        <w:rPr>
          <w:vertAlign w:val="superscript"/>
        </w:rPr>
        <w:footnoteReference w:id="39"/>
      </w:r>
      <w:r w:rsidRPr="00C166C3">
        <w:t>.</w:t>
      </w:r>
    </w:p>
    <w:p w14:paraId="6097155D" w14:textId="77777777" w:rsidR="00C166C3" w:rsidRPr="00C166C3" w:rsidRDefault="00C166C3" w:rsidP="0053335B">
      <w:pPr>
        <w:pStyle w:val="Prrafodelista"/>
        <w:numPr>
          <w:ilvl w:val="0"/>
          <w:numId w:val="4"/>
        </w:numPr>
        <w:shd w:val="clear" w:color="auto" w:fill="FFFFFF"/>
        <w:jc w:val="both"/>
      </w:pPr>
      <w:r w:rsidRPr="00C166C3">
        <w:t>El fallo absolutorio, que llega después de un largo y doloroso camino, confirma lo que ya se sabía: la falta de méritos de la acusación. Sin embargo, esta victoria legal no es un final feliz. El daño causado durante la persecución judicial es inmenso. Los defensores y su</w:t>
      </w:r>
      <w:r>
        <w:t>s</w:t>
      </w:r>
      <w:r w:rsidRPr="00C166C3">
        <w:t xml:space="preserve"> familia</w:t>
      </w:r>
      <w:r>
        <w:t>s</w:t>
      </w:r>
      <w:r w:rsidRPr="00C166C3">
        <w:t xml:space="preserve"> enfrentan un trauma psicológico, el aislamiento social y la ruina financiera debido a los altos costos legales y la pérdida de empleo. A nivel comunitario, el proceso genera miedo e intimidación, desalentando a otros a unirse a la defensa de sus derechos y como lo es en caso del Valle a un rompimiento del tejido social.</w:t>
      </w:r>
    </w:p>
    <w:p w14:paraId="1F1B82E7" w14:textId="3874ABE7" w:rsidR="00C166C3" w:rsidRPr="00C166C3" w:rsidRDefault="00155BCF" w:rsidP="0053335B">
      <w:pPr>
        <w:pStyle w:val="Prrafodelista"/>
        <w:numPr>
          <w:ilvl w:val="0"/>
          <w:numId w:val="4"/>
        </w:numPr>
        <w:shd w:val="clear" w:color="auto" w:fill="FFFFFF"/>
        <w:jc w:val="both"/>
      </w:pPr>
      <w:r>
        <w:t>En el caso del V</w:t>
      </w:r>
      <w:r w:rsidR="00C166C3" w:rsidRPr="00C166C3">
        <w:t xml:space="preserve">alle de </w:t>
      </w:r>
      <w:proofErr w:type="spellStart"/>
      <w:r w:rsidR="00C166C3" w:rsidRPr="00C166C3">
        <w:t>Palajunoj</w:t>
      </w:r>
      <w:proofErr w:type="spellEnd"/>
      <w:r w:rsidR="00C166C3" w:rsidRPr="00C166C3">
        <w:t>, según expediente 3107-2018</w:t>
      </w:r>
      <w:r w:rsidR="00C166C3" w:rsidRPr="00155BCF">
        <w:rPr>
          <w:vertAlign w:val="superscript"/>
        </w:rPr>
        <w:footnoteReference w:id="40"/>
      </w:r>
      <w:r w:rsidR="00C166C3" w:rsidRPr="00155BCF">
        <w:rPr>
          <w:vertAlign w:val="superscript"/>
        </w:rPr>
        <w:t xml:space="preserve"> </w:t>
      </w:r>
      <w:r w:rsidR="00C166C3">
        <w:t>de la C</w:t>
      </w:r>
      <w:r w:rsidR="00C166C3" w:rsidRPr="00C166C3">
        <w:t xml:space="preserve">orte de Constitucionalidad, </w:t>
      </w:r>
      <w:r w:rsidR="00E81F4D">
        <w:t>además de criminalizar por la vía penal se hace por la vía constitucional a través de la acción de amparo</w:t>
      </w:r>
      <w:r w:rsidR="00C166C3" w:rsidRPr="00C166C3">
        <w:rPr>
          <w:vertAlign w:val="superscript"/>
        </w:rPr>
        <w:footnoteReference w:id="41"/>
      </w:r>
      <w:r w:rsidR="00C166C3" w:rsidRPr="00C166C3">
        <w:t xml:space="preserve">. </w:t>
      </w:r>
      <w:r w:rsidR="00E81F4D">
        <w:t xml:space="preserve">En este caso las empresas presentaron esta acción en contra de integrantes de la comunidad porque según ellos se les veda el derecho de locomoción, libertad de acción y libertad de industria, comercio y trabajo. La Corte de Constitucionalidad ha declarado sin lugar esta </w:t>
      </w:r>
      <w:r w:rsidR="00034CB2">
        <w:t>acción,</w:t>
      </w:r>
      <w:r w:rsidR="00E81F4D">
        <w:t xml:space="preserve"> pero a</w:t>
      </w:r>
      <w:r w:rsidR="00C166C3" w:rsidRPr="00C166C3">
        <w:t xml:space="preserve"> pesar</w:t>
      </w:r>
      <w:r w:rsidR="00E81F4D">
        <w:t xml:space="preserve"> de ello,</w:t>
      </w:r>
      <w:r w:rsidR="00C166C3" w:rsidRPr="00C166C3">
        <w:t xml:space="preserve"> </w:t>
      </w:r>
      <w:r w:rsidR="00E81F4D">
        <w:t>los comunitarios no han</w:t>
      </w:r>
      <w:r w:rsidR="00034CB2">
        <w:t xml:space="preserve"> </w:t>
      </w:r>
      <w:r w:rsidR="001F4F0A">
        <w:t xml:space="preserve">obtenido </w:t>
      </w:r>
      <w:r w:rsidR="001F4F0A" w:rsidRPr="00C166C3">
        <w:t>ninguna</w:t>
      </w:r>
      <w:r w:rsidR="00E81F4D">
        <w:t xml:space="preserve"> compensación por los años pe</w:t>
      </w:r>
      <w:r w:rsidR="00E81F4D" w:rsidRPr="00C166C3">
        <w:t>rdidos</w:t>
      </w:r>
      <w:r w:rsidR="00E81F4D">
        <w:t xml:space="preserve"> en el proceso</w:t>
      </w:r>
      <w:r w:rsidR="00C166C3" w:rsidRPr="00C166C3">
        <w:t>, el daño a su reputación, el sufrimiento emocional y las pérdidas económicas. Esto crea una impunidad de facto para aquellos que impulsaron la falsa acusación.</w:t>
      </w:r>
    </w:p>
    <w:p w14:paraId="7D79A3E4" w14:textId="77777777" w:rsidR="00E81F4D" w:rsidRDefault="00E81F4D" w:rsidP="0053335B">
      <w:pPr>
        <w:pStyle w:val="Prrafodelista"/>
        <w:numPr>
          <w:ilvl w:val="0"/>
          <w:numId w:val="4"/>
        </w:numPr>
        <w:shd w:val="clear" w:color="auto" w:fill="FFFFFF"/>
        <w:jc w:val="both"/>
      </w:pPr>
      <w:r>
        <w:t>La reparación</w:t>
      </w:r>
      <w:r w:rsidR="00C166C3" w:rsidRPr="00C166C3">
        <w:t xml:space="preserve"> no es solo una cuestión económica; es un principio fundamental de la justicia transicional y un elemento clave para restaurar la dignidad de la víctima y reconocer públicamente el error del sistema. La ausencia de este mecanismo envía un mensaje devastador: que las instituciones de justicia pueden ser instrumentalizadas sin consecuencias</w:t>
      </w:r>
      <w:r>
        <w:t>.</w:t>
      </w:r>
    </w:p>
    <w:p w14:paraId="3E916913" w14:textId="532099B7" w:rsidR="00E81F4D" w:rsidRDefault="00E81F4D" w:rsidP="0053335B">
      <w:pPr>
        <w:pStyle w:val="Prrafodelista"/>
        <w:numPr>
          <w:ilvl w:val="0"/>
          <w:numId w:val="4"/>
        </w:numPr>
        <w:ind w:left="714" w:hanging="357"/>
        <w:jc w:val="both"/>
      </w:pPr>
      <w:r>
        <w:lastRenderedPageBreak/>
        <w:t xml:space="preserve">Otro caso que ejemplifica esta situación es la </w:t>
      </w:r>
      <w:r w:rsidRPr="007E1807">
        <w:t>del señor Fausto Sánchez Roblero</w:t>
      </w:r>
      <w:r>
        <w:rPr>
          <w:rStyle w:val="Refdenotaalpie"/>
        </w:rPr>
        <w:footnoteReference w:id="42"/>
      </w:r>
      <w:r w:rsidRPr="007E1807">
        <w:t>, quien fue procesado por dos hechos</w:t>
      </w:r>
      <w:r w:rsidR="001F4F0A">
        <w:rPr>
          <w:rStyle w:val="Refdenotaalpie"/>
        </w:rPr>
        <w:footnoteReference w:id="43"/>
      </w:r>
      <w:r w:rsidRPr="007E1807">
        <w:t>, encarcelados por dos años y tres meses y posteriormente absuelto de todos los cargos imputados en su contra.</w:t>
      </w:r>
      <w:r>
        <w:rPr>
          <w:rStyle w:val="Refdenotaalpie"/>
        </w:rPr>
        <w:footnoteReference w:id="44"/>
      </w:r>
      <w:r w:rsidRPr="007E1807">
        <w:t xml:space="preserve"> Él inició un proceso penal, denunciando a todas las personas involucradas en su proceso de criminalización, desde trabajadores de la entidad Hidro </w:t>
      </w:r>
      <w:proofErr w:type="spellStart"/>
      <w:r w:rsidRPr="007E1807">
        <w:t>Salá</w:t>
      </w:r>
      <w:proofErr w:type="spellEnd"/>
      <w:r w:rsidRPr="007E1807">
        <w:t xml:space="preserve">, Sociedad Anónima, testigos, fiscales y jueces, pero la denuncia fue desestimada. </w:t>
      </w:r>
    </w:p>
    <w:p w14:paraId="6B78D27E" w14:textId="77777777" w:rsidR="00E81F4D" w:rsidRDefault="00E81F4D" w:rsidP="0053335B">
      <w:pPr>
        <w:pStyle w:val="Prrafodelista"/>
        <w:numPr>
          <w:ilvl w:val="0"/>
          <w:numId w:val="4"/>
        </w:numPr>
        <w:jc w:val="both"/>
      </w:pPr>
      <w:r>
        <w:t>La razón principal de la denuncia era evidenciar que los procesos en su contra respondían a un patrón de criminalización y obtener medidas de reparación por los daños causados en su contra. Sin embargo, el Ministerio Público desestimo en dos ocasiones su denuncia, considerando que los fiscales a cargo de la investigación actuaron con objetividad, situación que no ha pasado en otros casos en donde fiscales anticorrupción están siendo juzgados por casos que conocieron y que incluso llevaron a juicio</w:t>
      </w:r>
      <w:r>
        <w:rPr>
          <w:rStyle w:val="Refdenotaalpie"/>
        </w:rPr>
        <w:footnoteReference w:id="45"/>
      </w:r>
      <w:r>
        <w:t xml:space="preserve">. Esto demuestra que hay un trato diferenciado hacia las demandas de personas defensoras indígenas que buscan justicia por los abusos cometidos por parte del sistema de justicia. </w:t>
      </w:r>
    </w:p>
    <w:p w14:paraId="15302EC0" w14:textId="4C1B1E09" w:rsidR="009319FC" w:rsidRPr="009319FC" w:rsidRDefault="009319FC" w:rsidP="009319FC">
      <w:pPr>
        <w:pStyle w:val="Prrafodelista"/>
        <w:numPr>
          <w:ilvl w:val="0"/>
          <w:numId w:val="4"/>
        </w:numPr>
        <w:jc w:val="both"/>
        <w:rPr>
          <w:lang w:val="es-GT"/>
        </w:rPr>
      </w:pPr>
      <w:r>
        <w:rPr>
          <w:lang w:val="es-GT"/>
        </w:rPr>
        <w:t xml:space="preserve">Aunque se ha demostrado que las personas criminalizadas son inocentes y </w:t>
      </w:r>
      <w:r w:rsidR="00034CB2">
        <w:rPr>
          <w:lang w:val="es-GT"/>
        </w:rPr>
        <w:t>que,</w:t>
      </w:r>
      <w:r>
        <w:rPr>
          <w:lang w:val="es-GT"/>
        </w:rPr>
        <w:t xml:space="preserve"> por lo tanto, tiene derecho a una reparación integral, ocurre todo lo contrario, la criminalización continúa. En el caso </w:t>
      </w:r>
      <w:r w:rsidRPr="004F6CD8">
        <w:rPr>
          <w:lang w:val="es-GT"/>
        </w:rPr>
        <w:t>Yichk’isis</w:t>
      </w:r>
      <w:r>
        <w:rPr>
          <w:lang w:val="es-GT"/>
        </w:rPr>
        <w:t>, l</w:t>
      </w:r>
      <w:r w:rsidRPr="009319FC">
        <w:rPr>
          <w:lang w:val="es-GT"/>
        </w:rPr>
        <w:t>a falta de información, así como la falta de consulta y consentimiento libre, previo e informado del Proyecto Hidroeléctrico Pojom, hizo que unas personas estén a favor,</w:t>
      </w:r>
      <w:r>
        <w:rPr>
          <w:lang w:val="es-GT"/>
        </w:rPr>
        <w:t xml:space="preserve"> </w:t>
      </w:r>
      <w:r w:rsidRPr="009319FC">
        <w:rPr>
          <w:lang w:val="es-GT"/>
        </w:rPr>
        <w:t xml:space="preserve">y otros en contra, lo que desató una confrontación entre las comunidades, </w:t>
      </w:r>
      <w:r w:rsidR="00034CB2">
        <w:rPr>
          <w:lang w:val="es-GT"/>
        </w:rPr>
        <w:t xml:space="preserve">generando </w:t>
      </w:r>
      <w:r w:rsidRPr="009319FC">
        <w:rPr>
          <w:lang w:val="es-GT"/>
        </w:rPr>
        <w:t>agresiones mutuas.</w:t>
      </w:r>
      <w:r>
        <w:rPr>
          <w:lang w:val="es-GT"/>
        </w:rPr>
        <w:t xml:space="preserve"> </w:t>
      </w:r>
      <w:r w:rsidRPr="009319FC">
        <w:rPr>
          <w:lang w:val="es-GT"/>
        </w:rPr>
        <w:t>Estos conflictos comunitarios han sido provocados por la Empresa Energía y Renovación, S.A., pero para poder justificar sus acciones, comienzan a presentar denuncias falsas  y de esa manera evidencian un patrón generalizado para criminalizar aquellos que se oponen a la Hidroeléctrica, provocan el accionar de los órganos jurisdiccionales para la aplicación del derecho penal para reprimir a los líderes comunitarios defensores del medio ambiente, así como también, su sistema de organización social, en contra de sus autoridades ancestrales.</w:t>
      </w:r>
    </w:p>
    <w:p w14:paraId="747E42B4" w14:textId="34CE86BD" w:rsidR="0005166C" w:rsidRDefault="009319FC" w:rsidP="0005166C">
      <w:pPr>
        <w:pStyle w:val="Prrafodelista"/>
        <w:numPr>
          <w:ilvl w:val="0"/>
          <w:numId w:val="4"/>
        </w:numPr>
        <w:jc w:val="both"/>
        <w:rPr>
          <w:lang w:val="es-GT"/>
        </w:rPr>
      </w:pPr>
      <w:r w:rsidRPr="009319FC">
        <w:rPr>
          <w:lang w:val="es-GT"/>
        </w:rPr>
        <w:t xml:space="preserve">En el Caso Yichk’isis de Santa Eulalia, Huehuetenango, se generó un expediente de alrededor 23 criminalizados, con diferentes delitos en su contra, al menos 6 de ellos por tentativa de asesinato; 15 por conspiración y 2 por violencia sexual. Todos ellos tienen órdenes de captura; uno de ellos obtuvo sobreseimiento, otro obtuvo </w:t>
      </w:r>
      <w:r w:rsidRPr="009319FC">
        <w:rPr>
          <w:lang w:val="es-GT"/>
        </w:rPr>
        <w:lastRenderedPageBreak/>
        <w:t xml:space="preserve">cambio de delito por tentativa de asesinato por lesiones graves, y </w:t>
      </w:r>
      <w:r w:rsidR="00034CB2" w:rsidRPr="009319FC">
        <w:rPr>
          <w:lang w:val="es-GT"/>
        </w:rPr>
        <w:t>está</w:t>
      </w:r>
      <w:r w:rsidRPr="009319FC">
        <w:rPr>
          <w:lang w:val="es-GT"/>
        </w:rPr>
        <w:t xml:space="preserve"> por enfrentar juicio oral y público. Según la sentencia C-13005-2013-00139 (13005-2015-00109) del Tribunal Primero de Sentencia Penal, Narcoactividad y delitos contra el ambiente, a la autoridad ancestral, Rigoberto Juárez Mateo, se le condena como autor por el delito de Coacción, contra la libertad individual de las personas y se le impone la pena de seis meses de prisión, conmutables,  por haber guardado prisión superando el tiempo de la condena, se ordena su inmediata libertad. Sin embargo, al llegar a la Corte Suprema de Justicia la sentencia se revierte y se le impone a esta persona una pena de prisión de siete años. Esta es una tendencia de la Cámara Penal que tiene un trato diferenciado hacia las personas indígenas defensoras de derechos humanos</w:t>
      </w:r>
      <w:r w:rsidR="008B138D">
        <w:rPr>
          <w:lang w:val="es-GT"/>
        </w:rPr>
        <w:t xml:space="preserve"> o como en este caso, una autoridad ancestral elegida por la comunidad</w:t>
      </w:r>
      <w:r w:rsidRPr="009319FC">
        <w:rPr>
          <w:lang w:val="es-GT"/>
        </w:rPr>
        <w:t>, y que se plasman en los procesos identificados como 12005-2014-00385 y 12005-2014-00386</w:t>
      </w:r>
      <w:r w:rsidR="00DC20EB">
        <w:rPr>
          <w:lang w:val="es-GT"/>
        </w:rPr>
        <w:t xml:space="preserve"> en el caso conocido como San Pablo que surgió en el contexto de la defensa del territorio por la imposición del proyecto hidroeléctrico Hidro Salá</w:t>
      </w:r>
      <w:r w:rsidR="00DC20EB">
        <w:rPr>
          <w:rStyle w:val="Refdenotaalpie"/>
          <w:lang w:val="es-GT"/>
        </w:rPr>
        <w:footnoteReference w:id="46"/>
      </w:r>
    </w:p>
    <w:p w14:paraId="0C80C2C6" w14:textId="665AB857" w:rsidR="0073254F" w:rsidRPr="001F4F0A" w:rsidRDefault="0005166C" w:rsidP="001F4F0A">
      <w:pPr>
        <w:pStyle w:val="Prrafodelista"/>
        <w:numPr>
          <w:ilvl w:val="0"/>
          <w:numId w:val="4"/>
        </w:numPr>
        <w:jc w:val="both"/>
        <w:rPr>
          <w:lang w:val="es-GT"/>
        </w:rPr>
      </w:pPr>
      <w:r w:rsidRPr="0005166C">
        <w:rPr>
          <w:lang w:val="es-GT"/>
        </w:rPr>
        <w:t>Esta tendencia de revertir las sentencias también se ha dado en el caso Muqbilha’</w:t>
      </w:r>
      <w:r>
        <w:rPr>
          <w:rStyle w:val="Refdenotaalpie"/>
          <w:lang w:val="es-GT"/>
        </w:rPr>
        <w:footnoteReference w:id="47"/>
      </w:r>
      <w:r>
        <w:rPr>
          <w:lang w:val="es-GT"/>
        </w:rPr>
        <w:t>,</w:t>
      </w:r>
      <w:r w:rsidRPr="0005166C">
        <w:rPr>
          <w:lang w:val="es-GT"/>
        </w:rPr>
        <w:t xml:space="preserve"> la Cámara Penal de la Corte Suprema de Justicia, modificó el delito de detenciones ilegales por el secuestro y aumentó la pena por más de 20 años, que ahora es inconmutable para dos de los sindicados</w:t>
      </w:r>
      <w:r>
        <w:rPr>
          <w:lang w:val="es-GT"/>
        </w:rPr>
        <w:t xml:space="preserve"> que han sido criminalizados en el contexto de la defensa del territorio</w:t>
      </w:r>
      <w:r>
        <w:rPr>
          <w:rStyle w:val="Refdenotaalpie"/>
          <w:lang w:val="es-GT"/>
        </w:rPr>
        <w:footnoteReference w:id="48"/>
      </w:r>
      <w:r w:rsidRPr="0005166C">
        <w:rPr>
          <w:lang w:val="es-GT"/>
        </w:rPr>
        <w:t>.</w:t>
      </w:r>
    </w:p>
    <w:p w14:paraId="61FB9BCE" w14:textId="584E905E" w:rsidR="000422B0" w:rsidRDefault="00DC20EB" w:rsidP="00E808BA">
      <w:pPr>
        <w:pStyle w:val="Ttulo1"/>
      </w:pPr>
      <w:bookmarkStart w:id="6" w:name="_Toc211498217"/>
      <w:r>
        <w:lastRenderedPageBreak/>
        <w:t xml:space="preserve">F. </w:t>
      </w:r>
      <w:r w:rsidR="000422B0">
        <w:t>Racismo judicial y criminalización</w:t>
      </w:r>
      <w:r w:rsidR="00503EBF">
        <w:t xml:space="preserve"> (listado de temas, situación de los pueblos indígenas y afrodescendientes, </w:t>
      </w:r>
      <w:proofErr w:type="spellStart"/>
      <w:r w:rsidR="00503EBF">
        <w:t>párrs</w:t>
      </w:r>
      <w:proofErr w:type="spellEnd"/>
      <w:r w:rsidR="00503EBF">
        <w:t>. 12 y 17)</w:t>
      </w:r>
      <w:bookmarkEnd w:id="6"/>
    </w:p>
    <w:p w14:paraId="0C9518FD" w14:textId="77777777" w:rsidR="004F6CD8" w:rsidRDefault="000422B0" w:rsidP="004F6CD8">
      <w:pPr>
        <w:pStyle w:val="Prrafodelista"/>
        <w:numPr>
          <w:ilvl w:val="0"/>
          <w:numId w:val="4"/>
        </w:numPr>
        <w:jc w:val="both"/>
      </w:pPr>
      <w:r>
        <w:t xml:space="preserve">Además, de la falta de reparación de sentencias que ordenan estas medidas y la falta de mecanismos para su cumplimiento, también se da la falta de reparación cuando se juzgan casos relacionados con pueblos indígenas con prejuicios y estereotipos. </w:t>
      </w:r>
      <w:r w:rsidR="004F6CD8">
        <w:t xml:space="preserve">Dos casos ejemplifican esta situación, la Masacre de la Cumbre de Alaska y el caso </w:t>
      </w:r>
      <w:proofErr w:type="spellStart"/>
      <w:r w:rsidR="004F6CD8">
        <w:t>Samococh</w:t>
      </w:r>
      <w:proofErr w:type="spellEnd"/>
      <w:r w:rsidR="004F6CD8">
        <w:t xml:space="preserve">. </w:t>
      </w:r>
    </w:p>
    <w:p w14:paraId="4EEC4BA5" w14:textId="77777777" w:rsidR="004F6CD8" w:rsidRPr="004F6CD8" w:rsidRDefault="004F6CD8" w:rsidP="004F6CD8">
      <w:pPr>
        <w:pStyle w:val="Prrafodelista"/>
        <w:numPr>
          <w:ilvl w:val="0"/>
          <w:numId w:val="4"/>
        </w:numPr>
        <w:jc w:val="both"/>
      </w:pPr>
      <w:r w:rsidRPr="004F6CD8">
        <w:t>El caso de la Masacre de la Cumbre de Alaska, constituyó un parteaguas en la historia reciente de Guatemala, pues es la primera masacre que se da después de la firma de los Acuerdos de Paz, suscritos en 1996.  Esta masacre se da en un contexto de ejercicios de derechos como lo es la organización propia de los pueblos indígenas, el derecho de petición y el derecho de manifestación y reunión pacífica, pero la respuesta del Estado fue la represión. El 4 de octubre de 2012, marcó el inició de la búsqueda de justicia por parte de la Junta Directiva del Consejo de Alcaldes Comunales de los 48 Cantones de Totonicapán, de las viudas y sobrevivientes, que por más de 10 años buscaron que los perpetradores fueran juzgados por el delito de ejecución extrajudicial, situación</w:t>
      </w:r>
      <w:r w:rsidRPr="004F6CD8">
        <w:rPr>
          <w:rFonts w:ascii="Calibri" w:eastAsia="Times New Roman" w:hAnsi="Calibri" w:cs="Times New Roman"/>
          <w:color w:val="000000"/>
          <w:kern w:val="0"/>
          <w:lang w:val="es-GT" w:eastAsia="es-GT"/>
        </w:rPr>
        <w:t xml:space="preserve"> que ocurrió en junio de 2023, cuando inició el juicio en contra de 9 militares</w:t>
      </w:r>
      <w:r>
        <w:rPr>
          <w:rFonts w:ascii="Calibri" w:eastAsia="Times New Roman" w:hAnsi="Calibri" w:cs="Times New Roman"/>
          <w:color w:val="000000"/>
          <w:kern w:val="0"/>
          <w:lang w:val="es-GT" w:eastAsia="es-GT"/>
        </w:rPr>
        <w:t xml:space="preserve">, </w:t>
      </w:r>
      <w:r w:rsidRPr="004F6CD8">
        <w:rPr>
          <w:rFonts w:ascii="Calibri" w:eastAsia="Times New Roman" w:hAnsi="Calibri" w:cs="Times New Roman"/>
          <w:color w:val="000000"/>
          <w:kern w:val="0"/>
          <w:lang w:val="es-GT" w:eastAsia="es-GT"/>
        </w:rPr>
        <w:t>ante la juezas del Tribunal de Sentencia Penal, Narcoactividad y Delitos contra el Ambiente Procesos de Mayor Riesgo Grupo “B”. </w:t>
      </w:r>
    </w:p>
    <w:p w14:paraId="5A1ED973" w14:textId="77777777" w:rsidR="004F6CD8" w:rsidRPr="004F6CD8" w:rsidRDefault="004F6CD8" w:rsidP="004F6CD8">
      <w:pPr>
        <w:pStyle w:val="Prrafodelista"/>
        <w:numPr>
          <w:ilvl w:val="0"/>
          <w:numId w:val="4"/>
        </w:numPr>
        <w:jc w:val="both"/>
      </w:pPr>
      <w:r w:rsidRPr="004F6CD8">
        <w:rPr>
          <w:rFonts w:ascii="Calibri" w:eastAsia="Times New Roman" w:hAnsi="Calibri" w:cs="Times New Roman"/>
          <w:color w:val="000000"/>
          <w:kern w:val="0"/>
          <w:lang w:val="es-GT" w:eastAsia="es-GT"/>
        </w:rPr>
        <w:t xml:space="preserve">El debate tuvo por lo menos 35 audiencias presenciales, dentro de las cuales se escucharon declaraciones de las víctimas y sobrevivientes, así como de testigos y testigos presenciales y referenciales, quienes declararon sobre los hechos que les constan con relación al proceso, quienes tuvieron que viajar desde sus comunidades para poder declarar ante las juezas. En este punto es importante resaltar, la presencia de acompañamiento psicosocial para las víctimas y además la presencia de una intérprete del idioma maya K’iche’; para ayudar a las personas a que pudiera declarar en su idioma.  </w:t>
      </w:r>
    </w:p>
    <w:p w14:paraId="6C88E8D1" w14:textId="7213D88C" w:rsidR="004F6CD8" w:rsidRPr="000261D0" w:rsidRDefault="004F6CD8" w:rsidP="00E808BA">
      <w:pPr>
        <w:pStyle w:val="Prrafodelista"/>
        <w:numPr>
          <w:ilvl w:val="0"/>
          <w:numId w:val="4"/>
        </w:numPr>
        <w:jc w:val="both"/>
        <w:rPr>
          <w:rFonts w:ascii="Times New Roman" w:eastAsia="Times New Roman" w:hAnsi="Times New Roman" w:cs="Times New Roman"/>
          <w:kern w:val="0"/>
          <w:lang w:val="es-GT" w:eastAsia="es-GT"/>
        </w:rPr>
      </w:pPr>
      <w:r w:rsidRPr="004F6CD8">
        <w:rPr>
          <w:rFonts w:ascii="Calibri" w:eastAsia="Times New Roman" w:hAnsi="Calibri" w:cs="Times New Roman"/>
          <w:color w:val="000000"/>
          <w:kern w:val="0"/>
          <w:lang w:val="es-GT" w:eastAsia="es-GT"/>
        </w:rPr>
        <w:t>Al dictar la sentencia, el tribunal decidió absolver a todos los acusados, por el delito de ejecución extrajudicial y ejecución extrajudicial en grado de tentativa, condenando a algunos de ellos únicamente por los delitos de lesión en riña, homicidio culposo en grado de tentativa y disparo de arma de fuego</w:t>
      </w:r>
      <w:r>
        <w:rPr>
          <w:rFonts w:ascii="Calibri" w:eastAsia="Times New Roman" w:hAnsi="Calibri" w:cs="Times New Roman"/>
          <w:color w:val="000000"/>
          <w:kern w:val="0"/>
          <w:lang w:val="es-GT" w:eastAsia="es-GT"/>
        </w:rPr>
        <w:t xml:space="preserve">. </w:t>
      </w:r>
      <w:r>
        <w:rPr>
          <w:rFonts w:ascii="Calibri" w:hAnsi="Calibri"/>
          <w:color w:val="000000"/>
        </w:rPr>
        <w:t>L</w:t>
      </w:r>
      <w:r w:rsidRPr="004F6CD8">
        <w:rPr>
          <w:rFonts w:ascii="Calibri" w:hAnsi="Calibri"/>
          <w:color w:val="000000"/>
        </w:rPr>
        <w:t>a sentencia no reconoció de forma clara la situación vivida el 04 d</w:t>
      </w:r>
      <w:r w:rsidR="000261D0">
        <w:rPr>
          <w:rFonts w:ascii="Calibri" w:hAnsi="Calibri"/>
          <w:color w:val="000000"/>
        </w:rPr>
        <w:t>e octubre de 2012, a</w:t>
      </w:r>
      <w:r w:rsidRPr="004F6CD8">
        <w:rPr>
          <w:rFonts w:ascii="Calibri" w:hAnsi="Calibri"/>
          <w:color w:val="000000"/>
        </w:rPr>
        <w:t xml:space="preserve">unque la sentencia fue muy amplia pues tiene más de 1,800 páginas, </w:t>
      </w:r>
      <w:r w:rsidR="000261D0">
        <w:rPr>
          <w:rFonts w:ascii="Calibri" w:hAnsi="Calibri"/>
          <w:color w:val="000000"/>
        </w:rPr>
        <w:t>pero no fue</w:t>
      </w:r>
      <w:r w:rsidRPr="004F6CD8">
        <w:rPr>
          <w:rFonts w:ascii="Calibri" w:hAnsi="Calibri"/>
          <w:color w:val="000000"/>
        </w:rPr>
        <w:t xml:space="preserve"> </w:t>
      </w:r>
      <w:r w:rsidR="008B138D" w:rsidRPr="004F6CD8">
        <w:rPr>
          <w:rFonts w:ascii="Calibri" w:hAnsi="Calibri"/>
          <w:color w:val="000000"/>
        </w:rPr>
        <w:t>clara dado</w:t>
      </w:r>
      <w:r w:rsidRPr="004F6CD8">
        <w:rPr>
          <w:rFonts w:ascii="Calibri" w:hAnsi="Calibri"/>
          <w:color w:val="000000"/>
        </w:rPr>
        <w:t xml:space="preserve"> que se creó una tergiversación de los hechos, </w:t>
      </w:r>
      <w:r w:rsidR="000261D0">
        <w:rPr>
          <w:rFonts w:ascii="Calibri" w:hAnsi="Calibri"/>
          <w:color w:val="000000"/>
        </w:rPr>
        <w:t>dejando a los victimarios como las víctimas, y señalando que las comunidades tienden a ser violentas</w:t>
      </w:r>
      <w:r w:rsidR="008B138D">
        <w:rPr>
          <w:rFonts w:ascii="Calibri" w:hAnsi="Calibri"/>
          <w:color w:val="000000"/>
        </w:rPr>
        <w:t>, confirmando la estigmatización existente, además de la imposibilidad de ser reparadas</w:t>
      </w:r>
      <w:r w:rsidRPr="004F6CD8">
        <w:rPr>
          <w:rFonts w:ascii="Calibri" w:hAnsi="Calibri"/>
          <w:color w:val="000000"/>
        </w:rPr>
        <w:t>.  </w:t>
      </w:r>
    </w:p>
    <w:p w14:paraId="5B58842C" w14:textId="77777777" w:rsidR="000261D0" w:rsidRPr="000261D0" w:rsidRDefault="000261D0" w:rsidP="000261D0">
      <w:pPr>
        <w:pStyle w:val="Prrafodelista"/>
        <w:numPr>
          <w:ilvl w:val="0"/>
          <w:numId w:val="4"/>
        </w:numPr>
        <w:jc w:val="both"/>
        <w:rPr>
          <w:rFonts w:ascii="Calibri" w:hAnsi="Calibri"/>
          <w:color w:val="000000"/>
          <w:lang w:val="es-GT"/>
        </w:rPr>
      </w:pPr>
      <w:r>
        <w:rPr>
          <w:rFonts w:ascii="Calibri" w:hAnsi="Calibri"/>
          <w:color w:val="000000"/>
        </w:rPr>
        <w:lastRenderedPageBreak/>
        <w:t xml:space="preserve">El caso </w:t>
      </w:r>
      <w:proofErr w:type="spellStart"/>
      <w:r>
        <w:rPr>
          <w:rFonts w:ascii="Calibri" w:hAnsi="Calibri"/>
          <w:color w:val="000000"/>
        </w:rPr>
        <w:t>Samococh</w:t>
      </w:r>
      <w:proofErr w:type="spellEnd"/>
      <w:r>
        <w:rPr>
          <w:rFonts w:ascii="Calibri" w:hAnsi="Calibri"/>
          <w:color w:val="000000"/>
        </w:rPr>
        <w:t xml:space="preserve">, ocurrió el </w:t>
      </w:r>
      <w:r w:rsidRPr="000261D0">
        <w:rPr>
          <w:rFonts w:ascii="Calibri" w:hAnsi="Calibri"/>
          <w:color w:val="000000"/>
          <w:lang w:val="es-GT"/>
        </w:rPr>
        <w:t>15 de agosto del 2014</w:t>
      </w:r>
      <w:r>
        <w:rPr>
          <w:rFonts w:ascii="Calibri" w:hAnsi="Calibri"/>
          <w:color w:val="000000"/>
          <w:lang w:val="es-GT"/>
        </w:rPr>
        <w:t xml:space="preserve">, en el contexto de un desalojo en la comunidad y donde fueron ejecutados extrajudicialmente tres comunitarios por parte de la Policía Nacional Civil.  </w:t>
      </w:r>
      <w:r w:rsidRPr="000261D0">
        <w:rPr>
          <w:rFonts w:ascii="Calibri" w:hAnsi="Calibri"/>
          <w:color w:val="000000"/>
          <w:lang w:val="es-ES"/>
        </w:rPr>
        <w:t> </w:t>
      </w:r>
      <w:r>
        <w:rPr>
          <w:rFonts w:ascii="Calibri" w:hAnsi="Calibri"/>
          <w:color w:val="000000"/>
          <w:lang w:val="es-ES"/>
        </w:rPr>
        <w:t xml:space="preserve">El </w:t>
      </w:r>
      <w:r w:rsidRPr="000261D0">
        <w:rPr>
          <w:rFonts w:ascii="Calibri" w:hAnsi="Calibri"/>
          <w:color w:val="000000"/>
          <w:lang w:val="es-ES"/>
        </w:rPr>
        <w:t>19 de enero</w:t>
      </w:r>
      <w:r>
        <w:rPr>
          <w:rFonts w:ascii="Calibri" w:hAnsi="Calibri"/>
          <w:color w:val="000000"/>
          <w:lang w:val="es-ES"/>
        </w:rPr>
        <w:t xml:space="preserve"> de 2023, inició</w:t>
      </w:r>
      <w:r w:rsidRPr="000261D0">
        <w:rPr>
          <w:rFonts w:ascii="Calibri" w:hAnsi="Calibri"/>
          <w:color w:val="000000"/>
          <w:lang w:val="es-ES"/>
        </w:rPr>
        <w:t xml:space="preserve"> el debate oral y público contra 23 elementos de la Policía Nacional Civil, sindicados por delitos relacionados al us</w:t>
      </w:r>
      <w:r>
        <w:rPr>
          <w:rFonts w:ascii="Calibri" w:hAnsi="Calibri"/>
          <w:color w:val="000000"/>
          <w:lang w:val="es-ES"/>
        </w:rPr>
        <w:t xml:space="preserve">o excesivo de la fuerza pública, </w:t>
      </w:r>
      <w:r w:rsidRPr="000261D0">
        <w:rPr>
          <w:rFonts w:ascii="Calibri" w:hAnsi="Calibri"/>
          <w:color w:val="000000"/>
          <w:lang w:val="es-GT"/>
        </w:rPr>
        <w:t>incumplimiento de deberes</w:t>
      </w:r>
      <w:r w:rsidR="00465CD3">
        <w:rPr>
          <w:rFonts w:ascii="Calibri" w:hAnsi="Calibri"/>
          <w:color w:val="000000"/>
          <w:lang w:val="es-GT"/>
        </w:rPr>
        <w:t xml:space="preserve"> y ejecución ex</w:t>
      </w:r>
      <w:r w:rsidRPr="000261D0">
        <w:rPr>
          <w:rFonts w:ascii="Calibri" w:hAnsi="Calibri"/>
          <w:color w:val="000000"/>
          <w:lang w:val="es-GT"/>
        </w:rPr>
        <w:t>trajudicial.</w:t>
      </w:r>
    </w:p>
    <w:p w14:paraId="6DD37BB3" w14:textId="6214DA37" w:rsidR="000261D0" w:rsidRPr="004B5CF3" w:rsidRDefault="000261D0" w:rsidP="004B5CF3">
      <w:pPr>
        <w:pStyle w:val="Prrafodelista"/>
        <w:numPr>
          <w:ilvl w:val="0"/>
          <w:numId w:val="4"/>
        </w:numPr>
        <w:shd w:val="clear" w:color="auto" w:fill="FFFFFF"/>
        <w:jc w:val="both"/>
        <w:rPr>
          <w:rFonts w:ascii="Calibri" w:hAnsi="Calibri"/>
          <w:color w:val="000000"/>
          <w:lang w:val="es-GT"/>
        </w:rPr>
      </w:pPr>
      <w:r>
        <w:rPr>
          <w:rFonts w:ascii="Calibri" w:hAnsi="Calibri"/>
          <w:color w:val="000000"/>
          <w:lang w:val="es-GT"/>
        </w:rPr>
        <w:t>El</w:t>
      </w:r>
      <w:r w:rsidRPr="000261D0">
        <w:rPr>
          <w:rFonts w:ascii="Calibri" w:hAnsi="Calibri"/>
          <w:color w:val="000000"/>
          <w:lang w:val="es-GT"/>
        </w:rPr>
        <w:t xml:space="preserve"> 29 de junio de 2023 el Tribunal de Mayor Riesgo “B” condenó a tres de 23 policías que fueron acusados por el Ministerio Público -MP- de los delitos de incumplimiento de deberes, abuso de autoridad y ejecución extrajudicial.</w:t>
      </w:r>
      <w:r w:rsidR="004B5CF3">
        <w:rPr>
          <w:rFonts w:ascii="Calibri" w:hAnsi="Calibri"/>
          <w:color w:val="000000"/>
          <w:lang w:val="es-GT"/>
        </w:rPr>
        <w:t xml:space="preserve"> </w:t>
      </w:r>
      <w:r w:rsidRPr="004B5CF3">
        <w:rPr>
          <w:rFonts w:ascii="Calibri" w:hAnsi="Calibri"/>
          <w:color w:val="000000"/>
          <w:lang w:val="es-GT"/>
        </w:rPr>
        <w:t xml:space="preserve">En la sentencia la jueza presidenta del Tribunal indicó que el MP no pudo demostrar estos delitos por lo que absolvió a 20 de 23 elementos de la PNC. Dos de los agentes fueron condenados por el delito de disparo de arma de fuego a 2 años de prisión y seis meses conmutables. Mientras que uno </w:t>
      </w:r>
      <w:r w:rsidR="00EB34B4" w:rsidRPr="004B5CF3">
        <w:rPr>
          <w:rFonts w:ascii="Calibri" w:hAnsi="Calibri"/>
          <w:color w:val="000000"/>
          <w:lang w:val="es-GT"/>
        </w:rPr>
        <w:t>más fue</w:t>
      </w:r>
      <w:r w:rsidRPr="004B5CF3">
        <w:rPr>
          <w:rFonts w:ascii="Calibri" w:hAnsi="Calibri"/>
          <w:color w:val="000000"/>
          <w:lang w:val="es-GT"/>
        </w:rPr>
        <w:t xml:space="preserve"> condenado a 10 años de prisión conmutables por homicidio en estado de emoción violenta cometido en agravio de los tres comunitarios q’eqchi’.</w:t>
      </w:r>
      <w:r>
        <w:rPr>
          <w:rStyle w:val="Refdenotaalpie"/>
          <w:color w:val="000000"/>
          <w:lang w:val="es-GT"/>
        </w:rPr>
        <w:footnoteReference w:id="49"/>
      </w:r>
    </w:p>
    <w:p w14:paraId="4F9DE9C9" w14:textId="2377FAEA" w:rsidR="0005166C" w:rsidRPr="001F4F0A" w:rsidRDefault="004B5CF3" w:rsidP="00155BCF">
      <w:pPr>
        <w:pStyle w:val="Prrafodelista"/>
        <w:numPr>
          <w:ilvl w:val="0"/>
          <w:numId w:val="4"/>
        </w:numPr>
        <w:jc w:val="both"/>
        <w:rPr>
          <w:rFonts w:ascii="Calibri" w:hAnsi="Calibri"/>
          <w:color w:val="000000"/>
          <w:lang w:val="es-GT"/>
        </w:rPr>
      </w:pPr>
      <w:r w:rsidRPr="004B5CF3">
        <w:rPr>
          <w:rFonts w:ascii="Calibri" w:hAnsi="Calibri"/>
          <w:color w:val="000000"/>
          <w:lang w:val="es-GT"/>
        </w:rPr>
        <w:t>Aunque hubo condenas mínimas, prácticamente estos casos quedaron impunes porque los perpetradores de los hechos quedaron como las víctimas, estigmatizando a las comunidades como violentas.</w:t>
      </w:r>
    </w:p>
    <w:p w14:paraId="781EAC18" w14:textId="77777777" w:rsidR="00145B74" w:rsidRDefault="0003684E" w:rsidP="0003684E">
      <w:pPr>
        <w:pStyle w:val="Ttulo1"/>
      </w:pPr>
      <w:bookmarkStart w:id="7" w:name="_Toc211498218"/>
      <w:r>
        <w:t>Recomendaciones</w:t>
      </w:r>
      <w:bookmarkEnd w:id="7"/>
    </w:p>
    <w:p w14:paraId="4BBCFA05" w14:textId="77777777" w:rsidR="004D1708" w:rsidRPr="004D1708" w:rsidRDefault="004D1708" w:rsidP="004D1708"/>
    <w:p w14:paraId="2BD081D6" w14:textId="77777777" w:rsidR="0003684E" w:rsidRDefault="0003684E" w:rsidP="004D1708">
      <w:pPr>
        <w:pStyle w:val="Prrafodelista"/>
        <w:numPr>
          <w:ilvl w:val="0"/>
          <w:numId w:val="6"/>
        </w:numPr>
        <w:jc w:val="both"/>
      </w:pPr>
      <w:r>
        <w:t xml:space="preserve">El Estado de Guatemala debe implementar un mecanismo administrativo para reparar a víctimas de violaciones a derechos humanos, tanto de sobrevivientes del Conflicto Armado Interno como para </w:t>
      </w:r>
      <w:r w:rsidR="00DC20EB">
        <w:t>personas defensora</w:t>
      </w:r>
      <w:r>
        <w:t>s d</w:t>
      </w:r>
      <w:r w:rsidR="00DC20EB">
        <w:t>e derechos humanos criminalizada</w:t>
      </w:r>
      <w:r>
        <w:t xml:space="preserve">s. </w:t>
      </w:r>
    </w:p>
    <w:p w14:paraId="7911B76B" w14:textId="77777777" w:rsidR="0003684E" w:rsidRDefault="0003684E" w:rsidP="004D1708">
      <w:pPr>
        <w:pStyle w:val="Prrafodelista"/>
        <w:numPr>
          <w:ilvl w:val="0"/>
          <w:numId w:val="6"/>
        </w:numPr>
        <w:jc w:val="both"/>
      </w:pPr>
      <w:r>
        <w:t>El Estado de Guatemala, debe cumplir con las sentencias de carácter constitucional que han ordenado reparar a las comunidades por daños causados al medio ambiente por haberse otorgado licencias sin consulta previa.</w:t>
      </w:r>
    </w:p>
    <w:p w14:paraId="37B68B6B" w14:textId="55045AE7" w:rsidR="0003684E" w:rsidRDefault="0003684E" w:rsidP="004D1708">
      <w:pPr>
        <w:pStyle w:val="Prrafodelista"/>
        <w:numPr>
          <w:ilvl w:val="0"/>
          <w:numId w:val="6"/>
        </w:numPr>
        <w:jc w:val="both"/>
      </w:pPr>
      <w:r>
        <w:t xml:space="preserve">Se debe incorporar en los órganos jurisdiccionales de </w:t>
      </w:r>
      <w:r w:rsidR="00EB34B4">
        <w:t>ejecución en</w:t>
      </w:r>
      <w:r>
        <w:t xml:space="preserve"> Guatemala, </w:t>
      </w:r>
      <w:r w:rsidR="004D1708">
        <w:t xml:space="preserve">la función de dar seguimiento a las medidas de reparación integral que sean dictadas por órganos jurisdiccionales del país. </w:t>
      </w:r>
    </w:p>
    <w:p w14:paraId="710F51F9" w14:textId="06633AC8" w:rsidR="0005166C" w:rsidRDefault="00F9435D" w:rsidP="0005166C">
      <w:pPr>
        <w:pStyle w:val="Prrafodelista"/>
        <w:numPr>
          <w:ilvl w:val="0"/>
          <w:numId w:val="6"/>
        </w:numPr>
        <w:jc w:val="both"/>
      </w:pPr>
      <w:r>
        <w:t>Se deben</w:t>
      </w:r>
      <w:r w:rsidR="004D1708">
        <w:t xml:space="preserve"> realizar </w:t>
      </w:r>
      <w:r>
        <w:t>procesos</w:t>
      </w:r>
      <w:r w:rsidR="004D1708">
        <w:t xml:space="preserve"> formativo</w:t>
      </w:r>
      <w:r>
        <w:t xml:space="preserve">s </w:t>
      </w:r>
      <w:r w:rsidR="004D1708">
        <w:t xml:space="preserve">para las y los funcionarios públicos de las diferentes dependencias que tienen como obligación cumplir con medidas de reparación para remover obstáculos estructurales como requisitos y procedimientos burocráticos, revisión de acuerdos y manuales y </w:t>
      </w:r>
      <w:r w:rsidR="004D1708">
        <w:lastRenderedPageBreak/>
        <w:t>principalmente para generar conciencia de que ya se ha declarado una violación a derechos humanos</w:t>
      </w:r>
      <w:r w:rsidR="006F1CC6">
        <w:t xml:space="preserve"> en la sentencia a implementarse</w:t>
      </w:r>
      <w:r w:rsidR="004D1708">
        <w:t xml:space="preserve">. </w:t>
      </w:r>
    </w:p>
    <w:p w14:paraId="73C8AFF2" w14:textId="2516DBD4" w:rsidR="0005166C" w:rsidRPr="0005166C" w:rsidRDefault="0005166C" w:rsidP="0005166C">
      <w:pPr>
        <w:pStyle w:val="Prrafodelista"/>
        <w:numPr>
          <w:ilvl w:val="0"/>
          <w:numId w:val="6"/>
        </w:numPr>
        <w:jc w:val="both"/>
      </w:pPr>
      <w:r>
        <w:t>E</w:t>
      </w:r>
      <w:r w:rsidR="0053335B" w:rsidRPr="0005166C">
        <w:rPr>
          <w:lang w:val="es-GT"/>
        </w:rPr>
        <w:t xml:space="preserve">l Estado de Guatemala, debe iniciar un proceso de restitución de los derechos territoriales de las comunidades de </w:t>
      </w:r>
      <w:r w:rsidRPr="0005166C">
        <w:rPr>
          <w:lang w:val="es-GT"/>
        </w:rPr>
        <w:t xml:space="preserve">los pueblos indígenas afectados, así como debe garantizar la posesión, el </w:t>
      </w:r>
      <w:r w:rsidR="00EB34B4" w:rsidRPr="0005166C">
        <w:rPr>
          <w:lang w:val="es-GT"/>
        </w:rPr>
        <w:t>uso, la</w:t>
      </w:r>
      <w:r w:rsidRPr="0005166C">
        <w:rPr>
          <w:lang w:val="es-GT"/>
        </w:rPr>
        <w:t xml:space="preserve"> ocupación </w:t>
      </w:r>
      <w:r w:rsidR="00EB34B4" w:rsidRPr="0005166C">
        <w:rPr>
          <w:lang w:val="es-GT"/>
        </w:rPr>
        <w:t>y la</w:t>
      </w:r>
      <w:r w:rsidRPr="0005166C">
        <w:rPr>
          <w:lang w:val="es-GT"/>
        </w:rPr>
        <w:t xml:space="preserve"> habitación del territorio ancestral de los pueblos indígenas.</w:t>
      </w:r>
    </w:p>
    <w:p w14:paraId="7512C5BB" w14:textId="6F0B98E6" w:rsidR="0005166C" w:rsidRPr="006F1CC6" w:rsidRDefault="0005166C" w:rsidP="0005166C">
      <w:pPr>
        <w:pStyle w:val="Prrafodelista"/>
        <w:numPr>
          <w:ilvl w:val="0"/>
          <w:numId w:val="6"/>
        </w:numPr>
        <w:jc w:val="both"/>
      </w:pPr>
      <w:r w:rsidRPr="0005166C">
        <w:rPr>
          <w:lang w:val="es-GT"/>
        </w:rPr>
        <w:t xml:space="preserve">Se debe proteger </w:t>
      </w:r>
      <w:r w:rsidR="0053335B" w:rsidRPr="0005166C">
        <w:rPr>
          <w:lang w:val="es-GT"/>
        </w:rPr>
        <w:t xml:space="preserve">a los defensores y defensoras comunitarias de los ataques </w:t>
      </w:r>
      <w:r w:rsidR="006F1CC6">
        <w:rPr>
          <w:lang w:val="es-GT"/>
        </w:rPr>
        <w:t xml:space="preserve">de </w:t>
      </w:r>
      <w:r w:rsidR="0053335B" w:rsidRPr="0005166C">
        <w:rPr>
          <w:lang w:val="es-GT"/>
        </w:rPr>
        <w:t xml:space="preserve"> terceros con quienes entre en conflicto y se </w:t>
      </w:r>
      <w:r w:rsidRPr="0005166C">
        <w:rPr>
          <w:lang w:val="es-GT"/>
        </w:rPr>
        <w:t xml:space="preserve">deben </w:t>
      </w:r>
      <w:r w:rsidR="0053335B" w:rsidRPr="0005166C">
        <w:rPr>
          <w:lang w:val="es-GT"/>
        </w:rPr>
        <w:t>estable</w:t>
      </w:r>
      <w:r w:rsidRPr="0005166C">
        <w:rPr>
          <w:lang w:val="es-GT"/>
        </w:rPr>
        <w:t xml:space="preserve">cer </w:t>
      </w:r>
      <w:r w:rsidR="0053335B" w:rsidRPr="0005166C">
        <w:rPr>
          <w:lang w:val="es-GT"/>
        </w:rPr>
        <w:t>mecanismos especiales, rápidos y eficaces para solucionar los conflictos jurídicos sobre el dominio de sus tierras</w:t>
      </w:r>
      <w:r w:rsidR="001665F6">
        <w:rPr>
          <w:lang w:val="es-GT"/>
        </w:rPr>
        <w:t xml:space="preserve"> y la reparación de los daños provocados por actividades extractivas en sus territorios </w:t>
      </w:r>
      <w:r w:rsidR="0053335B" w:rsidRPr="0005166C">
        <w:rPr>
          <w:lang w:val="es-GT"/>
        </w:rPr>
        <w:t>.</w:t>
      </w:r>
    </w:p>
    <w:p w14:paraId="2AB5A1A5" w14:textId="55794171" w:rsidR="006F1CC6" w:rsidRPr="0005166C" w:rsidRDefault="006F1CC6" w:rsidP="0005166C">
      <w:pPr>
        <w:pStyle w:val="Prrafodelista"/>
        <w:numPr>
          <w:ilvl w:val="0"/>
          <w:numId w:val="6"/>
        </w:numPr>
        <w:jc w:val="both"/>
      </w:pPr>
      <w:r>
        <w:rPr>
          <w:lang w:val="es-GT"/>
        </w:rPr>
        <w:t>Debe cesar la criminalización y el patrón de revertir las sentencias penales en perjuicio de las personas defensoras de derechos humanos y autoridades indíge</w:t>
      </w:r>
      <w:r w:rsidR="00E808BA">
        <w:rPr>
          <w:lang w:val="es-GT"/>
        </w:rPr>
        <w:t>n</w:t>
      </w:r>
      <w:r>
        <w:rPr>
          <w:lang w:val="es-GT"/>
        </w:rPr>
        <w:t xml:space="preserve">as. </w:t>
      </w:r>
    </w:p>
    <w:p w14:paraId="6C3889A5" w14:textId="78FC2AEE" w:rsidR="0053335B" w:rsidRPr="006F1CC6" w:rsidRDefault="0053335B" w:rsidP="0005166C">
      <w:pPr>
        <w:pStyle w:val="Prrafodelista"/>
        <w:numPr>
          <w:ilvl w:val="0"/>
          <w:numId w:val="6"/>
        </w:numPr>
        <w:jc w:val="both"/>
      </w:pPr>
      <w:r w:rsidRPr="0005166C">
        <w:rPr>
          <w:lang w:val="es-GT"/>
        </w:rPr>
        <w:t>Eliminar o modificar las disposiciones legales que impiden la protección del derecho a la propiedad de las comunidades indígenas, en la legislación interna y a través de las consultas previas y consentimiento libre e informado, así como medidas legislativas o de otra índole necesarias a fin de reconocer, protege</w:t>
      </w:r>
      <w:r w:rsidR="00EB34B4">
        <w:rPr>
          <w:lang w:val="es-GT"/>
        </w:rPr>
        <w:t>r</w:t>
      </w:r>
      <w:r w:rsidRPr="0005166C">
        <w:rPr>
          <w:lang w:val="es-GT"/>
        </w:rPr>
        <w:t>, garantizar y hacer efectivo el derecho de los pueblos indígenas en Guatemala, a ser titulares bajo formas colectivas sobre el territorio tradicionalmente que han ocupado y utilizado, que incluye las tierras y los recursos naturales necesarios para su subsistencia social, cultural y económica.</w:t>
      </w:r>
    </w:p>
    <w:p w14:paraId="68ECDCE3" w14:textId="4C21CF1E" w:rsidR="001F4F0A" w:rsidRPr="001F4F0A" w:rsidRDefault="001665F6" w:rsidP="002F57EA">
      <w:pPr>
        <w:pStyle w:val="Prrafodelista"/>
        <w:numPr>
          <w:ilvl w:val="0"/>
          <w:numId w:val="6"/>
        </w:numPr>
        <w:jc w:val="both"/>
      </w:pPr>
      <w:r>
        <w:rPr>
          <w:lang w:val="es-GT"/>
        </w:rPr>
        <w:t>El Estado de Guatemala debe establecer mecanismos de financiación específicos para acciones correctivas o medidas de reparación en respuesta a los daños ambientales y sociales generados.  Este debe incluir un fondo de reparación que permita reservar fondos al inicio de una inversión para garantizar y proveer</w:t>
      </w:r>
      <w:r w:rsidR="00D1386F">
        <w:rPr>
          <w:lang w:val="es-GT"/>
        </w:rPr>
        <w:t xml:space="preserve"> una reparación financiera si el daño se materializa. </w:t>
      </w:r>
    </w:p>
    <w:p w14:paraId="3EBE0A81" w14:textId="2C5F8E8F" w:rsidR="002F57EA" w:rsidRDefault="002F57EA" w:rsidP="002F57EA">
      <w:pPr>
        <w:pStyle w:val="Ttulo1"/>
        <w:rPr>
          <w:lang w:val="es-GT"/>
        </w:rPr>
      </w:pPr>
      <w:bookmarkStart w:id="8" w:name="_Toc211498219"/>
      <w:r>
        <w:rPr>
          <w:lang w:val="es-GT"/>
        </w:rPr>
        <w:t>Anexo</w:t>
      </w:r>
      <w:bookmarkEnd w:id="8"/>
    </w:p>
    <w:p w14:paraId="2301645F" w14:textId="77777777" w:rsidR="002F57EA" w:rsidRDefault="002F57EA" w:rsidP="002F57EA">
      <w:pPr>
        <w:rPr>
          <w:lang w:val="es-GT"/>
        </w:rPr>
      </w:pPr>
    </w:p>
    <w:p w14:paraId="1338A8E3" w14:textId="0B6A7A6F" w:rsidR="002F57EA" w:rsidRPr="002F57EA" w:rsidRDefault="002F57EA" w:rsidP="002F57EA">
      <w:pPr>
        <w:pStyle w:val="Ttulo2"/>
        <w:rPr>
          <w:lang w:val="es-GT"/>
        </w:rPr>
      </w:pPr>
      <w:bookmarkStart w:id="9" w:name="_Toc211498220"/>
      <w:r>
        <w:rPr>
          <w:lang w:val="es-GT"/>
        </w:rPr>
        <w:t>Consentimiento de organizaciones y personas cuyos casos se mencionan en el infome.</w:t>
      </w:r>
      <w:bookmarkEnd w:id="9"/>
      <w:r>
        <w:rPr>
          <w:lang w:val="es-GT"/>
        </w:rPr>
        <w:t xml:space="preserve"> </w:t>
      </w:r>
    </w:p>
    <w:sectPr w:rsidR="002F57EA" w:rsidRPr="002F57EA" w:rsidSect="00E808BA">
      <w:headerReference w:type="default" r:id="rId10"/>
      <w:type w:val="continuous"/>
      <w:pgSz w:w="12242" w:h="15842" w:code="1"/>
      <w:pgMar w:top="1985" w:right="1985" w:bottom="1985" w:left="1985" w:header="79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6F829" w14:textId="77777777" w:rsidR="00F77BF8" w:rsidRDefault="00F77BF8" w:rsidP="00145B74">
      <w:r>
        <w:separator/>
      </w:r>
    </w:p>
  </w:endnote>
  <w:endnote w:type="continuationSeparator" w:id="0">
    <w:p w14:paraId="0808CF43" w14:textId="77777777" w:rsidR="00F77BF8" w:rsidRDefault="00F77BF8" w:rsidP="00145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A4C4D" w14:textId="77777777" w:rsidR="00F77BF8" w:rsidRDefault="00F77BF8" w:rsidP="00145B74">
      <w:r>
        <w:separator/>
      </w:r>
    </w:p>
  </w:footnote>
  <w:footnote w:type="continuationSeparator" w:id="0">
    <w:p w14:paraId="61ECCAA7" w14:textId="77777777" w:rsidR="00F77BF8" w:rsidRDefault="00F77BF8" w:rsidP="00145B74">
      <w:r>
        <w:continuationSeparator/>
      </w:r>
    </w:p>
  </w:footnote>
  <w:footnote w:id="1">
    <w:p w14:paraId="1CC23917" w14:textId="4B36DB65" w:rsidR="00031C83" w:rsidRPr="0053335B" w:rsidRDefault="00031C83" w:rsidP="0053335B">
      <w:pPr>
        <w:pStyle w:val="Textonotapie"/>
        <w:spacing w:line="240" w:lineRule="auto"/>
        <w:ind w:left="0" w:right="-57" w:firstLine="0"/>
        <w:jc w:val="both"/>
        <w:rPr>
          <w:rFonts w:asciiTheme="minorHAnsi" w:hAnsiTheme="minorHAnsi" w:cstheme="minorHAnsi"/>
          <w:sz w:val="20"/>
          <w:lang w:val="es-GT"/>
        </w:rPr>
      </w:pPr>
      <w:r w:rsidRPr="0053335B">
        <w:rPr>
          <w:rStyle w:val="Refdenotaalpie"/>
          <w:rFonts w:asciiTheme="minorHAnsi" w:hAnsiTheme="minorHAnsi" w:cstheme="minorHAnsi"/>
          <w:sz w:val="20"/>
        </w:rPr>
        <w:footnoteRef/>
      </w:r>
      <w:r w:rsidR="00F43E05" w:rsidRPr="00E808BA">
        <w:rPr>
          <w:rFonts w:asciiTheme="minorHAnsi" w:hAnsiTheme="minorHAnsi" w:cstheme="minorHAnsi"/>
          <w:sz w:val="20"/>
          <w:lang w:val="en-US"/>
        </w:rPr>
        <w:t>Impunity Watch, (2023),</w:t>
      </w:r>
      <w:r w:rsidR="005909FC" w:rsidRPr="00E808BA">
        <w:rPr>
          <w:rFonts w:asciiTheme="minorHAnsi" w:hAnsiTheme="minorHAnsi" w:cstheme="minorHAnsi"/>
          <w:sz w:val="20"/>
          <w:lang w:val="en-US"/>
        </w:rPr>
        <w:t xml:space="preserve"> Disponible en:</w:t>
      </w:r>
      <w:r w:rsidR="00F43E05" w:rsidRPr="00E808BA">
        <w:rPr>
          <w:rFonts w:asciiTheme="minorHAnsi" w:hAnsiTheme="minorHAnsi" w:cstheme="minorHAnsi"/>
          <w:sz w:val="20"/>
          <w:lang w:val="en-US"/>
        </w:rPr>
        <w:t xml:space="preserve"> </w:t>
      </w:r>
      <w:hyperlink r:id="rId1" w:history="1">
        <w:r w:rsidRPr="00E808BA">
          <w:rPr>
            <w:rStyle w:val="Hipervnculo"/>
            <w:rFonts w:asciiTheme="minorHAnsi" w:hAnsiTheme="minorHAnsi" w:cstheme="minorHAnsi"/>
            <w:sz w:val="20"/>
            <w:lang w:val="en-US"/>
          </w:rPr>
          <w:t>https://www.impunitywatch.org/publications/guatemala-impact-of-national-reparation-program-report-spanish/</w:t>
        </w:r>
      </w:hyperlink>
      <w:r w:rsidRPr="00E808BA">
        <w:rPr>
          <w:rFonts w:asciiTheme="minorHAnsi" w:hAnsiTheme="minorHAnsi" w:cstheme="minorHAnsi"/>
          <w:sz w:val="20"/>
          <w:lang w:val="en-US"/>
        </w:rPr>
        <w:t xml:space="preserve">. </w:t>
      </w:r>
      <w:r w:rsidRPr="0053335B">
        <w:rPr>
          <w:rFonts w:asciiTheme="minorHAnsi" w:hAnsiTheme="minorHAnsi" w:cstheme="minorHAnsi"/>
          <w:sz w:val="20"/>
          <w:lang w:val="es-GT"/>
        </w:rPr>
        <w:t>Consultada el 14 de agosto de 2025.</w:t>
      </w:r>
    </w:p>
  </w:footnote>
  <w:footnote w:id="2">
    <w:p w14:paraId="3AC5DDD7" w14:textId="354FE9B9" w:rsidR="00555CAB" w:rsidRPr="001F4F0A" w:rsidRDefault="00555CAB" w:rsidP="001F4F0A">
      <w:pPr>
        <w:pStyle w:val="Textonotapie"/>
        <w:spacing w:line="240" w:lineRule="auto"/>
        <w:ind w:left="0" w:right="-57" w:firstLine="0"/>
        <w:jc w:val="both"/>
        <w:rPr>
          <w:rFonts w:asciiTheme="minorHAnsi" w:hAnsiTheme="minorHAnsi" w:cstheme="minorHAnsi"/>
          <w:sz w:val="20"/>
        </w:rPr>
      </w:pPr>
      <w:r>
        <w:rPr>
          <w:rStyle w:val="Refdenotaalpie"/>
        </w:rPr>
        <w:footnoteRef/>
      </w:r>
      <w:r w:rsidRPr="00180C27">
        <w:t xml:space="preserve"> </w:t>
      </w:r>
      <w:r w:rsidRPr="00180C27">
        <w:rPr>
          <w:rFonts w:asciiTheme="minorHAnsi" w:hAnsiTheme="minorHAnsi" w:cstheme="minorHAnsi"/>
          <w:sz w:val="20"/>
        </w:rPr>
        <w:t xml:space="preserve">AGN (2025). </w:t>
      </w:r>
      <w:r w:rsidR="00764CD2" w:rsidRPr="001F4F0A">
        <w:rPr>
          <w:rFonts w:asciiTheme="minorHAnsi" w:hAnsiTheme="minorHAnsi" w:cstheme="minorHAnsi"/>
          <w:sz w:val="20"/>
        </w:rPr>
        <w:t xml:space="preserve">Agencia Guatemalteca de Noticias: </w:t>
      </w:r>
      <w:r w:rsidRPr="001F4F0A">
        <w:rPr>
          <w:rFonts w:asciiTheme="minorHAnsi" w:hAnsiTheme="minorHAnsi" w:cstheme="minorHAnsi"/>
          <w:sz w:val="20"/>
        </w:rPr>
        <w:t>“</w:t>
      </w:r>
      <w:proofErr w:type="gramStart"/>
      <w:r w:rsidRPr="001F4F0A">
        <w:rPr>
          <w:rFonts w:asciiTheme="minorHAnsi" w:hAnsiTheme="minorHAnsi" w:cstheme="minorHAnsi"/>
          <w:sz w:val="20"/>
        </w:rPr>
        <w:t>Presidente</w:t>
      </w:r>
      <w:proofErr w:type="gramEnd"/>
      <w:r w:rsidRPr="001F4F0A">
        <w:rPr>
          <w:rFonts w:asciiTheme="minorHAnsi" w:hAnsiTheme="minorHAnsi" w:cstheme="minorHAnsi"/>
          <w:sz w:val="20"/>
        </w:rPr>
        <w:t xml:space="preserve"> ratifica su disposición a trabajar en Plan Nacional de Dignificación y Reparación” Disponible en: </w:t>
      </w:r>
      <w:hyperlink r:id="rId2" w:history="1">
        <w:r w:rsidR="00764CD2" w:rsidRPr="001F4F0A">
          <w:rPr>
            <w:rStyle w:val="Hipervnculo"/>
            <w:rFonts w:asciiTheme="minorHAnsi" w:hAnsiTheme="minorHAnsi" w:cstheme="minorHAnsi"/>
            <w:sz w:val="20"/>
          </w:rPr>
          <w:t>https://agn.gt/presidente-ratifica-su-disposicion-a-trabajar-en-plan-nacional-de-dignificacion-y-reparacion/</w:t>
        </w:r>
      </w:hyperlink>
      <w:r w:rsidR="00764CD2" w:rsidRPr="001F4F0A">
        <w:rPr>
          <w:rFonts w:asciiTheme="minorHAnsi" w:hAnsiTheme="minorHAnsi" w:cstheme="minorHAnsi"/>
          <w:sz w:val="20"/>
        </w:rPr>
        <w:t>. Consultada el 10 de octubre de 2025</w:t>
      </w:r>
    </w:p>
  </w:footnote>
  <w:footnote w:id="3">
    <w:p w14:paraId="6214F9ED" w14:textId="77777777" w:rsidR="00031C83" w:rsidRPr="001F4F0A" w:rsidRDefault="00031C83" w:rsidP="001F4F0A">
      <w:pPr>
        <w:pStyle w:val="Textonotapie"/>
        <w:spacing w:line="240" w:lineRule="auto"/>
        <w:ind w:left="0" w:right="-57" w:firstLine="0"/>
        <w:jc w:val="both"/>
        <w:rPr>
          <w:rFonts w:asciiTheme="minorHAnsi" w:hAnsiTheme="minorHAnsi" w:cstheme="minorHAnsi"/>
          <w:sz w:val="20"/>
          <w:lang w:val="es-GT"/>
        </w:rPr>
      </w:pPr>
      <w:r w:rsidRPr="001F4F0A">
        <w:rPr>
          <w:rStyle w:val="Refdenotaalpie"/>
          <w:rFonts w:asciiTheme="minorHAnsi" w:hAnsiTheme="minorHAnsi" w:cstheme="minorHAnsi"/>
          <w:sz w:val="20"/>
        </w:rPr>
        <w:footnoteRef/>
      </w:r>
      <w:proofErr w:type="spellStart"/>
      <w:r w:rsidRPr="001F4F0A">
        <w:rPr>
          <w:rFonts w:asciiTheme="minorHAnsi" w:hAnsiTheme="minorHAnsi" w:cstheme="minorHAnsi"/>
          <w:sz w:val="20"/>
        </w:rPr>
        <w:t>Impunity</w:t>
      </w:r>
      <w:proofErr w:type="spellEnd"/>
      <w:r w:rsidRPr="001F4F0A">
        <w:rPr>
          <w:rFonts w:asciiTheme="minorHAnsi" w:hAnsiTheme="minorHAnsi" w:cstheme="minorHAnsi"/>
          <w:sz w:val="20"/>
        </w:rPr>
        <w:t xml:space="preserve"> </w:t>
      </w:r>
      <w:proofErr w:type="spellStart"/>
      <w:r w:rsidRPr="001F4F0A">
        <w:rPr>
          <w:rFonts w:asciiTheme="minorHAnsi" w:hAnsiTheme="minorHAnsi" w:cstheme="minorHAnsi"/>
          <w:sz w:val="20"/>
        </w:rPr>
        <w:t>Watch</w:t>
      </w:r>
      <w:proofErr w:type="spellEnd"/>
      <w:r w:rsidRPr="001F4F0A">
        <w:rPr>
          <w:rFonts w:asciiTheme="minorHAnsi" w:hAnsiTheme="minorHAnsi" w:cstheme="minorHAnsi"/>
          <w:sz w:val="20"/>
        </w:rPr>
        <w:t xml:space="preserve"> (2024), </w:t>
      </w:r>
      <w:hyperlink r:id="rId3" w:history="1">
        <w:r w:rsidRPr="001F4F0A">
          <w:rPr>
            <w:rStyle w:val="Hipervnculo"/>
            <w:rFonts w:asciiTheme="minorHAnsi" w:hAnsiTheme="minorHAnsi" w:cstheme="minorHAnsi"/>
            <w:sz w:val="20"/>
          </w:rPr>
          <w:t>https://share.google/XG6SwStlctUbOWmFW</w:t>
        </w:r>
      </w:hyperlink>
      <w:r w:rsidR="0073254F" w:rsidRPr="001F4F0A">
        <w:rPr>
          <w:rFonts w:asciiTheme="minorHAnsi" w:hAnsiTheme="minorHAnsi" w:cstheme="minorHAnsi"/>
          <w:sz w:val="20"/>
        </w:rPr>
        <w:t xml:space="preserve">. </w:t>
      </w:r>
      <w:r w:rsidR="0073254F" w:rsidRPr="001F4F0A">
        <w:rPr>
          <w:rFonts w:asciiTheme="minorHAnsi" w:hAnsiTheme="minorHAnsi" w:cstheme="minorHAnsi"/>
          <w:sz w:val="20"/>
          <w:lang w:val="es-GT"/>
        </w:rPr>
        <w:t>C</w:t>
      </w:r>
      <w:r w:rsidRPr="001F4F0A">
        <w:rPr>
          <w:rFonts w:asciiTheme="minorHAnsi" w:hAnsiTheme="minorHAnsi" w:cstheme="minorHAnsi"/>
          <w:sz w:val="20"/>
          <w:lang w:val="es-GT"/>
        </w:rPr>
        <w:t>onsultada el 9 de septiembre de 2025.</w:t>
      </w:r>
    </w:p>
  </w:footnote>
  <w:footnote w:id="4">
    <w:p w14:paraId="59C4D961" w14:textId="77777777" w:rsidR="004D1CC4" w:rsidRPr="0053335B" w:rsidRDefault="004D1CC4" w:rsidP="0053335B">
      <w:pPr>
        <w:pStyle w:val="Textonotapie"/>
        <w:spacing w:line="240" w:lineRule="auto"/>
        <w:ind w:left="0" w:right="-57" w:firstLine="0"/>
        <w:jc w:val="both"/>
        <w:rPr>
          <w:rFonts w:asciiTheme="minorHAnsi" w:hAnsiTheme="minorHAnsi" w:cstheme="minorHAnsi"/>
          <w:sz w:val="20"/>
          <w:lang w:val="es-GT"/>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GT"/>
        </w:rPr>
        <w:t>Organización de las Naciones Unidas (ONU), Conjunto de Principios Actualizado para la Protección y la Promoción de los Derechos Humanos mediante la Lucha contra la Impunidad, 2005, Principio 31 (Derechos y deberes dimanantes de la obligación de reparar).</w:t>
      </w:r>
    </w:p>
  </w:footnote>
  <w:footnote w:id="5">
    <w:p w14:paraId="6FD447BC" w14:textId="416F6483" w:rsidR="004D1CC4" w:rsidRPr="0053335B" w:rsidRDefault="004D1CC4" w:rsidP="00F43E05">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GT"/>
        </w:rPr>
        <w:t>Corte IDH, Caso Velásquez Rodríguez Vs. Honduras, sentencia de reparaciones y costas del 21/07/89, párr. 25</w:t>
      </w:r>
      <w:r w:rsidR="00D6631E">
        <w:rPr>
          <w:rFonts w:asciiTheme="minorHAnsi" w:hAnsiTheme="minorHAnsi" w:cstheme="minorHAnsi"/>
          <w:sz w:val="20"/>
          <w:lang w:val="es-GT"/>
        </w:rPr>
        <w:t xml:space="preserve">, Disponible en: </w:t>
      </w:r>
      <w:hyperlink r:id="rId4" w:history="1">
        <w:r w:rsidR="00D6631E" w:rsidRPr="00F21097">
          <w:rPr>
            <w:rStyle w:val="Hipervnculo"/>
            <w:rFonts w:asciiTheme="minorHAnsi" w:hAnsiTheme="minorHAnsi" w:cstheme="minorHAnsi"/>
            <w:sz w:val="20"/>
            <w:lang w:val="es-GT"/>
          </w:rPr>
          <w:t>https://www.refworld.org/es/jur/jur/corteidh/1988/es/131834</w:t>
        </w:r>
      </w:hyperlink>
      <w:r w:rsidR="00D6631E">
        <w:rPr>
          <w:rFonts w:asciiTheme="minorHAnsi" w:hAnsiTheme="minorHAnsi" w:cstheme="minorHAnsi"/>
          <w:sz w:val="20"/>
          <w:lang w:val="es-GT"/>
        </w:rPr>
        <w:t xml:space="preserve"> Consultado el 10 de octubre 2025</w:t>
      </w:r>
      <w:r w:rsidRPr="0053335B">
        <w:rPr>
          <w:rFonts w:asciiTheme="minorHAnsi" w:hAnsiTheme="minorHAnsi" w:cstheme="minorHAnsi"/>
          <w:sz w:val="20"/>
          <w:lang w:val="es-GT"/>
        </w:rPr>
        <w:t>; y Caso Herrera Espinoza y otros Vs. Ecuador, sentencia de excepciones preliminares, fondo, reparaciones y costas del 01/09/16, párr. 210.</w:t>
      </w:r>
      <w:r w:rsidR="00D6631E">
        <w:rPr>
          <w:rFonts w:asciiTheme="minorHAnsi" w:hAnsiTheme="minorHAnsi" w:cstheme="minorHAnsi"/>
          <w:sz w:val="20"/>
          <w:lang w:val="es-GT"/>
        </w:rPr>
        <w:t xml:space="preserve"> Disponible en: </w:t>
      </w:r>
      <w:hyperlink r:id="rId5" w:history="1">
        <w:r w:rsidR="00D6631E" w:rsidRPr="00F21097">
          <w:rPr>
            <w:rStyle w:val="Hipervnculo"/>
            <w:rFonts w:asciiTheme="minorHAnsi" w:hAnsiTheme="minorHAnsi" w:cstheme="minorHAnsi"/>
            <w:sz w:val="20"/>
            <w:lang w:val="es-GT"/>
          </w:rPr>
          <w:t>https://corteidh.or.cr/docs/casos/articulos/seriec_316_esp.pdf</w:t>
        </w:r>
      </w:hyperlink>
      <w:r w:rsidR="00D6631E">
        <w:rPr>
          <w:rFonts w:asciiTheme="minorHAnsi" w:hAnsiTheme="minorHAnsi" w:cstheme="minorHAnsi"/>
          <w:sz w:val="20"/>
          <w:lang w:val="es-GT"/>
        </w:rPr>
        <w:t>. Consultado el 10 de octubre de 2025.</w:t>
      </w:r>
    </w:p>
  </w:footnote>
  <w:footnote w:id="6">
    <w:p w14:paraId="3DD0EDE9" w14:textId="465A36D1" w:rsidR="00D404CA" w:rsidRPr="0053335B" w:rsidRDefault="00D404CA" w:rsidP="0053335B">
      <w:pPr>
        <w:pStyle w:val="Textonotapie"/>
        <w:spacing w:line="240" w:lineRule="auto"/>
        <w:ind w:left="0" w:right="-57" w:firstLine="0"/>
        <w:jc w:val="both"/>
        <w:rPr>
          <w:rFonts w:asciiTheme="minorHAnsi" w:hAnsiTheme="minorHAnsi" w:cstheme="minorHAnsi"/>
          <w:sz w:val="20"/>
        </w:rPr>
      </w:pPr>
      <w:r w:rsidRPr="0053335B">
        <w:rPr>
          <w:rStyle w:val="Refdenotaalpie"/>
          <w:rFonts w:asciiTheme="minorHAnsi" w:hAnsiTheme="minorHAnsi"/>
          <w:sz w:val="20"/>
        </w:rPr>
        <w:footnoteRef/>
      </w:r>
      <w:r w:rsidRPr="0053335B">
        <w:rPr>
          <w:rFonts w:asciiTheme="minorHAnsi" w:hAnsiTheme="minorHAnsi" w:cstheme="minorHAnsi"/>
          <w:sz w:val="20"/>
        </w:rPr>
        <w:t xml:space="preserve">Organismo Judicial, (s.f.), </w:t>
      </w:r>
      <w:r w:rsidR="00D6631E">
        <w:rPr>
          <w:rFonts w:asciiTheme="minorHAnsi" w:hAnsiTheme="minorHAnsi" w:cstheme="minorHAnsi"/>
          <w:sz w:val="20"/>
        </w:rPr>
        <w:t xml:space="preserve">Disponible en: </w:t>
      </w:r>
      <w:hyperlink r:id="rId6" w:history="1">
        <w:r w:rsidR="00D6631E" w:rsidRPr="00D6631E">
          <w:rPr>
            <w:rStyle w:val="Hipervnculo"/>
            <w:rFonts w:asciiTheme="minorHAnsi" w:hAnsiTheme="minorHAnsi" w:cstheme="minorHAnsi"/>
            <w:sz w:val="20"/>
          </w:rPr>
          <w:t>http://biblioteca.oj.gob.gt/digitales/42555.pdf</w:t>
        </w:r>
      </w:hyperlink>
      <w:r w:rsidRPr="0053335B">
        <w:rPr>
          <w:rFonts w:asciiTheme="minorHAnsi" w:hAnsiTheme="minorHAnsi" w:cstheme="minorHAnsi"/>
          <w:sz w:val="20"/>
        </w:rPr>
        <w:t>. Consultad</w:t>
      </w:r>
      <w:r w:rsidR="006F1CC6">
        <w:rPr>
          <w:rFonts w:asciiTheme="minorHAnsi" w:hAnsiTheme="minorHAnsi" w:cstheme="minorHAnsi"/>
          <w:sz w:val="20"/>
        </w:rPr>
        <w:t>o</w:t>
      </w:r>
      <w:r w:rsidRPr="0053335B">
        <w:rPr>
          <w:rFonts w:asciiTheme="minorHAnsi" w:hAnsiTheme="minorHAnsi" w:cstheme="minorHAnsi"/>
          <w:sz w:val="20"/>
        </w:rPr>
        <w:t xml:space="preserve"> el 14 de agosto de 2025.</w:t>
      </w:r>
    </w:p>
  </w:footnote>
  <w:footnote w:id="7">
    <w:p w14:paraId="4826F6A2" w14:textId="6AD6F649" w:rsidR="001F4F0A" w:rsidRPr="001F4F0A" w:rsidRDefault="001F4F0A">
      <w:pPr>
        <w:pStyle w:val="Textonotapie"/>
      </w:pPr>
      <w:r>
        <w:rPr>
          <w:rStyle w:val="Refdenotaalpie"/>
        </w:rPr>
        <w:footnoteRef/>
      </w:r>
      <w:r>
        <w:t xml:space="preserve"> </w:t>
      </w:r>
      <w:r w:rsidRPr="001F4F0A">
        <w:rPr>
          <w:rFonts w:asciiTheme="minorHAnsi" w:hAnsiTheme="minorHAnsi" w:cstheme="minorHAnsi"/>
          <w:sz w:val="20"/>
          <w:szCs w:val="21"/>
        </w:rPr>
        <w:t>Información obtenida en grupo focal, realizado el 22 de septiembre de 2025.</w:t>
      </w:r>
    </w:p>
  </w:footnote>
  <w:footnote w:id="8">
    <w:p w14:paraId="1343CBCE" w14:textId="77777777" w:rsidR="009402BD" w:rsidRPr="0053335B" w:rsidRDefault="009402BD" w:rsidP="0053335B">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ES_tradnl"/>
        </w:rPr>
        <w:t xml:space="preserve">Caso Genocidio Ixil, Caso CREOMPAZ, Caso Diario Militar, etc. </w:t>
      </w:r>
    </w:p>
  </w:footnote>
  <w:footnote w:id="9">
    <w:p w14:paraId="2AEE4E3E" w14:textId="77777777" w:rsidR="009402BD" w:rsidRPr="0053335B" w:rsidRDefault="009402BD" w:rsidP="0053335B">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ES_tradnl"/>
        </w:rPr>
        <w:t xml:space="preserve">Caso </w:t>
      </w:r>
      <w:proofErr w:type="spellStart"/>
      <w:r w:rsidRPr="0053335B">
        <w:rPr>
          <w:rFonts w:asciiTheme="minorHAnsi" w:hAnsiTheme="minorHAnsi" w:cstheme="minorHAnsi"/>
          <w:sz w:val="20"/>
          <w:lang w:val="es-ES_tradnl"/>
        </w:rPr>
        <w:t>Sepur</w:t>
      </w:r>
      <w:proofErr w:type="spellEnd"/>
      <w:r w:rsidRPr="0053335B">
        <w:rPr>
          <w:rFonts w:asciiTheme="minorHAnsi" w:hAnsiTheme="minorHAnsi" w:cstheme="minorHAnsi"/>
          <w:sz w:val="20"/>
          <w:lang w:val="es-ES_tradnl"/>
        </w:rPr>
        <w:t xml:space="preserve"> Zarco y Caso Rancho Bejuco.</w:t>
      </w:r>
    </w:p>
  </w:footnote>
  <w:footnote w:id="10">
    <w:p w14:paraId="133C610A" w14:textId="271E92E4" w:rsidR="009402BD" w:rsidRPr="0053335B" w:rsidRDefault="009402BD" w:rsidP="0053335B">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proofErr w:type="spellStart"/>
      <w:r w:rsidRPr="0053335B">
        <w:rPr>
          <w:rFonts w:asciiTheme="minorHAnsi" w:hAnsiTheme="minorHAnsi" w:cstheme="minorHAnsi"/>
          <w:sz w:val="20"/>
          <w:lang w:val="es-ES_tradnl"/>
        </w:rPr>
        <w:t>Impunity</w:t>
      </w:r>
      <w:proofErr w:type="spellEnd"/>
      <w:r w:rsidR="001F4F0A">
        <w:rPr>
          <w:rFonts w:asciiTheme="minorHAnsi" w:hAnsiTheme="minorHAnsi" w:cstheme="minorHAnsi"/>
          <w:sz w:val="20"/>
          <w:lang w:val="es-ES_tradnl"/>
        </w:rPr>
        <w:t xml:space="preserve"> </w:t>
      </w:r>
      <w:proofErr w:type="spellStart"/>
      <w:r w:rsidRPr="0053335B">
        <w:rPr>
          <w:rFonts w:asciiTheme="minorHAnsi" w:hAnsiTheme="minorHAnsi" w:cstheme="minorHAnsi"/>
          <w:sz w:val="20"/>
          <w:lang w:val="es-ES_tradnl"/>
        </w:rPr>
        <w:t>Watch</w:t>
      </w:r>
      <w:proofErr w:type="spellEnd"/>
      <w:r w:rsidR="00D404CA" w:rsidRPr="0053335B">
        <w:rPr>
          <w:rFonts w:asciiTheme="minorHAnsi" w:hAnsiTheme="minorHAnsi" w:cstheme="minorHAnsi"/>
          <w:sz w:val="20"/>
          <w:lang w:val="es-ES_tradnl"/>
        </w:rPr>
        <w:t xml:space="preserve"> (2022)</w:t>
      </w:r>
      <w:r w:rsidRPr="0053335B">
        <w:rPr>
          <w:rFonts w:asciiTheme="minorHAnsi" w:hAnsiTheme="minorHAnsi" w:cstheme="minorHAnsi"/>
          <w:sz w:val="20"/>
          <w:lang w:val="es-ES_tradnl"/>
        </w:rPr>
        <w:t xml:space="preserve">, sentencia caso mujeres </w:t>
      </w:r>
      <w:proofErr w:type="spellStart"/>
      <w:r w:rsidRPr="0053335B">
        <w:rPr>
          <w:rFonts w:asciiTheme="minorHAnsi" w:hAnsiTheme="minorHAnsi" w:cstheme="minorHAnsi"/>
          <w:sz w:val="20"/>
          <w:lang w:val="es-ES_tradnl"/>
        </w:rPr>
        <w:t>achi</w:t>
      </w:r>
      <w:proofErr w:type="spellEnd"/>
      <w:r w:rsidRPr="0053335B">
        <w:rPr>
          <w:rFonts w:asciiTheme="minorHAnsi" w:hAnsiTheme="minorHAnsi" w:cstheme="minorHAnsi"/>
          <w:sz w:val="20"/>
          <w:lang w:val="es-ES_tradnl"/>
        </w:rPr>
        <w:t xml:space="preserve">, </w:t>
      </w:r>
      <w:hyperlink r:id="rId7" w:history="1">
        <w:r w:rsidR="009A6F3A" w:rsidRPr="0053335B">
          <w:rPr>
            <w:rStyle w:val="Hipervnculo"/>
            <w:rFonts w:asciiTheme="minorHAnsi" w:hAnsiTheme="minorHAnsi" w:cstheme="minorHAnsi"/>
            <w:sz w:val="20"/>
            <w:lang w:val="es-ES_tradnl"/>
          </w:rPr>
          <w:t>https://www.impunitywatch.org/wp-content/uploads/2022/10/Guatemala_Resumen_de_la_sentencia_del_caso_mujeres_Achi_ES-1.pdf</w:t>
        </w:r>
      </w:hyperlink>
      <w:r w:rsidR="00D404CA" w:rsidRPr="0053335B">
        <w:rPr>
          <w:rFonts w:asciiTheme="minorHAnsi" w:hAnsiTheme="minorHAnsi" w:cstheme="minorHAnsi"/>
          <w:sz w:val="20"/>
          <w:lang w:val="es-ES_tradnl"/>
        </w:rPr>
        <w:t>. Consultada el 11 de agosto de 2025.</w:t>
      </w:r>
    </w:p>
  </w:footnote>
  <w:footnote w:id="11">
    <w:p w14:paraId="0E637F2C" w14:textId="77777777" w:rsidR="00B2022B" w:rsidRPr="0053335B" w:rsidRDefault="00B2022B" w:rsidP="0053335B">
      <w:pPr>
        <w:pStyle w:val="Textonotapie"/>
        <w:spacing w:line="240" w:lineRule="auto"/>
        <w:ind w:left="0" w:right="-57" w:firstLine="0"/>
        <w:jc w:val="both"/>
        <w:rPr>
          <w:rFonts w:asciiTheme="minorHAnsi" w:hAnsiTheme="minorHAnsi" w:cstheme="minorHAnsi"/>
          <w:sz w:val="20"/>
          <w:lang w:val="es-GT"/>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GT"/>
        </w:rPr>
        <w:t xml:space="preserve"> Impunity Watch</w:t>
      </w:r>
      <w:r w:rsidR="00D404CA" w:rsidRPr="0053335B">
        <w:rPr>
          <w:rFonts w:asciiTheme="minorHAnsi" w:hAnsiTheme="minorHAnsi" w:cstheme="minorHAnsi"/>
          <w:sz w:val="20"/>
          <w:lang w:val="es-GT"/>
        </w:rPr>
        <w:t xml:space="preserve"> (2022)</w:t>
      </w:r>
      <w:r w:rsidRPr="0053335B">
        <w:rPr>
          <w:rFonts w:asciiTheme="minorHAnsi" w:hAnsiTheme="minorHAnsi" w:cstheme="minorHAnsi"/>
          <w:sz w:val="20"/>
          <w:lang w:val="es-GT"/>
        </w:rPr>
        <w:t xml:space="preserve">, Medidas de reparación del caso mujeres achi, </w:t>
      </w:r>
      <w:hyperlink r:id="rId8" w:history="1">
        <w:r w:rsidR="00D404CA" w:rsidRPr="0053335B">
          <w:rPr>
            <w:rStyle w:val="Hipervnculo"/>
            <w:rFonts w:asciiTheme="minorHAnsi" w:hAnsiTheme="minorHAnsi" w:cstheme="minorHAnsi"/>
            <w:sz w:val="20"/>
            <w:lang w:val="es-GT"/>
          </w:rPr>
          <w:t>https://www.impunitywatch.org/publications/bulletin-reparations-measures-in-the-maya-achi-womens-case/</w:t>
        </w:r>
      </w:hyperlink>
      <w:r w:rsidR="00D404CA" w:rsidRPr="0053335B">
        <w:rPr>
          <w:rFonts w:asciiTheme="minorHAnsi" w:hAnsiTheme="minorHAnsi" w:cstheme="minorHAnsi"/>
          <w:sz w:val="20"/>
          <w:lang w:val="es-GT"/>
        </w:rPr>
        <w:t>. Consultada el 2 de septiembre de 2025.</w:t>
      </w:r>
    </w:p>
  </w:footnote>
  <w:footnote w:id="12">
    <w:p w14:paraId="1A1279DA" w14:textId="77777777" w:rsidR="009402BD" w:rsidRPr="00F43E05" w:rsidRDefault="009402BD" w:rsidP="0053335B">
      <w:pPr>
        <w:pStyle w:val="Textonotapie"/>
        <w:spacing w:line="240" w:lineRule="auto"/>
        <w:ind w:left="0" w:right="-57" w:firstLine="0"/>
        <w:jc w:val="both"/>
        <w:rPr>
          <w:rFonts w:asciiTheme="minorHAnsi" w:hAnsiTheme="minorHAnsi" w:cstheme="minorHAnsi"/>
          <w:sz w:val="20"/>
          <w:lang w:val="es-GT"/>
        </w:rPr>
      </w:pPr>
      <w:r w:rsidRPr="00F43E05">
        <w:rPr>
          <w:rStyle w:val="Refdenotaalpie"/>
          <w:rFonts w:asciiTheme="minorHAnsi" w:hAnsiTheme="minorHAnsi" w:cstheme="minorHAnsi"/>
          <w:sz w:val="20"/>
        </w:rPr>
        <w:footnoteRef/>
      </w:r>
      <w:r w:rsidRPr="00180C27">
        <w:rPr>
          <w:rFonts w:asciiTheme="minorHAnsi" w:hAnsiTheme="minorHAnsi" w:cstheme="minorHAnsi"/>
          <w:sz w:val="20"/>
        </w:rPr>
        <w:t xml:space="preserve"> New York Times</w:t>
      </w:r>
      <w:r w:rsidR="00D404CA" w:rsidRPr="00180C27">
        <w:rPr>
          <w:rFonts w:asciiTheme="minorHAnsi" w:hAnsiTheme="minorHAnsi" w:cstheme="minorHAnsi"/>
          <w:sz w:val="20"/>
        </w:rPr>
        <w:t xml:space="preserve"> (2025)</w:t>
      </w:r>
      <w:r w:rsidRPr="00180C27">
        <w:rPr>
          <w:rFonts w:asciiTheme="minorHAnsi" w:hAnsiTheme="minorHAnsi" w:cstheme="minorHAnsi"/>
          <w:sz w:val="20"/>
        </w:rPr>
        <w:t xml:space="preserve">, </w:t>
      </w:r>
      <w:r w:rsidR="00D404CA">
        <w:fldChar w:fldCharType="begin"/>
      </w:r>
      <w:r w:rsidR="00D404CA">
        <w:instrText>HYPERLINK "https://www.nytimes.com/interactive/2025/07/24/magazine/guatemala-maya-achi-women-rape-case-trial.html"</w:instrText>
      </w:r>
      <w:r w:rsidR="00D404CA">
        <w:fldChar w:fldCharType="separate"/>
      </w:r>
      <w:r w:rsidR="00D404CA" w:rsidRPr="00180C27">
        <w:rPr>
          <w:rStyle w:val="Hipervnculo"/>
          <w:rFonts w:asciiTheme="minorHAnsi" w:hAnsiTheme="minorHAnsi" w:cstheme="minorHAnsi"/>
          <w:sz w:val="20"/>
        </w:rPr>
        <w:t>https://www.nytimes.com/interactive/2025/07/24/magazine/guatemala-maya-achi-women-rape-case-trial.html</w:t>
      </w:r>
      <w:r w:rsidR="00D404CA">
        <w:fldChar w:fldCharType="end"/>
      </w:r>
      <w:r w:rsidR="00D404CA" w:rsidRPr="00180C27">
        <w:rPr>
          <w:rFonts w:asciiTheme="minorHAnsi" w:hAnsiTheme="minorHAnsi" w:cstheme="minorHAnsi"/>
          <w:sz w:val="20"/>
        </w:rPr>
        <w:t xml:space="preserve">. </w:t>
      </w:r>
      <w:r w:rsidR="00D404CA" w:rsidRPr="00F43E05">
        <w:rPr>
          <w:rFonts w:asciiTheme="minorHAnsi" w:hAnsiTheme="minorHAnsi" w:cstheme="minorHAnsi"/>
          <w:sz w:val="20"/>
          <w:lang w:val="es-GT"/>
        </w:rPr>
        <w:t>Consultada el 2 de septiembre de 2025.</w:t>
      </w:r>
    </w:p>
  </w:footnote>
  <w:footnote w:id="13">
    <w:p w14:paraId="20D74145" w14:textId="3E3816D8" w:rsidR="001F4F0A" w:rsidRPr="001F4F0A" w:rsidRDefault="001F4F0A">
      <w:pPr>
        <w:pStyle w:val="Textonotapie"/>
        <w:rPr>
          <w:rFonts w:asciiTheme="minorHAnsi" w:hAnsiTheme="minorHAnsi" w:cstheme="minorHAnsi"/>
        </w:rPr>
      </w:pPr>
      <w:r>
        <w:rPr>
          <w:rStyle w:val="Refdenotaalpie"/>
        </w:rPr>
        <w:footnoteRef/>
      </w:r>
      <w:r>
        <w:t xml:space="preserve"> </w:t>
      </w:r>
      <w:r w:rsidRPr="001F4F0A">
        <w:rPr>
          <w:rFonts w:asciiTheme="minorHAnsi" w:hAnsiTheme="minorHAnsi" w:cstheme="minorHAnsi"/>
        </w:rPr>
        <w:t>Información proporcionada en grupo focal, realizado el 22 de septiembre de 2025.</w:t>
      </w:r>
    </w:p>
  </w:footnote>
  <w:footnote w:id="14">
    <w:p w14:paraId="51D962E1" w14:textId="77777777" w:rsidR="009402BD" w:rsidRPr="00F43E05" w:rsidRDefault="009402BD" w:rsidP="0053335B">
      <w:pPr>
        <w:pStyle w:val="Textonotapie"/>
        <w:spacing w:line="240" w:lineRule="auto"/>
        <w:ind w:left="0" w:right="-57" w:firstLine="0"/>
        <w:jc w:val="both"/>
        <w:rPr>
          <w:rFonts w:asciiTheme="minorHAnsi" w:hAnsiTheme="minorHAnsi" w:cstheme="minorHAnsi"/>
          <w:sz w:val="20"/>
          <w:lang w:val="es-ES_tradnl"/>
        </w:rPr>
      </w:pPr>
      <w:r w:rsidRPr="00F43E05">
        <w:rPr>
          <w:rStyle w:val="Refdenotaalpie"/>
          <w:rFonts w:asciiTheme="minorHAnsi" w:hAnsiTheme="minorHAnsi" w:cstheme="minorHAnsi"/>
          <w:sz w:val="20"/>
        </w:rPr>
        <w:footnoteRef/>
      </w:r>
      <w:r w:rsidRPr="00F43E05">
        <w:rPr>
          <w:rFonts w:asciiTheme="minorHAnsi" w:hAnsiTheme="minorHAnsi" w:cstheme="minorHAnsi"/>
          <w:sz w:val="20"/>
          <w:lang w:val="es-ES_tradnl"/>
        </w:rPr>
        <w:t xml:space="preserve">MINEDUC, Acuerdo 986-2025 y acuerdo 3425-2023 </w:t>
      </w:r>
      <w:hyperlink r:id="rId9" w:history="1">
        <w:r w:rsidR="00D404CA" w:rsidRPr="00F43E05">
          <w:rPr>
            <w:rStyle w:val="Hipervnculo"/>
            <w:rFonts w:asciiTheme="minorHAnsi" w:hAnsiTheme="minorHAnsi" w:cstheme="minorHAnsi"/>
            <w:sz w:val="20"/>
            <w:lang w:val="es-ES_tradnl"/>
          </w:rPr>
          <w:t>https://infopublica.mineduc.gob.gt/mineduc/images/9/9a/DIPLAN_INCISO15A_2025_VERSION3_ACDO_MINISTERIAL_986-2025_REFORMAS_AL_3425-2023.pdf</w:t>
        </w:r>
      </w:hyperlink>
      <w:r w:rsidR="00D404CA" w:rsidRPr="00F43E05">
        <w:rPr>
          <w:rFonts w:asciiTheme="minorHAnsi" w:hAnsiTheme="minorHAnsi" w:cstheme="minorHAnsi"/>
          <w:sz w:val="20"/>
          <w:lang w:val="es-ES_tradnl"/>
        </w:rPr>
        <w:t>. Consultada el 13 de septiembre de 2025.</w:t>
      </w:r>
    </w:p>
  </w:footnote>
  <w:footnote w:id="15">
    <w:p w14:paraId="1BB344E8" w14:textId="77777777" w:rsidR="00F43E05" w:rsidRPr="00F43E05" w:rsidRDefault="00F43E05" w:rsidP="00F43E05">
      <w:pPr>
        <w:pStyle w:val="Textonotapie"/>
        <w:ind w:left="0" w:right="57" w:firstLine="0"/>
        <w:jc w:val="both"/>
        <w:rPr>
          <w:rFonts w:asciiTheme="minorHAnsi" w:hAnsiTheme="minorHAnsi"/>
          <w:sz w:val="20"/>
        </w:rPr>
      </w:pPr>
      <w:r w:rsidRPr="00F43E05">
        <w:rPr>
          <w:rStyle w:val="Refdenotaalpie"/>
          <w:rFonts w:asciiTheme="minorHAnsi" w:hAnsiTheme="minorHAnsi"/>
          <w:sz w:val="20"/>
        </w:rPr>
        <w:footnoteRef/>
      </w:r>
      <w:r w:rsidRPr="00F43E05">
        <w:rPr>
          <w:rFonts w:asciiTheme="minorHAnsi" w:hAnsiTheme="minorHAnsi"/>
          <w:sz w:val="20"/>
        </w:rPr>
        <w:t xml:space="preserve"> Tribunal de Sentencia Penal, Narcoactividad y Delitos contra el Ambiente del Departamento de </w:t>
      </w:r>
      <w:proofErr w:type="gramStart"/>
      <w:r w:rsidRPr="00F43E05">
        <w:rPr>
          <w:rFonts w:asciiTheme="minorHAnsi" w:hAnsiTheme="minorHAnsi"/>
          <w:sz w:val="20"/>
        </w:rPr>
        <w:t>Chiquimula  (</w:t>
      </w:r>
      <w:proofErr w:type="gramEnd"/>
      <w:r w:rsidRPr="00F43E05">
        <w:rPr>
          <w:rFonts w:asciiTheme="minorHAnsi" w:hAnsiTheme="minorHAnsi"/>
          <w:sz w:val="20"/>
        </w:rPr>
        <w:t>2024</w:t>
      </w:r>
      <w:proofErr w:type="gramStart"/>
      <w:r w:rsidRPr="00F43E05">
        <w:rPr>
          <w:rFonts w:asciiTheme="minorHAnsi" w:hAnsiTheme="minorHAnsi"/>
          <w:sz w:val="20"/>
        </w:rPr>
        <w:t>),  Causa</w:t>
      </w:r>
      <w:proofErr w:type="gramEnd"/>
      <w:r w:rsidRPr="00F43E05">
        <w:rPr>
          <w:rFonts w:asciiTheme="minorHAnsi" w:hAnsiTheme="minorHAnsi"/>
          <w:sz w:val="20"/>
        </w:rPr>
        <w:t xml:space="preserve"> C: 20003-2018-00101.</w:t>
      </w:r>
    </w:p>
  </w:footnote>
  <w:footnote w:id="16">
    <w:p w14:paraId="476732BA" w14:textId="77777777" w:rsidR="00F43E05" w:rsidRPr="00F43E05" w:rsidRDefault="00F43E05" w:rsidP="00F43E05">
      <w:pPr>
        <w:pStyle w:val="Textonotapie"/>
        <w:ind w:left="0" w:right="-113" w:firstLine="0"/>
        <w:jc w:val="both"/>
        <w:rPr>
          <w:rFonts w:asciiTheme="minorHAnsi" w:hAnsiTheme="minorHAnsi" w:cstheme="minorHAnsi"/>
          <w:sz w:val="20"/>
          <w:lang w:val="es-GT"/>
        </w:rPr>
      </w:pPr>
      <w:r w:rsidRPr="00F43E05">
        <w:rPr>
          <w:rFonts w:asciiTheme="minorHAnsi" w:hAnsiTheme="minorHAnsi" w:cstheme="minorHAnsi"/>
          <w:sz w:val="20"/>
          <w:vertAlign w:val="superscript"/>
          <w:lang w:val="es-GT"/>
        </w:rPr>
        <w:footnoteRef/>
      </w:r>
      <w:r w:rsidRPr="00F43E05">
        <w:rPr>
          <w:rFonts w:asciiTheme="minorHAnsi" w:hAnsiTheme="minorHAnsi" w:cstheme="minorHAnsi"/>
          <w:sz w:val="20"/>
          <w:lang w:val="es-GT"/>
        </w:rPr>
        <w:t xml:space="preserve"> Plaza Pública (2024), </w:t>
      </w:r>
      <w:hyperlink r:id="rId10" w:history="1">
        <w:r w:rsidRPr="00F43E05">
          <w:rPr>
            <w:rFonts w:asciiTheme="minorHAnsi" w:hAnsiTheme="minorHAnsi" w:cstheme="minorHAnsi"/>
            <w:sz w:val="20"/>
            <w:lang w:val="es-GT"/>
          </w:rPr>
          <w:t>https://www.plazapublica.com.gt/justicia/informacion/norma-sancir-y-el-precedente-del-derecho-informar</w:t>
        </w:r>
      </w:hyperlink>
      <w:r w:rsidRPr="00F43E05">
        <w:rPr>
          <w:rFonts w:asciiTheme="minorHAnsi" w:hAnsiTheme="minorHAnsi" w:cstheme="minorHAnsi"/>
          <w:sz w:val="20"/>
          <w:lang w:val="es-GT"/>
        </w:rPr>
        <w:t>. Consultada el 7 de octubre de 2025</w:t>
      </w:r>
    </w:p>
  </w:footnote>
  <w:footnote w:id="17">
    <w:p w14:paraId="04289341" w14:textId="418E9372" w:rsidR="001F4F0A" w:rsidRPr="001F4F0A" w:rsidRDefault="001F4F0A">
      <w:pPr>
        <w:pStyle w:val="Textonotapie"/>
      </w:pPr>
      <w:r>
        <w:rPr>
          <w:rStyle w:val="Refdenotaalpie"/>
        </w:rPr>
        <w:footnoteRef/>
      </w:r>
      <w:r>
        <w:t xml:space="preserve"> </w:t>
      </w:r>
      <w:r w:rsidRPr="001F4F0A">
        <w:rPr>
          <w:rFonts w:asciiTheme="minorHAnsi" w:hAnsiTheme="minorHAnsi" w:cstheme="minorHAnsi"/>
          <w:sz w:val="20"/>
          <w:szCs w:val="21"/>
        </w:rPr>
        <w:t xml:space="preserve">Información proporcionada por la periodista Norma </w:t>
      </w:r>
      <w:proofErr w:type="spellStart"/>
      <w:r w:rsidRPr="001F4F0A">
        <w:rPr>
          <w:rFonts w:asciiTheme="minorHAnsi" w:hAnsiTheme="minorHAnsi" w:cstheme="minorHAnsi"/>
          <w:sz w:val="20"/>
          <w:szCs w:val="21"/>
        </w:rPr>
        <w:t>Sancir</w:t>
      </w:r>
      <w:proofErr w:type="spellEnd"/>
      <w:r w:rsidRPr="001F4F0A">
        <w:rPr>
          <w:rFonts w:asciiTheme="minorHAnsi" w:hAnsiTheme="minorHAnsi" w:cstheme="minorHAnsi"/>
          <w:sz w:val="20"/>
          <w:szCs w:val="21"/>
        </w:rPr>
        <w:t>.</w:t>
      </w:r>
      <w:r w:rsidRPr="001F4F0A">
        <w:rPr>
          <w:sz w:val="20"/>
          <w:szCs w:val="21"/>
        </w:rPr>
        <w:t xml:space="preserve"> </w:t>
      </w:r>
    </w:p>
  </w:footnote>
  <w:footnote w:id="18">
    <w:p w14:paraId="5D11D71F" w14:textId="77777777" w:rsidR="00F43E05" w:rsidRPr="00EE7601" w:rsidRDefault="00F43E05" w:rsidP="00EE7601">
      <w:pPr>
        <w:pStyle w:val="Textonotapie"/>
        <w:ind w:left="0" w:right="-227" w:firstLine="0"/>
        <w:jc w:val="both"/>
        <w:rPr>
          <w:rFonts w:asciiTheme="minorHAnsi" w:hAnsiTheme="minorHAnsi"/>
          <w:sz w:val="20"/>
        </w:rPr>
      </w:pPr>
      <w:r w:rsidRPr="00EE7601">
        <w:rPr>
          <w:rStyle w:val="Refdenotaalpie"/>
          <w:rFonts w:asciiTheme="minorHAnsi" w:hAnsiTheme="minorHAnsi"/>
          <w:sz w:val="20"/>
        </w:rPr>
        <w:footnoteRef/>
      </w:r>
      <w:r w:rsidRPr="00180C27">
        <w:rPr>
          <w:rFonts w:asciiTheme="minorHAnsi" w:hAnsiTheme="minorHAnsi"/>
          <w:sz w:val="20"/>
          <w:lang w:val="it-IT"/>
        </w:rPr>
        <w:t xml:space="preserve"> Pikara Magazine (2025), </w:t>
      </w:r>
      <w:r>
        <w:fldChar w:fldCharType="begin"/>
      </w:r>
      <w:r w:rsidRPr="00180C27">
        <w:rPr>
          <w:lang w:val="it-IT"/>
        </w:rPr>
        <w:instrText>HYPERLINK "https://www.pikaramagazine.com/2024/05/la-reparacion-digna-de-la-periodista-norma-sancir/"</w:instrText>
      </w:r>
      <w:r>
        <w:fldChar w:fldCharType="separate"/>
      </w:r>
      <w:r w:rsidRPr="00180C27">
        <w:rPr>
          <w:rStyle w:val="Hipervnculo"/>
          <w:rFonts w:asciiTheme="minorHAnsi" w:hAnsiTheme="minorHAnsi"/>
          <w:sz w:val="20"/>
          <w:lang w:val="it-IT"/>
        </w:rPr>
        <w:t>https://www.pikaramagazine.com/2024/05/la-reparacion-digna-de-la-periodista-norma-sancir/</w:t>
      </w:r>
      <w:r>
        <w:fldChar w:fldCharType="end"/>
      </w:r>
      <w:r w:rsidRPr="00180C27">
        <w:rPr>
          <w:rFonts w:asciiTheme="minorHAnsi" w:hAnsiTheme="minorHAnsi"/>
          <w:sz w:val="20"/>
          <w:lang w:val="it-IT"/>
        </w:rPr>
        <w:t xml:space="preserve">. </w:t>
      </w:r>
      <w:r w:rsidRPr="00EE7601">
        <w:rPr>
          <w:rFonts w:asciiTheme="minorHAnsi" w:hAnsiTheme="minorHAnsi"/>
          <w:sz w:val="20"/>
        </w:rPr>
        <w:t>Consultada el 7 de octubre de 2025.</w:t>
      </w:r>
    </w:p>
  </w:footnote>
  <w:footnote w:id="19">
    <w:p w14:paraId="10769A07" w14:textId="77777777" w:rsidR="00EE7601" w:rsidRPr="00EE7601" w:rsidRDefault="00EE7601" w:rsidP="00EE7601">
      <w:pPr>
        <w:pStyle w:val="Textonotapie"/>
        <w:ind w:left="0" w:right="-227" w:firstLine="0"/>
        <w:jc w:val="both"/>
        <w:rPr>
          <w:rFonts w:asciiTheme="minorHAnsi" w:hAnsiTheme="minorHAnsi"/>
          <w:sz w:val="20"/>
        </w:rPr>
      </w:pPr>
      <w:r w:rsidRPr="00EE7601">
        <w:rPr>
          <w:rStyle w:val="Refdenotaalpie"/>
          <w:rFonts w:asciiTheme="minorHAnsi" w:hAnsiTheme="minorHAnsi"/>
          <w:sz w:val="20"/>
        </w:rPr>
        <w:footnoteRef/>
      </w:r>
      <w:r w:rsidRPr="00EE7601">
        <w:rPr>
          <w:rFonts w:asciiTheme="minorHAnsi" w:hAnsiTheme="minorHAnsi"/>
          <w:sz w:val="20"/>
        </w:rPr>
        <w:t xml:space="preserve"> Amnistía Internacional (2018), </w:t>
      </w:r>
      <w:hyperlink r:id="rId11" w:history="1">
        <w:r w:rsidRPr="00EE7601">
          <w:rPr>
            <w:rStyle w:val="Hipervnculo"/>
            <w:rFonts w:asciiTheme="minorHAnsi" w:hAnsiTheme="minorHAnsi"/>
            <w:sz w:val="20"/>
          </w:rPr>
          <w:t>https://www.amnesty.org/es/documents/amr34/8854/2018/es/</w:t>
        </w:r>
      </w:hyperlink>
      <w:r w:rsidRPr="00EE7601">
        <w:rPr>
          <w:rFonts w:asciiTheme="minorHAnsi" w:hAnsiTheme="minorHAnsi"/>
          <w:sz w:val="20"/>
        </w:rPr>
        <w:t xml:space="preserve">. Consultada el 7 </w:t>
      </w:r>
      <w:proofErr w:type="gramStart"/>
      <w:r w:rsidRPr="00EE7601">
        <w:rPr>
          <w:rFonts w:asciiTheme="minorHAnsi" w:hAnsiTheme="minorHAnsi"/>
          <w:sz w:val="20"/>
        </w:rPr>
        <w:t>de  octubre</w:t>
      </w:r>
      <w:proofErr w:type="gramEnd"/>
      <w:r w:rsidRPr="00EE7601">
        <w:rPr>
          <w:rFonts w:asciiTheme="minorHAnsi" w:hAnsiTheme="minorHAnsi"/>
          <w:sz w:val="20"/>
        </w:rPr>
        <w:t xml:space="preserve"> de 2025.</w:t>
      </w:r>
    </w:p>
  </w:footnote>
  <w:footnote w:id="20">
    <w:p w14:paraId="30FFC93F" w14:textId="77777777" w:rsidR="006C52C5" w:rsidRPr="00EE7601" w:rsidRDefault="006C52C5" w:rsidP="00EE7601">
      <w:pPr>
        <w:pStyle w:val="Textonotapie"/>
        <w:ind w:left="0" w:right="-227" w:firstLine="0"/>
        <w:jc w:val="both"/>
        <w:rPr>
          <w:rFonts w:asciiTheme="minorHAnsi" w:hAnsiTheme="minorHAnsi"/>
          <w:sz w:val="20"/>
        </w:rPr>
      </w:pPr>
      <w:r w:rsidRPr="00EE7601">
        <w:rPr>
          <w:rStyle w:val="Refdenotaalpie"/>
          <w:rFonts w:asciiTheme="minorHAnsi" w:hAnsiTheme="minorHAnsi"/>
          <w:sz w:val="20"/>
        </w:rPr>
        <w:footnoteRef/>
      </w:r>
      <w:r w:rsidRPr="00EE7601">
        <w:rPr>
          <w:rFonts w:asciiTheme="minorHAnsi" w:hAnsiTheme="minorHAnsi"/>
          <w:sz w:val="20"/>
        </w:rPr>
        <w:t>Tribunal de Sentencia Penal, de Delitos de Femicidio y Otras Formas de Violencia contra la Mujer, y Violencia Sexual, del departamento de Quiché, Carpeta judicial 14002-2018-00324, T.S. 50-2019, Sentencia condenatoria del 24 de septiembre de 2020, pág. 138.</w:t>
      </w:r>
    </w:p>
  </w:footnote>
  <w:footnote w:id="21">
    <w:p w14:paraId="5FD85365" w14:textId="77777777" w:rsidR="006C52C5" w:rsidRPr="00EE7601" w:rsidRDefault="006C52C5" w:rsidP="00EE7601">
      <w:pPr>
        <w:pStyle w:val="Textonotapie"/>
        <w:ind w:left="0" w:right="-227" w:firstLine="0"/>
        <w:jc w:val="both"/>
        <w:rPr>
          <w:rFonts w:asciiTheme="minorHAnsi" w:hAnsiTheme="minorHAnsi"/>
          <w:sz w:val="20"/>
        </w:rPr>
      </w:pPr>
      <w:r w:rsidRPr="00EE7601">
        <w:rPr>
          <w:rStyle w:val="Refdenotaalpie"/>
          <w:rFonts w:asciiTheme="minorHAnsi" w:hAnsiTheme="minorHAnsi"/>
          <w:sz w:val="20"/>
        </w:rPr>
        <w:footnoteRef/>
      </w:r>
      <w:proofErr w:type="spellStart"/>
      <w:r w:rsidRPr="00EE7601">
        <w:rPr>
          <w:rFonts w:asciiTheme="minorHAnsi" w:hAnsiTheme="minorHAnsi"/>
          <w:sz w:val="20"/>
        </w:rPr>
        <w:t>Ibíd</w:t>
      </w:r>
      <w:proofErr w:type="spellEnd"/>
      <w:r w:rsidRPr="00EE7601">
        <w:rPr>
          <w:rFonts w:asciiTheme="minorHAnsi" w:hAnsiTheme="minorHAnsi"/>
          <w:sz w:val="20"/>
        </w:rPr>
        <w:t>., pág. 139.</w:t>
      </w:r>
    </w:p>
  </w:footnote>
  <w:footnote w:id="22">
    <w:p w14:paraId="09043DE9" w14:textId="77777777" w:rsidR="00EE7601" w:rsidRPr="00EE7601" w:rsidRDefault="00EE7601" w:rsidP="00EE7601">
      <w:pPr>
        <w:pStyle w:val="Textonotapie"/>
        <w:ind w:left="0" w:right="-227" w:firstLine="0"/>
        <w:jc w:val="both"/>
        <w:rPr>
          <w:rFonts w:asciiTheme="minorHAnsi" w:hAnsiTheme="minorHAnsi"/>
          <w:sz w:val="20"/>
          <w:lang w:val="es-GT"/>
        </w:rPr>
      </w:pPr>
      <w:r w:rsidRPr="00EE7601">
        <w:rPr>
          <w:rStyle w:val="Refdenotaalpie"/>
          <w:rFonts w:asciiTheme="minorHAnsi" w:hAnsiTheme="minorHAnsi"/>
          <w:sz w:val="20"/>
        </w:rPr>
        <w:footnoteRef/>
      </w:r>
      <w:r w:rsidRPr="00180C27">
        <w:rPr>
          <w:rFonts w:asciiTheme="minorHAnsi" w:hAnsiTheme="minorHAnsi"/>
          <w:sz w:val="20"/>
        </w:rPr>
        <w:t xml:space="preserve"> CALDH (2022), </w:t>
      </w:r>
      <w:r>
        <w:fldChar w:fldCharType="begin"/>
      </w:r>
      <w:r>
        <w:instrText>HYPERLINK "https://caldh.org.gt/wp-content/uploads/2023/04/Mediacion-Sentencia-Caso-Juan-Raymundo-Rivera.pdf"</w:instrText>
      </w:r>
      <w:r>
        <w:fldChar w:fldCharType="separate"/>
      </w:r>
      <w:r w:rsidRPr="00180C27">
        <w:rPr>
          <w:rStyle w:val="Hipervnculo"/>
          <w:rFonts w:asciiTheme="minorHAnsi" w:hAnsiTheme="minorHAnsi"/>
          <w:sz w:val="20"/>
        </w:rPr>
        <w:t>https://caldh.org.gt/wp-content/uploads/2023/04/Mediacion-Sentencia-Caso-Juan-Raymundo-Rivera.pdf</w:t>
      </w:r>
      <w:r>
        <w:fldChar w:fldCharType="end"/>
      </w:r>
      <w:r w:rsidRPr="00180C27">
        <w:rPr>
          <w:rFonts w:asciiTheme="minorHAnsi" w:hAnsiTheme="minorHAnsi"/>
          <w:sz w:val="20"/>
        </w:rPr>
        <w:t xml:space="preserve">. </w:t>
      </w:r>
      <w:r w:rsidRPr="00EE7601">
        <w:rPr>
          <w:rFonts w:asciiTheme="minorHAnsi" w:hAnsiTheme="minorHAnsi"/>
          <w:sz w:val="20"/>
          <w:lang w:val="es-GT"/>
        </w:rPr>
        <w:t>Consultada el 7 de octubre de 2025.</w:t>
      </w:r>
    </w:p>
  </w:footnote>
  <w:footnote w:id="23">
    <w:p w14:paraId="5F310E72" w14:textId="48AEEEBE" w:rsidR="001F4F0A" w:rsidRPr="001F4F0A" w:rsidRDefault="001F4F0A">
      <w:pPr>
        <w:pStyle w:val="Textonotapie"/>
        <w:rPr>
          <w:rFonts w:asciiTheme="minorHAnsi" w:hAnsiTheme="minorHAnsi" w:cstheme="minorHAnsi"/>
          <w:sz w:val="20"/>
          <w:szCs w:val="21"/>
        </w:rPr>
      </w:pPr>
      <w:r>
        <w:rPr>
          <w:rStyle w:val="Refdenotaalpie"/>
        </w:rPr>
        <w:footnoteRef/>
      </w:r>
      <w:r>
        <w:t xml:space="preserve"> </w:t>
      </w:r>
      <w:r w:rsidRPr="001F4F0A">
        <w:rPr>
          <w:rFonts w:asciiTheme="minorHAnsi" w:hAnsiTheme="minorHAnsi" w:cstheme="minorHAnsi"/>
          <w:sz w:val="20"/>
          <w:szCs w:val="21"/>
        </w:rPr>
        <w:t>Información proporcionada en grupo focal el 22 de septiembre de 2025.</w:t>
      </w:r>
    </w:p>
  </w:footnote>
  <w:footnote w:id="24">
    <w:p w14:paraId="02C7BC8F" w14:textId="77777777" w:rsidR="001F2F56" w:rsidRPr="0053335B" w:rsidRDefault="001F2F56" w:rsidP="0053335B">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ES_tradnl"/>
        </w:rPr>
        <w:t>Plaza Pública</w:t>
      </w:r>
      <w:r w:rsidR="00D404CA" w:rsidRPr="0053335B">
        <w:rPr>
          <w:rFonts w:asciiTheme="minorHAnsi" w:hAnsiTheme="minorHAnsi" w:cstheme="minorHAnsi"/>
          <w:sz w:val="20"/>
          <w:lang w:val="es-ES_tradnl"/>
        </w:rPr>
        <w:t xml:space="preserve"> (2017)</w:t>
      </w:r>
      <w:r w:rsidRPr="0053335B">
        <w:rPr>
          <w:rFonts w:asciiTheme="minorHAnsi" w:hAnsiTheme="minorHAnsi" w:cstheme="minorHAnsi"/>
          <w:sz w:val="20"/>
          <w:lang w:val="es-ES_tradnl"/>
        </w:rPr>
        <w:t xml:space="preserve">, Violación del derecho de los pueblos indígenas a la consulta, </w:t>
      </w:r>
      <w:hyperlink r:id="rId12" w:history="1">
        <w:r w:rsidR="00D404CA" w:rsidRPr="0053335B">
          <w:rPr>
            <w:rStyle w:val="Hipervnculo"/>
            <w:rFonts w:asciiTheme="minorHAnsi" w:hAnsiTheme="minorHAnsi" w:cstheme="minorHAnsi"/>
            <w:sz w:val="20"/>
            <w:lang w:val="es-ES_tradnl"/>
          </w:rPr>
          <w:t>https://www.plazapublica.com.gt/content/violacion-del-derecho-de-los-pueblos-indigenas-la-consulta</w:t>
        </w:r>
      </w:hyperlink>
      <w:r w:rsidR="00D404CA" w:rsidRPr="0053335B">
        <w:rPr>
          <w:rFonts w:asciiTheme="minorHAnsi" w:hAnsiTheme="minorHAnsi" w:cstheme="minorHAnsi"/>
          <w:sz w:val="20"/>
          <w:lang w:val="es-ES_tradnl"/>
        </w:rPr>
        <w:t xml:space="preserve">. Consultada el 27 de agosto de 2025. </w:t>
      </w:r>
    </w:p>
  </w:footnote>
  <w:footnote w:id="25">
    <w:p w14:paraId="4399742B" w14:textId="77777777" w:rsidR="001F2F56" w:rsidRPr="0053335B" w:rsidRDefault="001F2F56" w:rsidP="0053335B">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ES_tradnl"/>
        </w:rPr>
        <w:t>Plaza Pública</w:t>
      </w:r>
      <w:r w:rsidR="00D404CA" w:rsidRPr="0053335B">
        <w:rPr>
          <w:rFonts w:asciiTheme="minorHAnsi" w:hAnsiTheme="minorHAnsi" w:cstheme="minorHAnsi"/>
          <w:sz w:val="20"/>
          <w:lang w:val="es-ES_tradnl"/>
        </w:rPr>
        <w:t xml:space="preserve"> (2016)</w:t>
      </w:r>
      <w:r w:rsidRPr="0053335B">
        <w:rPr>
          <w:rFonts w:asciiTheme="minorHAnsi" w:hAnsiTheme="minorHAnsi" w:cstheme="minorHAnsi"/>
          <w:sz w:val="20"/>
          <w:lang w:val="es-ES_tradnl"/>
        </w:rPr>
        <w:t xml:space="preserve">, Sistematización de sentencias sobre el derecho a la consulta en Guatemala. </w:t>
      </w:r>
      <w:hyperlink r:id="rId13" w:history="1">
        <w:r w:rsidR="00D404CA" w:rsidRPr="0053335B">
          <w:rPr>
            <w:rStyle w:val="Hipervnculo"/>
            <w:rFonts w:asciiTheme="minorHAnsi" w:hAnsiTheme="minorHAnsi" w:cstheme="minorHAnsi"/>
            <w:sz w:val="20"/>
            <w:lang w:val="es-ES_tradnl"/>
          </w:rPr>
          <w:t>https://www.plazapublica.com.gt/sites/default/files/oxfam_sistematizacion_1.pdf</w:t>
        </w:r>
      </w:hyperlink>
      <w:r w:rsidR="00D404CA" w:rsidRPr="0053335B">
        <w:rPr>
          <w:rFonts w:asciiTheme="minorHAnsi" w:hAnsiTheme="minorHAnsi" w:cstheme="minorHAnsi"/>
          <w:sz w:val="20"/>
          <w:lang w:val="es-ES_tradnl"/>
        </w:rPr>
        <w:t>. Consultada el 27 de agosto de 2025.</w:t>
      </w:r>
    </w:p>
  </w:footnote>
  <w:footnote w:id="26">
    <w:p w14:paraId="710A74A1" w14:textId="77777777" w:rsidR="00031C83" w:rsidRPr="0053335B" w:rsidRDefault="00031C83" w:rsidP="0053335B">
      <w:pPr>
        <w:pStyle w:val="Textonotapie"/>
        <w:spacing w:line="240" w:lineRule="auto"/>
        <w:ind w:left="0" w:right="-57" w:firstLine="0"/>
        <w:jc w:val="both"/>
        <w:rPr>
          <w:rFonts w:asciiTheme="minorHAnsi" w:hAnsiTheme="minorHAnsi" w:cstheme="minorHAnsi"/>
          <w:sz w:val="20"/>
        </w:rPr>
      </w:pPr>
      <w:r w:rsidRPr="0053335B">
        <w:rPr>
          <w:rStyle w:val="Refdenotaalpie"/>
          <w:rFonts w:asciiTheme="minorHAnsi" w:hAnsiTheme="minorHAnsi" w:cstheme="minorHAnsi"/>
          <w:sz w:val="20"/>
        </w:rPr>
        <w:footnoteRef/>
      </w:r>
      <w:r w:rsidRPr="0053335B">
        <w:rPr>
          <w:rFonts w:asciiTheme="minorHAnsi" w:hAnsiTheme="minorHAnsi" w:cstheme="minorHAnsi"/>
          <w:sz w:val="20"/>
        </w:rPr>
        <w:t xml:space="preserve"> Corte de Constitucionalidad, Expediente </w:t>
      </w:r>
      <w:r w:rsidR="005D72D2" w:rsidRPr="0053335B">
        <w:rPr>
          <w:rFonts w:asciiTheme="minorHAnsi" w:hAnsiTheme="minorHAnsi" w:cstheme="minorHAnsi"/>
          <w:sz w:val="20"/>
        </w:rPr>
        <w:t>5712-2013, sentencia de fecha 23 de noviembre de 2015 y Expediente 2567-2015, sentencia de fecha 31 de marzo de 2016.</w:t>
      </w:r>
    </w:p>
  </w:footnote>
  <w:footnote w:id="27">
    <w:p w14:paraId="3929419F" w14:textId="77777777" w:rsidR="004E70FD" w:rsidRPr="0053335B" w:rsidRDefault="004E70FD" w:rsidP="0053335B">
      <w:pPr>
        <w:pStyle w:val="Textonotapie"/>
        <w:spacing w:line="240" w:lineRule="auto"/>
        <w:ind w:left="0" w:right="-57" w:firstLine="0"/>
        <w:jc w:val="both"/>
        <w:rPr>
          <w:rFonts w:asciiTheme="minorHAnsi" w:hAnsiTheme="minorHAnsi" w:cstheme="minorHAnsi"/>
          <w:sz w:val="20"/>
        </w:rPr>
      </w:pPr>
      <w:r w:rsidRPr="0053335B">
        <w:rPr>
          <w:rStyle w:val="Refdenotaalpie"/>
          <w:rFonts w:asciiTheme="minorHAnsi" w:hAnsiTheme="minorHAnsi"/>
          <w:sz w:val="20"/>
        </w:rPr>
        <w:footnoteRef/>
      </w:r>
      <w:r w:rsidRPr="0053335B">
        <w:rPr>
          <w:rFonts w:asciiTheme="minorHAnsi" w:hAnsiTheme="minorHAnsi" w:cstheme="minorHAnsi"/>
          <w:sz w:val="20"/>
        </w:rPr>
        <w:t>Ministerio de Energía y Minas. Consulta al Pueblo kaqchikel por el PROYECTO EXTRACCIÓN MINERO PROGRESO VII DERIVADA, https://mem.gob.gt/proyecto-minero-progreso-vii-derivada/. Consultada el 2 de septiembre de 2025.</w:t>
      </w:r>
    </w:p>
  </w:footnote>
  <w:footnote w:id="28">
    <w:p w14:paraId="7EC7316C" w14:textId="77777777" w:rsidR="004E70FD" w:rsidRPr="0053335B" w:rsidRDefault="004E70FD" w:rsidP="0053335B">
      <w:pPr>
        <w:pStyle w:val="Textonotapie"/>
        <w:spacing w:line="240" w:lineRule="auto"/>
        <w:ind w:left="0" w:right="-57" w:firstLine="0"/>
        <w:jc w:val="both"/>
        <w:rPr>
          <w:rFonts w:asciiTheme="minorHAnsi" w:hAnsiTheme="minorHAnsi" w:cstheme="minorHAnsi"/>
          <w:sz w:val="20"/>
        </w:rPr>
      </w:pPr>
      <w:r w:rsidRPr="0053335B">
        <w:rPr>
          <w:rStyle w:val="Refdenotaalpie"/>
          <w:rFonts w:asciiTheme="minorHAnsi" w:hAnsiTheme="minorHAnsi"/>
          <w:sz w:val="20"/>
        </w:rPr>
        <w:footnoteRef/>
      </w:r>
      <w:r w:rsidRPr="0053335B">
        <w:rPr>
          <w:rFonts w:asciiTheme="minorHAnsi" w:hAnsiTheme="minorHAnsi" w:cstheme="minorHAnsi"/>
          <w:sz w:val="20"/>
        </w:rPr>
        <w:t xml:space="preserve">Prensa Comunitaria (2024), </w:t>
      </w:r>
      <w:hyperlink r:id="rId14" w:history="1">
        <w:r w:rsidRPr="0053335B">
          <w:rPr>
            <w:rStyle w:val="Hipervnculo"/>
            <w:rFonts w:asciiTheme="minorHAnsi" w:hAnsiTheme="minorHAnsi" w:cstheme="minorHAnsi"/>
            <w:sz w:val="20"/>
          </w:rPr>
          <w:t>https://prensacomunitaria.org/2024/11/el-parlamento-xinka-denuncia-actos-de-mala-fe-de-la-mina-el-escobal-en-proceso-de-consulta/</w:t>
        </w:r>
      </w:hyperlink>
      <w:r w:rsidRPr="0053335B">
        <w:rPr>
          <w:rFonts w:asciiTheme="minorHAnsi" w:hAnsiTheme="minorHAnsi" w:cstheme="minorHAnsi"/>
          <w:sz w:val="20"/>
        </w:rPr>
        <w:t xml:space="preserve">. Consultada el 23 de agosto de 2025; y Desinformémonos (2022), </w:t>
      </w:r>
      <w:hyperlink r:id="rId15" w:history="1">
        <w:r w:rsidRPr="0053335B">
          <w:rPr>
            <w:rStyle w:val="Hipervnculo"/>
            <w:rFonts w:asciiTheme="minorHAnsi" w:hAnsiTheme="minorHAnsi" w:cstheme="minorHAnsi"/>
            <w:sz w:val="20"/>
          </w:rPr>
          <w:t>https://desinformemonos.org/minera-incumple-promesas-y-presiona-para-operar-en-guatemala/</w:t>
        </w:r>
      </w:hyperlink>
      <w:r w:rsidRPr="0053335B">
        <w:rPr>
          <w:rFonts w:asciiTheme="minorHAnsi" w:hAnsiTheme="minorHAnsi" w:cstheme="minorHAnsi"/>
          <w:sz w:val="20"/>
        </w:rPr>
        <w:t>. Consultada el 23 de agosto de 2025.</w:t>
      </w:r>
    </w:p>
  </w:footnote>
  <w:footnote w:id="29">
    <w:p w14:paraId="3ABFF312" w14:textId="77777777" w:rsidR="0003684E" w:rsidRPr="0053335B" w:rsidRDefault="0003684E" w:rsidP="0053335B">
      <w:pPr>
        <w:pStyle w:val="Textonotapie"/>
        <w:spacing w:line="240" w:lineRule="auto"/>
        <w:ind w:left="0" w:right="-57" w:firstLine="0"/>
        <w:jc w:val="both"/>
        <w:rPr>
          <w:rFonts w:asciiTheme="minorHAnsi" w:hAnsiTheme="minorHAnsi" w:cstheme="minorHAnsi"/>
          <w:sz w:val="20"/>
        </w:rPr>
      </w:pPr>
      <w:r w:rsidRPr="0053335B">
        <w:rPr>
          <w:rStyle w:val="Refdenotaalpie"/>
          <w:rFonts w:asciiTheme="minorHAnsi" w:hAnsiTheme="minorHAnsi" w:cstheme="minorHAnsi"/>
          <w:sz w:val="20"/>
        </w:rPr>
        <w:footnoteRef/>
      </w:r>
      <w:r w:rsidR="00D404CA" w:rsidRPr="0053335B">
        <w:rPr>
          <w:rFonts w:asciiTheme="minorHAnsi" w:hAnsiTheme="minorHAnsi" w:cstheme="minorHAnsi"/>
          <w:sz w:val="20"/>
        </w:rPr>
        <w:t xml:space="preserve">Prensa Libre (2025), </w:t>
      </w:r>
      <w:hyperlink r:id="rId16" w:history="1">
        <w:r w:rsidR="00D404CA" w:rsidRPr="0053335B">
          <w:rPr>
            <w:rStyle w:val="Hipervnculo"/>
            <w:rFonts w:asciiTheme="minorHAnsi" w:hAnsiTheme="minorHAnsi" w:cstheme="minorHAnsi"/>
            <w:sz w:val="20"/>
          </w:rPr>
          <w:t>https://www.prensalibre.com/economia/sentencia-del-ciadi-contra-guatemala-marca-record-en-pagos-de-arbitraje-y-plantea-desafios-fiscales/</w:t>
        </w:r>
      </w:hyperlink>
      <w:r w:rsidR="00D404CA" w:rsidRPr="0053335B">
        <w:rPr>
          <w:rFonts w:asciiTheme="minorHAnsi" w:hAnsiTheme="minorHAnsi" w:cstheme="minorHAnsi"/>
          <w:sz w:val="20"/>
        </w:rPr>
        <w:t>. Consultada el 2 de septiembre de 2025.</w:t>
      </w:r>
    </w:p>
  </w:footnote>
  <w:footnote w:id="30">
    <w:p w14:paraId="70DCD6AC" w14:textId="77777777" w:rsidR="00493F00" w:rsidRPr="0053335B" w:rsidRDefault="00493F00" w:rsidP="0053335B">
      <w:pPr>
        <w:pStyle w:val="Textonotapie"/>
        <w:spacing w:line="240" w:lineRule="auto"/>
        <w:ind w:left="0" w:right="-57" w:firstLine="0"/>
        <w:jc w:val="both"/>
        <w:rPr>
          <w:rFonts w:asciiTheme="minorHAnsi" w:hAnsiTheme="minorHAnsi" w:cstheme="minorHAnsi"/>
          <w:sz w:val="20"/>
        </w:rPr>
      </w:pPr>
      <w:r w:rsidRPr="0053335B">
        <w:rPr>
          <w:rStyle w:val="Refdenotaalpie"/>
          <w:rFonts w:asciiTheme="minorHAnsi" w:hAnsiTheme="minorHAnsi"/>
          <w:sz w:val="20"/>
        </w:rPr>
        <w:footnoteRef/>
      </w:r>
      <w:r w:rsidRPr="0053335B">
        <w:rPr>
          <w:rFonts w:asciiTheme="minorHAnsi" w:hAnsiTheme="minorHAnsi" w:cstheme="minorHAnsi"/>
          <w:sz w:val="20"/>
        </w:rPr>
        <w:t xml:space="preserve">Ciar Global (2025), </w:t>
      </w:r>
      <w:hyperlink r:id="rId17" w:history="1">
        <w:r w:rsidRPr="0053335B">
          <w:rPr>
            <w:rStyle w:val="Hipervnculo"/>
            <w:rFonts w:asciiTheme="minorHAnsi" w:hAnsiTheme="minorHAnsi" w:cstheme="minorHAnsi"/>
            <w:sz w:val="20"/>
          </w:rPr>
          <w:t>https://ciarglobal.com/guatemala-condenada-a-indemnizar-con-645musd-a-energetica-panamena/</w:t>
        </w:r>
      </w:hyperlink>
      <w:r w:rsidRPr="0053335B">
        <w:rPr>
          <w:rFonts w:asciiTheme="minorHAnsi" w:hAnsiTheme="minorHAnsi" w:cstheme="minorHAnsi"/>
          <w:sz w:val="20"/>
        </w:rPr>
        <w:t>. Consultada el 3 de septiembre de 2025.</w:t>
      </w:r>
    </w:p>
  </w:footnote>
  <w:footnote w:id="31">
    <w:p w14:paraId="63247C38" w14:textId="57275C82" w:rsidR="000422B0" w:rsidRPr="0053335B" w:rsidRDefault="000422B0" w:rsidP="0073254F">
      <w:pPr>
        <w:pStyle w:val="Textonotapie"/>
        <w:spacing w:line="240" w:lineRule="auto"/>
        <w:ind w:left="0" w:right="-57" w:firstLine="0"/>
        <w:jc w:val="both"/>
        <w:rPr>
          <w:rFonts w:asciiTheme="minorHAnsi" w:hAnsiTheme="minorHAnsi"/>
          <w:sz w:val="20"/>
          <w:lang w:val="es-GT"/>
        </w:rPr>
      </w:pPr>
      <w:r w:rsidRPr="0053335B">
        <w:rPr>
          <w:rStyle w:val="Refdenotaalpie"/>
          <w:rFonts w:asciiTheme="minorHAnsi" w:eastAsiaTheme="minorEastAsia" w:hAnsiTheme="minorHAnsi"/>
          <w:sz w:val="20"/>
        </w:rPr>
        <w:footnoteRef/>
      </w:r>
      <w:r w:rsidRPr="0053335B">
        <w:rPr>
          <w:rFonts w:asciiTheme="minorHAnsi" w:hAnsiTheme="minorHAnsi"/>
          <w:sz w:val="20"/>
          <w:lang w:val="es-GT"/>
        </w:rPr>
        <w:t>21 de mayo de 2009 se realizó una Cosulta</w:t>
      </w:r>
      <w:r w:rsidR="001F4F0A">
        <w:rPr>
          <w:rFonts w:asciiTheme="minorHAnsi" w:hAnsiTheme="minorHAnsi"/>
          <w:sz w:val="20"/>
          <w:lang w:val="es-GT"/>
        </w:rPr>
        <w:t xml:space="preserve"> </w:t>
      </w:r>
      <w:r w:rsidRPr="0053335B">
        <w:rPr>
          <w:rFonts w:asciiTheme="minorHAnsi" w:hAnsiTheme="minorHAnsi"/>
          <w:sz w:val="20"/>
          <w:lang w:val="es-GT"/>
        </w:rPr>
        <w:t>Comuntaria de Buena Fe en diferentes comunidades de la microrregión de Ixquisis</w:t>
      </w:r>
    </w:p>
  </w:footnote>
  <w:footnote w:id="32">
    <w:p w14:paraId="09BE5460" w14:textId="77777777" w:rsidR="000422B0" w:rsidRPr="0073254F" w:rsidRDefault="000422B0" w:rsidP="0005166C">
      <w:pPr>
        <w:pStyle w:val="Textonotapie"/>
        <w:spacing w:line="240" w:lineRule="auto"/>
        <w:ind w:left="0" w:right="-57" w:firstLine="0"/>
        <w:jc w:val="both"/>
        <w:rPr>
          <w:rFonts w:asciiTheme="minorHAnsi" w:hAnsiTheme="minorHAnsi"/>
          <w:sz w:val="20"/>
        </w:rPr>
      </w:pPr>
      <w:r w:rsidRPr="0073254F">
        <w:rPr>
          <w:rStyle w:val="Refdenotaalpie"/>
          <w:rFonts w:asciiTheme="minorHAnsi" w:eastAsiaTheme="minorEastAsia" w:hAnsiTheme="minorHAnsi"/>
          <w:sz w:val="20"/>
        </w:rPr>
        <w:footnoteRef/>
      </w:r>
      <w:r w:rsidRPr="0073254F">
        <w:rPr>
          <w:rFonts w:asciiTheme="minorHAnsi" w:hAnsiTheme="minorHAnsi"/>
          <w:sz w:val="20"/>
        </w:rPr>
        <w:t xml:space="preserve"> CMI. (2016) Irregularidades e impunidad ambiental en hidroeléctricas del norte de Huehuetenango. Disponible en: </w:t>
      </w:r>
      <w:hyperlink r:id="rId18" w:history="1">
        <w:r w:rsidRPr="0073254F">
          <w:rPr>
            <w:rStyle w:val="Hipervnculo"/>
            <w:rFonts w:asciiTheme="minorHAnsi" w:hAnsiTheme="minorHAnsi"/>
            <w:sz w:val="20"/>
          </w:rPr>
          <w:t>https://cmiguate.org/irregularidades-e-impunidad-ambiental-en-hidroelectricas-del-norte-de-huehuetenango/</w:t>
        </w:r>
      </w:hyperlink>
      <w:r w:rsidR="0073254F" w:rsidRPr="0073254F">
        <w:rPr>
          <w:rFonts w:asciiTheme="minorHAnsi" w:hAnsiTheme="minorHAnsi"/>
          <w:sz w:val="20"/>
        </w:rPr>
        <w:t>. Consultada el 6 de octubre de 2025.</w:t>
      </w:r>
    </w:p>
  </w:footnote>
  <w:footnote w:id="33">
    <w:p w14:paraId="65B7AD28" w14:textId="77777777" w:rsidR="000422B0" w:rsidRPr="0073254F" w:rsidRDefault="000422B0" w:rsidP="0073254F">
      <w:pPr>
        <w:pStyle w:val="Textonotapie"/>
        <w:spacing w:line="240" w:lineRule="auto"/>
        <w:ind w:left="0" w:right="-113" w:firstLine="0"/>
        <w:jc w:val="both"/>
        <w:rPr>
          <w:rFonts w:asciiTheme="minorHAnsi" w:hAnsiTheme="minorHAnsi"/>
          <w:sz w:val="20"/>
          <w:lang w:val="es-GT"/>
        </w:rPr>
      </w:pPr>
      <w:r w:rsidRPr="0073254F">
        <w:rPr>
          <w:rStyle w:val="Refdenotaalpie"/>
          <w:rFonts w:asciiTheme="minorHAnsi" w:eastAsiaTheme="minorEastAsia" w:hAnsiTheme="minorHAnsi"/>
          <w:sz w:val="20"/>
        </w:rPr>
        <w:footnoteRef/>
      </w:r>
      <w:r w:rsidR="0073254F" w:rsidRPr="0073254F">
        <w:rPr>
          <w:rFonts w:asciiTheme="minorHAnsi" w:hAnsiTheme="minorHAnsi"/>
          <w:sz w:val="20"/>
        </w:rPr>
        <w:t xml:space="preserve">MICIVI (2018). </w:t>
      </w:r>
      <w:hyperlink r:id="rId19" w:history="1">
        <w:r w:rsidRPr="0073254F">
          <w:rPr>
            <w:rStyle w:val="Hipervnculo"/>
            <w:rFonts w:asciiTheme="minorHAnsi" w:hAnsiTheme="minorHAnsi"/>
            <w:sz w:val="20"/>
            <w:lang w:val="es-GT"/>
          </w:rPr>
          <w:t>https://mici.iadb.org/en/cases/MICI-CII-GU-2018-0136</w:t>
        </w:r>
      </w:hyperlink>
      <w:r w:rsidR="0073254F" w:rsidRPr="0073254F">
        <w:rPr>
          <w:rFonts w:asciiTheme="minorHAnsi" w:hAnsiTheme="minorHAnsi"/>
          <w:sz w:val="20"/>
        </w:rPr>
        <w:t>. Consultada el 6 de octubre de 2025.</w:t>
      </w:r>
    </w:p>
  </w:footnote>
  <w:footnote w:id="34">
    <w:p w14:paraId="527ABFE8" w14:textId="77777777" w:rsidR="000422B0" w:rsidRPr="0073254F" w:rsidRDefault="000422B0" w:rsidP="0073254F">
      <w:pPr>
        <w:pStyle w:val="Textonotapie"/>
        <w:spacing w:line="240" w:lineRule="auto"/>
        <w:ind w:left="0" w:right="-113" w:firstLine="0"/>
        <w:jc w:val="both"/>
        <w:rPr>
          <w:rFonts w:asciiTheme="minorHAnsi" w:hAnsiTheme="minorHAnsi"/>
          <w:sz w:val="20"/>
          <w:lang w:val="es-GT"/>
        </w:rPr>
      </w:pPr>
      <w:r w:rsidRPr="0073254F">
        <w:rPr>
          <w:rStyle w:val="Refdenotaalpie"/>
          <w:rFonts w:asciiTheme="minorHAnsi" w:eastAsiaTheme="minorEastAsia" w:hAnsiTheme="minorHAnsi"/>
          <w:sz w:val="20"/>
        </w:rPr>
        <w:footnoteRef/>
      </w:r>
      <w:r w:rsidR="0073254F" w:rsidRPr="00A14E6C">
        <w:rPr>
          <w:rFonts w:asciiTheme="minorHAnsi" w:hAnsiTheme="minorHAnsi"/>
          <w:sz w:val="20"/>
        </w:rPr>
        <w:t xml:space="preserve">IDV, </w:t>
      </w:r>
      <w:proofErr w:type="spellStart"/>
      <w:r w:rsidR="0073254F" w:rsidRPr="00A14E6C">
        <w:rPr>
          <w:rFonts w:asciiTheme="minorHAnsi" w:hAnsiTheme="minorHAnsi"/>
          <w:sz w:val="20"/>
        </w:rPr>
        <w:t>Invest</w:t>
      </w:r>
      <w:proofErr w:type="spellEnd"/>
      <w:r w:rsidR="0073254F" w:rsidRPr="00A14E6C">
        <w:rPr>
          <w:rFonts w:asciiTheme="minorHAnsi" w:hAnsiTheme="minorHAnsi"/>
          <w:sz w:val="20"/>
        </w:rPr>
        <w:t xml:space="preserve"> (s.f.), </w:t>
      </w:r>
      <w:hyperlink r:id="rId20" w:history="1">
        <w:r w:rsidRPr="00A14E6C">
          <w:rPr>
            <w:rStyle w:val="Hipervnculo"/>
            <w:rFonts w:asciiTheme="minorHAnsi" w:hAnsiTheme="minorHAnsi"/>
            <w:sz w:val="20"/>
          </w:rPr>
          <w:t>https://www.idbinvest.org/en/projects/generadora-san-mateo-sa</w:t>
        </w:r>
      </w:hyperlink>
      <w:r w:rsidR="0073254F" w:rsidRPr="00A14E6C">
        <w:rPr>
          <w:rFonts w:asciiTheme="minorHAnsi" w:hAnsiTheme="minorHAnsi"/>
          <w:sz w:val="20"/>
        </w:rPr>
        <w:t xml:space="preserve">. </w:t>
      </w:r>
      <w:r w:rsidR="0073254F" w:rsidRPr="0073254F">
        <w:rPr>
          <w:rFonts w:asciiTheme="minorHAnsi" w:hAnsiTheme="minorHAnsi"/>
          <w:sz w:val="20"/>
          <w:lang w:val="es-GT"/>
        </w:rPr>
        <w:t>Consultada el 6 de octubre de 2025.</w:t>
      </w:r>
    </w:p>
  </w:footnote>
  <w:footnote w:id="35">
    <w:p w14:paraId="4A210218" w14:textId="77777777" w:rsidR="000422B0" w:rsidRPr="0073254F" w:rsidRDefault="000422B0" w:rsidP="0073254F">
      <w:pPr>
        <w:pStyle w:val="Textonotapie"/>
        <w:spacing w:line="240" w:lineRule="auto"/>
        <w:ind w:left="0" w:firstLine="0"/>
        <w:jc w:val="both"/>
        <w:rPr>
          <w:rFonts w:asciiTheme="minorHAnsi" w:hAnsiTheme="minorHAnsi"/>
          <w:sz w:val="20"/>
          <w:lang w:val="es-GT"/>
        </w:rPr>
      </w:pPr>
      <w:r w:rsidRPr="0073254F">
        <w:rPr>
          <w:rStyle w:val="Refdenotaalpie"/>
          <w:rFonts w:asciiTheme="minorHAnsi" w:eastAsiaTheme="minorEastAsia" w:hAnsiTheme="minorHAnsi"/>
          <w:sz w:val="20"/>
        </w:rPr>
        <w:footnoteRef/>
      </w:r>
      <w:r w:rsidR="0073254F" w:rsidRPr="0073254F">
        <w:rPr>
          <w:rFonts w:asciiTheme="minorHAnsi" w:hAnsiTheme="minorHAnsi"/>
          <w:sz w:val="20"/>
        </w:rPr>
        <w:t xml:space="preserve"> </w:t>
      </w:r>
      <w:hyperlink r:id="rId21" w:history="1">
        <w:r w:rsidR="0073254F" w:rsidRPr="001F4F0A">
          <w:rPr>
            <w:rStyle w:val="Hipervnculo"/>
            <w:rFonts w:asciiTheme="minorHAnsi" w:hAnsiTheme="minorHAnsi"/>
            <w:color w:val="auto"/>
            <w:sz w:val="20"/>
            <w:lang w:val="es-GT"/>
          </w:rPr>
          <w:t>Loc.</w:t>
        </w:r>
      </w:hyperlink>
      <w:r w:rsidR="0073254F" w:rsidRPr="001F4F0A">
        <w:rPr>
          <w:rFonts w:asciiTheme="minorHAnsi" w:hAnsiTheme="minorHAnsi"/>
          <w:sz w:val="20"/>
        </w:rPr>
        <w:t xml:space="preserve"> Cit.</w:t>
      </w:r>
    </w:p>
    <w:p w14:paraId="6F5A3240" w14:textId="77777777" w:rsidR="000422B0" w:rsidRPr="0053335B" w:rsidRDefault="000422B0" w:rsidP="0073254F">
      <w:pPr>
        <w:pStyle w:val="Textonotapie"/>
        <w:spacing w:line="240" w:lineRule="auto"/>
        <w:ind w:left="0" w:firstLine="0"/>
        <w:jc w:val="both"/>
        <w:rPr>
          <w:rFonts w:asciiTheme="minorHAnsi" w:hAnsiTheme="minorHAnsi"/>
          <w:sz w:val="20"/>
          <w:lang w:val="es-GT"/>
        </w:rPr>
      </w:pPr>
    </w:p>
  </w:footnote>
  <w:footnote w:id="36">
    <w:p w14:paraId="7246B1CA" w14:textId="77777777" w:rsidR="00C166C3" w:rsidRPr="0053335B" w:rsidRDefault="00C166C3" w:rsidP="0053335B">
      <w:pPr>
        <w:pStyle w:val="Textonotapie"/>
        <w:spacing w:line="240" w:lineRule="auto"/>
        <w:ind w:left="0" w:right="-57" w:firstLine="0"/>
        <w:jc w:val="both"/>
        <w:rPr>
          <w:rFonts w:asciiTheme="minorHAnsi" w:hAnsiTheme="minorHAnsi" w:cstheme="minorHAnsi"/>
          <w:sz w:val="20"/>
        </w:rPr>
      </w:pPr>
      <w:r w:rsidRPr="0053335B">
        <w:rPr>
          <w:rStyle w:val="Refdenotaalpie"/>
          <w:rFonts w:asciiTheme="minorHAnsi" w:hAnsiTheme="minorHAnsi"/>
          <w:sz w:val="20"/>
        </w:rPr>
        <w:footnoteRef/>
      </w:r>
      <w:r w:rsidRPr="0053335B">
        <w:rPr>
          <w:rFonts w:asciiTheme="minorHAnsi" w:hAnsiTheme="minorHAnsi" w:cstheme="minorHAnsi"/>
          <w:sz w:val="20"/>
        </w:rPr>
        <w:t xml:space="preserve">UDEFEGUA (2025), </w:t>
      </w:r>
      <w:hyperlink r:id="rId22" w:history="1">
        <w:r w:rsidRPr="0053335B">
          <w:rPr>
            <w:rStyle w:val="Hipervnculo"/>
            <w:rFonts w:asciiTheme="minorHAnsi" w:hAnsiTheme="minorHAnsi" w:cstheme="minorHAnsi"/>
            <w:sz w:val="20"/>
          </w:rPr>
          <w:t>https://udefegua.org.gt/noticia/impacto-de-la-cooptacion-del-sistema-de-justicia-en-la-defensa-de-derechos-humanos-guatemala/</w:t>
        </w:r>
      </w:hyperlink>
      <w:r w:rsidRPr="0053335B">
        <w:rPr>
          <w:rFonts w:asciiTheme="minorHAnsi" w:hAnsiTheme="minorHAnsi" w:cstheme="minorHAnsi"/>
          <w:sz w:val="20"/>
        </w:rPr>
        <w:t>. Consultada el 2 de septiembre de 2025.</w:t>
      </w:r>
    </w:p>
  </w:footnote>
  <w:footnote w:id="37">
    <w:p w14:paraId="1D1F8BFE" w14:textId="77777777" w:rsidR="00C166C3" w:rsidRPr="0053335B" w:rsidRDefault="00C166C3" w:rsidP="0053335B">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r w:rsidRPr="0053335B">
        <w:rPr>
          <w:rFonts w:asciiTheme="minorHAnsi" w:hAnsiTheme="minorHAnsi" w:cstheme="minorHAnsi"/>
          <w:sz w:val="20"/>
        </w:rPr>
        <w:t xml:space="preserve">Ministerio Público (2014), </w:t>
      </w:r>
      <w:hyperlink r:id="rId23" w:history="1">
        <w:r w:rsidRPr="0053335B">
          <w:rPr>
            <w:rStyle w:val="Hipervnculo"/>
            <w:rFonts w:asciiTheme="minorHAnsi" w:hAnsiTheme="minorHAnsi" w:cstheme="minorHAnsi"/>
            <w:sz w:val="20"/>
          </w:rPr>
          <w:t>https://www.mp.gob.gt/noticia/mp-coordina-aprehension-de-instigador/</w:t>
        </w:r>
      </w:hyperlink>
      <w:r w:rsidRPr="0053335B">
        <w:rPr>
          <w:rFonts w:asciiTheme="minorHAnsi" w:hAnsiTheme="minorHAnsi" w:cstheme="minorHAnsi"/>
          <w:sz w:val="20"/>
        </w:rPr>
        <w:t>. Consultada el 2 de septiembre de 2025</w:t>
      </w:r>
    </w:p>
  </w:footnote>
  <w:footnote w:id="38">
    <w:p w14:paraId="5E4A619E" w14:textId="77777777" w:rsidR="00EE7601" w:rsidRPr="00EE7601" w:rsidRDefault="00EE7601" w:rsidP="00EE7601">
      <w:pPr>
        <w:pStyle w:val="Textonotapie"/>
        <w:ind w:left="0" w:right="0" w:firstLine="0"/>
        <w:jc w:val="both"/>
        <w:rPr>
          <w:rFonts w:asciiTheme="minorHAnsi" w:hAnsiTheme="minorHAnsi"/>
          <w:sz w:val="20"/>
        </w:rPr>
      </w:pPr>
      <w:r>
        <w:rPr>
          <w:rStyle w:val="Refdenotaalpie"/>
        </w:rPr>
        <w:footnoteRef/>
      </w:r>
      <w:r>
        <w:t xml:space="preserve"> </w:t>
      </w:r>
      <w:r w:rsidRPr="00EE7601">
        <w:rPr>
          <w:rFonts w:asciiTheme="minorHAnsi" w:hAnsiTheme="minorHAnsi"/>
          <w:sz w:val="20"/>
        </w:rPr>
        <w:t>Esta situación se puso en conocimiento a la CIDH en la visita in loco que se realizó en julio de 2024, y que se incluye dentro del informe preliminar que se presentó, https://www.oas.org/es/cidh/informes/pdfs/2024/observaciones_preliminares_guatemala.pdf</w:t>
      </w:r>
    </w:p>
  </w:footnote>
  <w:footnote w:id="39">
    <w:p w14:paraId="668FDC23" w14:textId="77777777" w:rsidR="00C166C3" w:rsidRPr="0053335B" w:rsidRDefault="00C166C3" w:rsidP="0053335B">
      <w:pPr>
        <w:pStyle w:val="Textonotapie"/>
        <w:spacing w:line="240" w:lineRule="auto"/>
        <w:ind w:left="0" w:right="0" w:firstLine="0"/>
        <w:jc w:val="both"/>
        <w:rPr>
          <w:rFonts w:asciiTheme="minorHAnsi" w:hAnsiTheme="minorHAnsi"/>
          <w:sz w:val="20"/>
        </w:rPr>
      </w:pPr>
      <w:r w:rsidRPr="0053335B">
        <w:rPr>
          <w:rStyle w:val="Refdenotaalpie"/>
          <w:rFonts w:asciiTheme="minorHAnsi" w:hAnsiTheme="minorHAnsi"/>
          <w:sz w:val="20"/>
        </w:rPr>
        <w:footnoteRef/>
      </w:r>
      <w:r w:rsidR="0053335B" w:rsidRPr="00A14E6C">
        <w:rPr>
          <w:rFonts w:asciiTheme="minorHAnsi" w:hAnsiTheme="minorHAnsi"/>
          <w:sz w:val="20"/>
          <w:lang w:val="it-IT"/>
        </w:rPr>
        <w:t>Prensa Comunitaria</w:t>
      </w:r>
      <w:r w:rsidR="00EE7601" w:rsidRPr="00A14E6C">
        <w:rPr>
          <w:rFonts w:asciiTheme="minorHAnsi" w:hAnsiTheme="minorHAnsi"/>
          <w:sz w:val="20"/>
          <w:lang w:val="it-IT"/>
        </w:rPr>
        <w:t xml:space="preserve"> (2022)</w:t>
      </w:r>
      <w:r w:rsidR="0053335B" w:rsidRPr="00A14E6C">
        <w:rPr>
          <w:rFonts w:asciiTheme="minorHAnsi" w:hAnsiTheme="minorHAnsi"/>
          <w:sz w:val="20"/>
          <w:lang w:val="it-IT"/>
        </w:rPr>
        <w:t xml:space="preserve">, </w:t>
      </w:r>
      <w:r>
        <w:fldChar w:fldCharType="begin"/>
      </w:r>
      <w:r w:rsidRPr="00180C27">
        <w:rPr>
          <w:lang w:val="it-IT"/>
        </w:rPr>
        <w:instrText>HYPERLINK "https://prensacomunitaria.org/2022/04/valle-de-palajunoj-un-territorio-que-resiste-tras-decadas-de-abandono/"</w:instrText>
      </w:r>
      <w:r>
        <w:fldChar w:fldCharType="separate"/>
      </w:r>
      <w:r w:rsidRPr="00A14E6C">
        <w:rPr>
          <w:rStyle w:val="Hipervnculo"/>
          <w:rFonts w:asciiTheme="minorHAnsi" w:eastAsiaTheme="majorEastAsia" w:hAnsiTheme="minorHAnsi"/>
          <w:sz w:val="20"/>
          <w:lang w:val="it-IT"/>
        </w:rPr>
        <w:t>https://prensacomunitaria.org/2022/04/valle-de-palajunoj-un-territorio-que-resiste-tras-decadas-de-abandono/</w:t>
      </w:r>
      <w:r>
        <w:fldChar w:fldCharType="end"/>
      </w:r>
      <w:r w:rsidR="00EE7601" w:rsidRPr="00A14E6C">
        <w:rPr>
          <w:lang w:val="it-IT"/>
        </w:rPr>
        <w:t xml:space="preserve">. </w:t>
      </w:r>
      <w:r w:rsidR="00EE7601" w:rsidRPr="00EE7601">
        <w:rPr>
          <w:rFonts w:asciiTheme="minorHAnsi" w:hAnsiTheme="minorHAnsi"/>
        </w:rPr>
        <w:t>Consultada el 6 de octubre de 2025</w:t>
      </w:r>
      <w:r w:rsidR="004F6CD8">
        <w:rPr>
          <w:rFonts w:asciiTheme="minorHAnsi" w:hAnsiTheme="minorHAnsi"/>
        </w:rPr>
        <w:t>.</w:t>
      </w:r>
    </w:p>
  </w:footnote>
  <w:footnote w:id="40">
    <w:p w14:paraId="37FD2094" w14:textId="77777777" w:rsidR="00C166C3" w:rsidRPr="0053335B" w:rsidRDefault="00C166C3" w:rsidP="00EE7601">
      <w:pPr>
        <w:pStyle w:val="Textonotapie"/>
        <w:spacing w:line="240" w:lineRule="auto"/>
        <w:ind w:left="0" w:right="0" w:firstLine="0"/>
        <w:jc w:val="both"/>
        <w:rPr>
          <w:rFonts w:asciiTheme="minorHAnsi" w:hAnsiTheme="minorHAnsi"/>
          <w:sz w:val="20"/>
        </w:rPr>
      </w:pPr>
      <w:r w:rsidRPr="0053335B">
        <w:rPr>
          <w:rStyle w:val="Refdenotaalpie"/>
          <w:rFonts w:asciiTheme="minorHAnsi" w:hAnsiTheme="minorHAnsi"/>
          <w:sz w:val="20"/>
        </w:rPr>
        <w:footnoteRef/>
      </w:r>
      <w:r w:rsidR="0053335B" w:rsidRPr="0053335B">
        <w:rPr>
          <w:rFonts w:asciiTheme="minorHAnsi" w:hAnsiTheme="minorHAnsi"/>
          <w:sz w:val="20"/>
        </w:rPr>
        <w:t xml:space="preserve">Corte de Constitucionalidad, </w:t>
      </w:r>
      <w:r w:rsidR="0005166C" w:rsidRPr="0053335B">
        <w:rPr>
          <w:rFonts w:asciiTheme="minorHAnsi" w:hAnsiTheme="minorHAnsi"/>
          <w:sz w:val="20"/>
        </w:rPr>
        <w:t>Expediente</w:t>
      </w:r>
      <w:r w:rsidR="0053335B" w:rsidRPr="0053335B">
        <w:rPr>
          <w:rFonts w:asciiTheme="minorHAnsi" w:hAnsiTheme="minorHAnsi"/>
          <w:sz w:val="20"/>
        </w:rPr>
        <w:t xml:space="preserve"> 3107-2018, </w:t>
      </w:r>
      <w:hyperlink r:id="rId24" w:history="1">
        <w:r w:rsidRPr="0053335B">
          <w:rPr>
            <w:rStyle w:val="Hipervnculo"/>
            <w:rFonts w:asciiTheme="minorHAnsi" w:eastAsiaTheme="majorEastAsia" w:hAnsiTheme="minorHAnsi"/>
            <w:sz w:val="20"/>
          </w:rPr>
          <w:t>https://jurisprudencia.cc.gob.gt/ConsArch/WebForms/Consulta/wfVisExp.aspx?nexp=3107-2018</w:t>
        </w:r>
      </w:hyperlink>
    </w:p>
  </w:footnote>
  <w:footnote w:id="41">
    <w:p w14:paraId="04D79CE5" w14:textId="77777777" w:rsidR="00C166C3" w:rsidRPr="0053335B" w:rsidRDefault="00C166C3" w:rsidP="00EE7601">
      <w:pPr>
        <w:pStyle w:val="Textonotapie"/>
        <w:spacing w:line="240" w:lineRule="auto"/>
        <w:ind w:left="0" w:right="0" w:firstLine="0"/>
        <w:jc w:val="both"/>
        <w:rPr>
          <w:rFonts w:asciiTheme="minorHAnsi" w:hAnsiTheme="minorHAnsi"/>
          <w:sz w:val="20"/>
        </w:rPr>
      </w:pPr>
      <w:r w:rsidRPr="0053335B">
        <w:rPr>
          <w:rStyle w:val="Refdenotaalpie"/>
          <w:rFonts w:asciiTheme="minorHAnsi" w:hAnsiTheme="minorHAnsi"/>
          <w:sz w:val="20"/>
        </w:rPr>
        <w:footnoteRef/>
      </w:r>
      <w:r w:rsidR="0053335B" w:rsidRPr="0053335B">
        <w:rPr>
          <w:rFonts w:asciiTheme="minorHAnsi" w:hAnsiTheme="minorHAnsi"/>
          <w:sz w:val="20"/>
        </w:rPr>
        <w:t xml:space="preserve">Plaza Pública, </w:t>
      </w:r>
      <w:hyperlink r:id="rId25" w:history="1">
        <w:r w:rsidRPr="0053335B">
          <w:rPr>
            <w:rStyle w:val="Hipervnculo"/>
            <w:rFonts w:asciiTheme="minorHAnsi" w:eastAsiaTheme="majorEastAsia" w:hAnsiTheme="minorHAnsi"/>
            <w:sz w:val="20"/>
          </w:rPr>
          <w:t>https://www.plazapublica.com.gt/content/palajunoj-indignacion-y-rebeldia</w:t>
        </w:r>
      </w:hyperlink>
    </w:p>
  </w:footnote>
  <w:footnote w:id="42">
    <w:p w14:paraId="5EAAA979" w14:textId="77777777" w:rsidR="00E81F4D" w:rsidRPr="0053335B" w:rsidRDefault="00E81F4D" w:rsidP="00EE7601">
      <w:pPr>
        <w:pStyle w:val="Textonotapie"/>
        <w:spacing w:line="240" w:lineRule="auto"/>
        <w:ind w:left="0" w:right="0" w:firstLine="0"/>
        <w:jc w:val="both"/>
        <w:rPr>
          <w:rFonts w:asciiTheme="minorHAnsi" w:hAnsiTheme="minorHAnsi" w:cstheme="minorHAnsi"/>
          <w:sz w:val="20"/>
          <w:lang w:val="es-GT"/>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n-US"/>
        </w:rPr>
        <w:t>The Coalition for Human Rights</w:t>
      </w:r>
      <w:r w:rsidR="00EE7601">
        <w:rPr>
          <w:rFonts w:asciiTheme="minorHAnsi" w:hAnsiTheme="minorHAnsi" w:cstheme="minorHAnsi"/>
          <w:sz w:val="20"/>
          <w:lang w:val="en-US"/>
        </w:rPr>
        <w:t xml:space="preserve"> </w:t>
      </w:r>
      <w:r w:rsidRPr="0053335B">
        <w:rPr>
          <w:rFonts w:asciiTheme="minorHAnsi" w:hAnsiTheme="minorHAnsi" w:cstheme="minorHAnsi"/>
          <w:sz w:val="20"/>
          <w:lang w:val="en-US"/>
        </w:rPr>
        <w:t>Development, (</w:t>
      </w:r>
      <w:proofErr w:type="spellStart"/>
      <w:r w:rsidRPr="0053335B">
        <w:rPr>
          <w:rFonts w:asciiTheme="minorHAnsi" w:hAnsiTheme="minorHAnsi" w:cstheme="minorHAnsi"/>
          <w:sz w:val="20"/>
          <w:lang w:val="en-US"/>
        </w:rPr>
        <w:t>s.f.</w:t>
      </w:r>
      <w:proofErr w:type="spellEnd"/>
      <w:r w:rsidRPr="0053335B">
        <w:rPr>
          <w:rFonts w:asciiTheme="minorHAnsi" w:hAnsiTheme="minorHAnsi" w:cstheme="minorHAnsi"/>
          <w:sz w:val="20"/>
          <w:lang w:val="en-US"/>
        </w:rPr>
        <w:t xml:space="preserve">), </w:t>
      </w:r>
      <w:r>
        <w:fldChar w:fldCharType="begin"/>
      </w:r>
      <w:r w:rsidRPr="00180C27">
        <w:rPr>
          <w:lang w:val="en-US"/>
        </w:rPr>
        <w:instrText>HYPERLINK "https://rightsindevelopment.org/wp-content/uploads/2020/06/CASO-4.pdf"</w:instrText>
      </w:r>
      <w:r>
        <w:fldChar w:fldCharType="separate"/>
      </w:r>
      <w:r w:rsidRPr="0053335B">
        <w:rPr>
          <w:rStyle w:val="Hipervnculo"/>
          <w:rFonts w:asciiTheme="minorHAnsi" w:hAnsiTheme="minorHAnsi" w:cstheme="minorHAnsi"/>
          <w:sz w:val="20"/>
          <w:lang w:val="en-US"/>
        </w:rPr>
        <w:t>https://rightsindevelopment.org/wp-content/uploads/2020/06/CASO-4.pdf</w:t>
      </w:r>
      <w:r>
        <w:fldChar w:fldCharType="end"/>
      </w:r>
      <w:r w:rsidRPr="0053335B">
        <w:rPr>
          <w:rFonts w:asciiTheme="minorHAnsi" w:hAnsiTheme="minorHAnsi" w:cstheme="minorHAnsi"/>
          <w:sz w:val="20"/>
          <w:lang w:val="en-US"/>
        </w:rPr>
        <w:t xml:space="preserve">. </w:t>
      </w:r>
      <w:r w:rsidRPr="0053335B">
        <w:rPr>
          <w:rFonts w:asciiTheme="minorHAnsi" w:hAnsiTheme="minorHAnsi" w:cstheme="minorHAnsi"/>
          <w:sz w:val="20"/>
          <w:lang w:val="es-GT"/>
        </w:rPr>
        <w:t xml:space="preserve">Consultada el 27 de </w:t>
      </w:r>
      <w:r w:rsidR="00EE7601" w:rsidRPr="0053335B">
        <w:rPr>
          <w:rFonts w:asciiTheme="minorHAnsi" w:hAnsiTheme="minorHAnsi" w:cstheme="minorHAnsi"/>
          <w:sz w:val="20"/>
          <w:lang w:val="es-GT"/>
        </w:rPr>
        <w:t>agosto</w:t>
      </w:r>
      <w:r w:rsidRPr="0053335B">
        <w:rPr>
          <w:rFonts w:asciiTheme="minorHAnsi" w:hAnsiTheme="minorHAnsi" w:cstheme="minorHAnsi"/>
          <w:sz w:val="20"/>
          <w:lang w:val="es-GT"/>
        </w:rPr>
        <w:t xml:space="preserve"> de 2025.</w:t>
      </w:r>
    </w:p>
  </w:footnote>
  <w:footnote w:id="43">
    <w:p w14:paraId="24B5F506" w14:textId="1F26FC04" w:rsidR="001F4F0A" w:rsidRPr="001F4F0A" w:rsidRDefault="001F4F0A">
      <w:pPr>
        <w:pStyle w:val="Textonotapie"/>
      </w:pPr>
      <w:r>
        <w:rPr>
          <w:rStyle w:val="Refdenotaalpie"/>
        </w:rPr>
        <w:footnoteRef/>
      </w:r>
      <w:r>
        <w:t xml:space="preserve"> </w:t>
      </w:r>
      <w:r w:rsidRPr="001F4F0A">
        <w:rPr>
          <w:rFonts w:asciiTheme="minorHAnsi" w:hAnsiTheme="minorHAnsi" w:cstheme="minorHAnsi"/>
        </w:rPr>
        <w:t xml:space="preserve">Causas penales </w:t>
      </w:r>
      <w:r w:rsidRPr="001F4F0A">
        <w:rPr>
          <w:rFonts w:asciiTheme="minorHAnsi" w:hAnsiTheme="minorHAnsi" w:cstheme="minorHAnsi"/>
          <w:lang w:val="es-GT"/>
        </w:rPr>
        <w:t>12005-2014-00385 y 12005-2014-00386.</w:t>
      </w:r>
    </w:p>
  </w:footnote>
  <w:footnote w:id="44">
    <w:p w14:paraId="54346E35" w14:textId="77777777" w:rsidR="00E81F4D" w:rsidRPr="0053335B" w:rsidRDefault="00E81F4D" w:rsidP="00EE7601">
      <w:pPr>
        <w:pStyle w:val="Textonotapie"/>
        <w:spacing w:line="240" w:lineRule="auto"/>
        <w:ind w:left="0" w:right="0" w:firstLine="0"/>
        <w:jc w:val="both"/>
        <w:rPr>
          <w:rFonts w:asciiTheme="minorHAnsi" w:hAnsiTheme="minorHAnsi" w:cstheme="minorHAnsi"/>
          <w:sz w:val="20"/>
          <w:lang w:val="es-GT"/>
        </w:rPr>
      </w:pPr>
      <w:r w:rsidRPr="0053335B">
        <w:rPr>
          <w:rStyle w:val="Refdenotaalpie"/>
          <w:rFonts w:asciiTheme="minorHAnsi" w:hAnsiTheme="minorHAnsi" w:cstheme="minorHAnsi"/>
          <w:sz w:val="20"/>
        </w:rPr>
        <w:footnoteRef/>
      </w:r>
      <w:r w:rsidRPr="0053335B">
        <w:rPr>
          <w:rFonts w:asciiTheme="minorHAnsi" w:hAnsiTheme="minorHAnsi" w:cstheme="minorHAnsi"/>
          <w:sz w:val="20"/>
          <w:lang w:val="es-GT"/>
        </w:rPr>
        <w:t xml:space="preserve">Prensa Libre (2017), </w:t>
      </w:r>
      <w:hyperlink r:id="rId26" w:history="1">
        <w:r w:rsidRPr="0053335B">
          <w:rPr>
            <w:rStyle w:val="Hipervnculo"/>
            <w:rFonts w:asciiTheme="minorHAnsi" w:hAnsiTheme="minorHAnsi" w:cstheme="minorHAnsi"/>
            <w:sz w:val="20"/>
            <w:lang w:val="es-GT"/>
          </w:rPr>
          <w:t>https://www.prensalibre.com/ciudades/san-marcos/lider-comunitario-recobra-su-libertad/</w:t>
        </w:r>
      </w:hyperlink>
      <w:r w:rsidRPr="0053335B">
        <w:rPr>
          <w:rFonts w:asciiTheme="minorHAnsi" w:hAnsiTheme="minorHAnsi" w:cstheme="minorHAnsi"/>
          <w:sz w:val="20"/>
          <w:lang w:val="es-GT"/>
        </w:rPr>
        <w:t xml:space="preserve">. </w:t>
      </w:r>
      <w:r w:rsidR="000422B0" w:rsidRPr="0053335B">
        <w:rPr>
          <w:rFonts w:asciiTheme="minorHAnsi" w:hAnsiTheme="minorHAnsi" w:cstheme="minorHAnsi"/>
          <w:sz w:val="20"/>
          <w:lang w:val="es-GT"/>
        </w:rPr>
        <w:t>Consultada</w:t>
      </w:r>
      <w:r w:rsidRPr="0053335B">
        <w:rPr>
          <w:rFonts w:asciiTheme="minorHAnsi" w:hAnsiTheme="minorHAnsi" w:cstheme="minorHAnsi"/>
          <w:sz w:val="20"/>
          <w:lang w:val="es-GT"/>
        </w:rPr>
        <w:t xml:space="preserve"> el 27 de agosto de 2025.</w:t>
      </w:r>
    </w:p>
  </w:footnote>
  <w:footnote w:id="45">
    <w:p w14:paraId="7A74CCA1" w14:textId="77777777" w:rsidR="00E81F4D" w:rsidRPr="0053335B" w:rsidRDefault="00E81F4D" w:rsidP="0053335B">
      <w:pPr>
        <w:pStyle w:val="Textonotapie"/>
        <w:spacing w:line="240" w:lineRule="auto"/>
        <w:ind w:left="0" w:right="-57" w:firstLine="0"/>
        <w:jc w:val="both"/>
        <w:rPr>
          <w:rFonts w:asciiTheme="minorHAnsi" w:hAnsiTheme="minorHAnsi" w:cstheme="minorHAnsi"/>
          <w:sz w:val="20"/>
          <w:lang w:val="es-ES_tradnl"/>
        </w:rPr>
      </w:pPr>
      <w:r w:rsidRPr="0053335B">
        <w:rPr>
          <w:rStyle w:val="Refdenotaalpie"/>
          <w:rFonts w:asciiTheme="minorHAnsi" w:hAnsiTheme="minorHAnsi" w:cstheme="minorHAnsi"/>
          <w:sz w:val="20"/>
        </w:rPr>
        <w:footnoteRef/>
      </w:r>
      <w:r w:rsidRPr="0053335B">
        <w:rPr>
          <w:rFonts w:asciiTheme="minorHAnsi" w:hAnsiTheme="minorHAnsi" w:cstheme="minorHAnsi"/>
          <w:sz w:val="20"/>
        </w:rPr>
        <w:t xml:space="preserve">Plaza Pública (2024), </w:t>
      </w:r>
      <w:hyperlink r:id="rId27" w:history="1">
        <w:r w:rsidRPr="0053335B">
          <w:rPr>
            <w:rStyle w:val="Hipervnculo"/>
            <w:rFonts w:asciiTheme="minorHAnsi" w:hAnsiTheme="minorHAnsi" w:cstheme="minorHAnsi"/>
            <w:sz w:val="20"/>
          </w:rPr>
          <w:t>https://www.plazapublica.com.gt/justicia/informacion/la-historia-del-unico-exfiscal-encarcelado-y-como-su-aprendiz-le-gano-un-juicio</w:t>
        </w:r>
      </w:hyperlink>
      <w:r w:rsidRPr="0053335B">
        <w:rPr>
          <w:rFonts w:asciiTheme="minorHAnsi" w:hAnsiTheme="minorHAnsi" w:cstheme="minorHAnsi"/>
          <w:sz w:val="20"/>
        </w:rPr>
        <w:t>. Consultada el 2 de septiembre de 2025.</w:t>
      </w:r>
    </w:p>
  </w:footnote>
  <w:footnote w:id="46">
    <w:p w14:paraId="6DDB3379" w14:textId="77777777" w:rsidR="00DC20EB" w:rsidRPr="0005166C" w:rsidRDefault="00DC20EB" w:rsidP="0005166C">
      <w:pPr>
        <w:pStyle w:val="Textonotapie"/>
        <w:ind w:left="0" w:right="-57" w:firstLine="0"/>
        <w:jc w:val="both"/>
        <w:rPr>
          <w:rFonts w:asciiTheme="minorHAnsi" w:hAnsiTheme="minorHAnsi"/>
          <w:sz w:val="20"/>
        </w:rPr>
      </w:pPr>
      <w:r w:rsidRPr="0005166C">
        <w:rPr>
          <w:rStyle w:val="Refdenotaalpie"/>
          <w:rFonts w:asciiTheme="minorHAnsi" w:hAnsiTheme="minorHAnsi"/>
          <w:sz w:val="20"/>
        </w:rPr>
        <w:footnoteRef/>
      </w:r>
      <w:r w:rsidRPr="0005166C">
        <w:rPr>
          <w:rFonts w:asciiTheme="minorHAnsi" w:hAnsiTheme="minorHAnsi"/>
          <w:sz w:val="20"/>
        </w:rPr>
        <w:t xml:space="preserve"> El Observador (2023), </w:t>
      </w:r>
      <w:hyperlink r:id="rId28" w:history="1">
        <w:r w:rsidRPr="0005166C">
          <w:rPr>
            <w:rStyle w:val="Hipervnculo"/>
            <w:rFonts w:asciiTheme="minorHAnsi" w:hAnsiTheme="minorHAnsi"/>
            <w:sz w:val="20"/>
          </w:rPr>
          <w:t>https://elobservadorgt.org/2023/03/16/informe-especial-no-17/</w:t>
        </w:r>
      </w:hyperlink>
      <w:r w:rsidRPr="0005166C">
        <w:rPr>
          <w:rFonts w:asciiTheme="minorHAnsi" w:hAnsiTheme="minorHAnsi"/>
          <w:sz w:val="20"/>
        </w:rPr>
        <w:t>. Consultada el 7 de octubre de 2025.</w:t>
      </w:r>
    </w:p>
  </w:footnote>
  <w:footnote w:id="47">
    <w:p w14:paraId="0D5293E2" w14:textId="77777777" w:rsidR="0005166C" w:rsidRPr="0005166C" w:rsidRDefault="0005166C" w:rsidP="0005166C">
      <w:pPr>
        <w:jc w:val="both"/>
        <w:rPr>
          <w:lang w:val="es-GT"/>
        </w:rPr>
      </w:pPr>
      <w:r w:rsidRPr="0005166C">
        <w:rPr>
          <w:rStyle w:val="Refdenotaalpie"/>
          <w:rFonts w:asciiTheme="minorHAnsi" w:hAnsiTheme="minorHAnsi"/>
          <w:sz w:val="20"/>
          <w:szCs w:val="20"/>
        </w:rPr>
        <w:footnoteRef/>
      </w:r>
      <w:r w:rsidRPr="0005166C">
        <w:rPr>
          <w:sz w:val="20"/>
          <w:szCs w:val="20"/>
        </w:rPr>
        <w:t xml:space="preserve"> </w:t>
      </w:r>
      <w:r w:rsidRPr="0005166C">
        <w:rPr>
          <w:sz w:val="20"/>
          <w:szCs w:val="20"/>
          <w:lang w:val="es-GT"/>
        </w:rPr>
        <w:t xml:space="preserve">El caso de la Comunidad Indígena Q’eqchi’ de Muqbilha’, en el municipio de Raxruha, Alta Verapaz, existe un conflicto entre comunitarios a raíz de la llegada de una persona de origen francés en el territorio q’eqchi’ en el año de 1968, él descubre y explora centenares de cavernas como Bombil - Pek con sus pinturas rupestres que evocan la mitología del mundo subterráneo de Xibalba descrita en el Popol Wuj.  En 1974 dirige una nueva misión, oficializada por los gobiernos francés y guatemalteco, descubre el sistema hidro karstológico de la Cueva de Candelaria, importante lugar de peregrinación y el famoso río de los mayas evocado por Hach’ Akyum, Dios del Pueblo Lacandón y recorrido por el Dios Solar Ah Kinchil. Esta persona falleció en el 2022, pero sembró grandes conflictos: uno fue el despojo de la tierra del pueblo q’eqchi’ en el marco del Conflicto Armado Interno, y donde explotó las cuevas de Muqbilha’ como un destino turístico. </w:t>
      </w:r>
    </w:p>
  </w:footnote>
  <w:footnote w:id="48">
    <w:p w14:paraId="3400005F" w14:textId="77777777" w:rsidR="0005166C" w:rsidRPr="0005166C" w:rsidRDefault="0005166C" w:rsidP="0005166C">
      <w:pPr>
        <w:tabs>
          <w:tab w:val="left" w:pos="312"/>
        </w:tabs>
        <w:jc w:val="both"/>
        <w:rPr>
          <w:sz w:val="20"/>
          <w:szCs w:val="20"/>
          <w:lang w:val="es-GT"/>
        </w:rPr>
      </w:pPr>
      <w:r>
        <w:rPr>
          <w:rStyle w:val="Refdenotaalpie"/>
        </w:rPr>
        <w:footnoteRef/>
      </w:r>
      <w:r>
        <w:t xml:space="preserve"> </w:t>
      </w:r>
      <w:r w:rsidRPr="0005166C">
        <w:rPr>
          <w:sz w:val="20"/>
          <w:szCs w:val="20"/>
          <w:lang w:val="es-GT"/>
        </w:rPr>
        <w:t>Causa Penal C-16004-2013-000502. En este proceso penal se  acusa a 53 comunitarios, de haber ingresado el 27 de marzo de 2013, al complejo turístico Cuevas de Candelaria, deteniendo ilegalmente a una persona, donde indica que agredieron sexualmente a su conviviente, maltrataron a dos menores, así como un empleadora quienes los encerraron, acusándoles también de que le hurtaron varias piezas arqueológicas. Más de 20 capturas aún están vigentes, mientras que de las primeras 30 presentan la siguiente situación:7 personas con sentencia condenatoria, dos de ellas  con más de 20 años de prisión; 11 personas con criterio de oportunidad, 2 con sentencia absolutoria, 3 con falta de mérito, 3 con sentencia absolutoria; 3 en rebeldía; 3 fallecidos.</w:t>
      </w:r>
    </w:p>
    <w:p w14:paraId="7F1B09FC" w14:textId="77777777" w:rsidR="0005166C" w:rsidRPr="0005166C" w:rsidRDefault="0005166C">
      <w:pPr>
        <w:pStyle w:val="Textonotapie"/>
        <w:rPr>
          <w:lang w:val="es-GT"/>
        </w:rPr>
      </w:pPr>
    </w:p>
  </w:footnote>
  <w:footnote w:id="49">
    <w:p w14:paraId="4B5B01B5" w14:textId="77777777" w:rsidR="000261D0" w:rsidRPr="009319FC" w:rsidRDefault="000261D0" w:rsidP="009319FC">
      <w:pPr>
        <w:pStyle w:val="Textonotapie"/>
        <w:ind w:left="0" w:right="-170" w:firstLine="0"/>
        <w:jc w:val="both"/>
        <w:rPr>
          <w:rFonts w:asciiTheme="minorHAnsi" w:hAnsiTheme="minorHAnsi"/>
          <w:sz w:val="20"/>
          <w:lang w:val="es-GT"/>
        </w:rPr>
      </w:pPr>
      <w:r>
        <w:rPr>
          <w:rStyle w:val="Refdenotaalpie"/>
        </w:rPr>
        <w:footnoteRef/>
      </w:r>
      <w:r>
        <w:t xml:space="preserve"> </w:t>
      </w:r>
      <w:r w:rsidRPr="009319FC">
        <w:rPr>
          <w:rFonts w:asciiTheme="minorHAnsi" w:hAnsiTheme="minorHAnsi"/>
          <w:sz w:val="20"/>
          <w:lang w:val="es-GT"/>
        </w:rPr>
        <w:t xml:space="preserve">Asociación de </w:t>
      </w:r>
      <w:r w:rsidR="004B5CF3" w:rsidRPr="009319FC">
        <w:rPr>
          <w:rFonts w:asciiTheme="minorHAnsi" w:hAnsiTheme="minorHAnsi"/>
          <w:sz w:val="20"/>
          <w:lang w:val="es-GT"/>
        </w:rPr>
        <w:t>Abogados Mayas (2023</w:t>
      </w:r>
      <w:r w:rsidRPr="009319FC">
        <w:rPr>
          <w:rFonts w:asciiTheme="minorHAnsi" w:hAnsiTheme="minorHAnsi"/>
          <w:sz w:val="20"/>
          <w:lang w:val="es-GT"/>
        </w:rPr>
        <w:t xml:space="preserve">), </w:t>
      </w:r>
      <w:hyperlink r:id="rId29" w:history="1">
        <w:r w:rsidRPr="009319FC">
          <w:rPr>
            <w:rStyle w:val="Hipervnculo"/>
            <w:rFonts w:asciiTheme="minorHAnsi" w:hAnsiTheme="minorHAnsi"/>
            <w:sz w:val="20"/>
            <w:lang w:val="es-GT"/>
          </w:rPr>
          <w:t>https://nimajpu.org/condenan-a-tres-policias-por-disparo-de-arma-de-fuego-y-homicidio-en-violento-desalojo-en-la-comunidad-qeqchi-de-samococh-en-2014/</w:t>
        </w:r>
      </w:hyperlink>
      <w:r w:rsidRPr="009319FC">
        <w:rPr>
          <w:rFonts w:asciiTheme="minorHAnsi" w:hAnsiTheme="minorHAnsi"/>
          <w:sz w:val="20"/>
          <w:lang w:val="es-GT"/>
        </w:rPr>
        <w:t>. Consultada el 7 de octubre de 22025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8"/>
      <w:gridCol w:w="2032"/>
      <w:gridCol w:w="1976"/>
      <w:gridCol w:w="2338"/>
    </w:tblGrid>
    <w:tr w:rsidR="001F4F0A" w14:paraId="365C2CBC" w14:textId="77777777" w:rsidTr="00164540">
      <w:tc>
        <w:tcPr>
          <w:tcW w:w="2103" w:type="dxa"/>
        </w:tcPr>
        <w:p w14:paraId="361F0CB8" w14:textId="4057C57E" w:rsidR="00A14E6C" w:rsidRDefault="00164540">
          <w:pPr>
            <w:pStyle w:val="Encabezado"/>
          </w:pPr>
          <w:r>
            <w:rPr>
              <w:noProof/>
            </w:rPr>
            <w:drawing>
              <wp:anchor distT="0" distB="0" distL="114300" distR="114300" simplePos="0" relativeHeight="251666432" behindDoc="0" locked="0" layoutInCell="1" allowOverlap="1" wp14:anchorId="3E4C927F" wp14:editId="219458DA">
                <wp:simplePos x="0" y="0"/>
                <wp:positionH relativeFrom="column">
                  <wp:posOffset>312296</wp:posOffset>
                </wp:positionH>
                <wp:positionV relativeFrom="paragraph">
                  <wp:posOffset>225567</wp:posOffset>
                </wp:positionV>
                <wp:extent cx="664818" cy="646574"/>
                <wp:effectExtent l="0" t="0" r="0" b="0"/>
                <wp:wrapSquare wrapText="bothSides"/>
                <wp:docPr id="46431249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312492" name="Imagen 464312492"/>
                        <pic:cNvPicPr/>
                      </pic:nvPicPr>
                      <pic:blipFill>
                        <a:blip r:embed="rId1">
                          <a:extLst>
                            <a:ext uri="{28A0092B-C50C-407E-A947-70E740481C1C}">
                              <a14:useLocalDpi xmlns:a14="http://schemas.microsoft.com/office/drawing/2010/main" val="0"/>
                            </a:ext>
                          </a:extLst>
                        </a:blip>
                        <a:stretch>
                          <a:fillRect/>
                        </a:stretch>
                      </pic:blipFill>
                      <pic:spPr>
                        <a:xfrm>
                          <a:off x="0" y="0"/>
                          <a:ext cx="664818" cy="646574"/>
                        </a:xfrm>
                        <a:prstGeom prst="rect">
                          <a:avLst/>
                        </a:prstGeom>
                      </pic:spPr>
                    </pic:pic>
                  </a:graphicData>
                </a:graphic>
              </wp:anchor>
            </w:drawing>
          </w:r>
        </w:p>
      </w:tc>
      <w:tc>
        <w:tcPr>
          <w:tcW w:w="2103" w:type="dxa"/>
        </w:tcPr>
        <w:p w14:paraId="6037B619" w14:textId="05656D0F" w:rsidR="00A14E6C" w:rsidRDefault="00581B84">
          <w:pPr>
            <w:pStyle w:val="Encabezado"/>
          </w:pPr>
          <w:r>
            <w:rPr>
              <w:rFonts w:ascii="Bernard MT Condensed" w:hAnsi="Bernard MT Condensed" w:cs="Arial"/>
              <w:noProof/>
              <w:sz w:val="32"/>
              <w:szCs w:val="32"/>
              <w:lang w:val="es-GT" w:eastAsia="es-GT"/>
            </w:rPr>
            <w:drawing>
              <wp:anchor distT="0" distB="0" distL="114300" distR="114300" simplePos="0" relativeHeight="251672576" behindDoc="0" locked="0" layoutInCell="1" allowOverlap="1" wp14:anchorId="4F85F168" wp14:editId="69500E6D">
                <wp:simplePos x="0" y="0"/>
                <wp:positionH relativeFrom="column">
                  <wp:posOffset>133985</wp:posOffset>
                </wp:positionH>
                <wp:positionV relativeFrom="paragraph">
                  <wp:posOffset>177872</wp:posOffset>
                </wp:positionV>
                <wp:extent cx="776605" cy="698500"/>
                <wp:effectExtent l="165100" t="177800" r="163195" b="177800"/>
                <wp:wrapThrough wrapText="bothSides">
                  <wp:wrapPolygon edited="0">
                    <wp:start x="1060" y="-5498"/>
                    <wp:lineTo x="-4592" y="-4713"/>
                    <wp:lineTo x="-4592" y="20815"/>
                    <wp:lineTo x="706" y="25920"/>
                    <wp:lineTo x="1060" y="26705"/>
                    <wp:lineTo x="20134" y="26705"/>
                    <wp:lineTo x="20487" y="25920"/>
                    <wp:lineTo x="25786" y="20815"/>
                    <wp:lineTo x="25786" y="1571"/>
                    <wp:lineTo x="20487" y="-4320"/>
                    <wp:lineTo x="20134" y="-5498"/>
                    <wp:lineTo x="1060" y="-5498"/>
                  </wp:wrapPolygon>
                </wp:wrapThrough>
                <wp:docPr id="10" name="Imagen 10" descr="LOGO ABJP MEJO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BJP MEJORADO"/>
                        <pic:cNvPicPr>
                          <a:picLocks noChangeAspect="1" noChangeArrowheads="1"/>
                        </pic:cNvPicPr>
                      </pic:nvPicPr>
                      <pic:blipFill>
                        <a:blip r:embed="rId2"/>
                        <a:srcRect l="18324" t="12677" r="8420" b="11345"/>
                        <a:stretch>
                          <a:fillRect/>
                        </a:stretch>
                      </pic:blipFill>
                      <pic:spPr bwMode="auto">
                        <a:xfrm>
                          <a:off x="0" y="0"/>
                          <a:ext cx="776605" cy="6985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tc>
      <w:tc>
        <w:tcPr>
          <w:tcW w:w="2103" w:type="dxa"/>
        </w:tcPr>
        <w:p w14:paraId="5451D351" w14:textId="181A8898" w:rsidR="00A14E6C" w:rsidRDefault="001F4F0A">
          <w:pPr>
            <w:pStyle w:val="Encabezado"/>
          </w:pPr>
          <w:r w:rsidRPr="001F1F7E">
            <w:rPr>
              <w:rFonts w:ascii="Arial" w:hAnsi="Arial" w:cs="Arial"/>
              <w:b/>
              <w:noProof/>
              <w:color w:val="538135"/>
              <w:lang w:val="es-GT" w:eastAsia="es-GT"/>
            </w:rPr>
            <w:drawing>
              <wp:inline distT="0" distB="0" distL="0" distR="0" wp14:anchorId="4CF6FFC4" wp14:editId="77DB87A2">
                <wp:extent cx="1031030" cy="645054"/>
                <wp:effectExtent l="0" t="0" r="0" b="3175"/>
                <wp:docPr id="578003239" name="Imagen 578003239" descr="C:\Users\katsa\OneDrive\Escritorio\LABORAL 2020\INSTITUTO AMAQ´ 2020\LOGO AM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sa\OneDrive\Escritorio\LABORAL 2020\INSTITUTO AMAQ´ 2020\LOGO AMAQ´.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85141" cy="678908"/>
                        </a:xfrm>
                        <a:prstGeom prst="rect">
                          <a:avLst/>
                        </a:prstGeom>
                        <a:noFill/>
                        <a:ln>
                          <a:noFill/>
                        </a:ln>
                      </pic:spPr>
                    </pic:pic>
                  </a:graphicData>
                </a:graphic>
              </wp:inline>
            </w:drawing>
          </w:r>
          <w:r>
            <w:rPr>
              <w:rFonts w:ascii="Arial" w:hAnsi="Arial" w:cs="Arial"/>
              <w:b/>
              <w:noProof/>
              <w:color w:val="538135"/>
              <w:lang w:val="es-GT" w:eastAsia="es-GT"/>
            </w:rPr>
            <mc:AlternateContent>
              <mc:Choice Requires="wps">
                <w:drawing>
                  <wp:anchor distT="0" distB="0" distL="114300" distR="114300" simplePos="0" relativeHeight="251676672" behindDoc="0" locked="0" layoutInCell="1" allowOverlap="1" wp14:anchorId="3F92F479" wp14:editId="3A720018">
                    <wp:simplePos x="0" y="0"/>
                    <wp:positionH relativeFrom="column">
                      <wp:posOffset>115245</wp:posOffset>
                    </wp:positionH>
                    <wp:positionV relativeFrom="paragraph">
                      <wp:posOffset>478962</wp:posOffset>
                    </wp:positionV>
                    <wp:extent cx="2159459" cy="1252416"/>
                    <wp:effectExtent l="0" t="0" r="0" b="0"/>
                    <wp:wrapNone/>
                    <wp:docPr id="7" name="7 Rectángulo"/>
                    <wp:cNvGraphicFramePr/>
                    <a:graphic xmlns:a="http://schemas.openxmlformats.org/drawingml/2006/main">
                      <a:graphicData uri="http://schemas.microsoft.com/office/word/2010/wordprocessingShape">
                        <wps:wsp>
                          <wps:cNvSpPr/>
                          <wps:spPr>
                            <a:xfrm>
                              <a:off x="0" y="0"/>
                              <a:ext cx="2159459" cy="125241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A94E9E" w14:textId="1920BDB5" w:rsidR="001F4F0A" w:rsidRDefault="001F4F0A" w:rsidP="001F4F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2F479" id="7 Rectángulo" o:spid="_x0000_s1026" style="position:absolute;margin-left:9.05pt;margin-top:37.7pt;width:170.05pt;height:9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" filled="f" stroked="f" strokeweight="1pt">
                    <v:textbox>
                      <w:txbxContent>
                        <w:p w14:paraId="59A94E9E" w14:textId="1920BDB5" w:rsidR="001F4F0A" w:rsidRDefault="001F4F0A" w:rsidP="001F4F0A">
                          <w:pPr>
                            <w:jc w:val="center"/>
                          </w:pPr>
                        </w:p>
                      </w:txbxContent>
                    </v:textbox>
                  </v:rect>
                </w:pict>
              </mc:Fallback>
            </mc:AlternateContent>
          </w:r>
        </w:p>
      </w:tc>
      <w:tc>
        <w:tcPr>
          <w:tcW w:w="2103" w:type="dxa"/>
        </w:tcPr>
        <w:p w14:paraId="6224BC64" w14:textId="2810E01E" w:rsidR="00A14E6C" w:rsidRDefault="00164540">
          <w:pPr>
            <w:pStyle w:val="Encabezado"/>
          </w:pPr>
          <w:r>
            <w:rPr>
              <w:noProof/>
            </w:rPr>
            <w:drawing>
              <wp:anchor distT="0" distB="0" distL="114300" distR="114300" simplePos="0" relativeHeight="251668480" behindDoc="0" locked="0" layoutInCell="1" allowOverlap="1" wp14:anchorId="79102E81" wp14:editId="7E5FB288">
                <wp:simplePos x="0" y="0"/>
                <wp:positionH relativeFrom="column">
                  <wp:posOffset>-1160</wp:posOffset>
                </wp:positionH>
                <wp:positionV relativeFrom="paragraph">
                  <wp:posOffset>156845</wp:posOffset>
                </wp:positionV>
                <wp:extent cx="1347694" cy="270344"/>
                <wp:effectExtent l="0" t="0" r="0" b="0"/>
                <wp:wrapSquare wrapText="bothSides"/>
                <wp:docPr id="82595863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7694" cy="270344"/>
                        </a:xfrm>
                        <a:prstGeom prst="rect">
                          <a:avLst/>
                        </a:prstGeom>
                        <a:noFill/>
                      </pic:spPr>
                    </pic:pic>
                  </a:graphicData>
                </a:graphic>
                <wp14:sizeRelH relativeFrom="margin">
                  <wp14:pctWidth>0</wp14:pctWidth>
                </wp14:sizeRelH>
                <wp14:sizeRelV relativeFrom="margin">
                  <wp14:pctHeight>0</wp14:pctHeight>
                </wp14:sizeRelV>
              </wp:anchor>
            </w:drawing>
          </w:r>
        </w:p>
      </w:tc>
    </w:tr>
    <w:tr w:rsidR="001F4F0A" w14:paraId="5E4C049F" w14:textId="77777777" w:rsidTr="00164540">
      <w:tc>
        <w:tcPr>
          <w:tcW w:w="2103" w:type="dxa"/>
        </w:tcPr>
        <w:p w14:paraId="092CEB10" w14:textId="524A0E69" w:rsidR="00A14E6C" w:rsidRDefault="00A14E6C">
          <w:pPr>
            <w:pStyle w:val="Encabezado"/>
          </w:pPr>
          <w:r>
            <w:rPr>
              <w:noProof/>
            </w:rPr>
            <w:drawing>
              <wp:anchor distT="0" distB="0" distL="114300" distR="114300" simplePos="0" relativeHeight="251657216" behindDoc="0" locked="0" layoutInCell="1" allowOverlap="1" wp14:anchorId="7E17A28A" wp14:editId="6A92EBB7">
                <wp:simplePos x="0" y="0"/>
                <wp:positionH relativeFrom="column">
                  <wp:posOffset>330835</wp:posOffset>
                </wp:positionH>
                <wp:positionV relativeFrom="paragraph">
                  <wp:posOffset>121920</wp:posOffset>
                </wp:positionV>
                <wp:extent cx="914402" cy="310897"/>
                <wp:effectExtent l="0" t="0" r="0" b="0"/>
                <wp:wrapSquare wrapText="bothSides"/>
                <wp:docPr id="18905994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99459" name="Imagen 1890599459"/>
                        <pic:cNvPicPr/>
                      </pic:nvPicPr>
                      <pic:blipFill>
                        <a:blip r:embed="rId5">
                          <a:extLst>
                            <a:ext uri="{28A0092B-C50C-407E-A947-70E740481C1C}">
                              <a14:useLocalDpi xmlns:a14="http://schemas.microsoft.com/office/drawing/2010/main" val="0"/>
                            </a:ext>
                          </a:extLst>
                        </a:blip>
                        <a:stretch>
                          <a:fillRect/>
                        </a:stretch>
                      </pic:blipFill>
                      <pic:spPr>
                        <a:xfrm>
                          <a:off x="0" y="0"/>
                          <a:ext cx="914402" cy="310897"/>
                        </a:xfrm>
                        <a:prstGeom prst="rect">
                          <a:avLst/>
                        </a:prstGeom>
                      </pic:spPr>
                    </pic:pic>
                  </a:graphicData>
                </a:graphic>
              </wp:anchor>
            </w:drawing>
          </w:r>
        </w:p>
      </w:tc>
      <w:tc>
        <w:tcPr>
          <w:tcW w:w="2103" w:type="dxa"/>
        </w:tcPr>
        <w:p w14:paraId="1B427239" w14:textId="20810397" w:rsidR="00A14E6C" w:rsidRDefault="00476BB0">
          <w:pPr>
            <w:pStyle w:val="Encabezado"/>
          </w:pPr>
          <w:r>
            <w:rPr>
              <w:rFonts w:ascii="Century Gothic" w:hAnsi="Century Gothic"/>
              <w:noProof/>
              <w:lang w:eastAsia="es-GT"/>
            </w:rPr>
            <w:drawing>
              <wp:anchor distT="0" distB="0" distL="114300" distR="114300" simplePos="0" relativeHeight="251670528" behindDoc="1" locked="0" layoutInCell="1" allowOverlap="1" wp14:anchorId="436B8415" wp14:editId="2F3C2E1C">
                <wp:simplePos x="0" y="0"/>
                <wp:positionH relativeFrom="column">
                  <wp:posOffset>222546</wp:posOffset>
                </wp:positionH>
                <wp:positionV relativeFrom="paragraph">
                  <wp:posOffset>-220770</wp:posOffset>
                </wp:positionV>
                <wp:extent cx="685800" cy="914400"/>
                <wp:effectExtent l="0" t="0" r="0" b="0"/>
                <wp:wrapNone/>
                <wp:docPr id="1" name="Imagen 1" descr="CALDH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LDH_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292C">
            <w:t xml:space="preserve">  </w:t>
          </w:r>
        </w:p>
      </w:tc>
      <w:tc>
        <w:tcPr>
          <w:tcW w:w="2103" w:type="dxa"/>
        </w:tcPr>
        <w:p w14:paraId="5F24AB07" w14:textId="7547E43B" w:rsidR="00A14E6C" w:rsidRDefault="005A292C">
          <w:pPr>
            <w:pStyle w:val="Encabezado"/>
          </w:pPr>
          <w:r>
            <w:rPr>
              <w:noProof/>
            </w:rPr>
            <w:drawing>
              <wp:anchor distT="0" distB="0" distL="114300" distR="114300" simplePos="0" relativeHeight="251662336" behindDoc="0" locked="0" layoutInCell="1" allowOverlap="1" wp14:anchorId="620BABEF" wp14:editId="56095C24">
                <wp:simplePos x="0" y="0"/>
                <wp:positionH relativeFrom="column">
                  <wp:posOffset>185420</wp:posOffset>
                </wp:positionH>
                <wp:positionV relativeFrom="paragraph">
                  <wp:posOffset>89535</wp:posOffset>
                </wp:positionV>
                <wp:extent cx="617220" cy="513080"/>
                <wp:effectExtent l="0" t="0" r="0" b="0"/>
                <wp:wrapSquare wrapText="bothSides"/>
                <wp:docPr id="19869406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40626" name="Imagen 1986940626"/>
                        <pic:cNvPicPr/>
                      </pic:nvPicPr>
                      <pic:blipFill>
                        <a:blip r:embed="rId7">
                          <a:extLst>
                            <a:ext uri="{28A0092B-C50C-407E-A947-70E740481C1C}">
                              <a14:useLocalDpi xmlns:a14="http://schemas.microsoft.com/office/drawing/2010/main" val="0"/>
                            </a:ext>
                          </a:extLst>
                        </a:blip>
                        <a:stretch>
                          <a:fillRect/>
                        </a:stretch>
                      </pic:blipFill>
                      <pic:spPr>
                        <a:xfrm>
                          <a:off x="0" y="0"/>
                          <a:ext cx="617220" cy="513080"/>
                        </a:xfrm>
                        <a:prstGeom prst="rect">
                          <a:avLst/>
                        </a:prstGeom>
                      </pic:spPr>
                    </pic:pic>
                  </a:graphicData>
                </a:graphic>
                <wp14:sizeRelH relativeFrom="margin">
                  <wp14:pctWidth>0</wp14:pctWidth>
                </wp14:sizeRelH>
                <wp14:sizeRelV relativeFrom="margin">
                  <wp14:pctHeight>0</wp14:pctHeight>
                </wp14:sizeRelV>
              </wp:anchor>
            </w:drawing>
          </w:r>
        </w:p>
      </w:tc>
      <w:tc>
        <w:tcPr>
          <w:tcW w:w="2103" w:type="dxa"/>
        </w:tcPr>
        <w:p w14:paraId="1CC21FD6" w14:textId="6253DDCC" w:rsidR="00A14E6C" w:rsidRDefault="00A14E6C">
          <w:pPr>
            <w:pStyle w:val="Encabezado"/>
          </w:pPr>
          <w:r>
            <w:rPr>
              <w:noProof/>
            </w:rPr>
            <w:drawing>
              <wp:anchor distT="0" distB="0" distL="114300" distR="114300" simplePos="0" relativeHeight="251652096" behindDoc="0" locked="0" layoutInCell="1" allowOverlap="1" wp14:anchorId="7232FACF" wp14:editId="5EABE931">
                <wp:simplePos x="0" y="0"/>
                <wp:positionH relativeFrom="column">
                  <wp:posOffset>-16510</wp:posOffset>
                </wp:positionH>
                <wp:positionV relativeFrom="paragraph">
                  <wp:posOffset>149225</wp:posOffset>
                </wp:positionV>
                <wp:extent cx="1252220" cy="237819"/>
                <wp:effectExtent l="0" t="0" r="0" b="0"/>
                <wp:wrapSquare wrapText="bothSides"/>
                <wp:docPr id="6018632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63218" name="Imagen 601863218"/>
                        <pic:cNvPicPr/>
                      </pic:nvPicPr>
                      <pic:blipFill>
                        <a:blip r:embed="rId8">
                          <a:extLst>
                            <a:ext uri="{28A0092B-C50C-407E-A947-70E740481C1C}">
                              <a14:useLocalDpi xmlns:a14="http://schemas.microsoft.com/office/drawing/2010/main" val="0"/>
                            </a:ext>
                          </a:extLst>
                        </a:blip>
                        <a:stretch>
                          <a:fillRect/>
                        </a:stretch>
                      </pic:blipFill>
                      <pic:spPr>
                        <a:xfrm>
                          <a:off x="0" y="0"/>
                          <a:ext cx="1252220" cy="237819"/>
                        </a:xfrm>
                        <a:prstGeom prst="rect">
                          <a:avLst/>
                        </a:prstGeom>
                      </pic:spPr>
                    </pic:pic>
                  </a:graphicData>
                </a:graphic>
              </wp:anchor>
            </w:drawing>
          </w:r>
        </w:p>
      </w:tc>
    </w:tr>
  </w:tbl>
  <w:p w14:paraId="59F9F3AA" w14:textId="14D6897E" w:rsidR="00A14E6C" w:rsidRDefault="00A14E6C">
    <w:pPr>
      <w:pStyle w:val="Encabezado"/>
    </w:pPr>
  </w:p>
  <w:p w14:paraId="16DACFB9" w14:textId="77777777" w:rsidR="00A14E6C" w:rsidRDefault="00A14E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79BB7" w14:textId="77777777" w:rsidR="0008795A" w:rsidRDefault="0008795A">
    <w:pPr>
      <w:pStyle w:val="Encabezado"/>
    </w:pPr>
  </w:p>
  <w:p w14:paraId="3FADA834" w14:textId="77777777" w:rsidR="0008795A" w:rsidRDefault="000879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5DD"/>
    <w:multiLevelType w:val="hybridMultilevel"/>
    <w:tmpl w:val="B4363008"/>
    <w:lvl w:ilvl="0" w:tplc="08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7AB09BC"/>
    <w:multiLevelType w:val="hybridMultilevel"/>
    <w:tmpl w:val="B99409A2"/>
    <w:lvl w:ilvl="0" w:tplc="080A0015">
      <w:start w:val="1"/>
      <w:numFmt w:val="upp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3BF55347"/>
    <w:multiLevelType w:val="hybridMultilevel"/>
    <w:tmpl w:val="5CC4625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4E027046"/>
    <w:multiLevelType w:val="hybridMultilevel"/>
    <w:tmpl w:val="ECBC94EE"/>
    <w:lvl w:ilvl="0" w:tplc="8DA44E18">
      <w:start w:val="8"/>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4E4A6083"/>
    <w:multiLevelType w:val="singleLevel"/>
    <w:tmpl w:val="4E4A6083"/>
    <w:lvl w:ilvl="0">
      <w:start w:val="1"/>
      <w:numFmt w:val="lowerLetter"/>
      <w:lvlText w:val="%1)"/>
      <w:lvlJc w:val="left"/>
      <w:pPr>
        <w:tabs>
          <w:tab w:val="left" w:pos="312"/>
        </w:tabs>
      </w:pPr>
    </w:lvl>
  </w:abstractNum>
  <w:abstractNum w:abstractNumId="5" w15:restartNumberingAfterBreak="0">
    <w:nsid w:val="55167582"/>
    <w:multiLevelType w:val="hybridMultilevel"/>
    <w:tmpl w:val="4084816E"/>
    <w:lvl w:ilvl="0" w:tplc="C7F6CBEA">
      <w:start w:val="2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5B43507A"/>
    <w:multiLevelType w:val="multilevel"/>
    <w:tmpl w:val="91E20830"/>
    <w:lvl w:ilvl="0">
      <w:start w:val="1"/>
      <w:numFmt w:val="lowerRoman"/>
      <w:lvlText w:val="%1."/>
      <w:lvlJc w:val="left"/>
      <w:pPr>
        <w:ind w:left="1428" w:hanging="360"/>
      </w:pPr>
      <w:rPr>
        <w:rFonts w:hint="default"/>
      </w:rPr>
    </w:lvl>
    <w:lvl w:ilvl="1">
      <w:start w:val="1"/>
      <w:numFmt w:val="lowerRoman"/>
      <w:lvlText w:val="%2)"/>
      <w:lvlJc w:val="left"/>
      <w:pPr>
        <w:ind w:left="2508" w:hanging="720"/>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7" w15:restartNumberingAfterBreak="0">
    <w:nsid w:val="66290300"/>
    <w:multiLevelType w:val="hybridMultilevel"/>
    <w:tmpl w:val="755CB5D4"/>
    <w:lvl w:ilvl="0" w:tplc="E242BE78">
      <w:start w:val="1"/>
      <w:numFmt w:val="lowerLetter"/>
      <w:lvlText w:val="%1."/>
      <w:lvlJc w:val="left"/>
      <w:pPr>
        <w:ind w:left="340" w:firstLine="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6C7E5AFF"/>
    <w:multiLevelType w:val="hybridMultilevel"/>
    <w:tmpl w:val="725C972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752B36D3"/>
    <w:multiLevelType w:val="hybridMultilevel"/>
    <w:tmpl w:val="14AAFB84"/>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16cid:durableId="1179195304">
    <w:abstractNumId w:val="8"/>
  </w:num>
  <w:num w:numId="2" w16cid:durableId="1899900629">
    <w:abstractNumId w:val="1"/>
  </w:num>
  <w:num w:numId="3" w16cid:durableId="384724953">
    <w:abstractNumId w:val="0"/>
  </w:num>
  <w:num w:numId="4" w16cid:durableId="401026823">
    <w:abstractNumId w:val="3"/>
  </w:num>
  <w:num w:numId="5" w16cid:durableId="25759827">
    <w:abstractNumId w:val="9"/>
  </w:num>
  <w:num w:numId="6" w16cid:durableId="896210001">
    <w:abstractNumId w:val="5"/>
  </w:num>
  <w:num w:numId="7" w16cid:durableId="1397973111">
    <w:abstractNumId w:val="4"/>
  </w:num>
  <w:num w:numId="8" w16cid:durableId="1118722965">
    <w:abstractNumId w:val="2"/>
  </w:num>
  <w:num w:numId="9" w16cid:durableId="12462742">
    <w:abstractNumId w:val="6"/>
  </w:num>
  <w:num w:numId="10" w16cid:durableId="18249263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drawingGridHorizontalSpacing w:val="1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D37"/>
    <w:rsid w:val="000117B5"/>
    <w:rsid w:val="000261D0"/>
    <w:rsid w:val="00031C83"/>
    <w:rsid w:val="00034CB2"/>
    <w:rsid w:val="0003684E"/>
    <w:rsid w:val="000422B0"/>
    <w:rsid w:val="0005166C"/>
    <w:rsid w:val="00076FE8"/>
    <w:rsid w:val="0008795A"/>
    <w:rsid w:val="00141EEF"/>
    <w:rsid w:val="00145B74"/>
    <w:rsid w:val="001515A4"/>
    <w:rsid w:val="00155BCF"/>
    <w:rsid w:val="001574C9"/>
    <w:rsid w:val="00164540"/>
    <w:rsid w:val="001665F6"/>
    <w:rsid w:val="00180C27"/>
    <w:rsid w:val="001C1DB1"/>
    <w:rsid w:val="001E1BB2"/>
    <w:rsid w:val="001E23AF"/>
    <w:rsid w:val="001F2BAD"/>
    <w:rsid w:val="001F2F56"/>
    <w:rsid w:val="001F4F0A"/>
    <w:rsid w:val="002942A3"/>
    <w:rsid w:val="00296CBE"/>
    <w:rsid w:val="002B7FD0"/>
    <w:rsid w:val="002F489A"/>
    <w:rsid w:val="002F57EA"/>
    <w:rsid w:val="002F5D8D"/>
    <w:rsid w:val="003552B2"/>
    <w:rsid w:val="00394332"/>
    <w:rsid w:val="003A3E5B"/>
    <w:rsid w:val="003A58C6"/>
    <w:rsid w:val="00463119"/>
    <w:rsid w:val="004645F2"/>
    <w:rsid w:val="00465CD3"/>
    <w:rsid w:val="00476BB0"/>
    <w:rsid w:val="00493F00"/>
    <w:rsid w:val="004978A4"/>
    <w:rsid w:val="004B5CF3"/>
    <w:rsid w:val="004C3184"/>
    <w:rsid w:val="004D1708"/>
    <w:rsid w:val="004D1CC4"/>
    <w:rsid w:val="004D6D2B"/>
    <w:rsid w:val="004E70FD"/>
    <w:rsid w:val="004F3A4B"/>
    <w:rsid w:val="004F6CD8"/>
    <w:rsid w:val="00503EBF"/>
    <w:rsid w:val="0051783C"/>
    <w:rsid w:val="0053335B"/>
    <w:rsid w:val="00555CAB"/>
    <w:rsid w:val="00581B84"/>
    <w:rsid w:val="005909FC"/>
    <w:rsid w:val="005A292C"/>
    <w:rsid w:val="005D5211"/>
    <w:rsid w:val="005D72D2"/>
    <w:rsid w:val="00650143"/>
    <w:rsid w:val="00670D83"/>
    <w:rsid w:val="0068206F"/>
    <w:rsid w:val="006840F0"/>
    <w:rsid w:val="006C52C5"/>
    <w:rsid w:val="006F1CC6"/>
    <w:rsid w:val="006F3FAE"/>
    <w:rsid w:val="00710F70"/>
    <w:rsid w:val="00714D3D"/>
    <w:rsid w:val="0073254F"/>
    <w:rsid w:val="00747466"/>
    <w:rsid w:val="00764CD2"/>
    <w:rsid w:val="0078660D"/>
    <w:rsid w:val="007A06D3"/>
    <w:rsid w:val="007E1807"/>
    <w:rsid w:val="007F4287"/>
    <w:rsid w:val="00832254"/>
    <w:rsid w:val="00883DC3"/>
    <w:rsid w:val="008A78A0"/>
    <w:rsid w:val="008B138D"/>
    <w:rsid w:val="009120B8"/>
    <w:rsid w:val="009319FC"/>
    <w:rsid w:val="009402BD"/>
    <w:rsid w:val="00950F54"/>
    <w:rsid w:val="00974DE0"/>
    <w:rsid w:val="00975561"/>
    <w:rsid w:val="00990898"/>
    <w:rsid w:val="00997F84"/>
    <w:rsid w:val="009A6F3A"/>
    <w:rsid w:val="009D1428"/>
    <w:rsid w:val="009E6106"/>
    <w:rsid w:val="009F176B"/>
    <w:rsid w:val="00A14E6C"/>
    <w:rsid w:val="00A415F0"/>
    <w:rsid w:val="00A56786"/>
    <w:rsid w:val="00AA424B"/>
    <w:rsid w:val="00B2022B"/>
    <w:rsid w:val="00B26D37"/>
    <w:rsid w:val="00B337A1"/>
    <w:rsid w:val="00B4793A"/>
    <w:rsid w:val="00B52A5F"/>
    <w:rsid w:val="00B83DA6"/>
    <w:rsid w:val="00BB5EEF"/>
    <w:rsid w:val="00C1570A"/>
    <w:rsid w:val="00C166C3"/>
    <w:rsid w:val="00C361D4"/>
    <w:rsid w:val="00C50829"/>
    <w:rsid w:val="00D027C2"/>
    <w:rsid w:val="00D04D76"/>
    <w:rsid w:val="00D1386F"/>
    <w:rsid w:val="00D404CA"/>
    <w:rsid w:val="00D51E88"/>
    <w:rsid w:val="00D6631E"/>
    <w:rsid w:val="00DA5814"/>
    <w:rsid w:val="00DC20EB"/>
    <w:rsid w:val="00DD16D7"/>
    <w:rsid w:val="00DD23B6"/>
    <w:rsid w:val="00E225D3"/>
    <w:rsid w:val="00E409EF"/>
    <w:rsid w:val="00E67812"/>
    <w:rsid w:val="00E74988"/>
    <w:rsid w:val="00E808BA"/>
    <w:rsid w:val="00E81F4D"/>
    <w:rsid w:val="00EA5E01"/>
    <w:rsid w:val="00EA769C"/>
    <w:rsid w:val="00EB34B4"/>
    <w:rsid w:val="00EE7601"/>
    <w:rsid w:val="00F10655"/>
    <w:rsid w:val="00F40080"/>
    <w:rsid w:val="00F43575"/>
    <w:rsid w:val="00F43E05"/>
    <w:rsid w:val="00F77BF8"/>
    <w:rsid w:val="00F9435D"/>
    <w:rsid w:val="00F947EB"/>
    <w:rsid w:val="00FD119F"/>
  </w:rsids>
  <m:mathPr>
    <m:mathFont m:val="Cambria Math"/>
    <m:brkBin m:val="before"/>
    <m:brkBinSub m:val="--"/>
    <m:smallFrac/>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B5E2E"/>
  <w15:docId w15:val="{82A08F63-04CD-4C79-AF69-01ADFE68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69C"/>
    <w:rPr>
      <w:lang w:val="es-ES_tradnl"/>
    </w:rPr>
  </w:style>
  <w:style w:type="paragraph" w:styleId="Ttulo1">
    <w:name w:val="heading 1"/>
    <w:basedOn w:val="Normal"/>
    <w:next w:val="Normal"/>
    <w:link w:val="Ttulo1Car"/>
    <w:uiPriority w:val="9"/>
    <w:qFormat/>
    <w:rsid w:val="00710F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E70F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Heading 5 Char2,Heading 4 bis Char2,ftref,16 Point,Superscript 6 Point,(NECG) Footnote Reference,Normal + Font:9 Point,Superscript 3 Point Times,ftref Char,BVI fnr Char,BVI fnr Car Char,Char Char Car Char,16 Point Char,Ref"/>
    <w:link w:val="Char2"/>
    <w:uiPriority w:val="99"/>
    <w:qFormat/>
    <w:rsid w:val="00145B74"/>
    <w:rPr>
      <w:rFonts w:ascii="Times New Roman" w:hAnsi="Times New Roman"/>
      <w:sz w:val="18"/>
      <w:vertAlign w:val="superscript"/>
    </w:rPr>
  </w:style>
  <w:style w:type="paragraph" w:styleId="Textonotapie">
    <w:name w:val="footnote text"/>
    <w:aliases w:val="5_G,Footnote Text Char Char,Char,Char Char Char,Char Char Char Char Char Char,Char Char Char Char Char Char Char Char Char Char,Char Char Char Char Char Char Char Char,NOTA AL PIE TESIS PUCP Car Car,NOTA AL PIE TESIS PUCP Car,Geneva 9"/>
    <w:basedOn w:val="Normal"/>
    <w:link w:val="TextonotapieCar"/>
    <w:qFormat/>
    <w:rsid w:val="00145B74"/>
    <w:pPr>
      <w:tabs>
        <w:tab w:val="right" w:pos="1021"/>
      </w:tabs>
      <w:spacing w:line="220" w:lineRule="exact"/>
      <w:ind w:left="1134" w:right="1134" w:hanging="1134"/>
    </w:pPr>
    <w:rPr>
      <w:rFonts w:ascii="Times New Roman" w:eastAsia="Times New Roman" w:hAnsi="Times New Roman" w:cs="Times New Roman"/>
      <w:kern w:val="0"/>
      <w:sz w:val="18"/>
      <w:szCs w:val="20"/>
      <w:lang w:val="es-ES" w:eastAsia="es-ES"/>
    </w:rPr>
  </w:style>
  <w:style w:type="character" w:customStyle="1" w:styleId="TextonotapieCar">
    <w:name w:val="Texto nota pie Car"/>
    <w:aliases w:val="5_G Car,Footnote Text Char Char Car,Char Car,Char Char Char Car,Char Char Char Char Char Char Car,Char Char Char Char Char Char Char Char Char Char Car,Char Char Char Char Char Char Char Char Car,NOTA AL PIE TESIS PUCP Car Car Car"/>
    <w:basedOn w:val="Fuentedeprrafopredeter"/>
    <w:link w:val="Textonotapie"/>
    <w:qFormat/>
    <w:rsid w:val="00145B74"/>
    <w:rPr>
      <w:rFonts w:ascii="Times New Roman" w:eastAsia="Times New Roman" w:hAnsi="Times New Roman" w:cs="Times New Roman"/>
      <w:kern w:val="0"/>
      <w:sz w:val="18"/>
      <w:szCs w:val="20"/>
      <w:lang w:val="es-ES" w:eastAsia="es-ES"/>
    </w:rPr>
  </w:style>
  <w:style w:type="character" w:styleId="Hipervnculo">
    <w:name w:val="Hyperlink"/>
    <w:uiPriority w:val="99"/>
    <w:rsid w:val="00145B74"/>
    <w:rPr>
      <w:color w:val="0000FF"/>
      <w:u w:val="none"/>
    </w:rPr>
  </w:style>
  <w:style w:type="paragraph" w:customStyle="1" w:styleId="SingleTxtG">
    <w:name w:val="_ Single Txt_G"/>
    <w:basedOn w:val="Normal"/>
    <w:link w:val="SingleTxtGChar"/>
    <w:qFormat/>
    <w:rsid w:val="00145B74"/>
    <w:pPr>
      <w:tabs>
        <w:tab w:val="left" w:pos="1701"/>
        <w:tab w:val="left" w:pos="2268"/>
        <w:tab w:val="left" w:pos="2835"/>
      </w:tabs>
      <w:spacing w:after="120" w:line="240" w:lineRule="atLeast"/>
      <w:ind w:left="1134" w:right="1134"/>
      <w:jc w:val="both"/>
    </w:pPr>
    <w:rPr>
      <w:rFonts w:ascii="Times New Roman" w:eastAsiaTheme="minorEastAsia" w:hAnsi="Times New Roman" w:cs="Times New Roman"/>
      <w:kern w:val="0"/>
      <w:sz w:val="20"/>
      <w:szCs w:val="20"/>
      <w:lang w:val="es-ES" w:eastAsia="es-ES"/>
    </w:rPr>
  </w:style>
  <w:style w:type="character" w:customStyle="1" w:styleId="SingleTxtGChar">
    <w:name w:val="_ Single Txt_G Char"/>
    <w:link w:val="SingleTxtG"/>
    <w:locked/>
    <w:rsid w:val="00145B74"/>
    <w:rPr>
      <w:rFonts w:ascii="Times New Roman" w:eastAsiaTheme="minorEastAsia" w:hAnsi="Times New Roman" w:cs="Times New Roman"/>
      <w:kern w:val="0"/>
      <w:sz w:val="20"/>
      <w:szCs w:val="20"/>
      <w:lang w:val="es-ES" w:eastAsia="es-ES"/>
    </w:rPr>
  </w:style>
  <w:style w:type="paragraph" w:customStyle="1" w:styleId="HChG">
    <w:name w:val="_ H _Ch_G"/>
    <w:basedOn w:val="Normal"/>
    <w:next w:val="Normal"/>
    <w:qFormat/>
    <w:rsid w:val="00F947EB"/>
    <w:pPr>
      <w:keepNext/>
      <w:keepLines/>
      <w:tabs>
        <w:tab w:val="right" w:pos="851"/>
      </w:tabs>
      <w:suppressAutoHyphens/>
      <w:spacing w:before="360" w:after="240" w:line="300" w:lineRule="exact"/>
      <w:ind w:left="1134" w:right="1134" w:hanging="1134"/>
      <w:outlineLvl w:val="1"/>
    </w:pPr>
    <w:rPr>
      <w:rFonts w:ascii="Times New Roman" w:eastAsia="Times New Roman" w:hAnsi="Times New Roman" w:cs="Times New Roman"/>
      <w:b/>
      <w:kern w:val="0"/>
      <w:sz w:val="28"/>
      <w:szCs w:val="20"/>
      <w:lang w:val="es-ES" w:eastAsia="es-ES"/>
    </w:rPr>
  </w:style>
  <w:style w:type="paragraph" w:styleId="Prrafodelista">
    <w:name w:val="List Paragraph"/>
    <w:basedOn w:val="Normal"/>
    <w:uiPriority w:val="34"/>
    <w:qFormat/>
    <w:rsid w:val="00710F70"/>
    <w:pPr>
      <w:ind w:left="720"/>
      <w:contextualSpacing/>
    </w:pPr>
  </w:style>
  <w:style w:type="character" w:customStyle="1" w:styleId="Ttulo1Car">
    <w:name w:val="Título 1 Car"/>
    <w:basedOn w:val="Fuentedeprrafopredeter"/>
    <w:link w:val="Ttulo1"/>
    <w:uiPriority w:val="9"/>
    <w:rsid w:val="00710F70"/>
    <w:rPr>
      <w:rFonts w:asciiTheme="majorHAnsi" w:eastAsiaTheme="majorEastAsia" w:hAnsiTheme="majorHAnsi" w:cstheme="majorBidi"/>
      <w:color w:val="2F5496" w:themeColor="accent1" w:themeShade="BF"/>
      <w:sz w:val="32"/>
      <w:szCs w:val="32"/>
      <w:lang w:val="es-ES_tradnl"/>
    </w:rPr>
  </w:style>
  <w:style w:type="paragraph" w:customStyle="1" w:styleId="p1">
    <w:name w:val="p1"/>
    <w:basedOn w:val="Normal"/>
    <w:rsid w:val="00FD119F"/>
    <w:rPr>
      <w:rFonts w:ascii="Times New Roman" w:eastAsia="Times New Roman" w:hAnsi="Times New Roman" w:cs="Times New Roman"/>
      <w:color w:val="000000"/>
      <w:kern w:val="0"/>
      <w:sz w:val="15"/>
      <w:szCs w:val="15"/>
      <w:lang w:val="es-GT" w:eastAsia="es-ES_tradnl"/>
    </w:rPr>
  </w:style>
  <w:style w:type="character" w:customStyle="1" w:styleId="s1">
    <w:name w:val="s1"/>
    <w:basedOn w:val="Fuentedeprrafopredeter"/>
    <w:rsid w:val="00FD119F"/>
    <w:rPr>
      <w:rFonts w:ascii="Times New Roman" w:hAnsi="Times New Roman" w:cs="Times New Roman" w:hint="default"/>
      <w:sz w:val="9"/>
      <w:szCs w:val="9"/>
    </w:rPr>
  </w:style>
  <w:style w:type="paragraph" w:customStyle="1" w:styleId="m8rfq">
    <w:name w:val="m8rfq"/>
    <w:basedOn w:val="Normal"/>
    <w:rsid w:val="00A415F0"/>
    <w:pPr>
      <w:spacing w:before="100" w:beforeAutospacing="1" w:after="100" w:afterAutospacing="1"/>
    </w:pPr>
    <w:rPr>
      <w:rFonts w:ascii="Times New Roman" w:eastAsia="Times New Roman" w:hAnsi="Times New Roman" w:cs="Times New Roman"/>
      <w:kern w:val="0"/>
      <w:lang w:val="es-GT" w:eastAsia="es-ES_tradnl"/>
    </w:rPr>
  </w:style>
  <w:style w:type="character" w:customStyle="1" w:styleId="qxcvi">
    <w:name w:val="qxcvi"/>
    <w:basedOn w:val="Fuentedeprrafopredeter"/>
    <w:rsid w:val="00A415F0"/>
  </w:style>
  <w:style w:type="character" w:customStyle="1" w:styleId="Mencinsinresolver1">
    <w:name w:val="Mención sin resolver1"/>
    <w:basedOn w:val="Fuentedeprrafopredeter"/>
    <w:uiPriority w:val="99"/>
    <w:semiHidden/>
    <w:unhideWhenUsed/>
    <w:rsid w:val="00A415F0"/>
    <w:rPr>
      <w:color w:val="605E5C"/>
      <w:shd w:val="clear" w:color="auto" w:fill="E1DFDD"/>
    </w:rPr>
  </w:style>
  <w:style w:type="paragraph" w:styleId="TtuloTDC">
    <w:name w:val="TOC Heading"/>
    <w:basedOn w:val="Ttulo1"/>
    <w:next w:val="Normal"/>
    <w:uiPriority w:val="39"/>
    <w:unhideWhenUsed/>
    <w:qFormat/>
    <w:rsid w:val="00C361D4"/>
    <w:pPr>
      <w:spacing w:before="480" w:line="276" w:lineRule="auto"/>
      <w:outlineLvl w:val="9"/>
    </w:pPr>
    <w:rPr>
      <w:b/>
      <w:bCs/>
      <w:kern w:val="0"/>
      <w:sz w:val="28"/>
      <w:szCs w:val="28"/>
      <w:lang w:val="es-GT" w:eastAsia="es-ES_tradnl"/>
    </w:rPr>
  </w:style>
  <w:style w:type="paragraph" w:styleId="TDC1">
    <w:name w:val="toc 1"/>
    <w:basedOn w:val="Normal"/>
    <w:next w:val="Normal"/>
    <w:autoRedefine/>
    <w:uiPriority w:val="39"/>
    <w:unhideWhenUsed/>
    <w:rsid w:val="00C361D4"/>
    <w:pPr>
      <w:spacing w:before="120"/>
    </w:pPr>
    <w:rPr>
      <w:rFonts w:cstheme="minorHAnsi"/>
      <w:b/>
      <w:bCs/>
      <w:i/>
      <w:iCs/>
    </w:rPr>
  </w:style>
  <w:style w:type="paragraph" w:styleId="TDC2">
    <w:name w:val="toc 2"/>
    <w:basedOn w:val="Normal"/>
    <w:next w:val="Normal"/>
    <w:autoRedefine/>
    <w:uiPriority w:val="39"/>
    <w:unhideWhenUsed/>
    <w:rsid w:val="00C361D4"/>
    <w:pPr>
      <w:spacing w:before="120"/>
      <w:ind w:left="240"/>
    </w:pPr>
    <w:rPr>
      <w:rFonts w:cstheme="minorHAnsi"/>
      <w:b/>
      <w:bCs/>
      <w:sz w:val="22"/>
      <w:szCs w:val="22"/>
    </w:rPr>
  </w:style>
  <w:style w:type="paragraph" w:styleId="TDC3">
    <w:name w:val="toc 3"/>
    <w:basedOn w:val="Normal"/>
    <w:next w:val="Normal"/>
    <w:autoRedefine/>
    <w:uiPriority w:val="39"/>
    <w:semiHidden/>
    <w:unhideWhenUsed/>
    <w:rsid w:val="00C361D4"/>
    <w:pPr>
      <w:ind w:left="480"/>
    </w:pPr>
    <w:rPr>
      <w:rFonts w:cstheme="minorHAnsi"/>
      <w:sz w:val="20"/>
      <w:szCs w:val="20"/>
    </w:rPr>
  </w:style>
  <w:style w:type="paragraph" w:styleId="TDC4">
    <w:name w:val="toc 4"/>
    <w:basedOn w:val="Normal"/>
    <w:next w:val="Normal"/>
    <w:autoRedefine/>
    <w:uiPriority w:val="39"/>
    <w:semiHidden/>
    <w:unhideWhenUsed/>
    <w:rsid w:val="00C361D4"/>
    <w:pPr>
      <w:ind w:left="720"/>
    </w:pPr>
    <w:rPr>
      <w:rFonts w:cstheme="minorHAnsi"/>
      <w:sz w:val="20"/>
      <w:szCs w:val="20"/>
    </w:rPr>
  </w:style>
  <w:style w:type="paragraph" w:styleId="TDC5">
    <w:name w:val="toc 5"/>
    <w:basedOn w:val="Normal"/>
    <w:next w:val="Normal"/>
    <w:autoRedefine/>
    <w:uiPriority w:val="39"/>
    <w:semiHidden/>
    <w:unhideWhenUsed/>
    <w:rsid w:val="00C361D4"/>
    <w:pPr>
      <w:ind w:left="960"/>
    </w:pPr>
    <w:rPr>
      <w:rFonts w:cstheme="minorHAnsi"/>
      <w:sz w:val="20"/>
      <w:szCs w:val="20"/>
    </w:rPr>
  </w:style>
  <w:style w:type="paragraph" w:styleId="TDC6">
    <w:name w:val="toc 6"/>
    <w:basedOn w:val="Normal"/>
    <w:next w:val="Normal"/>
    <w:autoRedefine/>
    <w:uiPriority w:val="39"/>
    <w:semiHidden/>
    <w:unhideWhenUsed/>
    <w:rsid w:val="00C361D4"/>
    <w:pPr>
      <w:ind w:left="1200"/>
    </w:pPr>
    <w:rPr>
      <w:rFonts w:cstheme="minorHAnsi"/>
      <w:sz w:val="20"/>
      <w:szCs w:val="20"/>
    </w:rPr>
  </w:style>
  <w:style w:type="paragraph" w:styleId="TDC7">
    <w:name w:val="toc 7"/>
    <w:basedOn w:val="Normal"/>
    <w:next w:val="Normal"/>
    <w:autoRedefine/>
    <w:uiPriority w:val="39"/>
    <w:semiHidden/>
    <w:unhideWhenUsed/>
    <w:rsid w:val="00C361D4"/>
    <w:pPr>
      <w:ind w:left="1440"/>
    </w:pPr>
    <w:rPr>
      <w:rFonts w:cstheme="minorHAnsi"/>
      <w:sz w:val="20"/>
      <w:szCs w:val="20"/>
    </w:rPr>
  </w:style>
  <w:style w:type="paragraph" w:styleId="TDC8">
    <w:name w:val="toc 8"/>
    <w:basedOn w:val="Normal"/>
    <w:next w:val="Normal"/>
    <w:autoRedefine/>
    <w:uiPriority w:val="39"/>
    <w:semiHidden/>
    <w:unhideWhenUsed/>
    <w:rsid w:val="00C361D4"/>
    <w:pPr>
      <w:ind w:left="1680"/>
    </w:pPr>
    <w:rPr>
      <w:rFonts w:cstheme="minorHAnsi"/>
      <w:sz w:val="20"/>
      <w:szCs w:val="20"/>
    </w:rPr>
  </w:style>
  <w:style w:type="paragraph" w:styleId="TDC9">
    <w:name w:val="toc 9"/>
    <w:basedOn w:val="Normal"/>
    <w:next w:val="Normal"/>
    <w:autoRedefine/>
    <w:uiPriority w:val="39"/>
    <w:semiHidden/>
    <w:unhideWhenUsed/>
    <w:rsid w:val="00C361D4"/>
    <w:pPr>
      <w:ind w:left="1920"/>
    </w:pPr>
    <w:rPr>
      <w:rFonts w:cstheme="minorHAnsi"/>
      <w:sz w:val="20"/>
      <w:szCs w:val="20"/>
    </w:rPr>
  </w:style>
  <w:style w:type="character" w:styleId="nfasis">
    <w:name w:val="Emphasis"/>
    <w:basedOn w:val="Fuentedeprrafopredeter"/>
    <w:uiPriority w:val="20"/>
    <w:qFormat/>
    <w:rsid w:val="00B83DA6"/>
    <w:rPr>
      <w:i/>
      <w:iCs/>
    </w:rPr>
  </w:style>
  <w:style w:type="character" w:customStyle="1" w:styleId="apple-converted-space">
    <w:name w:val="apple-converted-space"/>
    <w:basedOn w:val="Fuentedeprrafopredeter"/>
    <w:rsid w:val="00B83DA6"/>
  </w:style>
  <w:style w:type="character" w:styleId="Hipervnculovisitado">
    <w:name w:val="FollowedHyperlink"/>
    <w:basedOn w:val="Fuentedeprrafopredeter"/>
    <w:uiPriority w:val="99"/>
    <w:semiHidden/>
    <w:unhideWhenUsed/>
    <w:rsid w:val="00D404CA"/>
    <w:rPr>
      <w:color w:val="954F72" w:themeColor="followedHyperlink"/>
      <w:u w:val="single"/>
    </w:rPr>
  </w:style>
  <w:style w:type="character" w:customStyle="1" w:styleId="Ttulo2Car">
    <w:name w:val="Título 2 Car"/>
    <w:basedOn w:val="Fuentedeprrafopredeter"/>
    <w:link w:val="Ttulo2"/>
    <w:uiPriority w:val="9"/>
    <w:rsid w:val="004E70FD"/>
    <w:rPr>
      <w:rFonts w:asciiTheme="majorHAnsi" w:eastAsiaTheme="majorEastAsia" w:hAnsiTheme="majorHAnsi" w:cstheme="majorBidi"/>
      <w:color w:val="2F5496" w:themeColor="accent1" w:themeShade="BF"/>
      <w:sz w:val="26"/>
      <w:szCs w:val="26"/>
      <w:lang w:val="es-ES_tradnl"/>
    </w:rPr>
  </w:style>
  <w:style w:type="character" w:styleId="Textoennegrita">
    <w:name w:val="Strong"/>
    <w:basedOn w:val="Fuentedeprrafopredeter"/>
    <w:uiPriority w:val="22"/>
    <w:qFormat/>
    <w:rsid w:val="00493F00"/>
    <w:rPr>
      <w:b/>
      <w:bCs/>
    </w:rPr>
  </w:style>
  <w:style w:type="paragraph" w:styleId="Textodeglobo">
    <w:name w:val="Balloon Text"/>
    <w:basedOn w:val="Normal"/>
    <w:link w:val="TextodegloboCar"/>
    <w:uiPriority w:val="99"/>
    <w:semiHidden/>
    <w:unhideWhenUsed/>
    <w:rsid w:val="00B337A1"/>
    <w:rPr>
      <w:rFonts w:ascii="Tahoma" w:hAnsi="Tahoma" w:cs="Tahoma"/>
      <w:sz w:val="16"/>
      <w:szCs w:val="16"/>
    </w:rPr>
  </w:style>
  <w:style w:type="character" w:customStyle="1" w:styleId="TextodegloboCar">
    <w:name w:val="Texto de globo Car"/>
    <w:basedOn w:val="Fuentedeprrafopredeter"/>
    <w:link w:val="Textodeglobo"/>
    <w:uiPriority w:val="99"/>
    <w:semiHidden/>
    <w:rsid w:val="00B337A1"/>
    <w:rPr>
      <w:rFonts w:ascii="Tahoma" w:hAnsi="Tahoma" w:cs="Tahoma"/>
      <w:sz w:val="16"/>
      <w:szCs w:val="16"/>
      <w:lang w:val="es-ES_tradnl"/>
    </w:rPr>
  </w:style>
  <w:style w:type="paragraph" w:styleId="NormalWeb">
    <w:name w:val="Normal (Web)"/>
    <w:basedOn w:val="Normal"/>
    <w:uiPriority w:val="99"/>
    <w:rsid w:val="0053335B"/>
    <w:pPr>
      <w:spacing w:beforeAutospacing="1" w:afterAutospacing="1"/>
    </w:pPr>
    <w:rPr>
      <w:rFonts w:eastAsiaTheme="minorEastAsia" w:cs="Times New Roman"/>
      <w:kern w:val="0"/>
      <w:lang w:val="en-US" w:eastAsia="zh-CN"/>
    </w:rPr>
  </w:style>
  <w:style w:type="paragraph" w:customStyle="1" w:styleId="Char2">
    <w:name w:val="Char2"/>
    <w:basedOn w:val="Normal"/>
    <w:link w:val="Refdenotaalpie"/>
    <w:uiPriority w:val="99"/>
    <w:rsid w:val="006C52C5"/>
    <w:pPr>
      <w:spacing w:after="160" w:line="240" w:lineRule="exact"/>
      <w:jc w:val="both"/>
    </w:pPr>
    <w:rPr>
      <w:rFonts w:ascii="Times New Roman" w:hAnsi="Times New Roman"/>
      <w:sz w:val="18"/>
      <w:vertAlign w:val="superscript"/>
      <w:lang w:val="es-GT"/>
    </w:rPr>
  </w:style>
  <w:style w:type="paragraph" w:styleId="Encabezado">
    <w:name w:val="header"/>
    <w:basedOn w:val="Normal"/>
    <w:link w:val="EncabezadoCar"/>
    <w:uiPriority w:val="99"/>
    <w:unhideWhenUsed/>
    <w:rsid w:val="00A14E6C"/>
    <w:pPr>
      <w:tabs>
        <w:tab w:val="center" w:pos="4252"/>
        <w:tab w:val="right" w:pos="8504"/>
      </w:tabs>
    </w:pPr>
  </w:style>
  <w:style w:type="character" w:customStyle="1" w:styleId="EncabezadoCar">
    <w:name w:val="Encabezado Car"/>
    <w:basedOn w:val="Fuentedeprrafopredeter"/>
    <w:link w:val="Encabezado"/>
    <w:uiPriority w:val="99"/>
    <w:rsid w:val="00A14E6C"/>
    <w:rPr>
      <w:lang w:val="es-ES_tradnl"/>
    </w:rPr>
  </w:style>
  <w:style w:type="paragraph" w:styleId="Piedepgina">
    <w:name w:val="footer"/>
    <w:basedOn w:val="Normal"/>
    <w:link w:val="PiedepginaCar"/>
    <w:uiPriority w:val="99"/>
    <w:unhideWhenUsed/>
    <w:rsid w:val="00A14E6C"/>
    <w:pPr>
      <w:tabs>
        <w:tab w:val="center" w:pos="4252"/>
        <w:tab w:val="right" w:pos="8504"/>
      </w:tabs>
    </w:pPr>
  </w:style>
  <w:style w:type="character" w:customStyle="1" w:styleId="PiedepginaCar">
    <w:name w:val="Pie de página Car"/>
    <w:basedOn w:val="Fuentedeprrafopredeter"/>
    <w:link w:val="Piedepgina"/>
    <w:uiPriority w:val="99"/>
    <w:rsid w:val="00A14E6C"/>
    <w:rPr>
      <w:lang w:val="es-ES_tradnl"/>
    </w:rPr>
  </w:style>
  <w:style w:type="table" w:styleId="Tablaconcuadrcula">
    <w:name w:val="Table Grid"/>
    <w:basedOn w:val="Tablanormal"/>
    <w:uiPriority w:val="39"/>
    <w:rsid w:val="00A14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5A292C"/>
    <w:rPr>
      <w:lang w:val="es-ES_tradnl"/>
    </w:rPr>
  </w:style>
  <w:style w:type="character" w:styleId="Refdecomentario">
    <w:name w:val="annotation reference"/>
    <w:basedOn w:val="Fuentedeprrafopredeter"/>
    <w:uiPriority w:val="99"/>
    <w:semiHidden/>
    <w:unhideWhenUsed/>
    <w:rsid w:val="00C1570A"/>
    <w:rPr>
      <w:sz w:val="16"/>
      <w:szCs w:val="16"/>
    </w:rPr>
  </w:style>
  <w:style w:type="paragraph" w:styleId="Textocomentario">
    <w:name w:val="annotation text"/>
    <w:basedOn w:val="Normal"/>
    <w:link w:val="TextocomentarioCar"/>
    <w:uiPriority w:val="99"/>
    <w:unhideWhenUsed/>
    <w:rsid w:val="00C1570A"/>
    <w:rPr>
      <w:sz w:val="20"/>
      <w:szCs w:val="20"/>
    </w:rPr>
  </w:style>
  <w:style w:type="character" w:customStyle="1" w:styleId="TextocomentarioCar">
    <w:name w:val="Texto comentario Car"/>
    <w:basedOn w:val="Fuentedeprrafopredeter"/>
    <w:link w:val="Textocomentario"/>
    <w:uiPriority w:val="99"/>
    <w:rsid w:val="00C1570A"/>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C1570A"/>
    <w:rPr>
      <w:b/>
      <w:bCs/>
    </w:rPr>
  </w:style>
  <w:style w:type="character" w:customStyle="1" w:styleId="AsuntodelcomentarioCar">
    <w:name w:val="Asunto del comentario Car"/>
    <w:basedOn w:val="TextocomentarioCar"/>
    <w:link w:val="Asuntodelcomentario"/>
    <w:uiPriority w:val="99"/>
    <w:semiHidden/>
    <w:rsid w:val="00C1570A"/>
    <w:rPr>
      <w:b/>
      <w:bCs/>
      <w:sz w:val="20"/>
      <w:szCs w:val="20"/>
      <w:lang w:val="es-ES_tradnl"/>
    </w:rPr>
  </w:style>
  <w:style w:type="character" w:styleId="Mencinsinresolver">
    <w:name w:val="Unresolved Mention"/>
    <w:basedOn w:val="Fuentedeprrafopredeter"/>
    <w:uiPriority w:val="99"/>
    <w:semiHidden/>
    <w:unhideWhenUsed/>
    <w:rsid w:val="00C15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90469">
      <w:bodyDiv w:val="1"/>
      <w:marLeft w:val="0"/>
      <w:marRight w:val="0"/>
      <w:marTop w:val="0"/>
      <w:marBottom w:val="0"/>
      <w:divBdr>
        <w:top w:val="none" w:sz="0" w:space="0" w:color="auto"/>
        <w:left w:val="none" w:sz="0" w:space="0" w:color="auto"/>
        <w:bottom w:val="none" w:sz="0" w:space="0" w:color="auto"/>
        <w:right w:val="none" w:sz="0" w:space="0" w:color="auto"/>
      </w:divBdr>
    </w:div>
    <w:div w:id="132676803">
      <w:bodyDiv w:val="1"/>
      <w:marLeft w:val="0"/>
      <w:marRight w:val="0"/>
      <w:marTop w:val="0"/>
      <w:marBottom w:val="0"/>
      <w:divBdr>
        <w:top w:val="none" w:sz="0" w:space="0" w:color="auto"/>
        <w:left w:val="none" w:sz="0" w:space="0" w:color="auto"/>
        <w:bottom w:val="none" w:sz="0" w:space="0" w:color="auto"/>
        <w:right w:val="none" w:sz="0" w:space="0" w:color="auto"/>
      </w:divBdr>
    </w:div>
    <w:div w:id="448820190">
      <w:bodyDiv w:val="1"/>
      <w:marLeft w:val="0"/>
      <w:marRight w:val="0"/>
      <w:marTop w:val="0"/>
      <w:marBottom w:val="0"/>
      <w:divBdr>
        <w:top w:val="none" w:sz="0" w:space="0" w:color="auto"/>
        <w:left w:val="none" w:sz="0" w:space="0" w:color="auto"/>
        <w:bottom w:val="none" w:sz="0" w:space="0" w:color="auto"/>
        <w:right w:val="none" w:sz="0" w:space="0" w:color="auto"/>
      </w:divBdr>
      <w:divsChild>
        <w:div w:id="1166746618">
          <w:marLeft w:val="0"/>
          <w:marRight w:val="0"/>
          <w:marTop w:val="0"/>
          <w:marBottom w:val="0"/>
          <w:divBdr>
            <w:top w:val="none" w:sz="0" w:space="0" w:color="auto"/>
            <w:left w:val="none" w:sz="0" w:space="0" w:color="auto"/>
            <w:bottom w:val="none" w:sz="0" w:space="0" w:color="auto"/>
            <w:right w:val="none" w:sz="0" w:space="0" w:color="auto"/>
          </w:divBdr>
          <w:divsChild>
            <w:div w:id="1072122439">
              <w:marLeft w:val="0"/>
              <w:marRight w:val="0"/>
              <w:marTop w:val="0"/>
              <w:marBottom w:val="0"/>
              <w:divBdr>
                <w:top w:val="none" w:sz="0" w:space="0" w:color="auto"/>
                <w:left w:val="none" w:sz="0" w:space="0" w:color="auto"/>
                <w:bottom w:val="none" w:sz="0" w:space="0" w:color="auto"/>
                <w:right w:val="none" w:sz="0" w:space="0" w:color="auto"/>
              </w:divBdr>
            </w:div>
            <w:div w:id="289407345">
              <w:marLeft w:val="0"/>
              <w:marRight w:val="0"/>
              <w:marTop w:val="0"/>
              <w:marBottom w:val="0"/>
              <w:divBdr>
                <w:top w:val="none" w:sz="0" w:space="0" w:color="auto"/>
                <w:left w:val="none" w:sz="0" w:space="0" w:color="auto"/>
                <w:bottom w:val="none" w:sz="0" w:space="0" w:color="auto"/>
                <w:right w:val="none" w:sz="0" w:space="0" w:color="auto"/>
              </w:divBdr>
            </w:div>
          </w:divsChild>
        </w:div>
        <w:div w:id="465468832">
          <w:marLeft w:val="0"/>
          <w:marRight w:val="0"/>
          <w:marTop w:val="0"/>
          <w:marBottom w:val="0"/>
          <w:divBdr>
            <w:top w:val="none" w:sz="0" w:space="0" w:color="auto"/>
            <w:left w:val="none" w:sz="0" w:space="0" w:color="auto"/>
            <w:bottom w:val="none" w:sz="0" w:space="0" w:color="auto"/>
            <w:right w:val="none" w:sz="0" w:space="0" w:color="auto"/>
          </w:divBdr>
          <w:divsChild>
            <w:div w:id="1009914691">
              <w:marLeft w:val="0"/>
              <w:marRight w:val="0"/>
              <w:marTop w:val="0"/>
              <w:marBottom w:val="0"/>
              <w:divBdr>
                <w:top w:val="none" w:sz="0" w:space="0" w:color="auto"/>
                <w:left w:val="none" w:sz="0" w:space="0" w:color="auto"/>
                <w:bottom w:val="none" w:sz="0" w:space="0" w:color="auto"/>
                <w:right w:val="none" w:sz="0" w:space="0" w:color="auto"/>
              </w:divBdr>
            </w:div>
            <w:div w:id="212749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673353">
      <w:bodyDiv w:val="1"/>
      <w:marLeft w:val="0"/>
      <w:marRight w:val="0"/>
      <w:marTop w:val="0"/>
      <w:marBottom w:val="0"/>
      <w:divBdr>
        <w:top w:val="none" w:sz="0" w:space="0" w:color="auto"/>
        <w:left w:val="none" w:sz="0" w:space="0" w:color="auto"/>
        <w:bottom w:val="none" w:sz="0" w:space="0" w:color="auto"/>
        <w:right w:val="none" w:sz="0" w:space="0" w:color="auto"/>
      </w:divBdr>
    </w:div>
    <w:div w:id="872376915">
      <w:bodyDiv w:val="1"/>
      <w:marLeft w:val="0"/>
      <w:marRight w:val="0"/>
      <w:marTop w:val="0"/>
      <w:marBottom w:val="0"/>
      <w:divBdr>
        <w:top w:val="none" w:sz="0" w:space="0" w:color="auto"/>
        <w:left w:val="none" w:sz="0" w:space="0" w:color="auto"/>
        <w:bottom w:val="none" w:sz="0" w:space="0" w:color="auto"/>
        <w:right w:val="none" w:sz="0" w:space="0" w:color="auto"/>
      </w:divBdr>
    </w:div>
    <w:div w:id="873924442">
      <w:bodyDiv w:val="1"/>
      <w:marLeft w:val="0"/>
      <w:marRight w:val="0"/>
      <w:marTop w:val="0"/>
      <w:marBottom w:val="0"/>
      <w:divBdr>
        <w:top w:val="none" w:sz="0" w:space="0" w:color="auto"/>
        <w:left w:val="none" w:sz="0" w:space="0" w:color="auto"/>
        <w:bottom w:val="none" w:sz="0" w:space="0" w:color="auto"/>
        <w:right w:val="none" w:sz="0" w:space="0" w:color="auto"/>
      </w:divBdr>
    </w:div>
    <w:div w:id="922376037">
      <w:bodyDiv w:val="1"/>
      <w:marLeft w:val="0"/>
      <w:marRight w:val="0"/>
      <w:marTop w:val="0"/>
      <w:marBottom w:val="0"/>
      <w:divBdr>
        <w:top w:val="none" w:sz="0" w:space="0" w:color="auto"/>
        <w:left w:val="none" w:sz="0" w:space="0" w:color="auto"/>
        <w:bottom w:val="none" w:sz="0" w:space="0" w:color="auto"/>
        <w:right w:val="none" w:sz="0" w:space="0" w:color="auto"/>
      </w:divBdr>
      <w:divsChild>
        <w:div w:id="1271354907">
          <w:marLeft w:val="0"/>
          <w:marRight w:val="0"/>
          <w:marTop w:val="0"/>
          <w:marBottom w:val="0"/>
          <w:divBdr>
            <w:top w:val="none" w:sz="0" w:space="0" w:color="auto"/>
            <w:left w:val="none" w:sz="0" w:space="0" w:color="auto"/>
            <w:bottom w:val="none" w:sz="0" w:space="0" w:color="auto"/>
            <w:right w:val="none" w:sz="0" w:space="0" w:color="auto"/>
          </w:divBdr>
        </w:div>
        <w:div w:id="2112043087">
          <w:marLeft w:val="0"/>
          <w:marRight w:val="0"/>
          <w:marTop w:val="0"/>
          <w:marBottom w:val="0"/>
          <w:divBdr>
            <w:top w:val="none" w:sz="0" w:space="0" w:color="auto"/>
            <w:left w:val="none" w:sz="0" w:space="0" w:color="auto"/>
            <w:bottom w:val="none" w:sz="0" w:space="0" w:color="auto"/>
            <w:right w:val="none" w:sz="0" w:space="0" w:color="auto"/>
          </w:divBdr>
        </w:div>
      </w:divsChild>
    </w:div>
    <w:div w:id="1037390309">
      <w:bodyDiv w:val="1"/>
      <w:marLeft w:val="0"/>
      <w:marRight w:val="0"/>
      <w:marTop w:val="0"/>
      <w:marBottom w:val="0"/>
      <w:divBdr>
        <w:top w:val="none" w:sz="0" w:space="0" w:color="auto"/>
        <w:left w:val="none" w:sz="0" w:space="0" w:color="auto"/>
        <w:bottom w:val="none" w:sz="0" w:space="0" w:color="auto"/>
        <w:right w:val="none" w:sz="0" w:space="0" w:color="auto"/>
      </w:divBdr>
    </w:div>
    <w:div w:id="1134719044">
      <w:bodyDiv w:val="1"/>
      <w:marLeft w:val="0"/>
      <w:marRight w:val="0"/>
      <w:marTop w:val="0"/>
      <w:marBottom w:val="0"/>
      <w:divBdr>
        <w:top w:val="none" w:sz="0" w:space="0" w:color="auto"/>
        <w:left w:val="none" w:sz="0" w:space="0" w:color="auto"/>
        <w:bottom w:val="none" w:sz="0" w:space="0" w:color="auto"/>
        <w:right w:val="none" w:sz="0" w:space="0" w:color="auto"/>
      </w:divBdr>
    </w:div>
    <w:div w:id="1187331078">
      <w:bodyDiv w:val="1"/>
      <w:marLeft w:val="0"/>
      <w:marRight w:val="0"/>
      <w:marTop w:val="0"/>
      <w:marBottom w:val="0"/>
      <w:divBdr>
        <w:top w:val="none" w:sz="0" w:space="0" w:color="auto"/>
        <w:left w:val="none" w:sz="0" w:space="0" w:color="auto"/>
        <w:bottom w:val="none" w:sz="0" w:space="0" w:color="auto"/>
        <w:right w:val="none" w:sz="0" w:space="0" w:color="auto"/>
      </w:divBdr>
      <w:divsChild>
        <w:div w:id="1738088637">
          <w:marLeft w:val="0"/>
          <w:marRight w:val="0"/>
          <w:marTop w:val="0"/>
          <w:marBottom w:val="0"/>
          <w:divBdr>
            <w:top w:val="none" w:sz="0" w:space="0" w:color="auto"/>
            <w:left w:val="none" w:sz="0" w:space="0" w:color="auto"/>
            <w:bottom w:val="none" w:sz="0" w:space="0" w:color="auto"/>
            <w:right w:val="none" w:sz="0" w:space="0" w:color="auto"/>
          </w:divBdr>
        </w:div>
        <w:div w:id="72817708">
          <w:marLeft w:val="0"/>
          <w:marRight w:val="0"/>
          <w:marTop w:val="0"/>
          <w:marBottom w:val="0"/>
          <w:divBdr>
            <w:top w:val="none" w:sz="0" w:space="0" w:color="auto"/>
            <w:left w:val="none" w:sz="0" w:space="0" w:color="auto"/>
            <w:bottom w:val="none" w:sz="0" w:space="0" w:color="auto"/>
            <w:right w:val="none" w:sz="0" w:space="0" w:color="auto"/>
          </w:divBdr>
        </w:div>
      </w:divsChild>
    </w:div>
    <w:div w:id="1257246815">
      <w:bodyDiv w:val="1"/>
      <w:marLeft w:val="0"/>
      <w:marRight w:val="0"/>
      <w:marTop w:val="0"/>
      <w:marBottom w:val="0"/>
      <w:divBdr>
        <w:top w:val="none" w:sz="0" w:space="0" w:color="auto"/>
        <w:left w:val="none" w:sz="0" w:space="0" w:color="auto"/>
        <w:bottom w:val="none" w:sz="0" w:space="0" w:color="auto"/>
        <w:right w:val="none" w:sz="0" w:space="0" w:color="auto"/>
      </w:divBdr>
    </w:div>
    <w:div w:id="1345477429">
      <w:bodyDiv w:val="1"/>
      <w:marLeft w:val="0"/>
      <w:marRight w:val="0"/>
      <w:marTop w:val="0"/>
      <w:marBottom w:val="0"/>
      <w:divBdr>
        <w:top w:val="none" w:sz="0" w:space="0" w:color="auto"/>
        <w:left w:val="none" w:sz="0" w:space="0" w:color="auto"/>
        <w:bottom w:val="none" w:sz="0" w:space="0" w:color="auto"/>
        <w:right w:val="none" w:sz="0" w:space="0" w:color="auto"/>
      </w:divBdr>
    </w:div>
    <w:div w:id="1401908837">
      <w:bodyDiv w:val="1"/>
      <w:marLeft w:val="0"/>
      <w:marRight w:val="0"/>
      <w:marTop w:val="0"/>
      <w:marBottom w:val="0"/>
      <w:divBdr>
        <w:top w:val="none" w:sz="0" w:space="0" w:color="auto"/>
        <w:left w:val="none" w:sz="0" w:space="0" w:color="auto"/>
        <w:bottom w:val="none" w:sz="0" w:space="0" w:color="auto"/>
        <w:right w:val="none" w:sz="0" w:space="0" w:color="auto"/>
      </w:divBdr>
      <w:divsChild>
        <w:div w:id="990643184">
          <w:marLeft w:val="0"/>
          <w:marRight w:val="0"/>
          <w:marTop w:val="0"/>
          <w:marBottom w:val="0"/>
          <w:divBdr>
            <w:top w:val="none" w:sz="0" w:space="0" w:color="auto"/>
            <w:left w:val="none" w:sz="0" w:space="0" w:color="auto"/>
            <w:bottom w:val="none" w:sz="0" w:space="0" w:color="auto"/>
            <w:right w:val="none" w:sz="0" w:space="0" w:color="auto"/>
          </w:divBdr>
          <w:divsChild>
            <w:div w:id="1055856433">
              <w:marLeft w:val="0"/>
              <w:marRight w:val="0"/>
              <w:marTop w:val="0"/>
              <w:marBottom w:val="0"/>
              <w:divBdr>
                <w:top w:val="none" w:sz="0" w:space="0" w:color="auto"/>
                <w:left w:val="none" w:sz="0" w:space="0" w:color="auto"/>
                <w:bottom w:val="none" w:sz="0" w:space="0" w:color="auto"/>
                <w:right w:val="none" w:sz="0" w:space="0" w:color="auto"/>
              </w:divBdr>
            </w:div>
            <w:div w:id="1323314664">
              <w:marLeft w:val="0"/>
              <w:marRight w:val="0"/>
              <w:marTop w:val="0"/>
              <w:marBottom w:val="0"/>
              <w:divBdr>
                <w:top w:val="none" w:sz="0" w:space="0" w:color="auto"/>
                <w:left w:val="none" w:sz="0" w:space="0" w:color="auto"/>
                <w:bottom w:val="none" w:sz="0" w:space="0" w:color="auto"/>
                <w:right w:val="none" w:sz="0" w:space="0" w:color="auto"/>
              </w:divBdr>
            </w:div>
          </w:divsChild>
        </w:div>
        <w:div w:id="397561743">
          <w:marLeft w:val="0"/>
          <w:marRight w:val="0"/>
          <w:marTop w:val="0"/>
          <w:marBottom w:val="0"/>
          <w:divBdr>
            <w:top w:val="none" w:sz="0" w:space="0" w:color="auto"/>
            <w:left w:val="none" w:sz="0" w:space="0" w:color="auto"/>
            <w:bottom w:val="none" w:sz="0" w:space="0" w:color="auto"/>
            <w:right w:val="none" w:sz="0" w:space="0" w:color="auto"/>
          </w:divBdr>
          <w:divsChild>
            <w:div w:id="288245856">
              <w:marLeft w:val="0"/>
              <w:marRight w:val="0"/>
              <w:marTop w:val="0"/>
              <w:marBottom w:val="0"/>
              <w:divBdr>
                <w:top w:val="none" w:sz="0" w:space="0" w:color="auto"/>
                <w:left w:val="none" w:sz="0" w:space="0" w:color="auto"/>
                <w:bottom w:val="none" w:sz="0" w:space="0" w:color="auto"/>
                <w:right w:val="none" w:sz="0" w:space="0" w:color="auto"/>
              </w:divBdr>
            </w:div>
            <w:div w:id="5723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35522">
      <w:bodyDiv w:val="1"/>
      <w:marLeft w:val="0"/>
      <w:marRight w:val="0"/>
      <w:marTop w:val="0"/>
      <w:marBottom w:val="0"/>
      <w:divBdr>
        <w:top w:val="none" w:sz="0" w:space="0" w:color="auto"/>
        <w:left w:val="none" w:sz="0" w:space="0" w:color="auto"/>
        <w:bottom w:val="none" w:sz="0" w:space="0" w:color="auto"/>
        <w:right w:val="none" w:sz="0" w:space="0" w:color="auto"/>
      </w:divBdr>
    </w:div>
    <w:div w:id="1591042023">
      <w:bodyDiv w:val="1"/>
      <w:marLeft w:val="0"/>
      <w:marRight w:val="0"/>
      <w:marTop w:val="0"/>
      <w:marBottom w:val="0"/>
      <w:divBdr>
        <w:top w:val="none" w:sz="0" w:space="0" w:color="auto"/>
        <w:left w:val="none" w:sz="0" w:space="0" w:color="auto"/>
        <w:bottom w:val="none" w:sz="0" w:space="0" w:color="auto"/>
        <w:right w:val="none" w:sz="0" w:space="0" w:color="auto"/>
      </w:divBdr>
    </w:div>
    <w:div w:id="1592884748">
      <w:bodyDiv w:val="1"/>
      <w:marLeft w:val="0"/>
      <w:marRight w:val="0"/>
      <w:marTop w:val="0"/>
      <w:marBottom w:val="0"/>
      <w:divBdr>
        <w:top w:val="none" w:sz="0" w:space="0" w:color="auto"/>
        <w:left w:val="none" w:sz="0" w:space="0" w:color="auto"/>
        <w:bottom w:val="none" w:sz="0" w:space="0" w:color="auto"/>
        <w:right w:val="none" w:sz="0" w:space="0" w:color="auto"/>
      </w:divBdr>
    </w:div>
    <w:div w:id="1667586087">
      <w:bodyDiv w:val="1"/>
      <w:marLeft w:val="0"/>
      <w:marRight w:val="0"/>
      <w:marTop w:val="0"/>
      <w:marBottom w:val="0"/>
      <w:divBdr>
        <w:top w:val="none" w:sz="0" w:space="0" w:color="auto"/>
        <w:left w:val="none" w:sz="0" w:space="0" w:color="auto"/>
        <w:bottom w:val="none" w:sz="0" w:space="0" w:color="auto"/>
        <w:right w:val="none" w:sz="0" w:space="0" w:color="auto"/>
      </w:divBdr>
    </w:div>
    <w:div w:id="1705132808">
      <w:bodyDiv w:val="1"/>
      <w:marLeft w:val="0"/>
      <w:marRight w:val="0"/>
      <w:marTop w:val="0"/>
      <w:marBottom w:val="0"/>
      <w:divBdr>
        <w:top w:val="none" w:sz="0" w:space="0" w:color="auto"/>
        <w:left w:val="none" w:sz="0" w:space="0" w:color="auto"/>
        <w:bottom w:val="none" w:sz="0" w:space="0" w:color="auto"/>
        <w:right w:val="none" w:sz="0" w:space="0" w:color="auto"/>
      </w:divBdr>
    </w:div>
    <w:div w:id="1847673150">
      <w:bodyDiv w:val="1"/>
      <w:marLeft w:val="0"/>
      <w:marRight w:val="0"/>
      <w:marTop w:val="0"/>
      <w:marBottom w:val="0"/>
      <w:divBdr>
        <w:top w:val="none" w:sz="0" w:space="0" w:color="auto"/>
        <w:left w:val="none" w:sz="0" w:space="0" w:color="auto"/>
        <w:bottom w:val="none" w:sz="0" w:space="0" w:color="auto"/>
        <w:right w:val="none" w:sz="0" w:space="0" w:color="auto"/>
      </w:divBdr>
    </w:div>
    <w:div w:id="1928685989">
      <w:bodyDiv w:val="1"/>
      <w:marLeft w:val="0"/>
      <w:marRight w:val="0"/>
      <w:marTop w:val="0"/>
      <w:marBottom w:val="0"/>
      <w:divBdr>
        <w:top w:val="none" w:sz="0" w:space="0" w:color="auto"/>
        <w:left w:val="none" w:sz="0" w:space="0" w:color="auto"/>
        <w:bottom w:val="none" w:sz="0" w:space="0" w:color="auto"/>
        <w:right w:val="none" w:sz="0" w:space="0" w:color="auto"/>
      </w:divBdr>
    </w:div>
    <w:div w:id="1944650515">
      <w:bodyDiv w:val="1"/>
      <w:marLeft w:val="0"/>
      <w:marRight w:val="0"/>
      <w:marTop w:val="0"/>
      <w:marBottom w:val="0"/>
      <w:divBdr>
        <w:top w:val="none" w:sz="0" w:space="0" w:color="auto"/>
        <w:left w:val="none" w:sz="0" w:space="0" w:color="auto"/>
        <w:bottom w:val="none" w:sz="0" w:space="0" w:color="auto"/>
        <w:right w:val="none" w:sz="0" w:space="0" w:color="auto"/>
      </w:divBdr>
      <w:divsChild>
        <w:div w:id="1638105000">
          <w:marLeft w:val="0"/>
          <w:marRight w:val="0"/>
          <w:marTop w:val="0"/>
          <w:marBottom w:val="0"/>
          <w:divBdr>
            <w:top w:val="none" w:sz="0" w:space="0" w:color="auto"/>
            <w:left w:val="none" w:sz="0" w:space="0" w:color="auto"/>
            <w:bottom w:val="none" w:sz="0" w:space="0" w:color="auto"/>
            <w:right w:val="none" w:sz="0" w:space="0" w:color="auto"/>
          </w:divBdr>
          <w:divsChild>
            <w:div w:id="709378427">
              <w:marLeft w:val="0"/>
              <w:marRight w:val="0"/>
              <w:marTop w:val="0"/>
              <w:marBottom w:val="0"/>
              <w:divBdr>
                <w:top w:val="none" w:sz="0" w:space="0" w:color="auto"/>
                <w:left w:val="none" w:sz="0" w:space="0" w:color="auto"/>
                <w:bottom w:val="none" w:sz="0" w:space="0" w:color="auto"/>
                <w:right w:val="none" w:sz="0" w:space="0" w:color="auto"/>
              </w:divBdr>
            </w:div>
            <w:div w:id="703989152">
              <w:marLeft w:val="0"/>
              <w:marRight w:val="0"/>
              <w:marTop w:val="0"/>
              <w:marBottom w:val="0"/>
              <w:divBdr>
                <w:top w:val="none" w:sz="0" w:space="0" w:color="auto"/>
                <w:left w:val="none" w:sz="0" w:space="0" w:color="auto"/>
                <w:bottom w:val="none" w:sz="0" w:space="0" w:color="auto"/>
                <w:right w:val="none" w:sz="0" w:space="0" w:color="auto"/>
              </w:divBdr>
            </w:div>
          </w:divsChild>
        </w:div>
        <w:div w:id="411780858">
          <w:marLeft w:val="0"/>
          <w:marRight w:val="0"/>
          <w:marTop w:val="0"/>
          <w:marBottom w:val="0"/>
          <w:divBdr>
            <w:top w:val="none" w:sz="0" w:space="0" w:color="auto"/>
            <w:left w:val="none" w:sz="0" w:space="0" w:color="auto"/>
            <w:bottom w:val="none" w:sz="0" w:space="0" w:color="auto"/>
            <w:right w:val="none" w:sz="0" w:space="0" w:color="auto"/>
          </w:divBdr>
          <w:divsChild>
            <w:div w:id="1855920778">
              <w:marLeft w:val="0"/>
              <w:marRight w:val="0"/>
              <w:marTop w:val="0"/>
              <w:marBottom w:val="0"/>
              <w:divBdr>
                <w:top w:val="none" w:sz="0" w:space="0" w:color="auto"/>
                <w:left w:val="none" w:sz="0" w:space="0" w:color="auto"/>
                <w:bottom w:val="none" w:sz="0" w:space="0" w:color="auto"/>
                <w:right w:val="none" w:sz="0" w:space="0" w:color="auto"/>
              </w:divBdr>
            </w:div>
            <w:div w:id="79614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16678">
      <w:bodyDiv w:val="1"/>
      <w:marLeft w:val="0"/>
      <w:marRight w:val="0"/>
      <w:marTop w:val="0"/>
      <w:marBottom w:val="0"/>
      <w:divBdr>
        <w:top w:val="none" w:sz="0" w:space="0" w:color="auto"/>
        <w:left w:val="none" w:sz="0" w:space="0" w:color="auto"/>
        <w:bottom w:val="none" w:sz="0" w:space="0" w:color="auto"/>
        <w:right w:val="none" w:sz="0" w:space="0" w:color="auto"/>
      </w:divBdr>
    </w:div>
    <w:div w:id="212352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studiaderechoshumanos.com/post/responsabilidad-internacional-de-los-estados"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impunitywatch.org/publications/bulletin-reparations-measures-in-the-maya-achi-womens-case/" TargetMode="External"/><Relationship Id="rId13" Type="http://schemas.openxmlformats.org/officeDocument/2006/relationships/hyperlink" Target="https://www.plazapublica.com.gt/sites/default/files/oxfam_sistematizacion_1.pdf" TargetMode="External"/><Relationship Id="rId18" Type="http://schemas.openxmlformats.org/officeDocument/2006/relationships/hyperlink" Target="https://cmiguate.org/irregularidades-e-impunidad-ambiental-en-hidroelectricas-del-norte-de-huehuetenango/" TargetMode="External"/><Relationship Id="rId26" Type="http://schemas.openxmlformats.org/officeDocument/2006/relationships/hyperlink" Target="https://www.prensalibre.com/ciudades/san-marcos/lider-comunitario-recobra-su-libertad/" TargetMode="External"/><Relationship Id="rId3" Type="http://schemas.openxmlformats.org/officeDocument/2006/relationships/hyperlink" Target="https://share.google/XG6SwStlctUbOWmFW" TargetMode="External"/><Relationship Id="rId21" Type="http://schemas.openxmlformats.org/officeDocument/2006/relationships/hyperlink" Target="https://www.idbinvest.org/en/projects/generadora-san-andres-sa" TargetMode="External"/><Relationship Id="rId7" Type="http://schemas.openxmlformats.org/officeDocument/2006/relationships/hyperlink" Target="https://www.impunitywatch.org/wp-content/uploads/2022/10/Guatemala_Resumen_de_la_sentencia_del_caso_mujeres_Achi_ES-1.pdf" TargetMode="External"/><Relationship Id="rId12" Type="http://schemas.openxmlformats.org/officeDocument/2006/relationships/hyperlink" Target="https://www.plazapublica.com.gt/content/violacion-del-derecho-de-los-pueblos-indigenas-la-consulta" TargetMode="External"/><Relationship Id="rId17" Type="http://schemas.openxmlformats.org/officeDocument/2006/relationships/hyperlink" Target="https://ciarglobal.com/guatemala-condenada-a-indemnizar-con-645musd-a-energetica-panamena/" TargetMode="External"/><Relationship Id="rId25" Type="http://schemas.openxmlformats.org/officeDocument/2006/relationships/hyperlink" Target="https://www.plazapublica.com.gt/content/palajunoj-indignacion-y-rebeldia" TargetMode="External"/><Relationship Id="rId2" Type="http://schemas.openxmlformats.org/officeDocument/2006/relationships/hyperlink" Target="https://agn.gt/presidente-ratifica-su-disposicion-a-trabajar-en-plan-nacional-de-dignificacion-y-reparacion/" TargetMode="External"/><Relationship Id="rId16" Type="http://schemas.openxmlformats.org/officeDocument/2006/relationships/hyperlink" Target="https://www.prensalibre.com/economia/sentencia-del-ciadi-contra-guatemala-marca-record-en-pagos-de-arbitraje-y-plantea-desafios-fiscales/" TargetMode="External"/><Relationship Id="rId20" Type="http://schemas.openxmlformats.org/officeDocument/2006/relationships/hyperlink" Target="https://www.idbinvest.org/en/projects/generadora-san-mateo-sa" TargetMode="External"/><Relationship Id="rId29" Type="http://schemas.openxmlformats.org/officeDocument/2006/relationships/hyperlink" Target="https://nimajpu.org/condenan-a-tres-policias-por-disparo-de-arma-de-fuego-y-homicidio-en-violento-desalojo-en-la-comunidad-qeqchi-de-samococh-en-2014/" TargetMode="External"/><Relationship Id="rId1" Type="http://schemas.openxmlformats.org/officeDocument/2006/relationships/hyperlink" Target="https://www.impunitywatch.org/publications/guatemala-impact-of-national-reparation-program-report-spanish/" TargetMode="External"/><Relationship Id="rId6" Type="http://schemas.openxmlformats.org/officeDocument/2006/relationships/hyperlink" Target="http://biblioteca.oj.gob.gt/digitales/42555.pdf" TargetMode="External"/><Relationship Id="rId11" Type="http://schemas.openxmlformats.org/officeDocument/2006/relationships/hyperlink" Target="https://www.amnesty.org/es/documents/amr34/8854/2018/es/" TargetMode="External"/><Relationship Id="rId24" Type="http://schemas.openxmlformats.org/officeDocument/2006/relationships/hyperlink" Target="https://jurisprudencia.cc.gob.gt/ConsArch/WebForms/Consulta/wfVisExp.aspx?nexp=3107-2018" TargetMode="External"/><Relationship Id="rId5" Type="http://schemas.openxmlformats.org/officeDocument/2006/relationships/hyperlink" Target="https://corteidh.or.cr/docs/casos/articulos/seriec_316_esp.pdf" TargetMode="External"/><Relationship Id="rId15" Type="http://schemas.openxmlformats.org/officeDocument/2006/relationships/hyperlink" Target="https://desinformemonos.org/minera-incumple-promesas-y-presiona-para-operar-en-guatemala/" TargetMode="External"/><Relationship Id="rId23" Type="http://schemas.openxmlformats.org/officeDocument/2006/relationships/hyperlink" Target="https://www.mp.gob.gt/noticia/mp-coordina-aprehension-de-instigador/" TargetMode="External"/><Relationship Id="rId28" Type="http://schemas.openxmlformats.org/officeDocument/2006/relationships/hyperlink" Target="https://elobservadorgt.org/2023/03/16/informe-especial-no-17/" TargetMode="External"/><Relationship Id="rId10" Type="http://schemas.openxmlformats.org/officeDocument/2006/relationships/hyperlink" Target="https://www.plazapublica.com.gt/justicia/informacion/norma-sancir-y-el-precedente-del-derecho-informar" TargetMode="External"/><Relationship Id="rId19" Type="http://schemas.openxmlformats.org/officeDocument/2006/relationships/hyperlink" Target="https://mici.iadb.org/en/cases/MICI-CII-GU-2018-0136" TargetMode="External"/><Relationship Id="rId4" Type="http://schemas.openxmlformats.org/officeDocument/2006/relationships/hyperlink" Target="https://www.refworld.org/es/jur/jur/corteidh/1988/es/131834" TargetMode="External"/><Relationship Id="rId9" Type="http://schemas.openxmlformats.org/officeDocument/2006/relationships/hyperlink" Target="https://infopublica.mineduc.gob.gt/mineduc/images/9/9a/DIPLAN_INCISO15A_2025_VERSION3_ACDO_MINISTERIAL_986-2025_REFORMAS_AL_3425-2023.pdf" TargetMode="External"/><Relationship Id="rId14" Type="http://schemas.openxmlformats.org/officeDocument/2006/relationships/hyperlink" Target="https://prensacomunitaria.org/2024/11/el-parlamento-xinka-denuncia-actos-de-mala-fe-de-la-mina-el-escobal-en-proceso-de-consulta/" TargetMode="External"/><Relationship Id="rId22" Type="http://schemas.openxmlformats.org/officeDocument/2006/relationships/hyperlink" Target="https://udefegua.org.gt/noticia/impacto-de-la-cooptacion-del-sistema-de-justicia-en-la-defensa-de-derechos-humanos-guatemala/" TargetMode="External"/><Relationship Id="rId27" Type="http://schemas.openxmlformats.org/officeDocument/2006/relationships/hyperlink" Target="https://www.plazapublica.com.gt/justicia/informacion/la-historia-del-unico-exfiscal-encarcelado-y-como-su-aprendiz-le-gano-un-juicio"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2025-10-22T13:25:33+00:00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A60F1A8-4447-4668-A0D3-583A0F54CF14}">
  <ds:schemaRefs>
    <ds:schemaRef ds:uri="http://schemas.openxmlformats.org/officeDocument/2006/bibliography"/>
  </ds:schemaRefs>
</ds:datastoreItem>
</file>

<file path=customXml/itemProps2.xml><?xml version="1.0" encoding="utf-8"?>
<ds:datastoreItem xmlns:ds="http://schemas.openxmlformats.org/officeDocument/2006/customXml" ds:itemID="{5E57719F-51C0-4734-87D7-85176BE17331}"/>
</file>

<file path=customXml/itemProps3.xml><?xml version="1.0" encoding="utf-8"?>
<ds:datastoreItem xmlns:ds="http://schemas.openxmlformats.org/officeDocument/2006/customXml" ds:itemID="{5FCAFE3C-E35D-4531-BB96-D98FB17E70B7}"/>
</file>

<file path=customXml/itemProps4.xml><?xml version="1.0" encoding="utf-8"?>
<ds:datastoreItem xmlns:ds="http://schemas.openxmlformats.org/officeDocument/2006/customXml" ds:itemID="{BE7CF37E-1B80-42EA-9BAC-7BAA1BB08258}"/>
</file>

<file path=docProps/app.xml><?xml version="1.0" encoding="utf-8"?>
<Properties xmlns="http://schemas.openxmlformats.org/officeDocument/2006/extended-properties" xmlns:vt="http://schemas.openxmlformats.org/officeDocument/2006/docPropsVTypes">
  <Template>Normal.dotm</Template>
  <TotalTime>46</TotalTime>
  <Pages>18</Pages>
  <Words>5640</Words>
  <Characters>31024</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Lucia Xiloj</dc:creator>
  <cp:lastModifiedBy>Mara Bocaletti</cp:lastModifiedBy>
  <cp:revision>6</cp:revision>
  <dcterms:created xsi:type="dcterms:W3CDTF">2025-10-13T02:39:00Z</dcterms:created>
  <dcterms:modified xsi:type="dcterms:W3CDTF">2025-10-16T15:10:00Z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