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08274" w14:textId="1581828D" w:rsidR="005931B7" w:rsidRDefault="00CF51E0" w:rsidP="009B7A9C">
      <w:pPr>
        <w:pStyle w:val="TitlePageHeading"/>
        <w:tabs>
          <w:tab w:val="left" w:pos="5370"/>
        </w:tabs>
      </w:pPr>
      <w:r>
        <w:t>Tanzania’s Compliance with</w:t>
      </w:r>
      <w:r w:rsidR="00D02DDA">
        <w:t xml:space="preserve"> Conve</w:t>
      </w:r>
      <w:r w:rsidR="000139FF">
        <w:t>ntion on the Rights of the Child</w:t>
      </w:r>
      <w:r>
        <w:t>:</w:t>
      </w:r>
    </w:p>
    <w:p w14:paraId="5CA977ED" w14:textId="77777777" w:rsidR="005931B7" w:rsidRDefault="00CF51E0" w:rsidP="009B7A9C">
      <w:pPr>
        <w:pStyle w:val="TitlePageHeading"/>
        <w:tabs>
          <w:tab w:val="left" w:pos="5370"/>
        </w:tabs>
      </w:pPr>
      <w:r>
        <w:t>The Death Penalty</w:t>
      </w:r>
    </w:p>
    <w:p w14:paraId="363BBBCC" w14:textId="77777777" w:rsidR="002A10D7" w:rsidRDefault="002A10D7" w:rsidP="009B7A9C">
      <w:pPr>
        <w:pStyle w:val="TitlePageHeading"/>
        <w:tabs>
          <w:tab w:val="left" w:pos="5370"/>
        </w:tabs>
      </w:pPr>
    </w:p>
    <w:p w14:paraId="53683F1B" w14:textId="77777777" w:rsidR="005931B7" w:rsidRPr="00550A8F" w:rsidRDefault="00CF51E0" w:rsidP="009B7A9C">
      <w:pPr>
        <w:pStyle w:val="TitlePageHeading"/>
        <w:spacing w:after="120"/>
      </w:pPr>
      <w:r w:rsidRPr="00550A8F">
        <w:t>Submitted by The Advocates for Human Rights</w:t>
      </w:r>
    </w:p>
    <w:p w14:paraId="6149C6D9" w14:textId="247A2122" w:rsidR="005931B7" w:rsidRDefault="00CF51E0" w:rsidP="009B7A9C">
      <w:pPr>
        <w:pStyle w:val="TitlePageSubheading"/>
        <w:spacing w:after="120"/>
      </w:pPr>
      <w:r>
        <w:t>a non-governmental organization in special consultative status with ECOSOC since 1996</w:t>
      </w:r>
      <w:r w:rsidR="006324F8">
        <w:t>,</w:t>
      </w:r>
    </w:p>
    <w:p w14:paraId="40D5C284" w14:textId="77777777" w:rsidR="001C2237" w:rsidRDefault="001C2237" w:rsidP="009B7A9C">
      <w:pPr>
        <w:pStyle w:val="TitlePageSubheading"/>
        <w:spacing w:after="120"/>
        <w:rPr>
          <w:b/>
          <w:bCs/>
        </w:rPr>
      </w:pPr>
      <w:r>
        <w:rPr>
          <w:b/>
          <w:bCs/>
        </w:rPr>
        <w:t>The Legal and Human Rights Centre</w:t>
      </w:r>
    </w:p>
    <w:p w14:paraId="1AFD1DD7" w14:textId="3A5D2CDE" w:rsidR="00AD43B0" w:rsidRDefault="00AD43B0" w:rsidP="009B7A9C">
      <w:pPr>
        <w:pStyle w:val="TitlePageSubheading"/>
        <w:spacing w:after="120"/>
        <w:rPr>
          <w:b/>
          <w:bCs/>
        </w:rPr>
      </w:pPr>
      <w:r w:rsidRPr="00AD43B0">
        <w:rPr>
          <w:b/>
          <w:bCs/>
        </w:rPr>
        <w:t>The East Africa Law Society</w:t>
      </w:r>
    </w:p>
    <w:p w14:paraId="44FD148A" w14:textId="155BCEA5" w:rsidR="00460BA7" w:rsidRPr="00AD43B0" w:rsidRDefault="00460BA7" w:rsidP="009B7A9C">
      <w:pPr>
        <w:pStyle w:val="TitlePageSubheading"/>
        <w:spacing w:after="120"/>
        <w:rPr>
          <w:b/>
          <w:bCs/>
        </w:rPr>
      </w:pPr>
      <w:r>
        <w:rPr>
          <w:b/>
          <w:bCs/>
        </w:rPr>
        <w:t>Reprieve</w:t>
      </w:r>
    </w:p>
    <w:p w14:paraId="5E5E5FE5" w14:textId="30D29DD1" w:rsidR="001C2237" w:rsidRDefault="001C2237" w:rsidP="009B7A9C">
      <w:pPr>
        <w:pStyle w:val="TitlePageSubheading"/>
        <w:spacing w:after="120"/>
      </w:pPr>
      <w:r>
        <w:t>and</w:t>
      </w:r>
    </w:p>
    <w:p w14:paraId="4D25B7D5" w14:textId="77777777" w:rsidR="005931B7" w:rsidRDefault="00CF51E0" w:rsidP="009B7A9C">
      <w:pPr>
        <w:pStyle w:val="TitlePageSubheading"/>
        <w:spacing w:after="120"/>
        <w:rPr>
          <w:b/>
          <w:bCs/>
        </w:rPr>
      </w:pPr>
      <w:r>
        <w:rPr>
          <w:b/>
          <w:bCs/>
        </w:rPr>
        <w:t>The World Coalition Against the Death Penalty</w:t>
      </w:r>
    </w:p>
    <w:p w14:paraId="334EB266" w14:textId="68A65A15" w:rsidR="005931B7" w:rsidRPr="00CA5CC2" w:rsidRDefault="00CF51E0" w:rsidP="009B7A9C">
      <w:pPr>
        <w:pStyle w:val="TitlePageSubheading"/>
        <w:spacing w:after="120"/>
      </w:pPr>
      <w:r w:rsidRPr="00CA5CC2">
        <w:t>for the</w:t>
      </w:r>
      <w:r>
        <w:t xml:space="preserve"> </w:t>
      </w:r>
      <w:r w:rsidR="001C2237">
        <w:t>101st</w:t>
      </w:r>
      <w:r w:rsidRPr="00CA5CC2">
        <w:t xml:space="preserve"> Session of the </w:t>
      </w:r>
      <w:r w:rsidR="001C2237">
        <w:t>Committee on the Rights of the Child</w:t>
      </w:r>
    </w:p>
    <w:p w14:paraId="6D1EB0B8" w14:textId="37B3ABD3" w:rsidR="005931B7" w:rsidRDefault="001C2237" w:rsidP="009B7A9C">
      <w:pPr>
        <w:pStyle w:val="TitlePageSubheading"/>
        <w:spacing w:after="120"/>
      </w:pPr>
      <w:r>
        <w:t>1</w:t>
      </w:r>
      <w:r w:rsidR="00CF51E0">
        <w:t>–</w:t>
      </w:r>
      <w:r>
        <w:t>28 September 2026</w:t>
      </w:r>
    </w:p>
    <w:p w14:paraId="20B7F6F0" w14:textId="5ECB2716" w:rsidR="005931B7" w:rsidRDefault="00CF51E0" w:rsidP="009B7A9C">
      <w:pPr>
        <w:pStyle w:val="TitlePageSubheading"/>
        <w:spacing w:after="120"/>
      </w:pPr>
      <w:r>
        <w:t xml:space="preserve">Submitted </w:t>
      </w:r>
      <w:r w:rsidR="001C2237">
        <w:t>1</w:t>
      </w:r>
      <w:r w:rsidR="001B3C5E">
        <w:t>3</w:t>
      </w:r>
      <w:r w:rsidR="001C2237">
        <w:t xml:space="preserve"> August 2026</w:t>
      </w:r>
    </w:p>
    <w:p w14:paraId="425A39B2" w14:textId="56349B60" w:rsidR="005931B7" w:rsidRDefault="00CF51E0" w:rsidP="009B7A9C">
      <w:pPr>
        <w:widowControl w:val="0"/>
        <w:spacing w:after="120"/>
        <w:jc w:val="both"/>
        <w:rPr>
          <w:color w:val="000000" w:themeColor="text1"/>
        </w:rPr>
      </w:pPr>
      <w:r w:rsidRPr="40B962A2">
        <w:rPr>
          <w:rStyle w:val="BoilerplateTitleChar"/>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w:t>
      </w:r>
      <w:r w:rsidRPr="40B962A2">
        <w:rPr>
          <w:color w:val="000000" w:themeColor="text1"/>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66FCE0D" w14:textId="1A409E38" w:rsidR="00AD43B0" w:rsidRDefault="00AD43B0" w:rsidP="009B7A9C">
      <w:pPr>
        <w:widowControl w:val="0"/>
        <w:spacing w:after="120"/>
        <w:jc w:val="both"/>
      </w:pPr>
      <w:r>
        <w:rPr>
          <w:b/>
          <w:bCs/>
          <w:color w:val="000000" w:themeColor="text1"/>
        </w:rPr>
        <w:t>The Legal and Human Rights Centre</w:t>
      </w:r>
      <w:r>
        <w:t xml:space="preserve"> is a Tanzanian human rights advocacy organization. Established in 1995 as a non-governmental</w:t>
      </w:r>
      <w:r w:rsidRPr="005930B6">
        <w:t xml:space="preserve">, </w:t>
      </w:r>
      <w:r>
        <w:t xml:space="preserve">not-for-profit sharing organization, </w:t>
      </w:r>
      <w:r w:rsidRPr="005930B6">
        <w:t>its</w:t>
      </w:r>
      <w:r>
        <w:t xml:space="preserve"> purpose is to raise</w:t>
      </w:r>
      <w:r w:rsidRPr="008279ED">
        <w:t xml:space="preserve"> legal and human rights awareness among the public </w:t>
      </w:r>
      <w:r>
        <w:t>in</w:t>
      </w:r>
      <w:r w:rsidRPr="005930B6">
        <w:t xml:space="preserve"> Tanzania</w:t>
      </w:r>
      <w:r>
        <w:t xml:space="preserve">, </w:t>
      </w:r>
      <w:r w:rsidRPr="008279ED">
        <w:t>and in particular</w:t>
      </w:r>
      <w:r w:rsidRPr="005930B6">
        <w:t xml:space="preserve"> among </w:t>
      </w:r>
      <w:r w:rsidRPr="008279ED">
        <w:t>the underprivileged</w:t>
      </w:r>
      <w:r w:rsidRPr="005930B6">
        <w:t xml:space="preserve">, </w:t>
      </w:r>
      <w:r w:rsidRPr="008279ED">
        <w:t>through legal and civic education, advocacy linked with legal aid provision, research and human rights monitoring</w:t>
      </w:r>
      <w:r>
        <w:t>.</w:t>
      </w:r>
    </w:p>
    <w:p w14:paraId="55D6BCA7" w14:textId="70BB22D8" w:rsidR="00AD43B0" w:rsidRDefault="00AD43B0" w:rsidP="009B7A9C">
      <w:pPr>
        <w:widowControl w:val="0"/>
        <w:spacing w:after="120"/>
        <w:jc w:val="both"/>
      </w:pPr>
      <w:r>
        <w:t xml:space="preserve">The </w:t>
      </w:r>
      <w:r>
        <w:rPr>
          <w:b/>
          <w:bCs/>
        </w:rPr>
        <w:t>East Africa Law Society</w:t>
      </w:r>
      <w:r>
        <w:t xml:space="preserve"> </w:t>
      </w:r>
      <w:r w:rsidR="00C50951">
        <w:t>(EALS) is an Apex Regional Bar Association established in 1995, representing over 45,000 lawyers across East Africa through eight National Bar Associations</w:t>
      </w:r>
      <w:r w:rsidR="00E07DD3">
        <w:t>, including the Tanganyika Law Society and the Zanzibar Law Society, among others. EALS promotes the Rule of Law, Good Governance, Human Rights, and the legal profession through capacity building, legal research, advocacy, strategic litigation, and regional policy engagement. As part of its human rights and justice mandate, EALS advances the progressive abolition of the death penalty and promotes the protection of the right to life and human dignity.</w:t>
      </w:r>
    </w:p>
    <w:p w14:paraId="2BD6CE57" w14:textId="2601E1CD" w:rsidR="00F5136F" w:rsidRPr="00F5136F" w:rsidRDefault="00F5136F" w:rsidP="009B7A9C">
      <w:pPr>
        <w:widowControl w:val="0"/>
        <w:spacing w:after="120"/>
        <w:jc w:val="both"/>
        <w:rPr>
          <w:color w:val="000000" w:themeColor="text1"/>
        </w:rPr>
      </w:pPr>
      <w:r>
        <w:rPr>
          <w:b/>
          <w:bCs/>
        </w:rPr>
        <w:t>Reprieve</w:t>
      </w:r>
      <w:r>
        <w:t xml:space="preserve"> </w:t>
      </w:r>
      <w:r w:rsidR="008916F1" w:rsidRPr="008F0B4D">
        <w:rPr>
          <w:lang w:val="en-GB"/>
        </w:rPr>
        <w:t>is an international legal action charity that was founded in 1999 (UK charity registration no. 1114900). Reprieve provides support to some of the world</w:t>
      </w:r>
      <w:r w:rsidR="008916F1">
        <w:rPr>
          <w:lang w:val="en-GB"/>
        </w:rPr>
        <w:t>’</w:t>
      </w:r>
      <w:r w:rsidR="008916F1" w:rsidRPr="008F0B4D">
        <w:rPr>
          <w:lang w:val="en-GB"/>
        </w:rPr>
        <w:t>s most vulnerable people, including people sentenced to death and those victimised by states' abusive counter-terrorism policies. Based in London, but with offices and partners throughout the world, Reprieve is currently working on behalf of hundreds of individuals who are facing, or who were previously sentenced to, the death penalty in 16 countries</w:t>
      </w:r>
      <w:r w:rsidR="007B4BE4">
        <w:rPr>
          <w:lang w:val="en-GB"/>
        </w:rPr>
        <w:t>, including Tanzania</w:t>
      </w:r>
      <w:r w:rsidR="008916F1" w:rsidRPr="008F0B4D">
        <w:rPr>
          <w:lang w:val="en-GB"/>
        </w:rPr>
        <w:t>. Reprieve</w:t>
      </w:r>
      <w:r w:rsidR="008916F1">
        <w:rPr>
          <w:lang w:val="en-GB"/>
        </w:rPr>
        <w:t>’</w:t>
      </w:r>
      <w:r w:rsidR="008916F1" w:rsidRPr="008F0B4D">
        <w:rPr>
          <w:lang w:val="en-GB"/>
        </w:rPr>
        <w:t xml:space="preserve">s vision is a world free of execution, torture </w:t>
      </w:r>
      <w:r w:rsidR="008916F1" w:rsidRPr="008F0B4D">
        <w:rPr>
          <w:lang w:val="en-GB"/>
        </w:rPr>
        <w:lastRenderedPageBreak/>
        <w:t>and detention without due process.</w:t>
      </w:r>
    </w:p>
    <w:p w14:paraId="1A642C98" w14:textId="77777777" w:rsidR="005931B7" w:rsidRPr="008C510C" w:rsidRDefault="00CF51E0" w:rsidP="009B7A9C">
      <w:pPr>
        <w:widowControl w:val="0"/>
        <w:spacing w:after="120"/>
        <w:jc w:val="both"/>
        <w:rPr>
          <w:rFonts w:eastAsia="TimesNewRomanPSMT"/>
        </w:rPr>
      </w:pPr>
      <w:r w:rsidRPr="00845DA2">
        <w:rPr>
          <w:b/>
          <w:bCs/>
        </w:rPr>
        <w:t xml:space="preserve">The World Coalition Against the Death Penalty </w:t>
      </w:r>
      <w:r w:rsidRPr="00845DA2">
        <w:rPr>
          <w:rFonts w:eastAsia="TimesNewRomanPSMT"/>
        </w:rPr>
        <w:t xml:space="preserve">is a </w:t>
      </w:r>
      <w:r>
        <w:rPr>
          <w:rFonts w:eastAsia="TimesNewRomanPSMT"/>
        </w:rPr>
        <w:t>membership</w:t>
      </w:r>
      <w:r w:rsidRPr="00845DA2">
        <w:rPr>
          <w:rFonts w:eastAsia="TimesNewRomanPSMT"/>
        </w:rPr>
        <w:t xml:space="preserve">-based </w:t>
      </w:r>
      <w:r>
        <w:rPr>
          <w:rFonts w:eastAsia="TimesNewRomanPSMT"/>
        </w:rPr>
        <w:t xml:space="preserve">global network </w:t>
      </w:r>
      <w:r w:rsidRPr="00845DA2">
        <w:rPr>
          <w:rFonts w:eastAsia="TimesNewRomanPSMT"/>
        </w:rPr>
        <w:t>committed to strengthen</w:t>
      </w:r>
      <w:r>
        <w:rPr>
          <w:rFonts w:eastAsia="TimesNewRomanPSMT"/>
        </w:rPr>
        <w:t>ing</w:t>
      </w:r>
      <w:r w:rsidRPr="00845DA2">
        <w:rPr>
          <w:rFonts w:eastAsia="TimesNewRomanPSMT"/>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00F8F46" w14:textId="40C1E412" w:rsidR="005931B7" w:rsidRDefault="00FE45CA" w:rsidP="009B7A9C">
      <w:pPr>
        <w:pStyle w:val="AuthorDescriptiontext"/>
        <w:spacing w:after="120"/>
        <w:rPr>
          <w:b/>
          <w:caps/>
        </w:rPr>
      </w:pPr>
      <w:r>
        <w:br w:type="page"/>
      </w:r>
    </w:p>
    <w:p w14:paraId="3FF831EB" w14:textId="77777777" w:rsidR="005931B7" w:rsidRPr="004B1E4E" w:rsidRDefault="00CF51E0" w:rsidP="009B7A9C">
      <w:pPr>
        <w:pStyle w:val="ExecutiveSummary"/>
        <w:spacing w:after="120"/>
      </w:pPr>
      <w:r>
        <w:lastRenderedPageBreak/>
        <w:t>Executive Summary</w:t>
      </w:r>
    </w:p>
    <w:p w14:paraId="5309C50C" w14:textId="7E4D4D1D" w:rsidR="00CA27CC" w:rsidRDefault="00CF51E0" w:rsidP="009B7A9C">
      <w:pPr>
        <w:pStyle w:val="Paragraph"/>
        <w:numPr>
          <w:ilvl w:val="0"/>
          <w:numId w:val="2"/>
        </w:numPr>
      </w:pPr>
      <w:r>
        <w:t xml:space="preserve">Tanzania is violating its obligations under the Convention on the Rights of the </w:t>
      </w:r>
      <w:r w:rsidR="00762A3C">
        <w:t>Child by exposing children</w:t>
      </w:r>
      <w:r w:rsidR="0001362B">
        <w:t xml:space="preserve"> to the death penalty</w:t>
      </w:r>
      <w:r w:rsidR="00B52CCD">
        <w:t>, d</w:t>
      </w:r>
      <w:r w:rsidR="00F375D3">
        <w:t>espite the Penal Code</w:t>
      </w:r>
      <w:r w:rsidR="0041675B">
        <w:t>’</w:t>
      </w:r>
      <w:r w:rsidR="00F375D3">
        <w:t>s prohibitions</w:t>
      </w:r>
      <w:r w:rsidR="008C772F">
        <w:t xml:space="preserve">. </w:t>
      </w:r>
      <w:r w:rsidR="00BE051E">
        <w:t xml:space="preserve">This gap between law and practice arises because </w:t>
      </w:r>
      <w:r w:rsidR="009565DA">
        <w:t xml:space="preserve">the system lacks </w:t>
      </w:r>
      <w:r w:rsidR="00E660C6">
        <w:t>structure</w:t>
      </w:r>
      <w:r w:rsidR="009565DA">
        <w:t>s</w:t>
      </w:r>
      <w:r w:rsidR="00E660C6">
        <w:t xml:space="preserve"> and oversight </w:t>
      </w:r>
      <w:r w:rsidR="009565DA">
        <w:t>to ensure compliance with the law.</w:t>
      </w:r>
      <w:r w:rsidR="004E1DEE">
        <w:t xml:space="preserve"> </w:t>
      </w:r>
    </w:p>
    <w:p w14:paraId="02D6724B" w14:textId="763DB8B8" w:rsidR="003874FF" w:rsidRDefault="00E71012" w:rsidP="009B7A9C">
      <w:pPr>
        <w:pStyle w:val="Paragraph"/>
        <w:numPr>
          <w:ilvl w:val="0"/>
          <w:numId w:val="2"/>
        </w:numPr>
      </w:pPr>
      <w:r>
        <w:t xml:space="preserve">This report discusses </w:t>
      </w:r>
      <w:r w:rsidR="00EA2D70">
        <w:t>the data</w:t>
      </w:r>
      <w:r>
        <w:t xml:space="preserve"> and </w:t>
      </w:r>
      <w:r w:rsidR="00EA2D70">
        <w:t>personal stories</w:t>
      </w:r>
      <w:r>
        <w:t xml:space="preserve"> that demonstrate </w:t>
      </w:r>
      <w:r w:rsidR="001C4DBB">
        <w:t>the reality of the death penalty in Tanzania</w:t>
      </w:r>
      <w:r w:rsidR="00A04F30">
        <w:t xml:space="preserve">. </w:t>
      </w:r>
      <w:r w:rsidR="00B574ED">
        <w:t xml:space="preserve">The report further analyzes </w:t>
      </w:r>
      <w:r w:rsidR="00CD66CF" w:rsidRPr="00CD66CF">
        <w:t xml:space="preserve">the </w:t>
      </w:r>
      <w:r w:rsidR="00CD66CF">
        <w:t xml:space="preserve">impact of the death penalty on </w:t>
      </w:r>
      <w:r w:rsidR="00B76A16">
        <w:t>children of parents sentenced to death</w:t>
      </w:r>
      <w:r w:rsidR="00CD66CF">
        <w:t>, along with an overview of the human rights concerns that stem from such sentencing</w:t>
      </w:r>
      <w:r w:rsidR="00CD66CF" w:rsidRPr="00CD66CF">
        <w:t xml:space="preserve">. </w:t>
      </w:r>
      <w:r w:rsidR="00FC4B25">
        <w:t>This report incorporates research and case studies compiled by the Legal and Human Rights Centre</w:t>
      </w:r>
      <w:r w:rsidR="0046230C">
        <w:t xml:space="preserve"> (LHRC) based on its own work.</w:t>
      </w:r>
    </w:p>
    <w:p w14:paraId="77EB66C8" w14:textId="7C55DAE2" w:rsidR="00E07508" w:rsidRDefault="00CF51E0" w:rsidP="009B7A9C">
      <w:pPr>
        <w:pStyle w:val="SectionSummary"/>
        <w:spacing w:after="120"/>
        <w:ind w:left="360"/>
      </w:pPr>
      <w:r w:rsidRPr="00F658EE">
        <w:t>Tanzania fails to uphold its obligations under the Convention on the Rights of the Child</w:t>
      </w:r>
    </w:p>
    <w:p w14:paraId="58711076" w14:textId="2B174031" w:rsidR="00342F3C" w:rsidRDefault="00CF51E0" w:rsidP="009B7A9C">
      <w:pPr>
        <w:pStyle w:val="Paragraph"/>
        <w:numPr>
          <w:ilvl w:val="0"/>
          <w:numId w:val="2"/>
        </w:numPr>
      </w:pPr>
      <w:r>
        <w:t>Tanzania maintains the death penalty for two criminal offenses</w:t>
      </w:r>
      <w:r w:rsidR="003665C5">
        <w:t xml:space="preserve">: </w:t>
      </w:r>
      <w:r>
        <w:t>murder and treason.</w:t>
      </w:r>
      <w:r>
        <w:rPr>
          <w:rStyle w:val="FootnoteReference"/>
        </w:rPr>
        <w:footnoteReference w:id="1"/>
      </w:r>
      <w:r>
        <w:t xml:space="preserve"> The </w:t>
      </w:r>
      <w:r w:rsidR="00A54937">
        <w:t xml:space="preserve">Penal Code mandates the </w:t>
      </w:r>
      <w:r>
        <w:t xml:space="preserve">death penalty </w:t>
      </w:r>
      <w:r w:rsidR="00A54937">
        <w:t xml:space="preserve">for </w:t>
      </w:r>
      <w:r>
        <w:t>murder.</w:t>
      </w:r>
      <w:r>
        <w:rPr>
          <w:rStyle w:val="FootnoteReference"/>
        </w:rPr>
        <w:footnoteReference w:id="2"/>
      </w:r>
      <w:r>
        <w:t xml:space="preserve"> </w:t>
      </w:r>
    </w:p>
    <w:p w14:paraId="563BB27A" w14:textId="0CB76353" w:rsidR="00342F3C" w:rsidRDefault="00A54937" w:rsidP="00B04CD5">
      <w:pPr>
        <w:pStyle w:val="Paragraph"/>
        <w:numPr>
          <w:ilvl w:val="0"/>
          <w:numId w:val="2"/>
        </w:numPr>
      </w:pPr>
      <w:r>
        <w:t xml:space="preserve">The Penal Code </w:t>
      </w:r>
      <w:r w:rsidR="00CF51E0">
        <w:t xml:space="preserve">prohibits the death penalty for all people under </w:t>
      </w:r>
      <w:r w:rsidR="003B0DDE">
        <w:t xml:space="preserve">18 years of age </w:t>
      </w:r>
      <w:r w:rsidR="00CF51E0">
        <w:t>at the time of the offense</w:t>
      </w:r>
      <w:r w:rsidR="00F22E29">
        <w:t>,</w:t>
      </w:r>
      <w:r w:rsidR="00CF51E0">
        <w:rPr>
          <w:rStyle w:val="FootnoteReference"/>
        </w:rPr>
        <w:footnoteReference w:id="3"/>
      </w:r>
      <w:r w:rsidR="00CF51E0">
        <w:t xml:space="preserve"> </w:t>
      </w:r>
      <w:r w:rsidR="00F22E29">
        <w:t xml:space="preserve">but </w:t>
      </w:r>
      <w:r w:rsidR="00525761">
        <w:t>does not establish an age</w:t>
      </w:r>
      <w:r w:rsidR="00F22E29">
        <w:t>-</w:t>
      </w:r>
      <w:r w:rsidR="00525761">
        <w:t xml:space="preserve">determination procedure. </w:t>
      </w:r>
      <w:r w:rsidR="00CF51E0">
        <w:t xml:space="preserve">The 2009 Law of the Child Act and </w:t>
      </w:r>
      <w:r w:rsidR="00570E00">
        <w:t xml:space="preserve">the </w:t>
      </w:r>
      <w:r w:rsidR="00CF51E0">
        <w:t xml:space="preserve">2016 Law of the Child (Juvenile Court Procedure) Rules </w:t>
      </w:r>
      <w:r w:rsidR="00525761">
        <w:t xml:space="preserve">therefore </w:t>
      </w:r>
      <w:r w:rsidR="00CF51E0">
        <w:t xml:space="preserve">govern </w:t>
      </w:r>
      <w:r w:rsidR="00BC74AD">
        <w:t xml:space="preserve">age </w:t>
      </w:r>
      <w:r w:rsidR="00CF51E0">
        <w:t>determination.</w:t>
      </w:r>
      <w:r w:rsidR="00CF51E0">
        <w:rPr>
          <w:rStyle w:val="FootnoteReference"/>
        </w:rPr>
        <w:footnoteReference w:id="4"/>
      </w:r>
      <w:r w:rsidR="00CF51E0">
        <w:t xml:space="preserve"> </w:t>
      </w:r>
      <w:r w:rsidR="00EB5BC2">
        <w:t>C</w:t>
      </w:r>
      <w:r w:rsidR="00CF51E0">
        <w:t xml:space="preserve">ourts must inquire into the age of a child under accusation, </w:t>
      </w:r>
      <w:r w:rsidR="00BC74AD">
        <w:t xml:space="preserve">and </w:t>
      </w:r>
      <w:r w:rsidR="009D06C9">
        <w:t xml:space="preserve">they </w:t>
      </w:r>
      <w:r w:rsidR="00BC74AD">
        <w:t xml:space="preserve">must rely on </w:t>
      </w:r>
      <w:r w:rsidR="00CF51E0">
        <w:t>a substantial list of legal documents to determine ag</w:t>
      </w:r>
      <w:r w:rsidR="00BC74AD">
        <w:t xml:space="preserve">e. In </w:t>
      </w:r>
      <w:r w:rsidR="00CF51E0">
        <w:t>practice</w:t>
      </w:r>
      <w:r w:rsidR="00BC74AD">
        <w:t>, however,</w:t>
      </w:r>
      <w:r w:rsidR="00CF51E0">
        <w:t xml:space="preserve"> courts </w:t>
      </w:r>
      <w:r w:rsidR="00EB5BC2">
        <w:t xml:space="preserve">rarely </w:t>
      </w:r>
      <w:r w:rsidR="00CF51E0">
        <w:t>initiate an inquiry on their own.</w:t>
      </w:r>
      <w:r w:rsidR="00CF51E0">
        <w:rPr>
          <w:rStyle w:val="FootnoteReference"/>
        </w:rPr>
        <w:footnoteReference w:id="5"/>
      </w:r>
      <w:r w:rsidR="00CF51E0">
        <w:t xml:space="preserve"> </w:t>
      </w:r>
      <w:r w:rsidR="003B0DDE">
        <w:t>Hence people who were likely under the age of 18 at the time of the offense</w:t>
      </w:r>
      <w:r w:rsidR="002459DC">
        <w:t xml:space="preserve"> can be sentenced to death</w:t>
      </w:r>
      <w:r w:rsidR="00CF51E0">
        <w:t>.</w:t>
      </w:r>
      <w:r w:rsidR="00CF51E0">
        <w:rPr>
          <w:rStyle w:val="FootnoteReference"/>
        </w:rPr>
        <w:footnoteReference w:id="6"/>
      </w:r>
    </w:p>
    <w:p w14:paraId="2CA270F1" w14:textId="497F6E29" w:rsidR="00342F3C" w:rsidRDefault="00CF51E0" w:rsidP="00B04CD5">
      <w:pPr>
        <w:pStyle w:val="ListParagraph"/>
        <w:numPr>
          <w:ilvl w:val="0"/>
          <w:numId w:val="2"/>
        </w:numPr>
        <w:spacing w:after="120"/>
        <w:contextualSpacing w:val="0"/>
        <w:jc w:val="both"/>
      </w:pPr>
      <w:r w:rsidRPr="00153674">
        <w:t xml:space="preserve">Tanzania </w:t>
      </w:r>
      <w:r>
        <w:t>prohibits the</w:t>
      </w:r>
      <w:r w:rsidRPr="00153674">
        <w:t xml:space="preserve"> death </w:t>
      </w:r>
      <w:r>
        <w:t>penalty for all</w:t>
      </w:r>
      <w:r w:rsidRPr="00153674">
        <w:t xml:space="preserve"> </w:t>
      </w:r>
      <w:r w:rsidR="002459DC">
        <w:t xml:space="preserve">women who were </w:t>
      </w:r>
      <w:r w:rsidRPr="00153674">
        <w:t xml:space="preserve">pregnant </w:t>
      </w:r>
      <w:r>
        <w:t>at the time of the offense</w:t>
      </w:r>
      <w:r w:rsidRPr="00153674">
        <w:t>.</w:t>
      </w:r>
      <w:r>
        <w:rPr>
          <w:rStyle w:val="FootnoteReference"/>
        </w:rPr>
        <w:footnoteReference w:id="7"/>
      </w:r>
      <w:r w:rsidRPr="00153674">
        <w:t xml:space="preserve"> </w:t>
      </w:r>
      <w:r w:rsidR="00FD0CBC">
        <w:t>T</w:t>
      </w:r>
      <w:r>
        <w:t xml:space="preserve">he Penal Code does not mandate any specific procedure for determining </w:t>
      </w:r>
      <w:r w:rsidR="009D06C9">
        <w:t>pregnancy</w:t>
      </w:r>
      <w:r>
        <w:t>.</w:t>
      </w:r>
      <w:r>
        <w:rPr>
          <w:rStyle w:val="FootnoteReference"/>
        </w:rPr>
        <w:footnoteReference w:id="8"/>
      </w:r>
      <w:r>
        <w:t xml:space="preserve"> </w:t>
      </w:r>
      <w:r w:rsidR="007A0DD7">
        <w:t xml:space="preserve">Moreover, the law does not exempt </w:t>
      </w:r>
      <w:r>
        <w:t xml:space="preserve">nursing mothers </w:t>
      </w:r>
      <w:r w:rsidR="007A0DD7">
        <w:t>from execution</w:t>
      </w:r>
      <w:r>
        <w:t>.</w:t>
      </w:r>
      <w:r>
        <w:rPr>
          <w:rStyle w:val="FootnoteReference"/>
        </w:rPr>
        <w:footnoteReference w:id="9"/>
      </w:r>
    </w:p>
    <w:p w14:paraId="3A8B9775" w14:textId="29B91C94" w:rsidR="00555190" w:rsidRDefault="00555190" w:rsidP="00765372">
      <w:pPr>
        <w:pStyle w:val="Paragraph"/>
        <w:numPr>
          <w:ilvl w:val="0"/>
          <w:numId w:val="2"/>
        </w:numPr>
      </w:pPr>
      <w:r>
        <w:lastRenderedPageBreak/>
        <w:t xml:space="preserve">Tanzania observes a </w:t>
      </w:r>
      <w:r w:rsidRPr="00C71FA9">
        <w:rPr>
          <w:i/>
          <w:iCs/>
        </w:rPr>
        <w:t>de facto</w:t>
      </w:r>
      <w:r>
        <w:t xml:space="preserve"> moratorium on executions.</w:t>
      </w:r>
      <w:r>
        <w:rPr>
          <w:rStyle w:val="FootnoteReference"/>
        </w:rPr>
        <w:footnoteReference w:id="10"/>
      </w:r>
      <w:r>
        <w:t xml:space="preserve"> The last known execution occurred in 1994.</w:t>
      </w:r>
      <w:r>
        <w:rPr>
          <w:rStyle w:val="FootnoteReference"/>
        </w:rPr>
        <w:footnoteReference w:id="11"/>
      </w:r>
      <w:r>
        <w:t xml:space="preserve"> Amnesty International reports that Tanzanian courts sentenced at least </w:t>
      </w:r>
      <w:r w:rsidR="00765372">
        <w:t>8</w:t>
      </w:r>
      <w:r>
        <w:t xml:space="preserve"> people to death in 2025, and as of the end of 2025, at least 711 people were under sentence of death.</w:t>
      </w:r>
      <w:r>
        <w:rPr>
          <w:rStyle w:val="FootnoteReference"/>
        </w:rPr>
        <w:footnoteReference w:id="12"/>
      </w:r>
      <w:r>
        <w:t xml:space="preserve"> Due to lack of transparency, civil society organizations are unable to ascertain the true number of people under sentence of death.</w:t>
      </w:r>
      <w:r>
        <w:rPr>
          <w:rStyle w:val="FootnoteReference"/>
        </w:rPr>
        <w:footnoteReference w:id="13"/>
      </w:r>
      <w:r>
        <w:t xml:space="preserve"> </w:t>
      </w:r>
    </w:p>
    <w:p w14:paraId="1CA24F5A" w14:textId="398E1F19" w:rsidR="00685246" w:rsidRDefault="006752BE" w:rsidP="00765372">
      <w:pPr>
        <w:pStyle w:val="ListParagraph"/>
        <w:numPr>
          <w:ilvl w:val="0"/>
          <w:numId w:val="2"/>
        </w:numPr>
        <w:spacing w:after="120"/>
        <w:contextualSpacing w:val="0"/>
        <w:jc w:val="both"/>
      </w:pPr>
      <w:r>
        <w:t xml:space="preserve">Authorities have </w:t>
      </w:r>
      <w:r w:rsidR="00CF51E0">
        <w:t xml:space="preserve">weaponized </w:t>
      </w:r>
      <w:r>
        <w:t xml:space="preserve">the </w:t>
      </w:r>
      <w:r w:rsidR="00CF51E0">
        <w:t>death penalty to silence critics</w:t>
      </w:r>
      <w:r w:rsidR="00FF07A6">
        <w:t>.</w:t>
      </w:r>
      <w:r w:rsidR="00CF51E0">
        <w:t xml:space="preserve"> </w:t>
      </w:r>
      <w:r w:rsidR="00BB2A02">
        <w:t xml:space="preserve">In </w:t>
      </w:r>
      <w:r w:rsidR="00F72B1D">
        <w:t xml:space="preserve">April </w:t>
      </w:r>
      <w:r w:rsidR="00BB2A02">
        <w:t xml:space="preserve">2025, authorities detained opposition leader </w:t>
      </w:r>
      <w:proofErr w:type="spellStart"/>
      <w:r w:rsidR="00CF51E0">
        <w:t>Tundu</w:t>
      </w:r>
      <w:proofErr w:type="spellEnd"/>
      <w:r w:rsidR="00CF51E0">
        <w:t xml:space="preserve"> Lissu on treason charges</w:t>
      </w:r>
      <w:r w:rsidR="00460B8A">
        <w:t xml:space="preserve"> </w:t>
      </w:r>
      <w:r w:rsidR="00BB2A02">
        <w:t xml:space="preserve">arising out of </w:t>
      </w:r>
      <w:r w:rsidR="00460B8A">
        <w:t xml:space="preserve">participation </w:t>
      </w:r>
      <w:r w:rsidR="00F30D15">
        <w:t>in a pol</w:t>
      </w:r>
      <w:r w:rsidR="00A9506E">
        <w:t>itic</w:t>
      </w:r>
      <w:r w:rsidR="00F30D15">
        <w:t>al rally.</w:t>
      </w:r>
      <w:r w:rsidR="00CF51E0">
        <w:rPr>
          <w:rStyle w:val="FootnoteReference"/>
        </w:rPr>
        <w:footnoteReference w:id="14"/>
      </w:r>
      <w:r w:rsidR="00CF51E0">
        <w:t xml:space="preserve"> </w:t>
      </w:r>
    </w:p>
    <w:p w14:paraId="7DDF97C0" w14:textId="77777777" w:rsidR="00FA0460" w:rsidRDefault="00685246" w:rsidP="00765372">
      <w:pPr>
        <w:pStyle w:val="ListParagraph"/>
        <w:numPr>
          <w:ilvl w:val="0"/>
          <w:numId w:val="2"/>
        </w:numPr>
        <w:spacing w:after="120"/>
        <w:contextualSpacing w:val="0"/>
        <w:jc w:val="both"/>
      </w:pPr>
      <w:r>
        <w:t xml:space="preserve">In </w:t>
      </w:r>
      <w:r w:rsidR="00F72B1D">
        <w:t xml:space="preserve">June </w:t>
      </w:r>
      <w:r>
        <w:t>2025, t</w:t>
      </w:r>
      <w:r w:rsidR="00CF51E0">
        <w:t xml:space="preserve">he European Parliament opened a Motion for a Resolution </w:t>
      </w:r>
      <w:r w:rsidR="00E676B3">
        <w:t xml:space="preserve">calling on </w:t>
      </w:r>
      <w:r w:rsidR="00CF51E0">
        <w:t xml:space="preserve">the Tanzanian </w:t>
      </w:r>
      <w:r w:rsidR="00C26239">
        <w:t>G</w:t>
      </w:r>
      <w:r w:rsidR="00CF51E0">
        <w:t>overnment to</w:t>
      </w:r>
      <w:r w:rsidR="00F72B1D">
        <w:t xml:space="preserve"> release </w:t>
      </w:r>
      <w:proofErr w:type="spellStart"/>
      <w:r w:rsidR="00F72B1D">
        <w:t>Tundu</w:t>
      </w:r>
      <w:proofErr w:type="spellEnd"/>
      <w:r w:rsidR="00F72B1D">
        <w:t xml:space="preserve"> Lissu and withdraw the charges against him,</w:t>
      </w:r>
      <w:r w:rsidR="00CF51E0">
        <w:t xml:space="preserve"> </w:t>
      </w:r>
      <w:r w:rsidR="00F72B1D">
        <w:t xml:space="preserve">as well as to </w:t>
      </w:r>
      <w:r w:rsidR="00CF51E0">
        <w:t xml:space="preserve">establish a </w:t>
      </w:r>
      <w:r w:rsidR="00C26239">
        <w:t xml:space="preserve">formal </w:t>
      </w:r>
      <w:r w:rsidR="00CF51E0">
        <w:t xml:space="preserve">moratorium on </w:t>
      </w:r>
      <w:r w:rsidR="00C26239">
        <w:t>executions</w:t>
      </w:r>
      <w:r w:rsidR="00F72B1D">
        <w:t xml:space="preserve"> and take steps toward full abolition of the death penalty</w:t>
      </w:r>
      <w:r w:rsidR="00CF51E0">
        <w:t>.</w:t>
      </w:r>
      <w:r w:rsidR="00CF51E0">
        <w:rPr>
          <w:rStyle w:val="FootnoteReference"/>
        </w:rPr>
        <w:footnoteReference w:id="15"/>
      </w:r>
      <w:r w:rsidR="00AC15BB">
        <w:t xml:space="preserve"> </w:t>
      </w:r>
    </w:p>
    <w:p w14:paraId="491FB51F" w14:textId="583D8F84" w:rsidR="00DA3DEC" w:rsidRPr="002E4043" w:rsidRDefault="001B2FD0" w:rsidP="00765372">
      <w:pPr>
        <w:pStyle w:val="ListParagraph"/>
        <w:numPr>
          <w:ilvl w:val="0"/>
          <w:numId w:val="2"/>
        </w:numPr>
        <w:spacing w:after="120"/>
        <w:contextualSpacing w:val="0"/>
        <w:jc w:val="both"/>
      </w:pPr>
      <w:r>
        <w:t>In July 2023, a Presidential Commission on Criminal Justice recommended that lawmakers remove the mandatory death penalty.</w:t>
      </w:r>
      <w:r>
        <w:rPr>
          <w:rStyle w:val="FootnoteReference"/>
        </w:rPr>
        <w:footnoteReference w:id="16"/>
      </w:r>
      <w:r>
        <w:t xml:space="preserve"> </w:t>
      </w:r>
      <w:r w:rsidR="00A91811">
        <w:t>In June 2026, t</w:t>
      </w:r>
      <w:r w:rsidR="00AC15BB">
        <w:t xml:space="preserve">he </w:t>
      </w:r>
      <w:r w:rsidR="005A157C">
        <w:t xml:space="preserve">African Court on Human and Peoples’ Rights ordered </w:t>
      </w:r>
      <w:r w:rsidR="00F6495E">
        <w:t xml:space="preserve">authorities </w:t>
      </w:r>
      <w:r w:rsidR="005935F6">
        <w:t xml:space="preserve">to abolish </w:t>
      </w:r>
      <w:r w:rsidR="00E2008E">
        <w:t xml:space="preserve">the mandatory </w:t>
      </w:r>
      <w:r w:rsidR="00F16CA8">
        <w:t xml:space="preserve">death penalty </w:t>
      </w:r>
      <w:r w:rsidR="00E2008E">
        <w:t>for murder</w:t>
      </w:r>
      <w:r w:rsidR="001A546E">
        <w:t xml:space="preserve"> and to </w:t>
      </w:r>
      <w:r w:rsidR="00952A5A">
        <w:t>bar the use of hanging to carry out executions</w:t>
      </w:r>
      <w:r w:rsidR="00325800">
        <w:t>.</w:t>
      </w:r>
      <w:r w:rsidR="00CF51E0">
        <w:rPr>
          <w:rStyle w:val="FootnoteReference"/>
        </w:rPr>
        <w:footnoteReference w:id="17"/>
      </w:r>
      <w:r w:rsidR="00FA0460">
        <w:t xml:space="preserve"> Authorities have not implemented </w:t>
      </w:r>
      <w:r w:rsidR="00CA66C7">
        <w:t>either the Commission’s recommendation or the Court’s decision</w:t>
      </w:r>
      <w:r w:rsidR="00FC4D39">
        <w:t>.</w:t>
      </w:r>
    </w:p>
    <w:p w14:paraId="6074371C" w14:textId="0487D830" w:rsidR="00313394" w:rsidRDefault="00CF51E0" w:rsidP="00765372">
      <w:pPr>
        <w:pStyle w:val="ListParagraph"/>
        <w:numPr>
          <w:ilvl w:val="0"/>
          <w:numId w:val="2"/>
        </w:numPr>
        <w:spacing w:after="120"/>
        <w:contextualSpacing w:val="0"/>
        <w:jc w:val="both"/>
      </w:pPr>
      <w:r>
        <w:t xml:space="preserve">The </w:t>
      </w:r>
      <w:r w:rsidR="00F72B1D">
        <w:t xml:space="preserve">2025 </w:t>
      </w:r>
      <w:r>
        <w:t xml:space="preserve">election season </w:t>
      </w:r>
      <w:r w:rsidR="0018207E">
        <w:t xml:space="preserve">coincided with an increase in </w:t>
      </w:r>
      <w:r>
        <w:t xml:space="preserve">human rights </w:t>
      </w:r>
      <w:r w:rsidR="0018207E">
        <w:t>violations</w:t>
      </w:r>
      <w:r>
        <w:t>.</w:t>
      </w:r>
      <w:r>
        <w:rPr>
          <w:rStyle w:val="FootnoteReference"/>
        </w:rPr>
        <w:footnoteReference w:id="18"/>
      </w:r>
      <w:r>
        <w:t xml:space="preserve"> Tanzanians experienced a reported ten-fold increase in violations of their rights </w:t>
      </w:r>
      <w:r w:rsidR="005E35E0">
        <w:t xml:space="preserve">to be free from </w:t>
      </w:r>
      <w:r>
        <w:t xml:space="preserve">torture, harassment, </w:t>
      </w:r>
      <w:r w:rsidR="005E35E0">
        <w:t xml:space="preserve">and </w:t>
      </w:r>
      <w:r>
        <w:t>arbitrary arrest.</w:t>
      </w:r>
      <w:r>
        <w:rPr>
          <w:rStyle w:val="FootnoteReference"/>
        </w:rPr>
        <w:footnoteReference w:id="19"/>
      </w:r>
      <w:r>
        <w:t xml:space="preserve"> This broader climate of </w:t>
      </w:r>
      <w:r w:rsidR="005E35E0">
        <w:t xml:space="preserve">disregard for human rights </w:t>
      </w:r>
      <w:r>
        <w:t xml:space="preserve">underscores why </w:t>
      </w:r>
      <w:r w:rsidR="005E35E0">
        <w:t xml:space="preserve">the Committee should scrutinize </w:t>
      </w:r>
      <w:r>
        <w:t xml:space="preserve">Tanzania's compliance with its child rights obligations, </w:t>
      </w:r>
      <w:r w:rsidR="00712B77">
        <w:t xml:space="preserve">particularly </w:t>
      </w:r>
      <w:r w:rsidR="00643C5E">
        <w:t>as they relate to</w:t>
      </w:r>
      <w:r>
        <w:t xml:space="preserve"> the death penalty.</w:t>
      </w:r>
    </w:p>
    <w:p w14:paraId="0C2F33C8" w14:textId="1A31C76E" w:rsidR="00992498" w:rsidRPr="009B7A9C" w:rsidRDefault="000957D2" w:rsidP="009B7A9C">
      <w:pPr>
        <w:numPr>
          <w:ilvl w:val="0"/>
          <w:numId w:val="3"/>
        </w:numPr>
        <w:spacing w:before="240" w:after="120"/>
        <w:jc w:val="both"/>
        <w:rPr>
          <w:b/>
        </w:rPr>
      </w:pPr>
      <w:r>
        <w:rPr>
          <w:b/>
        </w:rPr>
        <w:t xml:space="preserve">Tanzania’s justice system does not protect children from the death penalty </w:t>
      </w:r>
      <w:r w:rsidR="00313394" w:rsidRPr="009B7A9C">
        <w:rPr>
          <w:b/>
        </w:rPr>
        <w:t>(List of Issues para</w:t>
      </w:r>
      <w:r w:rsidR="002C1DCC">
        <w:rPr>
          <w:b/>
        </w:rPr>
        <w:t>s</w:t>
      </w:r>
      <w:r w:rsidR="00313394" w:rsidRPr="009B7A9C">
        <w:rPr>
          <w:b/>
        </w:rPr>
        <w:t xml:space="preserve">. </w:t>
      </w:r>
      <w:r w:rsidR="0022464D">
        <w:rPr>
          <w:b/>
        </w:rPr>
        <w:t xml:space="preserve">6, </w:t>
      </w:r>
      <w:r>
        <w:rPr>
          <w:b/>
        </w:rPr>
        <w:t>15</w:t>
      </w:r>
      <w:r w:rsidR="002C1DCC">
        <w:rPr>
          <w:b/>
        </w:rPr>
        <w:t>, 21</w:t>
      </w:r>
      <w:r w:rsidR="00313394" w:rsidRPr="009B7A9C">
        <w:rPr>
          <w:b/>
        </w:rPr>
        <w:t>)</w:t>
      </w:r>
      <w:r w:rsidR="00E64EA4">
        <w:rPr>
          <w:b/>
        </w:rPr>
        <w:t>.</w:t>
      </w:r>
    </w:p>
    <w:p w14:paraId="054691E5" w14:textId="67243C97" w:rsidR="00DE7408" w:rsidRDefault="00DE7408" w:rsidP="00590DFA">
      <w:pPr>
        <w:pStyle w:val="ListParagraph"/>
        <w:numPr>
          <w:ilvl w:val="0"/>
          <w:numId w:val="2"/>
        </w:numPr>
        <w:spacing w:after="120"/>
        <w:contextualSpacing w:val="0"/>
        <w:jc w:val="both"/>
      </w:pPr>
      <w:r>
        <w:t>The Committee in its List of Issues</w:t>
      </w:r>
      <w:r w:rsidR="003C083E">
        <w:t xml:space="preserve"> requested information about </w:t>
      </w:r>
      <w:r w:rsidR="00A9427E">
        <w:t>birth registration and certification services, as well as about the child justice system</w:t>
      </w:r>
      <w:r w:rsidR="00136224">
        <w:t xml:space="preserve"> (including the number of </w:t>
      </w:r>
      <w:r w:rsidR="00136224">
        <w:lastRenderedPageBreak/>
        <w:t>children serving sentences in adult prisons)</w:t>
      </w:r>
      <w:r w:rsidR="0083588A">
        <w:t>, and children who have infringed criminal law.</w:t>
      </w:r>
      <w:r w:rsidR="0083588A">
        <w:rPr>
          <w:rStyle w:val="FootnoteReference"/>
        </w:rPr>
        <w:footnoteReference w:id="20"/>
      </w:r>
    </w:p>
    <w:p w14:paraId="72053561" w14:textId="6BD8F692" w:rsidR="00356F0B" w:rsidRDefault="00356F0B" w:rsidP="00590DFA">
      <w:pPr>
        <w:pStyle w:val="ListParagraph"/>
        <w:numPr>
          <w:ilvl w:val="0"/>
          <w:numId w:val="2"/>
        </w:numPr>
        <w:spacing w:after="120"/>
        <w:contextualSpacing w:val="0"/>
        <w:jc w:val="both"/>
      </w:pPr>
      <w:r>
        <w:t xml:space="preserve">The Penal Code provides that if a person was under the age of 18 at the time of a capital offense, the court shall sentence the person </w:t>
      </w:r>
      <w:r w:rsidRPr="00992498">
        <w:t>to be detained during the President</w:t>
      </w:r>
      <w:r>
        <w:t>’</w:t>
      </w:r>
      <w:r w:rsidRPr="00992498">
        <w:t>s pleasure in such place and conditions as the responsible Minister may direct.</w:t>
      </w:r>
      <w:r>
        <w:rPr>
          <w:rStyle w:val="FootnoteReference"/>
        </w:rPr>
        <w:footnoteReference w:id="21"/>
      </w:r>
    </w:p>
    <w:p w14:paraId="1C873853" w14:textId="0A99384B" w:rsidR="004D3A17" w:rsidRPr="00992498" w:rsidRDefault="00C42C6B" w:rsidP="00590DFA">
      <w:pPr>
        <w:pStyle w:val="ListParagraph"/>
        <w:numPr>
          <w:ilvl w:val="0"/>
          <w:numId w:val="2"/>
        </w:numPr>
        <w:spacing w:after="120"/>
        <w:contextualSpacing w:val="0"/>
        <w:jc w:val="both"/>
      </w:pPr>
      <w:r>
        <w:t xml:space="preserve">Tanzania does not publish comprehensive data about how its courts apply </w:t>
      </w:r>
      <w:r w:rsidR="00172999">
        <w:t>this provision</w:t>
      </w:r>
      <w:r w:rsidR="00A32C84">
        <w:t xml:space="preserve">. </w:t>
      </w:r>
      <w:r w:rsidR="00CF51E0" w:rsidRPr="00992498">
        <w:t>The absence of this data reflect</w:t>
      </w:r>
      <w:r w:rsidR="000B6F98">
        <w:t>s</w:t>
      </w:r>
      <w:r w:rsidR="00CF51E0" w:rsidRPr="00992498">
        <w:t xml:space="preserve"> </w:t>
      </w:r>
      <w:r w:rsidR="000B6F98">
        <w:t xml:space="preserve">the criminal legal system’s </w:t>
      </w:r>
      <w:r w:rsidR="00CF51E0" w:rsidRPr="00992498">
        <w:t xml:space="preserve">broader failure to monitor and report on the application </w:t>
      </w:r>
      <w:r w:rsidR="0063043A">
        <w:t>of this prohibition</w:t>
      </w:r>
      <w:r w:rsidR="00CF51E0" w:rsidRPr="00992498">
        <w:t xml:space="preserve">. </w:t>
      </w:r>
    </w:p>
    <w:p w14:paraId="3340470A" w14:textId="1B0EF656" w:rsidR="00333993" w:rsidRPr="00992498" w:rsidRDefault="00CF51E0" w:rsidP="00590DFA">
      <w:pPr>
        <w:pStyle w:val="ListParagraph"/>
        <w:numPr>
          <w:ilvl w:val="0"/>
          <w:numId w:val="2"/>
        </w:numPr>
        <w:spacing w:after="120"/>
        <w:contextualSpacing w:val="0"/>
        <w:jc w:val="both"/>
      </w:pPr>
      <w:r w:rsidRPr="00992498">
        <w:t>The Tanzania Prisons Service 2024 report recorded 92 child</w:t>
      </w:r>
      <w:r w:rsidR="00172999">
        <w:t xml:space="preserve">ren serving sentences </w:t>
      </w:r>
      <w:r w:rsidRPr="00992498">
        <w:t>in adult prisons in Tanzania Mainland</w:t>
      </w:r>
      <w:r w:rsidR="005467DA">
        <w:t xml:space="preserve">. Courts had convicted them of </w:t>
      </w:r>
      <w:r w:rsidRPr="00992498">
        <w:t>offenses including theft, manslaughter, and loitering.</w:t>
      </w:r>
      <w:r>
        <w:rPr>
          <w:rStyle w:val="FootnoteReference"/>
        </w:rPr>
        <w:footnoteReference w:id="22"/>
      </w:r>
      <w:r w:rsidRPr="00992498">
        <w:t xml:space="preserve"> LHRC </w:t>
      </w:r>
      <w:r w:rsidR="004954EB">
        <w:t xml:space="preserve">contends that this </w:t>
      </w:r>
      <w:r w:rsidRPr="00992498">
        <w:t xml:space="preserve">figure is likely an undercount </w:t>
      </w:r>
      <w:r w:rsidR="00151A73">
        <w:t xml:space="preserve">due to inadequate </w:t>
      </w:r>
      <w:r w:rsidRPr="00992498">
        <w:t>age</w:t>
      </w:r>
      <w:r w:rsidR="00151A73">
        <w:t>-</w:t>
      </w:r>
      <w:r w:rsidRPr="00992498">
        <w:t xml:space="preserve">determination </w:t>
      </w:r>
      <w:r w:rsidR="00151A73">
        <w:t>procedures</w:t>
      </w:r>
      <w:r w:rsidR="00781E6E">
        <w:t xml:space="preserve"> described below</w:t>
      </w:r>
      <w:r w:rsidRPr="00992498">
        <w:t>.</w:t>
      </w:r>
    </w:p>
    <w:p w14:paraId="16C0AB16" w14:textId="77777777" w:rsidR="005C26B8" w:rsidRDefault="00151A73" w:rsidP="00590DFA">
      <w:pPr>
        <w:pStyle w:val="ListParagraph"/>
        <w:numPr>
          <w:ilvl w:val="0"/>
          <w:numId w:val="2"/>
        </w:numPr>
        <w:spacing w:after="120"/>
        <w:contextualSpacing w:val="0"/>
        <w:jc w:val="both"/>
      </w:pPr>
      <w:r>
        <w:t>The</w:t>
      </w:r>
      <w:r w:rsidR="00CF51E0" w:rsidRPr="00992498">
        <w:t xml:space="preserve"> Law of the Child Act and its associated procedural rules</w:t>
      </w:r>
      <w:r>
        <w:t xml:space="preserve"> govern age determination</w:t>
      </w:r>
      <w:r w:rsidR="00CF51E0" w:rsidRPr="00992498">
        <w:t>.</w:t>
      </w:r>
      <w:r w:rsidR="00CF51E0">
        <w:rPr>
          <w:rStyle w:val="FootnoteReference"/>
        </w:rPr>
        <w:footnoteReference w:id="23"/>
      </w:r>
      <w:r w:rsidR="00CF51E0" w:rsidRPr="00992498">
        <w:t xml:space="preserve"> The law requires a court to make a due inquiry whenever a person before it may be a child, and specifies the forms of evidence a court may rely on, including birth certificates (treated as definitive proof unless successfully challenged), school records, medical evidence, immunization records, social inquiry reports, DNA evidence, and any other credible information.</w:t>
      </w:r>
      <w:r w:rsidR="00CF51E0">
        <w:rPr>
          <w:rStyle w:val="FootnoteReference"/>
        </w:rPr>
        <w:footnoteReference w:id="24"/>
      </w:r>
      <w:r w:rsidR="00CF51E0" w:rsidRPr="00992498">
        <w:t xml:space="preserve"> Tanzanian law places no obligation on police, prosecutors, or courts to </w:t>
      </w:r>
      <w:r w:rsidR="006C3D5D">
        <w:t xml:space="preserve">initiate </w:t>
      </w:r>
      <w:r w:rsidR="00CF51E0" w:rsidRPr="00992498">
        <w:t xml:space="preserve">age determination proceedings, even in capital cases where the </w:t>
      </w:r>
      <w:r w:rsidR="006C3D5D">
        <w:t xml:space="preserve">person charged </w:t>
      </w:r>
      <w:r w:rsidR="00CF51E0" w:rsidRPr="00992498">
        <w:t>appears young.</w:t>
      </w:r>
      <w:r w:rsidR="00CF51E0">
        <w:rPr>
          <w:rStyle w:val="FootnoteReference"/>
        </w:rPr>
        <w:footnoteReference w:id="25"/>
      </w:r>
      <w:r w:rsidR="0024467B">
        <w:t xml:space="preserve"> </w:t>
      </w:r>
    </w:p>
    <w:p w14:paraId="3B08F4AD" w14:textId="53C6CB3B" w:rsidR="00F112B4" w:rsidRPr="00992498" w:rsidRDefault="0024467B" w:rsidP="00590DFA">
      <w:pPr>
        <w:pStyle w:val="ListParagraph"/>
        <w:numPr>
          <w:ilvl w:val="0"/>
          <w:numId w:val="2"/>
        </w:numPr>
        <w:spacing w:after="120"/>
        <w:contextualSpacing w:val="0"/>
        <w:jc w:val="both"/>
      </w:pPr>
      <w:r>
        <w:t xml:space="preserve">LHRC reports that in practice, </w:t>
      </w:r>
      <w:r w:rsidR="0007320F">
        <w:t xml:space="preserve">these officials rarely initiate such proceedings. </w:t>
      </w:r>
      <w:r w:rsidR="005C26B8" w:rsidRPr="00992498">
        <w:t>LHRC</w:t>
      </w:r>
      <w:r w:rsidR="005C26B8">
        <w:t>’</w:t>
      </w:r>
      <w:r w:rsidR="005C26B8" w:rsidRPr="00992498">
        <w:t xml:space="preserve">s lawyers </w:t>
      </w:r>
      <w:r w:rsidR="005C26B8">
        <w:t xml:space="preserve">in </w:t>
      </w:r>
      <w:r w:rsidR="005C26B8" w:rsidRPr="00992498">
        <w:t xml:space="preserve">its Dodoma and Kinondoni Legal Aid Clinics confirm that </w:t>
      </w:r>
      <w:r w:rsidR="009B096E">
        <w:t xml:space="preserve">the defense </w:t>
      </w:r>
      <w:r w:rsidR="005C26B8" w:rsidRPr="00992498">
        <w:t>is raised, if at all, only by the defense advocate</w:t>
      </w:r>
      <w:r w:rsidR="009B096E">
        <w:t xml:space="preserve">. </w:t>
      </w:r>
      <w:r w:rsidR="000768AF">
        <w:t xml:space="preserve">When the person accused is </w:t>
      </w:r>
      <w:r w:rsidR="005C26B8" w:rsidRPr="00992498">
        <w:t xml:space="preserve">unrepresented </w:t>
      </w:r>
      <w:r w:rsidR="000768AF">
        <w:t xml:space="preserve">and likely </w:t>
      </w:r>
      <w:r w:rsidR="005C26B8" w:rsidRPr="00992498">
        <w:t xml:space="preserve">unaware of the right to assert minority, proceedings continue </w:t>
      </w:r>
      <w:r w:rsidR="000768AF">
        <w:t xml:space="preserve">under the unchallenged assumption that the person </w:t>
      </w:r>
      <w:r w:rsidR="005C26B8" w:rsidRPr="00992498">
        <w:t>is an adult.</w:t>
      </w:r>
      <w:r w:rsidR="005C26B8">
        <w:rPr>
          <w:rStyle w:val="FootnoteReference"/>
        </w:rPr>
        <w:footnoteReference w:id="26"/>
      </w:r>
      <w:r w:rsidR="005C26B8" w:rsidRPr="00992498">
        <w:t xml:space="preserve"> Courts routinely rely on the age recorded </w:t>
      </w:r>
      <w:r w:rsidR="00117FB6">
        <w:t>o</w:t>
      </w:r>
      <w:r w:rsidR="005C26B8" w:rsidRPr="00992498">
        <w:t>n the charge sheet</w:t>
      </w:r>
      <w:r w:rsidR="00117FB6">
        <w:t xml:space="preserve">. Police officers create this record </w:t>
      </w:r>
      <w:r w:rsidR="005C26B8" w:rsidRPr="00992498">
        <w:t>at the police station without any formal age verification. A UNICEF and Coram Children</w:t>
      </w:r>
      <w:r w:rsidR="00CD7504">
        <w:t>’</w:t>
      </w:r>
      <w:r w:rsidR="005C26B8" w:rsidRPr="00992498">
        <w:t xml:space="preserve">s Legal Centre study </w:t>
      </w:r>
      <w:r w:rsidR="00CD7504">
        <w:t xml:space="preserve">of the </w:t>
      </w:r>
      <w:r w:rsidR="005C26B8" w:rsidRPr="00992498">
        <w:t xml:space="preserve">juvenile justice system found that most magistrates do not follow statutory age determination procedures and many </w:t>
      </w:r>
      <w:r w:rsidR="00CD7504">
        <w:t>“</w:t>
      </w:r>
      <w:r w:rsidR="005C26B8" w:rsidRPr="00992498">
        <w:t>just guess.</w:t>
      </w:r>
      <w:r w:rsidR="00CD7504">
        <w:t>”</w:t>
      </w:r>
      <w:r w:rsidR="005C26B8">
        <w:rPr>
          <w:rStyle w:val="FootnoteReference"/>
        </w:rPr>
        <w:footnoteReference w:id="27"/>
      </w:r>
    </w:p>
    <w:p w14:paraId="29140E1D" w14:textId="35155FAA" w:rsidR="00F112B4" w:rsidRPr="00992498" w:rsidRDefault="00CF51E0" w:rsidP="00590DFA">
      <w:pPr>
        <w:pStyle w:val="ListParagraph"/>
        <w:numPr>
          <w:ilvl w:val="0"/>
          <w:numId w:val="2"/>
        </w:numPr>
        <w:spacing w:after="120"/>
        <w:contextualSpacing w:val="0"/>
        <w:jc w:val="both"/>
      </w:pPr>
      <w:r w:rsidRPr="00992498">
        <w:t>LHRC</w:t>
      </w:r>
      <w:r w:rsidR="004723A4">
        <w:t>’</w:t>
      </w:r>
      <w:r w:rsidRPr="00992498">
        <w:t xml:space="preserve">s empirical research documents a pattern of </w:t>
      </w:r>
      <w:r w:rsidR="004723A4">
        <w:t xml:space="preserve">authorities subjecting young people to </w:t>
      </w:r>
      <w:r w:rsidRPr="00992498">
        <w:t xml:space="preserve">physical abuse at the pre-trial stage to extract admissions of majority age. Young </w:t>
      </w:r>
      <w:r w:rsidR="0021300C">
        <w:t>people in pre-trial detention</w:t>
      </w:r>
      <w:r w:rsidRPr="00992498">
        <w:t xml:space="preserve"> report </w:t>
      </w:r>
      <w:r w:rsidR="00D00929">
        <w:t xml:space="preserve">that police </w:t>
      </w:r>
      <w:r w:rsidRPr="00992498">
        <w:t xml:space="preserve">coerced </w:t>
      </w:r>
      <w:r w:rsidR="00D00929">
        <w:t xml:space="preserve">them </w:t>
      </w:r>
      <w:r w:rsidRPr="00992498">
        <w:t xml:space="preserve">into stating they are adults, particularly </w:t>
      </w:r>
      <w:r w:rsidRPr="00992498">
        <w:lastRenderedPageBreak/>
        <w:t xml:space="preserve">in </w:t>
      </w:r>
      <w:r w:rsidR="0021300C">
        <w:t xml:space="preserve">cases involving </w:t>
      </w:r>
      <w:r w:rsidRPr="00992498">
        <w:t xml:space="preserve">serious offenses </w:t>
      </w:r>
      <w:r w:rsidR="0021300C">
        <w:t xml:space="preserve">that are </w:t>
      </w:r>
      <w:r w:rsidRPr="00992498">
        <w:t>not eligible for bail.</w:t>
      </w:r>
      <w:r>
        <w:rPr>
          <w:rStyle w:val="FootnoteReference"/>
        </w:rPr>
        <w:footnoteReference w:id="28"/>
      </w:r>
      <w:r w:rsidRPr="00992498">
        <w:t xml:space="preserve"> The UNICEF/Coram study found that 54% of child suspects in Tanzania reported mistreatment by police, almost always involving physical violence to extract confessions</w:t>
      </w:r>
      <w:r w:rsidR="002302CA">
        <w:t xml:space="preserve">. </w:t>
      </w:r>
      <w:r w:rsidRPr="00992498">
        <w:t xml:space="preserve">47% reported being forced or pressured to sign confession statements, </w:t>
      </w:r>
      <w:r w:rsidR="00E55E10">
        <w:t xml:space="preserve">and </w:t>
      </w:r>
      <w:r w:rsidRPr="00992498">
        <w:t>in some cases they could not read</w:t>
      </w:r>
      <w:r w:rsidR="00E55E10">
        <w:t xml:space="preserve"> the documents they signed</w:t>
      </w:r>
      <w:r w:rsidRPr="00992498">
        <w:t>.</w:t>
      </w:r>
      <w:r>
        <w:rPr>
          <w:rStyle w:val="FootnoteReference"/>
        </w:rPr>
        <w:footnoteReference w:id="29"/>
      </w:r>
      <w:r w:rsidRPr="00992498">
        <w:t xml:space="preserve"> Once a</w:t>
      </w:r>
      <w:r w:rsidR="00E55E10">
        <w:t>n officer records a</w:t>
      </w:r>
      <w:r w:rsidRPr="00992498">
        <w:t xml:space="preserve"> false age or date of birth </w:t>
      </w:r>
      <w:r w:rsidR="00E55E10">
        <w:t>o</w:t>
      </w:r>
      <w:r w:rsidRPr="00992498">
        <w:t xml:space="preserve">n a charge sheet, </w:t>
      </w:r>
      <w:r w:rsidR="006A31DB">
        <w:t xml:space="preserve">the person accused of the crime is typically unable </w:t>
      </w:r>
      <w:r w:rsidRPr="00992498">
        <w:t xml:space="preserve">to correct </w:t>
      </w:r>
      <w:r w:rsidR="009553F1">
        <w:t>or challenge it</w:t>
      </w:r>
      <w:r w:rsidRPr="00992498">
        <w:t>.</w:t>
      </w:r>
    </w:p>
    <w:p w14:paraId="038B46DC" w14:textId="3772F71F" w:rsidR="00284002" w:rsidRDefault="00CF51E0" w:rsidP="00590DFA">
      <w:pPr>
        <w:pStyle w:val="ListParagraph"/>
        <w:numPr>
          <w:ilvl w:val="0"/>
          <w:numId w:val="2"/>
        </w:numPr>
        <w:spacing w:after="120"/>
        <w:contextualSpacing w:val="0"/>
        <w:jc w:val="both"/>
      </w:pPr>
      <w:r w:rsidRPr="00992498">
        <w:t xml:space="preserve">LHRC </w:t>
      </w:r>
      <w:r w:rsidR="00D41623">
        <w:t xml:space="preserve">visited </w:t>
      </w:r>
      <w:r w:rsidR="009553F1">
        <w:t>E.E.N.</w:t>
      </w:r>
      <w:r w:rsidRPr="00992498">
        <w:t xml:space="preserve"> at </w:t>
      </w:r>
      <w:proofErr w:type="spellStart"/>
      <w:r w:rsidRPr="00992498">
        <w:t>Isanga</w:t>
      </w:r>
      <w:proofErr w:type="spellEnd"/>
      <w:r w:rsidRPr="00992498">
        <w:t xml:space="preserve"> Prison in 2024. </w:t>
      </w:r>
      <w:r w:rsidR="00D41623">
        <w:t xml:space="preserve">He presented </w:t>
      </w:r>
      <w:r w:rsidRPr="00992498">
        <w:t xml:space="preserve">a birth certificate establishing he was a minor at the time of the offense, </w:t>
      </w:r>
      <w:r w:rsidR="00D41623">
        <w:t xml:space="preserve">but the court </w:t>
      </w:r>
      <w:r w:rsidRPr="00992498">
        <w:t xml:space="preserve">convicted </w:t>
      </w:r>
      <w:r w:rsidR="00D41623">
        <w:t xml:space="preserve">him </w:t>
      </w:r>
      <w:r w:rsidRPr="00992498">
        <w:t xml:space="preserve">and sentenced </w:t>
      </w:r>
      <w:r w:rsidR="00D41623">
        <w:t xml:space="preserve">him </w:t>
      </w:r>
      <w:r w:rsidRPr="00992498">
        <w:t>as an adult. On appeal, the High Court relied on the charge sheet record rather than the birth certificate.</w:t>
      </w:r>
      <w:r>
        <w:rPr>
          <w:rStyle w:val="FootnoteReference"/>
        </w:rPr>
        <w:footnoteReference w:id="30"/>
      </w:r>
      <w:r w:rsidRPr="00992498">
        <w:t xml:space="preserve"> This </w:t>
      </w:r>
      <w:r w:rsidR="00C0448E">
        <w:t xml:space="preserve">case </w:t>
      </w:r>
      <w:r w:rsidRPr="00992498">
        <w:t xml:space="preserve">illustrates a fundamental failure: Tanzanian law </w:t>
      </w:r>
      <w:r w:rsidR="00BF2234">
        <w:t xml:space="preserve">recognizes </w:t>
      </w:r>
      <w:r w:rsidRPr="00992498">
        <w:t xml:space="preserve">birth certificates as definitive proof of age, yet </w:t>
      </w:r>
      <w:r w:rsidR="00BF2234">
        <w:t xml:space="preserve">authorities do not </w:t>
      </w:r>
      <w:r w:rsidR="001E3EB5">
        <w:t xml:space="preserve">follow the law, including </w:t>
      </w:r>
      <w:r w:rsidRPr="00992498">
        <w:t xml:space="preserve">in capital proceedings. LHRC may be in a position to provide </w:t>
      </w:r>
      <w:r w:rsidR="001E3EB5">
        <w:t xml:space="preserve">the Committee with </w:t>
      </w:r>
      <w:r w:rsidRPr="00992498">
        <w:t>additional case information upon request.</w:t>
      </w:r>
    </w:p>
    <w:p w14:paraId="3A4FA90F" w14:textId="5F5C1625" w:rsidR="00060DB4" w:rsidRDefault="0077483E" w:rsidP="00590DFA">
      <w:pPr>
        <w:pStyle w:val="ListParagraph"/>
        <w:numPr>
          <w:ilvl w:val="0"/>
          <w:numId w:val="2"/>
        </w:numPr>
        <w:spacing w:after="120"/>
        <w:contextualSpacing w:val="0"/>
        <w:jc w:val="both"/>
      </w:pPr>
      <w:r>
        <w:t xml:space="preserve">The absence of proper age verification procedures disproportionately affects children with intellectual disability. </w:t>
      </w:r>
      <w:r w:rsidR="007D2581">
        <w:t xml:space="preserve">These children may be unable to recite their date of birth and may be more susceptible to official suggestions or pressure to </w:t>
      </w:r>
      <w:r w:rsidR="00357C5A">
        <w:t xml:space="preserve">state that they are of majority age. </w:t>
      </w:r>
      <w:r w:rsidR="00267054">
        <w:t>C</w:t>
      </w:r>
      <w:r w:rsidR="00357C5A">
        <w:t>hildren with intellectual disability from rural areas</w:t>
      </w:r>
      <w:r w:rsidR="00267054">
        <w:t xml:space="preserve">, where birth registration rates are lower, are particularly at risk. </w:t>
      </w:r>
      <w:r w:rsidR="00E15CBA">
        <w:t xml:space="preserve">When courts rely on the charge sheet age without requiring formal verification, </w:t>
      </w:r>
      <w:r w:rsidR="00E5478A">
        <w:t>they increase the risk that children with intellectual disability will be prosecuted as adults</w:t>
      </w:r>
      <w:r w:rsidR="009C67F9">
        <w:t>, particularly for capital crimes.</w:t>
      </w:r>
    </w:p>
    <w:p w14:paraId="5AF1155D" w14:textId="29F8055B" w:rsidR="00E84633" w:rsidRDefault="00E84633" w:rsidP="00E84633">
      <w:pPr>
        <w:pStyle w:val="ListParagraph"/>
        <w:numPr>
          <w:ilvl w:val="0"/>
          <w:numId w:val="2"/>
        </w:numPr>
        <w:spacing w:after="120"/>
        <w:contextualSpacing w:val="0"/>
        <w:jc w:val="both"/>
      </w:pPr>
      <w:r>
        <w:t xml:space="preserve">The </w:t>
      </w:r>
      <w:r w:rsidRPr="00992498">
        <w:t>birth registration crisis</w:t>
      </w:r>
      <w:r>
        <w:t xml:space="preserve"> exacerbates </w:t>
      </w:r>
      <w:r w:rsidR="004723A4">
        <w:t>the problem</w:t>
      </w:r>
      <w:r w:rsidRPr="00992498">
        <w:t>. As of December 2024, the Controller and Auditor General found that only 29% of the population in Mainland Tanzania had been registered and issued birth certificates, with a backlog of approximately 13</w:t>
      </w:r>
      <w:r>
        <w:t>.5</w:t>
      </w:r>
      <w:r w:rsidRPr="00992498">
        <w:t xml:space="preserve"> million unregistered records</w:t>
      </w:r>
      <w:r>
        <w:t xml:space="preserve">. They </w:t>
      </w:r>
      <w:r w:rsidRPr="00992498">
        <w:t>warned that without urgent corrective measures Tanzania is unlikely to achieve universal birth registration until 2051.</w:t>
      </w:r>
      <w:r>
        <w:rPr>
          <w:rStyle w:val="FootnoteReference"/>
        </w:rPr>
        <w:footnoteReference w:id="31"/>
      </w:r>
      <w:r w:rsidRPr="00992498">
        <w:t xml:space="preserve"> Birth registration rates are lowest among communities most at risk of contact with the criminal justice system: the 2015–2016 Tanzania Demographic and Health Survey found registration as low as 8% among the poorest wealth quintile and 16% in rural areas. As a result, the absence of a birth certificate for young persons charged with capital offenses born in rural or impoverished settings is the norm, not the exception.</w:t>
      </w:r>
      <w:r>
        <w:rPr>
          <w:rStyle w:val="FootnoteReference"/>
        </w:rPr>
        <w:footnoteReference w:id="32"/>
      </w:r>
      <w:r w:rsidRPr="00992498">
        <w:t xml:space="preserve"> LHRC</w:t>
      </w:r>
      <w:r>
        <w:t xml:space="preserve"> reports </w:t>
      </w:r>
      <w:r w:rsidRPr="00992498">
        <w:t xml:space="preserve">that the current </w:t>
      </w:r>
      <w:r>
        <w:t xml:space="preserve">registration </w:t>
      </w:r>
      <w:r w:rsidRPr="00992498">
        <w:t>system is wholly inadequate to protect children from wrongful adult prosecution</w:t>
      </w:r>
      <w:r>
        <w:t xml:space="preserve"> in capital cases</w:t>
      </w:r>
      <w:r w:rsidRPr="00992498">
        <w:t>.</w:t>
      </w:r>
    </w:p>
    <w:p w14:paraId="19AF721D" w14:textId="0E643779" w:rsidR="00284002" w:rsidRDefault="00CF51E0" w:rsidP="00590DFA">
      <w:pPr>
        <w:pStyle w:val="ListParagraph"/>
        <w:numPr>
          <w:ilvl w:val="0"/>
          <w:numId w:val="2"/>
        </w:numPr>
        <w:spacing w:after="120"/>
        <w:contextualSpacing w:val="0"/>
        <w:jc w:val="both"/>
      </w:pPr>
      <w:r w:rsidRPr="00992498">
        <w:t xml:space="preserve">Where documentary evidence of age is unavailable, </w:t>
      </w:r>
      <w:r w:rsidR="000C729C">
        <w:t xml:space="preserve">the </w:t>
      </w:r>
      <w:r w:rsidRPr="00992498">
        <w:t>law permits courts to rely on medical evidence, but</w:t>
      </w:r>
      <w:r w:rsidR="000965E1">
        <w:t xml:space="preserve"> in practice,</w:t>
      </w:r>
      <w:r w:rsidRPr="00992498">
        <w:t xml:space="preserve"> </w:t>
      </w:r>
      <w:r w:rsidR="003756C2">
        <w:t xml:space="preserve">most children lack </w:t>
      </w:r>
      <w:r w:rsidRPr="00992498">
        <w:t xml:space="preserve">access to independent medical expertise, such as skeletal or dental age estimation. </w:t>
      </w:r>
      <w:r w:rsidR="003756C2">
        <w:t xml:space="preserve">The </w:t>
      </w:r>
      <w:r w:rsidRPr="00992498">
        <w:t xml:space="preserve">legal aid scheme </w:t>
      </w:r>
      <w:r w:rsidR="003756C2">
        <w:t xml:space="preserve">does not fund </w:t>
      </w:r>
      <w:r w:rsidRPr="00992498">
        <w:t>medical expert</w:t>
      </w:r>
      <w:r w:rsidR="00626F50">
        <w:t>s</w:t>
      </w:r>
      <w:r w:rsidRPr="00992498">
        <w:t xml:space="preserve"> in capital cases,</w:t>
      </w:r>
      <w:r>
        <w:rPr>
          <w:rStyle w:val="FootnoteReference"/>
        </w:rPr>
        <w:footnoteReference w:id="33"/>
      </w:r>
      <w:r w:rsidRPr="00992498">
        <w:t xml:space="preserve"> and legal aid rules cap assigned counsel fees at TZS </w:t>
      </w:r>
      <w:r w:rsidRPr="00992498">
        <w:lastRenderedPageBreak/>
        <w:t>500,000 in High Court proceedings</w:t>
      </w:r>
      <w:r w:rsidR="00626F50">
        <w:t xml:space="preserve">. That sum is </w:t>
      </w:r>
      <w:r w:rsidRPr="00992498">
        <w:t>wholly insufficient to retain a qualified forensic expert.</w:t>
      </w:r>
      <w:r>
        <w:rPr>
          <w:rStyle w:val="FootnoteReference"/>
        </w:rPr>
        <w:footnoteReference w:id="34"/>
      </w:r>
    </w:p>
    <w:p w14:paraId="7AB984EB" w14:textId="2674E783" w:rsidR="00DD4CAA" w:rsidRPr="00992498" w:rsidRDefault="00CF51E0" w:rsidP="00590DFA">
      <w:pPr>
        <w:pStyle w:val="ListParagraph"/>
        <w:numPr>
          <w:ilvl w:val="0"/>
          <w:numId w:val="2"/>
        </w:numPr>
        <w:spacing w:after="120"/>
        <w:contextualSpacing w:val="0"/>
        <w:jc w:val="both"/>
      </w:pPr>
      <w:r w:rsidRPr="00992498">
        <w:t xml:space="preserve">The combined effect of these failures </w:t>
      </w:r>
      <w:r w:rsidR="000965E1">
        <w:t xml:space="preserve">is that in practice, the </w:t>
      </w:r>
      <w:r w:rsidR="005E30DE">
        <w:t xml:space="preserve">criminal legal system does not enforce the </w:t>
      </w:r>
      <w:r w:rsidRPr="00992498">
        <w:t>prohibition on imposing the death penalty on persons who were under 18 at the time of the offense.</w:t>
      </w:r>
      <w:r w:rsidR="00447055">
        <w:t xml:space="preserve"> People are </w:t>
      </w:r>
      <w:r w:rsidRPr="00992498">
        <w:t xml:space="preserve">at real risk of being sentenced to death for offenses </w:t>
      </w:r>
      <w:r w:rsidR="00447055">
        <w:t xml:space="preserve">they </w:t>
      </w:r>
      <w:r w:rsidRPr="00992498">
        <w:t>committed as children.</w:t>
      </w:r>
    </w:p>
    <w:p w14:paraId="1E88780E" w14:textId="5B7CB2F9" w:rsidR="00326332" w:rsidRDefault="00326332" w:rsidP="00141456">
      <w:pPr>
        <w:numPr>
          <w:ilvl w:val="0"/>
          <w:numId w:val="3"/>
        </w:numPr>
        <w:spacing w:before="240" w:after="120"/>
        <w:jc w:val="both"/>
        <w:rPr>
          <w:b/>
        </w:rPr>
      </w:pPr>
      <w:r>
        <w:rPr>
          <w:b/>
        </w:rPr>
        <w:t>Sentencing authorities fail to consider the best interests of the child when sentencing a parent charged with a capital crime</w:t>
      </w:r>
      <w:r w:rsidR="00763C27">
        <w:rPr>
          <w:b/>
        </w:rPr>
        <w:t>.</w:t>
      </w:r>
    </w:p>
    <w:p w14:paraId="4E871CA9" w14:textId="6B1A86C8" w:rsidR="00763C27" w:rsidRDefault="00763C27" w:rsidP="00763C27">
      <w:pPr>
        <w:pStyle w:val="ListParagraph"/>
        <w:numPr>
          <w:ilvl w:val="0"/>
          <w:numId w:val="2"/>
        </w:numPr>
        <w:spacing w:after="120"/>
        <w:contextualSpacing w:val="0"/>
        <w:jc w:val="both"/>
      </w:pPr>
      <w:r w:rsidRPr="00992498">
        <w:t xml:space="preserve">The Penal Code mandates that any person convicted of murder shall be sentenced to death. </w:t>
      </w:r>
      <w:r>
        <w:t xml:space="preserve">The mandatory death penalty thereby precludes courts from considering the best interests of </w:t>
      </w:r>
      <w:r w:rsidR="00B66056">
        <w:t>the child when sentencing a parent to death, including a parent who is a nursing mother or a parent of young children, and including when the parent is the child’s sole or primary caregiver</w:t>
      </w:r>
      <w:r w:rsidRPr="00992498">
        <w:t>.</w:t>
      </w:r>
      <w:r>
        <w:rPr>
          <w:rStyle w:val="FootnoteReference"/>
        </w:rPr>
        <w:footnoteReference w:id="35"/>
      </w:r>
      <w:r w:rsidRPr="00992498">
        <w:t xml:space="preserve"> </w:t>
      </w:r>
      <w:r w:rsidR="00704A53">
        <w:t>T</w:t>
      </w:r>
      <w:r w:rsidRPr="00992498">
        <w:t>he African Court on Human and Peoples</w:t>
      </w:r>
      <w:r w:rsidR="00704A53">
        <w:t>’</w:t>
      </w:r>
      <w:r w:rsidRPr="00992498">
        <w:t xml:space="preserve"> Rights </w:t>
      </w:r>
      <w:r w:rsidR="00704A53">
        <w:t xml:space="preserve">has repeatedly ruled that the mandatory death sentence amounts to an arbitrary deprivation of life by denying </w:t>
      </w:r>
      <w:r w:rsidRPr="00992498">
        <w:t>consideration of mitigating factors.</w:t>
      </w:r>
      <w:r>
        <w:rPr>
          <w:rStyle w:val="FootnoteReference"/>
        </w:rPr>
        <w:footnoteReference w:id="36"/>
      </w:r>
      <w:r>
        <w:t xml:space="preserve"> </w:t>
      </w:r>
      <w:r w:rsidRPr="00992498">
        <w:t>Tanzania has not implemented th</w:t>
      </w:r>
      <w:r w:rsidR="00F6420B">
        <w:t>ese</w:t>
      </w:r>
      <w:r w:rsidRPr="00992498">
        <w:t xml:space="preserve"> judgment</w:t>
      </w:r>
      <w:r w:rsidR="00F6420B">
        <w:t>s</w:t>
      </w:r>
      <w:r w:rsidR="00D64F7A">
        <w:t xml:space="preserve">. Instead, Tanzania withdrew </w:t>
      </w:r>
      <w:r w:rsidRPr="00992498">
        <w:t>the right of individuals and NGOs to file cases directly against it at the African Court</w:t>
      </w:r>
      <w:r w:rsidR="002776A7">
        <w:t xml:space="preserve">. In so doing, Tanzania closed </w:t>
      </w:r>
      <w:r w:rsidRPr="00992498">
        <w:t xml:space="preserve">off the main regional avenue </w:t>
      </w:r>
      <w:r w:rsidR="002776A7">
        <w:t xml:space="preserve">for challenging the </w:t>
      </w:r>
      <w:r w:rsidRPr="00992498">
        <w:t xml:space="preserve">mandatory </w:t>
      </w:r>
      <w:r w:rsidR="002776A7">
        <w:t>death penalty</w:t>
      </w:r>
      <w:r w:rsidRPr="00992498">
        <w:t>.</w:t>
      </w:r>
      <w:r>
        <w:rPr>
          <w:rStyle w:val="FootnoteReference"/>
        </w:rPr>
        <w:footnoteReference w:id="37"/>
      </w:r>
    </w:p>
    <w:p w14:paraId="3A2D2907" w14:textId="041E6EAC" w:rsidR="00992498" w:rsidRPr="00141456" w:rsidRDefault="00613932" w:rsidP="00141456">
      <w:pPr>
        <w:numPr>
          <w:ilvl w:val="0"/>
          <w:numId w:val="3"/>
        </w:numPr>
        <w:spacing w:before="240" w:after="120"/>
        <w:jc w:val="both"/>
        <w:rPr>
          <w:b/>
        </w:rPr>
      </w:pPr>
      <w:r w:rsidRPr="00141456">
        <w:rPr>
          <w:b/>
        </w:rPr>
        <w:t xml:space="preserve">Tanzania fails to </w:t>
      </w:r>
      <w:r w:rsidR="00326332">
        <w:rPr>
          <w:b/>
        </w:rPr>
        <w:t xml:space="preserve">protect the rights of </w:t>
      </w:r>
      <w:r w:rsidR="00F67B62" w:rsidRPr="00141456">
        <w:rPr>
          <w:b/>
        </w:rPr>
        <w:t>the child when incarcerating children with their mothers</w:t>
      </w:r>
      <w:r w:rsidR="00476F12" w:rsidRPr="00141456">
        <w:rPr>
          <w:b/>
        </w:rPr>
        <w:t xml:space="preserve"> (List of Issues para. </w:t>
      </w:r>
      <w:r w:rsidR="00D5705D" w:rsidRPr="00141456">
        <w:rPr>
          <w:b/>
        </w:rPr>
        <w:t>9(e)</w:t>
      </w:r>
      <w:r w:rsidR="00476F12" w:rsidRPr="00141456">
        <w:rPr>
          <w:b/>
        </w:rPr>
        <w:t>)</w:t>
      </w:r>
      <w:r w:rsidR="00141456">
        <w:rPr>
          <w:b/>
        </w:rPr>
        <w:t>.</w:t>
      </w:r>
    </w:p>
    <w:p w14:paraId="0C7E1779" w14:textId="44993614" w:rsidR="00141456" w:rsidRDefault="00141456" w:rsidP="00A229E5">
      <w:pPr>
        <w:pStyle w:val="ListParagraph"/>
        <w:numPr>
          <w:ilvl w:val="0"/>
          <w:numId w:val="2"/>
        </w:numPr>
        <w:spacing w:after="120"/>
        <w:contextualSpacing w:val="0"/>
        <w:jc w:val="both"/>
      </w:pPr>
      <w:r>
        <w:t xml:space="preserve">The Committee requested information about steps taken to ensure that </w:t>
      </w:r>
      <w:r w:rsidR="00961636">
        <w:t>children who are incarcerated with their mothers live in separate facilities from the general prison population.</w:t>
      </w:r>
      <w:r w:rsidR="00961636">
        <w:rPr>
          <w:rStyle w:val="FootnoteReference"/>
        </w:rPr>
        <w:footnoteReference w:id="38"/>
      </w:r>
    </w:p>
    <w:p w14:paraId="18CD19E2" w14:textId="5F8F9C18" w:rsidR="00A51DCE" w:rsidRDefault="0088522F" w:rsidP="00A229E5">
      <w:pPr>
        <w:pStyle w:val="ListParagraph"/>
        <w:numPr>
          <w:ilvl w:val="0"/>
          <w:numId w:val="2"/>
        </w:numPr>
        <w:spacing w:after="120"/>
        <w:contextualSpacing w:val="0"/>
        <w:jc w:val="both"/>
      </w:pPr>
      <w:r>
        <w:t xml:space="preserve">Tanzania has made no meaningful progress toward ensuring that children and their mothers live in separate facilities. </w:t>
      </w:r>
      <w:r w:rsidR="00C30C47">
        <w:t xml:space="preserve">The </w:t>
      </w:r>
      <w:r w:rsidR="00CF51E0" w:rsidRPr="00992498">
        <w:t xml:space="preserve">Prisons Act permits an infant child of a </w:t>
      </w:r>
      <w:r w:rsidR="00B40459">
        <w:t xml:space="preserve">woman serving a sentence </w:t>
      </w:r>
      <w:r w:rsidR="00CF51E0" w:rsidRPr="00992498">
        <w:t xml:space="preserve">to be received into prison with its mother and provides that such a child shall receive all necessaries. In practice, </w:t>
      </w:r>
      <w:r w:rsidR="00B40459">
        <w:t xml:space="preserve">prison authorities do not comply with </w:t>
      </w:r>
      <w:r w:rsidR="00CF51E0" w:rsidRPr="00992498">
        <w:t>this legal guarantee. LHRC’s empirical research, including testimony from Rose Malle, Executive Director of the Ex-Prisoner Foundation, who spent five years on death row, documents a systemic failure to protect children living within prison facilities.</w:t>
      </w:r>
      <w:r w:rsidR="00CF51E0">
        <w:rPr>
          <w:rStyle w:val="FootnoteReference"/>
        </w:rPr>
        <w:footnoteReference w:id="39"/>
      </w:r>
      <w:r w:rsidR="00CF51E0" w:rsidRPr="00992498">
        <w:t xml:space="preserve"> </w:t>
      </w:r>
      <w:r w:rsidR="00DD3D5F">
        <w:t xml:space="preserve">Prisons do not provide </w:t>
      </w:r>
      <w:r w:rsidR="00F26640">
        <w:lastRenderedPageBreak/>
        <w:t xml:space="preserve">children incarcerated with their mothers with </w:t>
      </w:r>
      <w:r w:rsidR="00CF51E0" w:rsidRPr="00992498">
        <w:t>designated safe spaces to sleep or play</w:t>
      </w:r>
      <w:r w:rsidR="00F26640">
        <w:t xml:space="preserve">. Prisons do not provide children with </w:t>
      </w:r>
      <w:r w:rsidR="00CF51E0" w:rsidRPr="00992498">
        <w:t>age-appropriate nutrition</w:t>
      </w:r>
      <w:r w:rsidR="0030268A">
        <w:t xml:space="preserve">, nor do they provide lactating mothers with </w:t>
      </w:r>
      <w:r w:rsidR="00CF51E0" w:rsidRPr="00992498">
        <w:t>specialized dietary support</w:t>
      </w:r>
      <w:r w:rsidR="0030268A">
        <w:t xml:space="preserve">. Children </w:t>
      </w:r>
      <w:r w:rsidR="00CF51E0" w:rsidRPr="00992498">
        <w:t>are exposed to physical searches, corporal punishment, and pervasive verbal abuse</w:t>
      </w:r>
      <w:r>
        <w:t xml:space="preserve">. Prisons lack </w:t>
      </w:r>
      <w:r w:rsidR="00CF51E0" w:rsidRPr="00992498">
        <w:t>any child protection infrastructure or specialist welfare support.</w:t>
      </w:r>
      <w:r w:rsidR="00CF51E0">
        <w:rPr>
          <w:rStyle w:val="FootnoteReference"/>
        </w:rPr>
        <w:footnoteReference w:id="40"/>
      </w:r>
    </w:p>
    <w:p w14:paraId="652B708E" w14:textId="1653202D" w:rsidR="00872375" w:rsidRDefault="00872375" w:rsidP="00A229E5">
      <w:pPr>
        <w:pStyle w:val="ListParagraph"/>
        <w:numPr>
          <w:ilvl w:val="0"/>
          <w:numId w:val="2"/>
        </w:numPr>
        <w:spacing w:after="120"/>
        <w:contextualSpacing w:val="0"/>
        <w:jc w:val="both"/>
      </w:pPr>
      <w:r>
        <w:t>There is little to no effort to ensure that the child’s needs are met while with their mother in prison.</w:t>
      </w:r>
      <w:r>
        <w:rPr>
          <w:vertAlign w:val="superscript"/>
        </w:rPr>
        <w:footnoteReference w:id="41"/>
      </w:r>
      <w:r>
        <w:t xml:space="preserve"> This includes having no appropriate nutrition for children or healthy diets for their mother.</w:t>
      </w:r>
      <w:r>
        <w:rPr>
          <w:vertAlign w:val="superscript"/>
        </w:rPr>
        <w:footnoteReference w:id="42"/>
      </w:r>
      <w:r>
        <w:t xml:space="preserve"> Additionally, there are no designated areas for children to sleep or play separate from the prison population.</w:t>
      </w:r>
      <w:r>
        <w:rPr>
          <w:vertAlign w:val="superscript"/>
        </w:rPr>
        <w:footnoteReference w:id="43"/>
      </w:r>
      <w:r>
        <w:t xml:space="preserve"> Children are fully exposed to violence and abusive speech from prison guards as well as the other inmates.</w:t>
      </w:r>
      <w:r>
        <w:rPr>
          <w:vertAlign w:val="superscript"/>
        </w:rPr>
        <w:footnoteReference w:id="44"/>
      </w:r>
      <w:r w:rsidR="00C371B1">
        <w:t xml:space="preserve"> </w:t>
      </w:r>
      <w:r w:rsidR="003C1DFF">
        <w:t>P</w:t>
      </w:r>
      <w:r w:rsidR="00C371B1">
        <w:t xml:space="preserve">risons are typically </w:t>
      </w:r>
      <w:r w:rsidR="009519F0">
        <w:t>rife with neglect and overcrowding.</w:t>
      </w:r>
      <w:r w:rsidR="009519F0">
        <w:rPr>
          <w:rStyle w:val="FootnoteReference"/>
        </w:rPr>
        <w:footnoteReference w:id="45"/>
      </w:r>
    </w:p>
    <w:p w14:paraId="1AB716E0" w14:textId="1733CD87" w:rsidR="00B826F9" w:rsidRPr="00141456" w:rsidRDefault="00B826F9" w:rsidP="002F7F23">
      <w:pPr>
        <w:keepNext/>
        <w:numPr>
          <w:ilvl w:val="0"/>
          <w:numId w:val="3"/>
        </w:numPr>
        <w:spacing w:before="240" w:after="120"/>
        <w:jc w:val="both"/>
        <w:rPr>
          <w:b/>
        </w:rPr>
      </w:pPr>
      <w:r w:rsidRPr="00141456">
        <w:rPr>
          <w:b/>
        </w:rPr>
        <w:t xml:space="preserve">Tanzania fails to </w:t>
      </w:r>
      <w:r>
        <w:rPr>
          <w:b/>
        </w:rPr>
        <w:t xml:space="preserve">protect the rights of </w:t>
      </w:r>
      <w:r w:rsidRPr="00141456">
        <w:rPr>
          <w:b/>
        </w:rPr>
        <w:t>child</w:t>
      </w:r>
      <w:r w:rsidR="00730C1A">
        <w:rPr>
          <w:b/>
        </w:rPr>
        <w:t>ren who</w:t>
      </w:r>
      <w:r w:rsidR="00A94AE0">
        <w:rPr>
          <w:b/>
        </w:rPr>
        <w:t>se parent</w:t>
      </w:r>
      <w:r w:rsidR="00730C1A">
        <w:rPr>
          <w:b/>
        </w:rPr>
        <w:t xml:space="preserve"> </w:t>
      </w:r>
      <w:r w:rsidR="000A78B8">
        <w:rPr>
          <w:b/>
        </w:rPr>
        <w:t>live</w:t>
      </w:r>
      <w:r w:rsidR="00926783">
        <w:rPr>
          <w:b/>
        </w:rPr>
        <w:t>s</w:t>
      </w:r>
      <w:r w:rsidR="000A78B8">
        <w:rPr>
          <w:b/>
        </w:rPr>
        <w:t xml:space="preserve"> in prison</w:t>
      </w:r>
      <w:r w:rsidR="00ED6F38">
        <w:rPr>
          <w:b/>
        </w:rPr>
        <w:t>, including parents under sentence of death</w:t>
      </w:r>
      <w:r w:rsidR="000A78B8">
        <w:rPr>
          <w:b/>
        </w:rPr>
        <w:t xml:space="preserve"> </w:t>
      </w:r>
      <w:r w:rsidRPr="00141456">
        <w:rPr>
          <w:b/>
        </w:rPr>
        <w:t>(List of Issues para</w:t>
      </w:r>
      <w:r w:rsidR="008774D9">
        <w:rPr>
          <w:b/>
        </w:rPr>
        <w:t>s</w:t>
      </w:r>
      <w:r w:rsidRPr="00141456">
        <w:rPr>
          <w:b/>
        </w:rPr>
        <w:t>.</w:t>
      </w:r>
      <w:r w:rsidR="007342AC">
        <w:rPr>
          <w:b/>
        </w:rPr>
        <w:t xml:space="preserve"> 7,</w:t>
      </w:r>
      <w:r w:rsidRPr="00141456">
        <w:rPr>
          <w:b/>
        </w:rPr>
        <w:t xml:space="preserve"> 9(</w:t>
      </w:r>
      <w:r w:rsidR="000A78B8">
        <w:rPr>
          <w:b/>
        </w:rPr>
        <w:t>a</w:t>
      </w:r>
      <w:r w:rsidRPr="00141456">
        <w:rPr>
          <w:b/>
        </w:rPr>
        <w:t>)</w:t>
      </w:r>
      <w:r w:rsidR="000A78B8">
        <w:rPr>
          <w:b/>
        </w:rPr>
        <w:t xml:space="preserve">-(c), </w:t>
      </w:r>
      <w:r w:rsidR="008774D9">
        <w:rPr>
          <w:b/>
        </w:rPr>
        <w:t>19</w:t>
      </w:r>
      <w:r w:rsidRPr="00141456">
        <w:rPr>
          <w:b/>
        </w:rPr>
        <w:t>)</w:t>
      </w:r>
      <w:r>
        <w:rPr>
          <w:b/>
        </w:rPr>
        <w:t>.</w:t>
      </w:r>
    </w:p>
    <w:p w14:paraId="466E32D8" w14:textId="345ADFF4" w:rsidR="00B826F9" w:rsidRPr="00992498" w:rsidRDefault="008774D9" w:rsidP="004E6C8C">
      <w:pPr>
        <w:pStyle w:val="ListParagraph"/>
        <w:numPr>
          <w:ilvl w:val="0"/>
          <w:numId w:val="2"/>
        </w:numPr>
        <w:spacing w:after="120"/>
        <w:contextualSpacing w:val="0"/>
        <w:jc w:val="both"/>
      </w:pPr>
      <w:r>
        <w:t>The Committee requested information about steps to reform alternative care, to prioritize foster care, and to monitor and inspect unregistered and informal family-based alternative care settings.</w:t>
      </w:r>
      <w:r>
        <w:rPr>
          <w:rStyle w:val="FootnoteReference"/>
        </w:rPr>
        <w:footnoteReference w:id="46"/>
      </w:r>
      <w:r>
        <w:t xml:space="preserve"> The Committee also requested disaggregated data about children deprived of a family environment.</w:t>
      </w:r>
      <w:r>
        <w:rPr>
          <w:rStyle w:val="FootnoteReference"/>
        </w:rPr>
        <w:footnoteReference w:id="47"/>
      </w:r>
    </w:p>
    <w:p w14:paraId="3FDD5EBB" w14:textId="1F09309E" w:rsidR="00E616A1" w:rsidRDefault="00DB4CA0" w:rsidP="004E6C8C">
      <w:pPr>
        <w:pStyle w:val="ListParagraph"/>
        <w:numPr>
          <w:ilvl w:val="0"/>
          <w:numId w:val="2"/>
        </w:numPr>
        <w:spacing w:after="120"/>
        <w:contextualSpacing w:val="0"/>
        <w:jc w:val="both"/>
      </w:pPr>
      <w:r>
        <w:t>Prison authorities do not permit c</w:t>
      </w:r>
      <w:r w:rsidR="00CF51E0" w:rsidRPr="00992498">
        <w:t>hildren living outside prison to visit parents</w:t>
      </w:r>
      <w:r w:rsidR="008C775B">
        <w:t xml:space="preserve"> who are </w:t>
      </w:r>
      <w:r w:rsidR="003C1DFF">
        <w:t>sentenced to death</w:t>
      </w:r>
      <w:r w:rsidR="00CF51E0" w:rsidRPr="00992498">
        <w:t>.</w:t>
      </w:r>
      <w:r w:rsidR="005F7988">
        <w:rPr>
          <w:vertAlign w:val="superscript"/>
        </w:rPr>
        <w:footnoteReference w:id="48"/>
      </w:r>
      <w:r w:rsidR="002B4255">
        <w:t xml:space="preserve"> These</w:t>
      </w:r>
      <w:r w:rsidR="00E616A1" w:rsidRPr="00FF6ECB">
        <w:t xml:space="preserve"> </w:t>
      </w:r>
      <w:r w:rsidR="002B4255">
        <w:t>c</w:t>
      </w:r>
      <w:r w:rsidR="00E616A1" w:rsidRPr="00FF6ECB">
        <w:t xml:space="preserve">hildren </w:t>
      </w:r>
      <w:r w:rsidR="002B4255">
        <w:t xml:space="preserve">therefore </w:t>
      </w:r>
      <w:r w:rsidR="00E616A1">
        <w:t xml:space="preserve">struggle to maintain contact with their parents and </w:t>
      </w:r>
      <w:r w:rsidR="00C438D6">
        <w:t xml:space="preserve">to maintain </w:t>
      </w:r>
      <w:r w:rsidR="00E616A1">
        <w:t>family unity.</w:t>
      </w:r>
      <w:r w:rsidR="00E616A1" w:rsidRPr="00FF6ECB">
        <w:t xml:space="preserve"> </w:t>
      </w:r>
    </w:p>
    <w:p w14:paraId="0F66B079" w14:textId="609BBBCA" w:rsidR="00A51DCE" w:rsidRDefault="00D16D9D" w:rsidP="004E6C8C">
      <w:pPr>
        <w:pStyle w:val="ListParagraph"/>
        <w:numPr>
          <w:ilvl w:val="0"/>
          <w:numId w:val="2"/>
        </w:numPr>
        <w:spacing w:after="120"/>
        <w:contextualSpacing w:val="0"/>
        <w:jc w:val="both"/>
      </w:pPr>
      <w:r>
        <w:t xml:space="preserve">When children living in prison reach </w:t>
      </w:r>
      <w:r w:rsidR="00CF51E0" w:rsidRPr="00992498">
        <w:t>the age of two</w:t>
      </w:r>
      <w:r>
        <w:t xml:space="preserve"> and are </w:t>
      </w:r>
      <w:r w:rsidR="00006D11">
        <w:t xml:space="preserve">presumptively </w:t>
      </w:r>
      <w:r>
        <w:t xml:space="preserve">no longer eligible to live in </w:t>
      </w:r>
      <w:r w:rsidR="007020CE">
        <w:t>prison</w:t>
      </w:r>
      <w:r w:rsidR="00CF51E0" w:rsidRPr="00992498">
        <w:t>,</w:t>
      </w:r>
      <w:r w:rsidR="007020CE">
        <w:t xml:space="preserve"> relatives rarely claim them and </w:t>
      </w:r>
      <w:r w:rsidR="00CF51E0" w:rsidRPr="00992498">
        <w:t xml:space="preserve">religious institutions frequently assume custody. </w:t>
      </w:r>
      <w:r w:rsidR="00A20EB7">
        <w:t>The State makes little effort to reintegrate the departing child.</w:t>
      </w:r>
      <w:r w:rsidR="00A20EB7">
        <w:rPr>
          <w:vertAlign w:val="superscript"/>
        </w:rPr>
        <w:footnoteReference w:id="49"/>
      </w:r>
      <w:r w:rsidR="00A20EB7">
        <w:t xml:space="preserve"> </w:t>
      </w:r>
      <w:r w:rsidR="00CF51E0" w:rsidRPr="00992498">
        <w:t xml:space="preserve">LHRC documented one case in which a child whose mother </w:t>
      </w:r>
      <w:r w:rsidR="007020CE">
        <w:t xml:space="preserve">had been charged with </w:t>
      </w:r>
      <w:r w:rsidR="00CF51E0" w:rsidRPr="00992498">
        <w:t xml:space="preserve">murder remained inside a prison for four years, attending pre-primary school during the day and returning to the prison each afternoon, with no authority intervening to </w:t>
      </w:r>
      <w:r w:rsidR="007D5C57">
        <w:t xml:space="preserve">place the child </w:t>
      </w:r>
      <w:r w:rsidR="00CF51E0" w:rsidRPr="00992498">
        <w:t>in a suitable environment.</w:t>
      </w:r>
      <w:r w:rsidR="00CF51E0">
        <w:rPr>
          <w:rStyle w:val="FootnoteReference"/>
        </w:rPr>
        <w:footnoteReference w:id="50"/>
      </w:r>
    </w:p>
    <w:p w14:paraId="7637839F" w14:textId="6C97FE93" w:rsidR="00C04893" w:rsidRDefault="007342AC" w:rsidP="004E6C8C">
      <w:pPr>
        <w:pStyle w:val="ListParagraph"/>
        <w:numPr>
          <w:ilvl w:val="0"/>
          <w:numId w:val="2"/>
        </w:numPr>
        <w:spacing w:after="120"/>
        <w:contextualSpacing w:val="0"/>
        <w:jc w:val="both"/>
      </w:pPr>
      <w:r>
        <w:t>The Committee also requested information about actions taken to reduce violence against children.</w:t>
      </w:r>
      <w:r>
        <w:rPr>
          <w:rStyle w:val="FootnoteReference"/>
        </w:rPr>
        <w:footnoteReference w:id="51"/>
      </w:r>
      <w:r>
        <w:t xml:space="preserve"> </w:t>
      </w:r>
      <w:r w:rsidR="00CF51E0" w:rsidRPr="00992498">
        <w:t xml:space="preserve">Children placed with relatives while their parents are on death row face serious rights violations. </w:t>
      </w:r>
      <w:r w:rsidR="00E6674E" w:rsidRPr="00CD66CF">
        <w:t xml:space="preserve">LHRC </w:t>
      </w:r>
      <w:r w:rsidR="00E6674E">
        <w:t xml:space="preserve">has found </w:t>
      </w:r>
      <w:r w:rsidR="00E6674E" w:rsidRPr="00CD66CF">
        <w:t>that</w:t>
      </w:r>
      <w:r w:rsidR="00237009">
        <w:t xml:space="preserve"> such</w:t>
      </w:r>
      <w:r w:rsidR="00E6674E" w:rsidRPr="00CD66CF">
        <w:t xml:space="preserve"> children placed with relatives in Tanzania face </w:t>
      </w:r>
      <w:r w:rsidR="00E6674E" w:rsidRPr="00CD66CF">
        <w:lastRenderedPageBreak/>
        <w:t>the possibility of “various forms of sexual violence, including rape, unnatural offences, and other abuses, most of which occur within family settings</w:t>
      </w:r>
      <w:r w:rsidR="00B35FEE">
        <w:t>.</w:t>
      </w:r>
      <w:r w:rsidR="00E6674E" w:rsidRPr="00CD66CF">
        <w:t>”</w:t>
      </w:r>
      <w:r w:rsidR="00E6674E">
        <w:rPr>
          <w:vertAlign w:val="superscript"/>
        </w:rPr>
        <w:footnoteReference w:id="52"/>
      </w:r>
      <w:r w:rsidR="00E6674E" w:rsidRPr="00CD66CF">
        <w:t xml:space="preserve"> </w:t>
      </w:r>
    </w:p>
    <w:p w14:paraId="08687119" w14:textId="77777777" w:rsidR="004E1169" w:rsidRPr="00BA2B3A" w:rsidRDefault="004E1169" w:rsidP="004E1169">
      <w:pPr>
        <w:pStyle w:val="ListParagraph"/>
        <w:numPr>
          <w:ilvl w:val="0"/>
          <w:numId w:val="2"/>
        </w:numPr>
        <w:spacing w:before="240" w:after="120"/>
        <w:contextualSpacing w:val="0"/>
        <w:jc w:val="both"/>
      </w:pPr>
      <w:r>
        <w:t>Children of people sentenced to death also face threats to their right to an adequate standard of living for their “physical, mental, spiritual, moral and social development.”</w:t>
      </w:r>
      <w:r>
        <w:rPr>
          <w:rStyle w:val="FootnoteReference"/>
        </w:rPr>
        <w:footnoteReference w:id="53"/>
      </w:r>
      <w:r>
        <w:t xml:space="preserve"> If the person sentenced to death is the primary breadwinner, then the child is likely to face financial hardship.</w:t>
      </w:r>
      <w:r>
        <w:rPr>
          <w:vertAlign w:val="superscript"/>
        </w:rPr>
        <w:footnoteReference w:id="54"/>
      </w:r>
      <w:r>
        <w:t xml:space="preserve"> Tanzanian authorities provide some financial support to impoverished families for purposes of health care and education through the Tanzania Social Action Fund (TASAF). Children of people sentenced to death, however, may not know about the fund or how to access such support.</w:t>
      </w:r>
      <w:r>
        <w:rPr>
          <w:rStyle w:val="FootnoteReference"/>
        </w:rPr>
        <w:footnoteReference w:id="55"/>
      </w:r>
      <w:r>
        <w:t xml:space="preserve"> </w:t>
      </w:r>
    </w:p>
    <w:p w14:paraId="078B3883" w14:textId="7B45B090" w:rsidR="00FD4698" w:rsidRPr="00992498" w:rsidRDefault="00BA233D" w:rsidP="004E6C8C">
      <w:pPr>
        <w:pStyle w:val="ListParagraph"/>
        <w:numPr>
          <w:ilvl w:val="0"/>
          <w:numId w:val="2"/>
        </w:numPr>
        <w:spacing w:after="120"/>
        <w:contextualSpacing w:val="0"/>
        <w:jc w:val="both"/>
      </w:pPr>
      <w:r>
        <w:t>Lacking such financial support, c</w:t>
      </w:r>
      <w:r w:rsidR="0091484F">
        <w:t xml:space="preserve">hildren of people sentenced to death often face violations of their right to education. </w:t>
      </w:r>
      <w:r w:rsidR="00FD4698">
        <w:t xml:space="preserve">LHRC has documented the case of C.M., who was two years old when </w:t>
      </w:r>
      <w:r w:rsidR="005F0170">
        <w:t xml:space="preserve">a court convicted </w:t>
      </w:r>
      <w:r w:rsidR="00FD4698">
        <w:t xml:space="preserve">his father and sentenced </w:t>
      </w:r>
      <w:r w:rsidR="005F0170">
        <w:t xml:space="preserve">him </w:t>
      </w:r>
      <w:r w:rsidR="00FD4698">
        <w:t>to death</w:t>
      </w:r>
      <w:r w:rsidR="005F0170">
        <w:t xml:space="preserve">. C.M. had </w:t>
      </w:r>
      <w:r w:rsidR="00FD4698">
        <w:t>to drop out of school because he was unable to pay the associated costs on his own.</w:t>
      </w:r>
      <w:r w:rsidR="00FD4698">
        <w:rPr>
          <w:rStyle w:val="FootnoteReference"/>
        </w:rPr>
        <w:footnoteReference w:id="56"/>
      </w:r>
      <w:r w:rsidR="00FD4698">
        <w:t xml:space="preserve"> </w:t>
      </w:r>
      <w:r w:rsidR="00FD4698" w:rsidRPr="00436A70">
        <w:t xml:space="preserve">LHRC </w:t>
      </w:r>
      <w:r w:rsidR="00AE047B">
        <w:t xml:space="preserve">has </w:t>
      </w:r>
      <w:r w:rsidR="00FD4698">
        <w:t xml:space="preserve">found </w:t>
      </w:r>
      <w:r w:rsidR="00FD4698" w:rsidRPr="00436A70">
        <w:t>that children</w:t>
      </w:r>
      <w:r w:rsidR="00AE047B">
        <w:t xml:space="preserve"> of people sentenced to death</w:t>
      </w:r>
      <w:r w:rsidR="00FD4698" w:rsidRPr="00436A70">
        <w:t xml:space="preserve"> are “frequently denied their right to education</w:t>
      </w:r>
      <w:r w:rsidR="0091484F">
        <w:t>.</w:t>
      </w:r>
      <w:r w:rsidR="00FD4698" w:rsidRPr="00436A70">
        <w:t>”</w:t>
      </w:r>
      <w:r w:rsidR="00FD4698">
        <w:rPr>
          <w:vertAlign w:val="superscript"/>
        </w:rPr>
        <w:footnoteReference w:id="57"/>
      </w:r>
    </w:p>
    <w:p w14:paraId="44A77755" w14:textId="76F43B1E" w:rsidR="00D60AD6" w:rsidRDefault="009270CA" w:rsidP="004E6C8C">
      <w:pPr>
        <w:pStyle w:val="ListParagraph"/>
        <w:numPr>
          <w:ilvl w:val="0"/>
          <w:numId w:val="2"/>
        </w:numPr>
        <w:spacing w:after="120"/>
        <w:contextualSpacing w:val="0"/>
        <w:jc w:val="both"/>
      </w:pPr>
      <w:r>
        <w:t xml:space="preserve">Children </w:t>
      </w:r>
      <w:r w:rsidR="00CF51E0" w:rsidRPr="00992498">
        <w:t xml:space="preserve">who attend school face bullying and social exclusion, including stigmatizing labels such as </w:t>
      </w:r>
      <w:r>
        <w:t>“</w:t>
      </w:r>
      <w:r w:rsidR="00CF51E0" w:rsidRPr="00992498">
        <w:t>the murderer’s child,</w:t>
      </w:r>
      <w:r>
        <w:t>”</w:t>
      </w:r>
      <w:r w:rsidR="00CF51E0" w:rsidRPr="00992498">
        <w:t xml:space="preserve"> causing further psychological distress.</w:t>
      </w:r>
      <w:r w:rsidR="00CF51E0">
        <w:rPr>
          <w:rStyle w:val="FootnoteReference"/>
        </w:rPr>
        <w:footnoteReference w:id="58"/>
      </w:r>
      <w:r w:rsidR="00CF51E0" w:rsidRPr="00992498">
        <w:t xml:space="preserve"> </w:t>
      </w:r>
    </w:p>
    <w:p w14:paraId="6799C61A" w14:textId="1FFA69C5" w:rsidR="00D60AD6" w:rsidRDefault="00CF51E0" w:rsidP="004E6C8C">
      <w:pPr>
        <w:pStyle w:val="ListParagraph"/>
        <w:numPr>
          <w:ilvl w:val="0"/>
          <w:numId w:val="2"/>
        </w:numPr>
        <w:spacing w:after="120"/>
        <w:contextualSpacing w:val="0"/>
        <w:jc w:val="both"/>
      </w:pPr>
      <w:r w:rsidRPr="00992498">
        <w:t>The UN Special Representative of the Secretary-General on Violence against Children has documented that children of parents sentenced to death face multiple, compounding forms of discrimination and are at heightened risk of post-traumatic stress disorder, eating and sleeping disorders, self-exclusion, and loss of interest in education, findings consistent with LHRC’s own research.</w:t>
      </w:r>
      <w:r>
        <w:rPr>
          <w:rStyle w:val="FootnoteReference"/>
        </w:rPr>
        <w:footnoteReference w:id="59"/>
      </w:r>
      <w:r w:rsidRPr="00992498">
        <w:t xml:space="preserve"> </w:t>
      </w:r>
    </w:p>
    <w:p w14:paraId="00089A42" w14:textId="1EA12980" w:rsidR="009519F0" w:rsidRPr="00992498" w:rsidRDefault="00A3154B" w:rsidP="00926783">
      <w:pPr>
        <w:pStyle w:val="ListParagraph"/>
        <w:numPr>
          <w:ilvl w:val="0"/>
          <w:numId w:val="2"/>
        </w:numPr>
        <w:spacing w:after="120"/>
        <w:contextualSpacing w:val="0"/>
        <w:jc w:val="both"/>
      </w:pPr>
      <w:r>
        <w:t xml:space="preserve">A recent study </w:t>
      </w:r>
      <w:r w:rsidR="0081265B">
        <w:t xml:space="preserve">in another jurisdiction </w:t>
      </w:r>
      <w:r>
        <w:t xml:space="preserve">highlighted that children with incarcerated parents were approximately twice as likely to </w:t>
      </w:r>
      <w:r w:rsidR="006164ED">
        <w:t>experience post-traumatic stress disorder</w:t>
      </w:r>
      <w:r>
        <w:t xml:space="preserve"> and depression as their peers.</w:t>
      </w:r>
      <w:r>
        <w:rPr>
          <w:rStyle w:val="FootnoteReference"/>
        </w:rPr>
        <w:footnoteReference w:id="60"/>
      </w:r>
      <w:r>
        <w:t xml:space="preserve"> </w:t>
      </w:r>
      <w:r w:rsidR="006164ED">
        <w:t>T</w:t>
      </w:r>
      <w:r>
        <w:t>he “anticipatory grief” o</w:t>
      </w:r>
      <w:r w:rsidR="0063170D">
        <w:t>ver the prospect of</w:t>
      </w:r>
      <w:r>
        <w:t xml:space="preserve"> losing their parental figure is a particularly harmful outcome.</w:t>
      </w:r>
      <w:r>
        <w:rPr>
          <w:rStyle w:val="FootnoteReference"/>
        </w:rPr>
        <w:footnoteReference w:id="61"/>
      </w:r>
      <w:r>
        <w:t xml:space="preserve"> </w:t>
      </w:r>
    </w:p>
    <w:p w14:paraId="1151C590" w14:textId="132B2EAF" w:rsidR="00992498" w:rsidRPr="00333196" w:rsidRDefault="00333196" w:rsidP="00333196">
      <w:pPr>
        <w:keepNext/>
        <w:numPr>
          <w:ilvl w:val="0"/>
          <w:numId w:val="3"/>
        </w:numPr>
        <w:spacing w:before="240" w:after="120"/>
        <w:jc w:val="both"/>
        <w:rPr>
          <w:b/>
        </w:rPr>
      </w:pPr>
      <w:r w:rsidRPr="00333196">
        <w:rPr>
          <w:b/>
        </w:rPr>
        <w:lastRenderedPageBreak/>
        <w:t>Tanzania does not exempt from the death penalty nursing mothers or other parents of very young children.</w:t>
      </w:r>
    </w:p>
    <w:p w14:paraId="5813E61B" w14:textId="4E2D5F83" w:rsidR="00A32C84" w:rsidRDefault="00083FFF" w:rsidP="00114504">
      <w:pPr>
        <w:pStyle w:val="ListParagraph"/>
        <w:numPr>
          <w:ilvl w:val="0"/>
          <w:numId w:val="2"/>
        </w:numPr>
        <w:spacing w:after="120"/>
        <w:contextualSpacing w:val="0"/>
        <w:jc w:val="both"/>
      </w:pPr>
      <w:r>
        <w:t xml:space="preserve">Tanzanian authorities do not publish records </w:t>
      </w:r>
      <w:r w:rsidR="000B23A0">
        <w:t xml:space="preserve">about </w:t>
      </w:r>
      <w:r w:rsidR="00A32C84" w:rsidRPr="00992498">
        <w:t>the number of pregnant women who received life imprisonment rather than a death sentence</w:t>
      </w:r>
      <w:r w:rsidR="000B23A0">
        <w:t>. It is therefore unclear whether or to what extent courts adhere to the prohibition against such death sentences.</w:t>
      </w:r>
    </w:p>
    <w:p w14:paraId="3A8CF8D9" w14:textId="0F309FFB" w:rsidR="006767AF" w:rsidRDefault="00C83D8A" w:rsidP="00114504">
      <w:pPr>
        <w:pStyle w:val="ListParagraph"/>
        <w:numPr>
          <w:ilvl w:val="0"/>
          <w:numId w:val="2"/>
        </w:numPr>
        <w:spacing w:after="120"/>
        <w:contextualSpacing w:val="0"/>
        <w:jc w:val="both"/>
      </w:pPr>
      <w:r>
        <w:t xml:space="preserve">LHRC is particularly concerned that Tanzanian law does not </w:t>
      </w:r>
      <w:r w:rsidRPr="00992498">
        <w:t xml:space="preserve">exempt </w:t>
      </w:r>
      <w:r>
        <w:t xml:space="preserve">from the death penalty </w:t>
      </w:r>
      <w:r w:rsidRPr="00992498">
        <w:t>nursing mothers or primary caregivers of young children, a gap that the Legal and Human Rights Centre (LHRC) has identified as an important area for advocacy.</w:t>
      </w:r>
      <w:r>
        <w:rPr>
          <w:rStyle w:val="FootnoteReference"/>
        </w:rPr>
        <w:footnoteReference w:id="62"/>
      </w:r>
      <w:r>
        <w:t xml:space="preserve"> </w:t>
      </w:r>
      <w:r w:rsidR="00B363A2">
        <w:t xml:space="preserve">The </w:t>
      </w:r>
      <w:r w:rsidR="00CF51E0" w:rsidRPr="00992498">
        <w:t>Penal Code exempts pregnant women from the death penalty but provides no equivalent protection for nursing mothers or primary caregivers of young children</w:t>
      </w:r>
      <w:r w:rsidR="00B363A2">
        <w:t>.</w:t>
      </w:r>
      <w:r w:rsidR="00CF51E0">
        <w:rPr>
          <w:rStyle w:val="FootnoteReference"/>
        </w:rPr>
        <w:footnoteReference w:id="63"/>
      </w:r>
      <w:r w:rsidR="00CF51E0" w:rsidRPr="00992498">
        <w:t xml:space="preserve"> </w:t>
      </w:r>
      <w:r w:rsidR="006767AF">
        <w:t xml:space="preserve">The mandatory death penalty for murder bars sentencing courts from considering whether a parent is </w:t>
      </w:r>
      <w:r w:rsidR="006767AF" w:rsidRPr="00992498">
        <w:t xml:space="preserve">nursing or </w:t>
      </w:r>
      <w:r w:rsidR="006767AF">
        <w:t xml:space="preserve">has </w:t>
      </w:r>
      <w:r w:rsidR="006767AF" w:rsidRPr="00992498">
        <w:t>young children.</w:t>
      </w:r>
      <w:r w:rsidR="006767AF">
        <w:rPr>
          <w:rStyle w:val="FootnoteReference"/>
        </w:rPr>
        <w:footnoteReference w:id="64"/>
      </w:r>
      <w:r w:rsidR="006767AF">
        <w:t xml:space="preserve"> </w:t>
      </w:r>
    </w:p>
    <w:p w14:paraId="67E727B8" w14:textId="0AD18BBC" w:rsidR="005E5AB6" w:rsidRPr="00992498" w:rsidRDefault="00B363A2" w:rsidP="00114504">
      <w:pPr>
        <w:pStyle w:val="ListParagraph"/>
        <w:numPr>
          <w:ilvl w:val="0"/>
          <w:numId w:val="2"/>
        </w:numPr>
        <w:spacing w:after="120"/>
        <w:contextualSpacing w:val="0"/>
        <w:jc w:val="both"/>
      </w:pPr>
      <w:r>
        <w:t xml:space="preserve">This gap conflicts with </w:t>
      </w:r>
      <w:r w:rsidR="0008255F">
        <w:t>a variety of international human rights standards, including</w:t>
      </w:r>
      <w:r w:rsidR="009E6931">
        <w:t>:</w:t>
      </w:r>
      <w:r w:rsidR="0008255F">
        <w:t xml:space="preserve"> </w:t>
      </w:r>
      <w:r w:rsidR="00B8474F">
        <w:t>the African Charter on the Rights and Welfare of the Child</w:t>
      </w:r>
      <w:r w:rsidR="00CF51E0" w:rsidRPr="00992498">
        <w:t>, which requires States to ensure that a death sentence shall not be imposed on mothers of infants and young children</w:t>
      </w:r>
      <w:r w:rsidR="00CF51E0">
        <w:rPr>
          <w:rStyle w:val="FootnoteReference"/>
        </w:rPr>
        <w:footnoteReference w:id="65"/>
      </w:r>
      <w:r w:rsidR="009E6931">
        <w:t xml:space="preserve">; </w:t>
      </w:r>
      <w:r w:rsidR="00CF51E0" w:rsidRPr="00992498">
        <w:t>the ECOSOC Safeguards</w:t>
      </w:r>
      <w:r w:rsidR="009E6931">
        <w:t>, which</w:t>
      </w:r>
      <w:r w:rsidR="00CF51E0" w:rsidRPr="00992498">
        <w:t xml:space="preserve"> provide that a death sentence shall not be carried out on </w:t>
      </w:r>
      <w:r w:rsidR="004026F2">
        <w:t>“</w:t>
      </w:r>
      <w:r w:rsidR="00CF51E0" w:rsidRPr="00992498">
        <w:t>new mothers</w:t>
      </w:r>
      <w:r w:rsidR="004026F2">
        <w:t>”</w:t>
      </w:r>
      <w:r w:rsidR="00CF51E0" w:rsidRPr="00992498">
        <w:t>; the Maputo Protocol</w:t>
      </w:r>
      <w:r w:rsidR="00D00D85">
        <w:t>, which</w:t>
      </w:r>
      <w:r w:rsidR="00CF51E0" w:rsidRPr="00992498">
        <w:t xml:space="preserve"> prohibits execution of </w:t>
      </w:r>
      <w:r w:rsidR="004026F2">
        <w:t>“</w:t>
      </w:r>
      <w:r w:rsidR="00CF51E0" w:rsidRPr="00992498">
        <w:t>nursing women</w:t>
      </w:r>
      <w:r w:rsidR="004026F2">
        <w:t>”</w:t>
      </w:r>
      <w:r w:rsidR="00CF51E0" w:rsidRPr="00992498">
        <w:t xml:space="preserve">; </w:t>
      </w:r>
      <w:r w:rsidR="00114504">
        <w:t xml:space="preserve">and </w:t>
      </w:r>
      <w:r w:rsidR="00CF51E0" w:rsidRPr="00992498">
        <w:t>the EU Guidelines on the Death Penalty</w:t>
      </w:r>
      <w:r w:rsidR="00D00D85">
        <w:t>, which</w:t>
      </w:r>
      <w:r w:rsidR="00CF51E0" w:rsidRPr="00992498">
        <w:t xml:space="preserve"> bar capital punishment for </w:t>
      </w:r>
      <w:r w:rsidR="00114504">
        <w:t>“</w:t>
      </w:r>
      <w:r w:rsidR="00CF51E0" w:rsidRPr="00992498">
        <w:t>new mothers</w:t>
      </w:r>
      <w:r w:rsidR="00D00D85">
        <w:t>.</w:t>
      </w:r>
      <w:r w:rsidR="00114504">
        <w:t>”</w:t>
      </w:r>
      <w:r w:rsidR="00CF51E0" w:rsidRPr="00992498">
        <w:t xml:space="preserve"> </w:t>
      </w:r>
      <w:r w:rsidR="00293D05">
        <w:t xml:space="preserve">The African Committee of Experts on the Rights and Welfare of the Child has extended </w:t>
      </w:r>
      <w:r w:rsidR="00CF51E0" w:rsidRPr="00992498">
        <w:t>these protections to fathers and any primary caregiver.</w:t>
      </w:r>
      <w:r w:rsidR="00CF51E0">
        <w:rPr>
          <w:rStyle w:val="FootnoteReference"/>
        </w:rPr>
        <w:footnoteReference w:id="66"/>
      </w:r>
    </w:p>
    <w:p w14:paraId="59ED131D" w14:textId="77777777" w:rsidR="0063728A" w:rsidRPr="009B7A9C" w:rsidRDefault="00CF51E0" w:rsidP="009B7A9C">
      <w:pPr>
        <w:numPr>
          <w:ilvl w:val="0"/>
          <w:numId w:val="3"/>
        </w:numPr>
        <w:spacing w:before="240" w:after="120"/>
        <w:jc w:val="both"/>
        <w:rPr>
          <w:b/>
        </w:rPr>
      </w:pPr>
      <w:r w:rsidRPr="009B7A9C">
        <w:rPr>
          <w:b/>
        </w:rPr>
        <w:t>Recommendations</w:t>
      </w:r>
    </w:p>
    <w:p w14:paraId="77032FED" w14:textId="7D5DE0AF" w:rsidR="00F658EE" w:rsidRDefault="00CF51E0" w:rsidP="009B7A9C">
      <w:pPr>
        <w:pStyle w:val="ListParagraph"/>
        <w:numPr>
          <w:ilvl w:val="0"/>
          <w:numId w:val="2"/>
        </w:numPr>
        <w:spacing w:before="240" w:after="120"/>
        <w:contextualSpacing w:val="0"/>
        <w:jc w:val="both"/>
        <w:rPr>
          <w:kern w:val="0"/>
          <w:lang w:eastAsia="en-US"/>
        </w:rPr>
      </w:pPr>
      <w:r>
        <w:rPr>
          <w:rStyle w:val="ParagraphChar"/>
        </w:rPr>
        <w:t xml:space="preserve">The coauthors suggest that the </w:t>
      </w:r>
      <w:r w:rsidRPr="002E3DC5">
        <w:t>Committee</w:t>
      </w:r>
      <w:r>
        <w:rPr>
          <w:rStyle w:val="ParagraphChar"/>
        </w:rPr>
        <w:t xml:space="preserve"> recommend that the </w:t>
      </w:r>
      <w:r w:rsidR="009B7A9C">
        <w:rPr>
          <w:rStyle w:val="ParagraphChar"/>
        </w:rPr>
        <w:t>G</w:t>
      </w:r>
      <w:r>
        <w:rPr>
          <w:rStyle w:val="ParagraphChar"/>
        </w:rPr>
        <w:t xml:space="preserve">overnment of </w:t>
      </w:r>
      <w:r w:rsidR="005930B6" w:rsidRPr="005930B6">
        <w:rPr>
          <w:rStyle w:val="ParagraphChar"/>
        </w:rPr>
        <w:t>Tanzania</w:t>
      </w:r>
      <w:r>
        <w:t>:</w:t>
      </w:r>
    </w:p>
    <w:p w14:paraId="5052829E" w14:textId="6426B2ED" w:rsidR="0063728A" w:rsidRDefault="00CF51E0" w:rsidP="00376AED">
      <w:pPr>
        <w:pStyle w:val="ListParagraph"/>
        <w:numPr>
          <w:ilvl w:val="0"/>
          <w:numId w:val="8"/>
        </w:numPr>
        <w:spacing w:after="120"/>
        <w:contextualSpacing w:val="0"/>
        <w:jc w:val="both"/>
      </w:pPr>
      <w:r>
        <w:t>Abolish the death penalty and replace it with penalties that are fair, proportionate, and consistent with international human rights standards.</w:t>
      </w:r>
    </w:p>
    <w:p w14:paraId="521D7A7E" w14:textId="77777777" w:rsidR="00051516" w:rsidRDefault="00CF51E0" w:rsidP="00376AED">
      <w:pPr>
        <w:pStyle w:val="ListParagraph"/>
        <w:numPr>
          <w:ilvl w:val="0"/>
          <w:numId w:val="8"/>
        </w:numPr>
        <w:spacing w:after="120"/>
        <w:contextualSpacing w:val="0"/>
        <w:jc w:val="both"/>
      </w:pPr>
      <w:r>
        <w:t>In the interim</w:t>
      </w:r>
      <w:r w:rsidR="00051516">
        <w:t>:</w:t>
      </w:r>
      <w:r>
        <w:t xml:space="preserve"> </w:t>
      </w:r>
    </w:p>
    <w:p w14:paraId="61CBC30F" w14:textId="77CE8E66" w:rsidR="00051516" w:rsidRDefault="00051516" w:rsidP="00376AED">
      <w:pPr>
        <w:pStyle w:val="ListParagraph"/>
        <w:numPr>
          <w:ilvl w:val="1"/>
          <w:numId w:val="8"/>
        </w:numPr>
        <w:spacing w:after="120"/>
        <w:contextualSpacing w:val="0"/>
        <w:jc w:val="both"/>
      </w:pPr>
      <w:r>
        <w:t>E</w:t>
      </w:r>
      <w:r w:rsidR="00CF51E0">
        <w:t>stablish a de jure moratorium on executions.</w:t>
      </w:r>
    </w:p>
    <w:p w14:paraId="46B13D39" w14:textId="74727B98" w:rsidR="00AE1B26" w:rsidRDefault="00AE1B26" w:rsidP="00376AED">
      <w:pPr>
        <w:pStyle w:val="ListParagraph"/>
        <w:numPr>
          <w:ilvl w:val="1"/>
          <w:numId w:val="8"/>
        </w:numPr>
        <w:spacing w:after="120"/>
        <w:contextualSpacing w:val="0"/>
        <w:jc w:val="both"/>
      </w:pPr>
      <w:r>
        <w:t xml:space="preserve">Amend the Penal Code, or issue binding procedural guidance, to require police, prosecutors, and courts to initiate an age-determination inquiry in every case where a </w:t>
      </w:r>
      <w:r w:rsidR="002A3A1E">
        <w:t xml:space="preserve">person </w:t>
      </w:r>
      <w:r>
        <w:t>facing a capital charge may be a child.</w:t>
      </w:r>
    </w:p>
    <w:p w14:paraId="37E32620" w14:textId="77777777" w:rsidR="002A3A1E" w:rsidRDefault="002A3A1E" w:rsidP="00376AED">
      <w:pPr>
        <w:pStyle w:val="ListParagraph"/>
        <w:numPr>
          <w:ilvl w:val="1"/>
          <w:numId w:val="8"/>
        </w:numPr>
        <w:spacing w:after="120"/>
        <w:contextualSpacing w:val="0"/>
        <w:jc w:val="both"/>
      </w:pPr>
      <w:r>
        <w:t>Fund independent medical age-assessment expert assessments under the legal aid scheme for capital cases, including by raising the fee cap under the Legal Aid (Remuneration of Advocates) Rules, 2019, so that defense counsel can commission qualified forensic experts when documentary evidence of age is unavailable or contested.</w:t>
      </w:r>
    </w:p>
    <w:p w14:paraId="676049BA" w14:textId="77777777" w:rsidR="00117C4D" w:rsidRDefault="00117C4D" w:rsidP="00376AED">
      <w:pPr>
        <w:pStyle w:val="ListParagraph"/>
        <w:numPr>
          <w:ilvl w:val="1"/>
          <w:numId w:val="8"/>
        </w:numPr>
        <w:spacing w:after="120"/>
        <w:contextualSpacing w:val="0"/>
        <w:jc w:val="both"/>
      </w:pPr>
      <w:r>
        <w:lastRenderedPageBreak/>
        <w:t>Investigate and end the practice law enforcement officials coercing age admissions from suspected children in contact with the law, and ensure that courts refrain from considering any confession or age admission obtained through coercion in capital proceedings.</w:t>
      </w:r>
    </w:p>
    <w:p w14:paraId="3A9DED3F" w14:textId="77777777" w:rsidR="00465A66" w:rsidRDefault="007679C0" w:rsidP="00376AED">
      <w:pPr>
        <w:pStyle w:val="ListParagraph"/>
        <w:numPr>
          <w:ilvl w:val="1"/>
          <w:numId w:val="8"/>
        </w:numPr>
        <w:spacing w:after="120"/>
        <w:contextualSpacing w:val="0"/>
        <w:jc w:val="both"/>
      </w:pPr>
      <w:r>
        <w:t>Direct all sentencing courts to exercise discretion</w:t>
      </w:r>
      <w:r w:rsidR="004D36D4">
        <w:t xml:space="preserve"> and consider mitigating factors in determining an appropriate sentence </w:t>
      </w:r>
      <w:r w:rsidR="00CF51E0">
        <w:t>for murder and treason under Sections 39, 40, and 197 of the Penal Code</w:t>
      </w:r>
      <w:r w:rsidR="00465A66">
        <w:t>.</w:t>
      </w:r>
    </w:p>
    <w:p w14:paraId="5FECE760" w14:textId="21C3A09A" w:rsidR="0063728A" w:rsidRDefault="00465A66" w:rsidP="00376AED">
      <w:pPr>
        <w:pStyle w:val="ListParagraph"/>
        <w:numPr>
          <w:ilvl w:val="1"/>
          <w:numId w:val="8"/>
        </w:numPr>
        <w:spacing w:after="120"/>
        <w:contextualSpacing w:val="0"/>
        <w:jc w:val="both"/>
      </w:pPr>
      <w:r>
        <w:t>I</w:t>
      </w:r>
      <w:r w:rsidR="00BB2959">
        <w:t xml:space="preserve">ssue a specific directive instructing </w:t>
      </w:r>
      <w:r w:rsidR="00AA6CF3">
        <w:t xml:space="preserve">all </w:t>
      </w:r>
      <w:r w:rsidR="00BB2959">
        <w:t>sentencing courts to consider</w:t>
      </w:r>
      <w:r w:rsidR="009C5FD4">
        <w:t>, when sentencing a parent or primary caregiver</w:t>
      </w:r>
      <w:r w:rsidR="00676A86">
        <w:t>: (1)</w:t>
      </w:r>
      <w:r w:rsidR="00D267B7">
        <w:t xml:space="preserve"> the best interests of any minor children </w:t>
      </w:r>
      <w:r w:rsidR="00676A86">
        <w:t xml:space="preserve">who had been in </w:t>
      </w:r>
      <w:r w:rsidR="00D267B7">
        <w:t xml:space="preserve">the </w:t>
      </w:r>
      <w:r w:rsidR="00676A86">
        <w:t xml:space="preserve">person’s </w:t>
      </w:r>
      <w:r w:rsidR="00D267B7">
        <w:t>care or custody</w:t>
      </w:r>
      <w:r w:rsidR="00AA6CF3">
        <w:t xml:space="preserve"> prior to arrest</w:t>
      </w:r>
      <w:r w:rsidR="00676A86">
        <w:t xml:space="preserve">; </w:t>
      </w:r>
      <w:r>
        <w:t xml:space="preserve">and </w:t>
      </w:r>
      <w:r w:rsidR="00676A86">
        <w:t>(</w:t>
      </w:r>
      <w:r>
        <w:t xml:space="preserve">2) the </w:t>
      </w:r>
      <w:r w:rsidR="00D267B7">
        <w:t xml:space="preserve">person’s </w:t>
      </w:r>
      <w:r w:rsidR="00CF51E0">
        <w:t>status as a parent, primary caregiver, or nursing mother.</w:t>
      </w:r>
    </w:p>
    <w:p w14:paraId="1E754A09" w14:textId="49E0B873" w:rsidR="0063728A" w:rsidRDefault="00CF51E0" w:rsidP="00376AED">
      <w:pPr>
        <w:pStyle w:val="ListParagraph"/>
        <w:numPr>
          <w:ilvl w:val="1"/>
          <w:numId w:val="8"/>
        </w:numPr>
        <w:spacing w:after="120"/>
        <w:contextualSpacing w:val="0"/>
        <w:jc w:val="both"/>
      </w:pPr>
      <w:r>
        <w:t>Amend Section 26 of the Penal Code to extend the existing exemption for pregnant women to nursing mothers and primary caregivers of young children.</w:t>
      </w:r>
    </w:p>
    <w:p w14:paraId="5524676A" w14:textId="77777777" w:rsidR="001779E0" w:rsidRDefault="001779E0" w:rsidP="00376AED">
      <w:pPr>
        <w:pStyle w:val="ListParagraph"/>
        <w:numPr>
          <w:ilvl w:val="1"/>
          <w:numId w:val="8"/>
        </w:numPr>
        <w:spacing w:after="120"/>
        <w:contextualSpacing w:val="0"/>
        <w:jc w:val="both"/>
      </w:pPr>
      <w:r>
        <w:t>Ensure that children of persons sentenced to death have access to mental health support that accounts for the stigma and anticipatory grief documented in this report, and train teachers and community members to prevent bullying and social exclusion of such children.</w:t>
      </w:r>
    </w:p>
    <w:p w14:paraId="411170E2" w14:textId="70A03B20" w:rsidR="001779E0" w:rsidRDefault="001779E0" w:rsidP="00376AED">
      <w:pPr>
        <w:pStyle w:val="ListParagraph"/>
        <w:numPr>
          <w:ilvl w:val="1"/>
          <w:numId w:val="8"/>
        </w:numPr>
        <w:spacing w:after="120"/>
        <w:contextualSpacing w:val="0"/>
        <w:jc w:val="both"/>
      </w:pPr>
      <w:r>
        <w:t>Ensure that children who lose a parent’s income due to a death sentence retain access to free primary and secondary education and are affirmatively informed of, and assisted in accessing, social protection support available through the Tanzania Social Action Fund or successor programs.</w:t>
      </w:r>
    </w:p>
    <w:p w14:paraId="0EB3352B" w14:textId="0C0B6A4C" w:rsidR="00376AED" w:rsidRDefault="00376AED" w:rsidP="00376AED">
      <w:pPr>
        <w:pStyle w:val="ListParagraph"/>
        <w:numPr>
          <w:ilvl w:val="1"/>
          <w:numId w:val="8"/>
        </w:numPr>
        <w:spacing w:after="120"/>
        <w:contextualSpacing w:val="0"/>
        <w:jc w:val="both"/>
      </w:pPr>
      <w:r>
        <w:t>Monitor and inspect informal family-based care settings where children of people sentenced to death live, with a view to preventing sexual violence and abuse.</w:t>
      </w:r>
    </w:p>
    <w:p w14:paraId="2D327E8F" w14:textId="052E02ED" w:rsidR="001779E0" w:rsidRDefault="001779E0" w:rsidP="00376AED">
      <w:pPr>
        <w:pStyle w:val="ListParagraph"/>
        <w:numPr>
          <w:ilvl w:val="1"/>
          <w:numId w:val="8"/>
        </w:numPr>
        <w:spacing w:after="120"/>
        <w:contextualSpacing w:val="0"/>
        <w:jc w:val="both"/>
      </w:pPr>
      <w:r>
        <w:t>Publish, on an annual basis, comprehensive data about all death sentences, executions, and people under sentence of death, disaggregated by sex or gender, age at the time of the offense, nationality, crime of conviction, date of arrest, date of conviction, date of execution (if applicable), status of any appeal or request for pardon or clemency, age of any children or other dependents, and custodial status of those children.</w:t>
      </w:r>
    </w:p>
    <w:p w14:paraId="4A718F67" w14:textId="106C4B2C" w:rsidR="0095530C" w:rsidRDefault="0095530C" w:rsidP="00376AED">
      <w:pPr>
        <w:pStyle w:val="ListParagraph"/>
        <w:numPr>
          <w:ilvl w:val="1"/>
          <w:numId w:val="8"/>
        </w:numPr>
        <w:spacing w:after="120"/>
        <w:contextualSpacing w:val="0"/>
        <w:jc w:val="both"/>
      </w:pPr>
      <w:r>
        <w:t>Domesticate and give full effect to Article 4(2)(j) of the Protocol to the African Chater on Human and Peoples’ Rights on the Rights of Women in Africa (Maputo Protocol), which Tanzania ratified on 3 March 2007, by amending domestic legislation to expressly prohibit the sentenced to death and execution of nursing women.</w:t>
      </w:r>
    </w:p>
    <w:p w14:paraId="20255155" w14:textId="77777777" w:rsidR="00941850" w:rsidRDefault="00941850" w:rsidP="00376AED">
      <w:pPr>
        <w:pStyle w:val="ListParagraph"/>
        <w:numPr>
          <w:ilvl w:val="0"/>
          <w:numId w:val="8"/>
        </w:numPr>
        <w:spacing w:after="120"/>
        <w:contextualSpacing w:val="0"/>
        <w:jc w:val="both"/>
      </w:pPr>
      <w:r>
        <w:t>Require that courts conduct and document a best-interests-of-the-child assessment, consistent with CRC General Comment No. 14, whenever a sentencing decision may result in the separation of a child from a parent, including in capital cases.</w:t>
      </w:r>
    </w:p>
    <w:p w14:paraId="2BDA770B" w14:textId="6A12C1E7" w:rsidR="0063728A" w:rsidRDefault="00CF51E0" w:rsidP="00376AED">
      <w:pPr>
        <w:pStyle w:val="ListParagraph"/>
        <w:numPr>
          <w:ilvl w:val="0"/>
          <w:numId w:val="8"/>
        </w:numPr>
        <w:spacing w:after="120"/>
        <w:contextualSpacing w:val="0"/>
        <w:jc w:val="both"/>
      </w:pPr>
      <w:r>
        <w:t>Take urgent, funded measures to achieve universal birth registration well in advance of the projected 2051 timeline, prioritizing rural and low-income communities where registration rates are lowest.</w:t>
      </w:r>
    </w:p>
    <w:p w14:paraId="7EBB5FDB" w14:textId="7799F0D6" w:rsidR="0063728A" w:rsidRDefault="00CF51E0" w:rsidP="00376AED">
      <w:pPr>
        <w:pStyle w:val="ListParagraph"/>
        <w:numPr>
          <w:ilvl w:val="0"/>
          <w:numId w:val="8"/>
        </w:numPr>
        <w:spacing w:after="120"/>
        <w:contextualSpacing w:val="0"/>
        <w:jc w:val="both"/>
      </w:pPr>
      <w:r>
        <w:lastRenderedPageBreak/>
        <w:t xml:space="preserve">Establish designated, child-appropriate facilities for children residing in prison with an incarcerated parent, including safe sleeping and play areas, age-appropriate nutrition, and specialized dietary support for lactating mothers, and </w:t>
      </w:r>
      <w:r w:rsidR="00CC023A">
        <w:t xml:space="preserve">direct prison authorities to take concrete measures to </w:t>
      </w:r>
      <w:r w:rsidR="001D15D8">
        <w:t xml:space="preserve">protect </w:t>
      </w:r>
      <w:r>
        <w:t xml:space="preserve">such children </w:t>
      </w:r>
      <w:r w:rsidR="001D15D8">
        <w:t xml:space="preserve">from </w:t>
      </w:r>
      <w:r>
        <w:t>physical searches, corporal punishment, and abusive language.</w:t>
      </w:r>
    </w:p>
    <w:p w14:paraId="75594732" w14:textId="5043CF9B" w:rsidR="0063728A" w:rsidRDefault="00CF51E0" w:rsidP="00376AED">
      <w:pPr>
        <w:pStyle w:val="ListParagraph"/>
        <w:numPr>
          <w:ilvl w:val="0"/>
          <w:numId w:val="8"/>
        </w:numPr>
        <w:spacing w:after="120"/>
        <w:contextualSpacing w:val="0"/>
        <w:jc w:val="both"/>
      </w:pPr>
      <w:r>
        <w:t xml:space="preserve">Establish a monitored, State-supervised placement and reintegration process for children who </w:t>
      </w:r>
      <w:proofErr w:type="spellStart"/>
      <w:r>
        <w:t>age</w:t>
      </w:r>
      <w:proofErr w:type="spellEnd"/>
      <w:r>
        <w:t xml:space="preserve"> out of prison with an incarcerated parent or who are separated from a parent</w:t>
      </w:r>
      <w:r w:rsidR="001D15D8">
        <w:t xml:space="preserve"> in prison</w:t>
      </w:r>
      <w:r>
        <w:t xml:space="preserve">, so that custody does not default to relatives or religious institutions without </w:t>
      </w:r>
      <w:r w:rsidR="00EC7F90">
        <w:t xml:space="preserve">adequate </w:t>
      </w:r>
      <w:r>
        <w:t>oversight or a best-interests assessment.</w:t>
      </w:r>
    </w:p>
    <w:p w14:paraId="66669B46" w14:textId="0A4EA2B7" w:rsidR="0063728A" w:rsidRDefault="00CF51E0" w:rsidP="00376AED">
      <w:pPr>
        <w:pStyle w:val="ListParagraph"/>
        <w:numPr>
          <w:ilvl w:val="0"/>
          <w:numId w:val="8"/>
        </w:numPr>
        <w:spacing w:after="120"/>
        <w:contextualSpacing w:val="0"/>
        <w:jc w:val="both"/>
      </w:pPr>
      <w:r>
        <w:t xml:space="preserve">Permit </w:t>
      </w:r>
      <w:r w:rsidR="00EC7F90">
        <w:t xml:space="preserve">children to have </w:t>
      </w:r>
      <w:r>
        <w:t xml:space="preserve">regular visitation </w:t>
      </w:r>
      <w:r w:rsidR="00EC7F90">
        <w:t xml:space="preserve">with </w:t>
      </w:r>
      <w:r>
        <w:t>their parents</w:t>
      </w:r>
      <w:r w:rsidR="00EC7F90">
        <w:t xml:space="preserve"> who are in prison, to the extent that such visitation is consistent with the child’s best interests</w:t>
      </w:r>
      <w:r w:rsidR="00D47539">
        <w:t>.</w:t>
      </w:r>
    </w:p>
    <w:sectPr w:rsidR="0063728A" w:rsidSect="00F34B1D">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FE053" w14:textId="77777777" w:rsidR="0032414B" w:rsidRDefault="0032414B">
      <w:r>
        <w:separator/>
      </w:r>
    </w:p>
  </w:endnote>
  <w:endnote w:type="continuationSeparator" w:id="0">
    <w:p w14:paraId="46CA3FA5" w14:textId="77777777" w:rsidR="0032414B" w:rsidRDefault="00324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384346"/>
      <w:docPartObj>
        <w:docPartGallery w:val="Page Numbers (Bottom of Page)"/>
        <w:docPartUnique/>
      </w:docPartObj>
    </w:sdtPr>
    <w:sdtEndPr>
      <w:rPr>
        <w:noProof/>
      </w:rPr>
    </w:sdtEndPr>
    <w:sdtContent>
      <w:p w14:paraId="010DF2F3" w14:textId="13FE8529" w:rsidR="002D5F70" w:rsidRDefault="002D5F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D38A9" w14:textId="77777777" w:rsidR="002D5F70" w:rsidRDefault="002D5F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08553" w14:textId="432F1A3A" w:rsidR="002D5F70" w:rsidRDefault="002D5F70" w:rsidP="002D5F70">
    <w:pPr>
      <w:pStyle w:val="Footer"/>
    </w:pPr>
  </w:p>
  <w:p w14:paraId="24347886" w14:textId="77777777" w:rsidR="002D5F70" w:rsidRDefault="002D5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5C754" w14:textId="77777777" w:rsidR="0032414B" w:rsidRDefault="0032414B" w:rsidP="0010664C">
      <w:r>
        <w:separator/>
      </w:r>
    </w:p>
  </w:footnote>
  <w:footnote w:type="continuationSeparator" w:id="0">
    <w:p w14:paraId="7E5C9FCA" w14:textId="77777777" w:rsidR="0032414B" w:rsidRDefault="0032414B" w:rsidP="0010664C">
      <w:r>
        <w:continuationSeparator/>
      </w:r>
    </w:p>
  </w:footnote>
  <w:footnote w:id="1">
    <w:p w14:paraId="29B64C80"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United Republic of Tanzania, </w:t>
      </w:r>
      <w:r w:rsidRPr="00066413">
        <w:rPr>
          <w:i/>
          <w:iCs/>
          <w:sz w:val="20"/>
          <w:szCs w:val="20"/>
        </w:rPr>
        <w:t>Penal Code, Chapter 16</w:t>
      </w:r>
      <w:r w:rsidR="006B6036" w:rsidRPr="00066413">
        <w:rPr>
          <w:i/>
          <w:iCs/>
          <w:sz w:val="20"/>
          <w:szCs w:val="20"/>
        </w:rPr>
        <w:t xml:space="preserve">, Section </w:t>
      </w:r>
      <w:r w:rsidR="000E3C5B" w:rsidRPr="00066413">
        <w:rPr>
          <w:i/>
          <w:iCs/>
          <w:sz w:val="20"/>
          <w:szCs w:val="20"/>
        </w:rPr>
        <w:t xml:space="preserve">39 and Section </w:t>
      </w:r>
      <w:r w:rsidR="003A375B" w:rsidRPr="00066413">
        <w:rPr>
          <w:i/>
          <w:iCs/>
          <w:sz w:val="20"/>
          <w:szCs w:val="20"/>
        </w:rPr>
        <w:t>197</w:t>
      </w:r>
      <w:r w:rsidR="003A375B" w:rsidRPr="00066413">
        <w:rPr>
          <w:sz w:val="20"/>
          <w:szCs w:val="20"/>
        </w:rPr>
        <w:t>,</w:t>
      </w:r>
      <w:r w:rsidRPr="00066413">
        <w:rPr>
          <w:sz w:val="20"/>
          <w:szCs w:val="20"/>
        </w:rPr>
        <w:t xml:space="preserve"> (Dec. 31, 2023), at 15, 57 </w:t>
      </w:r>
      <w:hyperlink r:id="rId1" w:history="1">
        <w:r w:rsidR="00DA3DEC" w:rsidRPr="00066413">
          <w:rPr>
            <w:rStyle w:val="Hyperlink"/>
            <w:sz w:val="20"/>
            <w:szCs w:val="20"/>
          </w:rPr>
          <w:t>Penal Code – TanzLII</w:t>
        </w:r>
      </w:hyperlink>
      <w:r w:rsidRPr="00066413">
        <w:rPr>
          <w:sz w:val="20"/>
          <w:szCs w:val="20"/>
        </w:rPr>
        <w:t>.</w:t>
      </w:r>
    </w:p>
  </w:footnote>
  <w:footnote w:id="2">
    <w:p w14:paraId="3D84394F"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United Republic of Tanzania, </w:t>
      </w:r>
      <w:r w:rsidRPr="00066413">
        <w:rPr>
          <w:i/>
          <w:iCs/>
          <w:sz w:val="20"/>
          <w:szCs w:val="20"/>
        </w:rPr>
        <w:t>Penal Code, Chapter 16</w:t>
      </w:r>
      <w:r w:rsidR="00976AAA" w:rsidRPr="00066413">
        <w:rPr>
          <w:i/>
          <w:iCs/>
          <w:sz w:val="20"/>
          <w:szCs w:val="20"/>
        </w:rPr>
        <w:t>, Section 197</w:t>
      </w:r>
      <w:r w:rsidR="00976AAA" w:rsidRPr="00066413">
        <w:rPr>
          <w:sz w:val="20"/>
          <w:szCs w:val="20"/>
        </w:rPr>
        <w:t>,</w:t>
      </w:r>
      <w:r w:rsidRPr="00066413">
        <w:rPr>
          <w:sz w:val="20"/>
          <w:szCs w:val="20"/>
        </w:rPr>
        <w:t xml:space="preserve"> (Dec. 31, 2023), at 15, 57 </w:t>
      </w:r>
      <w:hyperlink r:id="rId2" w:history="1">
        <w:r w:rsidR="00DA3DEC" w:rsidRPr="00066413">
          <w:rPr>
            <w:rStyle w:val="Hyperlink"/>
            <w:sz w:val="20"/>
            <w:szCs w:val="20"/>
          </w:rPr>
          <w:t>Penal Code – TanzLII</w:t>
        </w:r>
      </w:hyperlink>
      <w:r w:rsidRPr="00066413">
        <w:rPr>
          <w:sz w:val="20"/>
          <w:szCs w:val="20"/>
        </w:rPr>
        <w:t>.</w:t>
      </w:r>
    </w:p>
  </w:footnote>
  <w:footnote w:id="3">
    <w:p w14:paraId="0E8C9767"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United Republic of Tanzania, </w:t>
      </w:r>
      <w:r w:rsidRPr="00066413">
        <w:rPr>
          <w:i/>
          <w:iCs/>
          <w:sz w:val="20"/>
          <w:szCs w:val="20"/>
        </w:rPr>
        <w:t>Penal Code, Chapter 16</w:t>
      </w:r>
      <w:r w:rsidR="00E02137" w:rsidRPr="00066413">
        <w:rPr>
          <w:i/>
          <w:iCs/>
          <w:sz w:val="20"/>
          <w:szCs w:val="20"/>
        </w:rPr>
        <w:t>, Section 26</w:t>
      </w:r>
      <w:r w:rsidR="00E02137" w:rsidRPr="00066413">
        <w:rPr>
          <w:sz w:val="20"/>
          <w:szCs w:val="20"/>
        </w:rPr>
        <w:t>,</w:t>
      </w:r>
      <w:r w:rsidRPr="00066413">
        <w:rPr>
          <w:sz w:val="20"/>
          <w:szCs w:val="20"/>
        </w:rPr>
        <w:t xml:space="preserve"> (Dec. 31, 2023), at 10 </w:t>
      </w:r>
      <w:hyperlink r:id="rId3" w:history="1">
        <w:r w:rsidR="00DA3DEC" w:rsidRPr="00066413">
          <w:rPr>
            <w:rStyle w:val="Hyperlink"/>
            <w:sz w:val="20"/>
            <w:szCs w:val="20"/>
          </w:rPr>
          <w:t>Penal Code – TanzLII</w:t>
        </w:r>
      </w:hyperlink>
      <w:r w:rsidRPr="00066413">
        <w:rPr>
          <w:sz w:val="20"/>
          <w:szCs w:val="20"/>
        </w:rPr>
        <w:t xml:space="preserve">; Legal and Human Rights Centre, </w:t>
      </w:r>
      <w:r w:rsidRPr="00066413">
        <w:rPr>
          <w:i/>
          <w:iCs/>
          <w:sz w:val="20"/>
          <w:szCs w:val="20"/>
        </w:rPr>
        <w:t>LHRC Contribution for CRC Report, 2026 on Death Penalty</w:t>
      </w:r>
      <w:r w:rsidRPr="00066413">
        <w:rPr>
          <w:sz w:val="20"/>
          <w:szCs w:val="20"/>
        </w:rPr>
        <w:t>, (June 2026), at 2 (on file with the LHRC).</w:t>
      </w:r>
    </w:p>
  </w:footnote>
  <w:footnote w:id="4">
    <w:p w14:paraId="42990FCD"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Legal and Human Rights Centre, </w:t>
      </w:r>
      <w:r w:rsidRPr="00066413">
        <w:rPr>
          <w:i/>
          <w:iCs/>
          <w:sz w:val="20"/>
          <w:szCs w:val="20"/>
        </w:rPr>
        <w:t>LHRC Contribution for CRC Report, 2026 on Death Penalty</w:t>
      </w:r>
      <w:r w:rsidRPr="00066413">
        <w:rPr>
          <w:sz w:val="20"/>
          <w:szCs w:val="20"/>
        </w:rPr>
        <w:t xml:space="preserve">, (June 2026), at 2-4 (on file with the LHRC); United Republic of Tanzania, </w:t>
      </w:r>
      <w:r w:rsidRPr="00066413">
        <w:rPr>
          <w:i/>
          <w:iCs/>
          <w:sz w:val="20"/>
          <w:szCs w:val="20"/>
        </w:rPr>
        <w:t>Penal Code, Chapter 16</w:t>
      </w:r>
      <w:r w:rsidR="002E6E20" w:rsidRPr="00066413">
        <w:rPr>
          <w:i/>
          <w:iCs/>
          <w:sz w:val="20"/>
          <w:szCs w:val="20"/>
        </w:rPr>
        <w:t xml:space="preserve">, Section </w:t>
      </w:r>
      <w:r w:rsidR="009B2D56" w:rsidRPr="00066413">
        <w:rPr>
          <w:i/>
          <w:iCs/>
          <w:sz w:val="20"/>
          <w:szCs w:val="20"/>
        </w:rPr>
        <w:t>26</w:t>
      </w:r>
      <w:r w:rsidR="009B2D56" w:rsidRPr="00066413">
        <w:rPr>
          <w:sz w:val="20"/>
          <w:szCs w:val="20"/>
        </w:rPr>
        <w:t>,</w:t>
      </w:r>
      <w:r w:rsidRPr="00066413">
        <w:rPr>
          <w:sz w:val="20"/>
          <w:szCs w:val="20"/>
        </w:rPr>
        <w:t xml:space="preserve"> (Dec. 31, 2023), at 10 </w:t>
      </w:r>
      <w:hyperlink r:id="rId4" w:history="1">
        <w:r w:rsidR="00DA3DEC" w:rsidRPr="00066413">
          <w:rPr>
            <w:rStyle w:val="Hyperlink"/>
            <w:sz w:val="20"/>
            <w:szCs w:val="20"/>
          </w:rPr>
          <w:t>Penal Code – TanzLII</w:t>
        </w:r>
      </w:hyperlink>
      <w:r w:rsidRPr="00066413">
        <w:rPr>
          <w:sz w:val="20"/>
          <w:szCs w:val="20"/>
        </w:rPr>
        <w:t>.</w:t>
      </w:r>
    </w:p>
  </w:footnote>
  <w:footnote w:id="5">
    <w:p w14:paraId="05000CF5"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Legal and Human Rights Centre, </w:t>
      </w:r>
      <w:r w:rsidRPr="00066413">
        <w:rPr>
          <w:i/>
          <w:iCs/>
          <w:sz w:val="20"/>
          <w:szCs w:val="20"/>
        </w:rPr>
        <w:t>LHRC Contribution for CRC Report, 2026 on Death Penalty</w:t>
      </w:r>
      <w:r w:rsidRPr="00066413">
        <w:rPr>
          <w:sz w:val="20"/>
          <w:szCs w:val="20"/>
        </w:rPr>
        <w:t>, (June 2026), at 2-4 (on file with the LHRC).</w:t>
      </w:r>
    </w:p>
  </w:footnote>
  <w:footnote w:id="6">
    <w:p w14:paraId="6DFDD28A"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Legal and Human Rights Centre, </w:t>
      </w:r>
      <w:r w:rsidRPr="00066413">
        <w:rPr>
          <w:i/>
          <w:iCs/>
          <w:sz w:val="20"/>
          <w:szCs w:val="20"/>
        </w:rPr>
        <w:t>LHRC Contribution for CRC Report, 2026 on Death Penalty</w:t>
      </w:r>
      <w:r w:rsidRPr="00066413">
        <w:rPr>
          <w:sz w:val="20"/>
          <w:szCs w:val="20"/>
        </w:rPr>
        <w:t>, (June 2026), at 3-4 (on file with the LHRC).</w:t>
      </w:r>
    </w:p>
  </w:footnote>
  <w:footnote w:id="7">
    <w:p w14:paraId="3D82F989"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Legal and Human Rights Centre, </w:t>
      </w:r>
      <w:r w:rsidRPr="00066413">
        <w:rPr>
          <w:i/>
          <w:iCs/>
          <w:sz w:val="20"/>
          <w:szCs w:val="20"/>
        </w:rPr>
        <w:t>LHRC Contribution for CRC Report, 2026 on Death Penalty</w:t>
      </w:r>
      <w:r w:rsidRPr="00066413">
        <w:rPr>
          <w:sz w:val="20"/>
          <w:szCs w:val="20"/>
        </w:rPr>
        <w:t>, (June 2026), at 2 (on file with the LHRC).</w:t>
      </w:r>
    </w:p>
  </w:footnote>
  <w:footnote w:id="8">
    <w:p w14:paraId="64ABCAEB"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United Republic of Tanzania, </w:t>
      </w:r>
      <w:r w:rsidRPr="00066413">
        <w:rPr>
          <w:i/>
          <w:iCs/>
          <w:sz w:val="20"/>
          <w:szCs w:val="20"/>
        </w:rPr>
        <w:t>Penal Code, Chapter 16</w:t>
      </w:r>
      <w:r w:rsidR="0070390B" w:rsidRPr="00066413">
        <w:rPr>
          <w:i/>
          <w:iCs/>
          <w:sz w:val="20"/>
          <w:szCs w:val="20"/>
        </w:rPr>
        <w:t>, Section 26</w:t>
      </w:r>
      <w:r w:rsidR="0070390B" w:rsidRPr="00066413">
        <w:rPr>
          <w:sz w:val="20"/>
          <w:szCs w:val="20"/>
        </w:rPr>
        <w:t>,</w:t>
      </w:r>
      <w:r w:rsidRPr="00066413">
        <w:rPr>
          <w:sz w:val="20"/>
          <w:szCs w:val="20"/>
        </w:rPr>
        <w:t xml:space="preserve"> (Dec. 31, 2023), at 10 </w:t>
      </w:r>
      <w:hyperlink r:id="rId5" w:history="1">
        <w:r w:rsidR="00DA3DEC" w:rsidRPr="00066413">
          <w:rPr>
            <w:rStyle w:val="Hyperlink"/>
            <w:sz w:val="20"/>
            <w:szCs w:val="20"/>
          </w:rPr>
          <w:t>Penal Code – TanzLII</w:t>
        </w:r>
      </w:hyperlink>
      <w:r w:rsidRPr="00066413">
        <w:rPr>
          <w:sz w:val="20"/>
          <w:szCs w:val="20"/>
        </w:rPr>
        <w:t>.</w:t>
      </w:r>
    </w:p>
  </w:footnote>
  <w:footnote w:id="9">
    <w:p w14:paraId="2D948485"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Legal and Human Rights Centre, </w:t>
      </w:r>
      <w:r w:rsidRPr="00066413">
        <w:rPr>
          <w:i/>
          <w:iCs/>
          <w:sz w:val="20"/>
          <w:szCs w:val="20"/>
        </w:rPr>
        <w:t>LHRC Contribution for CRC Report, 2026 on Death Penalty</w:t>
      </w:r>
      <w:r w:rsidRPr="00066413">
        <w:rPr>
          <w:sz w:val="20"/>
          <w:szCs w:val="20"/>
        </w:rPr>
        <w:t>, (June 2026), at 2</w:t>
      </w:r>
      <w:r w:rsidR="005930B6" w:rsidRPr="00066413">
        <w:rPr>
          <w:sz w:val="20"/>
          <w:szCs w:val="20"/>
        </w:rPr>
        <w:t xml:space="preserve"> </w:t>
      </w:r>
      <w:r w:rsidRPr="00066413">
        <w:rPr>
          <w:sz w:val="20"/>
          <w:szCs w:val="20"/>
        </w:rPr>
        <w:t xml:space="preserve">(on file with the LHRC); United Republic of Tanzania, </w:t>
      </w:r>
      <w:r w:rsidRPr="00066413">
        <w:rPr>
          <w:i/>
          <w:iCs/>
          <w:sz w:val="20"/>
          <w:szCs w:val="20"/>
        </w:rPr>
        <w:t>Penal Code, Chapter 16</w:t>
      </w:r>
      <w:r w:rsidR="0070390B" w:rsidRPr="00066413">
        <w:rPr>
          <w:i/>
          <w:iCs/>
          <w:sz w:val="20"/>
          <w:szCs w:val="20"/>
        </w:rPr>
        <w:t>, Section 26</w:t>
      </w:r>
      <w:r w:rsidR="0070390B" w:rsidRPr="00066413">
        <w:rPr>
          <w:sz w:val="20"/>
          <w:szCs w:val="20"/>
        </w:rPr>
        <w:t>,</w:t>
      </w:r>
      <w:r w:rsidRPr="00066413">
        <w:rPr>
          <w:sz w:val="20"/>
          <w:szCs w:val="20"/>
        </w:rPr>
        <w:t xml:space="preserve"> (Dec. 31, 2023), at 10 </w:t>
      </w:r>
      <w:hyperlink r:id="rId6" w:history="1">
        <w:r w:rsidR="00DA3DEC" w:rsidRPr="00066413">
          <w:rPr>
            <w:rStyle w:val="Hyperlink"/>
            <w:sz w:val="20"/>
            <w:szCs w:val="20"/>
          </w:rPr>
          <w:t>Penal Code – TanzLII</w:t>
        </w:r>
      </w:hyperlink>
      <w:r w:rsidRPr="00066413">
        <w:rPr>
          <w:sz w:val="20"/>
          <w:szCs w:val="20"/>
        </w:rPr>
        <w:t>.</w:t>
      </w:r>
    </w:p>
  </w:footnote>
  <w:footnote w:id="10">
    <w:p w14:paraId="183E37E0" w14:textId="77777777" w:rsidR="00555190" w:rsidRPr="00066413" w:rsidRDefault="00555190" w:rsidP="00555190">
      <w:pPr>
        <w:pStyle w:val="FootnoteText"/>
        <w:jc w:val="both"/>
        <w:rPr>
          <w:sz w:val="20"/>
          <w:szCs w:val="20"/>
        </w:rPr>
      </w:pPr>
      <w:r w:rsidRPr="00066413">
        <w:rPr>
          <w:rStyle w:val="FootnoteReference"/>
          <w:sz w:val="20"/>
          <w:szCs w:val="20"/>
        </w:rPr>
        <w:footnoteRef/>
      </w:r>
      <w:r w:rsidRPr="00066413">
        <w:rPr>
          <w:sz w:val="20"/>
          <w:szCs w:val="20"/>
        </w:rPr>
        <w:t xml:space="preserve"> Cornell Center on the Death Penalty Worldwide, </w:t>
      </w:r>
      <w:r w:rsidRPr="00066413">
        <w:rPr>
          <w:i/>
          <w:iCs/>
          <w:sz w:val="20"/>
          <w:szCs w:val="20"/>
        </w:rPr>
        <w:t>Cornell Database Results: United Republic of Tanzania (Tanzania)</w:t>
      </w:r>
      <w:r w:rsidRPr="00066413">
        <w:rPr>
          <w:sz w:val="20"/>
          <w:szCs w:val="20"/>
        </w:rPr>
        <w:t xml:space="preserve">, (Nov. 17, 2025), </w:t>
      </w:r>
      <w:hyperlink r:id="rId7" w:anchor="/results/country?id=77#fn-23138-X15O30S622147" w:history="1">
        <w:r w:rsidRPr="00066413">
          <w:rPr>
            <w:rStyle w:val="Hyperlink"/>
            <w:sz w:val="20"/>
            <w:szCs w:val="20"/>
          </w:rPr>
          <w:t>Database — Cornell Center on the Death Penalty Worldwide</w:t>
        </w:r>
      </w:hyperlink>
      <w:r w:rsidRPr="00066413">
        <w:rPr>
          <w:sz w:val="20"/>
          <w:szCs w:val="20"/>
        </w:rPr>
        <w:t>.</w:t>
      </w:r>
    </w:p>
  </w:footnote>
  <w:footnote w:id="11">
    <w:p w14:paraId="25F25415" w14:textId="77777777" w:rsidR="00555190" w:rsidRPr="00066413" w:rsidRDefault="00555190" w:rsidP="00555190">
      <w:pPr>
        <w:pStyle w:val="FootnoteText"/>
        <w:jc w:val="both"/>
        <w:rPr>
          <w:sz w:val="20"/>
          <w:szCs w:val="20"/>
        </w:rPr>
      </w:pPr>
      <w:r w:rsidRPr="00066413">
        <w:rPr>
          <w:rStyle w:val="FootnoteReference"/>
          <w:sz w:val="20"/>
          <w:szCs w:val="20"/>
        </w:rPr>
        <w:footnoteRef/>
      </w:r>
      <w:r w:rsidRPr="00066413">
        <w:rPr>
          <w:sz w:val="20"/>
          <w:szCs w:val="20"/>
        </w:rPr>
        <w:t xml:space="preserve"> Cornell Center on the Death Penalty Worldwide, </w:t>
      </w:r>
      <w:r w:rsidRPr="00066413">
        <w:rPr>
          <w:i/>
          <w:iCs/>
          <w:sz w:val="20"/>
          <w:szCs w:val="20"/>
        </w:rPr>
        <w:t>Cornell Database Results: United Republic of Tanzania (Tanzania)</w:t>
      </w:r>
      <w:r w:rsidRPr="00066413">
        <w:rPr>
          <w:sz w:val="20"/>
          <w:szCs w:val="20"/>
        </w:rPr>
        <w:t xml:space="preserve">, (Nov. 17, 2025), </w:t>
      </w:r>
      <w:hyperlink r:id="rId8" w:anchor="/results/country?id=77#fn-23138-X15O30S622147" w:history="1">
        <w:r w:rsidRPr="00066413">
          <w:rPr>
            <w:rStyle w:val="Hyperlink"/>
            <w:sz w:val="20"/>
            <w:szCs w:val="20"/>
          </w:rPr>
          <w:t>Database — Cornell Center on the Death Penalty Worldwide</w:t>
        </w:r>
      </w:hyperlink>
      <w:r w:rsidRPr="00066413">
        <w:rPr>
          <w:sz w:val="20"/>
          <w:szCs w:val="20"/>
        </w:rPr>
        <w:t>.</w:t>
      </w:r>
    </w:p>
  </w:footnote>
  <w:footnote w:id="12">
    <w:p w14:paraId="2E164F85" w14:textId="77777777" w:rsidR="00555190" w:rsidRPr="00066413" w:rsidRDefault="00555190" w:rsidP="00555190">
      <w:pPr>
        <w:pStyle w:val="FootnoteText"/>
        <w:rPr>
          <w:sz w:val="20"/>
          <w:szCs w:val="20"/>
        </w:rPr>
      </w:pPr>
      <w:r w:rsidRPr="00066413">
        <w:rPr>
          <w:rStyle w:val="FootnoteReference"/>
          <w:sz w:val="20"/>
          <w:szCs w:val="20"/>
        </w:rPr>
        <w:footnoteRef/>
      </w:r>
      <w:r w:rsidRPr="00066413">
        <w:rPr>
          <w:sz w:val="20"/>
          <w:szCs w:val="20"/>
        </w:rPr>
        <w:t xml:space="preserve"> Amnesty International, Death sentences and executions in 2025, (London: Amnesty International, May 2026), 10, 34. available online at </w:t>
      </w:r>
      <w:hyperlink r:id="rId9" w:tgtFrame="_blank" w:tooltip="https://www.amnesty.org/en/documents/act50/0778/2026/en/" w:history="1">
        <w:r w:rsidRPr="00066413">
          <w:rPr>
            <w:rStyle w:val="Hyperlink"/>
            <w:sz w:val="20"/>
            <w:szCs w:val="20"/>
          </w:rPr>
          <w:t>https://www.amnesty.org/en/documents/act50/0778/2026/en/</w:t>
        </w:r>
      </w:hyperlink>
      <w:r w:rsidRPr="00066413">
        <w:rPr>
          <w:sz w:val="20"/>
          <w:szCs w:val="20"/>
        </w:rPr>
        <w:t>.</w:t>
      </w:r>
    </w:p>
  </w:footnote>
  <w:footnote w:id="13">
    <w:p w14:paraId="28F5619B" w14:textId="77777777" w:rsidR="00555190" w:rsidRPr="00066413" w:rsidRDefault="00555190" w:rsidP="00555190">
      <w:pPr>
        <w:pStyle w:val="FootnoteText"/>
        <w:rPr>
          <w:sz w:val="20"/>
          <w:szCs w:val="20"/>
        </w:rPr>
      </w:pPr>
      <w:r w:rsidRPr="00066413">
        <w:rPr>
          <w:rStyle w:val="FootnoteReference"/>
          <w:sz w:val="20"/>
          <w:szCs w:val="20"/>
        </w:rPr>
        <w:footnoteRef/>
      </w:r>
      <w:r w:rsidRPr="00066413">
        <w:rPr>
          <w:sz w:val="20"/>
          <w:szCs w:val="20"/>
        </w:rPr>
        <w:t xml:space="preserve"> Cornell Center on the Death Penalty Worldwide, </w:t>
      </w:r>
      <w:r w:rsidRPr="00066413">
        <w:rPr>
          <w:i/>
          <w:iCs/>
          <w:sz w:val="20"/>
          <w:szCs w:val="20"/>
        </w:rPr>
        <w:t>Cornell Database Results: United Republic of Tanzania (Tanzania)</w:t>
      </w:r>
      <w:r w:rsidRPr="00066413">
        <w:rPr>
          <w:sz w:val="20"/>
          <w:szCs w:val="20"/>
        </w:rPr>
        <w:t xml:space="preserve">, (Nov. 17, 2025), </w:t>
      </w:r>
      <w:hyperlink r:id="rId10" w:anchor="/results/country?id=77#fn-23138-X15O30S622147" w:history="1">
        <w:r w:rsidRPr="00066413">
          <w:rPr>
            <w:rStyle w:val="Hyperlink"/>
            <w:sz w:val="20"/>
            <w:szCs w:val="20"/>
          </w:rPr>
          <w:t>Database — Cornell Center on the Death Penalty Worldwide</w:t>
        </w:r>
      </w:hyperlink>
      <w:r w:rsidRPr="00066413">
        <w:rPr>
          <w:sz w:val="20"/>
          <w:szCs w:val="20"/>
        </w:rPr>
        <w:t xml:space="preserve">; </w:t>
      </w:r>
      <w:r w:rsidRPr="00066413">
        <w:rPr>
          <w:i/>
          <w:iCs/>
          <w:sz w:val="20"/>
          <w:szCs w:val="20"/>
        </w:rPr>
        <w:t>and see</w:t>
      </w:r>
      <w:r w:rsidRPr="00066413">
        <w:rPr>
          <w:sz w:val="20"/>
          <w:szCs w:val="20"/>
        </w:rPr>
        <w:t xml:space="preserve"> World Population Review, </w:t>
      </w:r>
      <w:r w:rsidRPr="00066413">
        <w:rPr>
          <w:i/>
          <w:iCs/>
          <w:sz w:val="20"/>
          <w:szCs w:val="20"/>
        </w:rPr>
        <w:t>Countries with Death Penalty 2026</w:t>
      </w:r>
      <w:r w:rsidRPr="00066413">
        <w:rPr>
          <w:sz w:val="20"/>
          <w:szCs w:val="20"/>
        </w:rPr>
        <w:t xml:space="preserve">, (2023), </w:t>
      </w:r>
      <w:hyperlink r:id="rId11" w:history="1">
        <w:r w:rsidRPr="00066413">
          <w:rPr>
            <w:rStyle w:val="Hyperlink"/>
            <w:sz w:val="20"/>
            <w:szCs w:val="20"/>
          </w:rPr>
          <w:t>Countries with Death Penalty 2026</w:t>
        </w:r>
      </w:hyperlink>
      <w:r w:rsidRPr="00066413">
        <w:rPr>
          <w:sz w:val="20"/>
          <w:szCs w:val="20"/>
        </w:rPr>
        <w:t>.</w:t>
      </w:r>
    </w:p>
  </w:footnote>
  <w:footnote w:id="14">
    <w:p w14:paraId="35ACB26A"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Human Rights Watch, </w:t>
      </w:r>
      <w:r w:rsidRPr="00066413">
        <w:rPr>
          <w:i/>
          <w:iCs/>
          <w:sz w:val="20"/>
          <w:szCs w:val="20"/>
        </w:rPr>
        <w:t>Tanzania: Events of 2025</w:t>
      </w:r>
      <w:r w:rsidRPr="00066413">
        <w:rPr>
          <w:sz w:val="20"/>
          <w:szCs w:val="20"/>
        </w:rPr>
        <w:t xml:space="preserve">, (2025), </w:t>
      </w:r>
      <w:hyperlink r:id="rId12" w:history="1">
        <w:r w:rsidR="00DA3DEC" w:rsidRPr="00066413">
          <w:rPr>
            <w:rStyle w:val="Hyperlink"/>
            <w:sz w:val="20"/>
            <w:szCs w:val="20"/>
          </w:rPr>
          <w:t>World Report 2026: Tanzania | Human Rights Watch</w:t>
        </w:r>
      </w:hyperlink>
      <w:r w:rsidRPr="00066413">
        <w:rPr>
          <w:sz w:val="20"/>
          <w:szCs w:val="20"/>
        </w:rPr>
        <w:t>.</w:t>
      </w:r>
    </w:p>
  </w:footnote>
  <w:footnote w:id="15">
    <w:p w14:paraId="3D456D04"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European Parliament, </w:t>
      </w:r>
      <w:r w:rsidRPr="00066413">
        <w:rPr>
          <w:i/>
          <w:iCs/>
          <w:sz w:val="20"/>
          <w:szCs w:val="20"/>
        </w:rPr>
        <w:t>Motion for a Resolution: B10-0261/2025</w:t>
      </w:r>
      <w:r w:rsidRPr="00066413">
        <w:rPr>
          <w:sz w:val="20"/>
          <w:szCs w:val="20"/>
        </w:rPr>
        <w:t xml:space="preserve">, (June 5, 2025), </w:t>
      </w:r>
      <w:hyperlink r:id="rId13" w:history="1">
        <w:r w:rsidR="00DA3DEC" w:rsidRPr="00066413">
          <w:rPr>
            <w:rStyle w:val="Hyperlink"/>
            <w:sz w:val="20"/>
            <w:szCs w:val="20"/>
          </w:rPr>
          <w:t>RE_UrgentDebatePG</w:t>
        </w:r>
      </w:hyperlink>
      <w:r w:rsidRPr="00066413">
        <w:rPr>
          <w:sz w:val="20"/>
          <w:szCs w:val="20"/>
        </w:rPr>
        <w:t>.</w:t>
      </w:r>
    </w:p>
  </w:footnote>
  <w:footnote w:id="16">
    <w:p w14:paraId="34BC897A" w14:textId="50DBEFE9" w:rsidR="001B2FD0" w:rsidRPr="0095530C" w:rsidRDefault="001B2FD0">
      <w:pPr>
        <w:pStyle w:val="FootnoteText"/>
        <w:rPr>
          <w:sz w:val="20"/>
          <w:szCs w:val="20"/>
        </w:rPr>
      </w:pPr>
      <w:r w:rsidRPr="0095530C">
        <w:rPr>
          <w:rStyle w:val="FootnoteReference"/>
          <w:sz w:val="20"/>
          <w:szCs w:val="20"/>
        </w:rPr>
        <w:footnoteRef/>
      </w:r>
      <w:r w:rsidRPr="0095530C">
        <w:rPr>
          <w:sz w:val="20"/>
          <w:szCs w:val="20"/>
        </w:rPr>
        <w:t xml:space="preserve"> </w:t>
      </w:r>
      <w:r w:rsidR="00CC01DD" w:rsidRPr="0095530C">
        <w:rPr>
          <w:sz w:val="20"/>
          <w:szCs w:val="20"/>
        </w:rPr>
        <w:t xml:space="preserve">Death Penalty Research Unit, University of Oxford, </w:t>
      </w:r>
      <w:r w:rsidR="00CC01DD" w:rsidRPr="0095530C">
        <w:rPr>
          <w:i/>
          <w:iCs/>
          <w:sz w:val="20"/>
          <w:szCs w:val="20"/>
        </w:rPr>
        <w:t>DPRU Q&amp;As: Fulgence Massawe, Legal and Human Rights Centre (LHRC), Tanzania</w:t>
      </w:r>
      <w:r w:rsidR="00CC01DD" w:rsidRPr="0095530C">
        <w:rPr>
          <w:sz w:val="20"/>
          <w:szCs w:val="20"/>
        </w:rPr>
        <w:t xml:space="preserve">, 13 Mar. 2024, </w:t>
      </w:r>
      <w:r w:rsidR="00066413" w:rsidRPr="0095530C">
        <w:rPr>
          <w:sz w:val="20"/>
          <w:szCs w:val="20"/>
        </w:rPr>
        <w:t>https://blogs.law.ox.ac.uk/death-penalty-research-unit-blog/blog-post/2024/03/dpru-qas-fulgence-massawe-legal-and-human-rights.</w:t>
      </w:r>
    </w:p>
  </w:footnote>
  <w:footnote w:id="17">
    <w:p w14:paraId="2B740A7F" w14:textId="77777777" w:rsidR="00325800"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8166F0" w:rsidRPr="00066413">
        <w:rPr>
          <w:sz w:val="20"/>
          <w:szCs w:val="20"/>
        </w:rPr>
        <w:t xml:space="preserve">The Citizen, </w:t>
      </w:r>
      <w:r w:rsidR="008166F0" w:rsidRPr="00066413">
        <w:rPr>
          <w:i/>
          <w:iCs/>
          <w:sz w:val="20"/>
          <w:szCs w:val="20"/>
        </w:rPr>
        <w:t>Tanzania Ordered to Remove ‘Death by Hanging’ from Criminal Justice System</w:t>
      </w:r>
      <w:r w:rsidR="008166F0" w:rsidRPr="00066413">
        <w:rPr>
          <w:sz w:val="20"/>
          <w:szCs w:val="20"/>
        </w:rPr>
        <w:t xml:space="preserve">, </w:t>
      </w:r>
      <w:r w:rsidR="00C56EF5" w:rsidRPr="00066413">
        <w:rPr>
          <w:sz w:val="20"/>
          <w:szCs w:val="20"/>
        </w:rPr>
        <w:t xml:space="preserve">(June 8, 2026), </w:t>
      </w:r>
      <w:hyperlink r:id="rId14" w:history="1">
        <w:r w:rsidR="00CC3252" w:rsidRPr="00066413">
          <w:rPr>
            <w:rStyle w:val="Hyperlink"/>
            <w:sz w:val="20"/>
            <w:szCs w:val="20"/>
          </w:rPr>
          <w:t>Tanzania ordered to remove 'death by hanging' from criminal justice system | The Citizen</w:t>
        </w:r>
      </w:hyperlink>
      <w:r w:rsidR="00CC3252" w:rsidRPr="00066413">
        <w:rPr>
          <w:sz w:val="20"/>
          <w:szCs w:val="20"/>
        </w:rPr>
        <w:t>.</w:t>
      </w:r>
    </w:p>
  </w:footnote>
  <w:footnote w:id="18">
    <w:p w14:paraId="1DC36E06"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Legal and Human Rights Centre, </w:t>
      </w:r>
      <w:r w:rsidRPr="00066413">
        <w:rPr>
          <w:i/>
          <w:iCs/>
          <w:sz w:val="20"/>
          <w:szCs w:val="20"/>
        </w:rPr>
        <w:t>The October 2025 Unrest: A Major Setback for Human Rights: Tanzanian Human Rights Report 2025</w:t>
      </w:r>
      <w:r w:rsidRPr="00066413">
        <w:rPr>
          <w:sz w:val="20"/>
          <w:szCs w:val="20"/>
        </w:rPr>
        <w:t xml:space="preserve">, (2025), at 62-63 (on file with the LHRC). </w:t>
      </w:r>
    </w:p>
  </w:footnote>
  <w:footnote w:id="19">
    <w:p w14:paraId="6D60A562" w14:textId="77777777" w:rsidR="00DA3DEC" w:rsidRPr="00066413" w:rsidRDefault="00CF51E0" w:rsidP="00DA3DEC">
      <w:pPr>
        <w:pStyle w:val="FootnoteText"/>
        <w:rPr>
          <w:sz w:val="20"/>
          <w:szCs w:val="20"/>
        </w:rPr>
      </w:pPr>
      <w:r w:rsidRPr="00066413">
        <w:rPr>
          <w:rStyle w:val="FootnoteReference"/>
          <w:sz w:val="20"/>
          <w:szCs w:val="20"/>
        </w:rPr>
        <w:footnoteRef/>
      </w:r>
      <w:r w:rsidRPr="00066413">
        <w:rPr>
          <w:sz w:val="20"/>
          <w:szCs w:val="20"/>
        </w:rPr>
        <w:t xml:space="preserve"> Legal and Human Rights Centre, </w:t>
      </w:r>
      <w:r w:rsidRPr="00066413">
        <w:rPr>
          <w:i/>
          <w:iCs/>
          <w:sz w:val="20"/>
          <w:szCs w:val="20"/>
        </w:rPr>
        <w:t>The October 2025 Unrest: A Major Setback for Human Rights: Tanzanian Human Rights Report 2025</w:t>
      </w:r>
      <w:r w:rsidRPr="00066413">
        <w:rPr>
          <w:sz w:val="20"/>
          <w:szCs w:val="20"/>
        </w:rPr>
        <w:t>, (2025), at 62-63 (on file with the LHRC).</w:t>
      </w:r>
    </w:p>
  </w:footnote>
  <w:footnote w:id="20">
    <w:p w14:paraId="1A706432" w14:textId="3E446EC7" w:rsidR="0083588A" w:rsidRPr="00066413" w:rsidRDefault="0083588A">
      <w:pPr>
        <w:pStyle w:val="FootnoteText"/>
        <w:rPr>
          <w:sz w:val="20"/>
          <w:szCs w:val="20"/>
        </w:rPr>
      </w:pPr>
      <w:r w:rsidRPr="00066413">
        <w:rPr>
          <w:rStyle w:val="FootnoteReference"/>
          <w:sz w:val="20"/>
          <w:szCs w:val="20"/>
        </w:rPr>
        <w:footnoteRef/>
      </w:r>
      <w:r w:rsidRPr="00066413">
        <w:rPr>
          <w:sz w:val="20"/>
          <w:szCs w:val="20"/>
        </w:rPr>
        <w:t xml:space="preserve"> Committee on the Rights of the Child, </w:t>
      </w:r>
      <w:r w:rsidRPr="00066413">
        <w:rPr>
          <w:i/>
          <w:iCs/>
          <w:sz w:val="20"/>
          <w:szCs w:val="20"/>
        </w:rPr>
        <w:t>List of issues in relation to the sixth periodic report of the United Republic of Tanzania</w:t>
      </w:r>
      <w:r w:rsidR="00FA76B0" w:rsidRPr="00066413">
        <w:rPr>
          <w:sz w:val="20"/>
          <w:szCs w:val="20"/>
        </w:rPr>
        <w:t>, 10 Dec. 2025, UN Doc. CRC/C/TZA/Q/6, ¶¶ 6, 15, 21.</w:t>
      </w:r>
    </w:p>
  </w:footnote>
  <w:footnote w:id="21">
    <w:p w14:paraId="0A21DE42" w14:textId="77777777" w:rsidR="00356F0B" w:rsidRPr="00066413" w:rsidRDefault="00356F0B" w:rsidP="00356F0B">
      <w:pPr>
        <w:pStyle w:val="FootnoteText"/>
        <w:rPr>
          <w:sz w:val="20"/>
          <w:szCs w:val="20"/>
        </w:rPr>
      </w:pPr>
      <w:r w:rsidRPr="00066413">
        <w:rPr>
          <w:rStyle w:val="FootnoteReference"/>
          <w:sz w:val="20"/>
          <w:szCs w:val="20"/>
        </w:rPr>
        <w:footnoteRef/>
      </w:r>
      <w:r w:rsidRPr="00066413">
        <w:rPr>
          <w:sz w:val="20"/>
          <w:szCs w:val="20"/>
        </w:rPr>
        <w:t xml:space="preserve"> Penal Code, Cap. 16 [R.E. 2023], s. 26(2); LHRC Report, Section A.1(a).</w:t>
      </w:r>
    </w:p>
  </w:footnote>
  <w:footnote w:id="22">
    <w:p w14:paraId="16EB7EA8" w14:textId="77777777" w:rsidR="003B11D0"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066443" w:rsidRPr="00066413">
        <w:rPr>
          <w:sz w:val="20"/>
          <w:szCs w:val="20"/>
        </w:rPr>
        <w:t>Tanzania Prisons Service, Statistical Report on Convicts and Remand Prisoners in Tanzania Mainland 2024 (‘TPS Report 2024’), Table 2.5.</w:t>
      </w:r>
    </w:p>
  </w:footnote>
  <w:footnote w:id="23">
    <w:p w14:paraId="6366B2F1" w14:textId="77777777" w:rsidR="00066443"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5B78F4" w:rsidRPr="00066413">
        <w:rPr>
          <w:sz w:val="20"/>
          <w:szCs w:val="20"/>
        </w:rPr>
        <w:t>Law of the Child Act, No. 21 of 2009; Law of the Child (Juvenile Court Procedure) Rules, 2016. See LHRC Report, Section A.2.</w:t>
      </w:r>
    </w:p>
  </w:footnote>
  <w:footnote w:id="24">
    <w:p w14:paraId="75EBC56D" w14:textId="77777777" w:rsidR="005B78F4"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ED1FC4" w:rsidRPr="00066413">
        <w:rPr>
          <w:sz w:val="20"/>
          <w:szCs w:val="20"/>
        </w:rPr>
        <w:t>Law of the Child Act, s. 113; LHRC Report, Section A.2.</w:t>
      </w:r>
    </w:p>
  </w:footnote>
  <w:footnote w:id="25">
    <w:p w14:paraId="7101ECCB" w14:textId="77777777" w:rsidR="00ED1FC4" w:rsidRPr="00066413" w:rsidRDefault="00CF51E0" w:rsidP="00275DB5">
      <w:pPr>
        <w:rPr>
          <w:sz w:val="20"/>
          <w:szCs w:val="20"/>
        </w:rPr>
      </w:pPr>
      <w:r w:rsidRPr="00066413">
        <w:rPr>
          <w:rStyle w:val="FootnoteReference"/>
          <w:sz w:val="20"/>
          <w:szCs w:val="20"/>
        </w:rPr>
        <w:footnoteRef/>
      </w:r>
      <w:r w:rsidRPr="00066413">
        <w:rPr>
          <w:sz w:val="20"/>
          <w:szCs w:val="20"/>
        </w:rPr>
        <w:t xml:space="preserve"> </w:t>
      </w:r>
      <w:r w:rsidR="00032DDB" w:rsidRPr="00066413">
        <w:rPr>
          <w:sz w:val="20"/>
          <w:szCs w:val="20"/>
        </w:rPr>
        <w:t>LHRC Report, Section A.3</w:t>
      </w:r>
      <w:r w:rsidR="005930B6" w:rsidRPr="00066413">
        <w:rPr>
          <w:sz w:val="20"/>
          <w:szCs w:val="20"/>
        </w:rPr>
        <w:t>.</w:t>
      </w:r>
    </w:p>
  </w:footnote>
  <w:footnote w:id="26">
    <w:p w14:paraId="7FAF9A60" w14:textId="77777777" w:rsidR="005C26B8" w:rsidRPr="00066413" w:rsidRDefault="005C26B8" w:rsidP="005C26B8">
      <w:pPr>
        <w:pStyle w:val="FootnoteText"/>
        <w:rPr>
          <w:sz w:val="20"/>
          <w:szCs w:val="20"/>
        </w:rPr>
      </w:pPr>
      <w:r w:rsidRPr="00066413">
        <w:rPr>
          <w:rStyle w:val="FootnoteReference"/>
          <w:sz w:val="20"/>
          <w:szCs w:val="20"/>
        </w:rPr>
        <w:footnoteRef/>
      </w:r>
      <w:r w:rsidRPr="00066413">
        <w:rPr>
          <w:sz w:val="20"/>
          <w:szCs w:val="20"/>
        </w:rPr>
        <w:t xml:space="preserve"> LHRC Report, Section B.2 (interview findings from LHRC Dodoma and Kinondoni Legal Aid Clinics).</w:t>
      </w:r>
    </w:p>
  </w:footnote>
  <w:footnote w:id="27">
    <w:p w14:paraId="0EC2512F" w14:textId="77777777" w:rsidR="005C26B8" w:rsidRPr="00066413" w:rsidRDefault="005C26B8" w:rsidP="005C26B8">
      <w:pPr>
        <w:pStyle w:val="FootnoteText"/>
        <w:rPr>
          <w:sz w:val="20"/>
          <w:szCs w:val="20"/>
        </w:rPr>
      </w:pPr>
      <w:r w:rsidRPr="00066413">
        <w:rPr>
          <w:rStyle w:val="FootnoteReference"/>
          <w:sz w:val="20"/>
          <w:szCs w:val="20"/>
        </w:rPr>
        <w:footnoteRef/>
      </w:r>
      <w:r w:rsidRPr="00066413">
        <w:rPr>
          <w:sz w:val="20"/>
          <w:szCs w:val="20"/>
        </w:rPr>
        <w:t xml:space="preserve"> Kirsten Anderson, Analysis of the Situation of Children in Conflict with the Law in Tanzania (Coram Children’s Legal Centre / UNICEF / National Organisation for Legal Assistance, January 2012) (‘Coram/UNICEF Study’), Section 4.2.</w:t>
      </w:r>
    </w:p>
  </w:footnote>
  <w:footnote w:id="28">
    <w:p w14:paraId="661BA6C4" w14:textId="77777777" w:rsidR="008E519C"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BD7599" w:rsidRPr="00066413">
        <w:rPr>
          <w:sz w:val="20"/>
          <w:szCs w:val="20"/>
        </w:rPr>
        <w:t>LHRC Report, Sections B.1 (Rose Malle testimony) and B.2.1 (LHRC lawyer interviews).</w:t>
      </w:r>
    </w:p>
  </w:footnote>
  <w:footnote w:id="29">
    <w:p w14:paraId="4DD99919" w14:textId="77777777" w:rsidR="001343E2"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005C46" w:rsidRPr="00066413">
        <w:rPr>
          <w:sz w:val="20"/>
          <w:szCs w:val="20"/>
        </w:rPr>
        <w:t>Coram/UNICEF Study, Sections 3.7 and 5.4.</w:t>
      </w:r>
    </w:p>
  </w:footnote>
  <w:footnote w:id="30">
    <w:p w14:paraId="2FD34380" w14:textId="77777777" w:rsidR="008D2763"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A50C6C" w:rsidRPr="00066413">
        <w:rPr>
          <w:sz w:val="20"/>
          <w:szCs w:val="20"/>
        </w:rPr>
        <w:t>LHRC Report, Section B.2 (case of Eliud Elia Ngalya, Isanga Prison, LHRC prison visit interview, 2024).</w:t>
      </w:r>
    </w:p>
  </w:footnote>
  <w:footnote w:id="31">
    <w:p w14:paraId="6DCD89B8" w14:textId="77777777" w:rsidR="00E84633" w:rsidRPr="00066413" w:rsidRDefault="00E84633" w:rsidP="00E84633">
      <w:pPr>
        <w:pStyle w:val="FootnoteText"/>
        <w:rPr>
          <w:sz w:val="20"/>
          <w:szCs w:val="20"/>
        </w:rPr>
      </w:pPr>
      <w:r w:rsidRPr="00066413">
        <w:rPr>
          <w:rStyle w:val="FootnoteReference"/>
          <w:sz w:val="20"/>
          <w:szCs w:val="20"/>
        </w:rPr>
        <w:footnoteRef/>
      </w:r>
      <w:r w:rsidRPr="00066413">
        <w:rPr>
          <w:sz w:val="20"/>
          <w:szCs w:val="20"/>
        </w:rPr>
        <w:t xml:space="preserve"> Controller and Auditor General, Annual General Report on Performance Audit: Registration, Insolvency and Trusteeship Agency (NAOT, April 2025), as reported in The Citizen, ‘Tanzania unlikely to achieve full birth registration until 2051, says CAG’ (Dar es Salaam, 16 April 2025).</w:t>
      </w:r>
    </w:p>
  </w:footnote>
  <w:footnote w:id="32">
    <w:p w14:paraId="01293821" w14:textId="77777777" w:rsidR="00E84633" w:rsidRPr="00066413" w:rsidRDefault="00E84633" w:rsidP="00E84633">
      <w:pPr>
        <w:pStyle w:val="FootnoteText"/>
        <w:rPr>
          <w:sz w:val="20"/>
          <w:szCs w:val="20"/>
        </w:rPr>
      </w:pPr>
      <w:r w:rsidRPr="00066413">
        <w:rPr>
          <w:rStyle w:val="FootnoteReference"/>
          <w:sz w:val="20"/>
          <w:szCs w:val="20"/>
        </w:rPr>
        <w:footnoteRef/>
      </w:r>
      <w:r w:rsidRPr="00066413">
        <w:rPr>
          <w:sz w:val="20"/>
          <w:szCs w:val="20"/>
        </w:rPr>
        <w:t xml:space="preserve"> Decentralization of Birth Registration to Local Government in Tanzania, Global Health Action (2020), citing Tanzania Demographic and Health Survey 2015–2016.</w:t>
      </w:r>
    </w:p>
  </w:footnote>
  <w:footnote w:id="33">
    <w:p w14:paraId="56D16329" w14:textId="77777777" w:rsidR="00265646" w:rsidRPr="00066413" w:rsidRDefault="00CF51E0" w:rsidP="00485369">
      <w:pPr>
        <w:rPr>
          <w:sz w:val="20"/>
          <w:szCs w:val="20"/>
        </w:rPr>
      </w:pPr>
      <w:r w:rsidRPr="00066413">
        <w:rPr>
          <w:rStyle w:val="FootnoteReference"/>
          <w:sz w:val="20"/>
          <w:szCs w:val="20"/>
        </w:rPr>
        <w:footnoteRef/>
      </w:r>
      <w:r w:rsidRPr="00066413">
        <w:rPr>
          <w:sz w:val="20"/>
          <w:szCs w:val="20"/>
        </w:rPr>
        <w:t xml:space="preserve"> </w:t>
      </w:r>
      <w:r w:rsidR="00485369" w:rsidRPr="00066413">
        <w:rPr>
          <w:sz w:val="20"/>
          <w:szCs w:val="20"/>
        </w:rPr>
        <w:t>FIDH, Factsheet for Defense Lawyers (2020), noting that in Tanzania lawyers sometimes must use their own personal funds for basic steps such as prison visits, and citing the UN Economic and Social Council requirement that governments provide adequate assistance of counsel in capital cases.</w:t>
      </w:r>
    </w:p>
  </w:footnote>
  <w:footnote w:id="34">
    <w:p w14:paraId="39D5F7AF" w14:textId="77777777" w:rsidR="00DC7942" w:rsidRPr="00066413" w:rsidRDefault="00CF51E0" w:rsidP="000552D5">
      <w:pPr>
        <w:rPr>
          <w:sz w:val="20"/>
          <w:szCs w:val="20"/>
        </w:rPr>
      </w:pPr>
      <w:r w:rsidRPr="00066413">
        <w:rPr>
          <w:rStyle w:val="FootnoteReference"/>
          <w:sz w:val="20"/>
          <w:szCs w:val="20"/>
        </w:rPr>
        <w:footnoteRef/>
      </w:r>
      <w:r w:rsidRPr="00066413">
        <w:rPr>
          <w:sz w:val="20"/>
          <w:szCs w:val="20"/>
        </w:rPr>
        <w:t xml:space="preserve"> </w:t>
      </w:r>
      <w:r w:rsidR="000552D5" w:rsidRPr="00066413">
        <w:rPr>
          <w:sz w:val="20"/>
          <w:szCs w:val="20"/>
        </w:rPr>
        <w:t>Legal Aid (Remuneration of Advocates) Rules, 2019, r. 5(1)(c). See also Legal Aid Act [Cap 21, R.E. 2017], ss. 33–34.</w:t>
      </w:r>
    </w:p>
  </w:footnote>
  <w:footnote w:id="35">
    <w:p w14:paraId="30636D64" w14:textId="77777777" w:rsidR="00763C27" w:rsidRPr="00066413" w:rsidRDefault="00763C27" w:rsidP="00763C27">
      <w:pPr>
        <w:pStyle w:val="FootnoteText"/>
        <w:rPr>
          <w:sz w:val="20"/>
          <w:szCs w:val="20"/>
        </w:rPr>
      </w:pPr>
      <w:r w:rsidRPr="00066413">
        <w:rPr>
          <w:rStyle w:val="FootnoteReference"/>
          <w:sz w:val="20"/>
          <w:szCs w:val="20"/>
        </w:rPr>
        <w:footnoteRef/>
      </w:r>
      <w:r w:rsidRPr="00066413">
        <w:rPr>
          <w:sz w:val="20"/>
          <w:szCs w:val="20"/>
        </w:rPr>
        <w:t xml:space="preserve"> UPR Stakeholder Report, Section I (courts ‘give no consideration to mitigating factors or defenses, such as that the defendant has intellectual or psycho-social disabilities, a history of sexual violence and trauma, or has young children or is nursing’).</w:t>
      </w:r>
    </w:p>
  </w:footnote>
  <w:footnote w:id="36">
    <w:p w14:paraId="716861AD" w14:textId="3D030654" w:rsidR="00763C27" w:rsidRPr="00066413" w:rsidRDefault="00763C27" w:rsidP="00763C27">
      <w:pPr>
        <w:rPr>
          <w:sz w:val="20"/>
          <w:szCs w:val="20"/>
        </w:rPr>
      </w:pPr>
      <w:r w:rsidRPr="00066413">
        <w:rPr>
          <w:rStyle w:val="FootnoteReference"/>
          <w:sz w:val="20"/>
          <w:szCs w:val="20"/>
        </w:rPr>
        <w:footnoteRef/>
      </w:r>
      <w:r w:rsidRPr="00066413">
        <w:rPr>
          <w:sz w:val="20"/>
          <w:szCs w:val="20"/>
        </w:rPr>
        <w:t xml:space="preserve"> Ally Rajabu and Others v. United Republic of Tanzania, Application No. 007-2015, African Court on Human and Peoples’ Rights, Judgment on Merits and Reparations (28 November 2019)</w:t>
      </w:r>
      <w:r w:rsidR="007C394F" w:rsidRPr="00066413">
        <w:rPr>
          <w:sz w:val="20"/>
          <w:szCs w:val="20"/>
        </w:rPr>
        <w:t xml:space="preserve">; The Citizen, </w:t>
      </w:r>
      <w:r w:rsidR="007C394F" w:rsidRPr="00066413">
        <w:rPr>
          <w:i/>
          <w:iCs/>
          <w:sz w:val="20"/>
          <w:szCs w:val="20"/>
        </w:rPr>
        <w:t>Tanzania Ordered to Remove ‘Death by Hanging’ from Criminal Justice System</w:t>
      </w:r>
      <w:r w:rsidR="007C394F" w:rsidRPr="00066413">
        <w:rPr>
          <w:sz w:val="20"/>
          <w:szCs w:val="20"/>
        </w:rPr>
        <w:t xml:space="preserve">, (June 8, 2026), </w:t>
      </w:r>
      <w:hyperlink r:id="rId15" w:history="1">
        <w:r w:rsidR="007C394F" w:rsidRPr="00066413">
          <w:rPr>
            <w:rStyle w:val="Hyperlink"/>
            <w:sz w:val="20"/>
            <w:szCs w:val="20"/>
          </w:rPr>
          <w:t>Tanzania ordered to remove 'death by hanging' from criminal justice system | The Citizen</w:t>
        </w:r>
      </w:hyperlink>
      <w:r w:rsidR="007C394F" w:rsidRPr="00066413">
        <w:rPr>
          <w:sz w:val="20"/>
          <w:szCs w:val="20"/>
        </w:rPr>
        <w:t>.</w:t>
      </w:r>
    </w:p>
  </w:footnote>
  <w:footnote w:id="37">
    <w:p w14:paraId="4C782D92" w14:textId="77777777" w:rsidR="00763C27" w:rsidRPr="00066413" w:rsidRDefault="00763C27" w:rsidP="00763C27">
      <w:pPr>
        <w:rPr>
          <w:sz w:val="20"/>
          <w:szCs w:val="20"/>
        </w:rPr>
      </w:pPr>
      <w:r w:rsidRPr="00066413">
        <w:rPr>
          <w:rStyle w:val="FootnoteReference"/>
          <w:sz w:val="20"/>
          <w:szCs w:val="20"/>
        </w:rPr>
        <w:footnoteRef/>
      </w:r>
      <w:r w:rsidRPr="00066413">
        <w:rPr>
          <w:sz w:val="20"/>
          <w:szCs w:val="20"/>
        </w:rPr>
        <w:t xml:space="preserve"> UPR Stakeholder Report, Section III.</w:t>
      </w:r>
    </w:p>
  </w:footnote>
  <w:footnote w:id="38">
    <w:p w14:paraId="0B6E3F30" w14:textId="1B6DA33A" w:rsidR="00961636" w:rsidRPr="00066413" w:rsidRDefault="00961636" w:rsidP="00961636">
      <w:pPr>
        <w:pStyle w:val="FootnoteText"/>
        <w:rPr>
          <w:sz w:val="20"/>
          <w:szCs w:val="20"/>
        </w:rPr>
      </w:pPr>
      <w:r w:rsidRPr="00066413">
        <w:rPr>
          <w:rStyle w:val="FootnoteReference"/>
          <w:sz w:val="20"/>
          <w:szCs w:val="20"/>
        </w:rPr>
        <w:footnoteRef/>
      </w:r>
      <w:r w:rsidRPr="00066413">
        <w:rPr>
          <w:sz w:val="20"/>
          <w:szCs w:val="20"/>
        </w:rPr>
        <w:t xml:space="preserve"> Committee on the Rights of the Child, </w:t>
      </w:r>
      <w:r w:rsidRPr="00066413">
        <w:rPr>
          <w:i/>
          <w:iCs/>
          <w:sz w:val="20"/>
          <w:szCs w:val="20"/>
        </w:rPr>
        <w:t>List of issues in relation to the sixth periodic report of the United Republic of Tanzania</w:t>
      </w:r>
      <w:r w:rsidRPr="00066413">
        <w:rPr>
          <w:sz w:val="20"/>
          <w:szCs w:val="20"/>
        </w:rPr>
        <w:t>, 10 Dec. 2025, UN Doc. CRC/C/TZA/Q/6, ¶ 9(e).</w:t>
      </w:r>
    </w:p>
  </w:footnote>
  <w:footnote w:id="39">
    <w:p w14:paraId="608BBB9B" w14:textId="77777777" w:rsidR="005F25A1"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493100" w:rsidRPr="00066413">
        <w:rPr>
          <w:sz w:val="20"/>
          <w:szCs w:val="20"/>
        </w:rPr>
        <w:t>LHRC Report, Section B.1 (observations and experiences shared by Rose Malle, Executive Director, Ex-Prisoner Foundation).</w:t>
      </w:r>
    </w:p>
  </w:footnote>
  <w:footnote w:id="40">
    <w:p w14:paraId="6BA90AA3" w14:textId="77777777" w:rsidR="00EA06A9"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FB05C8" w:rsidRPr="00066413">
        <w:rPr>
          <w:sz w:val="20"/>
          <w:szCs w:val="20"/>
        </w:rPr>
        <w:t>LHRC Report, Section B</w:t>
      </w:r>
      <w:r w:rsidR="002E0199" w:rsidRPr="00066413">
        <w:rPr>
          <w:sz w:val="20"/>
          <w:szCs w:val="20"/>
        </w:rPr>
        <w:t>, para</w:t>
      </w:r>
      <w:r w:rsidR="00A8483F" w:rsidRPr="00066413">
        <w:rPr>
          <w:sz w:val="20"/>
          <w:szCs w:val="20"/>
        </w:rPr>
        <w:t>.</w:t>
      </w:r>
      <w:r w:rsidR="002E0199" w:rsidRPr="00066413">
        <w:rPr>
          <w:sz w:val="20"/>
          <w:szCs w:val="20"/>
        </w:rPr>
        <w:t xml:space="preserve"> 1.1.2;</w:t>
      </w:r>
      <w:r w:rsidR="00FB05C8" w:rsidRPr="00066413">
        <w:rPr>
          <w:sz w:val="20"/>
          <w:szCs w:val="20"/>
        </w:rPr>
        <w:t xml:space="preserve"> LHRC Report, Section B</w:t>
      </w:r>
      <w:r w:rsidR="00A8483F" w:rsidRPr="00066413">
        <w:rPr>
          <w:sz w:val="20"/>
          <w:szCs w:val="20"/>
        </w:rPr>
        <w:t>,</w:t>
      </w:r>
      <w:r w:rsidR="0064052D" w:rsidRPr="00066413">
        <w:rPr>
          <w:sz w:val="20"/>
          <w:szCs w:val="20"/>
        </w:rPr>
        <w:t xml:space="preserve"> </w:t>
      </w:r>
      <w:r w:rsidR="00A8483F" w:rsidRPr="00066413">
        <w:rPr>
          <w:sz w:val="20"/>
          <w:szCs w:val="20"/>
        </w:rPr>
        <w:t xml:space="preserve">para. </w:t>
      </w:r>
      <w:r w:rsidR="0064052D" w:rsidRPr="00066413">
        <w:rPr>
          <w:sz w:val="20"/>
          <w:szCs w:val="20"/>
        </w:rPr>
        <w:t>1.1.3; LHRC Report, Section B</w:t>
      </w:r>
      <w:r w:rsidR="00A8483F" w:rsidRPr="00066413">
        <w:rPr>
          <w:sz w:val="20"/>
          <w:szCs w:val="20"/>
        </w:rPr>
        <w:t>,</w:t>
      </w:r>
      <w:r w:rsidR="0064052D" w:rsidRPr="00066413">
        <w:rPr>
          <w:sz w:val="20"/>
          <w:szCs w:val="20"/>
        </w:rPr>
        <w:t xml:space="preserve"> </w:t>
      </w:r>
      <w:r w:rsidR="00A8483F" w:rsidRPr="00066413">
        <w:rPr>
          <w:sz w:val="20"/>
          <w:szCs w:val="20"/>
        </w:rPr>
        <w:t xml:space="preserve">para. </w:t>
      </w:r>
      <w:r w:rsidR="0064052D" w:rsidRPr="00066413">
        <w:rPr>
          <w:sz w:val="20"/>
          <w:szCs w:val="20"/>
        </w:rPr>
        <w:t>1.1.1.</w:t>
      </w:r>
    </w:p>
  </w:footnote>
  <w:footnote w:id="41">
    <w:p w14:paraId="78A4BC71" w14:textId="77777777" w:rsidR="00872375" w:rsidRPr="00066413" w:rsidRDefault="00872375" w:rsidP="00872375">
      <w:pPr>
        <w:pStyle w:val="FootnoteText"/>
        <w:rPr>
          <w:sz w:val="20"/>
          <w:szCs w:val="20"/>
        </w:rPr>
      </w:pPr>
      <w:r w:rsidRPr="00066413">
        <w:rPr>
          <w:rStyle w:val="FootnoteReference"/>
          <w:sz w:val="20"/>
          <w:szCs w:val="20"/>
        </w:rPr>
        <w:footnoteRef/>
      </w:r>
      <w:r w:rsidRPr="00066413">
        <w:rPr>
          <w:sz w:val="20"/>
          <w:szCs w:val="20"/>
        </w:rPr>
        <w:t xml:space="preserve"> LHRC Contribution for CRC Report, 2026 on Death Penalty (June 2026) (‘LHRC Report’), Section B.1.</w:t>
      </w:r>
    </w:p>
  </w:footnote>
  <w:footnote w:id="42">
    <w:p w14:paraId="62DE4285" w14:textId="77777777" w:rsidR="00872375" w:rsidRPr="00066413" w:rsidRDefault="00872375" w:rsidP="00872375">
      <w:pPr>
        <w:pStyle w:val="FootnoteText"/>
        <w:rPr>
          <w:sz w:val="20"/>
          <w:szCs w:val="20"/>
        </w:rPr>
      </w:pPr>
      <w:r w:rsidRPr="00066413">
        <w:rPr>
          <w:rStyle w:val="FootnoteReference"/>
          <w:sz w:val="20"/>
          <w:szCs w:val="20"/>
        </w:rPr>
        <w:footnoteRef/>
      </w:r>
      <w:r w:rsidRPr="00066413">
        <w:rPr>
          <w:sz w:val="20"/>
          <w:szCs w:val="20"/>
        </w:rPr>
        <w:t xml:space="preserve"> LHRC Contribution for CRC Report, 2026 on Death Penalty (June 2026) (‘LHRC Report’), Section B.1.1.3.</w:t>
      </w:r>
    </w:p>
  </w:footnote>
  <w:footnote w:id="43">
    <w:p w14:paraId="03AAD1BF" w14:textId="77777777" w:rsidR="00872375" w:rsidRPr="00066413" w:rsidRDefault="00872375" w:rsidP="00872375">
      <w:pPr>
        <w:pStyle w:val="FootnoteText"/>
        <w:rPr>
          <w:sz w:val="20"/>
          <w:szCs w:val="20"/>
        </w:rPr>
      </w:pPr>
      <w:r w:rsidRPr="00066413">
        <w:rPr>
          <w:rStyle w:val="FootnoteReference"/>
          <w:sz w:val="20"/>
          <w:szCs w:val="20"/>
        </w:rPr>
        <w:footnoteRef/>
      </w:r>
      <w:r w:rsidRPr="00066413">
        <w:rPr>
          <w:sz w:val="20"/>
          <w:szCs w:val="20"/>
        </w:rPr>
        <w:t xml:space="preserve"> LHRC Contribution for CRC Report, 2026 on Death Penalty (June 2026) (‘LHRC Report’), Section B.1.1.2.</w:t>
      </w:r>
    </w:p>
  </w:footnote>
  <w:footnote w:id="44">
    <w:p w14:paraId="4B3D2F4E" w14:textId="77777777" w:rsidR="00872375" w:rsidRPr="00066413" w:rsidRDefault="00872375" w:rsidP="00872375">
      <w:pPr>
        <w:pStyle w:val="FootnoteText"/>
        <w:rPr>
          <w:sz w:val="20"/>
          <w:szCs w:val="20"/>
        </w:rPr>
      </w:pPr>
      <w:r w:rsidRPr="00066413">
        <w:rPr>
          <w:rStyle w:val="FootnoteReference"/>
          <w:sz w:val="20"/>
          <w:szCs w:val="20"/>
        </w:rPr>
        <w:footnoteRef/>
      </w:r>
      <w:r w:rsidRPr="00066413">
        <w:rPr>
          <w:sz w:val="20"/>
          <w:szCs w:val="20"/>
        </w:rPr>
        <w:t xml:space="preserve"> LHRC Contribution for CRC Report, 2026 on Death Penalty (June 2026) (‘LHRC Report’), Section B.1.1.1.</w:t>
      </w:r>
    </w:p>
  </w:footnote>
  <w:footnote w:id="45">
    <w:p w14:paraId="57446679" w14:textId="77777777" w:rsidR="009519F0" w:rsidRPr="00066413" w:rsidRDefault="009519F0" w:rsidP="009519F0">
      <w:pPr>
        <w:pStyle w:val="FootnoteText"/>
        <w:rPr>
          <w:sz w:val="20"/>
          <w:szCs w:val="20"/>
        </w:rPr>
      </w:pPr>
      <w:r w:rsidRPr="00066413">
        <w:rPr>
          <w:rStyle w:val="FootnoteReference"/>
          <w:sz w:val="20"/>
          <w:szCs w:val="20"/>
        </w:rPr>
        <w:footnoteRef/>
      </w:r>
      <w:r w:rsidRPr="00066413">
        <w:rPr>
          <w:sz w:val="20"/>
          <w:szCs w:val="20"/>
        </w:rPr>
        <w:t xml:space="preserve"> U.S. Department of State, 2023 Country Reports on Human Rights Practices, at 4.</w:t>
      </w:r>
    </w:p>
  </w:footnote>
  <w:footnote w:id="46">
    <w:p w14:paraId="4CDC983A" w14:textId="37BA110A" w:rsidR="008774D9" w:rsidRPr="00066413" w:rsidRDefault="008774D9" w:rsidP="008774D9">
      <w:pPr>
        <w:pStyle w:val="FootnoteText"/>
        <w:rPr>
          <w:sz w:val="20"/>
          <w:szCs w:val="20"/>
        </w:rPr>
      </w:pPr>
      <w:r w:rsidRPr="00066413">
        <w:rPr>
          <w:rStyle w:val="FootnoteReference"/>
          <w:sz w:val="20"/>
          <w:szCs w:val="20"/>
        </w:rPr>
        <w:footnoteRef/>
      </w:r>
      <w:r w:rsidRPr="00066413">
        <w:rPr>
          <w:sz w:val="20"/>
          <w:szCs w:val="20"/>
        </w:rPr>
        <w:t xml:space="preserve"> Committee on the Rights of the Child, </w:t>
      </w:r>
      <w:r w:rsidRPr="00066413">
        <w:rPr>
          <w:i/>
          <w:iCs/>
          <w:sz w:val="20"/>
          <w:szCs w:val="20"/>
        </w:rPr>
        <w:t>List of issues in relation to the sixth periodic report of the United Republic of Tanzania</w:t>
      </w:r>
      <w:r w:rsidRPr="00066413">
        <w:rPr>
          <w:sz w:val="20"/>
          <w:szCs w:val="20"/>
        </w:rPr>
        <w:t>, 10 Dec. 2025, UN Doc. CRC/C/TZA/Q/6, ¶ 9(</w:t>
      </w:r>
      <w:r w:rsidR="002F7F23" w:rsidRPr="00066413">
        <w:rPr>
          <w:sz w:val="20"/>
          <w:szCs w:val="20"/>
        </w:rPr>
        <w:t>a</w:t>
      </w:r>
      <w:r w:rsidRPr="00066413">
        <w:rPr>
          <w:sz w:val="20"/>
          <w:szCs w:val="20"/>
        </w:rPr>
        <w:t>)</w:t>
      </w:r>
      <w:r w:rsidR="002F7F23" w:rsidRPr="00066413">
        <w:rPr>
          <w:sz w:val="20"/>
          <w:szCs w:val="20"/>
        </w:rPr>
        <w:t>-(c)</w:t>
      </w:r>
      <w:r w:rsidRPr="00066413">
        <w:rPr>
          <w:sz w:val="20"/>
          <w:szCs w:val="20"/>
        </w:rPr>
        <w:t>.</w:t>
      </w:r>
    </w:p>
  </w:footnote>
  <w:footnote w:id="47">
    <w:p w14:paraId="31CB70F0" w14:textId="4C775191" w:rsidR="008774D9" w:rsidRPr="00066413" w:rsidRDefault="008774D9" w:rsidP="008774D9">
      <w:pPr>
        <w:pStyle w:val="FootnoteText"/>
        <w:rPr>
          <w:sz w:val="20"/>
          <w:szCs w:val="20"/>
        </w:rPr>
      </w:pPr>
      <w:r w:rsidRPr="00066413">
        <w:rPr>
          <w:rStyle w:val="FootnoteReference"/>
          <w:sz w:val="20"/>
          <w:szCs w:val="20"/>
        </w:rPr>
        <w:footnoteRef/>
      </w:r>
      <w:r w:rsidRPr="00066413">
        <w:rPr>
          <w:sz w:val="20"/>
          <w:szCs w:val="20"/>
        </w:rPr>
        <w:t xml:space="preserve"> Committee on the Rights of the Child, </w:t>
      </w:r>
      <w:r w:rsidRPr="00066413">
        <w:rPr>
          <w:i/>
          <w:iCs/>
          <w:sz w:val="20"/>
          <w:szCs w:val="20"/>
        </w:rPr>
        <w:t>List of issues in relation to the sixth periodic report of the United Republic of Tanzania</w:t>
      </w:r>
      <w:r w:rsidRPr="00066413">
        <w:rPr>
          <w:sz w:val="20"/>
          <w:szCs w:val="20"/>
        </w:rPr>
        <w:t>, 10 Dec. 2025, UN Doc. CRC/C/TZA/Q/6, ¶ </w:t>
      </w:r>
      <w:r w:rsidR="002F7F23" w:rsidRPr="00066413">
        <w:rPr>
          <w:sz w:val="20"/>
          <w:szCs w:val="20"/>
        </w:rPr>
        <w:t>1</w:t>
      </w:r>
      <w:r w:rsidRPr="00066413">
        <w:rPr>
          <w:sz w:val="20"/>
          <w:szCs w:val="20"/>
        </w:rPr>
        <w:t>9.</w:t>
      </w:r>
    </w:p>
  </w:footnote>
  <w:footnote w:id="48">
    <w:p w14:paraId="54E38456" w14:textId="77777777" w:rsidR="005F7988" w:rsidRPr="00066413" w:rsidRDefault="005F7988" w:rsidP="005F7988">
      <w:pPr>
        <w:pStyle w:val="FootnoteText"/>
        <w:rPr>
          <w:sz w:val="20"/>
          <w:szCs w:val="20"/>
        </w:rPr>
      </w:pPr>
      <w:r w:rsidRPr="00066413">
        <w:rPr>
          <w:rStyle w:val="FootnoteReference"/>
          <w:sz w:val="20"/>
          <w:szCs w:val="20"/>
        </w:rPr>
        <w:footnoteRef/>
      </w:r>
      <w:r w:rsidRPr="00066413">
        <w:rPr>
          <w:sz w:val="20"/>
          <w:szCs w:val="20"/>
        </w:rPr>
        <w:t xml:space="preserve"> LHRC Contribution for CRC Report, 2026 on Death Penalty (June 2026) (‘LHRC Report’), Section B.1.1.4.</w:t>
      </w:r>
    </w:p>
  </w:footnote>
  <w:footnote w:id="49">
    <w:p w14:paraId="47D84D82" w14:textId="77777777" w:rsidR="00A20EB7" w:rsidRPr="00066413" w:rsidRDefault="00A20EB7" w:rsidP="00A20EB7">
      <w:pPr>
        <w:pStyle w:val="FootnoteText"/>
        <w:rPr>
          <w:sz w:val="20"/>
          <w:szCs w:val="20"/>
        </w:rPr>
      </w:pPr>
      <w:r w:rsidRPr="00066413">
        <w:rPr>
          <w:rStyle w:val="FootnoteReference"/>
          <w:sz w:val="20"/>
          <w:szCs w:val="20"/>
        </w:rPr>
        <w:footnoteRef/>
      </w:r>
      <w:r w:rsidRPr="00066413">
        <w:rPr>
          <w:sz w:val="20"/>
          <w:szCs w:val="20"/>
        </w:rPr>
        <w:t xml:space="preserve"> LHRC Contribution for CRC Report, 2026 on Death Penalty (June 2026) (‘LHRC Report’), Section B.1.1.5.</w:t>
      </w:r>
    </w:p>
  </w:footnote>
  <w:footnote w:id="50">
    <w:p w14:paraId="4FB670ED" w14:textId="77777777" w:rsidR="006C5196"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B020BA" w:rsidRPr="00066413">
        <w:rPr>
          <w:sz w:val="20"/>
          <w:szCs w:val="20"/>
        </w:rPr>
        <w:t>LHRC Report, Section B.1, para. 1.1.5 and case illustration.</w:t>
      </w:r>
    </w:p>
  </w:footnote>
  <w:footnote w:id="51">
    <w:p w14:paraId="3E294A1C" w14:textId="34B3064D" w:rsidR="007342AC" w:rsidRPr="00066413" w:rsidRDefault="007342AC" w:rsidP="007342AC">
      <w:pPr>
        <w:pStyle w:val="FootnoteText"/>
        <w:rPr>
          <w:sz w:val="20"/>
          <w:szCs w:val="20"/>
        </w:rPr>
      </w:pPr>
      <w:r w:rsidRPr="00066413">
        <w:rPr>
          <w:rStyle w:val="FootnoteReference"/>
          <w:sz w:val="20"/>
          <w:szCs w:val="20"/>
        </w:rPr>
        <w:footnoteRef/>
      </w:r>
      <w:r w:rsidRPr="00066413">
        <w:rPr>
          <w:sz w:val="20"/>
          <w:szCs w:val="20"/>
        </w:rPr>
        <w:t xml:space="preserve"> Committee on the Rights of the Child, </w:t>
      </w:r>
      <w:r w:rsidRPr="00066413">
        <w:rPr>
          <w:i/>
          <w:iCs/>
          <w:sz w:val="20"/>
          <w:szCs w:val="20"/>
        </w:rPr>
        <w:t>List of issues in relation to the sixth periodic report of the United Republic of Tanzania</w:t>
      </w:r>
      <w:r w:rsidRPr="00066413">
        <w:rPr>
          <w:sz w:val="20"/>
          <w:szCs w:val="20"/>
        </w:rPr>
        <w:t>, 10 Dec. 2025, UN Doc. CRC/C/TZA/Q/6, ¶ 7.</w:t>
      </w:r>
    </w:p>
  </w:footnote>
  <w:footnote w:id="52">
    <w:p w14:paraId="1FDB5195" w14:textId="77777777" w:rsidR="00E6674E" w:rsidRPr="00066413" w:rsidRDefault="00E6674E" w:rsidP="00E6674E">
      <w:pPr>
        <w:pStyle w:val="FootnoteText"/>
        <w:rPr>
          <w:sz w:val="20"/>
          <w:szCs w:val="20"/>
        </w:rPr>
      </w:pPr>
      <w:r w:rsidRPr="00066413">
        <w:rPr>
          <w:rStyle w:val="FootnoteReference"/>
          <w:sz w:val="20"/>
          <w:szCs w:val="20"/>
        </w:rPr>
        <w:footnoteRef/>
      </w:r>
      <w:r w:rsidRPr="00066413">
        <w:rPr>
          <w:sz w:val="20"/>
          <w:szCs w:val="20"/>
        </w:rPr>
        <w:t xml:space="preserve"> LHRC Contribution for CRC Report, 2026 on Death Penalty (June 2026) (‘LHRC Report’), Section B.3.</w:t>
      </w:r>
    </w:p>
  </w:footnote>
  <w:footnote w:id="53">
    <w:p w14:paraId="29C78148" w14:textId="77777777" w:rsidR="004E1169" w:rsidRPr="00066413" w:rsidRDefault="004E1169" w:rsidP="004E1169">
      <w:pPr>
        <w:pStyle w:val="FootnoteText"/>
        <w:rPr>
          <w:sz w:val="20"/>
          <w:szCs w:val="20"/>
        </w:rPr>
      </w:pPr>
      <w:r w:rsidRPr="00066413">
        <w:rPr>
          <w:rStyle w:val="FootnoteReference"/>
          <w:sz w:val="20"/>
          <w:szCs w:val="20"/>
        </w:rPr>
        <w:footnoteRef/>
      </w:r>
      <w:r w:rsidRPr="00066413">
        <w:rPr>
          <w:sz w:val="20"/>
          <w:szCs w:val="20"/>
        </w:rPr>
        <w:t xml:space="preserve"> UN Convention on the Rights of the Child, art. 27(1).</w:t>
      </w:r>
    </w:p>
  </w:footnote>
  <w:footnote w:id="54">
    <w:p w14:paraId="65B77FA5" w14:textId="77777777" w:rsidR="004E1169" w:rsidRPr="00066413" w:rsidRDefault="004E1169" w:rsidP="004E1169">
      <w:pPr>
        <w:pStyle w:val="FootnoteText"/>
        <w:rPr>
          <w:sz w:val="20"/>
          <w:szCs w:val="20"/>
        </w:rPr>
      </w:pPr>
      <w:r w:rsidRPr="00066413">
        <w:rPr>
          <w:rStyle w:val="FootnoteReference"/>
          <w:sz w:val="20"/>
          <w:szCs w:val="20"/>
        </w:rPr>
        <w:footnoteRef/>
      </w:r>
      <w:r w:rsidRPr="00066413">
        <w:rPr>
          <w:sz w:val="20"/>
          <w:szCs w:val="20"/>
        </w:rPr>
        <w:t xml:space="preserve"> LHRC, Death Penalty in Tanzania: The Story of Pardoned Death Row Inmates (October 2020).</w:t>
      </w:r>
    </w:p>
  </w:footnote>
  <w:footnote w:id="55">
    <w:p w14:paraId="4BA8CAA3" w14:textId="77777777" w:rsidR="004E1169" w:rsidRPr="00066413" w:rsidRDefault="004E1169" w:rsidP="004E1169">
      <w:pPr>
        <w:pStyle w:val="FootnoteText"/>
        <w:rPr>
          <w:sz w:val="20"/>
          <w:szCs w:val="20"/>
        </w:rPr>
      </w:pPr>
      <w:r w:rsidRPr="00066413">
        <w:rPr>
          <w:rStyle w:val="FootnoteReference"/>
          <w:sz w:val="20"/>
          <w:szCs w:val="20"/>
        </w:rPr>
        <w:footnoteRef/>
      </w:r>
      <w:r w:rsidRPr="00066413">
        <w:rPr>
          <w:sz w:val="20"/>
          <w:szCs w:val="20"/>
        </w:rPr>
        <w:t xml:space="preserve"> United Nations, </w:t>
      </w:r>
      <w:r w:rsidRPr="00066413">
        <w:rPr>
          <w:i/>
          <w:iCs/>
          <w:sz w:val="20"/>
          <w:szCs w:val="20"/>
        </w:rPr>
        <w:t>1.5 Million Tanzanians Set for Social Protection</w:t>
      </w:r>
      <w:r w:rsidRPr="00066413">
        <w:rPr>
          <w:sz w:val="20"/>
          <w:szCs w:val="20"/>
        </w:rPr>
        <w:t xml:space="preserve"> (May 2017).</w:t>
      </w:r>
    </w:p>
  </w:footnote>
  <w:footnote w:id="56">
    <w:p w14:paraId="03039BE9" w14:textId="77777777" w:rsidR="00FD4698" w:rsidRPr="00066413" w:rsidRDefault="00FD4698" w:rsidP="00FD4698">
      <w:pPr>
        <w:pStyle w:val="FootnoteText"/>
        <w:rPr>
          <w:sz w:val="20"/>
          <w:szCs w:val="20"/>
        </w:rPr>
      </w:pPr>
      <w:r w:rsidRPr="00066413">
        <w:rPr>
          <w:rStyle w:val="FootnoteReference"/>
          <w:sz w:val="20"/>
          <w:szCs w:val="20"/>
        </w:rPr>
        <w:footnoteRef/>
      </w:r>
      <w:r w:rsidRPr="00066413">
        <w:rPr>
          <w:sz w:val="20"/>
          <w:szCs w:val="20"/>
        </w:rPr>
        <w:t xml:space="preserve"> LHRC, Death Penalty in Tanzania: The Story of Pardoned Death Row Inmates (October 2020).</w:t>
      </w:r>
    </w:p>
  </w:footnote>
  <w:footnote w:id="57">
    <w:p w14:paraId="3C80F477" w14:textId="77777777" w:rsidR="00FD4698" w:rsidRPr="00066413" w:rsidRDefault="00FD4698" w:rsidP="00FD4698">
      <w:pPr>
        <w:pStyle w:val="FootnoteText"/>
        <w:rPr>
          <w:sz w:val="20"/>
          <w:szCs w:val="20"/>
        </w:rPr>
      </w:pPr>
      <w:r w:rsidRPr="00066413">
        <w:rPr>
          <w:rStyle w:val="FootnoteReference"/>
          <w:sz w:val="20"/>
          <w:szCs w:val="20"/>
        </w:rPr>
        <w:footnoteRef/>
      </w:r>
      <w:r w:rsidRPr="00066413">
        <w:rPr>
          <w:sz w:val="20"/>
          <w:szCs w:val="20"/>
        </w:rPr>
        <w:t xml:space="preserve"> LHRC Contribution for CRC Report, 2026 on Death Penalty (June 2026) (‘LHRC Report’), Section B.3.</w:t>
      </w:r>
    </w:p>
  </w:footnote>
  <w:footnote w:id="58">
    <w:p w14:paraId="00B51F68" w14:textId="77777777" w:rsidR="00502D24"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4C18F4" w:rsidRPr="00066413">
        <w:rPr>
          <w:sz w:val="20"/>
          <w:szCs w:val="20"/>
        </w:rPr>
        <w:t>LHRC Report, Section B, para. 3.</w:t>
      </w:r>
    </w:p>
  </w:footnote>
  <w:footnote w:id="59">
    <w:p w14:paraId="3F828A3C" w14:textId="77777777" w:rsidR="004C18F4" w:rsidRPr="00066413" w:rsidRDefault="00CF51E0" w:rsidP="00E06B68">
      <w:pPr>
        <w:rPr>
          <w:sz w:val="20"/>
          <w:szCs w:val="20"/>
        </w:rPr>
      </w:pPr>
      <w:r w:rsidRPr="00066413">
        <w:rPr>
          <w:rStyle w:val="FootnoteReference"/>
          <w:sz w:val="20"/>
          <w:szCs w:val="20"/>
        </w:rPr>
        <w:footnoteRef/>
      </w:r>
      <w:r w:rsidRPr="00066413">
        <w:rPr>
          <w:sz w:val="20"/>
          <w:szCs w:val="20"/>
        </w:rPr>
        <w:t xml:space="preserve"> </w:t>
      </w:r>
      <w:r w:rsidR="00E06B68" w:rsidRPr="00066413">
        <w:rPr>
          <w:sz w:val="20"/>
          <w:szCs w:val="20"/>
        </w:rPr>
        <w:t>Marta Santos Pais (Special Representative of the UN Secretary-General on Violence against Children), ‘Introductory Essay,’ in OSCE/ODIHR, The Death Penalty in the OSCE Area (OSCE/ODIHR, 2017), p. 7; World Coalition Against the Death Penalty and ACAT, The Rights of Children Whose Parents Have Been Sentenced to Death or Executed: Detailed Factsheet (World Coalition Against the Death Penalty, 2019), pp. 5–7; Olivier Robertson and Rachel Brett, Lightening the Load of the Parent Death Penalty on Children (QUNO, 2013).</w:t>
      </w:r>
    </w:p>
  </w:footnote>
  <w:footnote w:id="60">
    <w:p w14:paraId="23C97DBD" w14:textId="77777777" w:rsidR="00A3154B" w:rsidRPr="00066413" w:rsidRDefault="00A3154B" w:rsidP="00A3154B">
      <w:pPr>
        <w:pStyle w:val="FootnoteText"/>
        <w:rPr>
          <w:sz w:val="20"/>
          <w:szCs w:val="20"/>
        </w:rPr>
      </w:pPr>
      <w:r w:rsidRPr="00066413">
        <w:rPr>
          <w:rStyle w:val="FootnoteReference"/>
          <w:sz w:val="20"/>
          <w:szCs w:val="20"/>
        </w:rPr>
        <w:footnoteRef/>
      </w:r>
      <w:r w:rsidRPr="00066413">
        <w:rPr>
          <w:sz w:val="20"/>
          <w:szCs w:val="20"/>
        </w:rPr>
        <w:t xml:space="preserve"> Victoria Ward, Hannah Grace Rew and Berkeley Franz, </w:t>
      </w:r>
      <w:r w:rsidRPr="00066413">
        <w:rPr>
          <w:i/>
          <w:iCs/>
          <w:sz w:val="20"/>
          <w:szCs w:val="20"/>
        </w:rPr>
        <w:t>The Association Between Parental Incarceration During Childhood and Mental Health Diagnoses in Mid-Life</w:t>
      </w:r>
      <w:r w:rsidRPr="00066413">
        <w:rPr>
          <w:sz w:val="20"/>
          <w:szCs w:val="20"/>
        </w:rPr>
        <w:t>, Vol. 15, Journal of Primary Care &amp; Community Health (2025).</w:t>
      </w:r>
    </w:p>
  </w:footnote>
  <w:footnote w:id="61">
    <w:p w14:paraId="32C2E50E" w14:textId="77777777" w:rsidR="00A3154B" w:rsidRPr="00066413" w:rsidRDefault="00A3154B" w:rsidP="00A3154B">
      <w:pPr>
        <w:pStyle w:val="FootnoteText"/>
        <w:rPr>
          <w:sz w:val="20"/>
          <w:szCs w:val="20"/>
        </w:rPr>
      </w:pPr>
      <w:r w:rsidRPr="00066413">
        <w:rPr>
          <w:rStyle w:val="FootnoteReference"/>
          <w:sz w:val="20"/>
          <w:szCs w:val="20"/>
        </w:rPr>
        <w:footnoteRef/>
      </w:r>
      <w:r w:rsidRPr="00066413">
        <w:rPr>
          <w:sz w:val="20"/>
          <w:szCs w:val="20"/>
        </w:rPr>
        <w:t xml:space="preserve"> Texas After Violence Project, Nobody To Talk To (October 2019) at 6.</w:t>
      </w:r>
    </w:p>
  </w:footnote>
  <w:footnote w:id="62">
    <w:p w14:paraId="02C9FAAC" w14:textId="77777777" w:rsidR="00C83D8A" w:rsidRPr="00066413" w:rsidRDefault="00C83D8A" w:rsidP="00C83D8A">
      <w:pPr>
        <w:pStyle w:val="FootnoteText"/>
        <w:rPr>
          <w:sz w:val="20"/>
          <w:szCs w:val="20"/>
        </w:rPr>
      </w:pPr>
      <w:r w:rsidRPr="00066413">
        <w:rPr>
          <w:rStyle w:val="FootnoteReference"/>
          <w:sz w:val="20"/>
          <w:szCs w:val="20"/>
        </w:rPr>
        <w:footnoteRef/>
      </w:r>
      <w:r w:rsidRPr="00066413">
        <w:rPr>
          <w:sz w:val="20"/>
          <w:szCs w:val="20"/>
        </w:rPr>
        <w:t xml:space="preserve"> LHRC Report, Section A.1(c).</w:t>
      </w:r>
    </w:p>
  </w:footnote>
  <w:footnote w:id="63">
    <w:p w14:paraId="6C5EDFA0" w14:textId="77777777" w:rsidR="004D0EE7"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A97890" w:rsidRPr="00066413">
        <w:rPr>
          <w:sz w:val="20"/>
          <w:szCs w:val="20"/>
        </w:rPr>
        <w:t>UPR Stakeholder Report, Section II.B; LHRC Report, Section A.1(c).</w:t>
      </w:r>
    </w:p>
  </w:footnote>
  <w:footnote w:id="64">
    <w:p w14:paraId="44672D63" w14:textId="77777777" w:rsidR="006767AF" w:rsidRPr="00066413" w:rsidRDefault="006767AF" w:rsidP="006767AF">
      <w:pPr>
        <w:pStyle w:val="FootnoteText"/>
        <w:rPr>
          <w:sz w:val="20"/>
          <w:szCs w:val="20"/>
        </w:rPr>
      </w:pPr>
      <w:r w:rsidRPr="00066413">
        <w:rPr>
          <w:rStyle w:val="FootnoteReference"/>
          <w:sz w:val="20"/>
          <w:szCs w:val="20"/>
        </w:rPr>
        <w:footnoteRef/>
      </w:r>
      <w:r w:rsidRPr="00066413">
        <w:rPr>
          <w:sz w:val="20"/>
          <w:szCs w:val="20"/>
        </w:rPr>
        <w:t xml:space="preserve"> UPR Stakeholder Report, Section I.</w:t>
      </w:r>
    </w:p>
  </w:footnote>
  <w:footnote w:id="65">
    <w:p w14:paraId="0EB5F0E4" w14:textId="77777777" w:rsidR="00EB7F27"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33385D" w:rsidRPr="00066413">
        <w:rPr>
          <w:sz w:val="20"/>
          <w:szCs w:val="20"/>
        </w:rPr>
        <w:t>ACRWC, art. 30(e).</w:t>
      </w:r>
    </w:p>
  </w:footnote>
  <w:footnote w:id="66">
    <w:p w14:paraId="74E726BA" w14:textId="77777777" w:rsidR="009761A7" w:rsidRPr="00066413" w:rsidRDefault="00CF51E0">
      <w:pPr>
        <w:pStyle w:val="FootnoteText"/>
        <w:rPr>
          <w:sz w:val="20"/>
          <w:szCs w:val="20"/>
        </w:rPr>
      </w:pPr>
      <w:r w:rsidRPr="00066413">
        <w:rPr>
          <w:rStyle w:val="FootnoteReference"/>
          <w:sz w:val="20"/>
          <w:szCs w:val="20"/>
        </w:rPr>
        <w:footnoteRef/>
      </w:r>
      <w:r w:rsidRPr="00066413">
        <w:rPr>
          <w:sz w:val="20"/>
          <w:szCs w:val="20"/>
        </w:rPr>
        <w:t xml:space="preserve"> </w:t>
      </w:r>
      <w:r w:rsidR="00C1032F" w:rsidRPr="00066413">
        <w:rPr>
          <w:sz w:val="20"/>
          <w:szCs w:val="20"/>
        </w:rPr>
        <w:t>Penal Reform International, Submission to the UN Human Rights Committee on General Comment No. 36 – Article 6: Right to Life (2015); ACRWC General Comment No. 1, para. 13.1.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515B" w14:textId="0D6D2CD4" w:rsidR="00F34B1D" w:rsidRDefault="00F5136F" w:rsidP="004B7188">
    <w:pPr>
      <w:pStyle w:val="Header"/>
      <w:tabs>
        <w:tab w:val="clear" w:pos="9360"/>
      </w:tabs>
    </w:pPr>
    <w:r>
      <w:rPr>
        <w:noProof/>
        <w14:ligatures w14:val="standardContextual"/>
      </w:rPr>
      <w:drawing>
        <wp:anchor distT="0" distB="0" distL="114300" distR="114300" simplePos="0" relativeHeight="251660290" behindDoc="0" locked="0" layoutInCell="1" allowOverlap="1" wp14:anchorId="1791F6E1" wp14:editId="77AB7C37">
          <wp:simplePos x="0" y="0"/>
          <wp:positionH relativeFrom="column">
            <wp:posOffset>3583940</wp:posOffset>
          </wp:positionH>
          <wp:positionV relativeFrom="paragraph">
            <wp:posOffset>-228600</wp:posOffset>
          </wp:positionV>
          <wp:extent cx="1109573" cy="466725"/>
          <wp:effectExtent l="0" t="0" r="0" b="0"/>
          <wp:wrapNone/>
          <wp:docPr id="4949040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04045" name="Picture 494904045"/>
                  <pic:cNvPicPr/>
                </pic:nvPicPr>
                <pic:blipFill>
                  <a:blip r:embed="rId1">
                    <a:extLst>
                      <a:ext uri="{28A0092B-C50C-407E-A947-70E740481C1C}">
                        <a14:useLocalDpi xmlns:a14="http://schemas.microsoft.com/office/drawing/2010/main" val="0"/>
                      </a:ext>
                    </a:extLst>
                  </a:blip>
                  <a:stretch>
                    <a:fillRect/>
                  </a:stretch>
                </pic:blipFill>
                <pic:spPr>
                  <a:xfrm>
                    <a:off x="0" y="0"/>
                    <a:ext cx="1109573" cy="466725"/>
                  </a:xfrm>
                  <a:prstGeom prst="rect">
                    <a:avLst/>
                  </a:prstGeom>
                </pic:spPr>
              </pic:pic>
            </a:graphicData>
          </a:graphic>
          <wp14:sizeRelH relativeFrom="margin">
            <wp14:pctWidth>0</wp14:pctWidth>
          </wp14:sizeRelH>
          <wp14:sizeRelV relativeFrom="margin">
            <wp14:pctHeight>0</wp14:pctHeight>
          </wp14:sizeRelV>
        </wp:anchor>
      </w:drawing>
    </w:r>
    <w:r w:rsidRPr="00561F4D">
      <w:rPr>
        <w:rFonts w:ascii="Montserrat" w:hAnsi="Montserrat"/>
        <w:b/>
        <w:bCs/>
        <w:noProof/>
        <w:kern w:val="36"/>
        <w:lang w:eastAsia="zh-CN" w:bidi="ar"/>
      </w:rPr>
      <w:drawing>
        <wp:anchor distT="0" distB="0" distL="114300" distR="114300" simplePos="0" relativeHeight="251658242" behindDoc="0" locked="0" layoutInCell="1" allowOverlap="1" wp14:anchorId="5F6F2100" wp14:editId="2FD3F6BF">
          <wp:simplePos x="0" y="0"/>
          <wp:positionH relativeFrom="margin">
            <wp:align>center</wp:align>
          </wp:positionH>
          <wp:positionV relativeFrom="paragraph">
            <wp:posOffset>-389890</wp:posOffset>
          </wp:positionV>
          <wp:extent cx="847725" cy="847225"/>
          <wp:effectExtent l="0" t="0" r="0" b="0"/>
          <wp:wrapNone/>
          <wp:docPr id="2762939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93960" name="Picture 6"/>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847725" cy="84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43B0">
      <w:rPr>
        <w:noProof/>
        <w14:ligatures w14:val="standardContextual"/>
      </w:rPr>
      <w:drawing>
        <wp:anchor distT="0" distB="0" distL="114300" distR="114300" simplePos="0" relativeHeight="251659266" behindDoc="0" locked="0" layoutInCell="1" allowOverlap="1" wp14:anchorId="735A5378" wp14:editId="4DE6F85B">
          <wp:simplePos x="0" y="0"/>
          <wp:positionH relativeFrom="margin">
            <wp:posOffset>1295400</wp:posOffset>
          </wp:positionH>
          <wp:positionV relativeFrom="paragraph">
            <wp:posOffset>-286081</wp:posOffset>
          </wp:positionV>
          <wp:extent cx="1114247" cy="742950"/>
          <wp:effectExtent l="0" t="0" r="0" b="0"/>
          <wp:wrapNone/>
          <wp:docPr id="825600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00260" name="Picture 825600260"/>
                  <pic:cNvPicPr/>
                </pic:nvPicPr>
                <pic:blipFill>
                  <a:blip r:embed="rId3">
                    <a:extLst>
                      <a:ext uri="{28A0092B-C50C-407E-A947-70E740481C1C}">
                        <a14:useLocalDpi xmlns:a14="http://schemas.microsoft.com/office/drawing/2010/main" val="0"/>
                      </a:ext>
                    </a:extLst>
                  </a:blip>
                  <a:stretch>
                    <a:fillRect/>
                  </a:stretch>
                </pic:blipFill>
                <pic:spPr>
                  <a:xfrm>
                    <a:off x="0" y="0"/>
                    <a:ext cx="1114247" cy="742950"/>
                  </a:xfrm>
                  <a:prstGeom prst="rect">
                    <a:avLst/>
                  </a:prstGeom>
                </pic:spPr>
              </pic:pic>
            </a:graphicData>
          </a:graphic>
          <wp14:sizeRelH relativeFrom="margin">
            <wp14:pctWidth>0</wp14:pctWidth>
          </wp14:sizeRelH>
          <wp14:sizeRelV relativeFrom="margin">
            <wp14:pctHeight>0</wp14:pctHeight>
          </wp14:sizeRelV>
        </wp:anchor>
      </w:drawing>
    </w:r>
    <w:r w:rsidR="00AD43B0">
      <w:rPr>
        <w:b/>
        <w:bCs/>
        <w:noProof/>
        <w:lang w:val="en-029" w:eastAsia="en-029"/>
      </w:rPr>
      <w:drawing>
        <wp:anchor distT="0" distB="0" distL="114300" distR="114300" simplePos="0" relativeHeight="251658241" behindDoc="0" locked="0" layoutInCell="1" allowOverlap="1" wp14:anchorId="0F96D9D8" wp14:editId="351B75C2">
          <wp:simplePos x="0" y="0"/>
          <wp:positionH relativeFrom="margin">
            <wp:align>left</wp:align>
          </wp:positionH>
          <wp:positionV relativeFrom="paragraph">
            <wp:posOffset>-369570</wp:posOffset>
          </wp:positionV>
          <wp:extent cx="1234615" cy="655955"/>
          <wp:effectExtent l="0" t="0" r="3810" b="0"/>
          <wp:wrapNone/>
          <wp:docPr id="160248401" name="Picture 16024840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8401" name="Picture 5" descr="Logo&#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1239037" cy="658304"/>
                  </a:xfrm>
                  <a:prstGeom prst="rect">
                    <a:avLst/>
                  </a:prstGeom>
                </pic:spPr>
              </pic:pic>
            </a:graphicData>
          </a:graphic>
          <wp14:sizeRelH relativeFrom="page">
            <wp14:pctWidth>0</wp14:pctWidth>
          </wp14:sizeRelH>
          <wp14:sizeRelV relativeFrom="page">
            <wp14:pctHeight>0</wp14:pctHeight>
          </wp14:sizeRelV>
        </wp:anchor>
      </w:drawing>
    </w:r>
    <w:r w:rsidR="00AD43B0">
      <w:rPr>
        <w:noProof/>
      </w:rPr>
      <w:drawing>
        <wp:anchor distT="0" distB="0" distL="114300" distR="114300" simplePos="0" relativeHeight="251658240" behindDoc="0" locked="0" layoutInCell="1" allowOverlap="1" wp14:anchorId="71A890E2" wp14:editId="7AB989C9">
          <wp:simplePos x="0" y="0"/>
          <wp:positionH relativeFrom="margin">
            <wp:posOffset>4905374</wp:posOffset>
          </wp:positionH>
          <wp:positionV relativeFrom="paragraph">
            <wp:posOffset>-333375</wp:posOffset>
          </wp:positionV>
          <wp:extent cx="1613535" cy="618337"/>
          <wp:effectExtent l="0" t="0" r="571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620701" cy="621083"/>
                  </a:xfrm>
                  <a:prstGeom prst="rect">
                    <a:avLst/>
                  </a:prstGeom>
                  <a:noFill/>
                  <a:ln>
                    <a:noFill/>
                  </a:ln>
                </pic:spPr>
              </pic:pic>
            </a:graphicData>
          </a:graphic>
          <wp14:sizeRelH relativeFrom="page">
            <wp14:pctWidth>0</wp14:pctWidth>
          </wp14:sizeRelH>
          <wp14:sizeRelV relativeFrom="page">
            <wp14:pctHeight>0</wp14:pctHeight>
          </wp14:sizeRelV>
        </wp:anchor>
      </w:drawing>
    </w:r>
    <w:r w:rsidR="00CF51E0">
      <w:tab/>
    </w:r>
    <w:r w:rsidR="00CF51E0" w:rsidRPr="006848F5">
      <w:br/>
    </w:r>
  </w:p>
  <w:p w14:paraId="2585BEE4" w14:textId="77777777" w:rsidR="00F34B1D" w:rsidRDefault="00F34B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14C96"/>
    <w:multiLevelType w:val="hybridMultilevel"/>
    <w:tmpl w:val="62F48FC0"/>
    <w:lvl w:ilvl="0" w:tplc="9D5C4618">
      <w:start w:val="1"/>
      <w:numFmt w:val="upperRoman"/>
      <w:lvlText w:val="%1."/>
      <w:lvlJc w:val="left"/>
      <w:pPr>
        <w:ind w:left="1440" w:hanging="720"/>
      </w:pPr>
      <w:rPr>
        <w:rFonts w:hint="default"/>
      </w:rPr>
    </w:lvl>
    <w:lvl w:ilvl="1" w:tplc="87880B14" w:tentative="1">
      <w:start w:val="1"/>
      <w:numFmt w:val="lowerLetter"/>
      <w:lvlText w:val="%2."/>
      <w:lvlJc w:val="left"/>
      <w:pPr>
        <w:ind w:left="1800" w:hanging="360"/>
      </w:pPr>
    </w:lvl>
    <w:lvl w:ilvl="2" w:tplc="431E38C8" w:tentative="1">
      <w:start w:val="1"/>
      <w:numFmt w:val="lowerRoman"/>
      <w:lvlText w:val="%3."/>
      <w:lvlJc w:val="right"/>
      <w:pPr>
        <w:ind w:left="2520" w:hanging="180"/>
      </w:pPr>
    </w:lvl>
    <w:lvl w:ilvl="3" w:tplc="9DDEDEDE" w:tentative="1">
      <w:start w:val="1"/>
      <w:numFmt w:val="decimal"/>
      <w:lvlText w:val="%4."/>
      <w:lvlJc w:val="left"/>
      <w:pPr>
        <w:ind w:left="3240" w:hanging="360"/>
      </w:pPr>
    </w:lvl>
    <w:lvl w:ilvl="4" w:tplc="7C5899E2" w:tentative="1">
      <w:start w:val="1"/>
      <w:numFmt w:val="lowerLetter"/>
      <w:lvlText w:val="%5."/>
      <w:lvlJc w:val="left"/>
      <w:pPr>
        <w:ind w:left="3960" w:hanging="360"/>
      </w:pPr>
    </w:lvl>
    <w:lvl w:ilvl="5" w:tplc="F7B0AB30" w:tentative="1">
      <w:start w:val="1"/>
      <w:numFmt w:val="lowerRoman"/>
      <w:lvlText w:val="%6."/>
      <w:lvlJc w:val="right"/>
      <w:pPr>
        <w:ind w:left="4680" w:hanging="180"/>
      </w:pPr>
    </w:lvl>
    <w:lvl w:ilvl="6" w:tplc="C89487F4" w:tentative="1">
      <w:start w:val="1"/>
      <w:numFmt w:val="decimal"/>
      <w:lvlText w:val="%7."/>
      <w:lvlJc w:val="left"/>
      <w:pPr>
        <w:ind w:left="5400" w:hanging="360"/>
      </w:pPr>
    </w:lvl>
    <w:lvl w:ilvl="7" w:tplc="3056A634" w:tentative="1">
      <w:start w:val="1"/>
      <w:numFmt w:val="lowerLetter"/>
      <w:lvlText w:val="%8."/>
      <w:lvlJc w:val="left"/>
      <w:pPr>
        <w:ind w:left="6120" w:hanging="360"/>
      </w:pPr>
    </w:lvl>
    <w:lvl w:ilvl="8" w:tplc="CAACDB8A" w:tentative="1">
      <w:start w:val="1"/>
      <w:numFmt w:val="lowerRoman"/>
      <w:lvlText w:val="%9."/>
      <w:lvlJc w:val="right"/>
      <w:pPr>
        <w:ind w:left="6840" w:hanging="180"/>
      </w:pPr>
    </w:lvl>
  </w:abstractNum>
  <w:abstractNum w:abstractNumId="1" w15:restartNumberingAfterBreak="0">
    <w:nsid w:val="1D5153BE"/>
    <w:multiLevelType w:val="hybridMultilevel"/>
    <w:tmpl w:val="47C6F800"/>
    <w:name w:val="Paragraph"/>
    <w:lvl w:ilvl="0" w:tplc="24E26CB6">
      <w:start w:val="1"/>
      <w:numFmt w:val="decimal"/>
      <w:pStyle w:val="Paragraph"/>
      <w:lvlText w:val="%1."/>
      <w:lvlJc w:val="left"/>
      <w:pPr>
        <w:ind w:left="4320" w:hanging="360"/>
      </w:pPr>
    </w:lvl>
    <w:lvl w:ilvl="1" w:tplc="0082E006">
      <w:start w:val="1"/>
      <w:numFmt w:val="bullet"/>
      <w:pStyle w:val="BulletRecommendationsQuestions"/>
      <w:lvlText w:val=""/>
      <w:lvlJc w:val="left"/>
      <w:pPr>
        <w:ind w:left="5040" w:hanging="360"/>
      </w:pPr>
      <w:rPr>
        <w:rFonts w:ascii="Symbol" w:hAnsi="Symbol" w:hint="default"/>
      </w:rPr>
    </w:lvl>
    <w:lvl w:ilvl="2" w:tplc="C3728B12" w:tentative="1">
      <w:start w:val="1"/>
      <w:numFmt w:val="lowerRoman"/>
      <w:lvlText w:val="%3."/>
      <w:lvlJc w:val="right"/>
      <w:pPr>
        <w:ind w:left="5760" w:hanging="180"/>
      </w:pPr>
    </w:lvl>
    <w:lvl w:ilvl="3" w:tplc="B282B61A" w:tentative="1">
      <w:start w:val="1"/>
      <w:numFmt w:val="decimal"/>
      <w:lvlText w:val="%4."/>
      <w:lvlJc w:val="left"/>
      <w:pPr>
        <w:ind w:left="6480" w:hanging="360"/>
      </w:pPr>
    </w:lvl>
    <w:lvl w:ilvl="4" w:tplc="981CF82E" w:tentative="1">
      <w:start w:val="1"/>
      <w:numFmt w:val="lowerLetter"/>
      <w:lvlText w:val="%5."/>
      <w:lvlJc w:val="left"/>
      <w:pPr>
        <w:ind w:left="7200" w:hanging="360"/>
      </w:pPr>
    </w:lvl>
    <w:lvl w:ilvl="5" w:tplc="BDE47056" w:tentative="1">
      <w:start w:val="1"/>
      <w:numFmt w:val="lowerRoman"/>
      <w:lvlText w:val="%6."/>
      <w:lvlJc w:val="right"/>
      <w:pPr>
        <w:ind w:left="7920" w:hanging="180"/>
      </w:pPr>
    </w:lvl>
    <w:lvl w:ilvl="6" w:tplc="F0E2D42C" w:tentative="1">
      <w:start w:val="1"/>
      <w:numFmt w:val="decimal"/>
      <w:lvlText w:val="%7."/>
      <w:lvlJc w:val="left"/>
      <w:pPr>
        <w:ind w:left="8640" w:hanging="360"/>
      </w:pPr>
    </w:lvl>
    <w:lvl w:ilvl="7" w:tplc="30F82396" w:tentative="1">
      <w:start w:val="1"/>
      <w:numFmt w:val="lowerLetter"/>
      <w:lvlText w:val="%8."/>
      <w:lvlJc w:val="left"/>
      <w:pPr>
        <w:ind w:left="9360" w:hanging="360"/>
      </w:pPr>
    </w:lvl>
    <w:lvl w:ilvl="8" w:tplc="7C98688E" w:tentative="1">
      <w:start w:val="1"/>
      <w:numFmt w:val="lowerRoman"/>
      <w:lvlText w:val="%9."/>
      <w:lvlJc w:val="right"/>
      <w:pPr>
        <w:ind w:left="10080" w:hanging="180"/>
      </w:pPr>
    </w:lvl>
  </w:abstractNum>
  <w:abstractNum w:abstractNumId="2" w15:restartNumberingAfterBreak="0">
    <w:nsid w:val="2D955A25"/>
    <w:multiLevelType w:val="hybridMultilevel"/>
    <w:tmpl w:val="62F48FC0"/>
    <w:lvl w:ilvl="0" w:tplc="DDD618FA">
      <w:start w:val="1"/>
      <w:numFmt w:val="upperRoman"/>
      <w:lvlText w:val="%1."/>
      <w:lvlJc w:val="left"/>
      <w:pPr>
        <w:ind w:left="1440" w:hanging="720"/>
      </w:pPr>
      <w:rPr>
        <w:rFonts w:hint="default"/>
      </w:rPr>
    </w:lvl>
    <w:lvl w:ilvl="1" w:tplc="8698DC34" w:tentative="1">
      <w:start w:val="1"/>
      <w:numFmt w:val="lowerLetter"/>
      <w:lvlText w:val="%2."/>
      <w:lvlJc w:val="left"/>
      <w:pPr>
        <w:ind w:left="1800" w:hanging="360"/>
      </w:pPr>
    </w:lvl>
    <w:lvl w:ilvl="2" w:tplc="4AD88F6A" w:tentative="1">
      <w:start w:val="1"/>
      <w:numFmt w:val="lowerRoman"/>
      <w:lvlText w:val="%3."/>
      <w:lvlJc w:val="right"/>
      <w:pPr>
        <w:ind w:left="2520" w:hanging="180"/>
      </w:pPr>
    </w:lvl>
    <w:lvl w:ilvl="3" w:tplc="658E7598" w:tentative="1">
      <w:start w:val="1"/>
      <w:numFmt w:val="decimal"/>
      <w:lvlText w:val="%4."/>
      <w:lvlJc w:val="left"/>
      <w:pPr>
        <w:ind w:left="3240" w:hanging="360"/>
      </w:pPr>
    </w:lvl>
    <w:lvl w:ilvl="4" w:tplc="DEE0BE94" w:tentative="1">
      <w:start w:val="1"/>
      <w:numFmt w:val="lowerLetter"/>
      <w:lvlText w:val="%5."/>
      <w:lvlJc w:val="left"/>
      <w:pPr>
        <w:ind w:left="3960" w:hanging="360"/>
      </w:pPr>
    </w:lvl>
    <w:lvl w:ilvl="5" w:tplc="E3A03298" w:tentative="1">
      <w:start w:val="1"/>
      <w:numFmt w:val="lowerRoman"/>
      <w:lvlText w:val="%6."/>
      <w:lvlJc w:val="right"/>
      <w:pPr>
        <w:ind w:left="4680" w:hanging="180"/>
      </w:pPr>
    </w:lvl>
    <w:lvl w:ilvl="6" w:tplc="67D006C0" w:tentative="1">
      <w:start w:val="1"/>
      <w:numFmt w:val="decimal"/>
      <w:lvlText w:val="%7."/>
      <w:lvlJc w:val="left"/>
      <w:pPr>
        <w:ind w:left="5400" w:hanging="360"/>
      </w:pPr>
    </w:lvl>
    <w:lvl w:ilvl="7" w:tplc="60B0ADF8" w:tentative="1">
      <w:start w:val="1"/>
      <w:numFmt w:val="lowerLetter"/>
      <w:lvlText w:val="%8."/>
      <w:lvlJc w:val="left"/>
      <w:pPr>
        <w:ind w:left="6120" w:hanging="360"/>
      </w:pPr>
    </w:lvl>
    <w:lvl w:ilvl="8" w:tplc="79E81FD6" w:tentative="1">
      <w:start w:val="1"/>
      <w:numFmt w:val="lowerRoman"/>
      <w:lvlText w:val="%9."/>
      <w:lvlJc w:val="right"/>
      <w:pPr>
        <w:ind w:left="6840" w:hanging="180"/>
      </w:pPr>
    </w:lvl>
  </w:abstractNum>
  <w:abstractNum w:abstractNumId="3" w15:restartNumberingAfterBreak="0">
    <w:nsid w:val="2EA41173"/>
    <w:multiLevelType w:val="hybridMultilevel"/>
    <w:tmpl w:val="55727C80"/>
    <w:lvl w:ilvl="0" w:tplc="C58045D0">
      <w:start w:val="1"/>
      <w:numFmt w:val="decimal"/>
      <w:lvlText w:val="%1."/>
      <w:lvlJc w:val="left"/>
      <w:pPr>
        <w:tabs>
          <w:tab w:val="num" w:pos="720"/>
        </w:tabs>
        <w:ind w:left="720" w:hanging="360"/>
      </w:pPr>
    </w:lvl>
    <w:lvl w:ilvl="1" w:tplc="B87E5936" w:tentative="1">
      <w:start w:val="1"/>
      <w:numFmt w:val="lowerLetter"/>
      <w:lvlText w:val="%2."/>
      <w:lvlJc w:val="left"/>
      <w:pPr>
        <w:tabs>
          <w:tab w:val="num" w:pos="1440"/>
        </w:tabs>
        <w:ind w:left="1440" w:hanging="360"/>
      </w:pPr>
    </w:lvl>
    <w:lvl w:ilvl="2" w:tplc="CCB0FAD2" w:tentative="1">
      <w:start w:val="1"/>
      <w:numFmt w:val="lowerRoman"/>
      <w:lvlText w:val="%3."/>
      <w:lvlJc w:val="right"/>
      <w:pPr>
        <w:tabs>
          <w:tab w:val="num" w:pos="2160"/>
        </w:tabs>
        <w:ind w:left="2160" w:hanging="180"/>
      </w:pPr>
    </w:lvl>
    <w:lvl w:ilvl="3" w:tplc="145A1FFE" w:tentative="1">
      <w:start w:val="1"/>
      <w:numFmt w:val="decimal"/>
      <w:lvlText w:val="%4."/>
      <w:lvlJc w:val="left"/>
      <w:pPr>
        <w:tabs>
          <w:tab w:val="num" w:pos="2880"/>
        </w:tabs>
        <w:ind w:left="2880" w:hanging="360"/>
      </w:pPr>
    </w:lvl>
    <w:lvl w:ilvl="4" w:tplc="C798AB44" w:tentative="1">
      <w:start w:val="1"/>
      <w:numFmt w:val="lowerLetter"/>
      <w:lvlText w:val="%5."/>
      <w:lvlJc w:val="left"/>
      <w:pPr>
        <w:tabs>
          <w:tab w:val="num" w:pos="3600"/>
        </w:tabs>
        <w:ind w:left="3600" w:hanging="360"/>
      </w:pPr>
    </w:lvl>
    <w:lvl w:ilvl="5" w:tplc="F3E8AD30" w:tentative="1">
      <w:start w:val="1"/>
      <w:numFmt w:val="lowerRoman"/>
      <w:lvlText w:val="%6."/>
      <w:lvlJc w:val="right"/>
      <w:pPr>
        <w:tabs>
          <w:tab w:val="num" w:pos="4320"/>
        </w:tabs>
        <w:ind w:left="4320" w:hanging="180"/>
      </w:pPr>
    </w:lvl>
    <w:lvl w:ilvl="6" w:tplc="A8ECE8FA" w:tentative="1">
      <w:start w:val="1"/>
      <w:numFmt w:val="decimal"/>
      <w:lvlText w:val="%7."/>
      <w:lvlJc w:val="left"/>
      <w:pPr>
        <w:tabs>
          <w:tab w:val="num" w:pos="5040"/>
        </w:tabs>
        <w:ind w:left="5040" w:hanging="360"/>
      </w:pPr>
    </w:lvl>
    <w:lvl w:ilvl="7" w:tplc="499EBD40" w:tentative="1">
      <w:start w:val="1"/>
      <w:numFmt w:val="lowerLetter"/>
      <w:lvlText w:val="%8."/>
      <w:lvlJc w:val="left"/>
      <w:pPr>
        <w:tabs>
          <w:tab w:val="num" w:pos="5760"/>
        </w:tabs>
        <w:ind w:left="5760" w:hanging="360"/>
      </w:pPr>
    </w:lvl>
    <w:lvl w:ilvl="8" w:tplc="D1BE0C1C" w:tentative="1">
      <w:start w:val="1"/>
      <w:numFmt w:val="lowerRoman"/>
      <w:lvlText w:val="%9."/>
      <w:lvlJc w:val="right"/>
      <w:pPr>
        <w:tabs>
          <w:tab w:val="num" w:pos="6480"/>
        </w:tabs>
        <w:ind w:left="6480" w:hanging="180"/>
      </w:pPr>
    </w:lvl>
  </w:abstractNum>
  <w:abstractNum w:abstractNumId="4" w15:restartNumberingAfterBreak="0">
    <w:nsid w:val="3A04613D"/>
    <w:multiLevelType w:val="hybridMultilevel"/>
    <w:tmpl w:val="C20279F0"/>
    <w:lvl w:ilvl="0" w:tplc="E87C70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3CB084D8" w:tentative="1">
      <w:start w:val="1"/>
      <w:numFmt w:val="lowerRoman"/>
      <w:lvlText w:val="%3."/>
      <w:lvlJc w:val="right"/>
      <w:pPr>
        <w:ind w:left="2160" w:hanging="180"/>
      </w:pPr>
    </w:lvl>
    <w:lvl w:ilvl="3" w:tplc="DE02AF96" w:tentative="1">
      <w:start w:val="1"/>
      <w:numFmt w:val="decimal"/>
      <w:lvlText w:val="%4."/>
      <w:lvlJc w:val="left"/>
      <w:pPr>
        <w:ind w:left="2880" w:hanging="360"/>
      </w:pPr>
    </w:lvl>
    <w:lvl w:ilvl="4" w:tplc="BE12519A" w:tentative="1">
      <w:start w:val="1"/>
      <w:numFmt w:val="lowerLetter"/>
      <w:lvlText w:val="%5."/>
      <w:lvlJc w:val="left"/>
      <w:pPr>
        <w:ind w:left="3600" w:hanging="360"/>
      </w:pPr>
    </w:lvl>
    <w:lvl w:ilvl="5" w:tplc="008C4FC8" w:tentative="1">
      <w:start w:val="1"/>
      <w:numFmt w:val="lowerRoman"/>
      <w:lvlText w:val="%6."/>
      <w:lvlJc w:val="right"/>
      <w:pPr>
        <w:ind w:left="4320" w:hanging="180"/>
      </w:pPr>
    </w:lvl>
    <w:lvl w:ilvl="6" w:tplc="088C1DDA" w:tentative="1">
      <w:start w:val="1"/>
      <w:numFmt w:val="decimal"/>
      <w:lvlText w:val="%7."/>
      <w:lvlJc w:val="left"/>
      <w:pPr>
        <w:ind w:left="5040" w:hanging="360"/>
      </w:pPr>
    </w:lvl>
    <w:lvl w:ilvl="7" w:tplc="900E0BC4" w:tentative="1">
      <w:start w:val="1"/>
      <w:numFmt w:val="lowerLetter"/>
      <w:lvlText w:val="%8."/>
      <w:lvlJc w:val="left"/>
      <w:pPr>
        <w:ind w:left="5760" w:hanging="360"/>
      </w:pPr>
    </w:lvl>
    <w:lvl w:ilvl="8" w:tplc="C8D8A9BC" w:tentative="1">
      <w:start w:val="1"/>
      <w:numFmt w:val="lowerRoman"/>
      <w:lvlText w:val="%9."/>
      <w:lvlJc w:val="right"/>
      <w:pPr>
        <w:ind w:left="6480" w:hanging="180"/>
      </w:pPr>
    </w:lvl>
  </w:abstractNum>
  <w:abstractNum w:abstractNumId="5" w15:restartNumberingAfterBreak="0">
    <w:nsid w:val="47AB3C42"/>
    <w:multiLevelType w:val="hybridMultilevel"/>
    <w:tmpl w:val="A7308E04"/>
    <w:lvl w:ilvl="0" w:tplc="D1E6F246">
      <w:start w:val="1"/>
      <w:numFmt w:val="decimal"/>
      <w:lvlText w:val="%1."/>
      <w:lvlJc w:val="left"/>
      <w:pPr>
        <w:ind w:left="720" w:hanging="360"/>
      </w:pPr>
      <w:rPr>
        <w:rFonts w:hint="default"/>
      </w:rPr>
    </w:lvl>
    <w:lvl w:ilvl="1" w:tplc="FA32EF0A" w:tentative="1">
      <w:start w:val="1"/>
      <w:numFmt w:val="lowerLetter"/>
      <w:lvlText w:val="%2."/>
      <w:lvlJc w:val="left"/>
      <w:pPr>
        <w:ind w:left="1440" w:hanging="360"/>
      </w:pPr>
    </w:lvl>
    <w:lvl w:ilvl="2" w:tplc="E6C25710" w:tentative="1">
      <w:start w:val="1"/>
      <w:numFmt w:val="lowerRoman"/>
      <w:lvlText w:val="%3."/>
      <w:lvlJc w:val="right"/>
      <w:pPr>
        <w:ind w:left="2160" w:hanging="180"/>
      </w:pPr>
    </w:lvl>
    <w:lvl w:ilvl="3" w:tplc="533C94F8" w:tentative="1">
      <w:start w:val="1"/>
      <w:numFmt w:val="decimal"/>
      <w:lvlText w:val="%4."/>
      <w:lvlJc w:val="left"/>
      <w:pPr>
        <w:ind w:left="2880" w:hanging="360"/>
      </w:pPr>
    </w:lvl>
    <w:lvl w:ilvl="4" w:tplc="9CE6B5A8" w:tentative="1">
      <w:start w:val="1"/>
      <w:numFmt w:val="lowerLetter"/>
      <w:lvlText w:val="%5."/>
      <w:lvlJc w:val="left"/>
      <w:pPr>
        <w:ind w:left="3600" w:hanging="360"/>
      </w:pPr>
    </w:lvl>
    <w:lvl w:ilvl="5" w:tplc="A3E86E30" w:tentative="1">
      <w:start w:val="1"/>
      <w:numFmt w:val="lowerRoman"/>
      <w:lvlText w:val="%6."/>
      <w:lvlJc w:val="right"/>
      <w:pPr>
        <w:ind w:left="4320" w:hanging="180"/>
      </w:pPr>
    </w:lvl>
    <w:lvl w:ilvl="6" w:tplc="B1466E6E" w:tentative="1">
      <w:start w:val="1"/>
      <w:numFmt w:val="decimal"/>
      <w:lvlText w:val="%7."/>
      <w:lvlJc w:val="left"/>
      <w:pPr>
        <w:ind w:left="5040" w:hanging="360"/>
      </w:pPr>
    </w:lvl>
    <w:lvl w:ilvl="7" w:tplc="0208671E" w:tentative="1">
      <w:start w:val="1"/>
      <w:numFmt w:val="lowerLetter"/>
      <w:lvlText w:val="%8."/>
      <w:lvlJc w:val="left"/>
      <w:pPr>
        <w:ind w:left="5760" w:hanging="360"/>
      </w:pPr>
    </w:lvl>
    <w:lvl w:ilvl="8" w:tplc="47C84F5A" w:tentative="1">
      <w:start w:val="1"/>
      <w:numFmt w:val="lowerRoman"/>
      <w:lvlText w:val="%9."/>
      <w:lvlJc w:val="right"/>
      <w:pPr>
        <w:ind w:left="6480" w:hanging="180"/>
      </w:pPr>
    </w:lvl>
  </w:abstractNum>
  <w:abstractNum w:abstractNumId="6" w15:restartNumberingAfterBreak="0">
    <w:nsid w:val="51700163"/>
    <w:multiLevelType w:val="hybridMultilevel"/>
    <w:tmpl w:val="4D0AD3D2"/>
    <w:lvl w:ilvl="0" w:tplc="67FEE3A0">
      <w:numFmt w:val="bullet"/>
      <w:lvlText w:val=""/>
      <w:lvlJc w:val="left"/>
      <w:pPr>
        <w:ind w:left="720" w:hanging="360"/>
      </w:pPr>
      <w:rPr>
        <w:rFonts w:ascii="Symbol" w:eastAsia="Times New Roman" w:hAnsi="Symbol" w:cs="Times New Roman" w:hint="default"/>
      </w:rPr>
    </w:lvl>
    <w:lvl w:ilvl="1" w:tplc="01AA1E3C" w:tentative="1">
      <w:start w:val="1"/>
      <w:numFmt w:val="bullet"/>
      <w:lvlText w:val="o"/>
      <w:lvlJc w:val="left"/>
      <w:pPr>
        <w:ind w:left="1440" w:hanging="360"/>
      </w:pPr>
      <w:rPr>
        <w:rFonts w:ascii="Courier New" w:hAnsi="Courier New" w:cs="Courier New" w:hint="default"/>
      </w:rPr>
    </w:lvl>
    <w:lvl w:ilvl="2" w:tplc="64B4E87A" w:tentative="1">
      <w:start w:val="1"/>
      <w:numFmt w:val="bullet"/>
      <w:lvlText w:val=""/>
      <w:lvlJc w:val="left"/>
      <w:pPr>
        <w:ind w:left="2160" w:hanging="360"/>
      </w:pPr>
      <w:rPr>
        <w:rFonts w:ascii="Wingdings" w:hAnsi="Wingdings" w:hint="default"/>
      </w:rPr>
    </w:lvl>
    <w:lvl w:ilvl="3" w:tplc="419EB550" w:tentative="1">
      <w:start w:val="1"/>
      <w:numFmt w:val="bullet"/>
      <w:lvlText w:val=""/>
      <w:lvlJc w:val="left"/>
      <w:pPr>
        <w:ind w:left="2880" w:hanging="360"/>
      </w:pPr>
      <w:rPr>
        <w:rFonts w:ascii="Symbol" w:hAnsi="Symbol" w:hint="default"/>
      </w:rPr>
    </w:lvl>
    <w:lvl w:ilvl="4" w:tplc="72268F4E" w:tentative="1">
      <w:start w:val="1"/>
      <w:numFmt w:val="bullet"/>
      <w:lvlText w:val="o"/>
      <w:lvlJc w:val="left"/>
      <w:pPr>
        <w:ind w:left="3600" w:hanging="360"/>
      </w:pPr>
      <w:rPr>
        <w:rFonts w:ascii="Courier New" w:hAnsi="Courier New" w:cs="Courier New" w:hint="default"/>
      </w:rPr>
    </w:lvl>
    <w:lvl w:ilvl="5" w:tplc="35F8C27E" w:tentative="1">
      <w:start w:val="1"/>
      <w:numFmt w:val="bullet"/>
      <w:lvlText w:val=""/>
      <w:lvlJc w:val="left"/>
      <w:pPr>
        <w:ind w:left="4320" w:hanging="360"/>
      </w:pPr>
      <w:rPr>
        <w:rFonts w:ascii="Wingdings" w:hAnsi="Wingdings" w:hint="default"/>
      </w:rPr>
    </w:lvl>
    <w:lvl w:ilvl="6" w:tplc="F59E51F8" w:tentative="1">
      <w:start w:val="1"/>
      <w:numFmt w:val="bullet"/>
      <w:lvlText w:val=""/>
      <w:lvlJc w:val="left"/>
      <w:pPr>
        <w:ind w:left="5040" w:hanging="360"/>
      </w:pPr>
      <w:rPr>
        <w:rFonts w:ascii="Symbol" w:hAnsi="Symbol" w:hint="default"/>
      </w:rPr>
    </w:lvl>
    <w:lvl w:ilvl="7" w:tplc="2C8EB8B6" w:tentative="1">
      <w:start w:val="1"/>
      <w:numFmt w:val="bullet"/>
      <w:lvlText w:val="o"/>
      <w:lvlJc w:val="left"/>
      <w:pPr>
        <w:ind w:left="5760" w:hanging="360"/>
      </w:pPr>
      <w:rPr>
        <w:rFonts w:ascii="Courier New" w:hAnsi="Courier New" w:cs="Courier New" w:hint="default"/>
      </w:rPr>
    </w:lvl>
    <w:lvl w:ilvl="8" w:tplc="AFFCDEAC" w:tentative="1">
      <w:start w:val="1"/>
      <w:numFmt w:val="bullet"/>
      <w:lvlText w:val=""/>
      <w:lvlJc w:val="left"/>
      <w:pPr>
        <w:ind w:left="6480" w:hanging="360"/>
      </w:pPr>
      <w:rPr>
        <w:rFonts w:ascii="Wingdings" w:hAnsi="Wingdings" w:hint="default"/>
      </w:rPr>
    </w:lvl>
  </w:abstractNum>
  <w:num w:numId="1" w16cid:durableId="1938251912">
    <w:abstractNumId w:val="1"/>
  </w:num>
  <w:num w:numId="2" w16cid:durableId="330985177">
    <w:abstractNumId w:val="5"/>
  </w:num>
  <w:num w:numId="3" w16cid:durableId="1178033216">
    <w:abstractNumId w:val="0"/>
  </w:num>
  <w:num w:numId="4" w16cid:durableId="1915969075">
    <w:abstractNumId w:val="3"/>
  </w:num>
  <w:num w:numId="5" w16cid:durableId="232981253">
    <w:abstractNumId w:val="2"/>
  </w:num>
  <w:num w:numId="6" w16cid:durableId="9392176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920971">
    <w:abstractNumId w:val="6"/>
  </w:num>
  <w:num w:numId="8" w16cid:durableId="638076889">
    <w:abstractNumId w:val="4"/>
  </w:num>
  <w:num w:numId="9" w16cid:durableId="1482849593">
    <w:abstractNumId w:val="1"/>
  </w:num>
  <w:num w:numId="10" w16cid:durableId="1112046020">
    <w:abstractNumId w:val="1"/>
  </w:num>
  <w:num w:numId="11" w16cid:durableId="351417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64C"/>
    <w:rsid w:val="00003E15"/>
    <w:rsid w:val="0000427E"/>
    <w:rsid w:val="00005C46"/>
    <w:rsid w:val="00006D11"/>
    <w:rsid w:val="0001362B"/>
    <w:rsid w:val="000139FF"/>
    <w:rsid w:val="00017975"/>
    <w:rsid w:val="000240FB"/>
    <w:rsid w:val="00031FE6"/>
    <w:rsid w:val="00032DDB"/>
    <w:rsid w:val="00033351"/>
    <w:rsid w:val="00035D65"/>
    <w:rsid w:val="00040C01"/>
    <w:rsid w:val="00050B9D"/>
    <w:rsid w:val="00051516"/>
    <w:rsid w:val="00054DF6"/>
    <w:rsid w:val="000552D5"/>
    <w:rsid w:val="00060DB4"/>
    <w:rsid w:val="00066413"/>
    <w:rsid w:val="00066443"/>
    <w:rsid w:val="0007320F"/>
    <w:rsid w:val="00073FE8"/>
    <w:rsid w:val="000768AF"/>
    <w:rsid w:val="0008068A"/>
    <w:rsid w:val="0008255F"/>
    <w:rsid w:val="00083FFF"/>
    <w:rsid w:val="0009232C"/>
    <w:rsid w:val="00092F76"/>
    <w:rsid w:val="000957D2"/>
    <w:rsid w:val="000965E1"/>
    <w:rsid w:val="000A47E1"/>
    <w:rsid w:val="000A5CDD"/>
    <w:rsid w:val="000A78B8"/>
    <w:rsid w:val="000B23A0"/>
    <w:rsid w:val="000B37F2"/>
    <w:rsid w:val="000B6F98"/>
    <w:rsid w:val="000C558B"/>
    <w:rsid w:val="000C5D50"/>
    <w:rsid w:val="000C66AC"/>
    <w:rsid w:val="000C729C"/>
    <w:rsid w:val="000C7983"/>
    <w:rsid w:val="000D1F0D"/>
    <w:rsid w:val="000D69FE"/>
    <w:rsid w:val="000E1588"/>
    <w:rsid w:val="000E3C5B"/>
    <w:rsid w:val="000F43DD"/>
    <w:rsid w:val="000F4782"/>
    <w:rsid w:val="001065C6"/>
    <w:rsid w:val="0010664C"/>
    <w:rsid w:val="00113911"/>
    <w:rsid w:val="00114504"/>
    <w:rsid w:val="001177FF"/>
    <w:rsid w:val="00117C4D"/>
    <w:rsid w:val="00117FB6"/>
    <w:rsid w:val="0012144B"/>
    <w:rsid w:val="001343E2"/>
    <w:rsid w:val="00136224"/>
    <w:rsid w:val="00141456"/>
    <w:rsid w:val="00151A73"/>
    <w:rsid w:val="0015331D"/>
    <w:rsid w:val="00153674"/>
    <w:rsid w:val="00156D5A"/>
    <w:rsid w:val="001618B6"/>
    <w:rsid w:val="00172303"/>
    <w:rsid w:val="00172999"/>
    <w:rsid w:val="00173609"/>
    <w:rsid w:val="001779E0"/>
    <w:rsid w:val="0018207E"/>
    <w:rsid w:val="00182FA6"/>
    <w:rsid w:val="00183F3A"/>
    <w:rsid w:val="001947D7"/>
    <w:rsid w:val="001A546E"/>
    <w:rsid w:val="001A76D5"/>
    <w:rsid w:val="001B0D5F"/>
    <w:rsid w:val="001B152C"/>
    <w:rsid w:val="001B2FD0"/>
    <w:rsid w:val="001B3C5E"/>
    <w:rsid w:val="001C2237"/>
    <w:rsid w:val="001C4DBB"/>
    <w:rsid w:val="001D15D8"/>
    <w:rsid w:val="001E3EB5"/>
    <w:rsid w:val="001E5420"/>
    <w:rsid w:val="001E6F51"/>
    <w:rsid w:val="001F4932"/>
    <w:rsid w:val="0021300C"/>
    <w:rsid w:val="002142D6"/>
    <w:rsid w:val="0022464D"/>
    <w:rsid w:val="00227CAD"/>
    <w:rsid w:val="002302CA"/>
    <w:rsid w:val="00237009"/>
    <w:rsid w:val="00240D61"/>
    <w:rsid w:val="0024467B"/>
    <w:rsid w:val="002459DC"/>
    <w:rsid w:val="00250D49"/>
    <w:rsid w:val="00265646"/>
    <w:rsid w:val="00265F82"/>
    <w:rsid w:val="00267054"/>
    <w:rsid w:val="00275DB5"/>
    <w:rsid w:val="002776A7"/>
    <w:rsid w:val="002777DC"/>
    <w:rsid w:val="002826E9"/>
    <w:rsid w:val="00284002"/>
    <w:rsid w:val="00285C1B"/>
    <w:rsid w:val="00292258"/>
    <w:rsid w:val="00293D05"/>
    <w:rsid w:val="00296E05"/>
    <w:rsid w:val="002974D7"/>
    <w:rsid w:val="002A10D7"/>
    <w:rsid w:val="002A2E26"/>
    <w:rsid w:val="002A3A1E"/>
    <w:rsid w:val="002A6174"/>
    <w:rsid w:val="002B4255"/>
    <w:rsid w:val="002C1DCC"/>
    <w:rsid w:val="002C480D"/>
    <w:rsid w:val="002C71E4"/>
    <w:rsid w:val="002D4AD0"/>
    <w:rsid w:val="002D5F70"/>
    <w:rsid w:val="002E0199"/>
    <w:rsid w:val="002E373D"/>
    <w:rsid w:val="002E3DC5"/>
    <w:rsid w:val="002E4043"/>
    <w:rsid w:val="002E40D8"/>
    <w:rsid w:val="002E49F3"/>
    <w:rsid w:val="002E4A8C"/>
    <w:rsid w:val="002E6E20"/>
    <w:rsid w:val="002F7F23"/>
    <w:rsid w:val="0030268A"/>
    <w:rsid w:val="00311548"/>
    <w:rsid w:val="003118E5"/>
    <w:rsid w:val="00313394"/>
    <w:rsid w:val="003179EA"/>
    <w:rsid w:val="0032414B"/>
    <w:rsid w:val="00325800"/>
    <w:rsid w:val="00326332"/>
    <w:rsid w:val="0033251A"/>
    <w:rsid w:val="00333196"/>
    <w:rsid w:val="0033385D"/>
    <w:rsid w:val="00333993"/>
    <w:rsid w:val="00334C39"/>
    <w:rsid w:val="00340DFC"/>
    <w:rsid w:val="00342F3C"/>
    <w:rsid w:val="00356F0B"/>
    <w:rsid w:val="00357C5A"/>
    <w:rsid w:val="003665C5"/>
    <w:rsid w:val="003671A5"/>
    <w:rsid w:val="003756C2"/>
    <w:rsid w:val="00376AED"/>
    <w:rsid w:val="003826CE"/>
    <w:rsid w:val="003874FF"/>
    <w:rsid w:val="003A1717"/>
    <w:rsid w:val="003A1FFE"/>
    <w:rsid w:val="003A3090"/>
    <w:rsid w:val="003A375B"/>
    <w:rsid w:val="003B0DDE"/>
    <w:rsid w:val="003B11D0"/>
    <w:rsid w:val="003B2C3E"/>
    <w:rsid w:val="003B7420"/>
    <w:rsid w:val="003C083E"/>
    <w:rsid w:val="003C1DFF"/>
    <w:rsid w:val="003C44E1"/>
    <w:rsid w:val="003D78DD"/>
    <w:rsid w:val="003E1E76"/>
    <w:rsid w:val="003F4C66"/>
    <w:rsid w:val="004026F2"/>
    <w:rsid w:val="004067BB"/>
    <w:rsid w:val="004070AB"/>
    <w:rsid w:val="00407503"/>
    <w:rsid w:val="0041675B"/>
    <w:rsid w:val="004327D5"/>
    <w:rsid w:val="00434707"/>
    <w:rsid w:val="004368D4"/>
    <w:rsid w:val="00436A70"/>
    <w:rsid w:val="004455A0"/>
    <w:rsid w:val="00447055"/>
    <w:rsid w:val="00447EBC"/>
    <w:rsid w:val="004536B9"/>
    <w:rsid w:val="004545BB"/>
    <w:rsid w:val="004562BF"/>
    <w:rsid w:val="00457943"/>
    <w:rsid w:val="00460B8A"/>
    <w:rsid w:val="00460BA7"/>
    <w:rsid w:val="0046230C"/>
    <w:rsid w:val="00464F50"/>
    <w:rsid w:val="00465A66"/>
    <w:rsid w:val="004670B5"/>
    <w:rsid w:val="004723A4"/>
    <w:rsid w:val="00476F12"/>
    <w:rsid w:val="00484557"/>
    <w:rsid w:val="00485369"/>
    <w:rsid w:val="00493100"/>
    <w:rsid w:val="004954EB"/>
    <w:rsid w:val="004B031D"/>
    <w:rsid w:val="004B1E4E"/>
    <w:rsid w:val="004B57E8"/>
    <w:rsid w:val="004B7188"/>
    <w:rsid w:val="004C18F4"/>
    <w:rsid w:val="004C1A9A"/>
    <w:rsid w:val="004D0EE7"/>
    <w:rsid w:val="004D26D1"/>
    <w:rsid w:val="004D36D4"/>
    <w:rsid w:val="004D3A17"/>
    <w:rsid w:val="004E1169"/>
    <w:rsid w:val="004E1DEE"/>
    <w:rsid w:val="004E6C8C"/>
    <w:rsid w:val="00502D24"/>
    <w:rsid w:val="005034DF"/>
    <w:rsid w:val="005113FE"/>
    <w:rsid w:val="005149C2"/>
    <w:rsid w:val="00516C39"/>
    <w:rsid w:val="00525761"/>
    <w:rsid w:val="00530CC9"/>
    <w:rsid w:val="00536084"/>
    <w:rsid w:val="00536B41"/>
    <w:rsid w:val="005467DA"/>
    <w:rsid w:val="0054742C"/>
    <w:rsid w:val="00547A30"/>
    <w:rsid w:val="00550A8F"/>
    <w:rsid w:val="00555190"/>
    <w:rsid w:val="00557148"/>
    <w:rsid w:val="00561194"/>
    <w:rsid w:val="00570E00"/>
    <w:rsid w:val="005716C6"/>
    <w:rsid w:val="00590DFA"/>
    <w:rsid w:val="005930B6"/>
    <w:rsid w:val="005931B7"/>
    <w:rsid w:val="005935F6"/>
    <w:rsid w:val="00594994"/>
    <w:rsid w:val="005A157C"/>
    <w:rsid w:val="005A263D"/>
    <w:rsid w:val="005B04C2"/>
    <w:rsid w:val="005B78F4"/>
    <w:rsid w:val="005C26B8"/>
    <w:rsid w:val="005C4857"/>
    <w:rsid w:val="005D2F97"/>
    <w:rsid w:val="005E30DE"/>
    <w:rsid w:val="005E35E0"/>
    <w:rsid w:val="005E5AB6"/>
    <w:rsid w:val="005F0170"/>
    <w:rsid w:val="005F25A1"/>
    <w:rsid w:val="005F7988"/>
    <w:rsid w:val="00604E89"/>
    <w:rsid w:val="00611010"/>
    <w:rsid w:val="00612856"/>
    <w:rsid w:val="00613932"/>
    <w:rsid w:val="00613EC2"/>
    <w:rsid w:val="006164ED"/>
    <w:rsid w:val="00623930"/>
    <w:rsid w:val="00626F50"/>
    <w:rsid w:val="0063043A"/>
    <w:rsid w:val="0063170D"/>
    <w:rsid w:val="006324F8"/>
    <w:rsid w:val="00632543"/>
    <w:rsid w:val="006357F7"/>
    <w:rsid w:val="0063728A"/>
    <w:rsid w:val="0064052D"/>
    <w:rsid w:val="00643C5E"/>
    <w:rsid w:val="00644C09"/>
    <w:rsid w:val="00646080"/>
    <w:rsid w:val="00651F6A"/>
    <w:rsid w:val="00653B5F"/>
    <w:rsid w:val="00653B66"/>
    <w:rsid w:val="00660106"/>
    <w:rsid w:val="006632F2"/>
    <w:rsid w:val="00672856"/>
    <w:rsid w:val="006730BB"/>
    <w:rsid w:val="00674BEC"/>
    <w:rsid w:val="006752BE"/>
    <w:rsid w:val="0067582C"/>
    <w:rsid w:val="006767AF"/>
    <w:rsid w:val="00676A86"/>
    <w:rsid w:val="00680CEF"/>
    <w:rsid w:val="00682564"/>
    <w:rsid w:val="0068264F"/>
    <w:rsid w:val="0068473A"/>
    <w:rsid w:val="006848F5"/>
    <w:rsid w:val="00685246"/>
    <w:rsid w:val="0069032E"/>
    <w:rsid w:val="00696CD9"/>
    <w:rsid w:val="006A31DB"/>
    <w:rsid w:val="006B6036"/>
    <w:rsid w:val="006C3954"/>
    <w:rsid w:val="006C3D5D"/>
    <w:rsid w:val="006C5196"/>
    <w:rsid w:val="006D3ADC"/>
    <w:rsid w:val="006E2EFE"/>
    <w:rsid w:val="006F57FC"/>
    <w:rsid w:val="007020CE"/>
    <w:rsid w:val="0070390B"/>
    <w:rsid w:val="00704A53"/>
    <w:rsid w:val="007076CD"/>
    <w:rsid w:val="00712B77"/>
    <w:rsid w:val="00715919"/>
    <w:rsid w:val="0072092E"/>
    <w:rsid w:val="007279B6"/>
    <w:rsid w:val="00730C1A"/>
    <w:rsid w:val="00733BFA"/>
    <w:rsid w:val="007342AC"/>
    <w:rsid w:val="00737CE4"/>
    <w:rsid w:val="00750D0D"/>
    <w:rsid w:val="00755EFB"/>
    <w:rsid w:val="00762A3C"/>
    <w:rsid w:val="00763C27"/>
    <w:rsid w:val="00765372"/>
    <w:rsid w:val="00765837"/>
    <w:rsid w:val="007679C0"/>
    <w:rsid w:val="00773E27"/>
    <w:rsid w:val="0077483E"/>
    <w:rsid w:val="00777ED2"/>
    <w:rsid w:val="00781E6E"/>
    <w:rsid w:val="00783E89"/>
    <w:rsid w:val="007914A3"/>
    <w:rsid w:val="00796CC9"/>
    <w:rsid w:val="007A0DD7"/>
    <w:rsid w:val="007B34B6"/>
    <w:rsid w:val="007B4BE4"/>
    <w:rsid w:val="007B6354"/>
    <w:rsid w:val="007C1C07"/>
    <w:rsid w:val="007C27FC"/>
    <w:rsid w:val="007C3796"/>
    <w:rsid w:val="007C394F"/>
    <w:rsid w:val="007D2581"/>
    <w:rsid w:val="007D531A"/>
    <w:rsid w:val="007D5C57"/>
    <w:rsid w:val="007D5DF7"/>
    <w:rsid w:val="007E4F9E"/>
    <w:rsid w:val="007E7083"/>
    <w:rsid w:val="007F0EFD"/>
    <w:rsid w:val="007F2999"/>
    <w:rsid w:val="007F2D28"/>
    <w:rsid w:val="00802377"/>
    <w:rsid w:val="0081265B"/>
    <w:rsid w:val="00815ECD"/>
    <w:rsid w:val="008166F0"/>
    <w:rsid w:val="00817A8D"/>
    <w:rsid w:val="008208AD"/>
    <w:rsid w:val="008279ED"/>
    <w:rsid w:val="0083588A"/>
    <w:rsid w:val="00836F83"/>
    <w:rsid w:val="00843793"/>
    <w:rsid w:val="00845DA2"/>
    <w:rsid w:val="00855BF1"/>
    <w:rsid w:val="008617A2"/>
    <w:rsid w:val="008669A5"/>
    <w:rsid w:val="00872375"/>
    <w:rsid w:val="008774D9"/>
    <w:rsid w:val="008837AC"/>
    <w:rsid w:val="0088522F"/>
    <w:rsid w:val="00887614"/>
    <w:rsid w:val="008916AD"/>
    <w:rsid w:val="008916F1"/>
    <w:rsid w:val="00892F2C"/>
    <w:rsid w:val="00893229"/>
    <w:rsid w:val="008937AF"/>
    <w:rsid w:val="00897C14"/>
    <w:rsid w:val="008A10AD"/>
    <w:rsid w:val="008C510C"/>
    <w:rsid w:val="008C772F"/>
    <w:rsid w:val="008C775B"/>
    <w:rsid w:val="008D1D05"/>
    <w:rsid w:val="008D2763"/>
    <w:rsid w:val="008D7203"/>
    <w:rsid w:val="008D79F8"/>
    <w:rsid w:val="008E519C"/>
    <w:rsid w:val="008F2F99"/>
    <w:rsid w:val="008F468A"/>
    <w:rsid w:val="00913F45"/>
    <w:rsid w:val="00914260"/>
    <w:rsid w:val="0091484F"/>
    <w:rsid w:val="00914EFC"/>
    <w:rsid w:val="00923DEA"/>
    <w:rsid w:val="00926783"/>
    <w:rsid w:val="009270CA"/>
    <w:rsid w:val="00933258"/>
    <w:rsid w:val="00941850"/>
    <w:rsid w:val="00943C81"/>
    <w:rsid w:val="009452FA"/>
    <w:rsid w:val="009519F0"/>
    <w:rsid w:val="0095213E"/>
    <w:rsid w:val="00952691"/>
    <w:rsid w:val="00952A5A"/>
    <w:rsid w:val="0095530C"/>
    <w:rsid w:val="009553F1"/>
    <w:rsid w:val="009565DA"/>
    <w:rsid w:val="00961636"/>
    <w:rsid w:val="009626C9"/>
    <w:rsid w:val="0097194D"/>
    <w:rsid w:val="00972094"/>
    <w:rsid w:val="009730E1"/>
    <w:rsid w:val="009761A7"/>
    <w:rsid w:val="00976AAA"/>
    <w:rsid w:val="009777F6"/>
    <w:rsid w:val="00992498"/>
    <w:rsid w:val="0099540D"/>
    <w:rsid w:val="009A3405"/>
    <w:rsid w:val="009B096E"/>
    <w:rsid w:val="009B2D56"/>
    <w:rsid w:val="009B7A9C"/>
    <w:rsid w:val="009C5FD4"/>
    <w:rsid w:val="009C67F9"/>
    <w:rsid w:val="009D06C9"/>
    <w:rsid w:val="009D3178"/>
    <w:rsid w:val="009D3CED"/>
    <w:rsid w:val="009D4785"/>
    <w:rsid w:val="009D71F4"/>
    <w:rsid w:val="009E0AA1"/>
    <w:rsid w:val="009E2D28"/>
    <w:rsid w:val="009E6931"/>
    <w:rsid w:val="009F2C1F"/>
    <w:rsid w:val="00A03F22"/>
    <w:rsid w:val="00A04F30"/>
    <w:rsid w:val="00A20EB7"/>
    <w:rsid w:val="00A229E5"/>
    <w:rsid w:val="00A25167"/>
    <w:rsid w:val="00A3154B"/>
    <w:rsid w:val="00A32BD9"/>
    <w:rsid w:val="00A32C84"/>
    <w:rsid w:val="00A34254"/>
    <w:rsid w:val="00A34D73"/>
    <w:rsid w:val="00A50C6C"/>
    <w:rsid w:val="00A51DCE"/>
    <w:rsid w:val="00A5202B"/>
    <w:rsid w:val="00A54937"/>
    <w:rsid w:val="00A66BF9"/>
    <w:rsid w:val="00A730CA"/>
    <w:rsid w:val="00A759D9"/>
    <w:rsid w:val="00A8483F"/>
    <w:rsid w:val="00A91811"/>
    <w:rsid w:val="00A9427E"/>
    <w:rsid w:val="00A94AE0"/>
    <w:rsid w:val="00A9506E"/>
    <w:rsid w:val="00A97890"/>
    <w:rsid w:val="00AA6CF3"/>
    <w:rsid w:val="00AC15BB"/>
    <w:rsid w:val="00AD43B0"/>
    <w:rsid w:val="00AE047B"/>
    <w:rsid w:val="00AE1B26"/>
    <w:rsid w:val="00AE7052"/>
    <w:rsid w:val="00AE746E"/>
    <w:rsid w:val="00AF5C65"/>
    <w:rsid w:val="00B00387"/>
    <w:rsid w:val="00B020BA"/>
    <w:rsid w:val="00B03F83"/>
    <w:rsid w:val="00B04CD5"/>
    <w:rsid w:val="00B12841"/>
    <w:rsid w:val="00B16EA9"/>
    <w:rsid w:val="00B3172C"/>
    <w:rsid w:val="00B35FEE"/>
    <w:rsid w:val="00B363A2"/>
    <w:rsid w:val="00B40459"/>
    <w:rsid w:val="00B52CCD"/>
    <w:rsid w:val="00B574ED"/>
    <w:rsid w:val="00B653AB"/>
    <w:rsid w:val="00B65CBB"/>
    <w:rsid w:val="00B66056"/>
    <w:rsid w:val="00B706DF"/>
    <w:rsid w:val="00B7542A"/>
    <w:rsid w:val="00B76675"/>
    <w:rsid w:val="00B76A16"/>
    <w:rsid w:val="00B80B16"/>
    <w:rsid w:val="00B81045"/>
    <w:rsid w:val="00B826F9"/>
    <w:rsid w:val="00B8295D"/>
    <w:rsid w:val="00B8474F"/>
    <w:rsid w:val="00B86AC6"/>
    <w:rsid w:val="00BA233D"/>
    <w:rsid w:val="00BA2B3A"/>
    <w:rsid w:val="00BA5831"/>
    <w:rsid w:val="00BB2959"/>
    <w:rsid w:val="00BB2A02"/>
    <w:rsid w:val="00BB793F"/>
    <w:rsid w:val="00BC463F"/>
    <w:rsid w:val="00BC74AD"/>
    <w:rsid w:val="00BD388D"/>
    <w:rsid w:val="00BD470C"/>
    <w:rsid w:val="00BD59F2"/>
    <w:rsid w:val="00BD6823"/>
    <w:rsid w:val="00BD7599"/>
    <w:rsid w:val="00BE0083"/>
    <w:rsid w:val="00BE051E"/>
    <w:rsid w:val="00BE05D7"/>
    <w:rsid w:val="00BE44FB"/>
    <w:rsid w:val="00BE6CF6"/>
    <w:rsid w:val="00BF2234"/>
    <w:rsid w:val="00C0448E"/>
    <w:rsid w:val="00C04893"/>
    <w:rsid w:val="00C1032F"/>
    <w:rsid w:val="00C16732"/>
    <w:rsid w:val="00C17D9F"/>
    <w:rsid w:val="00C23F6F"/>
    <w:rsid w:val="00C26239"/>
    <w:rsid w:val="00C26ED6"/>
    <w:rsid w:val="00C30C47"/>
    <w:rsid w:val="00C31E8D"/>
    <w:rsid w:val="00C35305"/>
    <w:rsid w:val="00C371B1"/>
    <w:rsid w:val="00C42C6B"/>
    <w:rsid w:val="00C438D6"/>
    <w:rsid w:val="00C445B4"/>
    <w:rsid w:val="00C50951"/>
    <w:rsid w:val="00C56EF5"/>
    <w:rsid w:val="00C6131C"/>
    <w:rsid w:val="00C64941"/>
    <w:rsid w:val="00C70580"/>
    <w:rsid w:val="00C71FA9"/>
    <w:rsid w:val="00C80D3F"/>
    <w:rsid w:val="00C80F1D"/>
    <w:rsid w:val="00C81FAA"/>
    <w:rsid w:val="00C83D8A"/>
    <w:rsid w:val="00C85933"/>
    <w:rsid w:val="00C85A20"/>
    <w:rsid w:val="00C8613E"/>
    <w:rsid w:val="00C924BE"/>
    <w:rsid w:val="00CA27CC"/>
    <w:rsid w:val="00CA2A87"/>
    <w:rsid w:val="00CA5CC2"/>
    <w:rsid w:val="00CA66C7"/>
    <w:rsid w:val="00CB16AB"/>
    <w:rsid w:val="00CB22E0"/>
    <w:rsid w:val="00CC01DD"/>
    <w:rsid w:val="00CC023A"/>
    <w:rsid w:val="00CC1E13"/>
    <w:rsid w:val="00CC3252"/>
    <w:rsid w:val="00CD66CF"/>
    <w:rsid w:val="00CD7504"/>
    <w:rsid w:val="00CF4A45"/>
    <w:rsid w:val="00CF51E0"/>
    <w:rsid w:val="00CF761C"/>
    <w:rsid w:val="00D00929"/>
    <w:rsid w:val="00D00D85"/>
    <w:rsid w:val="00D02DDA"/>
    <w:rsid w:val="00D0756E"/>
    <w:rsid w:val="00D16D9D"/>
    <w:rsid w:val="00D16F5B"/>
    <w:rsid w:val="00D21649"/>
    <w:rsid w:val="00D267B7"/>
    <w:rsid w:val="00D2695F"/>
    <w:rsid w:val="00D37A49"/>
    <w:rsid w:val="00D40D3C"/>
    <w:rsid w:val="00D41623"/>
    <w:rsid w:val="00D420BC"/>
    <w:rsid w:val="00D45528"/>
    <w:rsid w:val="00D47539"/>
    <w:rsid w:val="00D5705D"/>
    <w:rsid w:val="00D60AD6"/>
    <w:rsid w:val="00D64063"/>
    <w:rsid w:val="00D64F7A"/>
    <w:rsid w:val="00D659BF"/>
    <w:rsid w:val="00D660DE"/>
    <w:rsid w:val="00D85B00"/>
    <w:rsid w:val="00D86479"/>
    <w:rsid w:val="00D94F95"/>
    <w:rsid w:val="00DA3DEC"/>
    <w:rsid w:val="00DB0BED"/>
    <w:rsid w:val="00DB0DE0"/>
    <w:rsid w:val="00DB4CA0"/>
    <w:rsid w:val="00DC6815"/>
    <w:rsid w:val="00DC7942"/>
    <w:rsid w:val="00DD35B0"/>
    <w:rsid w:val="00DD3A6C"/>
    <w:rsid w:val="00DD3D5F"/>
    <w:rsid w:val="00DD4CAA"/>
    <w:rsid w:val="00DE4507"/>
    <w:rsid w:val="00DE7408"/>
    <w:rsid w:val="00DF4A91"/>
    <w:rsid w:val="00DF6153"/>
    <w:rsid w:val="00E02137"/>
    <w:rsid w:val="00E04745"/>
    <w:rsid w:val="00E06B68"/>
    <w:rsid w:val="00E07508"/>
    <w:rsid w:val="00E07DD3"/>
    <w:rsid w:val="00E15CBA"/>
    <w:rsid w:val="00E1729E"/>
    <w:rsid w:val="00E2008E"/>
    <w:rsid w:val="00E41841"/>
    <w:rsid w:val="00E5478A"/>
    <w:rsid w:val="00E55E10"/>
    <w:rsid w:val="00E57402"/>
    <w:rsid w:val="00E616A1"/>
    <w:rsid w:val="00E63EC6"/>
    <w:rsid w:val="00E64EA4"/>
    <w:rsid w:val="00E660C6"/>
    <w:rsid w:val="00E6674E"/>
    <w:rsid w:val="00E676B3"/>
    <w:rsid w:val="00E71012"/>
    <w:rsid w:val="00E84050"/>
    <w:rsid w:val="00E84633"/>
    <w:rsid w:val="00E95FA7"/>
    <w:rsid w:val="00EA06A9"/>
    <w:rsid w:val="00EA2D70"/>
    <w:rsid w:val="00EB56E7"/>
    <w:rsid w:val="00EB5BC2"/>
    <w:rsid w:val="00EB7F27"/>
    <w:rsid w:val="00EC0D11"/>
    <w:rsid w:val="00EC4CFC"/>
    <w:rsid w:val="00EC7047"/>
    <w:rsid w:val="00EC7F90"/>
    <w:rsid w:val="00ED1FC4"/>
    <w:rsid w:val="00ED2992"/>
    <w:rsid w:val="00ED3E45"/>
    <w:rsid w:val="00ED6F38"/>
    <w:rsid w:val="00EE1BBA"/>
    <w:rsid w:val="00F069D3"/>
    <w:rsid w:val="00F112B4"/>
    <w:rsid w:val="00F15BA3"/>
    <w:rsid w:val="00F16CA8"/>
    <w:rsid w:val="00F17D2A"/>
    <w:rsid w:val="00F22E29"/>
    <w:rsid w:val="00F26640"/>
    <w:rsid w:val="00F30D15"/>
    <w:rsid w:val="00F30E2E"/>
    <w:rsid w:val="00F349FC"/>
    <w:rsid w:val="00F34B1D"/>
    <w:rsid w:val="00F375D3"/>
    <w:rsid w:val="00F37A2D"/>
    <w:rsid w:val="00F37C29"/>
    <w:rsid w:val="00F37C94"/>
    <w:rsid w:val="00F40119"/>
    <w:rsid w:val="00F415F3"/>
    <w:rsid w:val="00F5136F"/>
    <w:rsid w:val="00F6420B"/>
    <w:rsid w:val="00F6495E"/>
    <w:rsid w:val="00F658EE"/>
    <w:rsid w:val="00F67B62"/>
    <w:rsid w:val="00F704C2"/>
    <w:rsid w:val="00F713D6"/>
    <w:rsid w:val="00F7151C"/>
    <w:rsid w:val="00F72B1D"/>
    <w:rsid w:val="00F75701"/>
    <w:rsid w:val="00F76984"/>
    <w:rsid w:val="00F8626A"/>
    <w:rsid w:val="00F86272"/>
    <w:rsid w:val="00F94E8A"/>
    <w:rsid w:val="00FA0460"/>
    <w:rsid w:val="00FA76B0"/>
    <w:rsid w:val="00FB05C8"/>
    <w:rsid w:val="00FB4C8A"/>
    <w:rsid w:val="00FC4B25"/>
    <w:rsid w:val="00FC4D39"/>
    <w:rsid w:val="00FC7335"/>
    <w:rsid w:val="00FD0CBC"/>
    <w:rsid w:val="00FD351B"/>
    <w:rsid w:val="00FD4698"/>
    <w:rsid w:val="00FE01B6"/>
    <w:rsid w:val="00FE4244"/>
    <w:rsid w:val="00FE45CA"/>
    <w:rsid w:val="00FF07A6"/>
    <w:rsid w:val="00FF6DEF"/>
    <w:rsid w:val="00FF6ECB"/>
    <w:rsid w:val="40B962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2496A"/>
  <w15:chartTrackingRefBased/>
  <w15:docId w15:val="{BEECA19C-AAC9-4E2F-8D4C-14075EC3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0664C"/>
    <w:pPr>
      <w:spacing w:after="0" w:line="240" w:lineRule="auto"/>
    </w:pPr>
    <w:rPr>
      <w:rFonts w:ascii="Times New Roman" w:eastAsia="Times New Roman" w:hAnsi="Times New Roman" w:cs="Times New Roman"/>
      <w:kern w:val="28"/>
      <w:lang w:eastAsia="ja-JP"/>
      <w14:ligatures w14:val="none"/>
    </w:rPr>
  </w:style>
  <w:style w:type="paragraph" w:styleId="Heading1">
    <w:name w:val="heading 1"/>
    <w:basedOn w:val="Normal"/>
    <w:next w:val="Normal"/>
    <w:link w:val="Heading1Char"/>
    <w:uiPriority w:val="9"/>
    <w:qFormat/>
    <w:rsid w:val="001066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66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66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66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66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664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64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64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64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6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66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66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66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66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66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6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6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64C"/>
    <w:rPr>
      <w:rFonts w:eastAsiaTheme="majorEastAsia" w:cstheme="majorBidi"/>
      <w:color w:val="272727" w:themeColor="text1" w:themeTint="D8"/>
    </w:rPr>
  </w:style>
  <w:style w:type="paragraph" w:styleId="Title">
    <w:name w:val="Title"/>
    <w:basedOn w:val="Normal"/>
    <w:next w:val="Normal"/>
    <w:link w:val="TitleChar"/>
    <w:uiPriority w:val="10"/>
    <w:qFormat/>
    <w:rsid w:val="0010664C"/>
    <w:pPr>
      <w:spacing w:after="80"/>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1066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1066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6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64C"/>
    <w:pPr>
      <w:spacing w:before="160"/>
      <w:jc w:val="center"/>
    </w:pPr>
    <w:rPr>
      <w:i/>
      <w:iCs/>
      <w:color w:val="404040" w:themeColor="text1" w:themeTint="BF"/>
    </w:rPr>
  </w:style>
  <w:style w:type="character" w:customStyle="1" w:styleId="QuoteChar">
    <w:name w:val="Quote Char"/>
    <w:basedOn w:val="DefaultParagraphFont"/>
    <w:link w:val="Quote"/>
    <w:uiPriority w:val="29"/>
    <w:rsid w:val="0010664C"/>
    <w:rPr>
      <w:i/>
      <w:iCs/>
      <w:color w:val="404040" w:themeColor="text1" w:themeTint="BF"/>
    </w:rPr>
  </w:style>
  <w:style w:type="paragraph" w:styleId="ListParagraph">
    <w:name w:val="List Paragraph"/>
    <w:basedOn w:val="Normal"/>
    <w:uiPriority w:val="34"/>
    <w:qFormat/>
    <w:rsid w:val="0010664C"/>
    <w:pPr>
      <w:ind w:left="720"/>
      <w:contextualSpacing/>
    </w:pPr>
  </w:style>
  <w:style w:type="character" w:styleId="IntenseEmphasis">
    <w:name w:val="Intense Emphasis"/>
    <w:basedOn w:val="DefaultParagraphFont"/>
    <w:uiPriority w:val="21"/>
    <w:qFormat/>
    <w:rsid w:val="0010664C"/>
    <w:rPr>
      <w:i/>
      <w:iCs/>
      <w:color w:val="0F4761" w:themeColor="accent1" w:themeShade="BF"/>
    </w:rPr>
  </w:style>
  <w:style w:type="paragraph" w:styleId="IntenseQuote">
    <w:name w:val="Intense Quote"/>
    <w:basedOn w:val="Normal"/>
    <w:next w:val="Normal"/>
    <w:link w:val="IntenseQuoteChar"/>
    <w:uiPriority w:val="30"/>
    <w:qFormat/>
    <w:rsid w:val="001066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664C"/>
    <w:rPr>
      <w:i/>
      <w:iCs/>
      <w:color w:val="0F4761" w:themeColor="accent1" w:themeShade="BF"/>
    </w:rPr>
  </w:style>
  <w:style w:type="character" w:styleId="IntenseReference">
    <w:name w:val="Intense Reference"/>
    <w:basedOn w:val="DefaultParagraphFont"/>
    <w:uiPriority w:val="32"/>
    <w:qFormat/>
    <w:rsid w:val="0010664C"/>
    <w:rPr>
      <w:b/>
      <w:bCs/>
      <w:smallCaps/>
      <w:color w:val="0F4761" w:themeColor="accent1" w:themeShade="BF"/>
      <w:spacing w:val="5"/>
    </w:rPr>
  </w:style>
  <w:style w:type="character" w:styleId="Hyperlink">
    <w:name w:val="Hyperlink"/>
    <w:uiPriority w:val="99"/>
    <w:rsid w:val="0010664C"/>
    <w:rPr>
      <w:color w:val="0000FF"/>
      <w:u w:val="single"/>
    </w:rPr>
  </w:style>
  <w:style w:type="paragraph" w:styleId="FootnoteText">
    <w:name w:val="footnote text"/>
    <w:basedOn w:val="Normal"/>
    <w:link w:val="FootnoteTextChar"/>
    <w:rsid w:val="0010664C"/>
  </w:style>
  <w:style w:type="character" w:customStyle="1" w:styleId="FootnoteTextChar">
    <w:name w:val="Footnote Text Char"/>
    <w:basedOn w:val="DefaultParagraphFont"/>
    <w:link w:val="FootnoteText"/>
    <w:rsid w:val="0010664C"/>
    <w:rPr>
      <w:rFonts w:ascii="Times New Roman" w:eastAsia="Times New Roman" w:hAnsi="Times New Roman" w:cs="Times New Roman"/>
      <w:kern w:val="28"/>
      <w:lang w:eastAsia="ja-JP"/>
      <w14:ligatures w14:val="none"/>
    </w:rPr>
  </w:style>
  <w:style w:type="character" w:styleId="FootnoteReference">
    <w:name w:val="footnote reference"/>
    <w:rsid w:val="0010664C"/>
    <w:rPr>
      <w:vertAlign w:val="superscript"/>
    </w:rPr>
  </w:style>
  <w:style w:type="paragraph" w:customStyle="1" w:styleId="Paragraph">
    <w:name w:val="Paragraph"/>
    <w:basedOn w:val="Normal"/>
    <w:link w:val="ParagraphChar"/>
    <w:qFormat/>
    <w:rsid w:val="0010664C"/>
    <w:pPr>
      <w:numPr>
        <w:numId w:val="1"/>
      </w:numPr>
      <w:spacing w:after="120"/>
      <w:jc w:val="both"/>
    </w:pPr>
  </w:style>
  <w:style w:type="character" w:customStyle="1" w:styleId="ParagraphChar">
    <w:name w:val="Paragraph Char"/>
    <w:basedOn w:val="DefaultParagraphFont"/>
    <w:link w:val="Paragraph"/>
    <w:rsid w:val="0010664C"/>
    <w:rPr>
      <w:rFonts w:ascii="Times New Roman" w:eastAsia="Times New Roman" w:hAnsi="Times New Roman" w:cs="Times New Roman"/>
      <w:kern w:val="28"/>
      <w:lang w:eastAsia="ja-JP"/>
      <w14:ligatures w14:val="none"/>
    </w:rPr>
  </w:style>
  <w:style w:type="paragraph" w:customStyle="1" w:styleId="SectionHeading">
    <w:name w:val="Section Heading"/>
    <w:basedOn w:val="Subtitle"/>
    <w:link w:val="SectionHeadingChar"/>
    <w:qFormat/>
    <w:rsid w:val="0010664C"/>
    <w:pPr>
      <w:numPr>
        <w:ilvl w:val="0"/>
      </w:numPr>
      <w:spacing w:before="240" w:after="240"/>
      <w:ind w:left="720" w:hanging="360"/>
    </w:pPr>
    <w:rPr>
      <w:rFonts w:eastAsiaTheme="minorEastAsia"/>
      <w:b/>
      <w:szCs w:val="22"/>
    </w:rPr>
  </w:style>
  <w:style w:type="character" w:customStyle="1" w:styleId="SectionHeadingChar">
    <w:name w:val="Section Heading Char"/>
    <w:basedOn w:val="SubtitleChar"/>
    <w:link w:val="SectionHeading"/>
    <w:rsid w:val="0010664C"/>
    <w:rPr>
      <w:rFonts w:ascii="Times New Roman" w:eastAsiaTheme="minorEastAsia" w:hAnsi="Times New Roman" w:cstheme="majorBidi"/>
      <w:b/>
      <w:color w:val="595959" w:themeColor="text1" w:themeTint="A6"/>
      <w:spacing w:val="15"/>
      <w:kern w:val="28"/>
      <w:sz w:val="28"/>
      <w:szCs w:val="22"/>
      <w:lang w:eastAsia="ja-JP"/>
      <w14:ligatures w14:val="none"/>
    </w:rPr>
  </w:style>
  <w:style w:type="paragraph" w:customStyle="1" w:styleId="BulletRecommendationsQuestions">
    <w:name w:val="Bullet Recommendations/Questions"/>
    <w:basedOn w:val="Normal"/>
    <w:qFormat/>
    <w:rsid w:val="0010664C"/>
    <w:pPr>
      <w:numPr>
        <w:ilvl w:val="1"/>
        <w:numId w:val="1"/>
      </w:numPr>
      <w:spacing w:after="120"/>
      <w:jc w:val="both"/>
    </w:pPr>
  </w:style>
  <w:style w:type="character" w:styleId="FollowedHyperlink">
    <w:name w:val="FollowedHyperlink"/>
    <w:basedOn w:val="DefaultParagraphFont"/>
    <w:uiPriority w:val="99"/>
    <w:semiHidden/>
    <w:unhideWhenUsed/>
    <w:rsid w:val="00644C09"/>
    <w:rPr>
      <w:color w:val="96607D" w:themeColor="followedHyperlink"/>
      <w:u w:val="single"/>
    </w:rPr>
  </w:style>
  <w:style w:type="paragraph" w:customStyle="1" w:styleId="TitlePageHeading">
    <w:name w:val="Title Page Heading"/>
    <w:basedOn w:val="Heading1"/>
    <w:link w:val="TitlePageHeadingChar"/>
    <w:qFormat/>
    <w:rsid w:val="005931B7"/>
    <w:pPr>
      <w:spacing w:before="0" w:after="0"/>
      <w:jc w:val="center"/>
    </w:pPr>
    <w:rPr>
      <w:rFonts w:ascii="Times New Roman" w:hAnsi="Times New Roman"/>
      <w:b/>
      <w:color w:val="000000" w:themeColor="text1"/>
      <w:sz w:val="24"/>
      <w:szCs w:val="32"/>
    </w:rPr>
  </w:style>
  <w:style w:type="character" w:customStyle="1" w:styleId="TitlePageHeadingChar">
    <w:name w:val="Title Page Heading Char"/>
    <w:basedOn w:val="DefaultParagraphFont"/>
    <w:link w:val="TitlePageHeading"/>
    <w:rsid w:val="005931B7"/>
    <w:rPr>
      <w:rFonts w:ascii="Times New Roman" w:eastAsiaTheme="majorEastAsia" w:hAnsi="Times New Roman" w:cstheme="majorBidi"/>
      <w:b/>
      <w:color w:val="000000" w:themeColor="text1"/>
      <w:kern w:val="28"/>
      <w:szCs w:val="32"/>
      <w:lang w:eastAsia="ja-JP"/>
      <w14:ligatures w14:val="none"/>
    </w:rPr>
  </w:style>
  <w:style w:type="paragraph" w:customStyle="1" w:styleId="TitlePageSubheading">
    <w:name w:val="Title Page Subheading"/>
    <w:basedOn w:val="Normal"/>
    <w:link w:val="TitlePageSubheadingChar"/>
    <w:qFormat/>
    <w:rsid w:val="005931B7"/>
    <w:pPr>
      <w:jc w:val="center"/>
    </w:pPr>
  </w:style>
  <w:style w:type="character" w:customStyle="1" w:styleId="TitlePageSubheadingChar">
    <w:name w:val="Title Page Subheading Char"/>
    <w:basedOn w:val="DefaultParagraphFont"/>
    <w:link w:val="TitlePageSubheading"/>
    <w:rsid w:val="005931B7"/>
    <w:rPr>
      <w:rFonts w:ascii="Times New Roman" w:eastAsia="Times New Roman" w:hAnsi="Times New Roman" w:cs="Times New Roman"/>
      <w:kern w:val="28"/>
      <w:lang w:eastAsia="ja-JP"/>
      <w14:ligatures w14:val="none"/>
    </w:rPr>
  </w:style>
  <w:style w:type="paragraph" w:customStyle="1" w:styleId="ExecutiveSummary">
    <w:name w:val="Executive Summary"/>
    <w:basedOn w:val="Normal"/>
    <w:link w:val="ExecutiveSummaryChar"/>
    <w:qFormat/>
    <w:rsid w:val="005931B7"/>
    <w:pPr>
      <w:jc w:val="center"/>
    </w:pPr>
    <w:rPr>
      <w:b/>
      <w:caps/>
    </w:rPr>
  </w:style>
  <w:style w:type="character" w:customStyle="1" w:styleId="ExecutiveSummaryChar">
    <w:name w:val="Executive Summary Char"/>
    <w:basedOn w:val="DefaultParagraphFont"/>
    <w:link w:val="ExecutiveSummary"/>
    <w:rsid w:val="005931B7"/>
    <w:rPr>
      <w:rFonts w:ascii="Times New Roman" w:eastAsia="Times New Roman" w:hAnsi="Times New Roman" w:cs="Times New Roman"/>
      <w:b/>
      <w:caps/>
      <w:kern w:val="28"/>
      <w:lang w:eastAsia="ja-JP"/>
      <w14:ligatures w14:val="none"/>
    </w:rPr>
  </w:style>
  <w:style w:type="paragraph" w:customStyle="1" w:styleId="SectionSummary">
    <w:name w:val="Section Summary"/>
    <w:basedOn w:val="Normal"/>
    <w:link w:val="SectionSummaryChar"/>
    <w:qFormat/>
    <w:rsid w:val="005931B7"/>
    <w:pPr>
      <w:spacing w:before="240" w:after="240"/>
      <w:jc w:val="center"/>
    </w:pPr>
    <w:rPr>
      <w:b/>
    </w:rPr>
  </w:style>
  <w:style w:type="character" w:customStyle="1" w:styleId="SectionSummaryChar">
    <w:name w:val="Section Summary Char"/>
    <w:basedOn w:val="DefaultParagraphFont"/>
    <w:link w:val="SectionSummary"/>
    <w:rsid w:val="005931B7"/>
    <w:rPr>
      <w:rFonts w:ascii="Times New Roman" w:eastAsia="Times New Roman" w:hAnsi="Times New Roman" w:cs="Times New Roman"/>
      <w:b/>
      <w:kern w:val="28"/>
      <w:lang w:eastAsia="ja-JP"/>
      <w14:ligatures w14:val="none"/>
    </w:rPr>
  </w:style>
  <w:style w:type="paragraph" w:customStyle="1" w:styleId="BoilerplateTitle">
    <w:name w:val="Boilerplate Title"/>
    <w:basedOn w:val="Normal"/>
    <w:link w:val="BoilerplateTitleChar"/>
    <w:qFormat/>
    <w:rsid w:val="005931B7"/>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
    <w:name w:val="Boilerplate Title Char"/>
    <w:basedOn w:val="DefaultParagraphFont"/>
    <w:link w:val="BoilerplateTitle"/>
    <w:rsid w:val="005931B7"/>
    <w:rPr>
      <w:rFonts w:ascii="Times New Roman" w:eastAsia="Arial" w:hAnsi="Times New Roman" w:cs="Arial"/>
      <w:b/>
      <w:bCs/>
      <w:color w:val="000000"/>
      <w:kern w:val="0"/>
      <w:szCs w:val="22"/>
      <w14:ligatures w14:val="none"/>
    </w:rPr>
  </w:style>
  <w:style w:type="paragraph" w:customStyle="1" w:styleId="AuthorDescriptiontext">
    <w:name w:val="Author Description text"/>
    <w:basedOn w:val="Normal"/>
    <w:link w:val="AuthorDescriptiontextChar"/>
    <w:uiPriority w:val="1"/>
    <w:qFormat/>
    <w:rsid w:val="005931B7"/>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005931B7"/>
    <w:rPr>
      <w:rFonts w:ascii="Times New Roman" w:eastAsia="Arial" w:hAnsi="Times New Roman" w:cs="Times New Roman"/>
      <w:kern w:val="28"/>
      <w14:ligatures w14:val="none"/>
    </w:rPr>
  </w:style>
  <w:style w:type="paragraph" w:styleId="Header">
    <w:name w:val="header"/>
    <w:basedOn w:val="Normal"/>
    <w:link w:val="HeaderChar"/>
    <w:unhideWhenUsed/>
    <w:rsid w:val="00F34B1D"/>
    <w:pPr>
      <w:tabs>
        <w:tab w:val="center" w:pos="4680"/>
        <w:tab w:val="right" w:pos="9360"/>
      </w:tabs>
    </w:pPr>
  </w:style>
  <w:style w:type="character" w:customStyle="1" w:styleId="HeaderChar">
    <w:name w:val="Header Char"/>
    <w:basedOn w:val="DefaultParagraphFont"/>
    <w:link w:val="Header"/>
    <w:uiPriority w:val="99"/>
    <w:rsid w:val="00F34B1D"/>
    <w:rPr>
      <w:rFonts w:ascii="Times New Roman" w:eastAsia="Times New Roman" w:hAnsi="Times New Roman" w:cs="Times New Roman"/>
      <w:kern w:val="28"/>
      <w:lang w:eastAsia="ja-JP"/>
      <w14:ligatures w14:val="none"/>
    </w:rPr>
  </w:style>
  <w:style w:type="paragraph" w:styleId="Footer">
    <w:name w:val="footer"/>
    <w:basedOn w:val="Normal"/>
    <w:link w:val="FooterChar"/>
    <w:uiPriority w:val="99"/>
    <w:unhideWhenUsed/>
    <w:rsid w:val="00F34B1D"/>
    <w:pPr>
      <w:tabs>
        <w:tab w:val="center" w:pos="4680"/>
        <w:tab w:val="right" w:pos="9360"/>
      </w:tabs>
    </w:pPr>
  </w:style>
  <w:style w:type="character" w:customStyle="1" w:styleId="FooterChar">
    <w:name w:val="Footer Char"/>
    <w:basedOn w:val="DefaultParagraphFont"/>
    <w:link w:val="Footer"/>
    <w:uiPriority w:val="99"/>
    <w:rsid w:val="00F34B1D"/>
    <w:rPr>
      <w:rFonts w:ascii="Times New Roman" w:eastAsia="Times New Roman" w:hAnsi="Times New Roman" w:cs="Times New Roman"/>
      <w:kern w:val="28"/>
      <w:lang w:eastAsia="ja-JP"/>
      <w14:ligatures w14:val="none"/>
    </w:rPr>
  </w:style>
  <w:style w:type="character" w:styleId="UnresolvedMention">
    <w:name w:val="Unresolved Mention"/>
    <w:basedOn w:val="DefaultParagraphFont"/>
    <w:uiPriority w:val="99"/>
    <w:semiHidden/>
    <w:unhideWhenUsed/>
    <w:rsid w:val="00CC3252"/>
    <w:rPr>
      <w:color w:val="605E5C"/>
      <w:shd w:val="clear" w:color="auto" w:fill="E1DFDD"/>
    </w:rPr>
  </w:style>
  <w:style w:type="character" w:styleId="CommentReference">
    <w:name w:val="annotation reference"/>
    <w:basedOn w:val="DefaultParagraphFont"/>
    <w:uiPriority w:val="99"/>
    <w:semiHidden/>
    <w:unhideWhenUsed/>
    <w:rsid w:val="00A5202B"/>
    <w:rPr>
      <w:sz w:val="16"/>
      <w:szCs w:val="16"/>
    </w:rPr>
  </w:style>
  <w:style w:type="paragraph" w:styleId="CommentText">
    <w:name w:val="annotation text"/>
    <w:basedOn w:val="Normal"/>
    <w:link w:val="CommentTextChar"/>
    <w:uiPriority w:val="99"/>
    <w:unhideWhenUsed/>
    <w:rsid w:val="00A5202B"/>
    <w:rPr>
      <w:sz w:val="20"/>
      <w:szCs w:val="20"/>
    </w:rPr>
  </w:style>
  <w:style w:type="character" w:customStyle="1" w:styleId="CommentTextChar">
    <w:name w:val="Comment Text Char"/>
    <w:basedOn w:val="DefaultParagraphFont"/>
    <w:link w:val="CommentText"/>
    <w:uiPriority w:val="99"/>
    <w:rsid w:val="00A5202B"/>
    <w:rPr>
      <w:rFonts w:ascii="Times New Roman" w:eastAsia="Times New Roman" w:hAnsi="Times New Roman" w:cs="Times New Roman"/>
      <w:kern w:val="28"/>
      <w:sz w:val="20"/>
      <w:szCs w:val="20"/>
      <w:lang w:eastAsia="ja-JP"/>
      <w14:ligatures w14:val="none"/>
    </w:rPr>
  </w:style>
  <w:style w:type="paragraph" w:styleId="CommentSubject">
    <w:name w:val="annotation subject"/>
    <w:basedOn w:val="CommentText"/>
    <w:next w:val="CommentText"/>
    <w:link w:val="CommentSubjectChar"/>
    <w:uiPriority w:val="99"/>
    <w:semiHidden/>
    <w:unhideWhenUsed/>
    <w:rsid w:val="00A5202B"/>
    <w:rPr>
      <w:b/>
      <w:bCs/>
    </w:rPr>
  </w:style>
  <w:style w:type="character" w:customStyle="1" w:styleId="CommentSubjectChar">
    <w:name w:val="Comment Subject Char"/>
    <w:basedOn w:val="CommentTextChar"/>
    <w:link w:val="CommentSubject"/>
    <w:uiPriority w:val="99"/>
    <w:semiHidden/>
    <w:rsid w:val="00A5202B"/>
    <w:rPr>
      <w:rFonts w:ascii="Times New Roman" w:eastAsia="Times New Roman" w:hAnsi="Times New Roman" w:cs="Times New Roman"/>
      <w:b/>
      <w:bCs/>
      <w:kern w:val="28"/>
      <w:sz w:val="20"/>
      <w:szCs w:val="20"/>
      <w:lang w:eastAsia="ja-JP"/>
      <w14:ligatures w14:val="none"/>
    </w:rPr>
  </w:style>
  <w:style w:type="paragraph" w:styleId="Revision">
    <w:name w:val="Revision"/>
    <w:hidden/>
    <w:uiPriority w:val="99"/>
    <w:semiHidden/>
    <w:rsid w:val="00A5202B"/>
    <w:pPr>
      <w:spacing w:after="0" w:line="240" w:lineRule="auto"/>
    </w:pPr>
    <w:rPr>
      <w:rFonts w:ascii="Times New Roman" w:eastAsia="Times New Roman" w:hAnsi="Times New Roman" w:cs="Times New Roman"/>
      <w:kern w:val="28"/>
      <w:lang w:eastAsia="ja-JP"/>
      <w14:ligatures w14:val="none"/>
    </w:rPr>
  </w:style>
  <w:style w:type="character" w:customStyle="1" w:styleId="normaltextrun">
    <w:name w:val="normaltextrun"/>
    <w:basedOn w:val="DefaultParagraphFont"/>
    <w:rsid w:val="00891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pw.lawschool.cornell.edu/database/" TargetMode="External"/><Relationship Id="rId13" Type="http://schemas.openxmlformats.org/officeDocument/2006/relationships/hyperlink" Target="https://www.europarl.europa.eu/doceo/document/B-10-2025-0261_EN.pdf" TargetMode="External"/><Relationship Id="rId3" Type="http://schemas.openxmlformats.org/officeDocument/2006/relationships/hyperlink" Target="https://tanzlii.org/en/akn/tz/act/ord/1930/11/eng@2023-12-31" TargetMode="External"/><Relationship Id="rId7" Type="http://schemas.openxmlformats.org/officeDocument/2006/relationships/hyperlink" Target="https://dpw.lawschool.cornell.edu/database/" TargetMode="External"/><Relationship Id="rId12" Type="http://schemas.openxmlformats.org/officeDocument/2006/relationships/hyperlink" Target="https://www.hrw.org/world-report/2026/country-chapters/tanzania" TargetMode="External"/><Relationship Id="rId2" Type="http://schemas.openxmlformats.org/officeDocument/2006/relationships/hyperlink" Target="https://tanzlii.org/en/akn/tz/act/ord/1930/11/eng@2023-12-31" TargetMode="External"/><Relationship Id="rId1" Type="http://schemas.openxmlformats.org/officeDocument/2006/relationships/hyperlink" Target="https://tanzlii.org/en/akn/tz/act/ord/1930/11/eng@2023-12-31" TargetMode="External"/><Relationship Id="rId6" Type="http://schemas.openxmlformats.org/officeDocument/2006/relationships/hyperlink" Target="https://tanzlii.org/en/akn/tz/act/ord/1930/11/eng@2023-12-31" TargetMode="External"/><Relationship Id="rId11" Type="http://schemas.openxmlformats.org/officeDocument/2006/relationships/hyperlink" Target="https://worldpopulationreview.com/country-rankings/countries-with-death-penalty" TargetMode="External"/><Relationship Id="rId5" Type="http://schemas.openxmlformats.org/officeDocument/2006/relationships/hyperlink" Target="https://tanzlii.org/en/akn/tz/act/ord/1930/11/eng@2023-12-31" TargetMode="External"/><Relationship Id="rId15" Type="http://schemas.openxmlformats.org/officeDocument/2006/relationships/hyperlink" Target="https://www.thecitizen.co.tz/tanzania/news/national/tanzania-ordered-to-remove-death-by-hanging-from-criminal-justice-system-5487100" TargetMode="External"/><Relationship Id="rId10" Type="http://schemas.openxmlformats.org/officeDocument/2006/relationships/hyperlink" Target="https://dpw.lawschool.cornell.edu/database/" TargetMode="External"/><Relationship Id="rId4" Type="http://schemas.openxmlformats.org/officeDocument/2006/relationships/hyperlink" Target="https://tanzlii.org/en/akn/tz/act/ord/1930/11/eng@2023-12-31" TargetMode="External"/><Relationship Id="rId9" Type="http://schemas.openxmlformats.org/officeDocument/2006/relationships/hyperlink" Target="https://www.amnesty.org/en/documents/act50/0778/2026/en/" TargetMode="External"/><Relationship Id="rId14" Type="http://schemas.openxmlformats.org/officeDocument/2006/relationships/hyperlink" Target="https://www.thecitizen.co.tz/tanzania/news/national/tanzania-ordered-to-remove-death-by-hanging-from-criminal-justice-system-548710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1E2EA7-31EA-488E-8DBF-C9D0B62E60F0}">
  <we:reference id="EDE55E60-5684-4362-B334-7CF436A1F2F7" version="1.0.3.0" store="EXCatalog" storeType="excatalog"/>
  <we:alternateReferences>
    <we:reference id="WA200008317" version="1.0.3.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5ab7b9b5287da18eff7d502e7611def4">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88af4290e270f05463e6a4c986c7167a"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6633A-5450-4387-9AF9-C6D601AAD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17FDA8-444C-4E2C-B075-1C8BAFB7D5A1}">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3.xml><?xml version="1.0" encoding="utf-8"?>
<ds:datastoreItem xmlns:ds="http://schemas.openxmlformats.org/officeDocument/2006/customXml" ds:itemID="{3E6BEA22-3669-4429-A6CE-91DCD810ADC5}">
  <ds:schemaRefs>
    <ds:schemaRef ds:uri="http://schemas.microsoft.com/sharepoint/v3/contenttype/forms"/>
  </ds:schemaRefs>
</ds:datastoreItem>
</file>

<file path=customXml/itemProps4.xml><?xml version="1.0" encoding="utf-8"?>
<ds:datastoreItem xmlns:ds="http://schemas.openxmlformats.org/officeDocument/2006/customXml" ds:itemID="{6F7C7864-74A1-423C-BBF5-AD2736A21201}">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3842</Words>
  <Characters>21905</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Dechert LLP</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Mulligan, Trent</dc:creator>
  <cp:lastModifiedBy>James Boit</cp:lastModifiedBy>
  <cp:revision>2</cp:revision>
  <dcterms:created xsi:type="dcterms:W3CDTF">2026-08-14T14:49:00Z</dcterms:created>
  <dcterms:modified xsi:type="dcterms:W3CDTF">2026-08-14T14:49:00Z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