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1E9B3" w14:textId="77777777" w:rsidR="007F0DED" w:rsidRPr="007666D5" w:rsidRDefault="00EA0704" w:rsidP="00BE309B">
      <w:pPr>
        <w:rPr>
          <w:rFonts w:ascii="Segoe UI" w:hAnsi="Segoe UI" w:cs="Segoe UI"/>
        </w:rPr>
      </w:pPr>
      <w:bookmarkStart w:id="0" w:name="_Toc516464987"/>
      <w:bookmarkStart w:id="1" w:name="_Toc516465020"/>
      <w:bookmarkStart w:id="2" w:name="_Toc517067599"/>
      <w:bookmarkStart w:id="3" w:name="_Toc517067615"/>
      <w:bookmarkStart w:id="4" w:name="_Toc517067643"/>
      <w:bookmarkStart w:id="5" w:name="_Toc485299430"/>
      <w:bookmarkStart w:id="6" w:name="_Toc515196147"/>
      <w:r>
        <w:rPr>
          <w:noProof/>
          <w:lang w:val="en-US"/>
        </w:rPr>
        <w:pict w14:anchorId="6F4651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 o:spid="_x0000_s1027" type="#_x0000_t75" alt="../Covers/Covers_darkorange.pdf" style="position:absolute;margin-left:-75.55pt;margin-top:0;width:615.5pt;height:796.7pt;z-index:-2;visibility:visible;mso-wrap-edited:f;mso-width-percent:0;mso-height-percent:0;mso-width-percent:0;mso-height-percent:0">
            <v:imagedata r:id="rId7" o:title=""/>
          </v:shape>
        </w:pict>
      </w:r>
      <w:r>
        <w:rPr>
          <w:noProof/>
          <w:lang w:val="en-US"/>
        </w:rPr>
        <w:pict w14:anchorId="4B55AC0A">
          <v:shape id="図 4" o:spid="_x0000_s1026" type="#_x0000_t75" alt="" style="position:absolute;margin-left:-22.9pt;margin-top:-50.55pt;width:176.65pt;height:177.55pt;z-index:-1;visibility:visible;mso-wrap-edited:f;mso-width-percent:0;mso-height-percent:0;mso-width-percent:0;mso-height-percent:0">
            <v:imagedata r:id="rId8" o:title=""/>
          </v:shape>
        </w:pict>
      </w:r>
    </w:p>
    <w:p w14:paraId="112F230A" w14:textId="77777777" w:rsidR="007F0DED" w:rsidRPr="007666D5" w:rsidRDefault="007F0DED" w:rsidP="00BE309B">
      <w:pPr>
        <w:rPr>
          <w:rFonts w:ascii="Segoe UI" w:hAnsi="Segoe UI" w:cs="Segoe UI"/>
        </w:rPr>
      </w:pPr>
    </w:p>
    <w:p w14:paraId="585FF426" w14:textId="77777777" w:rsidR="007F0DED" w:rsidRPr="007666D5" w:rsidRDefault="007F0DED" w:rsidP="00BE309B">
      <w:pPr>
        <w:rPr>
          <w:rFonts w:ascii="Segoe UI" w:hAnsi="Segoe UI" w:cs="Segoe UI"/>
        </w:rPr>
      </w:pPr>
    </w:p>
    <w:p w14:paraId="74263483" w14:textId="77777777" w:rsidR="007F0DED" w:rsidRPr="007666D5" w:rsidRDefault="007F0DED" w:rsidP="00BE309B">
      <w:pPr>
        <w:rPr>
          <w:rFonts w:ascii="Segoe UI" w:hAnsi="Segoe UI" w:cs="Segoe UI"/>
        </w:rPr>
      </w:pPr>
    </w:p>
    <w:p w14:paraId="78B97634" w14:textId="77777777" w:rsidR="007F0DED" w:rsidRPr="007666D5" w:rsidRDefault="007F0DED" w:rsidP="00BE309B">
      <w:pPr>
        <w:rPr>
          <w:rFonts w:ascii="Segoe UI" w:hAnsi="Segoe UI" w:cs="Segoe UI"/>
        </w:rPr>
      </w:pPr>
    </w:p>
    <w:p w14:paraId="7DF8A964" w14:textId="77777777" w:rsidR="007F0DED" w:rsidRPr="007666D5" w:rsidRDefault="007F0DED" w:rsidP="00BE309B">
      <w:pPr>
        <w:rPr>
          <w:rFonts w:ascii="Segoe UI" w:hAnsi="Segoe UI" w:cs="Segoe UI"/>
        </w:rPr>
      </w:pPr>
    </w:p>
    <w:p w14:paraId="47874EF3" w14:textId="77777777" w:rsidR="007F0DED" w:rsidRPr="007666D5" w:rsidRDefault="007F0DED" w:rsidP="00BE309B">
      <w:pPr>
        <w:rPr>
          <w:rFonts w:ascii="Segoe UI" w:hAnsi="Segoe UI" w:cs="Segoe UI"/>
        </w:rPr>
      </w:pPr>
    </w:p>
    <w:p w14:paraId="2CEC903A" w14:textId="77777777" w:rsidR="007F0DED" w:rsidRPr="007666D5" w:rsidRDefault="007F0DED" w:rsidP="00BE309B">
      <w:pPr>
        <w:rPr>
          <w:rFonts w:ascii="Segoe UI" w:hAnsi="Segoe UI" w:cs="Segoe UI"/>
        </w:rPr>
      </w:pPr>
    </w:p>
    <w:p w14:paraId="0A65D3A5" w14:textId="77777777" w:rsidR="007F0DED" w:rsidRPr="007666D5" w:rsidRDefault="007F0DED" w:rsidP="00BE309B">
      <w:pPr>
        <w:rPr>
          <w:rFonts w:ascii="Segoe UI" w:hAnsi="Segoe UI" w:cs="Segoe UI"/>
        </w:rPr>
      </w:pPr>
    </w:p>
    <w:p w14:paraId="7F751ADC" w14:textId="77777777" w:rsidR="007F0DED" w:rsidRPr="007666D5" w:rsidRDefault="007F0DED" w:rsidP="00BE309B">
      <w:pPr>
        <w:rPr>
          <w:rFonts w:ascii="Segoe UI" w:hAnsi="Segoe UI" w:cs="Segoe UI"/>
        </w:rPr>
      </w:pPr>
    </w:p>
    <w:p w14:paraId="4A94536C" w14:textId="77777777" w:rsidR="007F0DED" w:rsidRPr="007666D5" w:rsidRDefault="007F0DED" w:rsidP="00BE309B">
      <w:pPr>
        <w:rPr>
          <w:rFonts w:ascii="Segoe UI" w:hAnsi="Segoe UI" w:cs="Segoe UI"/>
        </w:rPr>
      </w:pPr>
    </w:p>
    <w:p w14:paraId="3751267C" w14:textId="77777777" w:rsidR="007F0DED" w:rsidRPr="007666D5" w:rsidRDefault="007F0DED" w:rsidP="00BE309B">
      <w:pPr>
        <w:rPr>
          <w:rFonts w:ascii="Segoe UI" w:hAnsi="Segoe UI" w:cs="Segoe UI"/>
        </w:rPr>
      </w:pPr>
    </w:p>
    <w:p w14:paraId="3F3E2B21" w14:textId="77777777" w:rsidR="007F0DED" w:rsidRPr="007666D5" w:rsidRDefault="007F0DED" w:rsidP="00BE309B">
      <w:pPr>
        <w:rPr>
          <w:rFonts w:ascii="Segoe UI" w:hAnsi="Segoe UI" w:cs="Segoe UI"/>
        </w:rPr>
      </w:pPr>
    </w:p>
    <w:p w14:paraId="4F0960C9" w14:textId="77777777" w:rsidR="007F0DED" w:rsidRPr="007666D5" w:rsidRDefault="007F0DED" w:rsidP="00BE309B">
      <w:pPr>
        <w:rPr>
          <w:rFonts w:ascii="Segoe UI" w:hAnsi="Segoe UI" w:cs="Segoe UI"/>
        </w:rPr>
      </w:pPr>
    </w:p>
    <w:p w14:paraId="35D2EA05" w14:textId="77777777" w:rsidR="007F0DED" w:rsidRPr="007666D5" w:rsidRDefault="007F0DED" w:rsidP="00BE309B">
      <w:pPr>
        <w:rPr>
          <w:rFonts w:ascii="Segoe UI" w:hAnsi="Segoe UI" w:cs="Segoe UI"/>
          <w:b/>
          <w:bCs/>
          <w:color w:val="FFFFFF"/>
          <w:sz w:val="56"/>
          <w:szCs w:val="56"/>
        </w:rPr>
      </w:pPr>
      <w:r>
        <w:rPr>
          <w:rFonts w:ascii="Segoe UI" w:hAnsi="Segoe UI" w:cs="Segoe UI"/>
          <w:b/>
          <w:bCs/>
          <w:color w:val="FFFFFF"/>
          <w:sz w:val="56"/>
          <w:szCs w:val="56"/>
        </w:rPr>
        <w:t>Submission to</w:t>
      </w:r>
      <w:r w:rsidRPr="007666D5">
        <w:rPr>
          <w:rFonts w:ascii="Segoe UI" w:hAnsi="Segoe UI" w:cs="Segoe UI"/>
          <w:b/>
          <w:bCs/>
          <w:color w:val="FFFFFF"/>
          <w:sz w:val="56"/>
          <w:szCs w:val="56"/>
        </w:rPr>
        <w:t xml:space="preserve"> United Nations Human Rights Committee Review of Canada </w:t>
      </w:r>
    </w:p>
    <w:p w14:paraId="776883FA" w14:textId="77777777" w:rsidR="007F0DED" w:rsidRPr="007666D5" w:rsidRDefault="007F0DED" w:rsidP="00BE309B">
      <w:pPr>
        <w:rPr>
          <w:rFonts w:ascii="Segoe UI" w:hAnsi="Segoe UI" w:cs="Segoe UI"/>
          <w:color w:val="FFFFFF"/>
          <w:sz w:val="32"/>
          <w:szCs w:val="32"/>
        </w:rPr>
      </w:pPr>
    </w:p>
    <w:p w14:paraId="7F9BF691" w14:textId="77777777" w:rsidR="007F0DED" w:rsidRPr="007666D5" w:rsidRDefault="007F0DED" w:rsidP="00BE309B">
      <w:pPr>
        <w:rPr>
          <w:rFonts w:ascii="Segoe UI" w:hAnsi="Segoe UI" w:cs="Segoe UI"/>
          <w:color w:val="FFFFFF"/>
          <w:sz w:val="36"/>
          <w:szCs w:val="36"/>
        </w:rPr>
      </w:pPr>
      <w:r>
        <w:rPr>
          <w:rFonts w:ascii="Segoe UI" w:hAnsi="Segoe UI" w:cs="Segoe UI"/>
          <w:color w:val="FFFFFF"/>
          <w:sz w:val="32"/>
          <w:szCs w:val="32"/>
        </w:rPr>
        <w:t>February 2, 2026</w:t>
      </w:r>
    </w:p>
    <w:p w14:paraId="1D4F1655" w14:textId="77777777" w:rsidR="007F0DED" w:rsidRPr="007666D5" w:rsidRDefault="007F0DED" w:rsidP="00BE309B">
      <w:pPr>
        <w:rPr>
          <w:rFonts w:ascii="Segoe UI" w:hAnsi="Segoe UI" w:cs="Segoe UI"/>
          <w:color w:val="FFFFFF"/>
          <w:sz w:val="36"/>
          <w:szCs w:val="36"/>
        </w:rPr>
      </w:pPr>
    </w:p>
    <w:p w14:paraId="7E1885E1" w14:textId="77777777" w:rsidR="007F0DED" w:rsidRPr="007666D5" w:rsidRDefault="007F0DED" w:rsidP="00BE309B">
      <w:pPr>
        <w:rPr>
          <w:rFonts w:ascii="Segoe UI" w:hAnsi="Segoe UI" w:cs="Segoe UI"/>
          <w:color w:val="FFFFFF"/>
          <w:sz w:val="36"/>
          <w:szCs w:val="36"/>
        </w:rPr>
      </w:pPr>
    </w:p>
    <w:p w14:paraId="0DD50220" w14:textId="77777777" w:rsidR="007F0DED" w:rsidRPr="007666D5" w:rsidRDefault="007F0DED" w:rsidP="00BE309B">
      <w:pPr>
        <w:rPr>
          <w:rFonts w:ascii="Segoe UI" w:hAnsi="Segoe UI" w:cs="Segoe UI"/>
          <w:color w:val="FFFFFF"/>
          <w:sz w:val="36"/>
          <w:szCs w:val="36"/>
        </w:rPr>
      </w:pPr>
    </w:p>
    <w:p w14:paraId="3FBF42FE" w14:textId="77777777" w:rsidR="007F0DED" w:rsidRPr="007666D5" w:rsidRDefault="007F0DED" w:rsidP="00BE309B">
      <w:pPr>
        <w:rPr>
          <w:rFonts w:ascii="Segoe UI" w:hAnsi="Segoe UI" w:cs="Segoe UI"/>
          <w:color w:val="FFFFFF"/>
          <w:sz w:val="36"/>
          <w:szCs w:val="36"/>
        </w:rPr>
      </w:pPr>
    </w:p>
    <w:p w14:paraId="2779DB0C" w14:textId="77777777" w:rsidR="007F0DED" w:rsidRPr="007666D5" w:rsidRDefault="007F0DED" w:rsidP="00BE309B">
      <w:pPr>
        <w:rPr>
          <w:rFonts w:ascii="Segoe UI" w:hAnsi="Segoe UI" w:cs="Segoe UI"/>
          <w:color w:val="FFFFFF"/>
          <w:sz w:val="36"/>
          <w:szCs w:val="36"/>
        </w:rPr>
      </w:pPr>
    </w:p>
    <w:p w14:paraId="08D52DDC" w14:textId="77777777" w:rsidR="007F0DED" w:rsidRPr="007666D5" w:rsidRDefault="007F0DED" w:rsidP="00017BA6">
      <w:pPr>
        <w:rPr>
          <w:rFonts w:ascii="Segoe UI" w:hAnsi="Segoe UI" w:cs="Segoe UI"/>
          <w:color w:val="C45911"/>
        </w:rPr>
      </w:pPr>
      <w:r w:rsidRPr="007666D5">
        <w:tab/>
      </w:r>
    </w:p>
    <w:p w14:paraId="754D03DF" w14:textId="0FF65939" w:rsidR="007F0DED" w:rsidRPr="007666D5" w:rsidRDefault="007F0DED" w:rsidP="00017BA6">
      <w:pPr>
        <w:rPr>
          <w:rFonts w:ascii="Segoe UI" w:hAnsi="Segoe UI" w:cs="Segoe UI"/>
          <w:color w:val="C45911"/>
          <w:sz w:val="32"/>
          <w:szCs w:val="32"/>
        </w:rPr>
      </w:pPr>
      <w:r w:rsidRPr="007666D5">
        <w:rPr>
          <w:rFonts w:ascii="Segoe UI" w:hAnsi="Segoe UI" w:cs="Segoe UI"/>
          <w:color w:val="C45911"/>
          <w:sz w:val="32"/>
          <w:szCs w:val="32"/>
        </w:rPr>
        <w:t xml:space="preserve">Submitted </w:t>
      </w:r>
      <w:r>
        <w:rPr>
          <w:rFonts w:ascii="Segoe UI" w:hAnsi="Segoe UI" w:cs="Segoe UI"/>
          <w:color w:val="C45911"/>
          <w:sz w:val="32"/>
          <w:szCs w:val="32"/>
        </w:rPr>
        <w:t>February 2, 2026</w:t>
      </w:r>
      <w:r w:rsidR="009112D1">
        <w:rPr>
          <w:rFonts w:ascii="Segoe UI" w:hAnsi="Segoe UI" w:cs="Segoe UI"/>
          <w:color w:val="C45911"/>
          <w:sz w:val="32"/>
          <w:szCs w:val="32"/>
        </w:rPr>
        <w:t>,</w:t>
      </w:r>
      <w:r w:rsidRPr="007666D5">
        <w:rPr>
          <w:rFonts w:ascii="Segoe UI" w:hAnsi="Segoe UI" w:cs="Segoe UI"/>
          <w:color w:val="C45911"/>
          <w:sz w:val="32"/>
          <w:szCs w:val="32"/>
        </w:rPr>
        <w:t xml:space="preserve"> by Canadian Feminist Alliance for International Action (FAFIA) </w:t>
      </w:r>
    </w:p>
    <w:p w14:paraId="269A6FA2" w14:textId="77777777" w:rsidR="007F0DED" w:rsidRPr="007666D5" w:rsidRDefault="007F0DED" w:rsidP="00BE309B">
      <w:pPr>
        <w:rPr>
          <w:rFonts w:ascii="Segoe UI" w:hAnsi="Segoe UI" w:cs="Segoe UI"/>
        </w:rPr>
      </w:pPr>
    </w:p>
    <w:p w14:paraId="0DB969CE" w14:textId="77777777" w:rsidR="007F0DED" w:rsidRPr="007666D5" w:rsidRDefault="007F0DED" w:rsidP="00BE309B">
      <w:pPr>
        <w:rPr>
          <w:rFonts w:ascii="Segoe UI" w:hAnsi="Segoe UI" w:cs="Segoe UI"/>
        </w:rPr>
      </w:pPr>
    </w:p>
    <w:p w14:paraId="1D1CB00C" w14:textId="77777777" w:rsidR="007F0DED" w:rsidRPr="007666D5" w:rsidRDefault="007F0DED" w:rsidP="00BE309B">
      <w:pPr>
        <w:rPr>
          <w:rFonts w:ascii="Segoe UI" w:hAnsi="Segoe UI" w:cs="Segoe UI"/>
        </w:rPr>
      </w:pPr>
    </w:p>
    <w:p w14:paraId="709A7647" w14:textId="77777777" w:rsidR="007F0DED" w:rsidRPr="007666D5" w:rsidRDefault="007F0DED" w:rsidP="00242A17">
      <w:pPr>
        <w:rPr>
          <w:rFonts w:ascii="Segoe UI" w:hAnsi="Segoe UI" w:cs="Segoe UI"/>
        </w:rPr>
      </w:pPr>
    </w:p>
    <w:p w14:paraId="70B86B4A" w14:textId="77777777" w:rsidR="007F0DED" w:rsidRPr="007666D5" w:rsidRDefault="007F0DED">
      <w:pPr>
        <w:pStyle w:val="TOCHeading"/>
        <w:rPr>
          <w:rFonts w:ascii="Segoe UI" w:hAnsi="Segoe UI" w:cs="Segoe UI"/>
          <w:b/>
          <w:bCs/>
          <w:color w:val="C45911"/>
        </w:rPr>
      </w:pPr>
      <w:r w:rsidRPr="007666D5">
        <w:rPr>
          <w:rFonts w:ascii="Segoe UI" w:hAnsi="Segoe UI" w:cs="Segoe UI"/>
          <w:b/>
          <w:bCs/>
          <w:color w:val="C45911"/>
        </w:rPr>
        <w:lastRenderedPageBreak/>
        <w:t>Table of Contents</w:t>
      </w:r>
    </w:p>
    <w:p w14:paraId="1D7C67A1" w14:textId="4EBD7E2D" w:rsidR="00C82AEF" w:rsidRDefault="007F0DED">
      <w:pPr>
        <w:pStyle w:val="TOC1"/>
        <w:tabs>
          <w:tab w:val="right" w:leader="dot" w:pos="9350"/>
        </w:tabs>
        <w:rPr>
          <w:rFonts w:eastAsia="Times New Roman" w:cs="Times New Roman"/>
          <w:noProof/>
          <w:kern w:val="2"/>
        </w:rPr>
      </w:pPr>
      <w:r w:rsidRPr="007666D5">
        <w:rPr>
          <w:rFonts w:ascii="Segoe UI" w:hAnsi="Segoe UI" w:cs="Segoe UI"/>
          <w:b/>
          <w:bCs/>
        </w:rPr>
        <w:fldChar w:fldCharType="begin"/>
      </w:r>
      <w:r w:rsidRPr="007666D5">
        <w:rPr>
          <w:rFonts w:ascii="Segoe UI" w:hAnsi="Segoe UI" w:cs="Segoe UI"/>
          <w:b/>
          <w:bCs/>
        </w:rPr>
        <w:instrText xml:space="preserve"> TOC \o "1-3" \h \z \u </w:instrText>
      </w:r>
      <w:r w:rsidRPr="007666D5">
        <w:rPr>
          <w:rFonts w:ascii="Segoe UI" w:hAnsi="Segoe UI" w:cs="Segoe UI"/>
          <w:b/>
          <w:bCs/>
        </w:rPr>
        <w:fldChar w:fldCharType="separate"/>
      </w:r>
      <w:hyperlink w:anchor="_Toc220664129" w:history="1">
        <w:r w:rsidR="00C82AEF" w:rsidRPr="008D6BCA">
          <w:rPr>
            <w:rStyle w:val="Hyperlink"/>
            <w:noProof/>
          </w:rPr>
          <w:t>Introduction</w:t>
        </w:r>
        <w:r w:rsidR="00C82AEF">
          <w:rPr>
            <w:noProof/>
            <w:webHidden/>
          </w:rPr>
          <w:tab/>
        </w:r>
        <w:r w:rsidR="00C82AEF">
          <w:rPr>
            <w:noProof/>
            <w:webHidden/>
          </w:rPr>
          <w:fldChar w:fldCharType="begin"/>
        </w:r>
        <w:r w:rsidR="00C82AEF">
          <w:rPr>
            <w:noProof/>
            <w:webHidden/>
          </w:rPr>
          <w:instrText xml:space="preserve"> PAGEREF _Toc220664129 \h </w:instrText>
        </w:r>
        <w:r w:rsidR="00C82AEF">
          <w:rPr>
            <w:noProof/>
            <w:webHidden/>
          </w:rPr>
        </w:r>
        <w:r w:rsidR="00C82AEF">
          <w:rPr>
            <w:noProof/>
            <w:webHidden/>
          </w:rPr>
          <w:fldChar w:fldCharType="separate"/>
        </w:r>
        <w:r w:rsidR="00C82AEF">
          <w:rPr>
            <w:noProof/>
            <w:webHidden/>
          </w:rPr>
          <w:t>3</w:t>
        </w:r>
        <w:r w:rsidR="00C82AEF">
          <w:rPr>
            <w:noProof/>
            <w:webHidden/>
          </w:rPr>
          <w:fldChar w:fldCharType="end"/>
        </w:r>
      </w:hyperlink>
    </w:p>
    <w:p w14:paraId="48A04781" w14:textId="1678D320" w:rsidR="00C82AEF" w:rsidRDefault="00C82AEF">
      <w:pPr>
        <w:pStyle w:val="TOC1"/>
        <w:tabs>
          <w:tab w:val="right" w:leader="dot" w:pos="9350"/>
        </w:tabs>
        <w:rPr>
          <w:rFonts w:eastAsia="Times New Roman" w:cs="Times New Roman"/>
          <w:noProof/>
          <w:kern w:val="2"/>
        </w:rPr>
      </w:pPr>
      <w:hyperlink w:anchor="_Toc220664130" w:history="1">
        <w:r w:rsidRPr="008D6BCA">
          <w:rPr>
            <w:rStyle w:val="Hyperlink"/>
            <w:rFonts w:ascii="Segoe UI" w:hAnsi="Segoe UI" w:cs="Segoe UI"/>
            <w:noProof/>
          </w:rPr>
          <w:t>Acknowledgements</w:t>
        </w:r>
        <w:r>
          <w:rPr>
            <w:noProof/>
            <w:webHidden/>
          </w:rPr>
          <w:tab/>
        </w:r>
        <w:r>
          <w:rPr>
            <w:noProof/>
            <w:webHidden/>
          </w:rPr>
          <w:fldChar w:fldCharType="begin"/>
        </w:r>
        <w:r>
          <w:rPr>
            <w:noProof/>
            <w:webHidden/>
          </w:rPr>
          <w:instrText xml:space="preserve"> PAGEREF _Toc220664130 \h </w:instrText>
        </w:r>
        <w:r>
          <w:rPr>
            <w:noProof/>
            <w:webHidden/>
          </w:rPr>
        </w:r>
        <w:r>
          <w:rPr>
            <w:noProof/>
            <w:webHidden/>
          </w:rPr>
          <w:fldChar w:fldCharType="separate"/>
        </w:r>
        <w:r>
          <w:rPr>
            <w:noProof/>
            <w:webHidden/>
          </w:rPr>
          <w:t>3</w:t>
        </w:r>
        <w:r>
          <w:rPr>
            <w:noProof/>
            <w:webHidden/>
          </w:rPr>
          <w:fldChar w:fldCharType="end"/>
        </w:r>
      </w:hyperlink>
    </w:p>
    <w:p w14:paraId="47E40CA9" w14:textId="5317D502" w:rsidR="00C82AEF" w:rsidRDefault="00C82AEF">
      <w:pPr>
        <w:pStyle w:val="TOC1"/>
        <w:tabs>
          <w:tab w:val="right" w:leader="dot" w:pos="9350"/>
        </w:tabs>
        <w:rPr>
          <w:rFonts w:eastAsia="Times New Roman" w:cs="Times New Roman"/>
          <w:noProof/>
          <w:kern w:val="2"/>
        </w:rPr>
      </w:pPr>
      <w:hyperlink w:anchor="_Toc220664131" w:history="1">
        <w:r w:rsidRPr="008D6BCA">
          <w:rPr>
            <w:rStyle w:val="Hyperlink"/>
            <w:rFonts w:ascii="Segoe UI" w:hAnsi="Segoe UI" w:cs="Segoe UI"/>
            <w:noProof/>
          </w:rPr>
          <w:t>Contact Information</w:t>
        </w:r>
        <w:r>
          <w:rPr>
            <w:noProof/>
            <w:webHidden/>
          </w:rPr>
          <w:tab/>
        </w:r>
        <w:r>
          <w:rPr>
            <w:noProof/>
            <w:webHidden/>
          </w:rPr>
          <w:fldChar w:fldCharType="begin"/>
        </w:r>
        <w:r>
          <w:rPr>
            <w:noProof/>
            <w:webHidden/>
          </w:rPr>
          <w:instrText xml:space="preserve"> PAGEREF _Toc220664131 \h </w:instrText>
        </w:r>
        <w:r>
          <w:rPr>
            <w:noProof/>
            <w:webHidden/>
          </w:rPr>
        </w:r>
        <w:r>
          <w:rPr>
            <w:noProof/>
            <w:webHidden/>
          </w:rPr>
          <w:fldChar w:fldCharType="separate"/>
        </w:r>
        <w:r>
          <w:rPr>
            <w:noProof/>
            <w:webHidden/>
          </w:rPr>
          <w:t>3</w:t>
        </w:r>
        <w:r>
          <w:rPr>
            <w:noProof/>
            <w:webHidden/>
          </w:rPr>
          <w:fldChar w:fldCharType="end"/>
        </w:r>
      </w:hyperlink>
    </w:p>
    <w:p w14:paraId="12C67F59" w14:textId="23ACD58A" w:rsidR="00C82AEF" w:rsidRDefault="00C82AEF">
      <w:pPr>
        <w:pStyle w:val="TOC1"/>
        <w:tabs>
          <w:tab w:val="left" w:pos="480"/>
          <w:tab w:val="right" w:leader="dot" w:pos="9350"/>
        </w:tabs>
        <w:rPr>
          <w:rFonts w:eastAsia="Times New Roman" w:cs="Times New Roman"/>
          <w:noProof/>
          <w:kern w:val="2"/>
        </w:rPr>
      </w:pPr>
      <w:hyperlink w:anchor="_Toc220664132" w:history="1">
        <w:r w:rsidRPr="008D6BCA">
          <w:rPr>
            <w:rStyle w:val="Hyperlink"/>
            <w:rFonts w:ascii="Segoe UI" w:hAnsi="Segoe UI" w:cs="Segoe UI"/>
            <w:noProof/>
          </w:rPr>
          <w:t>I.</w:t>
        </w:r>
        <w:r>
          <w:rPr>
            <w:rFonts w:eastAsia="Times New Roman" w:cs="Times New Roman"/>
            <w:noProof/>
            <w:kern w:val="2"/>
          </w:rPr>
          <w:tab/>
        </w:r>
        <w:r w:rsidRPr="008D6BCA">
          <w:rPr>
            <w:rStyle w:val="Hyperlink"/>
            <w:rFonts w:ascii="Segoe UI" w:hAnsi="Segoe UI" w:cs="Segoe UI"/>
            <w:noProof/>
          </w:rPr>
          <w:t>Articles 2, 6 and 26 of the International Covenant on Civil and Political Rights Require Canada to Respect, Protect and Fulfill Social and Economic Rights</w:t>
        </w:r>
        <w:r>
          <w:rPr>
            <w:noProof/>
            <w:webHidden/>
          </w:rPr>
          <w:tab/>
        </w:r>
        <w:r>
          <w:rPr>
            <w:noProof/>
            <w:webHidden/>
          </w:rPr>
          <w:fldChar w:fldCharType="begin"/>
        </w:r>
        <w:r>
          <w:rPr>
            <w:noProof/>
            <w:webHidden/>
          </w:rPr>
          <w:instrText xml:space="preserve"> PAGEREF _Toc220664132 \h </w:instrText>
        </w:r>
        <w:r>
          <w:rPr>
            <w:noProof/>
            <w:webHidden/>
          </w:rPr>
        </w:r>
        <w:r>
          <w:rPr>
            <w:noProof/>
            <w:webHidden/>
          </w:rPr>
          <w:fldChar w:fldCharType="separate"/>
        </w:r>
        <w:r>
          <w:rPr>
            <w:noProof/>
            <w:webHidden/>
          </w:rPr>
          <w:t>4</w:t>
        </w:r>
        <w:r>
          <w:rPr>
            <w:noProof/>
            <w:webHidden/>
          </w:rPr>
          <w:fldChar w:fldCharType="end"/>
        </w:r>
      </w:hyperlink>
    </w:p>
    <w:p w14:paraId="6410258A" w14:textId="74678C45" w:rsidR="00C82AEF" w:rsidRDefault="00C82AEF">
      <w:pPr>
        <w:pStyle w:val="TOC2"/>
        <w:tabs>
          <w:tab w:val="left" w:pos="720"/>
          <w:tab w:val="right" w:leader="dot" w:pos="9350"/>
        </w:tabs>
        <w:rPr>
          <w:rFonts w:eastAsia="Times New Roman" w:cs="Times New Roman"/>
          <w:noProof/>
          <w:kern w:val="2"/>
        </w:rPr>
      </w:pPr>
      <w:hyperlink w:anchor="_Toc220664133"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A New Gender and Social Pact and a Comprehensive Plan</w:t>
        </w:r>
        <w:r>
          <w:rPr>
            <w:noProof/>
            <w:webHidden/>
          </w:rPr>
          <w:tab/>
        </w:r>
        <w:r>
          <w:rPr>
            <w:noProof/>
            <w:webHidden/>
          </w:rPr>
          <w:fldChar w:fldCharType="begin"/>
        </w:r>
        <w:r>
          <w:rPr>
            <w:noProof/>
            <w:webHidden/>
          </w:rPr>
          <w:instrText xml:space="preserve"> PAGEREF _Toc220664133 \h </w:instrText>
        </w:r>
        <w:r>
          <w:rPr>
            <w:noProof/>
            <w:webHidden/>
          </w:rPr>
        </w:r>
        <w:r>
          <w:rPr>
            <w:noProof/>
            <w:webHidden/>
          </w:rPr>
          <w:fldChar w:fldCharType="separate"/>
        </w:r>
        <w:r>
          <w:rPr>
            <w:noProof/>
            <w:webHidden/>
          </w:rPr>
          <w:t>7</w:t>
        </w:r>
        <w:r>
          <w:rPr>
            <w:noProof/>
            <w:webHidden/>
          </w:rPr>
          <w:fldChar w:fldCharType="end"/>
        </w:r>
      </w:hyperlink>
    </w:p>
    <w:p w14:paraId="5A7CFF6A" w14:textId="31649B02" w:rsidR="00C82AEF" w:rsidRDefault="00C82AEF">
      <w:pPr>
        <w:pStyle w:val="TOC2"/>
        <w:tabs>
          <w:tab w:val="left" w:pos="720"/>
          <w:tab w:val="right" w:leader="dot" w:pos="9350"/>
        </w:tabs>
        <w:rPr>
          <w:rFonts w:eastAsia="Times New Roman" w:cs="Times New Roman"/>
          <w:noProof/>
          <w:kern w:val="2"/>
        </w:rPr>
      </w:pPr>
      <w:hyperlink w:anchor="_Toc220664134" w:history="1">
        <w:r w:rsidRPr="008D6BCA">
          <w:rPr>
            <w:rStyle w:val="Hyperlink"/>
            <w:rFonts w:ascii="Symbol" w:hAnsi="Symbol" w:cs="Symbol"/>
            <w:noProof/>
            <w:w w:val="103"/>
          </w:rPr>
          <w:t></w:t>
        </w:r>
        <w:r>
          <w:rPr>
            <w:rFonts w:eastAsia="Times New Roman" w:cs="Times New Roman"/>
            <w:noProof/>
            <w:kern w:val="2"/>
          </w:rPr>
          <w:tab/>
        </w:r>
        <w:r w:rsidRPr="008D6BCA">
          <w:rPr>
            <w:rStyle w:val="Hyperlink"/>
            <w:noProof/>
            <w:w w:val="103"/>
          </w:rPr>
          <w:t>Women’s Poverty and Income Inequality</w:t>
        </w:r>
        <w:r>
          <w:rPr>
            <w:noProof/>
            <w:webHidden/>
          </w:rPr>
          <w:tab/>
        </w:r>
        <w:r>
          <w:rPr>
            <w:noProof/>
            <w:webHidden/>
          </w:rPr>
          <w:fldChar w:fldCharType="begin"/>
        </w:r>
        <w:r>
          <w:rPr>
            <w:noProof/>
            <w:webHidden/>
          </w:rPr>
          <w:instrText xml:space="preserve"> PAGEREF _Toc220664134 \h </w:instrText>
        </w:r>
        <w:r>
          <w:rPr>
            <w:noProof/>
            <w:webHidden/>
          </w:rPr>
        </w:r>
        <w:r>
          <w:rPr>
            <w:noProof/>
            <w:webHidden/>
          </w:rPr>
          <w:fldChar w:fldCharType="separate"/>
        </w:r>
        <w:r>
          <w:rPr>
            <w:noProof/>
            <w:webHidden/>
          </w:rPr>
          <w:t>8</w:t>
        </w:r>
        <w:r>
          <w:rPr>
            <w:noProof/>
            <w:webHidden/>
          </w:rPr>
          <w:fldChar w:fldCharType="end"/>
        </w:r>
      </w:hyperlink>
    </w:p>
    <w:p w14:paraId="085F6F03" w14:textId="1641EA1E" w:rsidR="00C82AEF" w:rsidRDefault="00C82AEF">
      <w:pPr>
        <w:pStyle w:val="TOC2"/>
        <w:tabs>
          <w:tab w:val="left" w:pos="720"/>
          <w:tab w:val="right" w:leader="dot" w:pos="9350"/>
        </w:tabs>
        <w:rPr>
          <w:rFonts w:eastAsia="Times New Roman" w:cs="Times New Roman"/>
          <w:noProof/>
          <w:kern w:val="2"/>
        </w:rPr>
      </w:pPr>
      <w:hyperlink w:anchor="_Toc220664135"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Women in the Care Economy and Service Sector</w:t>
        </w:r>
        <w:r>
          <w:rPr>
            <w:noProof/>
            <w:webHidden/>
          </w:rPr>
          <w:tab/>
        </w:r>
        <w:r>
          <w:rPr>
            <w:noProof/>
            <w:webHidden/>
          </w:rPr>
          <w:fldChar w:fldCharType="begin"/>
        </w:r>
        <w:r>
          <w:rPr>
            <w:noProof/>
            <w:webHidden/>
          </w:rPr>
          <w:instrText xml:space="preserve"> PAGEREF _Toc220664135 \h </w:instrText>
        </w:r>
        <w:r>
          <w:rPr>
            <w:noProof/>
            <w:webHidden/>
          </w:rPr>
        </w:r>
        <w:r>
          <w:rPr>
            <w:noProof/>
            <w:webHidden/>
          </w:rPr>
          <w:fldChar w:fldCharType="separate"/>
        </w:r>
        <w:r>
          <w:rPr>
            <w:noProof/>
            <w:webHidden/>
          </w:rPr>
          <w:t>10</w:t>
        </w:r>
        <w:r>
          <w:rPr>
            <w:noProof/>
            <w:webHidden/>
          </w:rPr>
          <w:fldChar w:fldCharType="end"/>
        </w:r>
      </w:hyperlink>
    </w:p>
    <w:p w14:paraId="50326FF9" w14:textId="3909845F" w:rsidR="00C82AEF" w:rsidRDefault="00C82AEF">
      <w:pPr>
        <w:pStyle w:val="TOC2"/>
        <w:tabs>
          <w:tab w:val="left" w:pos="720"/>
          <w:tab w:val="right" w:leader="dot" w:pos="9350"/>
        </w:tabs>
        <w:rPr>
          <w:rFonts w:eastAsia="Times New Roman" w:cs="Times New Roman"/>
          <w:noProof/>
          <w:kern w:val="2"/>
        </w:rPr>
      </w:pPr>
      <w:hyperlink w:anchor="_Toc220664136" w:history="1">
        <w:r w:rsidRPr="008D6BCA">
          <w:rPr>
            <w:rStyle w:val="Hyperlink"/>
            <w:rFonts w:ascii="Symbol" w:hAnsi="Symbol" w:cs="Symbol"/>
            <w:noProof/>
            <w:w w:val="103"/>
          </w:rPr>
          <w:t></w:t>
        </w:r>
        <w:r>
          <w:rPr>
            <w:rFonts w:eastAsia="Times New Roman" w:cs="Times New Roman"/>
            <w:noProof/>
            <w:kern w:val="2"/>
          </w:rPr>
          <w:tab/>
        </w:r>
        <w:r w:rsidRPr="008D6BCA">
          <w:rPr>
            <w:rStyle w:val="Hyperlink"/>
            <w:noProof/>
            <w:w w:val="103"/>
          </w:rPr>
          <w:t>Inadequate Social Assistance</w:t>
        </w:r>
        <w:r>
          <w:rPr>
            <w:noProof/>
            <w:webHidden/>
          </w:rPr>
          <w:tab/>
        </w:r>
        <w:r>
          <w:rPr>
            <w:noProof/>
            <w:webHidden/>
          </w:rPr>
          <w:fldChar w:fldCharType="begin"/>
        </w:r>
        <w:r>
          <w:rPr>
            <w:noProof/>
            <w:webHidden/>
          </w:rPr>
          <w:instrText xml:space="preserve"> PAGEREF _Toc220664136 \h </w:instrText>
        </w:r>
        <w:r>
          <w:rPr>
            <w:noProof/>
            <w:webHidden/>
          </w:rPr>
        </w:r>
        <w:r>
          <w:rPr>
            <w:noProof/>
            <w:webHidden/>
          </w:rPr>
          <w:fldChar w:fldCharType="separate"/>
        </w:r>
        <w:r>
          <w:rPr>
            <w:noProof/>
            <w:webHidden/>
          </w:rPr>
          <w:t>12</w:t>
        </w:r>
        <w:r>
          <w:rPr>
            <w:noProof/>
            <w:webHidden/>
          </w:rPr>
          <w:fldChar w:fldCharType="end"/>
        </w:r>
      </w:hyperlink>
    </w:p>
    <w:p w14:paraId="39FE91E7" w14:textId="4575211B" w:rsidR="00C82AEF" w:rsidRDefault="00C82AEF">
      <w:pPr>
        <w:pStyle w:val="TOC2"/>
        <w:tabs>
          <w:tab w:val="left" w:pos="720"/>
          <w:tab w:val="right" w:leader="dot" w:pos="9350"/>
        </w:tabs>
        <w:rPr>
          <w:rFonts w:eastAsia="Times New Roman" w:cs="Times New Roman"/>
          <w:noProof/>
          <w:kern w:val="2"/>
        </w:rPr>
      </w:pPr>
      <w:hyperlink w:anchor="_Toc220664137"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Violence Against Women</w:t>
        </w:r>
        <w:r>
          <w:rPr>
            <w:noProof/>
            <w:webHidden/>
          </w:rPr>
          <w:tab/>
        </w:r>
        <w:r>
          <w:rPr>
            <w:noProof/>
            <w:webHidden/>
          </w:rPr>
          <w:fldChar w:fldCharType="begin"/>
        </w:r>
        <w:r>
          <w:rPr>
            <w:noProof/>
            <w:webHidden/>
          </w:rPr>
          <w:instrText xml:space="preserve"> PAGEREF _Toc220664137 \h </w:instrText>
        </w:r>
        <w:r>
          <w:rPr>
            <w:noProof/>
            <w:webHidden/>
          </w:rPr>
        </w:r>
        <w:r>
          <w:rPr>
            <w:noProof/>
            <w:webHidden/>
          </w:rPr>
          <w:fldChar w:fldCharType="separate"/>
        </w:r>
        <w:r>
          <w:rPr>
            <w:noProof/>
            <w:webHidden/>
          </w:rPr>
          <w:t>15</w:t>
        </w:r>
        <w:r>
          <w:rPr>
            <w:noProof/>
            <w:webHidden/>
          </w:rPr>
          <w:fldChar w:fldCharType="end"/>
        </w:r>
      </w:hyperlink>
    </w:p>
    <w:p w14:paraId="76301AB7" w14:textId="1566B74A" w:rsidR="00C82AEF" w:rsidRDefault="00C82AEF">
      <w:pPr>
        <w:pStyle w:val="TOC2"/>
        <w:tabs>
          <w:tab w:val="right" w:leader="dot" w:pos="9350"/>
        </w:tabs>
        <w:rPr>
          <w:rFonts w:eastAsia="Times New Roman" w:cs="Times New Roman"/>
          <w:noProof/>
          <w:kern w:val="2"/>
        </w:rPr>
      </w:pPr>
      <w:hyperlink w:anchor="_Toc220664138" w:history="1">
        <w:r w:rsidRPr="008D6BCA">
          <w:rPr>
            <w:rStyle w:val="Hyperlink"/>
            <w:noProof/>
          </w:rPr>
          <w:t>Recommendations</w:t>
        </w:r>
        <w:r>
          <w:rPr>
            <w:noProof/>
            <w:webHidden/>
          </w:rPr>
          <w:tab/>
        </w:r>
        <w:r>
          <w:rPr>
            <w:noProof/>
            <w:webHidden/>
          </w:rPr>
          <w:fldChar w:fldCharType="begin"/>
        </w:r>
        <w:r>
          <w:rPr>
            <w:noProof/>
            <w:webHidden/>
          </w:rPr>
          <w:instrText xml:space="preserve"> PAGEREF _Toc220664138 \h </w:instrText>
        </w:r>
        <w:r>
          <w:rPr>
            <w:noProof/>
            <w:webHidden/>
          </w:rPr>
        </w:r>
        <w:r>
          <w:rPr>
            <w:noProof/>
            <w:webHidden/>
          </w:rPr>
          <w:fldChar w:fldCharType="separate"/>
        </w:r>
        <w:r>
          <w:rPr>
            <w:noProof/>
            <w:webHidden/>
          </w:rPr>
          <w:t>16</w:t>
        </w:r>
        <w:r>
          <w:rPr>
            <w:noProof/>
            <w:webHidden/>
          </w:rPr>
          <w:fldChar w:fldCharType="end"/>
        </w:r>
      </w:hyperlink>
    </w:p>
    <w:p w14:paraId="2E7DC97B" w14:textId="25567949" w:rsidR="00C82AEF" w:rsidRDefault="00C82AEF">
      <w:pPr>
        <w:pStyle w:val="TOC1"/>
        <w:tabs>
          <w:tab w:val="left" w:pos="480"/>
          <w:tab w:val="right" w:leader="dot" w:pos="9350"/>
        </w:tabs>
        <w:rPr>
          <w:rFonts w:eastAsia="Times New Roman" w:cs="Times New Roman"/>
          <w:noProof/>
          <w:kern w:val="2"/>
        </w:rPr>
      </w:pPr>
      <w:hyperlink w:anchor="_Toc220664139" w:history="1">
        <w:r w:rsidRPr="008D6BCA">
          <w:rPr>
            <w:rStyle w:val="Hyperlink"/>
            <w:rFonts w:ascii="Segoe UI" w:hAnsi="Segoe UI" w:cs="Segoe UI"/>
            <w:noProof/>
            <w:w w:val="103"/>
          </w:rPr>
          <w:t>II.</w:t>
        </w:r>
        <w:r>
          <w:rPr>
            <w:rFonts w:eastAsia="Times New Roman" w:cs="Times New Roman"/>
            <w:noProof/>
            <w:kern w:val="2"/>
          </w:rPr>
          <w:tab/>
        </w:r>
        <w:r w:rsidRPr="008D6BCA">
          <w:rPr>
            <w:rStyle w:val="Hyperlink"/>
            <w:rFonts w:ascii="Segoe UI" w:hAnsi="Segoe UI" w:cs="Segoe UI"/>
            <w:noProof/>
            <w:w w:val="103"/>
          </w:rPr>
          <w:t>Articles 2, 6 and 26: Access to Justice, the Right to an Effective Remedy, and Equal Protection of the Law</w:t>
        </w:r>
        <w:r>
          <w:rPr>
            <w:noProof/>
            <w:webHidden/>
          </w:rPr>
          <w:tab/>
        </w:r>
        <w:r>
          <w:rPr>
            <w:noProof/>
            <w:webHidden/>
          </w:rPr>
          <w:fldChar w:fldCharType="begin"/>
        </w:r>
        <w:r>
          <w:rPr>
            <w:noProof/>
            <w:webHidden/>
          </w:rPr>
          <w:instrText xml:space="preserve"> PAGEREF _Toc220664139 \h </w:instrText>
        </w:r>
        <w:r>
          <w:rPr>
            <w:noProof/>
            <w:webHidden/>
          </w:rPr>
        </w:r>
        <w:r>
          <w:rPr>
            <w:noProof/>
            <w:webHidden/>
          </w:rPr>
          <w:fldChar w:fldCharType="separate"/>
        </w:r>
        <w:r>
          <w:rPr>
            <w:noProof/>
            <w:webHidden/>
          </w:rPr>
          <w:t>17</w:t>
        </w:r>
        <w:r>
          <w:rPr>
            <w:noProof/>
            <w:webHidden/>
          </w:rPr>
          <w:fldChar w:fldCharType="end"/>
        </w:r>
      </w:hyperlink>
    </w:p>
    <w:p w14:paraId="2AA735D9" w14:textId="69A481B6" w:rsidR="00C82AEF" w:rsidRDefault="00C82AEF">
      <w:pPr>
        <w:pStyle w:val="TOC2"/>
        <w:tabs>
          <w:tab w:val="left" w:pos="720"/>
          <w:tab w:val="right" w:leader="dot" w:pos="9350"/>
        </w:tabs>
        <w:rPr>
          <w:rFonts w:eastAsia="Times New Roman" w:cs="Times New Roman"/>
          <w:noProof/>
          <w:kern w:val="2"/>
        </w:rPr>
      </w:pPr>
      <w:hyperlink w:anchor="_Toc220664140" w:history="1">
        <w:r w:rsidRPr="008D6BCA">
          <w:rPr>
            <w:rStyle w:val="Hyperlink"/>
            <w:rFonts w:ascii="Symbol" w:hAnsi="Symbol" w:cs="Symbol"/>
            <w:noProof/>
            <w:w w:val="103"/>
          </w:rPr>
          <w:t></w:t>
        </w:r>
        <w:r>
          <w:rPr>
            <w:rFonts w:eastAsia="Times New Roman" w:cs="Times New Roman"/>
            <w:noProof/>
            <w:kern w:val="2"/>
          </w:rPr>
          <w:tab/>
        </w:r>
        <w:r w:rsidRPr="008D6BCA">
          <w:rPr>
            <w:rStyle w:val="Hyperlink"/>
            <w:noProof/>
            <w:w w:val="103"/>
          </w:rPr>
          <w:t>Legal Aid</w:t>
        </w:r>
        <w:r>
          <w:rPr>
            <w:noProof/>
            <w:webHidden/>
          </w:rPr>
          <w:tab/>
        </w:r>
        <w:r>
          <w:rPr>
            <w:noProof/>
            <w:webHidden/>
          </w:rPr>
          <w:fldChar w:fldCharType="begin"/>
        </w:r>
        <w:r>
          <w:rPr>
            <w:noProof/>
            <w:webHidden/>
          </w:rPr>
          <w:instrText xml:space="preserve"> PAGEREF _Toc220664140 \h </w:instrText>
        </w:r>
        <w:r>
          <w:rPr>
            <w:noProof/>
            <w:webHidden/>
          </w:rPr>
        </w:r>
        <w:r>
          <w:rPr>
            <w:noProof/>
            <w:webHidden/>
          </w:rPr>
          <w:fldChar w:fldCharType="separate"/>
        </w:r>
        <w:r>
          <w:rPr>
            <w:noProof/>
            <w:webHidden/>
          </w:rPr>
          <w:t>18</w:t>
        </w:r>
        <w:r>
          <w:rPr>
            <w:noProof/>
            <w:webHidden/>
          </w:rPr>
          <w:fldChar w:fldCharType="end"/>
        </w:r>
      </w:hyperlink>
    </w:p>
    <w:p w14:paraId="6BC98837" w14:textId="177F1E30" w:rsidR="00C82AEF" w:rsidRDefault="00C82AEF">
      <w:pPr>
        <w:pStyle w:val="TOC2"/>
        <w:tabs>
          <w:tab w:val="left" w:pos="720"/>
          <w:tab w:val="right" w:leader="dot" w:pos="9350"/>
        </w:tabs>
        <w:rPr>
          <w:rFonts w:eastAsia="Times New Roman" w:cs="Times New Roman"/>
          <w:noProof/>
          <w:kern w:val="2"/>
        </w:rPr>
      </w:pPr>
      <w:hyperlink w:anchor="_Toc220664141"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Justice for Sexual Assault Survivors</w:t>
        </w:r>
        <w:r>
          <w:rPr>
            <w:noProof/>
            <w:webHidden/>
          </w:rPr>
          <w:tab/>
        </w:r>
        <w:r>
          <w:rPr>
            <w:noProof/>
            <w:webHidden/>
          </w:rPr>
          <w:fldChar w:fldCharType="begin"/>
        </w:r>
        <w:r>
          <w:rPr>
            <w:noProof/>
            <w:webHidden/>
          </w:rPr>
          <w:instrText xml:space="preserve"> PAGEREF _Toc220664141 \h </w:instrText>
        </w:r>
        <w:r>
          <w:rPr>
            <w:noProof/>
            <w:webHidden/>
          </w:rPr>
        </w:r>
        <w:r>
          <w:rPr>
            <w:noProof/>
            <w:webHidden/>
          </w:rPr>
          <w:fldChar w:fldCharType="separate"/>
        </w:r>
        <w:r>
          <w:rPr>
            <w:noProof/>
            <w:webHidden/>
          </w:rPr>
          <w:t>20</w:t>
        </w:r>
        <w:r>
          <w:rPr>
            <w:noProof/>
            <w:webHidden/>
          </w:rPr>
          <w:fldChar w:fldCharType="end"/>
        </w:r>
      </w:hyperlink>
    </w:p>
    <w:p w14:paraId="2D7BA3A3" w14:textId="132DA512" w:rsidR="00C82AEF" w:rsidRDefault="00C82AEF">
      <w:pPr>
        <w:pStyle w:val="TOC3"/>
        <w:tabs>
          <w:tab w:val="left" w:pos="960"/>
          <w:tab w:val="right" w:leader="dot" w:pos="9350"/>
        </w:tabs>
        <w:rPr>
          <w:rFonts w:eastAsia="Times New Roman" w:cs="Times New Roman"/>
          <w:noProof/>
          <w:kern w:val="2"/>
        </w:rPr>
      </w:pPr>
      <w:hyperlink w:anchor="_Toc220664142"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RCMP Sexual Harassment of Female Officers</w:t>
        </w:r>
        <w:r>
          <w:rPr>
            <w:noProof/>
            <w:webHidden/>
          </w:rPr>
          <w:tab/>
        </w:r>
        <w:r>
          <w:rPr>
            <w:noProof/>
            <w:webHidden/>
          </w:rPr>
          <w:fldChar w:fldCharType="begin"/>
        </w:r>
        <w:r>
          <w:rPr>
            <w:noProof/>
            <w:webHidden/>
          </w:rPr>
          <w:instrText xml:space="preserve"> PAGEREF _Toc220664142 \h </w:instrText>
        </w:r>
        <w:r>
          <w:rPr>
            <w:noProof/>
            <w:webHidden/>
          </w:rPr>
        </w:r>
        <w:r>
          <w:rPr>
            <w:noProof/>
            <w:webHidden/>
          </w:rPr>
          <w:fldChar w:fldCharType="separate"/>
        </w:r>
        <w:r>
          <w:rPr>
            <w:noProof/>
            <w:webHidden/>
          </w:rPr>
          <w:t>22</w:t>
        </w:r>
        <w:r>
          <w:rPr>
            <w:noProof/>
            <w:webHidden/>
          </w:rPr>
          <w:fldChar w:fldCharType="end"/>
        </w:r>
      </w:hyperlink>
    </w:p>
    <w:p w14:paraId="7B416F37" w14:textId="173A2891" w:rsidR="00C82AEF" w:rsidRDefault="00C82AEF">
      <w:pPr>
        <w:pStyle w:val="TOC3"/>
        <w:tabs>
          <w:tab w:val="left" w:pos="960"/>
          <w:tab w:val="right" w:leader="dot" w:pos="9350"/>
        </w:tabs>
        <w:rPr>
          <w:rFonts w:eastAsia="Times New Roman" w:cs="Times New Roman"/>
          <w:noProof/>
          <w:kern w:val="2"/>
        </w:rPr>
      </w:pPr>
      <w:hyperlink w:anchor="_Toc220664143"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RCMP Inadequate Response to Violence Against Women</w:t>
        </w:r>
        <w:r>
          <w:rPr>
            <w:noProof/>
            <w:webHidden/>
          </w:rPr>
          <w:tab/>
        </w:r>
        <w:r>
          <w:rPr>
            <w:noProof/>
            <w:webHidden/>
          </w:rPr>
          <w:fldChar w:fldCharType="begin"/>
        </w:r>
        <w:r>
          <w:rPr>
            <w:noProof/>
            <w:webHidden/>
          </w:rPr>
          <w:instrText xml:space="preserve"> PAGEREF _Toc220664143 \h </w:instrText>
        </w:r>
        <w:r>
          <w:rPr>
            <w:noProof/>
            <w:webHidden/>
          </w:rPr>
        </w:r>
        <w:r>
          <w:rPr>
            <w:noProof/>
            <w:webHidden/>
          </w:rPr>
          <w:fldChar w:fldCharType="separate"/>
        </w:r>
        <w:r>
          <w:rPr>
            <w:noProof/>
            <w:webHidden/>
          </w:rPr>
          <w:t>23</w:t>
        </w:r>
        <w:r>
          <w:rPr>
            <w:noProof/>
            <w:webHidden/>
          </w:rPr>
          <w:fldChar w:fldCharType="end"/>
        </w:r>
      </w:hyperlink>
    </w:p>
    <w:p w14:paraId="18548A5E" w14:textId="1AF6DB5B" w:rsidR="00C82AEF" w:rsidRDefault="00C82AEF">
      <w:pPr>
        <w:pStyle w:val="TOC3"/>
        <w:tabs>
          <w:tab w:val="left" w:pos="960"/>
          <w:tab w:val="right" w:leader="dot" w:pos="9350"/>
        </w:tabs>
        <w:rPr>
          <w:rFonts w:eastAsia="Times New Roman" w:cs="Times New Roman"/>
          <w:noProof/>
          <w:kern w:val="2"/>
        </w:rPr>
      </w:pPr>
      <w:hyperlink w:anchor="_Toc220664144"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Complaints against the RCMP: Ineffectiveness of the Civilian Review and Complaints Commission</w:t>
        </w:r>
        <w:r>
          <w:rPr>
            <w:noProof/>
            <w:webHidden/>
          </w:rPr>
          <w:tab/>
        </w:r>
        <w:r>
          <w:rPr>
            <w:noProof/>
            <w:webHidden/>
          </w:rPr>
          <w:fldChar w:fldCharType="begin"/>
        </w:r>
        <w:r>
          <w:rPr>
            <w:noProof/>
            <w:webHidden/>
          </w:rPr>
          <w:instrText xml:space="preserve"> PAGEREF _Toc220664144 \h </w:instrText>
        </w:r>
        <w:r>
          <w:rPr>
            <w:noProof/>
            <w:webHidden/>
          </w:rPr>
        </w:r>
        <w:r>
          <w:rPr>
            <w:noProof/>
            <w:webHidden/>
          </w:rPr>
          <w:fldChar w:fldCharType="separate"/>
        </w:r>
        <w:r>
          <w:rPr>
            <w:noProof/>
            <w:webHidden/>
          </w:rPr>
          <w:t>24</w:t>
        </w:r>
        <w:r>
          <w:rPr>
            <w:noProof/>
            <w:webHidden/>
          </w:rPr>
          <w:fldChar w:fldCharType="end"/>
        </w:r>
      </w:hyperlink>
    </w:p>
    <w:p w14:paraId="7E4CF583" w14:textId="2D2B481D" w:rsidR="00C82AEF" w:rsidRDefault="00C82AEF">
      <w:pPr>
        <w:pStyle w:val="TOC2"/>
        <w:tabs>
          <w:tab w:val="right" w:leader="dot" w:pos="9350"/>
        </w:tabs>
        <w:rPr>
          <w:rFonts w:eastAsia="Times New Roman" w:cs="Times New Roman"/>
          <w:noProof/>
          <w:kern w:val="2"/>
        </w:rPr>
      </w:pPr>
      <w:hyperlink w:anchor="_Toc220664145" w:history="1">
        <w:r w:rsidRPr="008D6BCA">
          <w:rPr>
            <w:rStyle w:val="Hyperlink"/>
            <w:noProof/>
          </w:rPr>
          <w:t>Recommendations</w:t>
        </w:r>
        <w:r>
          <w:rPr>
            <w:noProof/>
            <w:webHidden/>
          </w:rPr>
          <w:tab/>
        </w:r>
        <w:r>
          <w:rPr>
            <w:noProof/>
            <w:webHidden/>
          </w:rPr>
          <w:fldChar w:fldCharType="begin"/>
        </w:r>
        <w:r>
          <w:rPr>
            <w:noProof/>
            <w:webHidden/>
          </w:rPr>
          <w:instrText xml:space="preserve"> PAGEREF _Toc220664145 \h </w:instrText>
        </w:r>
        <w:r>
          <w:rPr>
            <w:noProof/>
            <w:webHidden/>
          </w:rPr>
        </w:r>
        <w:r>
          <w:rPr>
            <w:noProof/>
            <w:webHidden/>
          </w:rPr>
          <w:fldChar w:fldCharType="separate"/>
        </w:r>
        <w:r>
          <w:rPr>
            <w:noProof/>
            <w:webHidden/>
          </w:rPr>
          <w:t>25</w:t>
        </w:r>
        <w:r>
          <w:rPr>
            <w:noProof/>
            <w:webHidden/>
          </w:rPr>
          <w:fldChar w:fldCharType="end"/>
        </w:r>
      </w:hyperlink>
    </w:p>
    <w:p w14:paraId="697399B9" w14:textId="213A62EE" w:rsidR="00C82AEF" w:rsidRDefault="00C82AEF">
      <w:pPr>
        <w:pStyle w:val="TOC1"/>
        <w:tabs>
          <w:tab w:val="left" w:pos="720"/>
          <w:tab w:val="right" w:leader="dot" w:pos="9350"/>
        </w:tabs>
        <w:rPr>
          <w:rFonts w:eastAsia="Times New Roman" w:cs="Times New Roman"/>
          <w:noProof/>
          <w:kern w:val="2"/>
        </w:rPr>
      </w:pPr>
      <w:hyperlink w:anchor="_Toc220664146" w:history="1">
        <w:r w:rsidRPr="008D6BCA">
          <w:rPr>
            <w:rStyle w:val="Hyperlink"/>
            <w:rFonts w:ascii="Segoe UI" w:hAnsi="Segoe UI" w:cs="Segoe UI"/>
            <w:noProof/>
          </w:rPr>
          <w:t>III.</w:t>
        </w:r>
        <w:r>
          <w:rPr>
            <w:rFonts w:eastAsia="Times New Roman" w:cs="Times New Roman"/>
            <w:noProof/>
            <w:kern w:val="2"/>
          </w:rPr>
          <w:tab/>
        </w:r>
        <w:r w:rsidRPr="008D6BCA">
          <w:rPr>
            <w:rStyle w:val="Hyperlink"/>
            <w:rFonts w:ascii="Segoe UI" w:hAnsi="Segoe UI" w:cs="Segoe UI"/>
            <w:noProof/>
            <w:w w:val="103"/>
          </w:rPr>
          <w:t>Indian Act Sex Discrimination: Forced Assimilation</w:t>
        </w:r>
        <w:r>
          <w:rPr>
            <w:noProof/>
            <w:webHidden/>
          </w:rPr>
          <w:tab/>
        </w:r>
        <w:r>
          <w:rPr>
            <w:noProof/>
            <w:webHidden/>
          </w:rPr>
          <w:fldChar w:fldCharType="begin"/>
        </w:r>
        <w:r>
          <w:rPr>
            <w:noProof/>
            <w:webHidden/>
          </w:rPr>
          <w:instrText xml:space="preserve"> PAGEREF _Toc220664146 \h </w:instrText>
        </w:r>
        <w:r>
          <w:rPr>
            <w:noProof/>
            <w:webHidden/>
          </w:rPr>
        </w:r>
        <w:r>
          <w:rPr>
            <w:noProof/>
            <w:webHidden/>
          </w:rPr>
          <w:fldChar w:fldCharType="separate"/>
        </w:r>
        <w:r>
          <w:rPr>
            <w:noProof/>
            <w:webHidden/>
          </w:rPr>
          <w:t>25</w:t>
        </w:r>
        <w:r>
          <w:rPr>
            <w:noProof/>
            <w:webHidden/>
          </w:rPr>
          <w:fldChar w:fldCharType="end"/>
        </w:r>
      </w:hyperlink>
    </w:p>
    <w:p w14:paraId="12DD4712" w14:textId="78A4C526" w:rsidR="00C82AEF" w:rsidRDefault="00C82AEF">
      <w:pPr>
        <w:pStyle w:val="TOC2"/>
        <w:tabs>
          <w:tab w:val="right" w:leader="dot" w:pos="9350"/>
        </w:tabs>
        <w:rPr>
          <w:rFonts w:eastAsia="Times New Roman" w:cs="Times New Roman"/>
          <w:noProof/>
          <w:kern w:val="2"/>
        </w:rPr>
      </w:pPr>
      <w:hyperlink w:anchor="_Toc220664147" w:history="1">
        <w:r w:rsidRPr="008D6BCA">
          <w:rPr>
            <w:rStyle w:val="Hyperlink"/>
            <w:noProof/>
          </w:rPr>
          <w:t>Recommendations</w:t>
        </w:r>
        <w:r>
          <w:rPr>
            <w:noProof/>
            <w:webHidden/>
          </w:rPr>
          <w:tab/>
        </w:r>
        <w:r>
          <w:rPr>
            <w:noProof/>
            <w:webHidden/>
          </w:rPr>
          <w:fldChar w:fldCharType="begin"/>
        </w:r>
        <w:r>
          <w:rPr>
            <w:noProof/>
            <w:webHidden/>
          </w:rPr>
          <w:instrText xml:space="preserve"> PAGEREF _Toc220664147 \h </w:instrText>
        </w:r>
        <w:r>
          <w:rPr>
            <w:noProof/>
            <w:webHidden/>
          </w:rPr>
        </w:r>
        <w:r>
          <w:rPr>
            <w:noProof/>
            <w:webHidden/>
          </w:rPr>
          <w:fldChar w:fldCharType="separate"/>
        </w:r>
        <w:r>
          <w:rPr>
            <w:noProof/>
            <w:webHidden/>
          </w:rPr>
          <w:t>28</w:t>
        </w:r>
        <w:r>
          <w:rPr>
            <w:noProof/>
            <w:webHidden/>
          </w:rPr>
          <w:fldChar w:fldCharType="end"/>
        </w:r>
      </w:hyperlink>
    </w:p>
    <w:p w14:paraId="4DFC307D" w14:textId="116F7157" w:rsidR="00C82AEF" w:rsidRDefault="00C82AEF">
      <w:pPr>
        <w:pStyle w:val="TOC1"/>
        <w:tabs>
          <w:tab w:val="left" w:pos="720"/>
          <w:tab w:val="right" w:leader="dot" w:pos="9350"/>
        </w:tabs>
        <w:rPr>
          <w:rFonts w:eastAsia="Times New Roman" w:cs="Times New Roman"/>
          <w:noProof/>
          <w:kern w:val="2"/>
        </w:rPr>
      </w:pPr>
      <w:hyperlink w:anchor="_Toc220664148" w:history="1">
        <w:r w:rsidRPr="008D6BCA">
          <w:rPr>
            <w:rStyle w:val="Hyperlink"/>
            <w:rFonts w:ascii="Segoe UI" w:hAnsi="Segoe UI" w:cs="Segoe UI"/>
            <w:noProof/>
            <w:w w:val="103"/>
          </w:rPr>
          <w:t>IV.</w:t>
        </w:r>
        <w:r>
          <w:rPr>
            <w:rFonts w:eastAsia="Times New Roman" w:cs="Times New Roman"/>
            <w:noProof/>
            <w:kern w:val="2"/>
          </w:rPr>
          <w:tab/>
        </w:r>
        <w:r w:rsidRPr="008D6BCA">
          <w:rPr>
            <w:rStyle w:val="Hyperlink"/>
            <w:rFonts w:ascii="Segoe UI" w:hAnsi="Segoe UI" w:cs="Segoe UI"/>
            <w:noProof/>
            <w:w w:val="103"/>
          </w:rPr>
          <w:t>The National Action Plan on Missing and Murdered Indigenous Women and Girls (</w:t>
        </w:r>
        <w:r w:rsidRPr="008D6BCA">
          <w:rPr>
            <w:rStyle w:val="Hyperlink"/>
            <w:rFonts w:ascii="Segoe UI" w:hAnsi="Segoe UI" w:cs="Segoe UI"/>
            <w:noProof/>
          </w:rPr>
          <w:t>CCPR/C/CAN/CO/6, para. 9)</w:t>
        </w:r>
        <w:r>
          <w:rPr>
            <w:noProof/>
            <w:webHidden/>
          </w:rPr>
          <w:tab/>
        </w:r>
        <w:r>
          <w:rPr>
            <w:noProof/>
            <w:webHidden/>
          </w:rPr>
          <w:fldChar w:fldCharType="begin"/>
        </w:r>
        <w:r>
          <w:rPr>
            <w:noProof/>
            <w:webHidden/>
          </w:rPr>
          <w:instrText xml:space="preserve"> PAGEREF _Toc220664148 \h </w:instrText>
        </w:r>
        <w:r>
          <w:rPr>
            <w:noProof/>
            <w:webHidden/>
          </w:rPr>
        </w:r>
        <w:r>
          <w:rPr>
            <w:noProof/>
            <w:webHidden/>
          </w:rPr>
          <w:fldChar w:fldCharType="separate"/>
        </w:r>
        <w:r>
          <w:rPr>
            <w:noProof/>
            <w:webHidden/>
          </w:rPr>
          <w:t>29</w:t>
        </w:r>
        <w:r>
          <w:rPr>
            <w:noProof/>
            <w:webHidden/>
          </w:rPr>
          <w:fldChar w:fldCharType="end"/>
        </w:r>
      </w:hyperlink>
    </w:p>
    <w:p w14:paraId="5EDD1907" w14:textId="09DA8B06" w:rsidR="00C82AEF" w:rsidRDefault="00C82AEF">
      <w:pPr>
        <w:pStyle w:val="TOC2"/>
        <w:tabs>
          <w:tab w:val="left" w:pos="720"/>
          <w:tab w:val="right" w:leader="dot" w:pos="9350"/>
        </w:tabs>
        <w:rPr>
          <w:rFonts w:eastAsia="Times New Roman" w:cs="Times New Roman"/>
          <w:noProof/>
          <w:kern w:val="2"/>
        </w:rPr>
      </w:pPr>
      <w:hyperlink w:anchor="_Toc220664149"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International Obligations to End the Crisis of Missing and Murdered Indigenous Women and Girls</w:t>
        </w:r>
        <w:r>
          <w:rPr>
            <w:noProof/>
            <w:webHidden/>
          </w:rPr>
          <w:tab/>
        </w:r>
        <w:r>
          <w:rPr>
            <w:noProof/>
            <w:webHidden/>
          </w:rPr>
          <w:fldChar w:fldCharType="begin"/>
        </w:r>
        <w:r>
          <w:rPr>
            <w:noProof/>
            <w:webHidden/>
          </w:rPr>
          <w:instrText xml:space="preserve"> PAGEREF _Toc220664149 \h </w:instrText>
        </w:r>
        <w:r>
          <w:rPr>
            <w:noProof/>
            <w:webHidden/>
          </w:rPr>
        </w:r>
        <w:r>
          <w:rPr>
            <w:noProof/>
            <w:webHidden/>
          </w:rPr>
          <w:fldChar w:fldCharType="separate"/>
        </w:r>
        <w:r>
          <w:rPr>
            <w:noProof/>
            <w:webHidden/>
          </w:rPr>
          <w:t>29</w:t>
        </w:r>
        <w:r>
          <w:rPr>
            <w:noProof/>
            <w:webHidden/>
          </w:rPr>
          <w:fldChar w:fldCharType="end"/>
        </w:r>
      </w:hyperlink>
    </w:p>
    <w:p w14:paraId="631617C7" w14:textId="3C538A1A" w:rsidR="00C82AEF" w:rsidRDefault="00C82AEF">
      <w:pPr>
        <w:pStyle w:val="TOC2"/>
        <w:tabs>
          <w:tab w:val="left" w:pos="720"/>
          <w:tab w:val="right" w:leader="dot" w:pos="9350"/>
        </w:tabs>
        <w:rPr>
          <w:rFonts w:eastAsia="Times New Roman" w:cs="Times New Roman"/>
          <w:noProof/>
          <w:kern w:val="2"/>
        </w:rPr>
      </w:pPr>
      <w:hyperlink w:anchor="_Toc220664150" w:history="1">
        <w:r w:rsidRPr="008D6BCA">
          <w:rPr>
            <w:rStyle w:val="Hyperlink"/>
            <w:rFonts w:ascii="Symbol" w:hAnsi="Symbol" w:cs="Symbol"/>
            <w:noProof/>
          </w:rPr>
          <w:t></w:t>
        </w:r>
        <w:r>
          <w:rPr>
            <w:rFonts w:eastAsia="Times New Roman" w:cs="Times New Roman"/>
            <w:noProof/>
            <w:kern w:val="2"/>
          </w:rPr>
          <w:tab/>
        </w:r>
        <w:r w:rsidRPr="008D6BCA">
          <w:rPr>
            <w:rStyle w:val="Hyperlink"/>
            <w:noProof/>
          </w:rPr>
          <w:t>National Inquiry</w:t>
        </w:r>
        <w:r>
          <w:rPr>
            <w:noProof/>
            <w:webHidden/>
          </w:rPr>
          <w:tab/>
        </w:r>
        <w:r>
          <w:rPr>
            <w:noProof/>
            <w:webHidden/>
          </w:rPr>
          <w:fldChar w:fldCharType="begin"/>
        </w:r>
        <w:r>
          <w:rPr>
            <w:noProof/>
            <w:webHidden/>
          </w:rPr>
          <w:instrText xml:space="preserve"> PAGEREF _Toc220664150 \h </w:instrText>
        </w:r>
        <w:r>
          <w:rPr>
            <w:noProof/>
            <w:webHidden/>
          </w:rPr>
        </w:r>
        <w:r>
          <w:rPr>
            <w:noProof/>
            <w:webHidden/>
          </w:rPr>
          <w:fldChar w:fldCharType="separate"/>
        </w:r>
        <w:r>
          <w:rPr>
            <w:noProof/>
            <w:webHidden/>
          </w:rPr>
          <w:t>29</w:t>
        </w:r>
        <w:r>
          <w:rPr>
            <w:noProof/>
            <w:webHidden/>
          </w:rPr>
          <w:fldChar w:fldCharType="end"/>
        </w:r>
      </w:hyperlink>
    </w:p>
    <w:p w14:paraId="619B1F42" w14:textId="6D95F877" w:rsidR="00C82AEF" w:rsidRDefault="00C82AEF">
      <w:pPr>
        <w:pStyle w:val="TOC2"/>
        <w:tabs>
          <w:tab w:val="right" w:leader="dot" w:pos="9350"/>
        </w:tabs>
        <w:rPr>
          <w:rFonts w:eastAsia="Times New Roman" w:cs="Times New Roman"/>
          <w:noProof/>
          <w:kern w:val="2"/>
        </w:rPr>
      </w:pPr>
      <w:hyperlink w:anchor="_Toc220664151" w:history="1">
        <w:r w:rsidRPr="008D6BCA">
          <w:rPr>
            <w:rStyle w:val="Hyperlink"/>
            <w:noProof/>
          </w:rPr>
          <w:t>Recommendations</w:t>
        </w:r>
        <w:r>
          <w:rPr>
            <w:noProof/>
            <w:webHidden/>
          </w:rPr>
          <w:tab/>
        </w:r>
        <w:r>
          <w:rPr>
            <w:noProof/>
            <w:webHidden/>
          </w:rPr>
          <w:fldChar w:fldCharType="begin"/>
        </w:r>
        <w:r>
          <w:rPr>
            <w:noProof/>
            <w:webHidden/>
          </w:rPr>
          <w:instrText xml:space="preserve"> PAGEREF _Toc220664151 \h </w:instrText>
        </w:r>
        <w:r>
          <w:rPr>
            <w:noProof/>
            <w:webHidden/>
          </w:rPr>
        </w:r>
        <w:r>
          <w:rPr>
            <w:noProof/>
            <w:webHidden/>
          </w:rPr>
          <w:fldChar w:fldCharType="separate"/>
        </w:r>
        <w:r>
          <w:rPr>
            <w:noProof/>
            <w:webHidden/>
          </w:rPr>
          <w:t>30</w:t>
        </w:r>
        <w:r>
          <w:rPr>
            <w:noProof/>
            <w:webHidden/>
          </w:rPr>
          <w:fldChar w:fldCharType="end"/>
        </w:r>
      </w:hyperlink>
    </w:p>
    <w:p w14:paraId="170B0B62" w14:textId="5056F4A5" w:rsidR="00C82AEF" w:rsidRDefault="00C82AEF">
      <w:pPr>
        <w:pStyle w:val="TOC1"/>
        <w:tabs>
          <w:tab w:val="left" w:pos="480"/>
          <w:tab w:val="right" w:leader="dot" w:pos="9350"/>
        </w:tabs>
        <w:rPr>
          <w:rFonts w:eastAsia="Times New Roman" w:cs="Times New Roman"/>
          <w:noProof/>
          <w:kern w:val="2"/>
        </w:rPr>
      </w:pPr>
      <w:hyperlink w:anchor="_Toc220664152" w:history="1">
        <w:r w:rsidRPr="008D6BCA">
          <w:rPr>
            <w:rStyle w:val="Hyperlink"/>
            <w:noProof/>
          </w:rPr>
          <w:t>V.</w:t>
        </w:r>
        <w:r>
          <w:rPr>
            <w:rFonts w:eastAsia="Times New Roman" w:cs="Times New Roman"/>
            <w:noProof/>
            <w:kern w:val="2"/>
          </w:rPr>
          <w:tab/>
        </w:r>
        <w:r w:rsidRPr="008D6BCA">
          <w:rPr>
            <w:rStyle w:val="Hyperlink"/>
            <w:noProof/>
          </w:rPr>
          <w:t>Conclusion</w:t>
        </w:r>
        <w:r>
          <w:rPr>
            <w:noProof/>
            <w:webHidden/>
          </w:rPr>
          <w:tab/>
        </w:r>
        <w:r>
          <w:rPr>
            <w:noProof/>
            <w:webHidden/>
          </w:rPr>
          <w:fldChar w:fldCharType="begin"/>
        </w:r>
        <w:r>
          <w:rPr>
            <w:noProof/>
            <w:webHidden/>
          </w:rPr>
          <w:instrText xml:space="preserve"> PAGEREF _Toc220664152 \h </w:instrText>
        </w:r>
        <w:r>
          <w:rPr>
            <w:noProof/>
            <w:webHidden/>
          </w:rPr>
        </w:r>
        <w:r>
          <w:rPr>
            <w:noProof/>
            <w:webHidden/>
          </w:rPr>
          <w:fldChar w:fldCharType="separate"/>
        </w:r>
        <w:r>
          <w:rPr>
            <w:noProof/>
            <w:webHidden/>
          </w:rPr>
          <w:t>30</w:t>
        </w:r>
        <w:r>
          <w:rPr>
            <w:noProof/>
            <w:webHidden/>
          </w:rPr>
          <w:fldChar w:fldCharType="end"/>
        </w:r>
      </w:hyperlink>
    </w:p>
    <w:p w14:paraId="3CA230D5" w14:textId="1DC0715D" w:rsidR="007F0DED" w:rsidRPr="007666D5" w:rsidRDefault="007F0DED">
      <w:r w:rsidRPr="007666D5">
        <w:rPr>
          <w:rFonts w:ascii="Segoe UI" w:hAnsi="Segoe UI" w:cs="Segoe UI"/>
          <w:b/>
          <w:bCs/>
        </w:rPr>
        <w:fldChar w:fldCharType="end"/>
      </w:r>
    </w:p>
    <w:p w14:paraId="35384242" w14:textId="77777777" w:rsidR="007F0DED" w:rsidRPr="007666D5" w:rsidRDefault="007F0DED"/>
    <w:p w14:paraId="4A52A083" w14:textId="77777777" w:rsidR="007F0DED" w:rsidRPr="007666D5" w:rsidRDefault="007F0DED"/>
    <w:p w14:paraId="5EE4A6D1" w14:textId="77777777" w:rsidR="007F0DED" w:rsidRDefault="007F0DED">
      <w:pPr>
        <w:rPr>
          <w:rFonts w:ascii="Segoe UI" w:hAnsi="Segoe UI" w:cs="Segoe UI"/>
        </w:rPr>
      </w:pPr>
    </w:p>
    <w:p w14:paraId="04E088FB" w14:textId="77777777" w:rsidR="007F0DED" w:rsidRDefault="007F0DED">
      <w:pPr>
        <w:rPr>
          <w:rFonts w:ascii="Segoe UI" w:hAnsi="Segoe UI" w:cs="Segoe UI"/>
        </w:rPr>
      </w:pPr>
    </w:p>
    <w:p w14:paraId="34F3AB9F" w14:textId="77777777" w:rsidR="007F0DED" w:rsidRPr="007666D5" w:rsidRDefault="007F0DED">
      <w:pPr>
        <w:rPr>
          <w:rFonts w:ascii="Segoe UI" w:hAnsi="Segoe UI" w:cs="Segoe UI"/>
        </w:rPr>
      </w:pPr>
    </w:p>
    <w:p w14:paraId="030BD393" w14:textId="77777777" w:rsidR="007F0DED" w:rsidRPr="007666D5" w:rsidRDefault="007F0DED">
      <w:pPr>
        <w:rPr>
          <w:rFonts w:ascii="Segoe UI" w:hAnsi="Segoe UI" w:cs="Segoe UI"/>
        </w:rPr>
      </w:pPr>
    </w:p>
    <w:p w14:paraId="77C05596" w14:textId="77777777" w:rsidR="007F0DED" w:rsidRPr="007666D5" w:rsidRDefault="007F0DED">
      <w:pPr>
        <w:rPr>
          <w:rFonts w:ascii="Segoe UI" w:hAnsi="Segoe UI" w:cs="Segoe UI"/>
        </w:rPr>
      </w:pPr>
      <w:r>
        <w:rPr>
          <w:rFonts w:ascii="Segoe UI" w:hAnsi="Segoe UI" w:cs="Segoe UI"/>
        </w:rPr>
        <w:br w:type="page"/>
      </w:r>
    </w:p>
    <w:p w14:paraId="28A05BA0" w14:textId="77777777" w:rsidR="007F0DED" w:rsidRPr="000B0E5F" w:rsidRDefault="007F0DED" w:rsidP="00017BA6">
      <w:pPr>
        <w:pStyle w:val="Heading1"/>
        <w:rPr>
          <w:color w:val="993300"/>
        </w:rPr>
      </w:pPr>
      <w:bookmarkStart w:id="7" w:name="_Toc220664129"/>
      <w:r w:rsidRPr="000B0E5F">
        <w:rPr>
          <w:color w:val="993300"/>
        </w:rPr>
        <w:t>Introduction</w:t>
      </w:r>
      <w:bookmarkEnd w:id="7"/>
      <w:r w:rsidRPr="000B0E5F">
        <w:rPr>
          <w:color w:val="993300"/>
        </w:rPr>
        <w:t xml:space="preserve"> </w:t>
      </w:r>
    </w:p>
    <w:p w14:paraId="2AE7C465" w14:textId="77777777" w:rsidR="007F0DED" w:rsidRPr="007666D5" w:rsidRDefault="007F0DED" w:rsidP="00017BA6">
      <w:pPr>
        <w:rPr>
          <w:lang w:eastAsia="ja-JP"/>
        </w:rPr>
      </w:pPr>
    </w:p>
    <w:p w14:paraId="1866242C" w14:textId="77777777" w:rsidR="007F0DED" w:rsidRPr="007666D5" w:rsidRDefault="007F0DED" w:rsidP="003D3DD8">
      <w:pPr>
        <w:rPr>
          <w:rFonts w:ascii="Segoe UI" w:hAnsi="Segoe UI" w:cs="Segoe UI"/>
          <w:w w:val="103"/>
        </w:rPr>
      </w:pPr>
      <w:r w:rsidRPr="007666D5">
        <w:rPr>
          <w:rFonts w:ascii="Segoe UI" w:hAnsi="Segoe UI" w:cs="Segoe UI"/>
        </w:rPr>
        <w:t>The Canadian Feminist Alliance for International Action (FAFIA) is a coalition of women’s organizations in Canada. The Alliance was founded after the Fourth World Conference on Women in Beijing in 1995.</w:t>
      </w:r>
      <w:r w:rsidRPr="007666D5">
        <w:rPr>
          <w:rFonts w:ascii="Segoe UI" w:hAnsi="Segoe UI" w:cs="Segoe UI"/>
          <w:w w:val="103"/>
        </w:rPr>
        <w:t xml:space="preserve"> </w:t>
      </w:r>
      <w:r w:rsidRPr="007666D5">
        <w:rPr>
          <w:rFonts w:ascii="Segoe UI" w:hAnsi="Segoe UI" w:cs="Segoe UI"/>
        </w:rPr>
        <w:t>The mission of the Canadian Feminist Alliance for International Action (FAFIA) is to defend the human rights</w:t>
      </w:r>
      <w:r w:rsidRPr="007666D5">
        <w:rPr>
          <w:rFonts w:ascii="Segoe UI" w:hAnsi="Segoe UI" w:cs="Segoe UI"/>
          <w:vertAlign w:val="superscript"/>
        </w:rPr>
        <w:t xml:space="preserve"> </w:t>
      </w:r>
      <w:r w:rsidRPr="007666D5">
        <w:rPr>
          <w:rFonts w:ascii="Segoe UI" w:hAnsi="Segoe UI" w:cs="Segoe UI"/>
        </w:rPr>
        <w:t>of women in Canada, and to advance women's equality through working to secure the domestic implementation of Canada’s international and regional human rights commitments. FAFIA submits</w:t>
      </w:r>
      <w:r w:rsidRPr="007666D5">
        <w:rPr>
          <w:rFonts w:ascii="Segoe UI" w:hAnsi="Segoe UI" w:cs="Segoe UI"/>
          <w:w w:val="103"/>
        </w:rPr>
        <w:t xml:space="preserve"> this information to assist the Human Rights Committee’s </w:t>
      </w:r>
      <w:r>
        <w:rPr>
          <w:rFonts w:ascii="Segoe UI" w:hAnsi="Segoe UI" w:cs="Segoe UI"/>
          <w:w w:val="103"/>
        </w:rPr>
        <w:t>2026 r</w:t>
      </w:r>
      <w:r w:rsidRPr="007666D5">
        <w:rPr>
          <w:rFonts w:ascii="Segoe UI" w:hAnsi="Segoe UI" w:cs="Segoe UI"/>
          <w:w w:val="103"/>
        </w:rPr>
        <w:t>eview of Canada.</w:t>
      </w:r>
    </w:p>
    <w:p w14:paraId="2186586B" w14:textId="77777777" w:rsidR="007F0DED" w:rsidRPr="00085CC1" w:rsidRDefault="007F0DED" w:rsidP="006D3D30">
      <w:pPr>
        <w:pStyle w:val="Heading1"/>
        <w:rPr>
          <w:rFonts w:ascii="Segoe UI" w:hAnsi="Segoe UI" w:cs="Segoe UI"/>
          <w:color w:val="993300"/>
          <w:sz w:val="28"/>
          <w:szCs w:val="28"/>
        </w:rPr>
      </w:pPr>
      <w:bookmarkStart w:id="8" w:name="_Toc72490493"/>
      <w:bookmarkStart w:id="9" w:name="_Toc72491007"/>
      <w:bookmarkStart w:id="10" w:name="_Toc72491425"/>
      <w:bookmarkStart w:id="11" w:name="_Toc220664130"/>
      <w:r w:rsidRPr="00085CC1">
        <w:rPr>
          <w:rFonts w:ascii="Segoe UI" w:hAnsi="Segoe UI" w:cs="Segoe UI"/>
          <w:color w:val="993300"/>
          <w:sz w:val="28"/>
          <w:szCs w:val="28"/>
        </w:rPr>
        <w:t>Acknowledgements</w:t>
      </w:r>
      <w:bookmarkEnd w:id="8"/>
      <w:bookmarkEnd w:id="9"/>
      <w:bookmarkEnd w:id="10"/>
      <w:bookmarkEnd w:id="11"/>
    </w:p>
    <w:p w14:paraId="39FACFB2" w14:textId="77777777" w:rsidR="007F0DED" w:rsidRDefault="007F0DED" w:rsidP="00D56E2A">
      <w:pPr>
        <w:ind w:right="576"/>
        <w:rPr>
          <w:rFonts w:ascii="Segoe UI" w:hAnsi="Segoe UI" w:cs="Segoe UI"/>
          <w:w w:val="103"/>
        </w:rPr>
      </w:pPr>
    </w:p>
    <w:p w14:paraId="65FEBCCC" w14:textId="768BC420" w:rsidR="007F0DED" w:rsidRDefault="007F0DED" w:rsidP="00D56E2A">
      <w:pPr>
        <w:rPr>
          <w:rFonts w:ascii="Segoe UI" w:hAnsi="Segoe UI" w:cs="Segoe UI"/>
          <w:w w:val="103"/>
          <w:sz w:val="28"/>
          <w:szCs w:val="28"/>
        </w:rPr>
      </w:pPr>
      <w:r w:rsidRPr="007666D5">
        <w:rPr>
          <w:rFonts w:ascii="Segoe UI" w:hAnsi="Segoe UI" w:cs="Segoe UI"/>
          <w:w w:val="103"/>
        </w:rPr>
        <w:t xml:space="preserve">FAFIA thanks Shelagh Day, </w:t>
      </w:r>
      <w:r>
        <w:rPr>
          <w:rFonts w:ascii="Segoe UI" w:hAnsi="Segoe UI" w:cs="Segoe UI"/>
          <w:w w:val="103"/>
        </w:rPr>
        <w:t xml:space="preserve">Rachel Singleton-Polster, Maria Sokolova, Shelah Kwok, </w:t>
      </w:r>
      <w:r w:rsidRPr="007666D5">
        <w:rPr>
          <w:rFonts w:ascii="Segoe UI" w:hAnsi="Segoe UI" w:cs="Segoe UI"/>
          <w:w w:val="103"/>
        </w:rPr>
        <w:t xml:space="preserve">Dr. Pamela Palmater, </w:t>
      </w:r>
      <w:r>
        <w:rPr>
          <w:rFonts w:ascii="Segoe UI" w:hAnsi="Segoe UI" w:cs="Segoe UI"/>
          <w:w w:val="103"/>
        </w:rPr>
        <w:t xml:space="preserve">Sharon McIvor and </w:t>
      </w:r>
      <w:r w:rsidRPr="007666D5">
        <w:rPr>
          <w:rFonts w:ascii="Segoe UI" w:hAnsi="Segoe UI" w:cs="Segoe UI"/>
          <w:w w:val="103"/>
        </w:rPr>
        <w:t xml:space="preserve">Shivangi Misra, </w:t>
      </w:r>
      <w:r>
        <w:rPr>
          <w:rFonts w:ascii="Segoe UI" w:hAnsi="Segoe UI" w:cs="Segoe UI"/>
          <w:w w:val="103"/>
        </w:rPr>
        <w:t>f</w:t>
      </w:r>
      <w:r w:rsidRPr="007666D5">
        <w:rPr>
          <w:rFonts w:ascii="Segoe UI" w:hAnsi="Segoe UI" w:cs="Segoe UI"/>
          <w:w w:val="103"/>
        </w:rPr>
        <w:t xml:space="preserve">or </w:t>
      </w:r>
      <w:r>
        <w:rPr>
          <w:rFonts w:ascii="Segoe UI" w:hAnsi="Segoe UI" w:cs="Segoe UI"/>
          <w:w w:val="103"/>
        </w:rPr>
        <w:t>co</w:t>
      </w:r>
      <w:r w:rsidRPr="007666D5">
        <w:rPr>
          <w:rFonts w:ascii="Segoe UI" w:hAnsi="Segoe UI" w:cs="Segoe UI"/>
          <w:w w:val="103"/>
        </w:rPr>
        <w:t>ntributions to this submission</w:t>
      </w:r>
      <w:r w:rsidRPr="007666D5">
        <w:rPr>
          <w:rFonts w:ascii="Segoe UI" w:hAnsi="Segoe UI" w:cs="Segoe UI"/>
          <w:w w:val="103"/>
          <w:sz w:val="28"/>
          <w:szCs w:val="28"/>
        </w:rPr>
        <w:t>.</w:t>
      </w:r>
    </w:p>
    <w:p w14:paraId="789DD5D7" w14:textId="0E396C28" w:rsidR="007F0DED" w:rsidRPr="007666D5" w:rsidRDefault="007F0DED" w:rsidP="006D3D30">
      <w:pPr>
        <w:spacing w:before="100" w:after="100"/>
        <w:ind w:right="576"/>
        <w:rPr>
          <w:rFonts w:ascii="Segoe UI" w:hAnsi="Segoe UI" w:cs="Segoe UI"/>
          <w:w w:val="103"/>
        </w:rPr>
      </w:pPr>
      <w:r w:rsidRPr="007666D5">
        <w:rPr>
          <w:rFonts w:ascii="Segoe UI" w:hAnsi="Segoe UI" w:cs="Segoe UI"/>
          <w:w w:val="103"/>
        </w:rPr>
        <w:t xml:space="preserve">This submission contains </w:t>
      </w:r>
      <w:r>
        <w:rPr>
          <w:rFonts w:ascii="Segoe UI" w:hAnsi="Segoe UI" w:cs="Segoe UI"/>
          <w:w w:val="103"/>
        </w:rPr>
        <w:t>8,</w:t>
      </w:r>
      <w:r w:rsidR="005A643E">
        <w:rPr>
          <w:rFonts w:ascii="Segoe UI" w:hAnsi="Segoe UI" w:cs="Segoe UI"/>
          <w:w w:val="103"/>
        </w:rPr>
        <w:t>187</w:t>
      </w:r>
      <w:r w:rsidRPr="007666D5">
        <w:rPr>
          <w:rFonts w:ascii="Segoe UI" w:hAnsi="Segoe UI" w:cs="Segoe UI"/>
          <w:w w:val="103"/>
        </w:rPr>
        <w:t xml:space="preserve"> words. </w:t>
      </w:r>
    </w:p>
    <w:p w14:paraId="5A21A359" w14:textId="77777777" w:rsidR="007F0DED" w:rsidRPr="00085CC1" w:rsidRDefault="007F0DED" w:rsidP="006D3D30">
      <w:pPr>
        <w:pStyle w:val="Heading1"/>
        <w:rPr>
          <w:rFonts w:ascii="Segoe UI" w:hAnsi="Segoe UI" w:cs="Segoe UI"/>
          <w:color w:val="993300"/>
        </w:rPr>
      </w:pPr>
      <w:bookmarkStart w:id="12" w:name="_Toc72490494"/>
      <w:bookmarkStart w:id="13" w:name="_Toc72491008"/>
      <w:bookmarkStart w:id="14" w:name="_Toc72491426"/>
      <w:bookmarkStart w:id="15" w:name="_Toc220664131"/>
      <w:r w:rsidRPr="00085CC1">
        <w:rPr>
          <w:rFonts w:ascii="Segoe UI" w:hAnsi="Segoe UI" w:cs="Segoe UI"/>
          <w:color w:val="993300"/>
        </w:rPr>
        <w:t>Contact Information</w:t>
      </w:r>
      <w:bookmarkEnd w:id="12"/>
      <w:bookmarkEnd w:id="13"/>
      <w:bookmarkEnd w:id="14"/>
      <w:bookmarkEnd w:id="15"/>
      <w:r w:rsidRPr="00085CC1">
        <w:rPr>
          <w:rFonts w:ascii="Segoe UI" w:hAnsi="Segoe UI" w:cs="Segoe UI"/>
          <w:color w:val="993300"/>
        </w:rPr>
        <w:t xml:space="preserve"> </w:t>
      </w:r>
    </w:p>
    <w:p w14:paraId="57846C1D" w14:textId="77777777" w:rsidR="007F0DED" w:rsidRDefault="007F0DED" w:rsidP="00D56E2A">
      <w:pPr>
        <w:rPr>
          <w:rFonts w:ascii="Segoe UI" w:hAnsi="Segoe UI" w:cs="Segoe UI"/>
          <w:w w:val="103"/>
        </w:rPr>
      </w:pPr>
      <w:r w:rsidRPr="007666D5">
        <w:rPr>
          <w:rFonts w:ascii="Segoe UI" w:hAnsi="Segoe UI" w:cs="Segoe UI"/>
          <w:w w:val="103"/>
        </w:rPr>
        <w:t xml:space="preserve">Canadian Feminist Alliance for International Action </w:t>
      </w:r>
    </w:p>
    <w:p w14:paraId="0E348C20" w14:textId="77777777" w:rsidR="007F0DED" w:rsidRDefault="007F0DED" w:rsidP="00D56E2A">
      <w:pPr>
        <w:rPr>
          <w:rFonts w:ascii="Segoe UI" w:hAnsi="Segoe UI" w:cs="Segoe UI"/>
          <w:w w:val="103"/>
        </w:rPr>
      </w:pPr>
      <w:r w:rsidRPr="007666D5">
        <w:rPr>
          <w:rFonts w:ascii="Segoe UI" w:hAnsi="Segoe UI" w:cs="Segoe UI"/>
          <w:w w:val="103"/>
        </w:rPr>
        <w:t>Shelagh Day, Chair, Human Rights Committee</w:t>
      </w:r>
    </w:p>
    <w:p w14:paraId="10F05735" w14:textId="77777777" w:rsidR="007F0DED" w:rsidRPr="007666D5" w:rsidRDefault="007F0DED" w:rsidP="008A1351">
      <w:pPr>
        <w:rPr>
          <w:rFonts w:ascii="Segoe UI" w:hAnsi="Segoe UI" w:cs="Segoe UI"/>
          <w:lang w:eastAsia="ja-JP"/>
        </w:rPr>
      </w:pPr>
      <w:r w:rsidRPr="007666D5">
        <w:rPr>
          <w:rFonts w:ascii="Segoe UI" w:hAnsi="Segoe UI" w:cs="Segoe UI"/>
          <w:lang w:eastAsia="ja-JP"/>
        </w:rPr>
        <w:t>Tel: +1 (604) 872-0750</w:t>
      </w:r>
    </w:p>
    <w:p w14:paraId="6F4E4CD7" w14:textId="77777777" w:rsidR="007F0DED" w:rsidRDefault="007F0DED" w:rsidP="00D56E2A">
      <w:pPr>
        <w:rPr>
          <w:rFonts w:ascii="Segoe UI" w:hAnsi="Segoe UI" w:cs="Segoe UI"/>
          <w:w w:val="103"/>
        </w:rPr>
      </w:pPr>
      <w:r w:rsidRPr="007666D5">
        <w:rPr>
          <w:rFonts w:ascii="Segoe UI" w:hAnsi="Segoe UI" w:cs="Segoe UI"/>
          <w:w w:val="103"/>
        </w:rPr>
        <w:t>Suite # 228</w:t>
      </w:r>
    </w:p>
    <w:p w14:paraId="29E6C3FA" w14:textId="77777777" w:rsidR="007F0DED" w:rsidRDefault="007F0DED" w:rsidP="00D56E2A">
      <w:pPr>
        <w:rPr>
          <w:rFonts w:ascii="Segoe UI" w:hAnsi="Segoe UI" w:cs="Segoe UI"/>
          <w:w w:val="103"/>
        </w:rPr>
      </w:pPr>
      <w:r w:rsidRPr="007666D5">
        <w:rPr>
          <w:rFonts w:ascii="Segoe UI" w:hAnsi="Segoe UI" w:cs="Segoe UI"/>
          <w:w w:val="103"/>
        </w:rPr>
        <w:t xml:space="preserve">9-2020 Lanthier Dr, </w:t>
      </w:r>
    </w:p>
    <w:p w14:paraId="14F908A4" w14:textId="77777777" w:rsidR="007F0DED" w:rsidRDefault="007F0DED" w:rsidP="00D56E2A">
      <w:pPr>
        <w:rPr>
          <w:rFonts w:ascii="Segoe UI" w:hAnsi="Segoe UI" w:cs="Segoe UI"/>
          <w:w w:val="103"/>
        </w:rPr>
      </w:pPr>
      <w:r w:rsidRPr="007666D5">
        <w:rPr>
          <w:rFonts w:ascii="Segoe UI" w:hAnsi="Segoe UI" w:cs="Segoe UI"/>
          <w:w w:val="103"/>
        </w:rPr>
        <w:t>Orleans, ON K4A3V4</w:t>
      </w:r>
    </w:p>
    <w:p w14:paraId="30CD459C" w14:textId="77777777" w:rsidR="007F0DED" w:rsidRPr="007666D5" w:rsidRDefault="007F0DED" w:rsidP="00E243AA">
      <w:pPr>
        <w:spacing w:before="100" w:after="100"/>
        <w:ind w:right="576"/>
        <w:rPr>
          <w:rFonts w:ascii="Segoe UI" w:hAnsi="Segoe UI" w:cs="Segoe UI"/>
          <w:w w:val="103"/>
        </w:rPr>
      </w:pPr>
    </w:p>
    <w:p w14:paraId="4DF436D5" w14:textId="77777777" w:rsidR="007F0DED" w:rsidRPr="007666D5" w:rsidRDefault="007F0DED" w:rsidP="00E243AA">
      <w:pPr>
        <w:spacing w:before="100" w:after="100"/>
        <w:ind w:right="576"/>
        <w:rPr>
          <w:rFonts w:ascii="Segoe UI" w:hAnsi="Segoe UI" w:cs="Segoe UI"/>
          <w:w w:val="103"/>
        </w:rPr>
      </w:pPr>
    </w:p>
    <w:p w14:paraId="2CE855F5" w14:textId="77777777" w:rsidR="007F0DED" w:rsidRPr="007666D5" w:rsidRDefault="007F0DED" w:rsidP="00E243AA">
      <w:pPr>
        <w:spacing w:before="100" w:after="100"/>
        <w:ind w:right="576"/>
        <w:rPr>
          <w:rFonts w:ascii="Segoe UI" w:hAnsi="Segoe UI" w:cs="Segoe UI"/>
          <w:w w:val="103"/>
        </w:rPr>
      </w:pPr>
    </w:p>
    <w:p w14:paraId="683663E7" w14:textId="77777777" w:rsidR="007F0DED" w:rsidRPr="007666D5" w:rsidRDefault="007F0DED" w:rsidP="00E243AA">
      <w:pPr>
        <w:spacing w:before="100" w:after="100"/>
        <w:ind w:right="576"/>
        <w:rPr>
          <w:rFonts w:ascii="Segoe UI" w:hAnsi="Segoe UI" w:cs="Segoe UI"/>
          <w:w w:val="103"/>
        </w:rPr>
      </w:pPr>
    </w:p>
    <w:p w14:paraId="09A39533" w14:textId="77777777" w:rsidR="007F0DED" w:rsidRPr="007666D5" w:rsidRDefault="007F0DED" w:rsidP="00E243AA">
      <w:pPr>
        <w:spacing w:before="100" w:after="100"/>
        <w:ind w:right="576"/>
        <w:rPr>
          <w:rFonts w:ascii="Segoe UI" w:hAnsi="Segoe UI" w:cs="Segoe UI"/>
          <w:w w:val="103"/>
        </w:rPr>
      </w:pPr>
    </w:p>
    <w:p w14:paraId="639F77CD" w14:textId="77777777" w:rsidR="007F0DED" w:rsidRPr="007666D5" w:rsidRDefault="007F0DED" w:rsidP="00E243AA">
      <w:pPr>
        <w:spacing w:before="100" w:after="100"/>
        <w:ind w:right="576"/>
        <w:rPr>
          <w:rFonts w:ascii="Segoe UI" w:hAnsi="Segoe UI" w:cs="Segoe UI"/>
          <w:w w:val="103"/>
        </w:rPr>
      </w:pPr>
    </w:p>
    <w:p w14:paraId="77C3EF1A" w14:textId="77777777" w:rsidR="007F0DED" w:rsidRPr="007666D5" w:rsidRDefault="007F0DED" w:rsidP="00E243AA">
      <w:pPr>
        <w:spacing w:before="100" w:after="100"/>
        <w:ind w:right="576"/>
        <w:rPr>
          <w:rFonts w:ascii="Segoe UI" w:hAnsi="Segoe UI" w:cs="Segoe UI"/>
          <w:w w:val="103"/>
          <w:sz w:val="28"/>
          <w:szCs w:val="28"/>
        </w:rPr>
      </w:pPr>
    </w:p>
    <w:p w14:paraId="32B8AD69" w14:textId="77777777" w:rsidR="007F0DED" w:rsidRPr="00085CC1" w:rsidRDefault="007F0DED" w:rsidP="005E5952">
      <w:pPr>
        <w:pStyle w:val="Heading1"/>
        <w:numPr>
          <w:ilvl w:val="0"/>
          <w:numId w:val="8"/>
        </w:numPr>
        <w:rPr>
          <w:rFonts w:ascii="Segoe UI" w:hAnsi="Segoe UI" w:cs="Segoe UI"/>
          <w:color w:val="993300"/>
        </w:rPr>
      </w:pPr>
      <w:bookmarkStart w:id="16" w:name="_Toc72489157"/>
      <w:bookmarkStart w:id="17" w:name="_Toc72489180"/>
      <w:bookmarkStart w:id="18" w:name="_Toc72489243"/>
      <w:bookmarkStart w:id="19" w:name="_Toc72490495"/>
      <w:bookmarkStart w:id="20" w:name="_Toc72491009"/>
      <w:bookmarkStart w:id="21" w:name="_Toc72491427"/>
      <w:bookmarkStart w:id="22" w:name="_Toc220664132"/>
      <w:bookmarkStart w:id="23" w:name="_Toc336870898"/>
      <w:r w:rsidRPr="00085CC1">
        <w:rPr>
          <w:rFonts w:ascii="Segoe UI" w:hAnsi="Segoe UI" w:cs="Segoe UI"/>
          <w:color w:val="993300"/>
        </w:rPr>
        <w:lastRenderedPageBreak/>
        <w:t xml:space="preserve">Articles 2, 6 and 26 of the </w:t>
      </w:r>
      <w:r>
        <w:rPr>
          <w:rFonts w:ascii="Segoe UI" w:hAnsi="Segoe UI" w:cs="Segoe UI"/>
          <w:color w:val="993300"/>
        </w:rPr>
        <w:t xml:space="preserve">International </w:t>
      </w:r>
      <w:r w:rsidRPr="00085CC1">
        <w:rPr>
          <w:rFonts w:ascii="Segoe UI" w:hAnsi="Segoe UI" w:cs="Segoe UI"/>
          <w:color w:val="993300"/>
        </w:rPr>
        <w:t>Covenant on Civil and Political Rights Require Canada to Respect, Protect and Fulfill Social and Economic Rights</w:t>
      </w:r>
      <w:bookmarkEnd w:id="16"/>
      <w:bookmarkEnd w:id="17"/>
      <w:bookmarkEnd w:id="18"/>
      <w:bookmarkEnd w:id="19"/>
      <w:bookmarkEnd w:id="20"/>
      <w:bookmarkEnd w:id="21"/>
      <w:bookmarkEnd w:id="22"/>
      <w:r w:rsidRPr="00085CC1">
        <w:rPr>
          <w:rFonts w:ascii="Segoe UI" w:hAnsi="Segoe UI" w:cs="Segoe UI"/>
          <w:color w:val="993300"/>
        </w:rPr>
        <w:t xml:space="preserve"> </w:t>
      </w:r>
    </w:p>
    <w:bookmarkEnd w:id="23"/>
    <w:p w14:paraId="71E15D73" w14:textId="77777777" w:rsidR="007F0DED" w:rsidRPr="00085CC1" w:rsidRDefault="007F0DED" w:rsidP="008E08C2">
      <w:pPr>
        <w:autoSpaceDE w:val="0"/>
        <w:autoSpaceDN w:val="0"/>
        <w:adjustRightInd w:val="0"/>
        <w:rPr>
          <w:rFonts w:ascii="Segoe UI" w:hAnsi="Segoe UI" w:cs="Segoe UI"/>
          <w:b/>
          <w:bCs/>
          <w:color w:val="993300"/>
          <w:sz w:val="28"/>
          <w:szCs w:val="28"/>
        </w:rPr>
      </w:pPr>
    </w:p>
    <w:p w14:paraId="6DCAE97A"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Canada’s refusal to recognize social and economic rights as justiciable rights, giving rise to remedial obligations</w:t>
      </w:r>
      <w:bookmarkStart w:id="24" w:name="_Ref336887332"/>
      <w:r w:rsidRPr="007666D5">
        <w:rPr>
          <w:rFonts w:ascii="Segoe UI" w:hAnsi="Segoe UI" w:cs="Segoe UI"/>
        </w:rPr>
        <w:t>,</w:t>
      </w:r>
      <w:r w:rsidRPr="007666D5">
        <w:rPr>
          <w:rStyle w:val="FootnoteReference"/>
          <w:rFonts w:ascii="Segoe UI" w:hAnsi="Segoe UI" w:cs="Segoe UI"/>
        </w:rPr>
        <w:footnoteReference w:id="1"/>
      </w:r>
      <w:bookmarkEnd w:id="24"/>
      <w:r w:rsidRPr="007666D5">
        <w:rPr>
          <w:rFonts w:ascii="Segoe UI" w:hAnsi="Segoe UI" w:cs="Segoe UI"/>
        </w:rPr>
        <w:t xml:space="preserve"> is a serious obstacle to the achievement of women’s equality, and, FAFIA submits, violates the civil and political rights of women to equality, life,</w:t>
      </w:r>
      <w:r w:rsidRPr="007666D5">
        <w:rPr>
          <w:rStyle w:val="FootnoteReference"/>
          <w:rFonts w:ascii="Segoe UI" w:hAnsi="Segoe UI" w:cs="Segoe UI"/>
        </w:rPr>
        <w:footnoteReference w:id="2"/>
      </w:r>
      <w:r w:rsidRPr="007666D5">
        <w:rPr>
          <w:rFonts w:ascii="Segoe UI" w:hAnsi="Segoe UI" w:cs="Segoe UI"/>
        </w:rPr>
        <w:t xml:space="preserve"> political participation, and to effective remedies when rights are violated. </w:t>
      </w:r>
    </w:p>
    <w:p w14:paraId="1C6BF252" w14:textId="77777777" w:rsidR="007F0DED" w:rsidRPr="007666D5" w:rsidRDefault="007F0DED" w:rsidP="008E08C2">
      <w:pPr>
        <w:autoSpaceDE w:val="0"/>
        <w:autoSpaceDN w:val="0"/>
        <w:adjustRightInd w:val="0"/>
        <w:rPr>
          <w:rFonts w:ascii="Segoe UI" w:hAnsi="Segoe UI" w:cs="Segoe UI"/>
        </w:rPr>
      </w:pPr>
    </w:p>
    <w:p w14:paraId="743BF726"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Canadian women have rejected a thin, formal version of women’s equality, and fought for a full, substantive version of equality, with material conditions at its centre.</w:t>
      </w:r>
      <w:r w:rsidRPr="007666D5">
        <w:rPr>
          <w:rStyle w:val="FootnoteReference"/>
          <w:rFonts w:ascii="Segoe UI" w:hAnsi="Segoe UI" w:cs="Segoe UI"/>
        </w:rPr>
        <w:footnoteReference w:id="3"/>
      </w:r>
      <w:r w:rsidRPr="007666D5">
        <w:rPr>
          <w:rFonts w:ascii="Segoe UI" w:hAnsi="Segoe UI" w:cs="Segoe UI"/>
        </w:rPr>
        <w:t xml:space="preserve"> While the Government of Canada claims to embrace this understanding of equality, that claim is not persuasive when Canada does not recognize social and economic rights as real rights, on the same footing and indivisible from civil and political rights.</w:t>
      </w:r>
    </w:p>
    <w:p w14:paraId="3B8551F5" w14:textId="77777777" w:rsidR="007F0DED" w:rsidRPr="007666D5" w:rsidRDefault="007F0DED" w:rsidP="008E08C2">
      <w:pPr>
        <w:autoSpaceDE w:val="0"/>
        <w:autoSpaceDN w:val="0"/>
        <w:adjustRightInd w:val="0"/>
        <w:rPr>
          <w:rFonts w:ascii="Segoe UI" w:hAnsi="Segoe UI" w:cs="Segoe UI"/>
        </w:rPr>
      </w:pPr>
    </w:p>
    <w:p w14:paraId="04A60617"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In the language of international human rights, a substantive version of equality means that social and economic rights are an integral part of the “substance” of substantive equality.</w:t>
      </w:r>
      <w:r w:rsidRPr="007666D5">
        <w:rPr>
          <w:rStyle w:val="FootnoteReference"/>
          <w:rFonts w:ascii="Segoe UI" w:hAnsi="Segoe UI" w:cs="Segoe UI"/>
        </w:rPr>
        <w:footnoteReference w:id="4"/>
      </w:r>
      <w:r w:rsidRPr="007666D5">
        <w:rPr>
          <w:rFonts w:ascii="Segoe UI" w:hAnsi="Segoe UI" w:cs="Segoe UI"/>
        </w:rPr>
        <w:t xml:space="preserve"> Women who are materially disadvantaged, many of whom are Indigenous, racialized, or have a disability, do not enjoy equality, and their sexual autonomy, security, political participation, and liberty are all constrained, as is their right to life with dignity.</w:t>
      </w:r>
    </w:p>
    <w:p w14:paraId="70444AEA" w14:textId="77777777" w:rsidR="007F0DED" w:rsidRPr="007666D5" w:rsidRDefault="007F0DED" w:rsidP="008E08C2">
      <w:pPr>
        <w:autoSpaceDE w:val="0"/>
        <w:autoSpaceDN w:val="0"/>
        <w:adjustRightInd w:val="0"/>
        <w:rPr>
          <w:rFonts w:ascii="Segoe UI" w:hAnsi="Segoe UI" w:cs="Segoe UI"/>
        </w:rPr>
      </w:pPr>
    </w:p>
    <w:p w14:paraId="06FAD372"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Women cannot achieve equality unless Canada recognizes social and economic rights as justiciable rights that place essential obligations on all levels of government. Canada must accept that in women’s lived experience, the civil, political, social, economic, and cultural dimensions of their inequality are inseparable</w:t>
      </w:r>
      <w:r>
        <w:rPr>
          <w:rFonts w:ascii="Segoe UI" w:hAnsi="Segoe UI" w:cs="Segoe UI"/>
        </w:rPr>
        <w:t>, and indivisible</w:t>
      </w:r>
      <w:r w:rsidRPr="007666D5">
        <w:rPr>
          <w:rFonts w:ascii="Segoe UI" w:hAnsi="Segoe UI" w:cs="Segoe UI"/>
        </w:rPr>
        <w:t xml:space="preserve">. </w:t>
      </w:r>
    </w:p>
    <w:p w14:paraId="5F8E6732" w14:textId="77777777" w:rsidR="007F0DED" w:rsidRPr="007666D5" w:rsidRDefault="007F0DED" w:rsidP="008E08C2">
      <w:pPr>
        <w:autoSpaceDE w:val="0"/>
        <w:autoSpaceDN w:val="0"/>
        <w:adjustRightInd w:val="0"/>
        <w:rPr>
          <w:rFonts w:ascii="Segoe UI" w:hAnsi="Segoe UI" w:cs="Segoe UI"/>
        </w:rPr>
      </w:pPr>
    </w:p>
    <w:p w14:paraId="7519DE80"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 xml:space="preserve">Canada has repeatedly insisted in litigation that the right to equality does not engage any positive obligation of government to provide remedies for violations of social and </w:t>
      </w:r>
      <w:r w:rsidRPr="007666D5">
        <w:rPr>
          <w:rFonts w:ascii="Segoe UI" w:hAnsi="Segoe UI" w:cs="Segoe UI"/>
        </w:rPr>
        <w:lastRenderedPageBreak/>
        <w:t>economic rights.</w:t>
      </w:r>
      <w:r w:rsidRPr="007666D5">
        <w:rPr>
          <w:rStyle w:val="FootnoteReference"/>
          <w:rFonts w:ascii="Segoe UI" w:hAnsi="Segoe UI" w:cs="Segoe UI"/>
        </w:rPr>
        <w:footnoteReference w:id="5"/>
      </w:r>
      <w:r w:rsidRPr="007666D5">
        <w:rPr>
          <w:rFonts w:ascii="Segoe UI" w:hAnsi="Segoe UI" w:cs="Segoe UI"/>
        </w:rPr>
        <w:t xml:space="preserve"> Despite having ratified international treaties that guarantee equality for women, and social and economic rights, the position of governments in Canada appears to be that the right to equality does not require the provision of equality-enhancing benefits, programs and services, even when it is proven that their absence perpetuates women’s inequality and disadvantage</w:t>
      </w:r>
      <w:r>
        <w:rPr>
          <w:rFonts w:ascii="Segoe UI" w:hAnsi="Segoe UI" w:cs="Segoe UI"/>
        </w:rPr>
        <w:t>, and threatens their right to life</w:t>
      </w:r>
      <w:r w:rsidRPr="007666D5">
        <w:rPr>
          <w:rFonts w:ascii="Segoe UI" w:hAnsi="Segoe UI" w:cs="Segoe UI"/>
        </w:rPr>
        <w:t xml:space="preserve">. Rather, in their view, the right to equality merely requires that </w:t>
      </w:r>
      <w:r w:rsidRPr="007666D5">
        <w:rPr>
          <w:rFonts w:ascii="Segoe UI" w:hAnsi="Segoe UI" w:cs="Segoe UI"/>
          <w:i/>
          <w:iCs/>
        </w:rPr>
        <w:t xml:space="preserve">if </w:t>
      </w:r>
      <w:r w:rsidRPr="007666D5">
        <w:rPr>
          <w:rFonts w:ascii="Segoe UI" w:hAnsi="Segoe UI" w:cs="Segoe UI"/>
        </w:rPr>
        <w:t>a government provides a benefit, program or service, it must do so in a non-discriminatory way. This is not substantive equality.</w:t>
      </w:r>
    </w:p>
    <w:p w14:paraId="7C79BF92" w14:textId="77777777" w:rsidR="007F0DED" w:rsidRPr="007666D5" w:rsidRDefault="007F0DED" w:rsidP="008E08C2">
      <w:pPr>
        <w:autoSpaceDE w:val="0"/>
        <w:autoSpaceDN w:val="0"/>
        <w:adjustRightInd w:val="0"/>
        <w:rPr>
          <w:rFonts w:ascii="Segoe UI" w:hAnsi="Segoe UI" w:cs="Segoe UI"/>
        </w:rPr>
      </w:pPr>
    </w:p>
    <w:p w14:paraId="65B7339B"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In 2016, after expressing concerns about the Government of Canada’s repudiation of Charter challenges which invoked s. 7 and s. 15 to seek remedies for violations of social and economic rights, the CESCR Committee recommended that Canada “review its litigation strategies in order to foster the justiciability of the economic, social and cultural rights.”</w:t>
      </w:r>
      <w:r w:rsidRPr="007666D5">
        <w:rPr>
          <w:rStyle w:val="FootnoteReference"/>
          <w:rFonts w:ascii="Segoe UI" w:hAnsi="Segoe UI" w:cs="Segoe UI"/>
        </w:rPr>
        <w:footnoteReference w:id="6"/>
      </w:r>
      <w:r w:rsidRPr="007666D5">
        <w:rPr>
          <w:rFonts w:ascii="Segoe UI" w:hAnsi="Segoe UI" w:cs="Segoe UI"/>
        </w:rPr>
        <w:t xml:space="preserve"> Subsequently, the Attorney General of Canada undertook a review, mandated by the Prime Minister of Canada. However, the </w:t>
      </w:r>
      <w:r w:rsidRPr="007666D5">
        <w:rPr>
          <w:rFonts w:ascii="Segoe UI" w:hAnsi="Segoe UI" w:cs="Segoe UI"/>
          <w:i/>
          <w:iCs/>
        </w:rPr>
        <w:t>Principles guiding the Attorney General of Canada in Charter Litigation,</w:t>
      </w:r>
      <w:r w:rsidRPr="007666D5">
        <w:rPr>
          <w:rStyle w:val="FootnoteReference"/>
          <w:rFonts w:ascii="Segoe UI" w:hAnsi="Segoe UI" w:cs="Segoe UI"/>
          <w:i/>
          <w:iCs/>
        </w:rPr>
        <w:footnoteReference w:id="7"/>
      </w:r>
      <w:r w:rsidRPr="007666D5">
        <w:rPr>
          <w:rFonts w:ascii="Segoe UI" w:hAnsi="Segoe UI" w:cs="Segoe UI"/>
          <w:i/>
          <w:iCs/>
        </w:rPr>
        <w:t xml:space="preserve"> </w:t>
      </w:r>
      <w:r w:rsidRPr="007666D5">
        <w:rPr>
          <w:rFonts w:ascii="Segoe UI" w:hAnsi="Segoe UI" w:cs="Segoe UI"/>
        </w:rPr>
        <w:t xml:space="preserve">resulting from the review, do not engage with the issue raised by CESCR regarding Canada’s stance on social and economic rights, and do not contain any commitment to ensuring that positions advanced by the Government of Canada in Charter litigation are consistent with the obligation to </w:t>
      </w:r>
      <w:r w:rsidRPr="007666D5">
        <w:rPr>
          <w:rFonts w:ascii="Segoe UI" w:hAnsi="Segoe UI" w:cs="Segoe UI"/>
          <w:i/>
          <w:iCs/>
        </w:rPr>
        <w:t>fulfill</w:t>
      </w:r>
      <w:r w:rsidRPr="007666D5">
        <w:rPr>
          <w:rFonts w:ascii="Segoe UI" w:hAnsi="Segoe UI" w:cs="Segoe UI"/>
        </w:rPr>
        <w:t xml:space="preserve"> treaty rights.</w:t>
      </w:r>
      <w:r w:rsidRPr="007666D5">
        <w:rPr>
          <w:rStyle w:val="FootnoteReference"/>
          <w:rFonts w:ascii="Segoe UI" w:hAnsi="Segoe UI" w:cs="Segoe UI"/>
        </w:rPr>
        <w:footnoteReference w:id="8"/>
      </w:r>
      <w:r w:rsidRPr="007666D5">
        <w:rPr>
          <w:rFonts w:ascii="Segoe UI" w:hAnsi="Segoe UI" w:cs="Segoe UI"/>
        </w:rPr>
        <w:t xml:space="preserve"> </w:t>
      </w:r>
      <w:r>
        <w:rPr>
          <w:rFonts w:ascii="Segoe UI" w:hAnsi="Segoe UI" w:cs="Segoe UI"/>
        </w:rPr>
        <w:t>This review did not result in any change.</w:t>
      </w:r>
    </w:p>
    <w:p w14:paraId="7F4FF3B2" w14:textId="77777777" w:rsidR="007F0DED" w:rsidRPr="007666D5" w:rsidRDefault="007F0DED" w:rsidP="008E08C2">
      <w:pPr>
        <w:autoSpaceDE w:val="0"/>
        <w:autoSpaceDN w:val="0"/>
        <w:adjustRightInd w:val="0"/>
        <w:rPr>
          <w:rFonts w:ascii="Segoe UI" w:hAnsi="Segoe UI" w:cs="Segoe UI"/>
        </w:rPr>
      </w:pPr>
    </w:p>
    <w:p w14:paraId="3944DDB0"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 xml:space="preserve">FAFIA submits that the insistence of Canada on treating social and economic rights as merely aspirational, not encompassed by ss. 15 and 7 of the Charter, is evidence of intent </w:t>
      </w:r>
      <w:r w:rsidRPr="007666D5">
        <w:rPr>
          <w:rFonts w:ascii="Segoe UI" w:hAnsi="Segoe UI" w:cs="Segoe UI"/>
          <w:i/>
          <w:iCs/>
        </w:rPr>
        <w:t>not</w:t>
      </w:r>
      <w:r w:rsidRPr="007666D5">
        <w:rPr>
          <w:rFonts w:ascii="Segoe UI" w:hAnsi="Segoe UI" w:cs="Segoe UI"/>
        </w:rPr>
        <w:t xml:space="preserve"> to fulfill the right to equality and non-discrimination set out in Article 26 of the ICCPR, </w:t>
      </w:r>
      <w:r w:rsidRPr="007666D5">
        <w:rPr>
          <w:rFonts w:ascii="Segoe UI" w:hAnsi="Segoe UI" w:cs="Segoe UI"/>
          <w:i/>
          <w:iCs/>
        </w:rPr>
        <w:t>not</w:t>
      </w:r>
      <w:r w:rsidRPr="007666D5">
        <w:rPr>
          <w:rFonts w:ascii="Segoe UI" w:hAnsi="Segoe UI" w:cs="Segoe UI"/>
        </w:rPr>
        <w:t xml:space="preserve"> to </w:t>
      </w:r>
      <w:r>
        <w:rPr>
          <w:rFonts w:ascii="Segoe UI" w:hAnsi="Segoe UI" w:cs="Segoe UI"/>
        </w:rPr>
        <w:t xml:space="preserve">fulfill the obligation to protect the right to life as set out in Article 6 and General Comment 36, in particular para. 26, and </w:t>
      </w:r>
      <w:r w:rsidRPr="00064EAA">
        <w:rPr>
          <w:rFonts w:ascii="Segoe UI" w:hAnsi="Segoe UI" w:cs="Segoe UI"/>
          <w:i/>
          <w:iCs/>
        </w:rPr>
        <w:t>not</w:t>
      </w:r>
      <w:r>
        <w:rPr>
          <w:rFonts w:ascii="Segoe UI" w:hAnsi="Segoe UI" w:cs="Segoe UI"/>
        </w:rPr>
        <w:t xml:space="preserve"> to </w:t>
      </w:r>
      <w:r w:rsidRPr="007666D5">
        <w:rPr>
          <w:rFonts w:ascii="Segoe UI" w:hAnsi="Segoe UI" w:cs="Segoe UI"/>
        </w:rPr>
        <w:t xml:space="preserve">ensure that there is a means of seeking an effective remedy for violations of rights as required by Article 2. It is also evidence of intent </w:t>
      </w:r>
      <w:r w:rsidRPr="007666D5">
        <w:rPr>
          <w:rFonts w:ascii="Segoe UI" w:hAnsi="Segoe UI" w:cs="Segoe UI"/>
          <w:i/>
          <w:iCs/>
        </w:rPr>
        <w:t>not</w:t>
      </w:r>
      <w:r w:rsidRPr="007666D5">
        <w:rPr>
          <w:rFonts w:ascii="Segoe UI" w:hAnsi="Segoe UI" w:cs="Segoe UI"/>
        </w:rPr>
        <w:t xml:space="preserve"> to perform the terms of the </w:t>
      </w:r>
      <w:r w:rsidRPr="007666D5">
        <w:rPr>
          <w:rFonts w:ascii="Segoe UI" w:hAnsi="Segoe UI" w:cs="Segoe UI"/>
          <w:i/>
          <w:iCs/>
        </w:rPr>
        <w:t>Covenant on Civil and Political Rights</w:t>
      </w:r>
      <w:r w:rsidRPr="007666D5">
        <w:rPr>
          <w:rFonts w:ascii="Segoe UI" w:hAnsi="Segoe UI" w:cs="Segoe UI"/>
        </w:rPr>
        <w:t xml:space="preserve">, the </w:t>
      </w:r>
      <w:r w:rsidRPr="007666D5">
        <w:rPr>
          <w:rFonts w:ascii="Segoe UI" w:hAnsi="Segoe UI" w:cs="Segoe UI"/>
          <w:i/>
          <w:iCs/>
        </w:rPr>
        <w:t>Covenant on Economic, Social and Cultural Rights</w:t>
      </w:r>
      <w:r w:rsidRPr="007666D5">
        <w:rPr>
          <w:rFonts w:ascii="Segoe UI" w:hAnsi="Segoe UI" w:cs="Segoe UI"/>
        </w:rPr>
        <w:t xml:space="preserve">, and the </w:t>
      </w:r>
      <w:r w:rsidRPr="007666D5">
        <w:rPr>
          <w:rFonts w:ascii="Segoe UI" w:hAnsi="Segoe UI" w:cs="Segoe UI"/>
          <w:i/>
          <w:iCs/>
        </w:rPr>
        <w:t xml:space="preserve">Convention on the </w:t>
      </w:r>
      <w:r w:rsidRPr="007666D5">
        <w:rPr>
          <w:rFonts w:ascii="Segoe UI" w:hAnsi="Segoe UI" w:cs="Segoe UI"/>
          <w:i/>
          <w:iCs/>
        </w:rPr>
        <w:lastRenderedPageBreak/>
        <w:t>Elimination of Discrimination against Women</w:t>
      </w:r>
      <w:r w:rsidRPr="007666D5">
        <w:rPr>
          <w:rFonts w:ascii="Segoe UI" w:hAnsi="Segoe UI" w:cs="Segoe UI"/>
        </w:rPr>
        <w:t xml:space="preserve">, in good faith, contrary to Article 26 of the </w:t>
      </w:r>
      <w:r w:rsidRPr="007666D5">
        <w:rPr>
          <w:rFonts w:ascii="Segoe UI" w:hAnsi="Segoe UI" w:cs="Segoe UI"/>
          <w:i/>
          <w:iCs/>
        </w:rPr>
        <w:t>Vienna Convention on the Law of Treaties</w:t>
      </w:r>
      <w:r w:rsidRPr="007666D5">
        <w:rPr>
          <w:rFonts w:ascii="Segoe UI" w:hAnsi="Segoe UI" w:cs="Segoe UI"/>
        </w:rPr>
        <w:t>.</w:t>
      </w:r>
      <w:r w:rsidRPr="007666D5">
        <w:rPr>
          <w:rStyle w:val="FootnoteReference"/>
          <w:rFonts w:ascii="Segoe UI" w:hAnsi="Segoe UI" w:cs="Segoe UI"/>
        </w:rPr>
        <w:footnoteReference w:id="9"/>
      </w:r>
      <w:r w:rsidRPr="007666D5">
        <w:rPr>
          <w:rFonts w:ascii="Segoe UI" w:hAnsi="Segoe UI" w:cs="Segoe UI"/>
        </w:rPr>
        <w:t xml:space="preserve"> </w:t>
      </w:r>
    </w:p>
    <w:p w14:paraId="21F983AE" w14:textId="77777777" w:rsidR="007F0DED" w:rsidRPr="007666D5" w:rsidRDefault="007F0DED" w:rsidP="008E08C2">
      <w:pPr>
        <w:autoSpaceDE w:val="0"/>
        <w:autoSpaceDN w:val="0"/>
        <w:adjustRightInd w:val="0"/>
        <w:rPr>
          <w:rFonts w:ascii="Segoe UI" w:hAnsi="Segoe UI" w:cs="Segoe UI"/>
        </w:rPr>
      </w:pPr>
    </w:p>
    <w:p w14:paraId="7C3D5C69"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The problem for women in Canada, however, is not only that governments treat social and economic rights as non-justiciable, unenforceable rights, not subject to determination by competent courts or tribunals, but also that they treat the programmatic fulfillment of the right to equality</w:t>
      </w:r>
      <w:r>
        <w:rPr>
          <w:rFonts w:ascii="Segoe UI" w:hAnsi="Segoe UI" w:cs="Segoe UI"/>
        </w:rPr>
        <w:t xml:space="preserve"> - that is all the actions of governments, including the provision of services and the allocation of resources - </w:t>
      </w:r>
      <w:r w:rsidRPr="007666D5">
        <w:rPr>
          <w:rFonts w:ascii="Segoe UI" w:hAnsi="Segoe UI" w:cs="Segoe UI"/>
        </w:rPr>
        <w:t xml:space="preserve">which </w:t>
      </w:r>
      <w:r>
        <w:rPr>
          <w:rFonts w:ascii="Segoe UI" w:hAnsi="Segoe UI" w:cs="Segoe UI"/>
        </w:rPr>
        <w:t xml:space="preserve">is </w:t>
      </w:r>
      <w:r w:rsidRPr="007666D5">
        <w:rPr>
          <w:rFonts w:ascii="Segoe UI" w:hAnsi="Segoe UI" w:cs="Segoe UI"/>
        </w:rPr>
        <w:t>necessar</w:t>
      </w:r>
      <w:r>
        <w:rPr>
          <w:rFonts w:ascii="Segoe UI" w:hAnsi="Segoe UI" w:cs="Segoe UI"/>
        </w:rPr>
        <w:t>y to the</w:t>
      </w:r>
      <w:r w:rsidRPr="007666D5">
        <w:rPr>
          <w:rFonts w:ascii="Segoe UI" w:hAnsi="Segoe UI" w:cs="Segoe UI"/>
        </w:rPr>
        <w:t xml:space="preserve"> fulfillment of social and economic rights, as optional. </w:t>
      </w:r>
      <w:r>
        <w:rPr>
          <w:rFonts w:ascii="Segoe UI" w:hAnsi="Segoe UI" w:cs="Segoe UI"/>
        </w:rPr>
        <w:t xml:space="preserve">Canadian </w:t>
      </w:r>
      <w:r w:rsidRPr="007666D5">
        <w:rPr>
          <w:rFonts w:ascii="Segoe UI" w:hAnsi="Segoe UI" w:cs="Segoe UI"/>
        </w:rPr>
        <w:t xml:space="preserve">governments have not taken the steps necessary to realize the right to substantive equality by implementing the necessary laws, programs, and measures, and allocating the necessary resources, to address and remedy women’s long-standing structural and systemic inequality. </w:t>
      </w:r>
    </w:p>
    <w:p w14:paraId="590F1CCF" w14:textId="77777777" w:rsidR="007F0DED" w:rsidRPr="007666D5" w:rsidRDefault="007F0DED" w:rsidP="008E08C2">
      <w:pPr>
        <w:autoSpaceDE w:val="0"/>
        <w:autoSpaceDN w:val="0"/>
        <w:adjustRightInd w:val="0"/>
        <w:rPr>
          <w:rFonts w:ascii="Segoe UI" w:hAnsi="Segoe UI" w:cs="Segoe UI"/>
        </w:rPr>
      </w:pPr>
    </w:p>
    <w:p w14:paraId="33D103FF" w14:textId="52DFACC4" w:rsidR="007F0DED" w:rsidRDefault="007F0DED" w:rsidP="008E08C2">
      <w:pPr>
        <w:autoSpaceDE w:val="0"/>
        <w:autoSpaceDN w:val="0"/>
        <w:adjustRightInd w:val="0"/>
        <w:rPr>
          <w:rFonts w:ascii="Segoe UI" w:hAnsi="Segoe UI" w:cs="Segoe UI"/>
        </w:rPr>
      </w:pPr>
      <w:r>
        <w:rPr>
          <w:rFonts w:ascii="Segoe UI" w:hAnsi="Segoe UI" w:cs="Segoe UI"/>
        </w:rPr>
        <w:t>COVID-19 exposed and exacerbated long-known truths regarding the inequality of women in Canada.</w:t>
      </w:r>
      <w:r w:rsidRPr="0063362D">
        <w:rPr>
          <w:rFonts w:ascii="Segoe UI" w:hAnsi="Segoe UI" w:cs="Segoe UI"/>
        </w:rPr>
        <w:t xml:space="preserve"> </w:t>
      </w:r>
      <w:r>
        <w:rPr>
          <w:rFonts w:ascii="Segoe UI" w:hAnsi="Segoe UI" w:cs="Segoe UI"/>
        </w:rPr>
        <w:t xml:space="preserve">More women lost jobs because of shut-downs; as the majority of workers in health care, women were on the front lines dealing with COVID exposure and institutional stresses; women’s burden of unpaid caregiving increased because of school and work shutdowns; </w:t>
      </w:r>
      <w:r w:rsidR="009E032F">
        <w:rPr>
          <w:rFonts w:ascii="Segoe UI" w:hAnsi="Segoe UI" w:cs="Segoe UI"/>
        </w:rPr>
        <w:t xml:space="preserve">and </w:t>
      </w:r>
      <w:r>
        <w:rPr>
          <w:rFonts w:ascii="Segoe UI" w:hAnsi="Segoe UI" w:cs="Segoe UI"/>
        </w:rPr>
        <w:t>women were exposed to increased male violence in the home</w:t>
      </w:r>
      <w:r>
        <w:rPr>
          <w:rStyle w:val="FootnoteReference"/>
          <w:rFonts w:ascii="Segoe UI" w:hAnsi="Segoe UI" w:cs="Segoe UI"/>
        </w:rPr>
        <w:footnoteReference w:id="10"/>
      </w:r>
      <w:r>
        <w:rPr>
          <w:rFonts w:ascii="Segoe UI" w:hAnsi="Segoe UI" w:cs="Segoe UI"/>
        </w:rPr>
        <w:t xml:space="preserve">. </w:t>
      </w:r>
    </w:p>
    <w:p w14:paraId="74931C75" w14:textId="77777777" w:rsidR="007F0DED" w:rsidRDefault="007F0DED" w:rsidP="008E08C2">
      <w:pPr>
        <w:autoSpaceDE w:val="0"/>
        <w:autoSpaceDN w:val="0"/>
        <w:adjustRightInd w:val="0"/>
        <w:rPr>
          <w:rFonts w:ascii="Segoe UI" w:hAnsi="Segoe UI" w:cs="Segoe UI"/>
        </w:rPr>
      </w:pPr>
    </w:p>
    <w:p w14:paraId="4AB7B801" w14:textId="77777777" w:rsidR="007F0DED" w:rsidRPr="007666D5" w:rsidRDefault="007F0DED" w:rsidP="008E08C2">
      <w:pPr>
        <w:autoSpaceDE w:val="0"/>
        <w:autoSpaceDN w:val="0"/>
        <w:adjustRightInd w:val="0"/>
        <w:rPr>
          <w:rFonts w:ascii="Segoe UI" w:hAnsi="Segoe UI" w:cs="Segoe UI"/>
        </w:rPr>
      </w:pPr>
      <w:r w:rsidRPr="007666D5">
        <w:rPr>
          <w:rFonts w:ascii="Segoe UI" w:hAnsi="Segoe UI" w:cs="Segoe UI"/>
        </w:rPr>
        <w:t>Canada’s failures to implement the rights to an adequate standard of living, to adequate housing, to health, and to just and favourable conditions of work ha</w:t>
      </w:r>
      <w:r>
        <w:rPr>
          <w:rFonts w:ascii="Segoe UI" w:hAnsi="Segoe UI" w:cs="Segoe UI"/>
        </w:rPr>
        <w:t>d</w:t>
      </w:r>
      <w:r w:rsidRPr="007666D5">
        <w:rPr>
          <w:rFonts w:ascii="Segoe UI" w:hAnsi="Segoe UI" w:cs="Segoe UI"/>
        </w:rPr>
        <w:t xml:space="preserve"> especially devastating </w:t>
      </w:r>
      <w:r w:rsidRPr="000D5426">
        <w:rPr>
          <w:rFonts w:ascii="Segoe UI" w:hAnsi="Segoe UI" w:cs="Segoe UI"/>
        </w:rPr>
        <w:t>effects on women in a time of crisis, and particularly on those women who are most disadvantaged, including Indigenous women, Black women, racialized women, newcomer women, women living with disabilities, single mothers, and LGBTQ2S communities.</w:t>
      </w:r>
      <w:r w:rsidRPr="007666D5">
        <w:rPr>
          <w:rStyle w:val="FootnoteReference"/>
          <w:rFonts w:ascii="Segoe UI" w:hAnsi="Segoe UI" w:cs="Segoe UI"/>
        </w:rPr>
        <w:footnoteReference w:id="11"/>
      </w:r>
      <w:r>
        <w:rPr>
          <w:rFonts w:ascii="Segoe UI" w:hAnsi="Segoe UI" w:cs="Segoe UI"/>
        </w:rPr>
        <w:t xml:space="preserve"> FAFIA, along</w:t>
      </w:r>
      <w:r w:rsidRPr="007666D5">
        <w:rPr>
          <w:rFonts w:ascii="Segoe UI" w:hAnsi="Segoe UI" w:cs="Segoe UI"/>
        </w:rPr>
        <w:t xml:space="preserve"> with many women’s organizations in Canada, echoed the call of UN Secretary-General António Guterres, </w:t>
      </w:r>
      <w:r>
        <w:rPr>
          <w:rFonts w:ascii="Segoe UI" w:hAnsi="Segoe UI" w:cs="Segoe UI"/>
        </w:rPr>
        <w:t>and urged</w:t>
      </w:r>
      <w:r w:rsidRPr="007666D5">
        <w:rPr>
          <w:rFonts w:ascii="Segoe UI" w:hAnsi="Segoe UI" w:cs="Segoe UI"/>
        </w:rPr>
        <w:t xml:space="preserve"> our governments to design a new gender and social pact, rooted in core human rights principles, that will fulfill women’s economic and social rights and women’s right to equality.</w:t>
      </w:r>
      <w:r w:rsidRPr="007666D5">
        <w:rPr>
          <w:rStyle w:val="FootnoteReference"/>
          <w:rFonts w:ascii="Segoe UI" w:hAnsi="Segoe UI" w:cs="Segoe UI"/>
        </w:rPr>
        <w:footnoteReference w:id="12"/>
      </w:r>
      <w:r w:rsidRPr="007666D5">
        <w:rPr>
          <w:rFonts w:ascii="Segoe UI" w:hAnsi="Segoe UI" w:cs="Segoe UI"/>
        </w:rPr>
        <w:t xml:space="preserve"> </w:t>
      </w:r>
      <w:r>
        <w:rPr>
          <w:rFonts w:ascii="Segoe UI" w:hAnsi="Segoe UI" w:cs="Segoe UI"/>
        </w:rPr>
        <w:t>However, nothing has changed.</w:t>
      </w:r>
    </w:p>
    <w:p w14:paraId="051ACFD0" w14:textId="77777777" w:rsidR="007F0DED" w:rsidRPr="007666D5" w:rsidRDefault="007F0DED" w:rsidP="008E08C2">
      <w:pPr>
        <w:autoSpaceDE w:val="0"/>
        <w:autoSpaceDN w:val="0"/>
        <w:adjustRightInd w:val="0"/>
        <w:rPr>
          <w:rFonts w:ascii="Segoe UI" w:hAnsi="Segoe UI" w:cs="Segoe UI"/>
        </w:rPr>
      </w:pPr>
    </w:p>
    <w:p w14:paraId="70A3230B" w14:textId="77777777" w:rsidR="007F0DED" w:rsidRPr="00085CC1" w:rsidRDefault="007F0DED" w:rsidP="00117915">
      <w:pPr>
        <w:pStyle w:val="Heading2"/>
        <w:numPr>
          <w:ilvl w:val="0"/>
          <w:numId w:val="13"/>
        </w:numPr>
        <w:rPr>
          <w:color w:val="993300"/>
          <w:sz w:val="24"/>
          <w:szCs w:val="24"/>
        </w:rPr>
      </w:pPr>
      <w:bookmarkStart w:id="25" w:name="_Toc72489158"/>
      <w:bookmarkStart w:id="26" w:name="_Toc72489181"/>
      <w:bookmarkStart w:id="27" w:name="_Toc72489244"/>
      <w:bookmarkStart w:id="28" w:name="_Toc72490496"/>
      <w:bookmarkStart w:id="29" w:name="_Toc72491010"/>
      <w:bookmarkStart w:id="30" w:name="_Toc72491428"/>
      <w:bookmarkStart w:id="31" w:name="_Toc220664133"/>
      <w:bookmarkStart w:id="32" w:name="_Toc336870899"/>
      <w:bookmarkStart w:id="33" w:name="_Toc463213743"/>
      <w:r w:rsidRPr="00085CC1">
        <w:rPr>
          <w:color w:val="993300"/>
          <w:sz w:val="24"/>
          <w:szCs w:val="24"/>
        </w:rPr>
        <w:t>A New Gender and Social Pact and a Comprehensive Plan</w:t>
      </w:r>
      <w:bookmarkEnd w:id="25"/>
      <w:bookmarkEnd w:id="26"/>
      <w:bookmarkEnd w:id="27"/>
      <w:bookmarkEnd w:id="28"/>
      <w:bookmarkEnd w:id="29"/>
      <w:bookmarkEnd w:id="30"/>
      <w:bookmarkEnd w:id="31"/>
      <w:r w:rsidRPr="00085CC1">
        <w:rPr>
          <w:color w:val="993300"/>
          <w:sz w:val="24"/>
          <w:szCs w:val="24"/>
        </w:rPr>
        <w:t xml:space="preserve"> </w:t>
      </w:r>
      <w:bookmarkEnd w:id="32"/>
      <w:bookmarkEnd w:id="33"/>
      <w:r w:rsidRPr="00085CC1">
        <w:rPr>
          <w:color w:val="993300"/>
          <w:sz w:val="24"/>
          <w:szCs w:val="24"/>
        </w:rPr>
        <w:t xml:space="preserve"> </w:t>
      </w:r>
    </w:p>
    <w:p w14:paraId="3D845DF3" w14:textId="77777777" w:rsidR="007F0DED" w:rsidRPr="007666D5" w:rsidRDefault="007F0DED" w:rsidP="008E08C2">
      <w:pPr>
        <w:rPr>
          <w:rFonts w:ascii="Segoe UI" w:hAnsi="Segoe UI" w:cs="Segoe UI"/>
          <w:sz w:val="28"/>
          <w:szCs w:val="28"/>
        </w:rPr>
      </w:pPr>
    </w:p>
    <w:p w14:paraId="326063B2" w14:textId="2A55F07D" w:rsidR="007F0DED" w:rsidRPr="007666D5" w:rsidRDefault="007F0DED" w:rsidP="008E08C2">
      <w:pPr>
        <w:rPr>
          <w:rFonts w:ascii="Segoe UI" w:hAnsi="Segoe UI" w:cs="Segoe UI"/>
        </w:rPr>
      </w:pPr>
      <w:r w:rsidRPr="007666D5">
        <w:rPr>
          <w:rFonts w:ascii="Segoe UI" w:hAnsi="Segoe UI" w:cs="Segoe UI"/>
        </w:rPr>
        <w:t xml:space="preserve">In March 2016, the CESCR made a critical recommendation to Canada, calling on the State to: </w:t>
      </w:r>
    </w:p>
    <w:p w14:paraId="36DD7184" w14:textId="77777777" w:rsidR="007F0DED" w:rsidRPr="007666D5" w:rsidRDefault="007F0DED" w:rsidP="008E08C2">
      <w:pPr>
        <w:ind w:left="562" w:right="1426"/>
        <w:rPr>
          <w:rFonts w:ascii="Segoe UI" w:hAnsi="Segoe UI" w:cs="Segoe UI"/>
        </w:rPr>
      </w:pPr>
      <w:r w:rsidRPr="007666D5">
        <w:rPr>
          <w:rFonts w:ascii="Segoe UI" w:hAnsi="Segoe UI" w:cs="Segoe UI"/>
        </w:rPr>
        <w:t>Develop and implement a comprehensive national gender equality plan to address the structural factors leading to gender inequality, in close cooperation with provinces and territories, as well as in consultation with civil society organizations.</w:t>
      </w:r>
      <w:bookmarkStart w:id="34" w:name="_Ref336881016"/>
      <w:r w:rsidRPr="007666D5">
        <w:rPr>
          <w:rStyle w:val="FootnoteReference"/>
          <w:rFonts w:ascii="Segoe UI" w:hAnsi="Segoe UI" w:cs="Segoe UI"/>
        </w:rPr>
        <w:footnoteReference w:id="13"/>
      </w:r>
      <w:bookmarkEnd w:id="34"/>
    </w:p>
    <w:p w14:paraId="6858A43A" w14:textId="77777777" w:rsidR="007F0DED" w:rsidRPr="007666D5" w:rsidRDefault="007F0DED" w:rsidP="008E08C2">
      <w:pPr>
        <w:ind w:left="360"/>
        <w:rPr>
          <w:rFonts w:ascii="Segoe UI" w:hAnsi="Segoe UI" w:cs="Segoe UI"/>
        </w:rPr>
      </w:pPr>
    </w:p>
    <w:p w14:paraId="602E56AD" w14:textId="3DF7A3C2" w:rsidR="007F0DED" w:rsidRPr="007666D5" w:rsidRDefault="007F0DED" w:rsidP="008E08C2">
      <w:pPr>
        <w:rPr>
          <w:rFonts w:ascii="Segoe UI" w:hAnsi="Segoe UI" w:cs="Segoe UI"/>
        </w:rPr>
      </w:pPr>
      <w:r w:rsidRPr="007666D5">
        <w:rPr>
          <w:rFonts w:ascii="Segoe UI" w:hAnsi="Segoe UI" w:cs="Segoe UI"/>
        </w:rPr>
        <w:t xml:space="preserve">In November 2016, the CEDAW Committee recommended that Canada: </w:t>
      </w:r>
    </w:p>
    <w:p w14:paraId="6CC010F9" w14:textId="77777777" w:rsidR="007F0DED" w:rsidRDefault="007F0DED" w:rsidP="008E08C2">
      <w:pPr>
        <w:ind w:left="432" w:right="432"/>
        <w:rPr>
          <w:rFonts w:ascii="Segoe UI" w:hAnsi="Segoe UI" w:cs="Segoe UI"/>
        </w:rPr>
      </w:pPr>
      <w:r w:rsidRPr="007666D5">
        <w:rPr>
          <w:rFonts w:ascii="Segoe UI" w:hAnsi="Segoe UI" w:cs="Segoe UI"/>
        </w:rPr>
        <w:t>Develop a comprehensive national gender strategy, policy and action plan addressing the structural factors that cause persistent inequalities with respect to women and girls, including intersecting forms of discrimination, with a special focus on disadvantaged groups such as women and girls with disabilities, those who are single parents, indigenous, Afro-Canadian, migrant, refugee, asylum-seeking, lesbian and bisexual women and girls, and transsexual and intersex persons.</w:t>
      </w:r>
      <w:r w:rsidRPr="007666D5">
        <w:rPr>
          <w:rStyle w:val="FootnoteReference"/>
          <w:rFonts w:ascii="Segoe UI" w:hAnsi="Segoe UI" w:cs="Segoe UI"/>
        </w:rPr>
        <w:t xml:space="preserve"> </w:t>
      </w:r>
      <w:r w:rsidRPr="007666D5">
        <w:rPr>
          <w:rStyle w:val="FootnoteReference"/>
          <w:rFonts w:ascii="Segoe UI" w:hAnsi="Segoe UI" w:cs="Segoe UI"/>
        </w:rPr>
        <w:footnoteReference w:id="14"/>
      </w:r>
    </w:p>
    <w:p w14:paraId="1F581067" w14:textId="77777777" w:rsidR="007F0DED" w:rsidRDefault="007F0DED" w:rsidP="0063362D">
      <w:pPr>
        <w:ind w:right="432"/>
        <w:rPr>
          <w:rFonts w:ascii="Segoe UI" w:hAnsi="Segoe UI" w:cs="Segoe UI"/>
        </w:rPr>
      </w:pPr>
    </w:p>
    <w:p w14:paraId="107A0122" w14:textId="77777777" w:rsidR="007F0DED" w:rsidRPr="007666D5" w:rsidRDefault="007F0DED" w:rsidP="0063362D">
      <w:pPr>
        <w:ind w:right="432"/>
        <w:rPr>
          <w:rFonts w:ascii="Segoe UI" w:hAnsi="Segoe UI" w:cs="Segoe UI"/>
        </w:rPr>
      </w:pPr>
      <w:r>
        <w:rPr>
          <w:rFonts w:ascii="Segoe UI" w:hAnsi="Segoe UI" w:cs="Segoe UI"/>
        </w:rPr>
        <w:t>In October 2024, the CEDAW Committee expressed concern about the feminization of poverty in Canada and issued a detailed recommendation regarding homelessness, the burden of unpaid care work, and the inadequacy of social measures of support and protection for the most vulnerable women.</w:t>
      </w:r>
      <w:r>
        <w:rPr>
          <w:rStyle w:val="FootnoteReference"/>
          <w:rFonts w:ascii="Segoe UI" w:hAnsi="Segoe UI" w:cs="Segoe UI"/>
        </w:rPr>
        <w:footnoteReference w:id="15"/>
      </w:r>
    </w:p>
    <w:p w14:paraId="338A344B" w14:textId="77777777" w:rsidR="007F0DED" w:rsidRPr="007666D5" w:rsidRDefault="007F0DED" w:rsidP="008E08C2">
      <w:pPr>
        <w:ind w:left="432" w:right="432"/>
        <w:rPr>
          <w:rFonts w:ascii="Segoe UI" w:hAnsi="Segoe UI" w:cs="Segoe UI"/>
        </w:rPr>
      </w:pPr>
    </w:p>
    <w:p w14:paraId="5804EAE6" w14:textId="77777777" w:rsidR="007F0DED" w:rsidRDefault="007F0DED" w:rsidP="008E08C2">
      <w:pPr>
        <w:ind w:right="432"/>
        <w:rPr>
          <w:rFonts w:ascii="Segoe UI" w:hAnsi="Segoe UI" w:cs="Segoe UI"/>
        </w:rPr>
      </w:pPr>
      <w:r>
        <w:rPr>
          <w:rFonts w:ascii="Segoe UI" w:hAnsi="Segoe UI" w:cs="Segoe UI"/>
        </w:rPr>
        <w:t>T</w:t>
      </w:r>
      <w:r w:rsidRPr="007666D5">
        <w:rPr>
          <w:rFonts w:ascii="Segoe UI" w:hAnsi="Segoe UI" w:cs="Segoe UI"/>
        </w:rPr>
        <w:t>hese recommendations ha</w:t>
      </w:r>
      <w:r>
        <w:rPr>
          <w:rFonts w:ascii="Segoe UI" w:hAnsi="Segoe UI" w:cs="Segoe UI"/>
        </w:rPr>
        <w:t>ve</w:t>
      </w:r>
      <w:r w:rsidRPr="007666D5">
        <w:rPr>
          <w:rFonts w:ascii="Segoe UI" w:hAnsi="Segoe UI" w:cs="Segoe UI"/>
        </w:rPr>
        <w:t xml:space="preserve"> not been acted on by Canada.</w:t>
      </w:r>
    </w:p>
    <w:p w14:paraId="4FB46899" w14:textId="77777777" w:rsidR="007F0DED" w:rsidRDefault="007F0DED" w:rsidP="008E08C2">
      <w:pPr>
        <w:ind w:right="432"/>
        <w:rPr>
          <w:rFonts w:ascii="Segoe UI" w:hAnsi="Segoe UI" w:cs="Segoe UI"/>
        </w:rPr>
      </w:pPr>
    </w:p>
    <w:p w14:paraId="571D96C3" w14:textId="77777777" w:rsidR="007F0DED" w:rsidRPr="007666D5" w:rsidRDefault="007F0DED" w:rsidP="008E08C2">
      <w:pPr>
        <w:ind w:right="432"/>
        <w:rPr>
          <w:rFonts w:ascii="Segoe UI" w:hAnsi="Segoe UI" w:cs="Segoe UI"/>
        </w:rPr>
      </w:pPr>
      <w:r>
        <w:rPr>
          <w:rFonts w:ascii="Segoe UI" w:hAnsi="Segoe UI" w:cs="Segoe UI"/>
        </w:rPr>
        <w:t xml:space="preserve">Following the review of Canada by the CEDAW Committee in October 2024, FAFIA and a coalition of women’s organizations developed a proposal for civil society – government dialogue. The goal of this proposal was to bring governments and civil society experts together in “implementation tables” where strategies and methods could be designed for the implementation of the CEDAW Committee’s recommendations. In March 2025, the proposal was presented to the Senior </w:t>
      </w:r>
      <w:r>
        <w:rPr>
          <w:rFonts w:ascii="Segoe UI" w:hAnsi="Segoe UI" w:cs="Segoe UI"/>
        </w:rPr>
        <w:lastRenderedPageBreak/>
        <w:t xml:space="preserve">Committee of Officials Responsible for Human Rights, an intergovernmental Committee charged with overseeing Canada’s human rights compliance. No response has yet been received. </w:t>
      </w:r>
      <w:r w:rsidRPr="007666D5">
        <w:rPr>
          <w:rFonts w:ascii="Segoe UI" w:hAnsi="Segoe UI" w:cs="Segoe UI"/>
        </w:rPr>
        <w:t xml:space="preserve"> </w:t>
      </w:r>
    </w:p>
    <w:p w14:paraId="252DA73C" w14:textId="77777777" w:rsidR="007F0DED" w:rsidRPr="007666D5" w:rsidRDefault="007F0DED" w:rsidP="008E08C2">
      <w:pPr>
        <w:ind w:right="432"/>
        <w:rPr>
          <w:rFonts w:ascii="Segoe UI" w:hAnsi="Segoe UI" w:cs="Segoe UI"/>
        </w:rPr>
      </w:pPr>
    </w:p>
    <w:p w14:paraId="63756DF4" w14:textId="77777777" w:rsidR="007F0DED" w:rsidRPr="007666D5" w:rsidRDefault="007F0DED" w:rsidP="008E08C2">
      <w:pPr>
        <w:ind w:right="432"/>
        <w:rPr>
          <w:rFonts w:ascii="Segoe UI" w:hAnsi="Segoe UI" w:cs="Segoe UI"/>
        </w:rPr>
      </w:pPr>
      <w:r w:rsidRPr="007666D5">
        <w:rPr>
          <w:rFonts w:ascii="Segoe UI" w:hAnsi="Segoe UI" w:cs="Segoe UI"/>
        </w:rPr>
        <w:t xml:space="preserve">FAFIA submits that, particularly in light </w:t>
      </w:r>
      <w:r>
        <w:rPr>
          <w:rFonts w:ascii="Segoe UI" w:hAnsi="Segoe UI" w:cs="Segoe UI"/>
        </w:rPr>
        <w:t xml:space="preserve">what was </w:t>
      </w:r>
      <w:r w:rsidRPr="007666D5">
        <w:rPr>
          <w:rFonts w:ascii="Segoe UI" w:hAnsi="Segoe UI" w:cs="Segoe UI"/>
        </w:rPr>
        <w:t xml:space="preserve">exposed by the COVID-19 pandemic, it is time to address the structural inequality of women in Canada in a holistic way. Rather than dealing with the manifestations of deeply rooted systemic discrimination as disconnected factors that can be corrected in isolation from each other, FAFIA recognizes that poverty and income inequality, systemic discrimination in employment, inadequate social programs (social assistance, housing, childcare), lack of access to justice, male violence against women, and police failure to provide women with equal protection of the law are factors that interact with each other to create a structure of inequality for women. Its most harmful effects are experienced by Indigenous women, Black women and racialized women, women with disabilities, single mothers, refugee and immigrant women, and LGBTQ2S communities.  </w:t>
      </w:r>
    </w:p>
    <w:p w14:paraId="2B081C95" w14:textId="77777777" w:rsidR="007F0DED" w:rsidRPr="007666D5" w:rsidRDefault="007F0DED" w:rsidP="008E08C2">
      <w:pPr>
        <w:rPr>
          <w:rFonts w:ascii="Segoe UI" w:hAnsi="Segoe UI" w:cs="Segoe UI"/>
        </w:rPr>
      </w:pPr>
    </w:p>
    <w:p w14:paraId="713D4C07" w14:textId="77777777" w:rsidR="007F0DED" w:rsidRPr="007666D5" w:rsidRDefault="007F0DED" w:rsidP="008E08C2">
      <w:pPr>
        <w:rPr>
          <w:rFonts w:ascii="Segoe UI" w:hAnsi="Segoe UI" w:cs="Segoe UI"/>
        </w:rPr>
      </w:pPr>
      <w:r w:rsidRPr="007666D5">
        <w:rPr>
          <w:rFonts w:ascii="Segoe UI" w:hAnsi="Segoe UI" w:cs="Segoe UI"/>
        </w:rPr>
        <w:t>This submission addresses some key components that must be addressed if women in Canada are to enjoy the equality they are guaranteed by Article 26 of the Covenant, and related guarantees in international human rights law.</w:t>
      </w:r>
    </w:p>
    <w:p w14:paraId="579AA8D2" w14:textId="77777777" w:rsidR="007F0DED" w:rsidRPr="007666D5" w:rsidRDefault="007F0DED" w:rsidP="008E08C2">
      <w:pPr>
        <w:rPr>
          <w:rFonts w:ascii="Segoe UI" w:hAnsi="Segoe UI" w:cs="Segoe UI"/>
        </w:rPr>
      </w:pPr>
    </w:p>
    <w:p w14:paraId="634B58ED" w14:textId="77777777" w:rsidR="007F0DED" w:rsidRPr="00085CC1" w:rsidRDefault="007F0DED" w:rsidP="00117915">
      <w:pPr>
        <w:pStyle w:val="Heading2"/>
        <w:numPr>
          <w:ilvl w:val="0"/>
          <w:numId w:val="14"/>
        </w:numPr>
        <w:rPr>
          <w:color w:val="993300"/>
          <w:w w:val="103"/>
          <w:sz w:val="24"/>
          <w:szCs w:val="24"/>
        </w:rPr>
      </w:pPr>
      <w:bookmarkStart w:id="35" w:name="_Toc336870900"/>
      <w:bookmarkStart w:id="36" w:name="_Toc463213744"/>
      <w:bookmarkStart w:id="37" w:name="_Toc72489159"/>
      <w:bookmarkStart w:id="38" w:name="_Toc72489182"/>
      <w:bookmarkStart w:id="39" w:name="_Toc72489245"/>
      <w:bookmarkStart w:id="40" w:name="_Toc72490497"/>
      <w:bookmarkStart w:id="41" w:name="_Toc72491011"/>
      <w:bookmarkStart w:id="42" w:name="_Toc72491429"/>
      <w:bookmarkStart w:id="43" w:name="_Toc220664134"/>
      <w:r w:rsidRPr="00085CC1">
        <w:rPr>
          <w:color w:val="993300"/>
          <w:w w:val="103"/>
          <w:sz w:val="24"/>
          <w:szCs w:val="24"/>
        </w:rPr>
        <w:t>Women’s Poverty and Income Inequality</w:t>
      </w:r>
      <w:bookmarkEnd w:id="35"/>
      <w:bookmarkEnd w:id="36"/>
      <w:bookmarkEnd w:id="37"/>
      <w:bookmarkEnd w:id="38"/>
      <w:bookmarkEnd w:id="39"/>
      <w:bookmarkEnd w:id="40"/>
      <w:bookmarkEnd w:id="41"/>
      <w:bookmarkEnd w:id="42"/>
      <w:bookmarkEnd w:id="43"/>
    </w:p>
    <w:p w14:paraId="5C9F77BA" w14:textId="77777777" w:rsidR="007F0DED" w:rsidRPr="00085CC1" w:rsidRDefault="007F0DED" w:rsidP="008E08C2">
      <w:pPr>
        <w:rPr>
          <w:rFonts w:ascii="Segoe UI" w:hAnsi="Segoe UI" w:cs="Segoe UI"/>
          <w:color w:val="993300"/>
        </w:rPr>
      </w:pPr>
    </w:p>
    <w:p w14:paraId="6CC10F88" w14:textId="77777777" w:rsidR="007F0DED" w:rsidRPr="007666D5" w:rsidRDefault="007F0DED" w:rsidP="008E08C2">
      <w:pPr>
        <w:rPr>
          <w:rFonts w:ascii="Segoe UI" w:hAnsi="Segoe UI" w:cs="Segoe UI"/>
        </w:rPr>
      </w:pPr>
      <w:r w:rsidRPr="007666D5">
        <w:rPr>
          <w:rFonts w:ascii="Segoe UI" w:hAnsi="Segoe UI" w:cs="Segoe UI"/>
        </w:rPr>
        <w:t xml:space="preserve">About 10.2% of women in Canada live in poverty according to </w:t>
      </w:r>
      <w:r w:rsidRPr="00234FE5">
        <w:rPr>
          <w:rFonts w:ascii="Segoe UI" w:hAnsi="Segoe UI" w:cs="Segoe UI"/>
        </w:rPr>
        <w:t>Statistics Canada’s</w:t>
      </w:r>
      <w:r w:rsidRPr="007666D5">
        <w:rPr>
          <w:rFonts w:ascii="Segoe UI" w:hAnsi="Segoe UI" w:cs="Segoe UI"/>
        </w:rPr>
        <w:t xml:space="preserve"> 2023 figures.</w:t>
      </w:r>
      <w:r w:rsidRPr="007666D5">
        <w:rPr>
          <w:rStyle w:val="FootnoteReference"/>
          <w:rFonts w:ascii="Segoe UI" w:hAnsi="Segoe UI" w:cs="Segoe UI"/>
        </w:rPr>
        <w:footnoteReference w:id="16"/>
      </w:r>
      <w:r w:rsidRPr="007666D5">
        <w:rPr>
          <w:rFonts w:ascii="Segoe UI" w:hAnsi="Segoe UI" w:cs="Segoe UI"/>
        </w:rPr>
        <w:t xml:space="preserve"> </w:t>
      </w:r>
      <w:r w:rsidRPr="00125D18">
        <w:rPr>
          <w:rFonts w:ascii="Segoe UI" w:hAnsi="Segoe UI" w:cs="Segoe UI"/>
        </w:rPr>
        <w:t>Availa</w:t>
      </w:r>
      <w:r w:rsidRPr="007666D5">
        <w:rPr>
          <w:rFonts w:ascii="Segoe UI" w:hAnsi="Segoe UI" w:cs="Segoe UI"/>
        </w:rPr>
        <w:t>ble data shows the percentage of women in poverty has consistently risen since COVID-19 in 2020.</w:t>
      </w:r>
      <w:r w:rsidRPr="007666D5">
        <w:rPr>
          <w:rStyle w:val="FootnoteReference"/>
          <w:rFonts w:ascii="Segoe UI" w:hAnsi="Segoe UI" w:cs="Segoe UI"/>
        </w:rPr>
        <w:footnoteReference w:id="17"/>
      </w:r>
      <w:r w:rsidRPr="007666D5">
        <w:rPr>
          <w:rFonts w:ascii="Segoe UI" w:hAnsi="Segoe UI" w:cs="Segoe UI"/>
        </w:rPr>
        <w:t xml:space="preserve"> Women continue to be poorer than men in Canada, more likely to be poor, and more likely to live in deeper poverty.</w:t>
      </w:r>
    </w:p>
    <w:p w14:paraId="457DC300" w14:textId="77777777" w:rsidR="007F0DED" w:rsidRPr="007666D5" w:rsidRDefault="007F0DED" w:rsidP="008E08C2">
      <w:pPr>
        <w:jc w:val="both"/>
        <w:rPr>
          <w:rFonts w:ascii="Segoe UI" w:hAnsi="Segoe UI" w:cs="Segoe UI"/>
        </w:rPr>
      </w:pPr>
    </w:p>
    <w:p w14:paraId="04AEB4BD" w14:textId="77777777" w:rsidR="007F0DED" w:rsidRPr="007666D5" w:rsidRDefault="007F0DED" w:rsidP="008E08C2">
      <w:pPr>
        <w:jc w:val="both"/>
        <w:rPr>
          <w:rFonts w:ascii="Segoe UI" w:hAnsi="Segoe UI" w:cs="Segoe UI"/>
        </w:rPr>
      </w:pPr>
      <w:r w:rsidRPr="007666D5">
        <w:rPr>
          <w:rFonts w:ascii="Segoe UI" w:hAnsi="Segoe UI" w:cs="Segoe UI"/>
        </w:rPr>
        <w:t>Particular groups of women have much higher rates of poverty:</w:t>
      </w:r>
    </w:p>
    <w:p w14:paraId="3D58730E" w14:textId="77777777" w:rsidR="007F0DED" w:rsidRDefault="007F0DED" w:rsidP="00D56E2A">
      <w:pPr>
        <w:widowControl w:val="0"/>
        <w:numPr>
          <w:ilvl w:val="0"/>
          <w:numId w:val="6"/>
        </w:numPr>
        <w:suppressAutoHyphens/>
        <w:ind w:left="2400" w:hanging="480"/>
        <w:jc w:val="both"/>
        <w:rPr>
          <w:rFonts w:ascii="Segoe UI" w:hAnsi="Segoe UI" w:cs="Segoe UI"/>
        </w:rPr>
      </w:pPr>
      <w:r w:rsidRPr="007666D5">
        <w:rPr>
          <w:rFonts w:ascii="Segoe UI" w:hAnsi="Segoe UI" w:cs="Segoe UI"/>
        </w:rPr>
        <w:t xml:space="preserve">13.7% of </w:t>
      </w:r>
      <w:r>
        <w:rPr>
          <w:rFonts w:ascii="Segoe UI" w:hAnsi="Segoe UI" w:cs="Segoe UI"/>
        </w:rPr>
        <w:t xml:space="preserve">Indigenous </w:t>
      </w:r>
      <w:r w:rsidRPr="007666D5">
        <w:rPr>
          <w:rFonts w:ascii="Segoe UI" w:hAnsi="Segoe UI" w:cs="Segoe UI"/>
        </w:rPr>
        <w:t>women</w:t>
      </w:r>
      <w:r>
        <w:rPr>
          <w:rFonts w:ascii="Segoe UI" w:hAnsi="Segoe UI" w:cs="Segoe UI"/>
        </w:rPr>
        <w:t xml:space="preserve"> living off reserve</w:t>
      </w:r>
      <w:r w:rsidRPr="007666D5">
        <w:rPr>
          <w:rStyle w:val="FootnoteReference"/>
          <w:rFonts w:ascii="Segoe UI" w:hAnsi="Segoe UI" w:cs="Segoe UI"/>
        </w:rPr>
        <w:footnoteReference w:id="18"/>
      </w:r>
      <w:r w:rsidRPr="007666D5">
        <w:rPr>
          <w:rFonts w:ascii="Segoe UI" w:hAnsi="Segoe UI" w:cs="Segoe UI"/>
        </w:rPr>
        <w:t xml:space="preserve"> </w:t>
      </w:r>
    </w:p>
    <w:p w14:paraId="0542A300" w14:textId="77777777" w:rsidR="007F0DED" w:rsidRDefault="007F0DED" w:rsidP="00D56E2A">
      <w:pPr>
        <w:widowControl w:val="0"/>
        <w:numPr>
          <w:ilvl w:val="0"/>
          <w:numId w:val="6"/>
        </w:numPr>
        <w:suppressAutoHyphens/>
        <w:ind w:left="2400" w:hanging="480"/>
        <w:jc w:val="both"/>
        <w:rPr>
          <w:rFonts w:ascii="Segoe UI" w:hAnsi="Segoe UI" w:cs="Segoe UI"/>
        </w:rPr>
      </w:pPr>
      <w:r w:rsidRPr="007666D5">
        <w:rPr>
          <w:rFonts w:ascii="Segoe UI" w:hAnsi="Segoe UI" w:cs="Segoe UI"/>
        </w:rPr>
        <w:t>12% of transgender women</w:t>
      </w:r>
      <w:r>
        <w:rPr>
          <w:rStyle w:val="FootnoteReference"/>
          <w:rFonts w:ascii="Segoe UI" w:hAnsi="Segoe UI" w:cs="Segoe UI"/>
        </w:rPr>
        <w:footnoteReference w:id="19"/>
      </w:r>
    </w:p>
    <w:p w14:paraId="6873F257" w14:textId="77777777" w:rsidR="007F0DED" w:rsidRDefault="007F0DED" w:rsidP="00D56E2A">
      <w:pPr>
        <w:widowControl w:val="0"/>
        <w:numPr>
          <w:ilvl w:val="0"/>
          <w:numId w:val="6"/>
        </w:numPr>
        <w:suppressAutoHyphens/>
        <w:ind w:left="2400" w:hanging="480"/>
        <w:jc w:val="both"/>
        <w:rPr>
          <w:rFonts w:ascii="Segoe UI" w:hAnsi="Segoe UI" w:cs="Segoe UI"/>
        </w:rPr>
      </w:pPr>
      <w:r>
        <w:rPr>
          <w:rFonts w:ascii="Segoe UI" w:hAnsi="Segoe UI" w:cs="Segoe UI"/>
        </w:rPr>
        <w:t>11</w:t>
      </w:r>
      <w:r w:rsidRPr="007666D5">
        <w:rPr>
          <w:rFonts w:ascii="Segoe UI" w:hAnsi="Segoe UI" w:cs="Segoe UI"/>
        </w:rPr>
        <w:t>% of women with disabilities;</w:t>
      </w:r>
      <w:r w:rsidRPr="007666D5">
        <w:rPr>
          <w:rStyle w:val="FootnoteReference"/>
          <w:rFonts w:ascii="Segoe UI" w:hAnsi="Segoe UI" w:cs="Segoe UI"/>
        </w:rPr>
        <w:footnoteReference w:id="20"/>
      </w:r>
    </w:p>
    <w:p w14:paraId="4324EE6A" w14:textId="77777777" w:rsidR="007F0DED" w:rsidRDefault="007F0DED" w:rsidP="00D56E2A">
      <w:pPr>
        <w:widowControl w:val="0"/>
        <w:numPr>
          <w:ilvl w:val="0"/>
          <w:numId w:val="6"/>
        </w:numPr>
        <w:suppressAutoHyphens/>
        <w:ind w:left="2400" w:hanging="480"/>
        <w:jc w:val="both"/>
        <w:rPr>
          <w:rFonts w:ascii="Segoe UI" w:hAnsi="Segoe UI" w:cs="Segoe UI"/>
        </w:rPr>
      </w:pPr>
      <w:r>
        <w:rPr>
          <w:rFonts w:ascii="Segoe UI" w:hAnsi="Segoe UI" w:cs="Segoe UI"/>
        </w:rPr>
        <w:t>17.2% of single mothers;</w:t>
      </w:r>
      <w:r>
        <w:rPr>
          <w:rStyle w:val="FootnoteReference"/>
          <w:rFonts w:ascii="Segoe UI" w:hAnsi="Segoe UI" w:cs="Segoe UI"/>
        </w:rPr>
        <w:footnoteReference w:id="21"/>
      </w:r>
    </w:p>
    <w:p w14:paraId="7ADB272E" w14:textId="77777777" w:rsidR="007F0DED" w:rsidRDefault="007F0DED" w:rsidP="00D56E2A">
      <w:pPr>
        <w:widowControl w:val="0"/>
        <w:numPr>
          <w:ilvl w:val="0"/>
          <w:numId w:val="6"/>
        </w:numPr>
        <w:suppressAutoHyphens/>
        <w:ind w:left="2400" w:hanging="480"/>
        <w:jc w:val="both"/>
        <w:rPr>
          <w:rFonts w:ascii="Segoe UI" w:hAnsi="Segoe UI" w:cs="Segoe UI"/>
        </w:rPr>
      </w:pPr>
      <w:r w:rsidRPr="007666D5">
        <w:rPr>
          <w:rFonts w:ascii="Segoe UI" w:hAnsi="Segoe UI" w:cs="Segoe UI"/>
        </w:rPr>
        <w:lastRenderedPageBreak/>
        <w:t xml:space="preserve">33.4% of single women </w:t>
      </w:r>
      <w:r>
        <w:rPr>
          <w:rFonts w:ascii="Segoe UI" w:hAnsi="Segoe UI" w:cs="Segoe UI"/>
        </w:rPr>
        <w:t>under 65</w:t>
      </w:r>
      <w:r w:rsidRPr="007666D5">
        <w:rPr>
          <w:rFonts w:ascii="Segoe UI" w:hAnsi="Segoe UI" w:cs="Segoe UI"/>
        </w:rPr>
        <w:t>;</w:t>
      </w:r>
      <w:r w:rsidRPr="007666D5">
        <w:rPr>
          <w:rStyle w:val="FootnoteReference"/>
          <w:rFonts w:ascii="Segoe UI" w:hAnsi="Segoe UI" w:cs="Segoe UI"/>
        </w:rPr>
        <w:footnoteReference w:id="22"/>
      </w:r>
      <w:r w:rsidRPr="00661699">
        <w:rPr>
          <w:rFonts w:ascii="Segoe UI" w:hAnsi="Segoe UI" w:cs="Segoe UI"/>
        </w:rPr>
        <w:t xml:space="preserve"> and</w:t>
      </w:r>
    </w:p>
    <w:p w14:paraId="447B0546" w14:textId="77777777" w:rsidR="007F0DED" w:rsidRDefault="007F0DED" w:rsidP="00D56E2A">
      <w:pPr>
        <w:widowControl w:val="0"/>
        <w:numPr>
          <w:ilvl w:val="0"/>
          <w:numId w:val="6"/>
        </w:numPr>
        <w:suppressAutoHyphens/>
        <w:ind w:left="2400" w:hanging="480"/>
        <w:jc w:val="both"/>
        <w:rPr>
          <w:rFonts w:ascii="Segoe UI" w:hAnsi="Segoe UI" w:cs="Segoe UI"/>
        </w:rPr>
      </w:pPr>
      <w:r w:rsidRPr="007666D5">
        <w:rPr>
          <w:rFonts w:ascii="Segoe UI" w:hAnsi="Segoe UI" w:cs="Segoe UI"/>
        </w:rPr>
        <w:t>16% of single women over 65.</w:t>
      </w:r>
      <w:r w:rsidRPr="007666D5">
        <w:rPr>
          <w:rStyle w:val="FootnoteReference"/>
          <w:rFonts w:ascii="Segoe UI" w:hAnsi="Segoe UI" w:cs="Segoe UI"/>
        </w:rPr>
        <w:footnoteReference w:id="23"/>
      </w:r>
    </w:p>
    <w:p w14:paraId="3E86281F" w14:textId="77777777" w:rsidR="007F0DED" w:rsidRDefault="007F0DED" w:rsidP="008E08C2">
      <w:pPr>
        <w:rPr>
          <w:rFonts w:ascii="Segoe UI" w:hAnsi="Segoe UI" w:cs="Segoe UI"/>
        </w:rPr>
      </w:pPr>
    </w:p>
    <w:p w14:paraId="3BBDF0FF" w14:textId="426B5E95" w:rsidR="007F0DED" w:rsidRPr="007666D5" w:rsidRDefault="007F0DED" w:rsidP="00536FE4">
      <w:pPr>
        <w:rPr>
          <w:rFonts w:ascii="Segoe UI" w:hAnsi="Segoe UI" w:cs="Segoe UI"/>
        </w:rPr>
      </w:pPr>
      <w:r>
        <w:rPr>
          <w:rFonts w:ascii="Segoe UI" w:hAnsi="Segoe UI" w:cs="Segoe UI"/>
        </w:rPr>
        <w:t xml:space="preserve">In 2024, </w:t>
      </w:r>
      <w:r w:rsidRPr="007666D5">
        <w:rPr>
          <w:rFonts w:ascii="Segoe UI" w:hAnsi="Segoe UI" w:cs="Segoe UI"/>
        </w:rPr>
        <w:t>women aged 25 to 54 earned 0.87 cents for every dollar earned by men</w:t>
      </w:r>
      <w:r>
        <w:rPr>
          <w:rFonts w:ascii="Segoe UI" w:hAnsi="Segoe UI" w:cs="Segoe UI"/>
        </w:rPr>
        <w:t>.</w:t>
      </w:r>
      <w:r w:rsidRPr="007666D5">
        <w:rPr>
          <w:rStyle w:val="FootnoteReference"/>
          <w:rFonts w:ascii="Segoe UI" w:hAnsi="Segoe UI" w:cs="Segoe UI"/>
        </w:rPr>
        <w:footnoteReference w:id="24"/>
      </w:r>
      <w:r w:rsidRPr="007666D5">
        <w:rPr>
          <w:rFonts w:ascii="Segoe UI" w:hAnsi="Segoe UI" w:cs="Segoe UI"/>
        </w:rPr>
        <w:t xml:space="preserve"> Similar to rates of poverty, the gender wage gap </w:t>
      </w:r>
      <w:r>
        <w:rPr>
          <w:rFonts w:ascii="Segoe UI" w:hAnsi="Segoe UI" w:cs="Segoe UI"/>
        </w:rPr>
        <w:t xml:space="preserve">is significantly greater for racialized women, </w:t>
      </w:r>
      <w:r w:rsidRPr="007666D5">
        <w:rPr>
          <w:rFonts w:ascii="Segoe UI" w:hAnsi="Segoe UI" w:cs="Segoe UI"/>
        </w:rPr>
        <w:t>Indigenous women and immigrant women.</w:t>
      </w:r>
      <w:r w:rsidRPr="007666D5">
        <w:rPr>
          <w:rStyle w:val="FootnoteReference"/>
          <w:rFonts w:ascii="Segoe UI" w:hAnsi="Segoe UI" w:cs="Segoe UI"/>
        </w:rPr>
        <w:footnoteReference w:id="25"/>
      </w:r>
      <w:r w:rsidRPr="007666D5">
        <w:rPr>
          <w:rFonts w:ascii="Segoe UI" w:hAnsi="Segoe UI" w:cs="Segoe UI"/>
        </w:rPr>
        <w:t xml:space="preserve"> </w:t>
      </w:r>
      <w:r>
        <w:rPr>
          <w:rFonts w:ascii="Segoe UI" w:hAnsi="Segoe UI" w:cs="Segoe UI"/>
        </w:rPr>
        <w:t xml:space="preserve">Data on differences in hourly earnings by gender are not as illuminating, however, as data on the annual incomes of women and men, since women are the majority of part-time workers and their participation in the labour force is also constrained by </w:t>
      </w:r>
      <w:r w:rsidRPr="00A011DB">
        <w:rPr>
          <w:rFonts w:ascii="Segoe UI" w:hAnsi="Segoe UI" w:cs="Segoe UI"/>
        </w:rPr>
        <w:t xml:space="preserve">unpaid caregiving for children and older family members. </w:t>
      </w:r>
      <w:r w:rsidRPr="00D22C78">
        <w:rPr>
          <w:rFonts w:ascii="Segoe UI" w:hAnsi="Segoe UI" w:cs="Segoe UI"/>
        </w:rPr>
        <w:t xml:space="preserve">In 2022, Canadian women had an average employment income of 45,800 Canadian dollars per year, while that of men was 64,000. </w:t>
      </w:r>
      <w:r>
        <w:rPr>
          <w:rFonts w:ascii="Segoe UI" w:hAnsi="Segoe UI" w:cs="Segoe UI"/>
        </w:rPr>
        <w:t xml:space="preserve">On average, </w:t>
      </w:r>
      <w:r w:rsidRPr="00D22C78">
        <w:rPr>
          <w:rFonts w:ascii="Segoe UI" w:hAnsi="Segoe UI" w:cs="Segoe UI"/>
        </w:rPr>
        <w:t>Canadian women earn annually about 75% of what men earn.</w:t>
      </w:r>
      <w:r w:rsidRPr="00F53455">
        <w:rPr>
          <w:rStyle w:val="FootnoteReference"/>
          <w:rFonts w:ascii="Segoe UI" w:hAnsi="Segoe UI" w:cs="Segoe UI"/>
        </w:rPr>
        <w:footnoteReference w:id="26"/>
      </w:r>
      <w:r>
        <w:rPr>
          <w:rFonts w:ascii="Segoe UI" w:hAnsi="Segoe UI" w:cs="Segoe UI"/>
        </w:rPr>
        <w:t xml:space="preserve"> </w:t>
      </w:r>
    </w:p>
    <w:p w14:paraId="00D34846" w14:textId="77777777" w:rsidR="007F0DED" w:rsidRPr="007666D5" w:rsidRDefault="007F0DED" w:rsidP="008E08C2">
      <w:pPr>
        <w:rPr>
          <w:rFonts w:ascii="Segoe UI" w:hAnsi="Segoe UI" w:cs="Segoe UI"/>
        </w:rPr>
      </w:pPr>
    </w:p>
    <w:p w14:paraId="44884C8B" w14:textId="77777777" w:rsidR="007F0DED" w:rsidRDefault="007F0DED" w:rsidP="008E08C2">
      <w:pPr>
        <w:rPr>
          <w:rFonts w:ascii="Segoe UI" w:hAnsi="Segoe UI" w:cs="Segoe UI"/>
          <w:color w:val="221E1F"/>
        </w:rPr>
      </w:pPr>
      <w:r w:rsidRPr="007666D5">
        <w:rPr>
          <w:rFonts w:ascii="Segoe UI" w:hAnsi="Segoe UI" w:cs="Segoe UI"/>
        </w:rPr>
        <w:t xml:space="preserve">Women’s poverty and income inequality has deep roots. </w:t>
      </w:r>
      <w:r w:rsidRPr="007666D5">
        <w:rPr>
          <w:rFonts w:ascii="Segoe UI" w:hAnsi="Segoe UI" w:cs="Segoe UI"/>
          <w:color w:val="221E1F"/>
        </w:rPr>
        <w:t>Women are poorer than men because they have been assigned the role of unpaid caregiver and nurturer for children, men and old people; because in the paid labour force they perform caregiving and support work which is devalued and lower paid; because there is a lack of safe affordable childcare and this constrains women’s participation in the paid work; because women, particularly Indigenous, racialized, and immigrant women and women with disabilities, are devalued workers, and more likely to be in precarious work; and because women incur economic penalties when they are not attached to men and when they have children alone.</w:t>
      </w:r>
      <w:r w:rsidRPr="007666D5">
        <w:rPr>
          <w:rStyle w:val="FootnoteReference"/>
          <w:rFonts w:ascii="Segoe UI" w:hAnsi="Segoe UI" w:cs="Segoe UI"/>
          <w:color w:val="221E1F"/>
        </w:rPr>
        <w:footnoteReference w:id="27"/>
      </w:r>
    </w:p>
    <w:p w14:paraId="3BED434B" w14:textId="77777777" w:rsidR="007F0DED" w:rsidRDefault="007F0DED" w:rsidP="008E08C2">
      <w:pPr>
        <w:rPr>
          <w:rFonts w:ascii="Segoe UI" w:hAnsi="Segoe UI" w:cs="Segoe UI"/>
          <w:color w:val="221E1F"/>
        </w:rPr>
      </w:pPr>
    </w:p>
    <w:p w14:paraId="183B6E8A" w14:textId="77777777" w:rsidR="007F0DED" w:rsidRPr="00085CC1" w:rsidRDefault="007F0DED" w:rsidP="005D7329">
      <w:pPr>
        <w:pStyle w:val="Heading2"/>
        <w:numPr>
          <w:ilvl w:val="0"/>
          <w:numId w:val="14"/>
        </w:numPr>
        <w:rPr>
          <w:color w:val="993300"/>
        </w:rPr>
      </w:pPr>
      <w:bookmarkStart w:id="44" w:name="_Toc220664135"/>
      <w:r w:rsidRPr="00085CC1">
        <w:rPr>
          <w:color w:val="993300"/>
        </w:rPr>
        <w:t>Women in the Care Economy and Service Sector</w:t>
      </w:r>
      <w:bookmarkEnd w:id="44"/>
    </w:p>
    <w:p w14:paraId="3B0C52E4" w14:textId="77777777" w:rsidR="007F0DED" w:rsidRPr="00C6655D" w:rsidRDefault="007F0DED" w:rsidP="00C6655D"/>
    <w:p w14:paraId="62D4B57D" w14:textId="77777777" w:rsidR="007F0DED" w:rsidRPr="007666D5" w:rsidRDefault="007F0DED" w:rsidP="00850DBA">
      <w:pPr>
        <w:rPr>
          <w:rFonts w:ascii="Segoe UI" w:hAnsi="Segoe UI" w:cs="Segoe UI"/>
        </w:rPr>
      </w:pPr>
      <w:r w:rsidRPr="007666D5">
        <w:rPr>
          <w:rFonts w:ascii="Segoe UI" w:hAnsi="Segoe UI" w:cs="Segoe UI"/>
        </w:rPr>
        <w:t>The inequalities between women and men persist not only because there is no effective legislated pay equity regime in all jurisdictions</w:t>
      </w:r>
      <w:r>
        <w:rPr>
          <w:rFonts w:ascii="Segoe UI" w:hAnsi="Segoe UI" w:cs="Segoe UI"/>
        </w:rPr>
        <w:t xml:space="preserve"> across Canada</w:t>
      </w:r>
      <w:r w:rsidRPr="007666D5">
        <w:rPr>
          <w:rFonts w:ascii="Segoe UI" w:hAnsi="Segoe UI" w:cs="Segoe UI"/>
        </w:rPr>
        <w:t xml:space="preserve">, but also because current </w:t>
      </w:r>
      <w:r w:rsidRPr="007666D5">
        <w:rPr>
          <w:rFonts w:ascii="Segoe UI" w:hAnsi="Segoe UI" w:cs="Segoe UI"/>
        </w:rPr>
        <w:lastRenderedPageBreak/>
        <w:t xml:space="preserve">equal pay laws are designed to rely on a male comparator and rarely touch the most pernicious employment and pay discrimination faced by women, which occurs in the care economy and service sector where women are the predominant workers. </w:t>
      </w:r>
    </w:p>
    <w:p w14:paraId="15437340" w14:textId="77777777" w:rsidR="007F0DED" w:rsidRDefault="007F0DED" w:rsidP="00850DBA">
      <w:pPr>
        <w:rPr>
          <w:rFonts w:ascii="Segoe UI" w:hAnsi="Segoe UI" w:cs="Segoe UI"/>
        </w:rPr>
      </w:pPr>
    </w:p>
    <w:p w14:paraId="57A914DF" w14:textId="77777777" w:rsidR="007F0DED" w:rsidRDefault="007F0DED" w:rsidP="00850DBA">
      <w:pPr>
        <w:rPr>
          <w:rFonts w:ascii="Segoe UI" w:hAnsi="Segoe UI" w:cs="Segoe UI"/>
        </w:rPr>
      </w:pPr>
      <w:r>
        <w:rPr>
          <w:rFonts w:ascii="Segoe UI" w:hAnsi="Segoe UI" w:cs="Segoe UI"/>
        </w:rPr>
        <w:t>Six years after the onset of Covid-19, Canada has failed to act upon the severe and systemic inequality, racism, and misogyny faced by those who support the formal and informal care economy, and who increasingly originate from racialized and immigrant backgrounds. Little has changed in the demographic of care economy and service sector workers since the pandemic. In 2018, approximately 54% of women were employed in the “5 Cs” occupations: caring, clerical, catering, cashiering and cleaning.</w:t>
      </w:r>
      <w:r>
        <w:rPr>
          <w:rStyle w:val="FootnoteReference"/>
          <w:rFonts w:ascii="Segoe UI" w:hAnsi="Segoe UI" w:cs="Segoe UI"/>
        </w:rPr>
        <w:footnoteReference w:id="28"/>
      </w:r>
      <w:r>
        <w:rPr>
          <w:rFonts w:ascii="Segoe UI" w:hAnsi="Segoe UI" w:cs="Segoe UI"/>
        </w:rPr>
        <w:t xml:space="preserve"> Today, health care, education and social service industries are still the largest employers of women as 34.1% of women in the workforce are employed in these industries.</w:t>
      </w:r>
      <w:r>
        <w:rPr>
          <w:rStyle w:val="FootnoteReference"/>
          <w:rFonts w:ascii="Segoe UI" w:hAnsi="Segoe UI" w:cs="Segoe UI"/>
        </w:rPr>
        <w:footnoteReference w:id="29"/>
      </w:r>
    </w:p>
    <w:p w14:paraId="0C9298D0" w14:textId="77777777" w:rsidR="007F0DED" w:rsidRDefault="007F0DED" w:rsidP="00850DBA">
      <w:pPr>
        <w:rPr>
          <w:rFonts w:ascii="Segoe UI" w:hAnsi="Segoe UI" w:cs="Segoe UI"/>
        </w:rPr>
      </w:pPr>
    </w:p>
    <w:p w14:paraId="6EFD2951" w14:textId="77777777" w:rsidR="007F0DED" w:rsidRPr="007666D5" w:rsidRDefault="007F0DED" w:rsidP="00351ED9">
      <w:pPr>
        <w:rPr>
          <w:rFonts w:ascii="Segoe UI" w:hAnsi="Segoe UI" w:cs="Segoe UI"/>
        </w:rPr>
      </w:pPr>
      <w:r>
        <w:rPr>
          <w:rFonts w:ascii="Segoe UI" w:hAnsi="Segoe UI" w:cs="Segoe UI"/>
        </w:rPr>
        <w:t>During the height of the pandemic, FAFIA noted that t</w:t>
      </w:r>
      <w:r w:rsidRPr="007666D5">
        <w:rPr>
          <w:rFonts w:ascii="Segoe UI" w:hAnsi="Segoe UI" w:cs="Segoe UI"/>
        </w:rPr>
        <w:t>he sexist and racist structure of these industries, and the conditions of work in them, violate women’s right to equality and non-discrimination guaranteed by Article 26</w:t>
      </w:r>
      <w:r>
        <w:rPr>
          <w:rFonts w:ascii="Segoe UI" w:hAnsi="Segoe UI" w:cs="Segoe UI"/>
        </w:rPr>
        <w:t>. Today, Canada’s continued failure to address and remedy this systemic discrimination perpetuates this violation.</w:t>
      </w:r>
    </w:p>
    <w:p w14:paraId="5220F30C" w14:textId="77777777" w:rsidR="007F0DED" w:rsidRDefault="007F0DED" w:rsidP="00850DBA">
      <w:pPr>
        <w:rPr>
          <w:rFonts w:ascii="Segoe UI" w:hAnsi="Segoe UI" w:cs="Segoe UI"/>
        </w:rPr>
      </w:pPr>
    </w:p>
    <w:p w14:paraId="5518F045" w14:textId="77777777" w:rsidR="007F0DED" w:rsidRPr="00D56E2A" w:rsidRDefault="007F0DED" w:rsidP="00AB3BD4">
      <w:pPr>
        <w:numPr>
          <w:ilvl w:val="0"/>
          <w:numId w:val="14"/>
        </w:numPr>
        <w:rPr>
          <w:rFonts w:ascii="Segoe UI" w:hAnsi="Segoe UI" w:cs="Segoe UI"/>
          <w:b/>
          <w:bCs/>
          <w:color w:val="993300"/>
        </w:rPr>
      </w:pPr>
      <w:r w:rsidRPr="00D56E2A">
        <w:rPr>
          <w:rFonts w:ascii="Segoe UI" w:hAnsi="Segoe UI" w:cs="Segoe UI"/>
          <w:b/>
          <w:bCs/>
          <w:color w:val="993300"/>
        </w:rPr>
        <w:t>Temporary Domestic Workers</w:t>
      </w:r>
    </w:p>
    <w:p w14:paraId="38C6755D" w14:textId="77777777" w:rsidR="007F0DED" w:rsidRDefault="007F0DED" w:rsidP="00D56E2A">
      <w:pPr>
        <w:ind w:left="720"/>
        <w:rPr>
          <w:rFonts w:ascii="Segoe UI" w:hAnsi="Segoe UI" w:cs="Segoe UI"/>
        </w:rPr>
      </w:pPr>
    </w:p>
    <w:p w14:paraId="309132A6" w14:textId="347BFDC8" w:rsidR="007F0DED" w:rsidRDefault="007F0DED" w:rsidP="00850DBA">
      <w:pPr>
        <w:rPr>
          <w:rFonts w:ascii="Segoe UI" w:hAnsi="Segoe UI" w:cs="Segoe UI"/>
        </w:rPr>
      </w:pPr>
      <w:r>
        <w:rPr>
          <w:rFonts w:ascii="Segoe UI" w:hAnsi="Segoe UI" w:cs="Segoe UI"/>
        </w:rPr>
        <w:t>As more women have moved into the labour force, formal and informal care work has increasingly been filled and supported by immigrant and racialized women.</w:t>
      </w:r>
      <w:r>
        <w:rPr>
          <w:rStyle w:val="FootnoteReference"/>
          <w:rFonts w:ascii="Segoe UI" w:hAnsi="Segoe UI" w:cs="Segoe UI"/>
        </w:rPr>
        <w:footnoteReference w:id="30"/>
      </w:r>
      <w:r>
        <w:rPr>
          <w:rFonts w:ascii="Segoe UI" w:hAnsi="Segoe UI" w:cs="Segoe UI"/>
        </w:rPr>
        <w:t xml:space="preserve"> Canada has historically relied on immigration policies to sustain Canada’s care economy. Migrant care workers are disproportionately overrepresented in the home care and personal support work sector, making up over one-third of nurse aides, orderlies, patient service associates, and personal support workers.</w:t>
      </w:r>
      <w:r>
        <w:rPr>
          <w:rStyle w:val="FootnoteReference"/>
          <w:rFonts w:ascii="Segoe UI" w:hAnsi="Segoe UI" w:cs="Segoe UI"/>
        </w:rPr>
        <w:footnoteReference w:id="31"/>
      </w:r>
      <w:r>
        <w:rPr>
          <w:rFonts w:ascii="Segoe UI" w:hAnsi="Segoe UI" w:cs="Segoe UI"/>
        </w:rPr>
        <w:t xml:space="preserve"> The vast majority of these care workers are women who leave their own children and families to take care of families in Canada, leaving behind care gaps in their own communities.</w:t>
      </w:r>
      <w:r>
        <w:rPr>
          <w:rStyle w:val="FootnoteReference"/>
          <w:rFonts w:ascii="Segoe UI" w:hAnsi="Segoe UI" w:cs="Segoe UI"/>
        </w:rPr>
        <w:footnoteReference w:id="32"/>
      </w:r>
      <w:r>
        <w:rPr>
          <w:rFonts w:ascii="Segoe UI" w:hAnsi="Segoe UI" w:cs="Segoe UI"/>
        </w:rPr>
        <w:t xml:space="preserve"> </w:t>
      </w:r>
    </w:p>
    <w:p w14:paraId="4D50D72E" w14:textId="77777777" w:rsidR="007F0DED" w:rsidRDefault="007F0DED" w:rsidP="00850DBA">
      <w:pPr>
        <w:rPr>
          <w:rFonts w:ascii="Segoe UI" w:hAnsi="Segoe UI" w:cs="Segoe UI"/>
        </w:rPr>
      </w:pPr>
    </w:p>
    <w:p w14:paraId="315BE77D" w14:textId="13C3BA99" w:rsidR="007F0DED" w:rsidRDefault="007F0DED" w:rsidP="00850DBA">
      <w:pPr>
        <w:rPr>
          <w:rFonts w:ascii="Segoe UI" w:hAnsi="Segoe UI" w:cs="Segoe UI"/>
        </w:rPr>
      </w:pPr>
      <w:r>
        <w:rPr>
          <w:rFonts w:ascii="Segoe UI" w:hAnsi="Segoe UI" w:cs="Segoe UI"/>
        </w:rPr>
        <w:t>Domestic and personal care workers occupy some of the most precarious positions in society. The personal service sector is the lowest-paid sector and has the lowest rate of unionization in the Canadian economy.</w:t>
      </w:r>
      <w:r>
        <w:rPr>
          <w:rStyle w:val="FootnoteReference"/>
          <w:rFonts w:ascii="Segoe UI" w:hAnsi="Segoe UI" w:cs="Segoe UI"/>
        </w:rPr>
        <w:footnoteReference w:id="33"/>
      </w:r>
      <w:r>
        <w:rPr>
          <w:rFonts w:ascii="Segoe UI" w:hAnsi="Segoe UI" w:cs="Segoe UI"/>
        </w:rPr>
        <w:t xml:space="preserve"> Personal service employees are also the least </w:t>
      </w:r>
      <w:r>
        <w:rPr>
          <w:rFonts w:ascii="Segoe UI" w:hAnsi="Segoe UI" w:cs="Segoe UI"/>
        </w:rPr>
        <w:lastRenderedPageBreak/>
        <w:t>likely to have access to employer-provided health insurance and other benefits.</w:t>
      </w:r>
      <w:r>
        <w:rPr>
          <w:rStyle w:val="FootnoteReference"/>
          <w:rFonts w:ascii="Segoe UI" w:hAnsi="Segoe UI" w:cs="Segoe UI"/>
        </w:rPr>
        <w:footnoteReference w:id="34"/>
      </w:r>
      <w:r>
        <w:rPr>
          <w:rFonts w:ascii="Segoe UI" w:hAnsi="Segoe UI" w:cs="Segoe UI"/>
        </w:rPr>
        <w:t xml:space="preserve"> Despite the demonstrated importance, and the dramatic inequality of women in this sector, both of which were dramatically exposed during Covid-19, the business model of this sector has remained unchanged. </w:t>
      </w:r>
    </w:p>
    <w:p w14:paraId="2DCC6FD7" w14:textId="77777777" w:rsidR="007F0DED" w:rsidRDefault="007F0DED" w:rsidP="00850DBA">
      <w:pPr>
        <w:rPr>
          <w:rFonts w:ascii="Segoe UI" w:hAnsi="Segoe UI" w:cs="Segoe UI"/>
        </w:rPr>
      </w:pPr>
    </w:p>
    <w:p w14:paraId="16EB653F" w14:textId="613BDB2B" w:rsidR="007F0DED" w:rsidRPr="007666D5" w:rsidRDefault="007F0DED" w:rsidP="00850DBA">
      <w:pPr>
        <w:rPr>
          <w:rFonts w:ascii="Segoe UI" w:hAnsi="Segoe UI" w:cs="Segoe UI"/>
        </w:rPr>
      </w:pPr>
      <w:r>
        <w:rPr>
          <w:rFonts w:ascii="Segoe UI" w:hAnsi="Segoe UI" w:cs="Segoe UI"/>
        </w:rPr>
        <w:t>After many years of lobbying, t</w:t>
      </w:r>
      <w:r w:rsidRPr="00ED2779">
        <w:rPr>
          <w:rFonts w:ascii="Segoe UI" w:hAnsi="Segoe UI" w:cs="Segoe UI"/>
        </w:rPr>
        <w:t xml:space="preserve">he federal government </w:t>
      </w:r>
      <w:r>
        <w:rPr>
          <w:rFonts w:ascii="Segoe UI" w:hAnsi="Segoe UI" w:cs="Segoe UI"/>
        </w:rPr>
        <w:t xml:space="preserve">recently decided to provide a pathway </w:t>
      </w:r>
      <w:r w:rsidRPr="00ED2779">
        <w:rPr>
          <w:rFonts w:ascii="Segoe UI" w:hAnsi="Segoe UI" w:cs="Segoe UI"/>
        </w:rPr>
        <w:t xml:space="preserve">to permanent residency and citizenship </w:t>
      </w:r>
      <w:r>
        <w:rPr>
          <w:rFonts w:ascii="Segoe UI" w:hAnsi="Segoe UI" w:cs="Segoe UI"/>
        </w:rPr>
        <w:t xml:space="preserve">for foreign </w:t>
      </w:r>
      <w:r w:rsidRPr="00ED2779">
        <w:rPr>
          <w:rFonts w:ascii="Segoe UI" w:hAnsi="Segoe UI" w:cs="Segoe UI"/>
        </w:rPr>
        <w:t>domestic care workers</w:t>
      </w:r>
      <w:r>
        <w:rPr>
          <w:rFonts w:ascii="Segoe UI" w:hAnsi="Segoe UI" w:cs="Segoe UI"/>
        </w:rPr>
        <w:t>.</w:t>
      </w:r>
      <w:r w:rsidRPr="00ED2779">
        <w:rPr>
          <w:rFonts w:ascii="Segoe UI" w:hAnsi="Segoe UI" w:cs="Segoe UI"/>
        </w:rPr>
        <w:t xml:space="preserve"> In March 2025, the government implemented a Home Care Worker Immigration Pilot Program, the only available pathway for migrant home care workers to apply for permanent residency.</w:t>
      </w:r>
      <w:r w:rsidRPr="00ED2779">
        <w:rPr>
          <w:rStyle w:val="FootnoteReference"/>
          <w:rFonts w:ascii="Segoe UI" w:hAnsi="Segoe UI" w:cs="Segoe UI"/>
        </w:rPr>
        <w:footnoteReference w:id="35"/>
      </w:r>
      <w:r w:rsidRPr="00ED2779">
        <w:rPr>
          <w:rFonts w:ascii="Segoe UI" w:hAnsi="Segoe UI" w:cs="Segoe UI"/>
        </w:rPr>
        <w:t xml:space="preserve"> Within 5 hours of the program’s launch, the program crashed due </w:t>
      </w:r>
      <w:r>
        <w:rPr>
          <w:rFonts w:ascii="Segoe UI" w:hAnsi="Segoe UI" w:cs="Segoe UI"/>
        </w:rPr>
        <w:t>reaching its</w:t>
      </w:r>
      <w:r w:rsidRPr="00ED2779">
        <w:rPr>
          <w:rFonts w:ascii="Segoe UI" w:hAnsi="Segoe UI" w:cs="Segoe UI"/>
        </w:rPr>
        <w:t xml:space="preserve"> 2,750 cap, leaving 40,000 eligible care workers unable to access the program.</w:t>
      </w:r>
      <w:r w:rsidRPr="00ED2779">
        <w:rPr>
          <w:rStyle w:val="FootnoteReference"/>
          <w:rFonts w:ascii="Segoe UI" w:hAnsi="Segoe UI" w:cs="Segoe UI"/>
        </w:rPr>
        <w:footnoteReference w:id="36"/>
      </w:r>
      <w:r w:rsidRPr="00ED2779">
        <w:rPr>
          <w:rFonts w:ascii="Segoe UI" w:hAnsi="Segoe UI" w:cs="Segoe UI"/>
        </w:rPr>
        <w:t xml:space="preserve"> On December 19, 2025, the federal government announced the program would not be re-opened due to high demand and wait times.</w:t>
      </w:r>
      <w:r w:rsidRPr="00ED2779">
        <w:rPr>
          <w:rStyle w:val="FootnoteReference"/>
          <w:rFonts w:ascii="Segoe UI" w:hAnsi="Segoe UI" w:cs="Segoe UI"/>
        </w:rPr>
        <w:footnoteReference w:id="37"/>
      </w:r>
      <w:r w:rsidR="00AE501D">
        <w:rPr>
          <w:rFonts w:ascii="Segoe UI" w:hAnsi="Segoe UI" w:cs="Segoe UI"/>
        </w:rPr>
        <w:t xml:space="preserve"> </w:t>
      </w:r>
      <w:r>
        <w:rPr>
          <w:rFonts w:ascii="Segoe UI" w:hAnsi="Segoe UI" w:cs="Segoe UI"/>
        </w:rPr>
        <w:t xml:space="preserve">Without this program, migrant home care workers, whose work is precarious and unregulated, </w:t>
      </w:r>
      <w:r w:rsidRPr="00ED2779">
        <w:rPr>
          <w:rFonts w:ascii="Segoe UI" w:hAnsi="Segoe UI" w:cs="Segoe UI"/>
        </w:rPr>
        <w:t xml:space="preserve">have </w:t>
      </w:r>
      <w:r>
        <w:rPr>
          <w:rFonts w:ascii="Segoe UI" w:hAnsi="Segoe UI" w:cs="Segoe UI"/>
        </w:rPr>
        <w:t>only a limited</w:t>
      </w:r>
      <w:r w:rsidRPr="00ED2779">
        <w:rPr>
          <w:rFonts w:ascii="Segoe UI" w:hAnsi="Segoe UI" w:cs="Segoe UI"/>
        </w:rPr>
        <w:t xml:space="preserve"> pathway to permanent residency</w:t>
      </w:r>
      <w:r>
        <w:rPr>
          <w:rFonts w:ascii="Segoe UI" w:hAnsi="Segoe UI" w:cs="Segoe UI"/>
        </w:rPr>
        <w:t xml:space="preserve"> through applications for residency on humanitarian and compassionate grounds</w:t>
      </w:r>
      <w:r w:rsidRPr="00ED2779">
        <w:rPr>
          <w:rFonts w:ascii="Segoe UI" w:hAnsi="Segoe UI" w:cs="Segoe UI"/>
        </w:rPr>
        <w:t xml:space="preserve">. The federal government’s choice </w:t>
      </w:r>
      <w:r>
        <w:rPr>
          <w:rFonts w:ascii="Segoe UI" w:hAnsi="Segoe UI" w:cs="Segoe UI"/>
        </w:rPr>
        <w:t xml:space="preserve">to put a hold on the Home Care Worker Immigration Program </w:t>
      </w:r>
      <w:r w:rsidRPr="00ED2779">
        <w:rPr>
          <w:rFonts w:ascii="Segoe UI" w:hAnsi="Segoe UI" w:cs="Segoe UI"/>
        </w:rPr>
        <w:t>places these women’s</w:t>
      </w:r>
      <w:r>
        <w:rPr>
          <w:rFonts w:ascii="Segoe UI" w:hAnsi="Segoe UI" w:cs="Segoe UI"/>
        </w:rPr>
        <w:t xml:space="preserve"> </w:t>
      </w:r>
      <w:r w:rsidRPr="00ED2779">
        <w:rPr>
          <w:rFonts w:ascii="Segoe UI" w:hAnsi="Segoe UI" w:cs="Segoe UI"/>
        </w:rPr>
        <w:t xml:space="preserve">ability to remain in Canada and maintain income in jeopardy. The </w:t>
      </w:r>
      <w:r>
        <w:rPr>
          <w:rFonts w:ascii="Segoe UI" w:hAnsi="Segoe UI" w:cs="Segoe UI"/>
        </w:rPr>
        <w:t xml:space="preserve">lack of political voice for </w:t>
      </w:r>
      <w:r w:rsidRPr="00ED2779">
        <w:rPr>
          <w:rFonts w:ascii="Segoe UI" w:hAnsi="Segoe UI" w:cs="Segoe UI"/>
        </w:rPr>
        <w:t>these migrant workers compound</w:t>
      </w:r>
      <w:r>
        <w:rPr>
          <w:rFonts w:ascii="Segoe UI" w:hAnsi="Segoe UI" w:cs="Segoe UI"/>
        </w:rPr>
        <w:t>s</w:t>
      </w:r>
      <w:r w:rsidRPr="00ED2779">
        <w:rPr>
          <w:rFonts w:ascii="Segoe UI" w:hAnsi="Segoe UI" w:cs="Segoe UI"/>
        </w:rPr>
        <w:t xml:space="preserve"> the lack of respect for their social and economic rights.</w:t>
      </w:r>
      <w:r>
        <w:rPr>
          <w:rFonts w:ascii="Segoe UI" w:hAnsi="Segoe UI" w:cs="Segoe UI"/>
        </w:rPr>
        <w:t xml:space="preserve"> </w:t>
      </w:r>
    </w:p>
    <w:p w14:paraId="5F97E911" w14:textId="77777777" w:rsidR="007F0DED" w:rsidRDefault="007F0DED" w:rsidP="00850DBA">
      <w:pPr>
        <w:rPr>
          <w:rFonts w:ascii="Segoe UI" w:hAnsi="Segoe UI" w:cs="Segoe UI"/>
        </w:rPr>
      </w:pPr>
    </w:p>
    <w:p w14:paraId="7A2DB7CB" w14:textId="77777777" w:rsidR="00AE0620" w:rsidRPr="007666D5" w:rsidRDefault="00AE0620" w:rsidP="00850DBA">
      <w:pPr>
        <w:rPr>
          <w:rFonts w:ascii="Segoe UI" w:hAnsi="Segoe UI" w:cs="Segoe UI"/>
        </w:rPr>
      </w:pPr>
    </w:p>
    <w:p w14:paraId="6DE273BE" w14:textId="77777777" w:rsidR="007F0DED" w:rsidRPr="00085CC1" w:rsidRDefault="007F0DED" w:rsidP="00117915">
      <w:pPr>
        <w:pStyle w:val="Heading2"/>
        <w:numPr>
          <w:ilvl w:val="0"/>
          <w:numId w:val="15"/>
        </w:numPr>
        <w:rPr>
          <w:color w:val="993300"/>
          <w:w w:val="103"/>
          <w:sz w:val="24"/>
          <w:szCs w:val="24"/>
        </w:rPr>
      </w:pPr>
      <w:bookmarkStart w:id="45" w:name="_Toc336870901"/>
      <w:bookmarkStart w:id="46" w:name="_Toc463213745"/>
      <w:bookmarkStart w:id="47" w:name="_Toc72489160"/>
      <w:bookmarkStart w:id="48" w:name="_Toc72489183"/>
      <w:bookmarkStart w:id="49" w:name="_Toc72489246"/>
      <w:bookmarkStart w:id="50" w:name="_Toc72490498"/>
      <w:bookmarkStart w:id="51" w:name="_Toc72491012"/>
      <w:bookmarkStart w:id="52" w:name="_Toc72491430"/>
      <w:bookmarkStart w:id="53" w:name="_Toc220664136"/>
      <w:r w:rsidRPr="00085CC1">
        <w:rPr>
          <w:color w:val="993300"/>
          <w:w w:val="103"/>
          <w:sz w:val="24"/>
          <w:szCs w:val="24"/>
        </w:rPr>
        <w:t xml:space="preserve">Inadequate </w:t>
      </w:r>
      <w:bookmarkStart w:id="54" w:name="_Toc336870902"/>
      <w:bookmarkStart w:id="55" w:name="_Toc463213746"/>
      <w:bookmarkEnd w:id="45"/>
      <w:bookmarkEnd w:id="46"/>
      <w:r w:rsidRPr="00085CC1">
        <w:rPr>
          <w:color w:val="993300"/>
          <w:w w:val="103"/>
          <w:sz w:val="24"/>
          <w:szCs w:val="24"/>
        </w:rPr>
        <w:t>Social Assistance</w:t>
      </w:r>
      <w:bookmarkEnd w:id="47"/>
      <w:bookmarkEnd w:id="48"/>
      <w:bookmarkEnd w:id="49"/>
      <w:bookmarkEnd w:id="50"/>
      <w:bookmarkEnd w:id="51"/>
      <w:bookmarkEnd w:id="52"/>
      <w:bookmarkEnd w:id="53"/>
      <w:bookmarkEnd w:id="54"/>
      <w:bookmarkEnd w:id="55"/>
    </w:p>
    <w:p w14:paraId="237F2CAC" w14:textId="77777777" w:rsidR="007F0DED" w:rsidRPr="00085CC1" w:rsidRDefault="007F0DED" w:rsidP="008E08C2">
      <w:pPr>
        <w:jc w:val="both"/>
        <w:rPr>
          <w:rFonts w:ascii="Segoe UI" w:hAnsi="Segoe UI" w:cs="Segoe UI"/>
          <w:b/>
          <w:bCs/>
          <w:color w:val="993300"/>
        </w:rPr>
      </w:pPr>
    </w:p>
    <w:p w14:paraId="60E1847F" w14:textId="77777777" w:rsidR="007F0DED" w:rsidRDefault="007F0DED" w:rsidP="00D56E2A">
      <w:pPr>
        <w:rPr>
          <w:rFonts w:ascii="Segoe UI" w:hAnsi="Segoe UI" w:cs="Segoe UI"/>
          <w:color w:val="221E1F"/>
        </w:rPr>
      </w:pPr>
      <w:r w:rsidRPr="007666D5">
        <w:rPr>
          <w:rFonts w:ascii="Segoe UI" w:hAnsi="Segoe UI" w:cs="Segoe UI"/>
          <w:color w:val="221E1F"/>
        </w:rPr>
        <w:t>In Canada, welfare (social assistance) is a program of last resort. It is only available to persons who have no alternative income to rely on. Unfortunately, welfare rates in Canada are set so low that women who are reliant on social assistance are stuck in poverty rather than being helped out of it. Welfare incomes remain below the poverty threshold with an exception for 2% of welfare recipients whose income is a meager 7% above the threshold.</w:t>
      </w:r>
      <w:r w:rsidRPr="007666D5">
        <w:rPr>
          <w:rStyle w:val="FootnoteReference"/>
          <w:rFonts w:ascii="Segoe UI" w:hAnsi="Segoe UI" w:cs="Segoe UI"/>
          <w:color w:val="221E1F"/>
        </w:rPr>
        <w:footnoteReference w:id="38"/>
      </w:r>
      <w:r w:rsidRPr="007666D5">
        <w:rPr>
          <w:rFonts w:ascii="Segoe UI" w:hAnsi="Segoe UI" w:cs="Segoe UI"/>
          <w:color w:val="221E1F"/>
        </w:rPr>
        <w:t xml:space="preserve"> Inadequate social assistance perpetuates poverty as recipients cannot afford adequate food and shelter. </w:t>
      </w:r>
    </w:p>
    <w:p w14:paraId="46A4D6F3" w14:textId="77777777" w:rsidR="007F0DED" w:rsidRDefault="007F0DED" w:rsidP="00D56E2A">
      <w:pPr>
        <w:rPr>
          <w:rFonts w:ascii="Segoe UI" w:hAnsi="Segoe UI" w:cs="Segoe UI"/>
          <w:color w:val="221E1F"/>
        </w:rPr>
      </w:pPr>
    </w:p>
    <w:p w14:paraId="3CD707D0" w14:textId="77777777" w:rsidR="007F0DED" w:rsidRDefault="007F0DED" w:rsidP="00D56E2A">
      <w:pPr>
        <w:rPr>
          <w:rFonts w:ascii="Segoe UI" w:hAnsi="Segoe UI" w:cs="Segoe UI"/>
          <w:color w:val="221E1F"/>
        </w:rPr>
      </w:pPr>
      <w:r w:rsidRPr="007666D5">
        <w:rPr>
          <w:rFonts w:ascii="Segoe UI" w:hAnsi="Segoe UI" w:cs="Segoe UI"/>
          <w:color w:val="221E1F"/>
        </w:rPr>
        <w:lastRenderedPageBreak/>
        <w:t xml:space="preserve">Even further, welfare rates have not been </w:t>
      </w:r>
      <w:r>
        <w:rPr>
          <w:rFonts w:ascii="Segoe UI" w:hAnsi="Segoe UI" w:cs="Segoe UI"/>
          <w:color w:val="221E1F"/>
        </w:rPr>
        <w:t>sufficiently</w:t>
      </w:r>
      <w:r w:rsidRPr="007666D5">
        <w:rPr>
          <w:rFonts w:ascii="Segoe UI" w:hAnsi="Segoe UI" w:cs="Segoe UI"/>
          <w:color w:val="221E1F"/>
        </w:rPr>
        <w:t xml:space="preserve"> adjusted to address Canada’s ongoing “cost of living crisis”. Inflation has risen, Canadian cities are experiencing unprecedented increases in rent, and limited budgets are stretched to accommodate spikes in food prices. </w:t>
      </w:r>
      <w:r>
        <w:rPr>
          <w:rFonts w:ascii="Segoe UI" w:hAnsi="Segoe UI" w:cs="Segoe UI"/>
          <w:color w:val="221E1F"/>
        </w:rPr>
        <w:t xml:space="preserve">Between 2022 and 2024, </w:t>
      </w:r>
      <w:r w:rsidRPr="007666D5">
        <w:rPr>
          <w:rFonts w:ascii="Segoe UI" w:hAnsi="Segoe UI" w:cs="Segoe UI"/>
          <w:color w:val="221E1F"/>
        </w:rPr>
        <w:t xml:space="preserve">Ontario welfare recipients’ purchasing power decreased </w:t>
      </w:r>
      <w:r>
        <w:rPr>
          <w:rFonts w:ascii="Segoe UI" w:hAnsi="Segoe UI" w:cs="Segoe UI"/>
          <w:color w:val="221E1F"/>
        </w:rPr>
        <w:t xml:space="preserve">by </w:t>
      </w:r>
      <w:r w:rsidRPr="007666D5">
        <w:rPr>
          <w:rFonts w:ascii="Segoe UI" w:hAnsi="Segoe UI" w:cs="Segoe UI"/>
          <w:color w:val="221E1F"/>
        </w:rPr>
        <w:t>16% and recipients in Alberta and Manitoba lost roughly 7%.</w:t>
      </w:r>
      <w:r>
        <w:rPr>
          <w:rStyle w:val="FootnoteReference"/>
          <w:rFonts w:ascii="Segoe UI" w:hAnsi="Segoe UI" w:cs="Segoe UI"/>
          <w:color w:val="221E1F"/>
        </w:rPr>
        <w:footnoteReference w:id="39"/>
      </w:r>
      <w:r w:rsidRPr="007666D5">
        <w:rPr>
          <w:rFonts w:ascii="Segoe UI" w:hAnsi="Segoe UI" w:cs="Segoe UI"/>
          <w:color w:val="221E1F"/>
        </w:rPr>
        <w:t xml:space="preserve"> </w:t>
      </w:r>
    </w:p>
    <w:p w14:paraId="205380BE" w14:textId="77777777" w:rsidR="007F0DED" w:rsidRDefault="007F0DED" w:rsidP="00D56E2A">
      <w:pPr>
        <w:rPr>
          <w:rFonts w:ascii="Segoe UI" w:hAnsi="Segoe UI" w:cs="Segoe UI"/>
          <w:color w:val="221E1F"/>
        </w:rPr>
      </w:pPr>
    </w:p>
    <w:p w14:paraId="3E7ECC1F" w14:textId="77777777" w:rsidR="007F0DED" w:rsidRDefault="007F0DED" w:rsidP="00D56E2A">
      <w:pPr>
        <w:rPr>
          <w:rFonts w:ascii="Segoe UI" w:hAnsi="Segoe UI" w:cs="Segoe UI"/>
          <w:color w:val="221E1F"/>
        </w:rPr>
      </w:pPr>
      <w:r>
        <w:rPr>
          <w:rFonts w:ascii="Segoe UI" w:hAnsi="Segoe UI" w:cs="Segoe UI"/>
          <w:color w:val="221E1F"/>
        </w:rPr>
        <w:t xml:space="preserve">The Canada Disability Benefit (CDB), introduced by the Government of Canada through Bill C-22 is a new federal transfer to individuals with disabilities. The hope was that this benefit would lift women and men with disabilities out of </w:t>
      </w:r>
      <w:r w:rsidRPr="000F00CF">
        <w:rPr>
          <w:rFonts w:ascii="Segoe UI" w:hAnsi="Segoe UI" w:cs="Segoe UI"/>
          <w:color w:val="221E1F"/>
        </w:rPr>
        <w:t xml:space="preserve">poverty. However, the CDB has been a major disappointment, since, as Budget 2024 shows, the CDB will provide only a </w:t>
      </w:r>
      <w:r w:rsidRPr="00D22C78">
        <w:rPr>
          <w:rStyle w:val="akgp8"/>
          <w:rFonts w:ascii="Segoe UI" w:hAnsi="Segoe UI" w:cs="Segoe UI"/>
        </w:rPr>
        <w:t xml:space="preserve">maximum benefit of $200/month or $6/day, for those who are eligible, making </w:t>
      </w:r>
      <w:r>
        <w:rPr>
          <w:rStyle w:val="akgp8"/>
          <w:rFonts w:ascii="Segoe UI" w:hAnsi="Segoe UI" w:cs="Segoe UI"/>
        </w:rPr>
        <w:t xml:space="preserve">no meaningful difference to the persistent poverty among </w:t>
      </w:r>
      <w:r w:rsidRPr="00D22C78">
        <w:rPr>
          <w:rStyle w:val="akgp8"/>
          <w:rFonts w:ascii="Segoe UI" w:hAnsi="Segoe UI" w:cs="Segoe UI"/>
        </w:rPr>
        <w:t>people with disabilities.</w:t>
      </w:r>
      <w:r w:rsidRPr="00F53455">
        <w:rPr>
          <w:rStyle w:val="FootnoteReference"/>
          <w:rFonts w:ascii="Segoe UI" w:hAnsi="Segoe UI" w:cs="Segoe UI"/>
        </w:rPr>
        <w:footnoteReference w:id="40"/>
      </w:r>
      <w:r w:rsidRPr="000F00CF">
        <w:rPr>
          <w:rFonts w:ascii="Segoe UI" w:hAnsi="Segoe UI" w:cs="Segoe UI"/>
          <w:color w:val="221E1F"/>
        </w:rPr>
        <w:t xml:space="preserve"> </w:t>
      </w:r>
    </w:p>
    <w:p w14:paraId="21698599" w14:textId="77777777" w:rsidR="007F0DED" w:rsidRDefault="007F0DED" w:rsidP="00D56E2A">
      <w:pPr>
        <w:rPr>
          <w:rFonts w:ascii="Segoe UI" w:hAnsi="Segoe UI" w:cs="Segoe UI"/>
          <w:color w:val="221E1F"/>
        </w:rPr>
      </w:pPr>
    </w:p>
    <w:p w14:paraId="68370B3B" w14:textId="77777777" w:rsidR="007F0DED" w:rsidRDefault="007F0DED" w:rsidP="00D56E2A">
      <w:pPr>
        <w:numPr>
          <w:ilvl w:val="0"/>
          <w:numId w:val="16"/>
        </w:numPr>
        <w:rPr>
          <w:rFonts w:ascii="Segoe UI" w:hAnsi="Segoe UI" w:cs="Segoe UI"/>
          <w:b/>
          <w:bCs/>
          <w:color w:val="993300"/>
        </w:rPr>
      </w:pPr>
      <w:r w:rsidRPr="00085CC1">
        <w:rPr>
          <w:rFonts w:ascii="Segoe UI" w:hAnsi="Segoe UI" w:cs="Segoe UI"/>
          <w:b/>
          <w:bCs/>
          <w:color w:val="993300"/>
        </w:rPr>
        <w:t>Child Care</w:t>
      </w:r>
    </w:p>
    <w:p w14:paraId="22B6CFAB" w14:textId="77777777" w:rsidR="007F0DED" w:rsidRDefault="007F0DED" w:rsidP="00D56E2A">
      <w:pPr>
        <w:rPr>
          <w:rFonts w:ascii="Segoe UI" w:hAnsi="Segoe UI" w:cs="Segoe UI"/>
          <w:color w:val="221E1F"/>
        </w:rPr>
      </w:pPr>
    </w:p>
    <w:p w14:paraId="5A49A8EA" w14:textId="77777777" w:rsidR="007F0DED" w:rsidRDefault="007F0DED" w:rsidP="00D56E2A">
      <w:pPr>
        <w:rPr>
          <w:rFonts w:ascii="Segoe UI" w:hAnsi="Segoe UI" w:cs="Segoe UI"/>
          <w:color w:val="221E1F"/>
        </w:rPr>
      </w:pPr>
      <w:r w:rsidRPr="007666D5">
        <w:rPr>
          <w:rFonts w:ascii="Segoe UI" w:hAnsi="Segoe UI" w:cs="Segoe UI"/>
          <w:color w:val="221E1F"/>
        </w:rPr>
        <w:t>The federal government’s maintenance of childcare funding at previous levels is particularly concerning.</w:t>
      </w:r>
      <w:r>
        <w:rPr>
          <w:rStyle w:val="FootnoteReference"/>
          <w:rFonts w:ascii="Segoe UI" w:hAnsi="Segoe UI" w:cs="Segoe UI"/>
          <w:color w:val="221E1F"/>
        </w:rPr>
        <w:footnoteReference w:id="41"/>
      </w:r>
      <w:r>
        <w:rPr>
          <w:rFonts w:ascii="Segoe UI" w:hAnsi="Segoe UI" w:cs="Segoe UI"/>
          <w:color w:val="221E1F"/>
        </w:rPr>
        <w:t xml:space="preserve"> In 2021, the federal government announced the Early Learning and Child Care strategy, providing 30 billion dollars over five years through agreements with each province and territory.</w:t>
      </w:r>
      <w:r>
        <w:rPr>
          <w:rStyle w:val="FootnoteReference"/>
          <w:rFonts w:ascii="Segoe UI" w:hAnsi="Segoe UI" w:cs="Segoe UI"/>
          <w:color w:val="221E1F"/>
        </w:rPr>
        <w:footnoteReference w:id="42"/>
      </w:r>
      <w:r>
        <w:rPr>
          <w:rFonts w:ascii="Segoe UI" w:hAnsi="Segoe UI" w:cs="Segoe UI"/>
          <w:color w:val="221E1F"/>
        </w:rPr>
        <w:t xml:space="preserve"> The strategy aimed to reduce childcare costs to $10 a day by 2025 and to create 250,000 new child care spaces for children by March 2026.</w:t>
      </w:r>
      <w:r>
        <w:rPr>
          <w:rStyle w:val="FootnoteReference"/>
          <w:rFonts w:ascii="Segoe UI" w:hAnsi="Segoe UI" w:cs="Segoe UI"/>
          <w:color w:val="221E1F"/>
        </w:rPr>
        <w:footnoteReference w:id="43"/>
      </w:r>
      <w:r>
        <w:rPr>
          <w:rFonts w:ascii="Segoe UI" w:hAnsi="Segoe UI" w:cs="Segoe UI"/>
          <w:color w:val="221E1F"/>
        </w:rPr>
        <w:t xml:space="preserve"> </w:t>
      </w:r>
    </w:p>
    <w:p w14:paraId="56E1F206" w14:textId="77777777" w:rsidR="007F0DED" w:rsidRDefault="007F0DED" w:rsidP="00D56E2A">
      <w:pPr>
        <w:rPr>
          <w:rFonts w:ascii="Segoe UI" w:hAnsi="Segoe UI" w:cs="Segoe UI"/>
          <w:color w:val="221E1F"/>
        </w:rPr>
      </w:pPr>
    </w:p>
    <w:p w14:paraId="350EA1ED" w14:textId="77777777" w:rsidR="007F0DED" w:rsidRDefault="007F0DED" w:rsidP="00D56E2A">
      <w:pPr>
        <w:rPr>
          <w:rFonts w:ascii="Segoe UI" w:hAnsi="Segoe UI" w:cs="Segoe UI"/>
          <w:color w:val="221E1F"/>
        </w:rPr>
      </w:pPr>
      <w:r>
        <w:rPr>
          <w:rFonts w:ascii="Segoe UI" w:hAnsi="Segoe UI" w:cs="Segoe UI"/>
          <w:color w:val="221E1F"/>
        </w:rPr>
        <w:t>While the price of childcare has decreased across Canada, significant issues remain regarding the supply and quality of childcare. Actual progress on the expansion of childcare spaces is well below the projected expansion needed to meet national targets.</w:t>
      </w:r>
      <w:r>
        <w:rPr>
          <w:rStyle w:val="FootnoteReference"/>
          <w:rFonts w:ascii="Segoe UI" w:hAnsi="Segoe UI" w:cs="Segoe UI"/>
          <w:color w:val="221E1F"/>
        </w:rPr>
        <w:footnoteReference w:id="44"/>
      </w:r>
      <w:r>
        <w:rPr>
          <w:rFonts w:ascii="Segoe UI" w:hAnsi="Segoe UI" w:cs="Segoe UI"/>
          <w:color w:val="221E1F"/>
        </w:rPr>
        <w:t xml:space="preserve"> The expansion has also been asymmetric across the country. Only two provinces have met or surpassed their </w:t>
      </w:r>
      <w:r w:rsidRPr="002D0744">
        <w:rPr>
          <w:rFonts w:ascii="Segoe UI" w:hAnsi="Segoe UI" w:cs="Segoe UI"/>
        </w:rPr>
        <w:t>interim target of 59</w:t>
      </w:r>
      <w:r>
        <w:rPr>
          <w:rFonts w:ascii="Segoe UI" w:hAnsi="Segoe UI" w:cs="Segoe UI"/>
          <w:color w:val="221E1F"/>
        </w:rPr>
        <w:t xml:space="preserve"> percent of coverage rate, </w:t>
      </w:r>
      <w:r>
        <w:rPr>
          <w:rFonts w:ascii="Segoe UI" w:hAnsi="Segoe UI" w:cs="Segoe UI"/>
          <w:color w:val="221E1F"/>
        </w:rPr>
        <w:lastRenderedPageBreak/>
        <w:t>with remaining provinces lagging behind.</w:t>
      </w:r>
      <w:r>
        <w:rPr>
          <w:rStyle w:val="FootnoteReference"/>
          <w:rFonts w:ascii="Segoe UI" w:hAnsi="Segoe UI" w:cs="Segoe UI"/>
          <w:color w:val="221E1F"/>
        </w:rPr>
        <w:footnoteReference w:id="45"/>
      </w:r>
      <w:r>
        <w:rPr>
          <w:rFonts w:ascii="Segoe UI" w:hAnsi="Segoe UI" w:cs="Segoe UI"/>
          <w:color w:val="221E1F"/>
        </w:rPr>
        <w:t xml:space="preserve"> Consequently, parents attempting to access childcare often face long waitlists.</w:t>
      </w:r>
      <w:r>
        <w:rPr>
          <w:rStyle w:val="FootnoteReference"/>
          <w:rFonts w:ascii="Segoe UI" w:hAnsi="Segoe UI" w:cs="Segoe UI"/>
          <w:color w:val="221E1F"/>
        </w:rPr>
        <w:footnoteReference w:id="46"/>
      </w:r>
      <w:r>
        <w:rPr>
          <w:rFonts w:ascii="Segoe UI" w:hAnsi="Segoe UI" w:cs="Segoe UI"/>
          <w:color w:val="221E1F"/>
        </w:rPr>
        <w:t xml:space="preserve"> </w:t>
      </w:r>
    </w:p>
    <w:p w14:paraId="0D66E175" w14:textId="77777777" w:rsidR="007F0DED" w:rsidRDefault="007F0DED" w:rsidP="00D56E2A">
      <w:pPr>
        <w:rPr>
          <w:rFonts w:ascii="Segoe UI" w:hAnsi="Segoe UI" w:cs="Segoe UI"/>
          <w:color w:val="221E1F"/>
        </w:rPr>
      </w:pPr>
    </w:p>
    <w:p w14:paraId="3EE40F9C" w14:textId="77777777" w:rsidR="007F0DED" w:rsidRDefault="007F0DED" w:rsidP="00D56E2A">
      <w:pPr>
        <w:rPr>
          <w:rFonts w:ascii="Segoe UI" w:hAnsi="Segoe UI" w:cs="Segoe UI"/>
          <w:color w:val="221E1F"/>
        </w:rPr>
      </w:pPr>
      <w:r>
        <w:rPr>
          <w:rFonts w:ascii="Segoe UI" w:hAnsi="Segoe UI" w:cs="Segoe UI"/>
          <w:color w:val="221E1F"/>
        </w:rPr>
        <w:t>Large portions of the country also live in childcare deserts, areas where there are less than 3 spaces per 10 children.</w:t>
      </w:r>
      <w:r>
        <w:rPr>
          <w:rStyle w:val="FootnoteReference"/>
          <w:rFonts w:ascii="Segoe UI" w:hAnsi="Segoe UI" w:cs="Segoe UI"/>
          <w:color w:val="221E1F"/>
        </w:rPr>
        <w:footnoteReference w:id="47"/>
      </w:r>
      <w:r>
        <w:rPr>
          <w:rFonts w:ascii="Segoe UI" w:hAnsi="Segoe UI" w:cs="Segoe UI"/>
          <w:color w:val="221E1F"/>
        </w:rPr>
        <w:t xml:space="preserve"> For instance, 52% of children in Saskatchewan live in a childcare desert.</w:t>
      </w:r>
      <w:r>
        <w:rPr>
          <w:rStyle w:val="FootnoteReference"/>
          <w:rFonts w:ascii="Segoe UI" w:hAnsi="Segoe UI" w:cs="Segoe UI"/>
          <w:color w:val="221E1F"/>
        </w:rPr>
        <w:footnoteReference w:id="48"/>
      </w:r>
      <w:r>
        <w:rPr>
          <w:rFonts w:ascii="Segoe UI" w:hAnsi="Segoe UI" w:cs="Segoe UI"/>
          <w:color w:val="221E1F"/>
        </w:rPr>
        <w:t xml:space="preserve"> Even for provinces with lower percentages of childcare deserts, there is still an issue of inadequate childcare coverage. 16% of children in British Columbia live in a childcare desert, comparatively 63% of children in British Columbia live in areas with inadequate childcare coverage.</w:t>
      </w:r>
      <w:r>
        <w:rPr>
          <w:rStyle w:val="FootnoteReference"/>
          <w:rFonts w:ascii="Segoe UI" w:hAnsi="Segoe UI" w:cs="Segoe UI"/>
          <w:color w:val="221E1F"/>
        </w:rPr>
        <w:footnoteReference w:id="49"/>
      </w:r>
      <w:r>
        <w:rPr>
          <w:rFonts w:ascii="Segoe UI" w:hAnsi="Segoe UI" w:cs="Segoe UI"/>
          <w:color w:val="221E1F"/>
        </w:rPr>
        <w:t xml:space="preserve"> </w:t>
      </w:r>
    </w:p>
    <w:p w14:paraId="4E379FCC" w14:textId="77777777" w:rsidR="007F0DED" w:rsidRDefault="007F0DED" w:rsidP="00D56E2A">
      <w:pPr>
        <w:rPr>
          <w:rFonts w:ascii="Segoe UI" w:hAnsi="Segoe UI" w:cs="Segoe UI"/>
          <w:color w:val="221E1F"/>
        </w:rPr>
      </w:pPr>
    </w:p>
    <w:p w14:paraId="46FA43EE" w14:textId="77777777" w:rsidR="007F0DED" w:rsidRDefault="007F0DED" w:rsidP="00D56E2A">
      <w:pPr>
        <w:rPr>
          <w:rFonts w:ascii="Segoe UI" w:hAnsi="Segoe UI" w:cs="Segoe UI"/>
          <w:color w:val="221E1F"/>
        </w:rPr>
      </w:pPr>
      <w:r>
        <w:rPr>
          <w:rFonts w:ascii="Segoe UI" w:hAnsi="Segoe UI" w:cs="Segoe UI"/>
          <w:color w:val="221E1F"/>
        </w:rPr>
        <w:t>Alongside the asymmetric availability of childcare spaces, there have been issues in training, recruitment, and retention of early childhood learning staff. Staff shortages and difficulties in retention can exacerbate waitlists as childcare centres are unable to operate at their fully licensed capacity.</w:t>
      </w:r>
      <w:r>
        <w:rPr>
          <w:rStyle w:val="FootnoteReference"/>
          <w:rFonts w:ascii="Segoe UI" w:hAnsi="Segoe UI" w:cs="Segoe UI"/>
          <w:color w:val="221E1F"/>
        </w:rPr>
        <w:footnoteReference w:id="50"/>
      </w:r>
      <w:r>
        <w:rPr>
          <w:rFonts w:ascii="Segoe UI" w:hAnsi="Segoe UI" w:cs="Segoe UI"/>
          <w:color w:val="221E1F"/>
        </w:rPr>
        <w:t xml:space="preserve"> This is not a new problem. Early childcare education staff have long referred to factors such as low pay, burn out, and lack of training as factors related to retention.</w:t>
      </w:r>
      <w:r>
        <w:rPr>
          <w:rStyle w:val="FootnoteReference"/>
          <w:rFonts w:ascii="Segoe UI" w:hAnsi="Segoe UI" w:cs="Segoe UI"/>
          <w:color w:val="221E1F"/>
        </w:rPr>
        <w:footnoteReference w:id="51"/>
      </w:r>
      <w:r>
        <w:rPr>
          <w:rFonts w:ascii="Segoe UI" w:hAnsi="Segoe UI" w:cs="Segoe UI"/>
          <w:color w:val="221E1F"/>
        </w:rPr>
        <w:t xml:space="preserve"> A recent report by Building Blocks for Child Care, reveals an exponential increase in the hiring of non-Registered Early Childhood Educators in Ontario child care centres as a stopgap for staff shortages and the simultaneous effort to expand childcare availability under the federal program.</w:t>
      </w:r>
      <w:r>
        <w:rPr>
          <w:rStyle w:val="FootnoteReference"/>
          <w:rFonts w:ascii="Segoe UI" w:hAnsi="Segoe UI" w:cs="Segoe UI"/>
          <w:color w:val="221E1F"/>
        </w:rPr>
        <w:footnoteReference w:id="52"/>
      </w:r>
      <w:r>
        <w:rPr>
          <w:rFonts w:ascii="Segoe UI" w:hAnsi="Segoe UI" w:cs="Segoe UI"/>
          <w:color w:val="221E1F"/>
        </w:rPr>
        <w:t xml:space="preserve"> </w:t>
      </w:r>
    </w:p>
    <w:p w14:paraId="0A0CCDBE" w14:textId="77777777" w:rsidR="007F0DED" w:rsidRDefault="007F0DED" w:rsidP="00D56E2A">
      <w:pPr>
        <w:rPr>
          <w:rFonts w:ascii="Segoe UI" w:hAnsi="Segoe UI" w:cs="Segoe UI"/>
          <w:color w:val="221E1F"/>
        </w:rPr>
      </w:pPr>
    </w:p>
    <w:p w14:paraId="283DA20E" w14:textId="77777777" w:rsidR="007F0DED" w:rsidRDefault="007F0DED" w:rsidP="00D56E2A">
      <w:pPr>
        <w:rPr>
          <w:rFonts w:ascii="Segoe UI" w:hAnsi="Segoe UI" w:cs="Segoe UI"/>
          <w:color w:val="221E1F"/>
        </w:rPr>
      </w:pPr>
      <w:r>
        <w:rPr>
          <w:rFonts w:ascii="Segoe UI" w:hAnsi="Segoe UI" w:cs="Segoe UI"/>
          <w:color w:val="221E1F"/>
        </w:rPr>
        <w:t>Notably, the early childcare education labour force is a gendered industry. In 2021, women made up 96% of early childcare education staff.</w:t>
      </w:r>
      <w:r>
        <w:rPr>
          <w:rStyle w:val="FootnoteReference"/>
          <w:rFonts w:ascii="Segoe UI" w:hAnsi="Segoe UI" w:cs="Segoe UI"/>
          <w:color w:val="221E1F"/>
        </w:rPr>
        <w:footnoteReference w:id="53"/>
      </w:r>
      <w:r>
        <w:rPr>
          <w:rFonts w:ascii="Segoe UI" w:hAnsi="Segoe UI" w:cs="Segoe UI"/>
          <w:color w:val="221E1F"/>
        </w:rPr>
        <w:t xml:space="preserve"> Low pay, demanding work conditions, and limited funding show that child care is a gendered and undervalued good.</w:t>
      </w:r>
      <w:r>
        <w:rPr>
          <w:rStyle w:val="FootnoteReference"/>
          <w:rFonts w:ascii="Segoe UI" w:hAnsi="Segoe UI" w:cs="Segoe UI"/>
          <w:color w:val="221E1F"/>
        </w:rPr>
        <w:footnoteReference w:id="54"/>
      </w:r>
      <w:r>
        <w:rPr>
          <w:rFonts w:ascii="Segoe UI" w:hAnsi="Segoe UI" w:cs="Segoe UI"/>
          <w:color w:val="221E1F"/>
        </w:rPr>
        <w:t xml:space="preserve"> </w:t>
      </w:r>
    </w:p>
    <w:p w14:paraId="5F7EB71F" w14:textId="77777777" w:rsidR="007F0DED" w:rsidRDefault="007F0DED" w:rsidP="00D56E2A">
      <w:pPr>
        <w:rPr>
          <w:rFonts w:ascii="Segoe UI" w:hAnsi="Segoe UI" w:cs="Segoe UI"/>
          <w:color w:val="221E1F"/>
        </w:rPr>
      </w:pPr>
    </w:p>
    <w:p w14:paraId="1B43F768" w14:textId="77777777" w:rsidR="007F0DED" w:rsidRDefault="007F0DED" w:rsidP="00D56E2A">
      <w:pPr>
        <w:rPr>
          <w:rFonts w:ascii="Segoe UI" w:hAnsi="Segoe UI" w:cs="Segoe UI"/>
          <w:color w:val="221E1F"/>
        </w:rPr>
      </w:pPr>
      <w:r>
        <w:rPr>
          <w:rFonts w:ascii="Segoe UI" w:hAnsi="Segoe UI" w:cs="Segoe UI"/>
          <w:color w:val="221E1F"/>
        </w:rPr>
        <w:t>A</w:t>
      </w:r>
      <w:r w:rsidRPr="007666D5">
        <w:rPr>
          <w:rFonts w:ascii="Segoe UI" w:hAnsi="Segoe UI" w:cs="Segoe UI"/>
          <w:color w:val="221E1F"/>
        </w:rPr>
        <w:t>ffordable</w:t>
      </w:r>
      <w:r>
        <w:rPr>
          <w:rFonts w:ascii="Segoe UI" w:hAnsi="Segoe UI" w:cs="Segoe UI"/>
          <w:color w:val="221E1F"/>
        </w:rPr>
        <w:t xml:space="preserve"> high-quality</w:t>
      </w:r>
      <w:r w:rsidRPr="007666D5">
        <w:rPr>
          <w:rFonts w:ascii="Segoe UI" w:hAnsi="Segoe UI" w:cs="Segoe UI"/>
          <w:color w:val="221E1F"/>
        </w:rPr>
        <w:t xml:space="preserve"> childcare is crucial for enhancing women</w:t>
      </w:r>
      <w:r>
        <w:rPr>
          <w:rFonts w:ascii="Segoe UI" w:hAnsi="Segoe UI" w:cs="Segoe UI"/>
          <w:color w:val="221E1F"/>
        </w:rPr>
        <w:t>’s participation in the workforce</w:t>
      </w:r>
      <w:r w:rsidRPr="007666D5">
        <w:rPr>
          <w:rFonts w:ascii="Segoe UI" w:hAnsi="Segoe UI" w:cs="Segoe UI"/>
          <w:color w:val="221E1F"/>
        </w:rPr>
        <w:t xml:space="preserve"> and alleviating women in poverty. </w:t>
      </w:r>
      <w:r>
        <w:rPr>
          <w:rFonts w:ascii="Segoe UI" w:hAnsi="Segoe UI" w:cs="Segoe UI"/>
          <w:color w:val="221E1F"/>
        </w:rPr>
        <w:t xml:space="preserve">In 2023, an OECD Country Note revealed </w:t>
      </w:r>
      <w:r>
        <w:rPr>
          <w:rFonts w:ascii="Segoe UI" w:hAnsi="Segoe UI" w:cs="Segoe UI"/>
          <w:color w:val="221E1F"/>
        </w:rPr>
        <w:lastRenderedPageBreak/>
        <w:t>24% of women in Canada work less than 30 hours per week due to high childcare costs.</w:t>
      </w:r>
      <w:r>
        <w:rPr>
          <w:rStyle w:val="FootnoteReference"/>
          <w:rFonts w:ascii="Segoe UI" w:hAnsi="Segoe UI" w:cs="Segoe UI"/>
          <w:color w:val="221E1F"/>
        </w:rPr>
        <w:footnoteReference w:id="55"/>
      </w:r>
      <w:r>
        <w:rPr>
          <w:rFonts w:ascii="Segoe UI" w:hAnsi="Segoe UI" w:cs="Segoe UI"/>
          <w:color w:val="221E1F"/>
        </w:rPr>
        <w:t xml:space="preserve"> </w:t>
      </w:r>
    </w:p>
    <w:p w14:paraId="19770DC7" w14:textId="77777777" w:rsidR="007F0DED" w:rsidRDefault="007F0DED" w:rsidP="00D56E2A">
      <w:pPr>
        <w:rPr>
          <w:rFonts w:ascii="Segoe UI" w:hAnsi="Segoe UI" w:cs="Segoe UI"/>
          <w:color w:val="221E1F"/>
        </w:rPr>
      </w:pPr>
    </w:p>
    <w:p w14:paraId="0758393A" w14:textId="77777777" w:rsidR="007F0DED" w:rsidRDefault="007F0DED" w:rsidP="00D56E2A">
      <w:pPr>
        <w:rPr>
          <w:rFonts w:ascii="Segoe UI" w:hAnsi="Segoe UI" w:cs="Segoe UI"/>
          <w:color w:val="221E1F"/>
        </w:rPr>
      </w:pPr>
      <w:r>
        <w:rPr>
          <w:rFonts w:ascii="Segoe UI" w:hAnsi="Segoe UI" w:cs="Segoe UI"/>
          <w:color w:val="221E1F"/>
        </w:rPr>
        <w:t xml:space="preserve">A program aiming to provide affordable childcare must holistically consider what supports and factors are needed to ensure childcare is actually accessible to women across Canada. It is doubtful that Canada will be able to deliver its promised childcare program in light of the Budget 2025 </w:t>
      </w:r>
      <w:r w:rsidRPr="002D0744">
        <w:rPr>
          <w:rFonts w:ascii="Segoe UI" w:hAnsi="Segoe UI" w:cs="Segoe UI"/>
          <w:color w:val="221E1F"/>
        </w:rPr>
        <w:t>decision to freeze allocations.</w:t>
      </w:r>
      <w:r>
        <w:rPr>
          <w:rFonts w:ascii="Segoe UI" w:hAnsi="Segoe UI" w:cs="Segoe UI"/>
          <w:color w:val="221E1F"/>
        </w:rPr>
        <w:t xml:space="preserve"> </w:t>
      </w:r>
    </w:p>
    <w:p w14:paraId="5E9826CF" w14:textId="77777777" w:rsidR="007F0DED" w:rsidRDefault="007F0DED" w:rsidP="00D56E2A">
      <w:pPr>
        <w:ind w:left="360"/>
        <w:rPr>
          <w:rFonts w:ascii="Segoe UI" w:hAnsi="Segoe UI" w:cs="Segoe UI"/>
        </w:rPr>
      </w:pPr>
    </w:p>
    <w:p w14:paraId="0E15AAA5" w14:textId="77777777" w:rsidR="007F0DED" w:rsidRDefault="007F0DED" w:rsidP="005E5952">
      <w:pPr>
        <w:autoSpaceDE w:val="0"/>
        <w:autoSpaceDN w:val="0"/>
        <w:adjustRightInd w:val="0"/>
        <w:rPr>
          <w:rFonts w:ascii="Segoe UI" w:hAnsi="Segoe UI" w:cs="Segoe UI"/>
        </w:rPr>
      </w:pPr>
      <w:r>
        <w:rPr>
          <w:rFonts w:ascii="Segoe UI" w:hAnsi="Segoe UI" w:cs="Segoe UI"/>
        </w:rPr>
        <w:t xml:space="preserve">Investing in Canada’s social infrastructure is feasible and essential. </w:t>
      </w:r>
      <w:r w:rsidRPr="007666D5">
        <w:rPr>
          <w:rFonts w:ascii="Segoe UI" w:hAnsi="Segoe UI" w:cs="Segoe UI"/>
        </w:rPr>
        <w:t>The federal government could immediately improve the adequacy of social assistance in all jurisdictions by attaching conditions to the money it transfers to the provinces and territories for social programs</w:t>
      </w:r>
      <w:r>
        <w:rPr>
          <w:rFonts w:ascii="Segoe UI" w:hAnsi="Segoe UI" w:cs="Segoe UI"/>
        </w:rPr>
        <w:t xml:space="preserve"> </w:t>
      </w:r>
      <w:r w:rsidRPr="007666D5">
        <w:rPr>
          <w:rFonts w:ascii="Segoe UI" w:hAnsi="Segoe UI" w:cs="Segoe UI"/>
        </w:rPr>
        <w:t>and, as recommended by the CEDAW Committee in 2008, “establish minimum standards for “social assistance programs …and a monitoring mechanism to ensure that [social assistance programs] meet the needs …of women and do not result in discrimination….”</w:t>
      </w:r>
      <w:r w:rsidRPr="007666D5">
        <w:rPr>
          <w:rStyle w:val="FootnoteReference"/>
          <w:rFonts w:ascii="Segoe UI" w:hAnsi="Segoe UI" w:cs="Segoe UI"/>
        </w:rPr>
        <w:footnoteReference w:id="56"/>
      </w:r>
      <w:r w:rsidRPr="007666D5">
        <w:rPr>
          <w:rFonts w:ascii="Segoe UI" w:hAnsi="Segoe UI" w:cs="Segoe UI"/>
        </w:rPr>
        <w:t xml:space="preserve"> The CEDAW Committee made a similar recommendation in 2016, urging the Government of Canada to use its spending power to improve conditions for women living in poverty in all jurisdictions.</w:t>
      </w:r>
      <w:r w:rsidRPr="007666D5">
        <w:rPr>
          <w:rStyle w:val="FootnoteReference"/>
          <w:rFonts w:ascii="Segoe UI" w:hAnsi="Segoe UI" w:cs="Segoe UI"/>
        </w:rPr>
        <w:footnoteReference w:id="57"/>
      </w:r>
      <w:r w:rsidRPr="007666D5">
        <w:rPr>
          <w:rFonts w:ascii="Segoe UI" w:hAnsi="Segoe UI" w:cs="Segoe UI"/>
        </w:rPr>
        <w:t xml:space="preserve"> In the past, the Government of Canada has successfully used conditional transfers to the provinces and territories to establish threshold standards for social programs. In neo-liberal economic times, this practice was abandoned, to the detriment of women.</w:t>
      </w:r>
    </w:p>
    <w:p w14:paraId="70402E71" w14:textId="77777777" w:rsidR="007F0DED" w:rsidRDefault="007F0DED" w:rsidP="008E08C2">
      <w:pPr>
        <w:autoSpaceDE w:val="0"/>
        <w:autoSpaceDN w:val="0"/>
        <w:adjustRightInd w:val="0"/>
        <w:rPr>
          <w:rFonts w:ascii="Segoe UI" w:hAnsi="Segoe UI" w:cs="Segoe UI"/>
        </w:rPr>
      </w:pPr>
    </w:p>
    <w:p w14:paraId="69428F39" w14:textId="77777777" w:rsidR="007F0DED" w:rsidRPr="00493388" w:rsidRDefault="007F0DED" w:rsidP="00646010">
      <w:pPr>
        <w:pStyle w:val="Heading2"/>
        <w:numPr>
          <w:ilvl w:val="0"/>
          <w:numId w:val="16"/>
        </w:numPr>
        <w:rPr>
          <w:sz w:val="24"/>
          <w:szCs w:val="24"/>
        </w:rPr>
      </w:pPr>
      <w:bookmarkStart w:id="56" w:name="_Toc176761774"/>
      <w:bookmarkStart w:id="57" w:name="_Toc220664137"/>
      <w:r w:rsidRPr="00493388">
        <w:rPr>
          <w:sz w:val="24"/>
          <w:szCs w:val="24"/>
        </w:rPr>
        <w:t>Violence Against Women</w:t>
      </w:r>
      <w:bookmarkEnd w:id="56"/>
      <w:bookmarkEnd w:id="57"/>
    </w:p>
    <w:p w14:paraId="397D6662" w14:textId="77777777" w:rsidR="007F0DED" w:rsidRPr="00D56E2A" w:rsidRDefault="007F0DED" w:rsidP="00646010">
      <w:pPr>
        <w:spacing w:before="240"/>
        <w:jc w:val="both"/>
        <w:rPr>
          <w:rFonts w:ascii="Segoe UI" w:hAnsi="Segoe UI" w:cs="Segoe UI"/>
        </w:rPr>
      </w:pPr>
      <w:r w:rsidRPr="00D56E2A">
        <w:rPr>
          <w:rFonts w:ascii="Segoe UI" w:hAnsi="Segoe UI" w:cs="Segoe UI"/>
        </w:rPr>
        <w:t xml:space="preserve">Despite recommendations by the CEDAW Committee in </w:t>
      </w:r>
      <w:hyperlink r:id="rId9" w:history="1">
        <w:r w:rsidRPr="00D56E2A">
          <w:rPr>
            <w:rStyle w:val="Hyperlink"/>
            <w:rFonts w:ascii="Segoe UI" w:hAnsi="Segoe UI" w:cs="Segoe UI"/>
            <w:sz w:val="24"/>
            <w:szCs w:val="24"/>
          </w:rPr>
          <w:t>2008</w:t>
        </w:r>
      </w:hyperlink>
      <w:r w:rsidRPr="00D56E2A">
        <w:rPr>
          <w:rFonts w:ascii="Segoe UI" w:hAnsi="Segoe UI" w:cs="Segoe UI"/>
        </w:rPr>
        <w:t xml:space="preserve"> and </w:t>
      </w:r>
      <w:hyperlink r:id="rId10" w:history="1">
        <w:r w:rsidRPr="00D56E2A">
          <w:rPr>
            <w:rStyle w:val="Hyperlink"/>
            <w:rFonts w:ascii="Segoe UI" w:hAnsi="Segoe UI" w:cs="Segoe UI"/>
            <w:sz w:val="24"/>
            <w:szCs w:val="24"/>
          </w:rPr>
          <w:t>2016</w:t>
        </w:r>
      </w:hyperlink>
      <w:r w:rsidRPr="00D56E2A">
        <w:rPr>
          <w:rFonts w:ascii="Segoe UI" w:hAnsi="Segoe UI" w:cs="Segoe UI"/>
        </w:rPr>
        <w:t xml:space="preserve"> regarding </w:t>
      </w:r>
      <w:hyperlink r:id="rId11" w:history="1">
        <w:r w:rsidRPr="00D56E2A">
          <w:rPr>
            <w:rStyle w:val="Hyperlink"/>
            <w:rFonts w:ascii="Segoe UI" w:hAnsi="Segoe UI" w:cs="Segoe UI"/>
            <w:sz w:val="24"/>
            <w:szCs w:val="24"/>
          </w:rPr>
          <w:t>gender-based violence</w:t>
        </w:r>
      </w:hyperlink>
      <w:r w:rsidRPr="00D56E2A">
        <w:rPr>
          <w:rFonts w:ascii="Segoe UI" w:hAnsi="Segoe UI" w:cs="Segoe UI"/>
        </w:rPr>
        <w:t xml:space="preserve">, it is </w:t>
      </w:r>
      <w:hyperlink r:id="rId12" w:history="1">
        <w:r w:rsidRPr="00D56E2A">
          <w:rPr>
            <w:rStyle w:val="Hyperlink"/>
            <w:rFonts w:ascii="Segoe UI" w:hAnsi="Segoe UI" w:cs="Segoe UI"/>
            <w:sz w:val="24"/>
            <w:szCs w:val="24"/>
          </w:rPr>
          <w:t>an epidemic</w:t>
        </w:r>
      </w:hyperlink>
      <w:r w:rsidRPr="00D56E2A">
        <w:rPr>
          <w:rFonts w:ascii="Segoe UI" w:hAnsi="Segoe UI" w:cs="Segoe UI"/>
        </w:rPr>
        <w:t xml:space="preserve"> in Canada. According to Statistics Canada, women are </w:t>
      </w:r>
      <w:hyperlink r:id="rId13" w:history="1">
        <w:r w:rsidRPr="00D56E2A">
          <w:rPr>
            <w:rStyle w:val="Hyperlink"/>
            <w:rFonts w:ascii="Segoe UI" w:hAnsi="Segoe UI" w:cs="Segoe UI"/>
            <w:sz w:val="24"/>
            <w:szCs w:val="24"/>
          </w:rPr>
          <w:t>five times</w:t>
        </w:r>
      </w:hyperlink>
      <w:r w:rsidRPr="00D56E2A">
        <w:rPr>
          <w:rFonts w:ascii="Segoe UI" w:hAnsi="Segoe UI" w:cs="Segoe UI"/>
        </w:rPr>
        <w:t xml:space="preserve"> more likely than men to be the </w:t>
      </w:r>
      <w:hyperlink r:id="rId14" w:history="1">
        <w:r w:rsidRPr="00D56E2A">
          <w:rPr>
            <w:rStyle w:val="Hyperlink"/>
            <w:rFonts w:ascii="Segoe UI" w:hAnsi="Segoe UI" w:cs="Segoe UI"/>
            <w:sz w:val="24"/>
            <w:szCs w:val="24"/>
          </w:rPr>
          <w:t>victims of sexual assault</w:t>
        </w:r>
      </w:hyperlink>
      <w:r w:rsidRPr="00D56E2A">
        <w:rPr>
          <w:rFonts w:ascii="Segoe UI" w:hAnsi="Segoe UI" w:cs="Segoe UI"/>
        </w:rPr>
        <w:t xml:space="preserve">, and sexual assault is the most </w:t>
      </w:r>
      <w:hyperlink r:id="rId15" w:history="1">
        <w:r w:rsidRPr="00D56E2A">
          <w:rPr>
            <w:rStyle w:val="Hyperlink"/>
            <w:rFonts w:ascii="Segoe UI" w:hAnsi="Segoe UI" w:cs="Segoe UI"/>
            <w:sz w:val="24"/>
            <w:szCs w:val="24"/>
          </w:rPr>
          <w:t>under-reported crime</w:t>
        </w:r>
      </w:hyperlink>
      <w:r w:rsidRPr="00D56E2A">
        <w:rPr>
          <w:rFonts w:ascii="Segoe UI" w:hAnsi="Segoe UI" w:cs="Segoe UI"/>
        </w:rPr>
        <w:t xml:space="preserve">. Victims are most often young women who are </w:t>
      </w:r>
      <w:hyperlink r:id="rId16" w:history="1">
        <w:r w:rsidRPr="00D56E2A">
          <w:rPr>
            <w:rStyle w:val="Hyperlink"/>
            <w:rFonts w:ascii="Segoe UI" w:hAnsi="Segoe UI" w:cs="Segoe UI"/>
            <w:sz w:val="24"/>
            <w:szCs w:val="24"/>
          </w:rPr>
          <w:t>raped by someone they know</w:t>
        </w:r>
      </w:hyperlink>
      <w:r w:rsidRPr="00D56E2A">
        <w:rPr>
          <w:rFonts w:ascii="Segoe UI" w:hAnsi="Segoe UI" w:cs="Segoe UI"/>
        </w:rPr>
        <w:t>.</w:t>
      </w:r>
    </w:p>
    <w:p w14:paraId="1ACD8DED" w14:textId="77777777" w:rsidR="007F0DED" w:rsidRPr="00D56E2A" w:rsidRDefault="007F0DED" w:rsidP="00646010">
      <w:pPr>
        <w:spacing w:before="240"/>
        <w:jc w:val="both"/>
        <w:rPr>
          <w:rFonts w:ascii="Segoe UI" w:hAnsi="Segoe UI" w:cs="Segoe UI"/>
        </w:rPr>
      </w:pPr>
      <w:r w:rsidRPr="00D56E2A">
        <w:rPr>
          <w:rFonts w:ascii="Segoe UI" w:hAnsi="Segoe UI" w:cs="Segoe UI"/>
        </w:rPr>
        <w:t xml:space="preserve">Women are also the overwhelming majority of the </w:t>
      </w:r>
      <w:hyperlink r:id="rId17" w:history="1">
        <w:r w:rsidRPr="00D56E2A">
          <w:rPr>
            <w:rStyle w:val="Hyperlink"/>
            <w:rFonts w:ascii="Segoe UI" w:hAnsi="Segoe UI" w:cs="Segoe UI"/>
            <w:sz w:val="24"/>
            <w:szCs w:val="24"/>
          </w:rPr>
          <w:t>victims of intimate partner violence</w:t>
        </w:r>
      </w:hyperlink>
      <w:r w:rsidRPr="00D56E2A">
        <w:rPr>
          <w:rFonts w:ascii="Segoe UI" w:hAnsi="Segoe UI" w:cs="Segoe UI"/>
        </w:rPr>
        <w:t xml:space="preserve">, and they are more likely to experience severe forms of it </w:t>
      </w:r>
      <w:r w:rsidRPr="00646010">
        <w:rPr>
          <w:rFonts w:ascii="Segoe UI" w:hAnsi="Segoe UI" w:cs="Segoe UI"/>
        </w:rPr>
        <w:t>–</w:t>
      </w:r>
      <w:r w:rsidRPr="00D56E2A">
        <w:rPr>
          <w:rFonts w:ascii="Segoe UI" w:hAnsi="Segoe UI" w:cs="Segoe UI"/>
        </w:rPr>
        <w:t xml:space="preserve"> forced sex, choking, confinement. In Canada, one woman or girl is killed by a man about every </w:t>
      </w:r>
      <w:hyperlink r:id="rId18" w:anchor=":~:text=In%202020%2C%20160%20women%20and,killed%20by%20violence%20in%202019" w:history="1">
        <w:r w:rsidRPr="00D56E2A">
          <w:rPr>
            <w:rStyle w:val="Hyperlink"/>
            <w:rFonts w:ascii="Segoe UI" w:hAnsi="Segoe UI" w:cs="Segoe UI"/>
            <w:sz w:val="24"/>
            <w:szCs w:val="24"/>
          </w:rPr>
          <w:t>48 hours</w:t>
        </w:r>
      </w:hyperlink>
      <w:r w:rsidRPr="00D56E2A">
        <w:rPr>
          <w:rFonts w:ascii="Segoe UI" w:hAnsi="Segoe UI" w:cs="Segoe UI"/>
        </w:rPr>
        <w:t xml:space="preserve">, and </w:t>
      </w:r>
      <w:r w:rsidRPr="00D56E2A">
        <w:rPr>
          <w:rFonts w:ascii="Segoe UI" w:hAnsi="Segoe UI" w:cs="Segoe UI"/>
        </w:rPr>
        <w:lastRenderedPageBreak/>
        <w:t xml:space="preserve">the numbers are increasing. The Canadian Femicide Observatory for Justice and Accountability (CFOJA) reports a </w:t>
      </w:r>
      <w:hyperlink r:id="rId19" w:history="1">
        <w:r w:rsidRPr="00D56E2A">
          <w:rPr>
            <w:rStyle w:val="Hyperlink"/>
            <w:rFonts w:ascii="Segoe UI" w:hAnsi="Segoe UI" w:cs="Segoe UI"/>
            <w:sz w:val="24"/>
            <w:szCs w:val="24"/>
          </w:rPr>
          <w:t>24% increase in femicides</w:t>
        </w:r>
      </w:hyperlink>
      <w:r w:rsidRPr="00D56E2A">
        <w:rPr>
          <w:rFonts w:ascii="Segoe UI" w:hAnsi="Segoe UI" w:cs="Segoe UI"/>
        </w:rPr>
        <w:t xml:space="preserve"> between 2019 and 2022.</w:t>
      </w:r>
    </w:p>
    <w:p w14:paraId="5ACA8C25" w14:textId="77777777" w:rsidR="007F0DED" w:rsidRPr="00D56E2A" w:rsidRDefault="007F0DED" w:rsidP="00646010">
      <w:pPr>
        <w:spacing w:before="240"/>
        <w:jc w:val="both"/>
        <w:rPr>
          <w:rFonts w:ascii="Segoe UI" w:hAnsi="Segoe UI" w:cs="Segoe UI"/>
        </w:rPr>
      </w:pPr>
      <w:r w:rsidRPr="00D56E2A">
        <w:rPr>
          <w:rFonts w:ascii="Segoe UI" w:hAnsi="Segoe UI" w:cs="Segoe UI"/>
        </w:rPr>
        <w:t xml:space="preserve">The incidence of intimate partner violence and gender-based killings is highest in the territory of Nunavut and substantially </w:t>
      </w:r>
      <w:hyperlink r:id="rId20" w:history="1">
        <w:r w:rsidRPr="00D56E2A">
          <w:rPr>
            <w:rStyle w:val="Hyperlink"/>
            <w:rFonts w:ascii="Segoe UI" w:hAnsi="Segoe UI" w:cs="Segoe UI"/>
            <w:sz w:val="24"/>
            <w:szCs w:val="24"/>
          </w:rPr>
          <w:t>higher in rural areas than in cities</w:t>
        </w:r>
      </w:hyperlink>
      <w:r w:rsidRPr="00D56E2A">
        <w:rPr>
          <w:rFonts w:ascii="Segoe UI" w:hAnsi="Segoe UI" w:cs="Segoe UI"/>
        </w:rPr>
        <w:t xml:space="preserve">. Between 2011 and 2021, </w:t>
      </w:r>
      <w:hyperlink r:id="rId21" w:history="1">
        <w:r w:rsidRPr="00D56E2A">
          <w:rPr>
            <w:rStyle w:val="Hyperlink"/>
            <w:rFonts w:ascii="Segoe UI" w:hAnsi="Segoe UI" w:cs="Segoe UI"/>
            <w:sz w:val="24"/>
            <w:szCs w:val="24"/>
          </w:rPr>
          <w:t>21% of the victims</w:t>
        </w:r>
      </w:hyperlink>
      <w:r w:rsidRPr="00D56E2A">
        <w:rPr>
          <w:rFonts w:ascii="Segoe UI" w:hAnsi="Segoe UI" w:cs="Segoe UI"/>
        </w:rPr>
        <w:t xml:space="preserve"> of femicide were Indigenous women, even though they are only 5% of the female population. </w:t>
      </w:r>
    </w:p>
    <w:p w14:paraId="276F597C" w14:textId="77777777" w:rsidR="007F0DED" w:rsidRPr="00D56E2A" w:rsidRDefault="007F0DED" w:rsidP="00646010">
      <w:pPr>
        <w:spacing w:before="240"/>
        <w:jc w:val="both"/>
        <w:rPr>
          <w:rFonts w:ascii="Segoe UI" w:hAnsi="Segoe UI" w:cs="Segoe UI"/>
        </w:rPr>
      </w:pPr>
      <w:r w:rsidRPr="00D56E2A">
        <w:rPr>
          <w:rFonts w:ascii="Segoe UI" w:hAnsi="Segoe UI" w:cs="Segoe UI"/>
        </w:rPr>
        <w:t xml:space="preserve">This violence, and the threat of it, is woven into the lives of women and girls. Canada has developed a </w:t>
      </w:r>
      <w:hyperlink r:id="rId22" w:history="1">
        <w:r w:rsidRPr="00D56E2A">
          <w:rPr>
            <w:rStyle w:val="Hyperlink"/>
            <w:rFonts w:ascii="Segoe UI" w:hAnsi="Segoe UI" w:cs="Segoe UI"/>
            <w:sz w:val="24"/>
            <w:szCs w:val="24"/>
          </w:rPr>
          <w:t>Federal Gender Based Violence Strategy</w:t>
        </w:r>
      </w:hyperlink>
      <w:r w:rsidRPr="00D56E2A">
        <w:rPr>
          <w:rFonts w:ascii="Segoe UI" w:hAnsi="Segoe UI" w:cs="Segoe UI"/>
        </w:rPr>
        <w:t xml:space="preserve"> and a </w:t>
      </w:r>
      <w:hyperlink r:id="rId23" w:history="1">
        <w:r w:rsidRPr="00D56E2A">
          <w:rPr>
            <w:rStyle w:val="Hyperlink"/>
            <w:rFonts w:ascii="Segoe UI" w:hAnsi="Segoe UI" w:cs="Segoe UI"/>
            <w:sz w:val="24"/>
            <w:szCs w:val="24"/>
          </w:rPr>
          <w:t>National Gender-Based Violence Action Plan</w:t>
        </w:r>
      </w:hyperlink>
      <w:r w:rsidRPr="00D56E2A">
        <w:rPr>
          <w:rFonts w:ascii="Segoe UI" w:hAnsi="Segoe UI" w:cs="Segoe UI"/>
        </w:rPr>
        <w:t xml:space="preserve">. However, as </w:t>
      </w:r>
      <w:hyperlink r:id="rId24" w:history="1">
        <w:r w:rsidRPr="00D56E2A">
          <w:rPr>
            <w:rStyle w:val="Hyperlink"/>
            <w:rFonts w:ascii="Segoe UI" w:hAnsi="Segoe UI" w:cs="Segoe UI"/>
            <w:sz w:val="24"/>
            <w:szCs w:val="24"/>
          </w:rPr>
          <w:t>CFOJA states</w:t>
        </w:r>
      </w:hyperlink>
      <w:r w:rsidRPr="00D56E2A">
        <w:rPr>
          <w:rFonts w:ascii="Segoe UI" w:hAnsi="Segoe UI" w:cs="Segoe UI"/>
        </w:rPr>
        <w:t xml:space="preserve"> about femicide: “little appears to have changed” when it comes to how violence against women occurs and why. “Progress on prevention and on accountability has been slow to evolve. We have not yet met the basic standard required to prevent the [violence] or to hold perpetrators accountable…” </w:t>
      </w:r>
    </w:p>
    <w:p w14:paraId="75C8AF0E" w14:textId="77777777" w:rsidR="007F0DED" w:rsidRPr="00D56E2A" w:rsidRDefault="007F0DED" w:rsidP="00646010">
      <w:pPr>
        <w:jc w:val="both"/>
        <w:rPr>
          <w:rFonts w:ascii="Segoe UI" w:hAnsi="Segoe UI" w:cs="Segoe UI"/>
        </w:rPr>
      </w:pPr>
    </w:p>
    <w:p w14:paraId="2EF09117" w14:textId="77777777" w:rsidR="007F0DED" w:rsidRPr="00D56E2A" w:rsidRDefault="007F0DED" w:rsidP="00646010">
      <w:pPr>
        <w:jc w:val="both"/>
        <w:rPr>
          <w:rFonts w:ascii="Segoe UI" w:hAnsi="Segoe UI" w:cs="Segoe UI"/>
        </w:rPr>
      </w:pPr>
      <w:r w:rsidRPr="00D56E2A">
        <w:rPr>
          <w:rFonts w:ascii="Segoe UI" w:hAnsi="Segoe UI" w:cs="Segoe UI"/>
        </w:rPr>
        <w:t>Canada</w:t>
      </w:r>
      <w:r w:rsidRPr="00646010">
        <w:rPr>
          <w:rFonts w:ascii="Segoe UI" w:hAnsi="Segoe UI" w:cs="Segoe UI"/>
        </w:rPr>
        <w:t>’</w:t>
      </w:r>
      <w:r w:rsidRPr="00D56E2A">
        <w:rPr>
          <w:rFonts w:ascii="Segoe UI" w:hAnsi="Segoe UI" w:cs="Segoe UI"/>
        </w:rPr>
        <w:t xml:space="preserve">s failure to fulfill the social and economic rights of women is deeply connected to the ways women experience violence and the consequences it has in their lives. </w:t>
      </w:r>
      <w:r w:rsidRPr="00D56E2A">
        <w:rPr>
          <w:rFonts w:ascii="Segoe UI" w:hAnsi="Segoe UI" w:cs="Segoe UI"/>
          <w:color w:val="000000"/>
        </w:rPr>
        <w:t xml:space="preserve">As </w:t>
      </w:r>
      <w:hyperlink r:id="rId25" w:history="1">
        <w:r w:rsidRPr="00D56E2A">
          <w:rPr>
            <w:rStyle w:val="Hyperlink"/>
            <w:rFonts w:ascii="Segoe UI" w:hAnsi="Segoe UI" w:cs="Segoe UI"/>
            <w:sz w:val="24"/>
            <w:szCs w:val="24"/>
          </w:rPr>
          <w:t>Laurel McBride writes</w:t>
        </w:r>
      </w:hyperlink>
      <w:r w:rsidRPr="00D56E2A">
        <w:rPr>
          <w:rFonts w:ascii="Segoe UI" w:hAnsi="Segoe UI" w:cs="Segoe UI"/>
          <w:color w:val="000000"/>
        </w:rPr>
        <w:t xml:space="preserve">: “Poverty, and the threat of it, </w:t>
      </w:r>
      <w:r w:rsidRPr="00D56E2A">
        <w:rPr>
          <w:rFonts w:ascii="Segoe UI" w:hAnsi="Segoe UI" w:cs="Segoe UI"/>
        </w:rPr>
        <w:t>forces women to tolerate male violence.” Women</w:t>
      </w:r>
      <w:r w:rsidRPr="00646010">
        <w:rPr>
          <w:rFonts w:ascii="Segoe UI" w:hAnsi="Segoe UI" w:cs="Segoe UI"/>
        </w:rPr>
        <w:t>’</w:t>
      </w:r>
      <w:r w:rsidRPr="00D56E2A">
        <w:rPr>
          <w:rFonts w:ascii="Segoe UI" w:hAnsi="Segoe UI" w:cs="Segoe UI"/>
        </w:rPr>
        <w:t>s economic inequality, and poverty and violence create a “</w:t>
      </w:r>
      <w:hyperlink r:id="rId26" w:history="1">
        <w:r w:rsidRPr="00D56E2A">
          <w:rPr>
            <w:rStyle w:val="Hyperlink"/>
            <w:rFonts w:ascii="Segoe UI" w:hAnsi="Segoe UI" w:cs="Segoe UI"/>
            <w:sz w:val="24"/>
            <w:szCs w:val="24"/>
          </w:rPr>
          <w:t>vicious circle</w:t>
        </w:r>
      </w:hyperlink>
      <w:r w:rsidRPr="00D56E2A">
        <w:rPr>
          <w:rFonts w:ascii="Segoe UI" w:hAnsi="Segoe UI" w:cs="Segoe UI"/>
        </w:rPr>
        <w:t xml:space="preserve">” of connected events that is hard to escape. </w:t>
      </w:r>
      <w:hyperlink r:id="rId27" w:history="1">
        <w:r w:rsidRPr="00D56E2A">
          <w:rPr>
            <w:rStyle w:val="Hyperlink"/>
            <w:rFonts w:ascii="Segoe UI" w:hAnsi="Segoe UI" w:cs="Segoe UI"/>
            <w:sz w:val="24"/>
            <w:szCs w:val="24"/>
          </w:rPr>
          <w:t>Brodsky et al described</w:t>
        </w:r>
      </w:hyperlink>
      <w:r w:rsidRPr="00D56E2A">
        <w:rPr>
          <w:rFonts w:ascii="Segoe UI" w:hAnsi="Segoe UI" w:cs="Segoe UI"/>
        </w:rPr>
        <w:t xml:space="preserve"> these connected events this way: “male violence, lack of adequate housing, inadequate welfare, child apprehension, lack of legal aid, and depression/addiction. If a woman seeks to leave a violent relationship, often she needs social assistance so that she can support herself and her family independently from the violent partner. Once she is receiving social assistance, inadequate rates mean finding and maintaining adequate housing for herself and her children is difficult, if not impossible. Children may be apprehended because they have witnessed male violence, or because living conditions are considered poor enough to constitute “neglect”. Once children are apprehended, it is often hard for women to get them back. Shelter allowances are cut when children are not present, but a mother has to show that she has an adequate place for children to live before the children can be returned. Lack of legal aid to deal with separation-related issues, representation before children are taken away, welfare entitlements, and poor housing, makes it difficult to break out of the circle.” </w:t>
      </w:r>
    </w:p>
    <w:p w14:paraId="5DFAF380" w14:textId="77777777" w:rsidR="007F0DED" w:rsidRPr="00646010" w:rsidRDefault="007F0DED" w:rsidP="008E08C2">
      <w:pPr>
        <w:autoSpaceDE w:val="0"/>
        <w:autoSpaceDN w:val="0"/>
        <w:adjustRightInd w:val="0"/>
        <w:rPr>
          <w:rFonts w:ascii="Segoe UI" w:hAnsi="Segoe UI" w:cs="Segoe UI"/>
        </w:rPr>
      </w:pPr>
    </w:p>
    <w:p w14:paraId="1342AF72" w14:textId="0B32D310" w:rsidR="007F0DED" w:rsidRDefault="007F0DED" w:rsidP="001D34B5">
      <w:pPr>
        <w:rPr>
          <w:rFonts w:ascii="Segoe UI" w:hAnsi="Segoe UI" w:cs="Segoe UI"/>
          <w:color w:val="221E1F"/>
        </w:rPr>
      </w:pPr>
      <w:r w:rsidRPr="007666D5">
        <w:rPr>
          <w:rFonts w:ascii="Segoe UI" w:hAnsi="Segoe UI" w:cs="Segoe UI"/>
          <w:color w:val="000000"/>
        </w:rPr>
        <w:t>For women, poverty and economic inequality have gendered, harmful consequences. Women living in poverty</w:t>
      </w:r>
      <w:r w:rsidRPr="007666D5">
        <w:rPr>
          <w:rFonts w:ascii="Segoe UI" w:hAnsi="Segoe UI" w:cs="Segoe UI"/>
          <w:color w:val="221E1F"/>
        </w:rPr>
        <w:t xml:space="preserve"> are less able to protect themselves from being treated as sexual commodities and nothing more. </w:t>
      </w:r>
      <w:r w:rsidRPr="007666D5">
        <w:rPr>
          <w:rFonts w:ascii="Segoe UI" w:hAnsi="Segoe UI" w:cs="Segoe UI"/>
          <w:color w:val="000000"/>
        </w:rPr>
        <w:t>T</w:t>
      </w:r>
      <w:r w:rsidRPr="007666D5">
        <w:rPr>
          <w:rFonts w:ascii="Segoe UI" w:hAnsi="Segoe UI" w:cs="Segoe UI"/>
          <w:color w:val="221E1F"/>
        </w:rPr>
        <w:t xml:space="preserve">hey lose sexual autonomy in relationships. </w:t>
      </w:r>
      <w:r w:rsidRPr="007666D5">
        <w:rPr>
          <w:rFonts w:ascii="Segoe UI" w:hAnsi="Segoe UI" w:cs="Segoe UI"/>
          <w:color w:val="000000"/>
        </w:rPr>
        <w:t>T</w:t>
      </w:r>
      <w:r w:rsidRPr="007666D5">
        <w:rPr>
          <w:rFonts w:ascii="Segoe UI" w:hAnsi="Segoe UI" w:cs="Segoe UI"/>
          <w:color w:val="221E1F"/>
        </w:rPr>
        <w:t xml:space="preserve">heir vulnerability to rape and assault is magnified. </w:t>
      </w:r>
      <w:r w:rsidRPr="007666D5">
        <w:rPr>
          <w:rFonts w:ascii="Segoe UI" w:hAnsi="Segoe UI" w:cs="Segoe UI"/>
          <w:color w:val="000000"/>
        </w:rPr>
        <w:t>T</w:t>
      </w:r>
      <w:r w:rsidRPr="007666D5">
        <w:rPr>
          <w:rFonts w:ascii="Segoe UI" w:hAnsi="Segoe UI" w:cs="Segoe UI"/>
          <w:color w:val="221E1F"/>
        </w:rPr>
        <w:t xml:space="preserve">heir ability to care for their children is compromised, and they are more likely to have their children removed in the name of “protection,” often because women lack adequate housing and cannot supply proper food or ensure safe conditions. Without adequate incomes, women cannot secure stable </w:t>
      </w:r>
      <w:r w:rsidRPr="007666D5">
        <w:rPr>
          <w:rFonts w:ascii="Segoe UI" w:hAnsi="Segoe UI" w:cs="Segoe UI"/>
          <w:color w:val="221E1F"/>
        </w:rPr>
        <w:lastRenderedPageBreak/>
        <w:t xml:space="preserve">housing and become homeless, increasing their exposure to violence. </w:t>
      </w:r>
      <w:r w:rsidRPr="007666D5">
        <w:rPr>
          <w:rFonts w:ascii="Segoe UI" w:hAnsi="Segoe UI" w:cs="Segoe UI"/>
          <w:color w:val="000000"/>
        </w:rPr>
        <w:t>T</w:t>
      </w:r>
      <w:r w:rsidRPr="007666D5">
        <w:rPr>
          <w:rFonts w:ascii="Segoe UI" w:hAnsi="Segoe UI" w:cs="Segoe UI"/>
          <w:color w:val="221E1F"/>
        </w:rPr>
        <w:t>hey have no political voice or influence. They are both over</w:t>
      </w:r>
      <w:r w:rsidRPr="007666D5">
        <w:rPr>
          <w:rFonts w:ascii="Segoe UI" w:hAnsi="Segoe UI" w:cs="Segoe UI"/>
          <w:color w:val="221E1F"/>
        </w:rPr>
        <w:noBreakHyphen/>
        <w:t>policed and under</w:t>
      </w:r>
      <w:r w:rsidRPr="007666D5">
        <w:rPr>
          <w:rFonts w:ascii="Segoe UI" w:hAnsi="Segoe UI" w:cs="Segoe UI"/>
          <w:color w:val="221E1F"/>
        </w:rPr>
        <w:noBreakHyphen/>
        <w:t>protected by police. Without access to adequate social programs, including adequate social assistance and social services, such as shelters and transitional housing, women are much less able to resist or escape subordination and violence. The interaction, interrelatedness, and indivisibility of civil, political, economic, social and cultural rights is manifest in the lives of women who live in poverty.</w:t>
      </w:r>
      <w:bookmarkStart w:id="58" w:name="_Toc20731733"/>
    </w:p>
    <w:p w14:paraId="75D86F4D" w14:textId="77777777" w:rsidR="009C71AE" w:rsidRPr="00085CC1" w:rsidRDefault="009C71AE" w:rsidP="009C71AE">
      <w:pPr>
        <w:pStyle w:val="Heading2"/>
        <w:keepNext w:val="0"/>
        <w:keepLines w:val="0"/>
        <w:numPr>
          <w:ilvl w:val="1"/>
          <w:numId w:val="0"/>
        </w:numPr>
        <w:spacing w:before="240"/>
        <w:ind w:left="357" w:hanging="357"/>
        <w:rPr>
          <w:rFonts w:cs="Calibri"/>
          <w:color w:val="993300"/>
          <w:sz w:val="24"/>
          <w:szCs w:val="24"/>
        </w:rPr>
      </w:pPr>
      <w:bookmarkStart w:id="59" w:name="_Toc220664138"/>
      <w:r w:rsidRPr="00085CC1">
        <w:rPr>
          <w:color w:val="993300"/>
          <w:sz w:val="24"/>
          <w:szCs w:val="24"/>
        </w:rPr>
        <w:t>Recommendations</w:t>
      </w:r>
      <w:bookmarkEnd w:id="59"/>
    </w:p>
    <w:p w14:paraId="4BFFCE58" w14:textId="77777777" w:rsidR="007F0DED" w:rsidRPr="007666D5" w:rsidRDefault="007F0DED" w:rsidP="00427D63">
      <w:pPr>
        <w:rPr>
          <w:rFonts w:ascii="Segoe UI" w:hAnsi="Segoe UI" w:cs="Segoe UI"/>
        </w:rPr>
      </w:pPr>
    </w:p>
    <w:p w14:paraId="2F9BED4C" w14:textId="7F4B414B"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Revise the “Principles guiding the Attorney General of Canada in Charter Litigation”, in consultation with civil society organizations as recommended by the Committee on Economic, Social and Cultural Rights, in order to ensure that positions in litigation taken fully reflect Canada’s obligations to fulfill the rights set out in Article 2, 6, and 26 of the ICCPR</w:t>
      </w:r>
      <w:r w:rsidR="005A6FB7">
        <w:rPr>
          <w:rFonts w:ascii="Segoe UI" w:hAnsi="Segoe UI" w:cs="Segoe UI"/>
          <w:b/>
          <w:bCs/>
          <w:i/>
          <w:iCs/>
          <w:color w:val="993300"/>
        </w:rPr>
        <w:t>.</w:t>
      </w:r>
    </w:p>
    <w:p w14:paraId="0BEB50FB" w14:textId="77777777" w:rsidR="007F0DED" w:rsidRPr="00085CC1" w:rsidRDefault="007F0DED" w:rsidP="00427D63">
      <w:pPr>
        <w:rPr>
          <w:rFonts w:ascii="Segoe UI" w:hAnsi="Segoe UI" w:cs="Segoe UI"/>
          <w:b/>
          <w:bCs/>
          <w:i/>
          <w:iCs/>
          <w:color w:val="993300"/>
        </w:rPr>
      </w:pPr>
    </w:p>
    <w:p w14:paraId="5D8E74E3" w14:textId="5066176F"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Design a comprehensive</w:t>
      </w:r>
      <w:r w:rsidRPr="00085CC1">
        <w:rPr>
          <w:rFonts w:ascii="Segoe UI" w:hAnsi="Segoe UI" w:cs="Segoe UI"/>
          <w:color w:val="993300"/>
        </w:rPr>
        <w:t xml:space="preserve"> </w:t>
      </w:r>
      <w:r w:rsidRPr="00085CC1">
        <w:rPr>
          <w:rFonts w:ascii="Segoe UI" w:hAnsi="Segoe UI" w:cs="Segoe UI"/>
          <w:b/>
          <w:bCs/>
          <w:i/>
          <w:iCs/>
          <w:color w:val="993300"/>
        </w:rPr>
        <w:t>national</w:t>
      </w:r>
      <w:r w:rsidRPr="00085CC1">
        <w:rPr>
          <w:rFonts w:ascii="Segoe UI" w:hAnsi="Segoe UI" w:cs="Segoe UI"/>
          <w:color w:val="993300"/>
        </w:rPr>
        <w:t xml:space="preserve"> </w:t>
      </w:r>
      <w:r w:rsidRPr="00085CC1">
        <w:rPr>
          <w:rFonts w:ascii="Segoe UI" w:hAnsi="Segoe UI" w:cs="Segoe UI"/>
          <w:b/>
          <w:bCs/>
          <w:i/>
          <w:iCs/>
          <w:color w:val="993300"/>
        </w:rPr>
        <w:t>strategy, policy and action plan, informed by intersectional analysis, that will address the structural factors that cause the persistent inequalities of women and girls, and ensure that measures advance women’s equality, particularly the equality of the most marginalized and disadvantaged women and girls</w:t>
      </w:r>
      <w:r w:rsidR="005A6FB7">
        <w:rPr>
          <w:rFonts w:ascii="Segoe UI" w:hAnsi="Segoe UI" w:cs="Segoe UI"/>
          <w:b/>
          <w:bCs/>
          <w:i/>
          <w:iCs/>
          <w:color w:val="993300"/>
        </w:rPr>
        <w:t>.</w:t>
      </w:r>
    </w:p>
    <w:p w14:paraId="3D272226" w14:textId="77777777" w:rsidR="007F0DED" w:rsidRPr="00085CC1" w:rsidRDefault="007F0DED" w:rsidP="00427D63">
      <w:pPr>
        <w:rPr>
          <w:rFonts w:ascii="Segoe UI" w:hAnsi="Segoe UI" w:cs="Segoe UI"/>
          <w:b/>
          <w:bCs/>
          <w:i/>
          <w:iCs/>
          <w:color w:val="993300"/>
        </w:rPr>
      </w:pPr>
    </w:p>
    <w:p w14:paraId="2155E50C" w14:textId="4660AC01"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 xml:space="preserve">Implement recommendations of United Nations treaty bodies to raise social assistance rates in all jurisdictions, in light of Articles 6 and 26 of the Covenant, </w:t>
      </w:r>
      <w:r>
        <w:rPr>
          <w:rFonts w:ascii="Segoe UI" w:hAnsi="Segoe UI" w:cs="Segoe UI"/>
          <w:b/>
          <w:bCs/>
          <w:i/>
          <w:iCs/>
          <w:color w:val="993300"/>
        </w:rPr>
        <w:t>recognizing</w:t>
      </w:r>
      <w:r w:rsidRPr="00085CC1">
        <w:rPr>
          <w:rFonts w:ascii="Segoe UI" w:hAnsi="Segoe UI" w:cs="Segoe UI"/>
          <w:b/>
          <w:bCs/>
          <w:i/>
          <w:iCs/>
          <w:color w:val="993300"/>
        </w:rPr>
        <w:t xml:space="preserve"> the constraint that poverty imposes on the enjoyment of every right</w:t>
      </w:r>
      <w:r w:rsidR="005A6FB7">
        <w:rPr>
          <w:rFonts w:ascii="Segoe UI" w:hAnsi="Segoe UI" w:cs="Segoe UI"/>
          <w:b/>
          <w:bCs/>
          <w:i/>
          <w:iCs/>
          <w:color w:val="993300"/>
        </w:rPr>
        <w:t xml:space="preserve">. </w:t>
      </w:r>
    </w:p>
    <w:p w14:paraId="7740BDA5" w14:textId="77777777" w:rsidR="007F0DED" w:rsidRPr="00085CC1" w:rsidRDefault="007F0DED" w:rsidP="00427D63">
      <w:pPr>
        <w:rPr>
          <w:rFonts w:ascii="Segoe UI" w:hAnsi="Segoe UI" w:cs="Segoe UI"/>
          <w:b/>
          <w:bCs/>
          <w:i/>
          <w:iCs/>
          <w:color w:val="993300"/>
        </w:rPr>
      </w:pPr>
    </w:p>
    <w:p w14:paraId="09B85D4E" w14:textId="2B6B0023"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Improve the Canada Disability Benefit so that it is sufficient to lift people with disabilities out of poverty and allow them to live with dignity, security and equality</w:t>
      </w:r>
      <w:r w:rsidR="005A6FB7">
        <w:rPr>
          <w:rFonts w:ascii="Segoe UI" w:hAnsi="Segoe UI" w:cs="Segoe UI"/>
          <w:b/>
          <w:bCs/>
          <w:i/>
          <w:iCs/>
          <w:color w:val="993300"/>
        </w:rPr>
        <w:t>.</w:t>
      </w:r>
    </w:p>
    <w:p w14:paraId="00E01E48" w14:textId="77777777" w:rsidR="007F0DED" w:rsidRPr="00085CC1" w:rsidRDefault="007F0DED" w:rsidP="004262A6">
      <w:pPr>
        <w:rPr>
          <w:rFonts w:ascii="Segoe UI" w:hAnsi="Segoe UI" w:cs="Segoe UI"/>
          <w:b/>
          <w:bCs/>
          <w:i/>
          <w:iCs/>
          <w:color w:val="993300"/>
        </w:rPr>
      </w:pPr>
    </w:p>
    <w:p w14:paraId="30F65253" w14:textId="6265BA4B"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Take the cap off the Homecare Immigration Worker Program and permit women coming to Canada as domestic workers to have a pathway to permanent residence</w:t>
      </w:r>
      <w:r w:rsidR="005A6FB7">
        <w:rPr>
          <w:rFonts w:ascii="Segoe UI" w:hAnsi="Segoe UI" w:cs="Segoe UI"/>
          <w:b/>
          <w:bCs/>
          <w:i/>
          <w:iCs/>
          <w:color w:val="993300"/>
        </w:rPr>
        <w:t>.</w:t>
      </w:r>
    </w:p>
    <w:p w14:paraId="74C10D65" w14:textId="77777777" w:rsidR="007F0DED" w:rsidRPr="00085CC1" w:rsidRDefault="007F0DED" w:rsidP="00421AF5">
      <w:pPr>
        <w:rPr>
          <w:rFonts w:ascii="Segoe UI" w:hAnsi="Segoe UI" w:cs="Segoe UI"/>
          <w:b/>
          <w:bCs/>
          <w:i/>
          <w:iCs/>
          <w:color w:val="993300"/>
        </w:rPr>
      </w:pPr>
    </w:p>
    <w:p w14:paraId="2D2BDFD4" w14:textId="236A6A21" w:rsidR="007F0DED" w:rsidRPr="00085CC1" w:rsidRDefault="007F0DED" w:rsidP="00427D63">
      <w:pPr>
        <w:numPr>
          <w:ilvl w:val="0"/>
          <w:numId w:val="7"/>
        </w:numPr>
        <w:rPr>
          <w:rFonts w:ascii="Segoe UI" w:hAnsi="Segoe UI" w:cs="Segoe UI"/>
          <w:b/>
          <w:bCs/>
          <w:i/>
          <w:iCs/>
          <w:color w:val="993300"/>
        </w:rPr>
      </w:pPr>
      <w:r w:rsidRPr="00085CC1">
        <w:rPr>
          <w:rFonts w:ascii="Segoe UI" w:hAnsi="Segoe UI" w:cs="Segoe UI"/>
          <w:b/>
          <w:bCs/>
          <w:i/>
          <w:iCs/>
          <w:color w:val="993300"/>
        </w:rPr>
        <w:t>Design laws and programs and allocate resources to eliminate persistent inequalities in pay and conditions of work that are experienced by women workers in the care economy and the service sector in all jurisdictions, and in particular by Indigenous, Black and racialized women and women with disabilities</w:t>
      </w:r>
      <w:r w:rsidR="005A6FB7">
        <w:rPr>
          <w:rFonts w:ascii="Segoe UI" w:hAnsi="Segoe UI" w:cs="Segoe UI"/>
          <w:b/>
          <w:bCs/>
          <w:i/>
          <w:iCs/>
          <w:color w:val="993300"/>
        </w:rPr>
        <w:t>.</w:t>
      </w:r>
    </w:p>
    <w:p w14:paraId="07369B1D" w14:textId="77777777" w:rsidR="007F0DED" w:rsidRPr="00085CC1" w:rsidRDefault="007F0DED" w:rsidP="00427D63">
      <w:pPr>
        <w:ind w:left="72"/>
        <w:rPr>
          <w:rFonts w:ascii="Segoe UI" w:hAnsi="Segoe UI" w:cs="Segoe UI"/>
          <w:b/>
          <w:bCs/>
          <w:i/>
          <w:iCs/>
          <w:color w:val="993300"/>
        </w:rPr>
      </w:pPr>
    </w:p>
    <w:p w14:paraId="54E96BDE" w14:textId="60AE33FF" w:rsidR="007F0DED" w:rsidRDefault="007F0DED" w:rsidP="00427D63">
      <w:pPr>
        <w:numPr>
          <w:ilvl w:val="0"/>
          <w:numId w:val="4"/>
        </w:numPr>
        <w:rPr>
          <w:rFonts w:ascii="Segoe UI" w:hAnsi="Segoe UI" w:cs="Segoe UI"/>
          <w:b/>
          <w:bCs/>
          <w:i/>
          <w:iCs/>
          <w:color w:val="993300"/>
        </w:rPr>
      </w:pPr>
      <w:r w:rsidRPr="00085CC1">
        <w:rPr>
          <w:rFonts w:ascii="Segoe UI" w:hAnsi="Segoe UI" w:cs="Segoe UI"/>
          <w:b/>
          <w:bCs/>
          <w:i/>
          <w:iCs/>
          <w:color w:val="993300"/>
        </w:rPr>
        <w:t>Take steps to increase unionization of women in the care economy and service sector, and to improve protections for women who are precarious and/or part-time workers</w:t>
      </w:r>
      <w:r w:rsidR="005A6FB7">
        <w:rPr>
          <w:rFonts w:ascii="Segoe UI" w:hAnsi="Segoe UI" w:cs="Segoe UI"/>
          <w:b/>
          <w:bCs/>
          <w:i/>
          <w:iCs/>
          <w:color w:val="993300"/>
        </w:rPr>
        <w:t>.</w:t>
      </w:r>
    </w:p>
    <w:p w14:paraId="19DC16AB" w14:textId="77777777" w:rsidR="007F0DED" w:rsidRDefault="007F0DED" w:rsidP="003E7BA7">
      <w:pPr>
        <w:rPr>
          <w:rFonts w:ascii="Segoe UI" w:hAnsi="Segoe UI" w:cs="Segoe UI"/>
          <w:b/>
          <w:bCs/>
          <w:i/>
          <w:iCs/>
          <w:color w:val="993300"/>
        </w:rPr>
      </w:pPr>
    </w:p>
    <w:p w14:paraId="2B5E4AA1" w14:textId="1E07A30A" w:rsidR="007F0DED" w:rsidRPr="00D56E2A" w:rsidRDefault="007F0DED" w:rsidP="00D56E2A">
      <w:pPr>
        <w:pStyle w:val="ListParagraph"/>
        <w:numPr>
          <w:ilvl w:val="0"/>
          <w:numId w:val="25"/>
        </w:numPr>
        <w:spacing w:after="120"/>
        <w:rPr>
          <w:rFonts w:ascii="Segoe UI" w:hAnsi="Segoe UI" w:cs="Segoe UI"/>
        </w:rPr>
      </w:pPr>
      <w:r w:rsidRPr="00D56E2A">
        <w:rPr>
          <w:rFonts w:ascii="Segoe UI" w:hAnsi="Segoe UI" w:cs="Segoe UI"/>
          <w:b/>
          <w:bCs/>
          <w:i/>
          <w:iCs/>
          <w:color w:val="993300"/>
        </w:rPr>
        <w:t xml:space="preserve">Establish a Gender-Based Violence Commissioner and a National Accountability Framework for Gender-Based Violence, as </w:t>
      </w:r>
      <w:hyperlink r:id="rId28" w:history="1">
        <w:r w:rsidRPr="00D56E2A">
          <w:rPr>
            <w:rStyle w:val="Hyperlink"/>
            <w:rFonts w:ascii="Segoe UI" w:hAnsi="Segoe UI" w:cs="Segoe UI"/>
            <w:b/>
            <w:bCs/>
            <w:i/>
            <w:iCs/>
            <w:color w:val="993300"/>
            <w:sz w:val="24"/>
            <w:szCs w:val="24"/>
          </w:rPr>
          <w:t>recommended</w:t>
        </w:r>
      </w:hyperlink>
      <w:r w:rsidRPr="00D56E2A">
        <w:rPr>
          <w:rFonts w:ascii="Segoe UI" w:hAnsi="Segoe UI" w:cs="Segoe UI"/>
          <w:b/>
          <w:bCs/>
          <w:i/>
          <w:iCs/>
          <w:color w:val="993300"/>
        </w:rPr>
        <w:t xml:space="preserve"> by the Nova Scotia Mass Casualty Commissio</w:t>
      </w:r>
      <w:r w:rsidR="00962A37">
        <w:rPr>
          <w:rFonts w:ascii="Segoe UI" w:hAnsi="Segoe UI" w:cs="Segoe UI"/>
          <w:b/>
          <w:bCs/>
          <w:i/>
          <w:iCs/>
          <w:color w:val="993300"/>
        </w:rPr>
        <w:t>n</w:t>
      </w:r>
      <w:r w:rsidR="005A6FB7">
        <w:rPr>
          <w:rFonts w:ascii="Segoe UI" w:hAnsi="Segoe UI" w:cs="Segoe UI"/>
          <w:b/>
          <w:bCs/>
          <w:i/>
          <w:iCs/>
          <w:color w:val="993300"/>
        </w:rPr>
        <w:t>.</w:t>
      </w:r>
    </w:p>
    <w:p w14:paraId="5B61D848" w14:textId="5355F254" w:rsidR="007F0DED" w:rsidRDefault="00CB006F" w:rsidP="002D0744">
      <w:pPr>
        <w:ind w:left="144"/>
        <w:rPr>
          <w:rFonts w:ascii="Segoe UI" w:hAnsi="Segoe UI" w:cs="Segoe UI"/>
          <w:b/>
          <w:bCs/>
          <w:i/>
          <w:iCs/>
          <w:color w:val="993300"/>
        </w:rPr>
      </w:pPr>
      <w:r>
        <w:rPr>
          <w:rFonts w:ascii="Segoe UI" w:hAnsi="Segoe UI" w:cs="Segoe UI"/>
          <w:b/>
          <w:bCs/>
          <w:i/>
          <w:iCs/>
          <w:color w:val="993300"/>
        </w:rPr>
        <w:t xml:space="preserve"> </w:t>
      </w:r>
    </w:p>
    <w:p w14:paraId="53B31B2C" w14:textId="77777777" w:rsidR="007F0DED" w:rsidRPr="00085CC1" w:rsidRDefault="007F0DED" w:rsidP="00427D63">
      <w:pPr>
        <w:numPr>
          <w:ilvl w:val="0"/>
          <w:numId w:val="4"/>
        </w:numPr>
        <w:rPr>
          <w:rFonts w:ascii="Segoe UI" w:hAnsi="Segoe UI" w:cs="Segoe UI"/>
          <w:b/>
          <w:bCs/>
          <w:i/>
          <w:iCs/>
          <w:color w:val="993300"/>
        </w:rPr>
      </w:pPr>
      <w:r>
        <w:rPr>
          <w:rFonts w:ascii="Segoe UI" w:hAnsi="Segoe UI" w:cs="Segoe UI"/>
          <w:b/>
          <w:bCs/>
          <w:i/>
          <w:iCs/>
          <w:color w:val="993300"/>
        </w:rPr>
        <w:t>Ratify the Optional Protocol to the International Covenant on Economic, Social and Cultural Rights, and formally recognize economic, social and cultural rights by incorporating them into the law of Canada, and affirming that they are protected by the Canadian Charter of Rights and Freedoms.</w:t>
      </w:r>
    </w:p>
    <w:p w14:paraId="192638BC" w14:textId="77777777" w:rsidR="007F0DED" w:rsidRPr="00085CC1" w:rsidRDefault="007F0DED" w:rsidP="00427D63">
      <w:pPr>
        <w:rPr>
          <w:rFonts w:ascii="Segoe UI" w:hAnsi="Segoe UI" w:cs="Segoe UI"/>
          <w:color w:val="993300"/>
        </w:rPr>
      </w:pPr>
    </w:p>
    <w:p w14:paraId="6A5B3E4A" w14:textId="77777777" w:rsidR="007F0DED" w:rsidRPr="00085CC1" w:rsidRDefault="007F0DED" w:rsidP="00A555CF">
      <w:pPr>
        <w:pStyle w:val="Heading1"/>
        <w:numPr>
          <w:ilvl w:val="0"/>
          <w:numId w:val="8"/>
        </w:numPr>
        <w:rPr>
          <w:rFonts w:ascii="Segoe UI" w:hAnsi="Segoe UI" w:cs="Segoe UI"/>
          <w:color w:val="993300"/>
          <w:w w:val="103"/>
        </w:rPr>
      </w:pPr>
      <w:bookmarkStart w:id="60" w:name="_Toc72489162"/>
      <w:bookmarkStart w:id="61" w:name="_Toc72489185"/>
      <w:bookmarkStart w:id="62" w:name="_Toc72489248"/>
      <w:bookmarkStart w:id="63" w:name="_Toc72490500"/>
      <w:bookmarkStart w:id="64" w:name="_Toc72491014"/>
      <w:bookmarkStart w:id="65" w:name="_Toc72491432"/>
      <w:bookmarkStart w:id="66" w:name="_Toc220664139"/>
      <w:bookmarkEnd w:id="0"/>
      <w:bookmarkEnd w:id="1"/>
      <w:bookmarkEnd w:id="2"/>
      <w:bookmarkEnd w:id="3"/>
      <w:bookmarkEnd w:id="4"/>
      <w:bookmarkEnd w:id="5"/>
      <w:bookmarkEnd w:id="6"/>
      <w:bookmarkEnd w:id="58"/>
      <w:r w:rsidRPr="00085CC1">
        <w:rPr>
          <w:rFonts w:ascii="Segoe UI" w:hAnsi="Segoe UI" w:cs="Segoe UI"/>
          <w:color w:val="993300"/>
          <w:w w:val="103"/>
        </w:rPr>
        <w:t>Articles 2, 6 and 26: Access to Justice, the Right to an Effective Remedy, and Equal Protection of the Law</w:t>
      </w:r>
      <w:bookmarkEnd w:id="60"/>
      <w:bookmarkEnd w:id="61"/>
      <w:bookmarkEnd w:id="62"/>
      <w:bookmarkEnd w:id="63"/>
      <w:bookmarkEnd w:id="64"/>
      <w:bookmarkEnd w:id="65"/>
      <w:bookmarkEnd w:id="66"/>
      <w:r w:rsidRPr="00085CC1">
        <w:rPr>
          <w:rFonts w:ascii="Segoe UI" w:hAnsi="Segoe UI" w:cs="Segoe UI"/>
          <w:color w:val="993300"/>
          <w:w w:val="103"/>
        </w:rPr>
        <w:t xml:space="preserve"> </w:t>
      </w:r>
    </w:p>
    <w:p w14:paraId="49718D5A" w14:textId="77777777" w:rsidR="007F0DED" w:rsidRPr="00085CC1" w:rsidRDefault="007F0DED" w:rsidP="003F33F6">
      <w:pPr>
        <w:rPr>
          <w:rFonts w:ascii="Segoe UI" w:hAnsi="Segoe UI" w:cs="Segoe UI"/>
          <w:color w:val="993300"/>
          <w:sz w:val="28"/>
          <w:szCs w:val="28"/>
          <w:lang w:eastAsia="ja-JP"/>
        </w:rPr>
      </w:pPr>
    </w:p>
    <w:p w14:paraId="244881D3" w14:textId="77777777" w:rsidR="007F0DED" w:rsidRPr="007666D5" w:rsidRDefault="007F0DED" w:rsidP="00B73A6C">
      <w:pPr>
        <w:rPr>
          <w:rFonts w:ascii="Segoe UI" w:hAnsi="Segoe UI" w:cs="Segoe UI"/>
          <w:lang w:eastAsia="ja-JP"/>
        </w:rPr>
      </w:pPr>
      <w:r w:rsidRPr="007666D5">
        <w:rPr>
          <w:rFonts w:ascii="Segoe UI" w:hAnsi="Segoe UI" w:cs="Segoe UI"/>
          <w:lang w:eastAsia="ja-JP"/>
        </w:rPr>
        <w:t>Canada provides various legal protections to women, as well as guarantees of equality and non-discrimination in statutory human rights laws in all jurisdictions and guarantees of equal protection and equal benefit of the law in its Constitution. However, women do not enjoy equal protection and equal benefit of the law. They face profound and persistent sex</w:t>
      </w:r>
      <w:r>
        <w:rPr>
          <w:rFonts w:ascii="Segoe UI" w:hAnsi="Segoe UI" w:cs="Segoe UI"/>
          <w:lang w:eastAsia="ja-JP"/>
        </w:rPr>
        <w:t>ist</w:t>
      </w:r>
      <w:r w:rsidRPr="007666D5">
        <w:rPr>
          <w:rFonts w:ascii="Segoe UI" w:hAnsi="Segoe UI" w:cs="Segoe UI"/>
          <w:lang w:eastAsia="ja-JP"/>
        </w:rPr>
        <w:t xml:space="preserve"> and rac</w:t>
      </w:r>
      <w:r>
        <w:rPr>
          <w:rFonts w:ascii="Segoe UI" w:hAnsi="Segoe UI" w:cs="Segoe UI"/>
          <w:lang w:eastAsia="ja-JP"/>
        </w:rPr>
        <w:t>ist</w:t>
      </w:r>
      <w:r w:rsidRPr="007666D5">
        <w:rPr>
          <w:rFonts w:ascii="Segoe UI" w:hAnsi="Segoe UI" w:cs="Segoe UI"/>
          <w:lang w:eastAsia="ja-JP"/>
        </w:rPr>
        <w:t xml:space="preserve"> bias in policing and in the administration of justice, and encounter many obstacles to obtaining effective remedies for violations of their rights. </w:t>
      </w:r>
    </w:p>
    <w:p w14:paraId="0CA9441D" w14:textId="77777777" w:rsidR="007F0DED" w:rsidRPr="007666D5" w:rsidRDefault="007F0DED" w:rsidP="003F33F6">
      <w:pPr>
        <w:rPr>
          <w:rFonts w:ascii="Segoe UI" w:hAnsi="Segoe UI" w:cs="Segoe UI"/>
          <w:lang w:eastAsia="ja-JP"/>
        </w:rPr>
      </w:pPr>
    </w:p>
    <w:p w14:paraId="54A6B273" w14:textId="77777777" w:rsidR="007F0DED" w:rsidRPr="00085CC1" w:rsidRDefault="007F0DED" w:rsidP="00117915">
      <w:pPr>
        <w:pStyle w:val="Heading2"/>
        <w:numPr>
          <w:ilvl w:val="0"/>
          <w:numId w:val="17"/>
        </w:numPr>
        <w:rPr>
          <w:color w:val="993300"/>
          <w:w w:val="103"/>
          <w:sz w:val="24"/>
          <w:szCs w:val="24"/>
        </w:rPr>
      </w:pPr>
      <w:bookmarkStart w:id="67" w:name="_Toc72489163"/>
      <w:bookmarkStart w:id="68" w:name="_Toc72489186"/>
      <w:bookmarkStart w:id="69" w:name="_Toc72489249"/>
      <w:bookmarkStart w:id="70" w:name="_Toc72490501"/>
      <w:bookmarkStart w:id="71" w:name="_Toc72491015"/>
      <w:bookmarkStart w:id="72" w:name="_Toc72491433"/>
      <w:bookmarkStart w:id="73" w:name="_Toc220664140"/>
      <w:r w:rsidRPr="00085CC1">
        <w:rPr>
          <w:color w:val="993300"/>
          <w:w w:val="103"/>
          <w:sz w:val="24"/>
          <w:szCs w:val="24"/>
        </w:rPr>
        <w:t>Legal Aid</w:t>
      </w:r>
      <w:bookmarkEnd w:id="67"/>
      <w:bookmarkEnd w:id="68"/>
      <w:bookmarkEnd w:id="69"/>
      <w:bookmarkEnd w:id="70"/>
      <w:bookmarkEnd w:id="71"/>
      <w:bookmarkEnd w:id="72"/>
      <w:bookmarkEnd w:id="73"/>
    </w:p>
    <w:p w14:paraId="1A18BC2C" w14:textId="77777777" w:rsidR="007F0DED" w:rsidRPr="007666D5" w:rsidRDefault="007F0DED" w:rsidP="003F33F6">
      <w:pPr>
        <w:ind w:left="1080"/>
        <w:rPr>
          <w:rFonts w:ascii="Segoe UI" w:hAnsi="Segoe UI" w:cs="Segoe UI"/>
          <w:lang w:eastAsia="ja-JP"/>
        </w:rPr>
      </w:pPr>
    </w:p>
    <w:p w14:paraId="41F7A805" w14:textId="77777777" w:rsidR="007F0DED" w:rsidRDefault="007F0DED" w:rsidP="003F33F6">
      <w:pPr>
        <w:pStyle w:val="PlainText"/>
        <w:rPr>
          <w:rFonts w:ascii="Segoe UI" w:hAnsi="Segoe UI" w:cs="Segoe UI"/>
          <w:sz w:val="24"/>
          <w:szCs w:val="24"/>
        </w:rPr>
      </w:pPr>
      <w:r>
        <w:rPr>
          <w:rFonts w:ascii="Segoe UI" w:hAnsi="Segoe UI" w:cs="Segoe UI"/>
          <w:sz w:val="24"/>
          <w:szCs w:val="24"/>
        </w:rPr>
        <w:t xml:space="preserve">For decades, Canada’s legal aid system has been chronically underfunded with a severe lack of attention given to civil legal aid, resulting in clear gendered impacts on women. </w:t>
      </w:r>
      <w:r w:rsidRPr="007666D5">
        <w:rPr>
          <w:rFonts w:ascii="Segoe UI" w:hAnsi="Segoe UI" w:cs="Segoe UI"/>
          <w:sz w:val="24"/>
          <w:szCs w:val="24"/>
        </w:rPr>
        <w:t xml:space="preserve">The former Chief Justice of the Supreme Court of Canada, the Right Honourable Beverley McLachlin, stated </w:t>
      </w:r>
      <w:r>
        <w:rPr>
          <w:rFonts w:ascii="Segoe UI" w:hAnsi="Segoe UI" w:cs="Segoe UI"/>
          <w:sz w:val="24"/>
          <w:szCs w:val="24"/>
        </w:rPr>
        <w:t>more than</w:t>
      </w:r>
      <w:r w:rsidRPr="007666D5">
        <w:rPr>
          <w:rFonts w:ascii="Segoe UI" w:hAnsi="Segoe UI" w:cs="Segoe UI"/>
          <w:sz w:val="24"/>
          <w:szCs w:val="24"/>
        </w:rPr>
        <w:t xml:space="preserve"> a decade ago that “lack of access to civil justice represents the most significant challenge to our justice system”.</w:t>
      </w:r>
      <w:r w:rsidRPr="007666D5">
        <w:rPr>
          <w:rStyle w:val="FootnoteReference"/>
          <w:rFonts w:ascii="Segoe UI" w:hAnsi="Segoe UI" w:cs="Segoe UI"/>
          <w:sz w:val="24"/>
          <w:szCs w:val="24"/>
        </w:rPr>
        <w:footnoteReference w:id="58"/>
      </w:r>
      <w:r w:rsidRPr="007666D5">
        <w:rPr>
          <w:rFonts w:ascii="Segoe UI" w:hAnsi="Segoe UI" w:cs="Segoe UI"/>
          <w:sz w:val="24"/>
          <w:szCs w:val="24"/>
        </w:rPr>
        <w:t xml:space="preserve"> The Canadian Bar Association (CBA) called it a “crisis” in 2015, noting that civil legal aid services are almost non-existent in some provinces.</w:t>
      </w:r>
      <w:r w:rsidRPr="007666D5">
        <w:rPr>
          <w:rStyle w:val="FootnoteReference"/>
          <w:rFonts w:ascii="Segoe UI" w:hAnsi="Segoe UI" w:cs="Segoe UI"/>
          <w:sz w:val="24"/>
          <w:szCs w:val="24"/>
        </w:rPr>
        <w:footnoteReference w:id="59"/>
      </w:r>
      <w:r w:rsidRPr="007666D5">
        <w:rPr>
          <w:rFonts w:ascii="Segoe UI" w:hAnsi="Segoe UI" w:cs="Segoe UI"/>
          <w:sz w:val="24"/>
          <w:szCs w:val="24"/>
        </w:rPr>
        <w:t xml:space="preserve"> </w:t>
      </w:r>
      <w:r>
        <w:rPr>
          <w:rFonts w:ascii="Segoe UI" w:hAnsi="Segoe UI" w:cs="Segoe UI"/>
          <w:sz w:val="24"/>
          <w:szCs w:val="24"/>
        </w:rPr>
        <w:t xml:space="preserve">Unfortunately, these statements are still descriptive of the current status of access to justice and legal aid today. </w:t>
      </w:r>
    </w:p>
    <w:p w14:paraId="54F59EF5" w14:textId="77777777" w:rsidR="007F0DED" w:rsidRDefault="007F0DED" w:rsidP="003F33F6">
      <w:pPr>
        <w:pStyle w:val="PlainText"/>
        <w:rPr>
          <w:rFonts w:ascii="Segoe UI" w:hAnsi="Segoe UI" w:cs="Segoe UI"/>
          <w:sz w:val="24"/>
          <w:szCs w:val="24"/>
        </w:rPr>
      </w:pPr>
    </w:p>
    <w:p w14:paraId="6DE0005B" w14:textId="77777777" w:rsidR="007F0DED" w:rsidRDefault="007F0DED" w:rsidP="003F33F6">
      <w:pPr>
        <w:pStyle w:val="PlainText"/>
        <w:rPr>
          <w:rFonts w:ascii="Segoe UI" w:hAnsi="Segoe UI" w:cs="Segoe UI"/>
          <w:sz w:val="24"/>
          <w:szCs w:val="24"/>
        </w:rPr>
      </w:pPr>
      <w:r>
        <w:rPr>
          <w:rFonts w:ascii="Segoe UI" w:hAnsi="Segoe UI" w:cs="Segoe UI"/>
          <w:sz w:val="24"/>
          <w:szCs w:val="24"/>
        </w:rPr>
        <w:t>Legal aid funding is not secure. In 2019, Ontario reduced legal aid funding by 30%.</w:t>
      </w:r>
      <w:r>
        <w:rPr>
          <w:rStyle w:val="FootnoteReference"/>
          <w:rFonts w:ascii="Segoe UI" w:hAnsi="Segoe UI" w:cs="Segoe UI"/>
          <w:sz w:val="24"/>
          <w:szCs w:val="24"/>
        </w:rPr>
        <w:footnoteReference w:id="60"/>
      </w:r>
      <w:r>
        <w:rPr>
          <w:rFonts w:ascii="Segoe UI" w:hAnsi="Segoe UI" w:cs="Segoe UI"/>
          <w:sz w:val="24"/>
          <w:szCs w:val="24"/>
        </w:rPr>
        <w:t xml:space="preserve"> In 2024, the Alberta Government threatened to terminate its contract with Legal Aid Alberta over disputes on cost, meaning Alberta would not have been able to provide any legal aid services.</w:t>
      </w:r>
      <w:r>
        <w:rPr>
          <w:rStyle w:val="FootnoteReference"/>
          <w:rFonts w:ascii="Segoe UI" w:hAnsi="Segoe UI" w:cs="Segoe UI"/>
          <w:sz w:val="24"/>
          <w:szCs w:val="24"/>
        </w:rPr>
        <w:footnoteReference w:id="61"/>
      </w:r>
      <w:r>
        <w:rPr>
          <w:rFonts w:ascii="Segoe UI" w:hAnsi="Segoe UI" w:cs="Segoe UI"/>
          <w:sz w:val="24"/>
          <w:szCs w:val="24"/>
        </w:rPr>
        <w:t xml:space="preserve"> </w:t>
      </w:r>
    </w:p>
    <w:p w14:paraId="457A9DB7" w14:textId="77777777" w:rsidR="007F0DED" w:rsidRDefault="007F0DED" w:rsidP="003F33F6">
      <w:pPr>
        <w:pStyle w:val="PlainText"/>
        <w:rPr>
          <w:rFonts w:ascii="Segoe UI" w:hAnsi="Segoe UI" w:cs="Segoe UI"/>
          <w:sz w:val="24"/>
          <w:szCs w:val="24"/>
        </w:rPr>
      </w:pPr>
    </w:p>
    <w:p w14:paraId="0C015CA9" w14:textId="77777777" w:rsidR="007F0DED" w:rsidRDefault="007F0DED" w:rsidP="003F33F6">
      <w:pPr>
        <w:pStyle w:val="PlainText"/>
        <w:rPr>
          <w:rFonts w:ascii="Segoe UI" w:hAnsi="Segoe UI" w:cs="Segoe UI"/>
          <w:sz w:val="24"/>
          <w:szCs w:val="24"/>
        </w:rPr>
      </w:pPr>
      <w:r>
        <w:rPr>
          <w:rFonts w:ascii="Segoe UI" w:hAnsi="Segoe UI" w:cs="Segoe UI"/>
          <w:sz w:val="24"/>
          <w:szCs w:val="24"/>
        </w:rPr>
        <w:t>Income eligibility for legal aid across provinces has been set at either Canada’s poverty threshold or only slightly above, excluding many people who are still unable to afford legal representation. In 2025, Ontario announced an increase to the income eligibility rate for duty counsel to $45,440 for families of up to four.</w:t>
      </w:r>
      <w:r>
        <w:rPr>
          <w:rStyle w:val="FootnoteReference"/>
          <w:rFonts w:ascii="Segoe UI" w:hAnsi="Segoe UI" w:cs="Segoe UI"/>
          <w:sz w:val="24"/>
          <w:szCs w:val="24"/>
        </w:rPr>
        <w:footnoteReference w:id="62"/>
      </w:r>
      <w:r>
        <w:rPr>
          <w:rFonts w:ascii="Segoe UI" w:hAnsi="Segoe UI" w:cs="Segoe UI"/>
          <w:sz w:val="24"/>
          <w:szCs w:val="24"/>
        </w:rPr>
        <w:t xml:space="preserve"> This increase is only slightly above Canada’s poverty threshold in 2023 for families of three living in areas of Ontario with a population smaller than 99,999.</w:t>
      </w:r>
      <w:r>
        <w:rPr>
          <w:rStyle w:val="FootnoteReference"/>
          <w:rFonts w:ascii="Segoe UI" w:hAnsi="Segoe UI" w:cs="Segoe UI"/>
          <w:sz w:val="24"/>
          <w:szCs w:val="24"/>
        </w:rPr>
        <w:footnoteReference w:id="63"/>
      </w:r>
      <w:r>
        <w:rPr>
          <w:rFonts w:ascii="Segoe UI" w:hAnsi="Segoe UI" w:cs="Segoe UI"/>
          <w:sz w:val="24"/>
          <w:szCs w:val="24"/>
        </w:rPr>
        <w:t xml:space="preserve"> The increase is below the threshold for areas in Ontario with a population above 100,000.</w:t>
      </w:r>
      <w:r>
        <w:rPr>
          <w:rStyle w:val="FootnoteReference"/>
          <w:rFonts w:ascii="Segoe UI" w:hAnsi="Segoe UI" w:cs="Segoe UI"/>
          <w:sz w:val="24"/>
          <w:szCs w:val="24"/>
        </w:rPr>
        <w:footnoteReference w:id="64"/>
      </w:r>
      <w:r>
        <w:rPr>
          <w:rFonts w:ascii="Segoe UI" w:hAnsi="Segoe UI" w:cs="Segoe UI"/>
          <w:sz w:val="24"/>
          <w:szCs w:val="24"/>
        </w:rPr>
        <w:t xml:space="preserve"> Provincial eligibility standards also disproportionately impact women. Researchers at the University of Calgary have revealed that single women’s legal aid applications are more likely to be dismissed than single men’s applications.</w:t>
      </w:r>
      <w:r>
        <w:rPr>
          <w:rStyle w:val="FootnoteReference"/>
          <w:rFonts w:ascii="Segoe UI" w:hAnsi="Segoe UI" w:cs="Segoe UI"/>
          <w:sz w:val="24"/>
          <w:szCs w:val="24"/>
        </w:rPr>
        <w:footnoteReference w:id="65"/>
      </w:r>
      <w:r>
        <w:rPr>
          <w:rFonts w:ascii="Segoe UI" w:hAnsi="Segoe UI" w:cs="Segoe UI"/>
          <w:sz w:val="24"/>
          <w:szCs w:val="24"/>
        </w:rPr>
        <w:t xml:space="preserve"> </w:t>
      </w:r>
    </w:p>
    <w:p w14:paraId="2B4C7771" w14:textId="77777777" w:rsidR="007F0DED" w:rsidRDefault="007F0DED" w:rsidP="003F33F6">
      <w:pPr>
        <w:pStyle w:val="PlainText"/>
        <w:rPr>
          <w:rFonts w:ascii="Segoe UI" w:hAnsi="Segoe UI" w:cs="Segoe UI"/>
          <w:sz w:val="24"/>
          <w:szCs w:val="24"/>
        </w:rPr>
      </w:pPr>
    </w:p>
    <w:p w14:paraId="2F8EFECC" w14:textId="77777777" w:rsidR="007F0DED" w:rsidRDefault="007F0DED" w:rsidP="003F33F6">
      <w:pPr>
        <w:pStyle w:val="PlainText"/>
        <w:rPr>
          <w:rFonts w:ascii="Segoe UI" w:hAnsi="Segoe UI" w:cs="Segoe UI"/>
          <w:sz w:val="24"/>
          <w:szCs w:val="24"/>
        </w:rPr>
      </w:pPr>
      <w:r>
        <w:rPr>
          <w:rFonts w:ascii="Segoe UI" w:hAnsi="Segoe UI" w:cs="Segoe UI"/>
          <w:sz w:val="24"/>
          <w:szCs w:val="24"/>
        </w:rPr>
        <w:t>There is a marked gender difference in legal aid usage: women are the primary users of civil law legal aid, especially for family law matters, while men are the primary users of criminal law legal aid. In the 1990s, funding for civil legal aid by the Government of Canada began to be delivered as a discretionary expenditure for provinces and territories from the Canada Social Transfer (CST), while funding for criminal law legal aid remains a designated transfer from the federal government to the provinces and territories. According to the Canadian Bar Association, some provinces at times have allocated no funding to civil legal aid given the other budgetary demands on the CST.</w:t>
      </w:r>
      <w:r>
        <w:rPr>
          <w:rStyle w:val="FootnoteReference"/>
          <w:rFonts w:ascii="Segoe UI" w:hAnsi="Segoe UI" w:cs="Segoe UI"/>
          <w:sz w:val="24"/>
          <w:szCs w:val="24"/>
        </w:rPr>
        <w:footnoteReference w:id="66"/>
      </w:r>
      <w:r>
        <w:rPr>
          <w:rFonts w:ascii="Segoe UI" w:hAnsi="Segoe UI" w:cs="Segoe UI"/>
          <w:sz w:val="24"/>
          <w:szCs w:val="24"/>
        </w:rPr>
        <w:t xml:space="preserve"> In fact, the Department of Justice has stated in its annual report that federal funding for </w:t>
      </w:r>
      <w:r>
        <w:rPr>
          <w:rFonts w:ascii="Segoe UI" w:hAnsi="Segoe UI" w:cs="Segoe UI"/>
          <w:sz w:val="24"/>
          <w:szCs w:val="24"/>
        </w:rPr>
        <w:lastRenderedPageBreak/>
        <w:t>civil law legal aid cannot be calculated.</w:t>
      </w:r>
      <w:r>
        <w:rPr>
          <w:rStyle w:val="FootnoteReference"/>
          <w:rFonts w:ascii="Segoe UI" w:hAnsi="Segoe UI" w:cs="Segoe UI"/>
          <w:sz w:val="24"/>
          <w:szCs w:val="24"/>
        </w:rPr>
        <w:footnoteReference w:id="67"/>
      </w:r>
      <w:r>
        <w:rPr>
          <w:rFonts w:ascii="Segoe UI" w:hAnsi="Segoe UI" w:cs="Segoe UI"/>
          <w:sz w:val="24"/>
          <w:szCs w:val="24"/>
        </w:rPr>
        <w:t xml:space="preserve"> </w:t>
      </w:r>
    </w:p>
    <w:p w14:paraId="1BD19C4C" w14:textId="77777777" w:rsidR="007F0DED" w:rsidRDefault="007F0DED" w:rsidP="003F33F6">
      <w:pPr>
        <w:pStyle w:val="PlainText"/>
        <w:rPr>
          <w:rFonts w:ascii="Segoe UI" w:hAnsi="Segoe UI" w:cs="Segoe UI"/>
          <w:sz w:val="24"/>
          <w:szCs w:val="24"/>
        </w:rPr>
      </w:pPr>
    </w:p>
    <w:p w14:paraId="5365CE53" w14:textId="77777777" w:rsidR="007F0DED" w:rsidRDefault="007F0DED" w:rsidP="003F33F6">
      <w:pPr>
        <w:pStyle w:val="PlainText"/>
        <w:rPr>
          <w:rFonts w:ascii="Segoe UI" w:hAnsi="Segoe UI" w:cs="Segoe UI"/>
          <w:sz w:val="24"/>
          <w:szCs w:val="24"/>
        </w:rPr>
      </w:pPr>
      <w:r>
        <w:rPr>
          <w:rFonts w:ascii="Segoe UI" w:hAnsi="Segoe UI" w:cs="Segoe UI"/>
          <w:sz w:val="24"/>
          <w:szCs w:val="24"/>
        </w:rPr>
        <w:t>Access to timely and affordable legal advice and representation is crucial for women in situations of family violence. Yet, underfunding in civil legal aid can mean there is insufficient coverage for certain family law issues and legal aid services may be unable to cover the longer litigation timelines involved in family law.</w:t>
      </w:r>
      <w:r>
        <w:rPr>
          <w:rStyle w:val="FootnoteReference"/>
          <w:rFonts w:ascii="Segoe UI" w:hAnsi="Segoe UI" w:cs="Segoe UI"/>
          <w:sz w:val="24"/>
          <w:szCs w:val="24"/>
        </w:rPr>
        <w:footnoteReference w:id="68"/>
      </w:r>
      <w:r>
        <w:rPr>
          <w:rFonts w:ascii="Segoe UI" w:hAnsi="Segoe UI" w:cs="Segoe UI"/>
          <w:sz w:val="24"/>
          <w:szCs w:val="24"/>
        </w:rPr>
        <w:t xml:space="preserve"> Recently, the legal community in British Columbia welcomed the news of funding for a family law clinic focused on supporting survivors of intimate partner violence following seven years of litigation led by the Single Mothers’ Alliance who argued that the lack of civil legal aid coverage violated the </w:t>
      </w:r>
      <w:r>
        <w:rPr>
          <w:rFonts w:ascii="Segoe UI" w:hAnsi="Segoe UI" w:cs="Segoe UI"/>
          <w:i/>
          <w:iCs/>
          <w:sz w:val="24"/>
          <w:szCs w:val="24"/>
        </w:rPr>
        <w:t>Charter</w:t>
      </w:r>
      <w:r>
        <w:rPr>
          <w:rFonts w:ascii="Segoe UI" w:hAnsi="Segoe UI" w:cs="Segoe UI"/>
          <w:sz w:val="24"/>
          <w:szCs w:val="24"/>
        </w:rPr>
        <w:t>.</w:t>
      </w:r>
      <w:r>
        <w:rPr>
          <w:rStyle w:val="FootnoteReference"/>
          <w:rFonts w:ascii="Segoe UI" w:hAnsi="Segoe UI" w:cs="Segoe UI"/>
          <w:sz w:val="24"/>
          <w:szCs w:val="24"/>
        </w:rPr>
        <w:footnoteReference w:id="69"/>
      </w:r>
      <w:r>
        <w:rPr>
          <w:rFonts w:ascii="Segoe UI" w:hAnsi="Segoe UI" w:cs="Segoe UI"/>
          <w:sz w:val="24"/>
          <w:szCs w:val="24"/>
        </w:rPr>
        <w:t xml:space="preserve"> At the same time, the British Columbia Branch of the Canadian Bar Association pointed to longstanding gaps in the province’s funding, requesting the expansion of coverage to general family law matters as the province’s coverage is limited only to situations of intimate partner violence and the withholding of access to children by a spouse.</w:t>
      </w:r>
      <w:r>
        <w:rPr>
          <w:rStyle w:val="FootnoteReference"/>
          <w:rFonts w:ascii="Segoe UI" w:hAnsi="Segoe UI" w:cs="Segoe UI"/>
          <w:sz w:val="24"/>
          <w:szCs w:val="24"/>
        </w:rPr>
        <w:footnoteReference w:id="70"/>
      </w:r>
      <w:r>
        <w:rPr>
          <w:rFonts w:ascii="Segoe UI" w:hAnsi="Segoe UI" w:cs="Segoe UI"/>
          <w:sz w:val="24"/>
          <w:szCs w:val="24"/>
        </w:rPr>
        <w:t xml:space="preserve"> </w:t>
      </w:r>
    </w:p>
    <w:p w14:paraId="03A92145" w14:textId="77777777" w:rsidR="007F0DED" w:rsidRPr="007666D5" w:rsidRDefault="007F0DED" w:rsidP="003F33F6">
      <w:pPr>
        <w:rPr>
          <w:rFonts w:ascii="Segoe UI" w:hAnsi="Segoe UI" w:cs="Segoe UI"/>
        </w:rPr>
      </w:pPr>
    </w:p>
    <w:p w14:paraId="0A6E02C0" w14:textId="77777777" w:rsidR="007F0DED" w:rsidRDefault="007F0DED" w:rsidP="003F33F6">
      <w:pPr>
        <w:rPr>
          <w:rFonts w:ascii="Segoe UI" w:hAnsi="Segoe UI" w:cs="Segoe UI"/>
        </w:rPr>
      </w:pPr>
      <w:r w:rsidRPr="007666D5">
        <w:rPr>
          <w:rFonts w:ascii="Segoe UI" w:hAnsi="Segoe UI" w:cs="Segoe UI"/>
        </w:rPr>
        <w:t>The Canadian Bar Association has called on the Government of Canada to fund both criminal and civil legal aid through a direct, designated transfer (not the CST) and to establish a National Public Legal Assistance System that is sustainably-funded and that “provides comprehensive, people –centered legal services ...to meet essential legal needs and contribute to the health and well –being of disadvantaged and low-income Canadians.”</w:t>
      </w:r>
      <w:r w:rsidRPr="007666D5">
        <w:rPr>
          <w:rStyle w:val="FootnoteReference"/>
          <w:rFonts w:ascii="Segoe UI" w:hAnsi="Segoe UI" w:cs="Segoe UI"/>
        </w:rPr>
        <w:footnoteReference w:id="71"/>
      </w:r>
      <w:r w:rsidRPr="007666D5">
        <w:rPr>
          <w:rFonts w:ascii="Segoe UI" w:hAnsi="Segoe UI" w:cs="Segoe UI"/>
        </w:rPr>
        <w:t xml:space="preserve"> A National Public Legal Assistance System is necessary to provide equal and non-discriminatory access to justice for women.</w:t>
      </w:r>
    </w:p>
    <w:p w14:paraId="396C3972" w14:textId="77777777" w:rsidR="007F0DED" w:rsidRPr="007666D5" w:rsidRDefault="007F0DED" w:rsidP="003F33F6">
      <w:pPr>
        <w:rPr>
          <w:rFonts w:ascii="Segoe UI" w:hAnsi="Segoe UI" w:cs="Segoe UI"/>
        </w:rPr>
      </w:pPr>
    </w:p>
    <w:p w14:paraId="07E49F03" w14:textId="77777777" w:rsidR="007F0DED" w:rsidRPr="00D56E2A" w:rsidRDefault="007F0DED" w:rsidP="00A555CF">
      <w:pPr>
        <w:pStyle w:val="Heading2"/>
        <w:numPr>
          <w:ilvl w:val="0"/>
          <w:numId w:val="17"/>
        </w:numPr>
        <w:rPr>
          <w:rFonts w:cs="Calibri"/>
          <w:color w:val="993300"/>
          <w:sz w:val="24"/>
          <w:szCs w:val="24"/>
        </w:rPr>
      </w:pPr>
      <w:bookmarkStart w:id="74" w:name="_Toc176761787"/>
      <w:bookmarkStart w:id="75" w:name="_Toc220664141"/>
      <w:r w:rsidRPr="00D56E2A">
        <w:rPr>
          <w:color w:val="993300"/>
          <w:sz w:val="24"/>
          <w:szCs w:val="24"/>
        </w:rPr>
        <w:t>Justice for Sexual Assault Survivors</w:t>
      </w:r>
      <w:bookmarkEnd w:id="74"/>
      <w:bookmarkEnd w:id="75"/>
    </w:p>
    <w:p w14:paraId="68B4EC56" w14:textId="77777777" w:rsidR="007F0DED" w:rsidRPr="00D56E2A" w:rsidRDefault="007F0DED" w:rsidP="00072073">
      <w:pPr>
        <w:spacing w:before="240" w:after="240"/>
        <w:jc w:val="both"/>
        <w:rPr>
          <w:rFonts w:ascii="Segoe UI" w:hAnsi="Segoe UI" w:cs="Segoe UI"/>
          <w:color w:val="000000"/>
        </w:rPr>
      </w:pPr>
      <w:r w:rsidRPr="00D56E2A">
        <w:rPr>
          <w:rFonts w:ascii="Segoe UI" w:hAnsi="Segoe UI" w:cs="Segoe UI"/>
          <w:color w:val="000000"/>
        </w:rPr>
        <w:t xml:space="preserve">The Canadian criminal justice system is failing survivors of sexual assault. Only </w:t>
      </w:r>
      <w:r>
        <w:rPr>
          <w:rFonts w:ascii="Segoe UI" w:hAnsi="Segoe UI" w:cs="Segoe UI"/>
          <w:color w:val="000000"/>
        </w:rPr>
        <w:t>6</w:t>
      </w:r>
      <w:r w:rsidRPr="00D56E2A">
        <w:rPr>
          <w:rFonts w:ascii="Segoe UI" w:hAnsi="Segoe UI" w:cs="Segoe UI"/>
          <w:color w:val="000000"/>
        </w:rPr>
        <w:t xml:space="preserve">% of all sexual assaults are </w:t>
      </w:r>
      <w:r w:rsidRPr="00D56E2A">
        <w:rPr>
          <w:rFonts w:ascii="Segoe UI" w:hAnsi="Segoe UI" w:cs="Segoe UI"/>
        </w:rPr>
        <w:t>reported to police</w:t>
      </w:r>
      <w:r w:rsidRPr="00D56E2A">
        <w:rPr>
          <w:rFonts w:ascii="Segoe UI" w:hAnsi="Segoe UI" w:cs="Segoe UI"/>
          <w:color w:val="000000"/>
        </w:rPr>
        <w:t>.</w:t>
      </w:r>
      <w:r>
        <w:rPr>
          <w:rStyle w:val="FootnoteReference"/>
          <w:rFonts w:ascii="Segoe UI" w:hAnsi="Segoe UI" w:cs="Segoe UI"/>
          <w:color w:val="000000"/>
        </w:rPr>
        <w:footnoteReference w:id="72"/>
      </w:r>
      <w:r w:rsidRPr="00D56E2A">
        <w:rPr>
          <w:rFonts w:ascii="Segoe UI" w:hAnsi="Segoe UI" w:cs="Segoe UI"/>
          <w:color w:val="000000"/>
        </w:rPr>
        <w:t xml:space="preserve"> </w:t>
      </w:r>
      <w:hyperlink r:id="rId29" w:history="1">
        <w:r w:rsidRPr="00D56E2A">
          <w:rPr>
            <w:rStyle w:val="Hyperlink"/>
            <w:rFonts w:ascii="Segoe UI" w:hAnsi="Segoe UI" w:cs="Segoe UI"/>
            <w:sz w:val="24"/>
            <w:szCs w:val="24"/>
          </w:rPr>
          <w:t>Sexual assault cases</w:t>
        </w:r>
      </w:hyperlink>
      <w:r w:rsidRPr="00D56E2A">
        <w:rPr>
          <w:rFonts w:ascii="Segoe UI" w:hAnsi="Segoe UI" w:cs="Segoe UI"/>
          <w:color w:val="000000"/>
        </w:rPr>
        <w:t xml:space="preserve"> experience attrition at all levels of the criminal justice system</w:t>
      </w:r>
      <w:r>
        <w:rPr>
          <w:rFonts w:ascii="Segoe UI" w:hAnsi="Segoe UI" w:cs="Segoe UI"/>
          <w:color w:val="000000"/>
        </w:rPr>
        <w:t>. S</w:t>
      </w:r>
      <w:r w:rsidRPr="00D56E2A">
        <w:rPr>
          <w:rFonts w:ascii="Segoe UI" w:hAnsi="Segoe UI" w:cs="Segoe UI"/>
          <w:color w:val="000000"/>
        </w:rPr>
        <w:t xml:space="preserve">tatistics Canada </w:t>
      </w:r>
      <w:r>
        <w:rPr>
          <w:rFonts w:ascii="Segoe UI" w:hAnsi="Segoe UI" w:cs="Segoe UI"/>
          <w:color w:val="000000"/>
        </w:rPr>
        <w:t xml:space="preserve">reported in 2024 that for the period 2015 to 2019, charges were laid in only 36% of sexual assault cases. Of the 36% </w:t>
      </w:r>
      <w:r>
        <w:rPr>
          <w:rFonts w:ascii="Segoe UI" w:hAnsi="Segoe UI" w:cs="Segoe UI"/>
          <w:color w:val="000000"/>
        </w:rPr>
        <w:lastRenderedPageBreak/>
        <w:t>of cases in which charges were laid, only 61% went to court; in only half of those cases was there a conviction and in only half of those were the convicted individuals sentenced to custody.</w:t>
      </w:r>
      <w:r w:rsidRPr="00D56E2A">
        <w:rPr>
          <w:rFonts w:ascii="Segoe UI" w:hAnsi="Segoe UI" w:cs="Segoe UI"/>
          <w:color w:val="000000"/>
        </w:rPr>
        <w:t xml:space="preserve"> </w:t>
      </w:r>
      <w:r>
        <w:rPr>
          <w:rStyle w:val="FootnoteReference"/>
          <w:rFonts w:ascii="Segoe UI" w:hAnsi="Segoe UI" w:cs="Segoe UI"/>
          <w:color w:val="000000"/>
        </w:rPr>
        <w:footnoteReference w:id="73"/>
      </w:r>
    </w:p>
    <w:p w14:paraId="7FDB8C8F" w14:textId="77777777" w:rsidR="007F0DED" w:rsidRPr="00D56E2A" w:rsidRDefault="007F0DED" w:rsidP="00072073">
      <w:pPr>
        <w:spacing w:before="240"/>
        <w:rPr>
          <w:rFonts w:ascii="Segoe UI" w:hAnsi="Segoe UI" w:cs="Segoe UI"/>
          <w:color w:val="000000"/>
        </w:rPr>
      </w:pPr>
      <w:r w:rsidRPr="00D56E2A">
        <w:rPr>
          <w:rFonts w:ascii="Segoe UI" w:hAnsi="Segoe UI" w:cs="Segoe UI"/>
          <w:color w:val="000000"/>
        </w:rPr>
        <w:t xml:space="preserve">Rates of reporting and conviction of perpetrators are lower for </w:t>
      </w:r>
      <w:hyperlink r:id="rId30" w:history="1">
        <w:r w:rsidRPr="00D56E2A">
          <w:rPr>
            <w:rStyle w:val="Hyperlink"/>
            <w:rFonts w:ascii="Segoe UI" w:hAnsi="Segoe UI" w:cs="Segoe UI"/>
            <w:sz w:val="24"/>
            <w:szCs w:val="24"/>
          </w:rPr>
          <w:t>women with disabilities</w:t>
        </w:r>
      </w:hyperlink>
      <w:r w:rsidRPr="00D56E2A">
        <w:rPr>
          <w:rFonts w:ascii="Segoe UI" w:hAnsi="Segoe UI" w:cs="Segoe UI"/>
          <w:color w:val="000000"/>
        </w:rPr>
        <w:t xml:space="preserve">, </w:t>
      </w:r>
      <w:hyperlink r:id="rId31" w:history="1">
        <w:r w:rsidRPr="00D56E2A">
          <w:rPr>
            <w:rStyle w:val="Hyperlink"/>
            <w:rFonts w:ascii="Segoe UI" w:hAnsi="Segoe UI" w:cs="Segoe UI"/>
            <w:sz w:val="24"/>
            <w:szCs w:val="24"/>
          </w:rPr>
          <w:t>racialized women</w:t>
        </w:r>
      </w:hyperlink>
      <w:r w:rsidRPr="00D56E2A">
        <w:rPr>
          <w:rFonts w:ascii="Segoe UI" w:hAnsi="Segoe UI" w:cs="Segoe UI"/>
          <w:color w:val="000000"/>
        </w:rPr>
        <w:t xml:space="preserve">, </w:t>
      </w:r>
      <w:hyperlink r:id="rId32" w:history="1">
        <w:r w:rsidRPr="00D56E2A">
          <w:rPr>
            <w:rStyle w:val="Hyperlink"/>
            <w:rFonts w:ascii="Segoe UI" w:hAnsi="Segoe UI" w:cs="Segoe UI"/>
            <w:sz w:val="24"/>
            <w:szCs w:val="24"/>
          </w:rPr>
          <w:t>women with low incomes</w:t>
        </w:r>
      </w:hyperlink>
      <w:r w:rsidRPr="00D56E2A">
        <w:rPr>
          <w:rFonts w:ascii="Segoe UI" w:hAnsi="Segoe UI" w:cs="Segoe UI"/>
          <w:color w:val="000000"/>
        </w:rPr>
        <w:t xml:space="preserve">, </w:t>
      </w:r>
      <w:hyperlink r:id="rId33" w:history="1">
        <w:r w:rsidRPr="00D56E2A">
          <w:rPr>
            <w:rStyle w:val="Hyperlink"/>
            <w:rFonts w:ascii="Segoe UI" w:hAnsi="Segoe UI" w:cs="Segoe UI"/>
            <w:sz w:val="24"/>
            <w:szCs w:val="24"/>
          </w:rPr>
          <w:t>Indigenous women</w:t>
        </w:r>
      </w:hyperlink>
      <w:r w:rsidRPr="00D56E2A">
        <w:rPr>
          <w:rFonts w:ascii="Segoe UI" w:hAnsi="Segoe UI" w:cs="Segoe UI"/>
          <w:color w:val="000000"/>
        </w:rPr>
        <w:t xml:space="preserve">, </w:t>
      </w:r>
      <w:hyperlink r:id="rId34" w:history="1">
        <w:r w:rsidRPr="00D56E2A">
          <w:rPr>
            <w:rStyle w:val="Hyperlink"/>
            <w:rFonts w:ascii="Segoe UI" w:hAnsi="Segoe UI" w:cs="Segoe UI"/>
            <w:sz w:val="24"/>
            <w:szCs w:val="24"/>
          </w:rPr>
          <w:t>lesbians</w:t>
        </w:r>
      </w:hyperlink>
      <w:r w:rsidRPr="00D56E2A">
        <w:rPr>
          <w:rFonts w:ascii="Segoe UI" w:hAnsi="Segoe UI" w:cs="Segoe UI"/>
          <w:color w:val="000000"/>
        </w:rPr>
        <w:t xml:space="preserve">, and </w:t>
      </w:r>
      <w:hyperlink r:id="rId35" w:history="1">
        <w:r w:rsidRPr="00D56E2A">
          <w:rPr>
            <w:rStyle w:val="Hyperlink"/>
            <w:rFonts w:ascii="Segoe UI" w:hAnsi="Segoe UI" w:cs="Segoe UI"/>
            <w:sz w:val="24"/>
            <w:szCs w:val="24"/>
          </w:rPr>
          <w:t>gender diverse women</w:t>
        </w:r>
      </w:hyperlink>
      <w:r w:rsidRPr="00D56E2A">
        <w:rPr>
          <w:rFonts w:ascii="Segoe UI" w:hAnsi="Segoe UI" w:cs="Segoe UI"/>
          <w:color w:val="000000"/>
        </w:rPr>
        <w:t xml:space="preserve">. These women experience higher rates of sexual violence and report greater challenges in navigating criminal justice systems. </w:t>
      </w:r>
    </w:p>
    <w:p w14:paraId="24AC4AAE" w14:textId="77777777" w:rsidR="007F0DED" w:rsidRPr="00D56E2A" w:rsidRDefault="007F0DED" w:rsidP="00072073">
      <w:pPr>
        <w:spacing w:before="240"/>
        <w:jc w:val="both"/>
        <w:rPr>
          <w:rFonts w:ascii="Segoe UI" w:hAnsi="Segoe UI" w:cs="Segoe UI"/>
          <w:color w:val="000000"/>
        </w:rPr>
      </w:pPr>
      <w:r w:rsidRPr="00D56E2A">
        <w:rPr>
          <w:rFonts w:ascii="Segoe UI" w:hAnsi="Segoe UI" w:cs="Segoe UI"/>
          <w:color w:val="000000"/>
        </w:rPr>
        <w:t xml:space="preserve">Survivors of sexual assault encounter justice system bias when they report to police. Survivors are often confronted with deeply ingrained myths and stereotypes about sexual assault and “appropriate” responses to violation of their bodily integrity that undermine investigation into their complaints.  </w:t>
      </w:r>
    </w:p>
    <w:p w14:paraId="00B9AAF0" w14:textId="77777777" w:rsidR="007F0DED" w:rsidRPr="00D56E2A" w:rsidRDefault="007F0DED" w:rsidP="00072073">
      <w:pPr>
        <w:spacing w:before="240"/>
        <w:jc w:val="both"/>
        <w:rPr>
          <w:rFonts w:ascii="Segoe UI" w:hAnsi="Segoe UI" w:cs="Segoe UI"/>
          <w:color w:val="000000"/>
        </w:rPr>
      </w:pPr>
      <w:r w:rsidRPr="00D56E2A">
        <w:rPr>
          <w:rFonts w:ascii="Segoe UI" w:hAnsi="Segoe UI" w:cs="Segoe UI"/>
          <w:color w:val="000000"/>
        </w:rPr>
        <w:t xml:space="preserve">In a ground-breaking investigation conducted in 2017, the Globe and Mail reviewed over 870 police forces to reveal that they </w:t>
      </w:r>
      <w:hyperlink r:id="rId36" w:history="1">
        <w:r w:rsidRPr="00D56E2A">
          <w:rPr>
            <w:rStyle w:val="Hyperlink"/>
            <w:rFonts w:ascii="Segoe UI" w:hAnsi="Segoe UI" w:cs="Segoe UI"/>
            <w:sz w:val="24"/>
            <w:szCs w:val="24"/>
          </w:rPr>
          <w:t>dismiss</w:t>
        </w:r>
      </w:hyperlink>
      <w:r w:rsidRPr="00D56E2A">
        <w:rPr>
          <w:rFonts w:ascii="Segoe UI" w:hAnsi="Segoe UI" w:cs="Segoe UI"/>
          <w:color w:val="000000"/>
        </w:rPr>
        <w:t xml:space="preserve"> 1 in 5 sexual assault claims (or 19%) for being “unfounded” or baseless. In some regions, such as Saint John New Brunswick, the </w:t>
      </w:r>
      <w:hyperlink r:id="rId37" w:history="1">
        <w:r w:rsidRPr="00D56E2A">
          <w:rPr>
            <w:rStyle w:val="Hyperlink"/>
            <w:rFonts w:ascii="Segoe UI" w:hAnsi="Segoe UI" w:cs="Segoe UI"/>
            <w:sz w:val="24"/>
            <w:szCs w:val="24"/>
          </w:rPr>
          <w:t>unfounded rate</w:t>
        </w:r>
      </w:hyperlink>
      <w:r w:rsidRPr="00D56E2A">
        <w:rPr>
          <w:rFonts w:ascii="Segoe UI" w:hAnsi="Segoe UI" w:cs="Segoe UI"/>
          <w:color w:val="000000"/>
        </w:rPr>
        <w:t xml:space="preserve"> was over 50% of all sexual assault reports </w:t>
      </w:r>
      <w:hyperlink r:id="rId38" w:history="1">
        <w:r w:rsidRPr="00D56E2A">
          <w:rPr>
            <w:rStyle w:val="Hyperlink"/>
            <w:rFonts w:ascii="Segoe UI" w:hAnsi="Segoe UI" w:cs="Segoe UI"/>
            <w:sz w:val="24"/>
            <w:szCs w:val="24"/>
          </w:rPr>
          <w:t>over a period of 5 years</w:t>
        </w:r>
      </w:hyperlink>
      <w:r w:rsidRPr="00D56E2A">
        <w:rPr>
          <w:rFonts w:ascii="Segoe UI" w:hAnsi="Segoe UI" w:cs="Segoe UI"/>
          <w:color w:val="000000"/>
        </w:rPr>
        <w:t xml:space="preserve">. This investigation </w:t>
      </w:r>
      <w:hyperlink r:id="rId39" w:history="1">
        <w:r w:rsidRPr="00D56E2A">
          <w:rPr>
            <w:rStyle w:val="Hyperlink"/>
            <w:rFonts w:ascii="Segoe UI" w:hAnsi="Segoe UI" w:cs="Segoe UI"/>
            <w:sz w:val="24"/>
            <w:szCs w:val="24"/>
          </w:rPr>
          <w:t>revealed systemic failures</w:t>
        </w:r>
      </w:hyperlink>
      <w:r w:rsidRPr="00D56E2A">
        <w:rPr>
          <w:rFonts w:ascii="Segoe UI" w:hAnsi="Segoe UI" w:cs="Segoe UI"/>
          <w:color w:val="000000"/>
        </w:rPr>
        <w:t xml:space="preserve"> in police investigations into sexual assault and led to some police departments agreeing to external sexual assault case reviews </w:t>
      </w:r>
      <w:r w:rsidRPr="00072073">
        <w:rPr>
          <w:rFonts w:ascii="Segoe UI" w:hAnsi="Segoe UI" w:cs="Segoe UI"/>
          <w:color w:val="000000"/>
        </w:rPr>
        <w:t>–</w:t>
      </w:r>
      <w:r w:rsidRPr="00D56E2A">
        <w:rPr>
          <w:rFonts w:ascii="Segoe UI" w:hAnsi="Segoe UI" w:cs="Segoe UI"/>
          <w:color w:val="000000"/>
        </w:rPr>
        <w:t xml:space="preserve"> whereby trained experts from sexual assault crisis centres independently review sexual assault reports that were deemed unfounded by police.</w:t>
      </w:r>
    </w:p>
    <w:p w14:paraId="6DDF75BA" w14:textId="77777777" w:rsidR="007F0DED" w:rsidRPr="00493388" w:rsidRDefault="007F0DED" w:rsidP="00072073">
      <w:pPr>
        <w:spacing w:before="240"/>
        <w:jc w:val="both"/>
        <w:rPr>
          <w:rFonts w:ascii="Segoe UI Symbol" w:hAnsi="Segoe UI Symbol" w:cs="Segoe UI Symbol"/>
          <w:color w:val="000000"/>
        </w:rPr>
      </w:pPr>
      <w:r w:rsidRPr="00D56E2A">
        <w:rPr>
          <w:rFonts w:ascii="Segoe UI" w:hAnsi="Segoe UI" w:cs="Segoe UI"/>
          <w:color w:val="000000"/>
        </w:rPr>
        <w:t xml:space="preserve">Despite some recent changes, survivors who choose to report their experiences of sexual violence to the police continue to report challenges, For example, although rates at which police departments nationally consider complaints unfounded are down from 19% in 2017 to 8% in 2022, the rates of sexual assault complaints </w:t>
      </w:r>
      <w:hyperlink r:id="rId40" w:history="1">
        <w:r w:rsidRPr="00D56E2A">
          <w:rPr>
            <w:rStyle w:val="Hyperlink"/>
            <w:rFonts w:ascii="Segoe UI" w:hAnsi="Segoe UI" w:cs="Segoe UI"/>
            <w:sz w:val="24"/>
            <w:szCs w:val="24"/>
          </w:rPr>
          <w:t>translating into criminal charges</w:t>
        </w:r>
      </w:hyperlink>
      <w:r w:rsidRPr="00D56E2A">
        <w:rPr>
          <w:rFonts w:ascii="Segoe UI" w:hAnsi="Segoe UI" w:cs="Segoe UI"/>
          <w:color w:val="000000"/>
        </w:rPr>
        <w:t xml:space="preserve"> is down from 46% to 36% in the same time period. Further, survivor advocates </w:t>
      </w:r>
      <w:hyperlink r:id="rId41" w:history="1">
        <w:r w:rsidRPr="00D56E2A">
          <w:rPr>
            <w:rStyle w:val="Hyperlink"/>
            <w:rFonts w:ascii="Segoe UI" w:hAnsi="Segoe UI" w:cs="Segoe UI"/>
            <w:sz w:val="24"/>
            <w:szCs w:val="24"/>
          </w:rPr>
          <w:t>have expressed concerns</w:t>
        </w:r>
      </w:hyperlink>
      <w:r w:rsidRPr="00D56E2A">
        <w:rPr>
          <w:rFonts w:ascii="Segoe UI" w:hAnsi="Segoe UI" w:cs="Segoe UI"/>
          <w:color w:val="000000"/>
        </w:rPr>
        <w:t xml:space="preserve"> that survivors who fit stereotypical assumptions of “perfect victims” are more likely to have their cases taken seriously and not dismissed. Despite some </w:t>
      </w:r>
      <w:r w:rsidRPr="00D56E2A">
        <w:rPr>
          <w:rFonts w:ascii="Segoe UI" w:hAnsi="Segoe UI" w:cs="Segoe UI"/>
          <w:i/>
          <w:iCs/>
          <w:color w:val="000000"/>
        </w:rPr>
        <w:t>Criminal Code</w:t>
      </w:r>
      <w:r w:rsidRPr="00D56E2A">
        <w:rPr>
          <w:rFonts w:ascii="Segoe UI" w:hAnsi="Segoe UI" w:cs="Segoe UI"/>
          <w:color w:val="000000"/>
        </w:rPr>
        <w:t xml:space="preserve"> changes to ostensibly encourage more reporting,</w:t>
      </w:r>
      <w:r w:rsidRPr="00072073">
        <w:rPr>
          <w:rStyle w:val="FootnoteReference"/>
          <w:rFonts w:ascii="Segoe UI" w:hAnsi="Segoe UI" w:cs="Segoe UI"/>
          <w:color w:val="000000"/>
        </w:rPr>
        <w:footnoteReference w:id="74"/>
      </w:r>
      <w:r w:rsidRPr="00D56E2A">
        <w:rPr>
          <w:rFonts w:ascii="Segoe UI" w:hAnsi="Segoe UI" w:cs="Segoe UI"/>
          <w:color w:val="000000"/>
        </w:rPr>
        <w:t xml:space="preserve"> sexual assault is </w:t>
      </w:r>
      <w:hyperlink r:id="rId42" w:history="1">
        <w:r w:rsidRPr="00D56E2A">
          <w:rPr>
            <w:rStyle w:val="Hyperlink"/>
            <w:rFonts w:ascii="Segoe UI" w:hAnsi="Segoe UI" w:cs="Segoe UI"/>
            <w:sz w:val="24"/>
            <w:szCs w:val="24"/>
          </w:rPr>
          <w:t>still the most underreported crime</w:t>
        </w:r>
      </w:hyperlink>
      <w:r w:rsidRPr="00493388">
        <w:rPr>
          <w:rFonts w:ascii="Segoe UI Symbol" w:hAnsi="Segoe UI Symbol" w:cs="Segoe UI Symbol"/>
          <w:color w:val="000000"/>
        </w:rPr>
        <w:t>.</w:t>
      </w:r>
    </w:p>
    <w:p w14:paraId="30B457C9" w14:textId="77777777" w:rsidR="007F0DED" w:rsidRDefault="007F0DED" w:rsidP="003F33F6">
      <w:pPr>
        <w:rPr>
          <w:rFonts w:ascii="Segoe UI" w:hAnsi="Segoe UI" w:cs="Segoe UI"/>
        </w:rPr>
      </w:pPr>
    </w:p>
    <w:p w14:paraId="11987896" w14:textId="77777777" w:rsidR="007F0DED" w:rsidRPr="00D56E2A" w:rsidRDefault="007F0DED" w:rsidP="0067409F">
      <w:pPr>
        <w:numPr>
          <w:ilvl w:val="0"/>
          <w:numId w:val="17"/>
        </w:numPr>
        <w:rPr>
          <w:rFonts w:ascii="Segoe UI" w:hAnsi="Segoe UI" w:cs="Segoe UI"/>
          <w:b/>
          <w:bCs/>
          <w:color w:val="993300"/>
        </w:rPr>
      </w:pPr>
      <w:r w:rsidRPr="00D56E2A">
        <w:rPr>
          <w:rFonts w:ascii="Segoe UI" w:hAnsi="Segoe UI" w:cs="Segoe UI"/>
          <w:b/>
          <w:bCs/>
          <w:color w:val="993300"/>
        </w:rPr>
        <w:t>Misogyny, Racism and Homophobia in the RCMP</w:t>
      </w:r>
    </w:p>
    <w:p w14:paraId="2156DFAC" w14:textId="77777777" w:rsidR="007F0DED" w:rsidRPr="00D56E2A" w:rsidRDefault="007F0DED" w:rsidP="00D56E2A">
      <w:pPr>
        <w:ind w:left="720"/>
        <w:rPr>
          <w:rFonts w:ascii="Segoe UI" w:hAnsi="Segoe UI" w:cs="Segoe UI"/>
          <w:b/>
          <w:bCs/>
          <w:color w:val="993300"/>
        </w:rPr>
      </w:pPr>
    </w:p>
    <w:p w14:paraId="3839C27E" w14:textId="77777777" w:rsidR="007F0DED" w:rsidRPr="007666D5" w:rsidRDefault="007F0DED" w:rsidP="003F33F6">
      <w:pPr>
        <w:rPr>
          <w:rStyle w:val="nodenode--type-paragraphnode--view-mode-full"/>
          <w:rFonts w:ascii="Segoe UI" w:hAnsi="Segoe UI" w:cs="Segoe UI"/>
        </w:rPr>
      </w:pPr>
      <w:r w:rsidRPr="007666D5">
        <w:rPr>
          <w:rStyle w:val="nodenode--type-paragraphnode--view-mode-full"/>
          <w:rFonts w:ascii="Segoe UI" w:hAnsi="Segoe UI" w:cs="Segoe UI"/>
        </w:rPr>
        <w:lastRenderedPageBreak/>
        <w:t>The Royal Canadian Mounted Police (RCMP) is Canada’s national police force. It provides policing services in eight provinces (except Ontario and Québec) and three territories, as well as in approximately 200 municipalities and 600 Aboriginal communities.</w:t>
      </w:r>
      <w:r w:rsidRPr="007666D5">
        <w:rPr>
          <w:rStyle w:val="FootnoteReference"/>
          <w:rFonts w:ascii="Segoe UI" w:hAnsi="Segoe UI" w:cs="Segoe UI"/>
        </w:rPr>
        <w:footnoteReference w:id="75"/>
      </w:r>
      <w:r w:rsidRPr="007666D5">
        <w:rPr>
          <w:rStyle w:val="nodenode--type-paragraphnode--view-mode-full"/>
          <w:rFonts w:ascii="Segoe UI" w:hAnsi="Segoe UI" w:cs="Segoe UI"/>
        </w:rPr>
        <w:t xml:space="preserve"> The RCMP is the principal police service in most of rural and northern Canada.</w:t>
      </w:r>
    </w:p>
    <w:p w14:paraId="1AE73132" w14:textId="77777777" w:rsidR="007F0DED" w:rsidRPr="007666D5" w:rsidRDefault="007F0DED" w:rsidP="003F33F6">
      <w:pPr>
        <w:rPr>
          <w:rStyle w:val="nodenode--type-paragraphnode--view-mode-full"/>
          <w:rFonts w:ascii="Segoe UI" w:hAnsi="Segoe UI" w:cs="Segoe UI"/>
        </w:rPr>
      </w:pPr>
    </w:p>
    <w:p w14:paraId="32570157" w14:textId="459AB629" w:rsidR="007F0DED" w:rsidRDefault="007F0DED" w:rsidP="003F33F6">
      <w:pPr>
        <w:rPr>
          <w:rFonts w:ascii="Segoe UI" w:hAnsi="Segoe UI" w:cs="Segoe UI"/>
        </w:rPr>
      </w:pPr>
      <w:r>
        <w:rPr>
          <w:rFonts w:ascii="Segoe UI" w:hAnsi="Segoe UI" w:cs="Segoe UI"/>
        </w:rPr>
        <w:t>Entrenched misogyny is a long-standing institutionalized problem within the RCMP and it impacts women in the populations that the RCMP is intended to serve as well as women working within the RCMP.</w:t>
      </w:r>
      <w:r>
        <w:rPr>
          <w:rStyle w:val="FootnoteReference"/>
          <w:rFonts w:ascii="Segoe UI" w:hAnsi="Segoe UI" w:cs="Segoe UI"/>
        </w:rPr>
        <w:footnoteReference w:id="76"/>
      </w:r>
      <w:r>
        <w:rPr>
          <w:rFonts w:ascii="Segoe UI" w:hAnsi="Segoe UI" w:cs="Segoe UI"/>
        </w:rPr>
        <w:t xml:space="preserve"> </w:t>
      </w:r>
      <w:r w:rsidRPr="007666D5">
        <w:rPr>
          <w:rFonts w:ascii="Segoe UI" w:hAnsi="Segoe UI" w:cs="Segoe UI"/>
        </w:rPr>
        <w:t>As of 202</w:t>
      </w:r>
      <w:r>
        <w:rPr>
          <w:rFonts w:ascii="Segoe UI" w:hAnsi="Segoe UI" w:cs="Segoe UI"/>
        </w:rPr>
        <w:t>6</w:t>
      </w:r>
      <w:r w:rsidRPr="007666D5">
        <w:rPr>
          <w:rFonts w:ascii="Segoe UI" w:hAnsi="Segoe UI" w:cs="Segoe UI"/>
        </w:rPr>
        <w:t xml:space="preserve">, thousands of women have reported gender-based, sexuality-based, and/or race-based discrimination and harassment by male officers in the Royal Canadian Mounted Police (RCMP). Class action suits have been launched by women who are members of the RCMP and have been sexually harassed and discriminated against by their male colleagues. </w:t>
      </w:r>
    </w:p>
    <w:p w14:paraId="486473B4" w14:textId="77777777" w:rsidR="007F0DED" w:rsidRPr="007666D5" w:rsidRDefault="007F0DED" w:rsidP="003F33F6">
      <w:pPr>
        <w:rPr>
          <w:rFonts w:ascii="Segoe UI" w:hAnsi="Segoe UI" w:cs="Segoe UI"/>
        </w:rPr>
      </w:pPr>
      <w:r>
        <w:rPr>
          <w:rFonts w:ascii="Segoe UI" w:hAnsi="Segoe UI" w:cs="Segoe UI"/>
        </w:rPr>
        <w:t>Over more than a decade of extensive reporting has revealed a pattern and practice of racist and sexualized violence against Indigenous women and girls, including Inuit women and girls. Reports by organizations including Human Rights Watch, Legal Services Board Of Nunavut Pauktuutit Inuit Women of Canada, and the CEDAW Committee in its Inquiry report on Missing and Murdered Indigenous Women and Girls document sexual assault, rape, excessive use of force, unwarranted strip-searching, and sexualized verbal abuse by RCMP officers against Indigenous women and girls.</w:t>
      </w:r>
      <w:r>
        <w:rPr>
          <w:rStyle w:val="FootnoteReference"/>
          <w:rFonts w:ascii="Segoe UI" w:hAnsi="Segoe UI" w:cs="Segoe UI"/>
        </w:rPr>
        <w:footnoteReference w:id="77"/>
      </w:r>
      <w:r>
        <w:rPr>
          <w:rFonts w:ascii="Segoe UI" w:hAnsi="Segoe UI" w:cs="Segoe UI"/>
        </w:rPr>
        <w:t xml:space="preserve"> The RCMP has also consistently failed to protect Indigenous women and girls from violence </w:t>
      </w:r>
      <w:r>
        <w:rPr>
          <w:rFonts w:ascii="Segoe UI" w:hAnsi="Segoe UI" w:cs="Segoe UI"/>
        </w:rPr>
        <w:lastRenderedPageBreak/>
        <w:t>by men in their own communities – including from sexual assault, domestic violence, human trafficking, and murder.</w:t>
      </w:r>
      <w:r>
        <w:rPr>
          <w:rStyle w:val="FootnoteReference"/>
          <w:rFonts w:ascii="Segoe UI" w:hAnsi="Segoe UI" w:cs="Segoe UI"/>
        </w:rPr>
        <w:footnoteReference w:id="78"/>
      </w:r>
      <w:r>
        <w:rPr>
          <w:rFonts w:ascii="Segoe UI" w:hAnsi="Segoe UI" w:cs="Segoe UI"/>
        </w:rPr>
        <w:t xml:space="preserve"> </w:t>
      </w:r>
    </w:p>
    <w:p w14:paraId="50B79C1A" w14:textId="77777777" w:rsidR="007F0DED" w:rsidRPr="00111659" w:rsidRDefault="007F0DED" w:rsidP="00117915">
      <w:pPr>
        <w:pStyle w:val="Heading3"/>
        <w:numPr>
          <w:ilvl w:val="0"/>
          <w:numId w:val="19"/>
        </w:numPr>
        <w:rPr>
          <w:color w:val="993300"/>
        </w:rPr>
      </w:pPr>
      <w:bookmarkStart w:id="76" w:name="_Toc71554119"/>
      <w:bookmarkStart w:id="77" w:name="_Toc72490503"/>
      <w:bookmarkStart w:id="78" w:name="_Toc72491017"/>
      <w:bookmarkStart w:id="79" w:name="_Toc72491435"/>
      <w:bookmarkStart w:id="80" w:name="_Toc220664142"/>
      <w:r w:rsidRPr="00111659">
        <w:rPr>
          <w:color w:val="993300"/>
        </w:rPr>
        <w:t>RCMP Sexual Harassment of Female Officers</w:t>
      </w:r>
      <w:bookmarkEnd w:id="76"/>
      <w:bookmarkEnd w:id="77"/>
      <w:bookmarkEnd w:id="78"/>
      <w:bookmarkEnd w:id="79"/>
      <w:bookmarkEnd w:id="80"/>
      <w:r w:rsidRPr="00111659">
        <w:rPr>
          <w:color w:val="993300"/>
        </w:rPr>
        <w:t xml:space="preserve"> </w:t>
      </w:r>
    </w:p>
    <w:p w14:paraId="2EEC77E0" w14:textId="77777777" w:rsidR="007F0DED" w:rsidRPr="00111659" w:rsidRDefault="007F0DED" w:rsidP="00242A17">
      <w:pPr>
        <w:rPr>
          <w:rFonts w:ascii="Segoe UI" w:hAnsi="Segoe UI" w:cs="Segoe UI"/>
          <w:color w:val="993300"/>
        </w:rPr>
      </w:pPr>
    </w:p>
    <w:p w14:paraId="40BF8B77" w14:textId="77777777" w:rsidR="007F0DED" w:rsidRDefault="007F0DED" w:rsidP="003F33F6">
      <w:pPr>
        <w:tabs>
          <w:tab w:val="left" w:pos="6413"/>
        </w:tabs>
        <w:rPr>
          <w:rFonts w:ascii="Segoe UI" w:hAnsi="Segoe UI" w:cs="Segoe UI"/>
        </w:rPr>
      </w:pPr>
      <w:r>
        <w:rPr>
          <w:rFonts w:ascii="Segoe UI" w:hAnsi="Segoe UI" w:cs="Segoe UI"/>
        </w:rPr>
        <w:t>In</w:t>
      </w:r>
      <w:r w:rsidRPr="007666D5">
        <w:rPr>
          <w:rFonts w:ascii="Segoe UI" w:hAnsi="Segoe UI" w:cs="Segoe UI"/>
        </w:rPr>
        <w:t xml:space="preserve"> 2020, the Honourable Michel Bastarache, former Justice of the Supreme Court of Canada, issued the </w:t>
      </w:r>
      <w:r w:rsidRPr="007666D5">
        <w:rPr>
          <w:rFonts w:ascii="Segoe UI" w:hAnsi="Segoe UI" w:cs="Segoe UI"/>
          <w:i/>
          <w:iCs/>
        </w:rPr>
        <w:t>Final Report on the Implementation of Merlo-Davidson Settlement Agreement - Broken Lives, Broken Dreams: The Devastating Effects of Sexual Harassment On Women in the RCMP</w:t>
      </w:r>
      <w:r w:rsidRPr="007666D5">
        <w:rPr>
          <w:rFonts w:ascii="Segoe UI" w:hAnsi="Segoe UI" w:cs="Segoe UI"/>
        </w:rPr>
        <w:t xml:space="preserve"> (Bastarache report).</w:t>
      </w:r>
      <w:r w:rsidRPr="007666D5">
        <w:rPr>
          <w:rFonts w:ascii="Segoe UI" w:hAnsi="Segoe UI" w:cs="Segoe UI"/>
          <w:vertAlign w:val="superscript"/>
        </w:rPr>
        <w:t xml:space="preserve"> </w:t>
      </w:r>
      <w:r w:rsidRPr="007666D5">
        <w:rPr>
          <w:rFonts w:ascii="Segoe UI" w:hAnsi="Segoe UI" w:cs="Segoe UI"/>
          <w:vertAlign w:val="superscript"/>
        </w:rPr>
        <w:footnoteReference w:id="79"/>
      </w:r>
      <w:r w:rsidRPr="007666D5">
        <w:rPr>
          <w:rFonts w:ascii="Segoe UI" w:hAnsi="Segoe UI" w:cs="Segoe UI"/>
        </w:rPr>
        <w:t xml:space="preserve"> </w:t>
      </w:r>
      <w:r>
        <w:rPr>
          <w:rFonts w:ascii="Segoe UI" w:hAnsi="Segoe UI" w:cs="Segoe UI"/>
        </w:rPr>
        <w:t>The report was prepared following a settlement agreement in a class action suit joined by 3.086 women RCMP Officers concerning sexual harassment within the RCMP. Justice Bastarache, following three years of investigation, found that the “culture of the RCMP is toxic and tolerates misogyny and homophobia at all ranks and in all provinces and territories”.</w:t>
      </w:r>
      <w:r>
        <w:rPr>
          <w:rStyle w:val="FootnoteReference"/>
          <w:rFonts w:ascii="Segoe UI" w:hAnsi="Segoe UI" w:cs="Segoe UI"/>
        </w:rPr>
        <w:footnoteReference w:id="80"/>
      </w:r>
    </w:p>
    <w:p w14:paraId="0F562BD3" w14:textId="77777777" w:rsidR="007F0DED" w:rsidRDefault="007F0DED" w:rsidP="003F33F6">
      <w:pPr>
        <w:tabs>
          <w:tab w:val="left" w:pos="6413"/>
        </w:tabs>
        <w:rPr>
          <w:rFonts w:ascii="Segoe UI" w:hAnsi="Segoe UI" w:cs="Segoe UI"/>
        </w:rPr>
      </w:pPr>
    </w:p>
    <w:p w14:paraId="77DBFE16" w14:textId="77777777" w:rsidR="007F0DED" w:rsidRDefault="007F0DED" w:rsidP="003F33F6">
      <w:pPr>
        <w:tabs>
          <w:tab w:val="left" w:pos="6413"/>
        </w:tabs>
        <w:rPr>
          <w:rFonts w:ascii="Segoe UI" w:hAnsi="Segoe UI" w:cs="Segoe UI"/>
        </w:rPr>
      </w:pPr>
      <w:r>
        <w:rPr>
          <w:rFonts w:ascii="Segoe UI" w:hAnsi="Segoe UI" w:cs="Segoe UI"/>
        </w:rPr>
        <w:t>Six years since the report, survey research amongst RCMP officers demonstrates little change within the institution. Research by Khoury et. al. demonstrates how an officer’s success within the RCMP is structured around misogynistic attitudes. Moreover, there is a continued institutional practice of imposing only light consequences in response to findings of sexual violence by RCMP officers.</w:t>
      </w:r>
      <w:r>
        <w:rPr>
          <w:rStyle w:val="FootnoteReference"/>
          <w:rFonts w:ascii="Segoe UI" w:hAnsi="Segoe UI" w:cs="Segoe UI"/>
        </w:rPr>
        <w:footnoteReference w:id="81"/>
      </w:r>
      <w:r>
        <w:rPr>
          <w:rFonts w:ascii="Segoe UI" w:hAnsi="Segoe UI" w:cs="Segoe UI"/>
        </w:rPr>
        <w:t xml:space="preserve"> </w:t>
      </w:r>
    </w:p>
    <w:p w14:paraId="4DAF9A49" w14:textId="77777777" w:rsidR="007F0DED" w:rsidRDefault="007F0DED" w:rsidP="003F33F6">
      <w:pPr>
        <w:tabs>
          <w:tab w:val="left" w:pos="6413"/>
        </w:tabs>
        <w:rPr>
          <w:rFonts w:ascii="Segoe UI" w:hAnsi="Segoe UI" w:cs="Segoe UI"/>
        </w:rPr>
      </w:pPr>
    </w:p>
    <w:p w14:paraId="64BECBF1" w14:textId="77777777" w:rsidR="007F0DED" w:rsidRPr="00B45EBD" w:rsidRDefault="007F0DED" w:rsidP="00B45EBD">
      <w:pPr>
        <w:tabs>
          <w:tab w:val="left" w:pos="6413"/>
        </w:tabs>
        <w:rPr>
          <w:rFonts w:ascii="Segoe UI" w:hAnsi="Segoe UI" w:cs="Segoe UI"/>
        </w:rPr>
      </w:pPr>
      <w:r>
        <w:rPr>
          <w:rFonts w:ascii="Segoe UI" w:hAnsi="Segoe UI" w:cs="Segoe UI"/>
        </w:rPr>
        <w:t>Justice Bastarache concluded that the RCMP is unable to change itself from within.</w:t>
      </w:r>
      <w:r>
        <w:rPr>
          <w:rStyle w:val="FootnoteReference"/>
          <w:rFonts w:ascii="Segoe UI" w:hAnsi="Segoe UI" w:cs="Segoe UI"/>
        </w:rPr>
        <w:footnoteReference w:id="82"/>
      </w:r>
      <w:r>
        <w:rPr>
          <w:rFonts w:ascii="Segoe UI" w:hAnsi="Segoe UI" w:cs="Segoe UI"/>
        </w:rPr>
        <w:t xml:space="preserve"> Consequently, the Bastarache report made a key recommendation for an external and independent review to address the misogyny, racism, and homophobia in the RCMP and to consider the future of the RCMP as a federal police organization.</w:t>
      </w:r>
      <w:r>
        <w:rPr>
          <w:rStyle w:val="FootnoteReference"/>
          <w:rFonts w:ascii="Segoe UI" w:hAnsi="Segoe UI" w:cs="Segoe UI"/>
        </w:rPr>
        <w:footnoteReference w:id="83"/>
      </w:r>
      <w:r>
        <w:rPr>
          <w:rFonts w:ascii="Segoe UI" w:hAnsi="Segoe UI" w:cs="Segoe UI"/>
        </w:rPr>
        <w:t xml:space="preserve"> Despite continued calls from civil society, this recommendation has still not been implemented. </w:t>
      </w:r>
    </w:p>
    <w:p w14:paraId="06A2CC33" w14:textId="77777777" w:rsidR="007F0DED" w:rsidRPr="00085CC1" w:rsidRDefault="007F0DED" w:rsidP="00085CC1">
      <w:pPr>
        <w:pStyle w:val="Heading3"/>
        <w:numPr>
          <w:ilvl w:val="0"/>
          <w:numId w:val="11"/>
        </w:numPr>
        <w:rPr>
          <w:color w:val="993300"/>
        </w:rPr>
      </w:pPr>
      <w:bookmarkStart w:id="81" w:name="_Toc71554122"/>
      <w:bookmarkStart w:id="82" w:name="_Toc72490506"/>
      <w:bookmarkStart w:id="83" w:name="_Toc72491020"/>
      <w:bookmarkStart w:id="84" w:name="_Toc72491438"/>
      <w:bookmarkStart w:id="85" w:name="_Toc220664143"/>
      <w:r w:rsidRPr="00085CC1">
        <w:rPr>
          <w:color w:val="993300"/>
        </w:rPr>
        <w:t>RCMP Inadequate Response to Violence</w:t>
      </w:r>
      <w:bookmarkEnd w:id="81"/>
      <w:r w:rsidRPr="00085CC1">
        <w:rPr>
          <w:color w:val="993300"/>
        </w:rPr>
        <w:t xml:space="preserve"> Against Women</w:t>
      </w:r>
      <w:bookmarkEnd w:id="82"/>
      <w:bookmarkEnd w:id="83"/>
      <w:bookmarkEnd w:id="84"/>
      <w:bookmarkEnd w:id="85"/>
    </w:p>
    <w:p w14:paraId="2E80665E" w14:textId="77777777" w:rsidR="007F0DED" w:rsidRPr="007666D5" w:rsidRDefault="007F0DED" w:rsidP="00242A17">
      <w:pPr>
        <w:rPr>
          <w:rFonts w:ascii="Segoe UI" w:hAnsi="Segoe UI" w:cs="Segoe UI"/>
        </w:rPr>
      </w:pPr>
    </w:p>
    <w:p w14:paraId="0EE3F393" w14:textId="77777777" w:rsidR="007F0DED" w:rsidRPr="007666D5" w:rsidRDefault="007F0DED" w:rsidP="003F33F6">
      <w:pPr>
        <w:rPr>
          <w:rFonts w:ascii="Segoe UI" w:hAnsi="Segoe UI" w:cs="Segoe UI"/>
        </w:rPr>
      </w:pPr>
      <w:r w:rsidRPr="007666D5">
        <w:rPr>
          <w:rFonts w:ascii="Segoe UI" w:hAnsi="Segoe UI" w:cs="Segoe UI"/>
        </w:rPr>
        <w:t xml:space="preserve">In April 2020, </w:t>
      </w:r>
      <w:r>
        <w:rPr>
          <w:rFonts w:ascii="Segoe UI" w:hAnsi="Segoe UI" w:cs="Segoe UI"/>
        </w:rPr>
        <w:t xml:space="preserve">Gabriel Wortman posed as an RCMP Officer and killed twenty-two people after a violent assault by Wortman against his then common law wife in Portapique, </w:t>
      </w:r>
      <w:r>
        <w:rPr>
          <w:rFonts w:ascii="Segoe UI" w:hAnsi="Segoe UI" w:cs="Segoe UI"/>
        </w:rPr>
        <w:lastRenderedPageBreak/>
        <w:t xml:space="preserve">Nova Scotia. This mass shooting, the worst in Canadian history, highlighted connections between intimate partner violence and mass violence. </w:t>
      </w:r>
      <w:r w:rsidRPr="007666D5">
        <w:rPr>
          <w:rFonts w:ascii="Segoe UI" w:hAnsi="Segoe UI" w:cs="Segoe UI"/>
        </w:rPr>
        <w:t xml:space="preserve"> </w:t>
      </w:r>
    </w:p>
    <w:p w14:paraId="5A04168F" w14:textId="77777777" w:rsidR="007F0DED" w:rsidRPr="007666D5" w:rsidRDefault="007F0DED" w:rsidP="003F33F6">
      <w:pPr>
        <w:rPr>
          <w:rFonts w:ascii="Segoe UI" w:hAnsi="Segoe UI" w:cs="Segoe UI"/>
          <w:sz w:val="28"/>
          <w:szCs w:val="28"/>
        </w:rPr>
      </w:pPr>
    </w:p>
    <w:p w14:paraId="69E242B7" w14:textId="77777777" w:rsidR="007F0DED" w:rsidRPr="007666D5" w:rsidRDefault="007F0DED" w:rsidP="00242A17">
      <w:pPr>
        <w:rPr>
          <w:rFonts w:ascii="Segoe UI" w:hAnsi="Segoe UI" w:cs="Segoe UI"/>
        </w:rPr>
      </w:pPr>
      <w:r w:rsidRPr="007666D5">
        <w:rPr>
          <w:rFonts w:ascii="Segoe UI" w:hAnsi="Segoe UI" w:cs="Segoe UI"/>
        </w:rPr>
        <w:t>After intense lobbying from families and women’s rights advocates,</w:t>
      </w:r>
      <w:r w:rsidRPr="007666D5">
        <w:rPr>
          <w:rStyle w:val="FootnoteReference"/>
          <w:rFonts w:ascii="Segoe UI" w:hAnsi="Segoe UI" w:cs="Segoe UI"/>
        </w:rPr>
        <w:footnoteReference w:id="84"/>
      </w:r>
      <w:r w:rsidRPr="007666D5">
        <w:rPr>
          <w:rFonts w:ascii="Segoe UI" w:hAnsi="Segoe UI" w:cs="Segoe UI"/>
        </w:rPr>
        <w:t xml:space="preserve"> a full public inquiry into the Nova Scotia mass shooting </w:t>
      </w:r>
      <w:r>
        <w:rPr>
          <w:rFonts w:ascii="Segoe UI" w:hAnsi="Segoe UI" w:cs="Segoe UI"/>
        </w:rPr>
        <w:t>was</w:t>
      </w:r>
      <w:r w:rsidRPr="007666D5">
        <w:rPr>
          <w:rFonts w:ascii="Segoe UI" w:hAnsi="Segoe UI" w:cs="Segoe UI"/>
        </w:rPr>
        <w:t xml:space="preserve"> been launched</w:t>
      </w:r>
      <w:r>
        <w:rPr>
          <w:rFonts w:ascii="Segoe UI" w:hAnsi="Segoe UI" w:cs="Segoe UI"/>
        </w:rPr>
        <w:t xml:space="preserve"> in October 2020</w:t>
      </w:r>
      <w:r w:rsidRPr="007666D5">
        <w:rPr>
          <w:rFonts w:ascii="Segoe UI" w:hAnsi="Segoe UI" w:cs="Segoe UI"/>
        </w:rPr>
        <w:t>.</w:t>
      </w:r>
      <w:r w:rsidRPr="007666D5">
        <w:rPr>
          <w:rStyle w:val="FootnoteReference"/>
          <w:rFonts w:ascii="Segoe UI" w:hAnsi="Segoe UI" w:cs="Segoe UI"/>
        </w:rPr>
        <w:footnoteReference w:id="85"/>
      </w:r>
      <w:r w:rsidRPr="007666D5">
        <w:rPr>
          <w:rFonts w:ascii="Segoe UI" w:hAnsi="Segoe UI" w:cs="Segoe UI"/>
        </w:rPr>
        <w:t xml:space="preserve"> </w:t>
      </w:r>
      <w:r>
        <w:rPr>
          <w:rFonts w:ascii="Segoe UI" w:hAnsi="Segoe UI" w:cs="Segoe UI"/>
        </w:rPr>
        <w:t>The Final Report issued in 2023, connected failures in the RCMP’s response to the mass homicide along with failures to address complaints from Wortman’s common law partner about Wortman’s violence and illegal gun ownership.</w:t>
      </w:r>
      <w:r>
        <w:rPr>
          <w:rStyle w:val="FootnoteReference"/>
          <w:rFonts w:ascii="Segoe UI" w:hAnsi="Segoe UI" w:cs="Segoe UI"/>
        </w:rPr>
        <w:footnoteReference w:id="86"/>
      </w:r>
      <w:r>
        <w:rPr>
          <w:rFonts w:ascii="Segoe UI" w:hAnsi="Segoe UI" w:cs="Segoe UI"/>
        </w:rPr>
        <w:t xml:space="preserve"> Amongst many important recommendations, the Commission reiterated the need for an external and independent review of the RCMP, the same recommendation made by Justice Bastarache in </w:t>
      </w:r>
      <w:r>
        <w:rPr>
          <w:rFonts w:ascii="Segoe UI" w:hAnsi="Segoe UI" w:cs="Segoe UI"/>
          <w:i/>
          <w:iCs/>
        </w:rPr>
        <w:t>Broken Dreams, Broken Lives</w:t>
      </w:r>
      <w:r>
        <w:rPr>
          <w:rFonts w:ascii="Segoe UI" w:hAnsi="Segoe UI" w:cs="Segoe UI"/>
        </w:rPr>
        <w:t>.</w:t>
      </w:r>
      <w:r>
        <w:rPr>
          <w:rStyle w:val="FootnoteReference"/>
          <w:rFonts w:ascii="Segoe UI" w:hAnsi="Segoe UI" w:cs="Segoe UI"/>
        </w:rPr>
        <w:footnoteReference w:id="87"/>
      </w:r>
      <w:r>
        <w:rPr>
          <w:rFonts w:ascii="Segoe UI" w:hAnsi="Segoe UI" w:cs="Segoe UI"/>
        </w:rPr>
        <w:t xml:space="preserve"> </w:t>
      </w:r>
    </w:p>
    <w:p w14:paraId="28264D5C" w14:textId="77777777" w:rsidR="007F0DED" w:rsidRPr="00085CC1" w:rsidRDefault="007F0DED" w:rsidP="00085CC1">
      <w:pPr>
        <w:pStyle w:val="Heading3"/>
        <w:numPr>
          <w:ilvl w:val="0"/>
          <w:numId w:val="12"/>
        </w:numPr>
        <w:rPr>
          <w:color w:val="993300"/>
        </w:rPr>
      </w:pPr>
      <w:bookmarkStart w:id="86" w:name="_Toc72490508"/>
      <w:bookmarkStart w:id="87" w:name="_Toc72491022"/>
      <w:bookmarkStart w:id="88" w:name="_Toc72491440"/>
      <w:bookmarkStart w:id="89" w:name="_Toc220664144"/>
      <w:r w:rsidRPr="00085CC1">
        <w:rPr>
          <w:color w:val="993300"/>
        </w:rPr>
        <w:t>Complaints against the RCMP: Ineffectiveness of the Civilian Review and Complaints Commission</w:t>
      </w:r>
      <w:bookmarkEnd w:id="86"/>
      <w:bookmarkEnd w:id="87"/>
      <w:bookmarkEnd w:id="88"/>
      <w:bookmarkEnd w:id="89"/>
      <w:r w:rsidRPr="00085CC1">
        <w:rPr>
          <w:color w:val="993300"/>
        </w:rPr>
        <w:t xml:space="preserve"> </w:t>
      </w:r>
    </w:p>
    <w:p w14:paraId="607284F5" w14:textId="77777777" w:rsidR="007F0DED" w:rsidRDefault="007F0DED" w:rsidP="00BE5D8C">
      <w:pPr>
        <w:rPr>
          <w:rFonts w:ascii="Segoe UI" w:hAnsi="Segoe UI" w:cs="Segoe UI"/>
        </w:rPr>
      </w:pPr>
    </w:p>
    <w:p w14:paraId="2463903C" w14:textId="77777777" w:rsidR="007F0DED" w:rsidRDefault="007F0DED" w:rsidP="00BE5D8C">
      <w:pPr>
        <w:rPr>
          <w:rFonts w:ascii="Segoe UI" w:hAnsi="Segoe UI" w:cs="Segoe UI"/>
        </w:rPr>
      </w:pPr>
      <w:r>
        <w:rPr>
          <w:rFonts w:ascii="Segoe UI" w:hAnsi="Segoe UI" w:cs="Segoe UI"/>
        </w:rPr>
        <w:t>The Civilian Review and Complaints Commission (CRCC) is intended to act as a complaint and oversight mechanism for the RCMP. However, its authority is limited and its ineffectiveness has been widely acknowledged. Most complaints against the RCMP are investigated by the RCMP itself.</w:t>
      </w:r>
      <w:r>
        <w:rPr>
          <w:rStyle w:val="FootnoteReference"/>
          <w:rFonts w:ascii="Segoe UI" w:hAnsi="Segoe UI" w:cs="Segoe UI"/>
        </w:rPr>
        <w:footnoteReference w:id="88"/>
      </w:r>
      <w:r>
        <w:rPr>
          <w:rFonts w:ascii="Segoe UI" w:hAnsi="Segoe UI" w:cs="Segoe UI"/>
        </w:rPr>
        <w:t xml:space="preserve"> </w:t>
      </w:r>
    </w:p>
    <w:p w14:paraId="1AA1107C" w14:textId="77777777" w:rsidR="007F0DED" w:rsidRDefault="007F0DED" w:rsidP="00BE5D8C">
      <w:pPr>
        <w:rPr>
          <w:rFonts w:ascii="Segoe UI" w:hAnsi="Segoe UI" w:cs="Segoe UI"/>
        </w:rPr>
      </w:pPr>
    </w:p>
    <w:p w14:paraId="300231DA" w14:textId="5149ACF3" w:rsidR="007F0DED" w:rsidRDefault="007F0DED" w:rsidP="000944EC">
      <w:pPr>
        <w:rPr>
          <w:rFonts w:ascii="Segoe UI" w:hAnsi="Segoe UI" w:cs="Segoe UI"/>
        </w:rPr>
      </w:pPr>
      <w:r>
        <w:rPr>
          <w:rFonts w:ascii="Segoe UI" w:hAnsi="Segoe UI" w:cs="Segoe UI"/>
        </w:rPr>
        <w:t>A current example of the CRCC’s ineffectiveness is that, although the Commission is mandated to use investigative powers, to date, it has released only one investigative report about the conduct of the Community-Industry Response Group (C-IRG)., although 500 complaints have been received. C-IRG is tasked with responding to ‘public order’ incidents regarding large resource projects. The complaints  concern the treatment by RCMP Officers of Indigenous land defenders, many of whom are women.</w:t>
      </w:r>
      <w:r>
        <w:rPr>
          <w:rStyle w:val="FootnoteReference"/>
          <w:rFonts w:ascii="Segoe UI" w:hAnsi="Segoe UI" w:cs="Segoe UI"/>
        </w:rPr>
        <w:footnoteReference w:id="89"/>
      </w:r>
      <w:r>
        <w:rPr>
          <w:rFonts w:ascii="Segoe UI" w:hAnsi="Segoe UI" w:cs="Segoe UI"/>
        </w:rPr>
        <w:t xml:space="preserve"> The CRCC has been without a chairperson since January 2025.</w:t>
      </w:r>
      <w:r>
        <w:rPr>
          <w:rStyle w:val="FootnoteReference"/>
          <w:rFonts w:ascii="Segoe UI" w:hAnsi="Segoe UI" w:cs="Segoe UI"/>
        </w:rPr>
        <w:footnoteReference w:id="90"/>
      </w:r>
      <w:r>
        <w:rPr>
          <w:rFonts w:ascii="Segoe UI" w:hAnsi="Segoe UI" w:cs="Segoe UI"/>
        </w:rPr>
        <w:t xml:space="preserve"> Consequently, the </w:t>
      </w:r>
      <w:r>
        <w:rPr>
          <w:rFonts w:ascii="Segoe UI" w:hAnsi="Segoe UI" w:cs="Segoe UI"/>
        </w:rPr>
        <w:lastRenderedPageBreak/>
        <w:t>review body of the CRCC is unable to make decisions due to the absence of a chairperson and other senior decision makers.</w:t>
      </w:r>
      <w:r>
        <w:rPr>
          <w:rStyle w:val="FootnoteReference"/>
          <w:rFonts w:ascii="Segoe UI" w:hAnsi="Segoe UI" w:cs="Segoe UI"/>
        </w:rPr>
        <w:footnoteReference w:id="91"/>
      </w:r>
      <w:r>
        <w:rPr>
          <w:rFonts w:ascii="Segoe UI" w:hAnsi="Segoe UI" w:cs="Segoe UI"/>
        </w:rPr>
        <w:t xml:space="preserve"> </w:t>
      </w:r>
    </w:p>
    <w:p w14:paraId="5F3F32A3" w14:textId="77777777" w:rsidR="007F0DED" w:rsidRDefault="007F0DED" w:rsidP="000944EC">
      <w:pPr>
        <w:rPr>
          <w:rFonts w:ascii="Segoe UI" w:hAnsi="Segoe UI" w:cs="Segoe UI"/>
        </w:rPr>
      </w:pPr>
    </w:p>
    <w:p w14:paraId="16868B22" w14:textId="77777777" w:rsidR="007F0DED" w:rsidRDefault="007F0DED" w:rsidP="000944EC">
      <w:pPr>
        <w:rPr>
          <w:rFonts w:ascii="Segoe UI" w:hAnsi="Segoe UI" w:cs="Segoe UI"/>
        </w:rPr>
      </w:pPr>
      <w:r>
        <w:rPr>
          <w:rFonts w:ascii="Segoe UI" w:hAnsi="Segoe UI" w:cs="Segoe UI"/>
        </w:rPr>
        <w:t>An effective oversight mechanism is necessary given the RCMP’s record of violence against women, failure to protect women from violence, and discriminatory treatment of Indigenous women and men. Canada must act to ensure women enjoy equal protection under the law and have access to effective remedies when that right is violated.</w:t>
      </w:r>
      <w:r w:rsidRPr="000944EC">
        <w:rPr>
          <w:rFonts w:ascii="Segoe UI" w:hAnsi="Segoe UI" w:cs="Segoe UI"/>
        </w:rPr>
        <w:t xml:space="preserve"> </w:t>
      </w:r>
    </w:p>
    <w:p w14:paraId="42944AC1" w14:textId="77777777" w:rsidR="007F0DED" w:rsidRDefault="007F0DED" w:rsidP="000944EC">
      <w:pPr>
        <w:rPr>
          <w:rFonts w:ascii="Segoe UI" w:hAnsi="Segoe UI" w:cs="Segoe UI"/>
        </w:rPr>
      </w:pPr>
    </w:p>
    <w:p w14:paraId="6244CB64" w14:textId="77777777" w:rsidR="000A0E8A" w:rsidRDefault="000A0E8A" w:rsidP="003F33F6">
      <w:pPr>
        <w:rPr>
          <w:rFonts w:ascii="Segoe UI" w:hAnsi="Segoe UI" w:cs="Segoe UI"/>
          <w:b/>
          <w:bCs/>
          <w:color w:val="993300"/>
        </w:rPr>
      </w:pPr>
    </w:p>
    <w:p w14:paraId="7EBF0E4E" w14:textId="77777777" w:rsidR="000A0E8A" w:rsidRDefault="000A0E8A" w:rsidP="003F33F6">
      <w:pPr>
        <w:rPr>
          <w:rFonts w:ascii="Segoe UI" w:hAnsi="Segoe UI" w:cs="Segoe UI"/>
          <w:b/>
          <w:bCs/>
          <w:color w:val="993300"/>
        </w:rPr>
      </w:pPr>
    </w:p>
    <w:p w14:paraId="05324D9F" w14:textId="77777777" w:rsidR="009C71AE" w:rsidRPr="00085CC1" w:rsidRDefault="009C71AE" w:rsidP="009C71AE">
      <w:pPr>
        <w:pStyle w:val="Heading2"/>
        <w:keepNext w:val="0"/>
        <w:keepLines w:val="0"/>
        <w:numPr>
          <w:ilvl w:val="1"/>
          <w:numId w:val="0"/>
        </w:numPr>
        <w:spacing w:before="240"/>
        <w:ind w:left="357" w:hanging="357"/>
        <w:rPr>
          <w:rFonts w:cs="Calibri"/>
          <w:color w:val="993300"/>
          <w:sz w:val="24"/>
          <w:szCs w:val="24"/>
        </w:rPr>
      </w:pPr>
      <w:bookmarkStart w:id="90" w:name="_Toc220664145"/>
      <w:r w:rsidRPr="00085CC1">
        <w:rPr>
          <w:color w:val="993300"/>
          <w:sz w:val="24"/>
          <w:szCs w:val="24"/>
        </w:rPr>
        <w:t>Recommendations</w:t>
      </w:r>
      <w:bookmarkEnd w:id="90"/>
    </w:p>
    <w:p w14:paraId="435FDA68" w14:textId="77777777" w:rsidR="007F0DED" w:rsidRDefault="007F0DED" w:rsidP="003F33F6">
      <w:pPr>
        <w:rPr>
          <w:rFonts w:ascii="Segoe UI" w:hAnsi="Segoe UI" w:cs="Segoe UI"/>
          <w:b/>
          <w:bCs/>
          <w:color w:val="993300"/>
        </w:rPr>
      </w:pPr>
    </w:p>
    <w:p w14:paraId="4F4AA85D" w14:textId="77777777" w:rsidR="007F0DED" w:rsidRPr="00085CC1" w:rsidRDefault="007F0DED" w:rsidP="00072073">
      <w:pPr>
        <w:numPr>
          <w:ilvl w:val="0"/>
          <w:numId w:val="2"/>
        </w:numPr>
        <w:rPr>
          <w:rFonts w:ascii="Segoe UI" w:hAnsi="Segoe UI" w:cs="Segoe UI"/>
          <w:b/>
          <w:bCs/>
          <w:i/>
          <w:iCs/>
          <w:color w:val="993300"/>
          <w:w w:val="103"/>
        </w:rPr>
      </w:pPr>
      <w:r w:rsidRPr="00085CC1">
        <w:rPr>
          <w:rFonts w:ascii="Segoe UI" w:hAnsi="Segoe UI" w:cs="Segoe UI"/>
          <w:b/>
          <w:bCs/>
          <w:i/>
          <w:iCs/>
          <w:color w:val="993300"/>
          <w:w w:val="103"/>
        </w:rPr>
        <w:t>Establish a national public legal assistance system that can ensure comprehensive legal services, in all jurisdictions, that meet standards of adequacy and non-discrimination, and include adequate allocations for civil, refugee, immigration, prison, poverty, and family law.</w:t>
      </w:r>
    </w:p>
    <w:p w14:paraId="7E29D6CA" w14:textId="77777777" w:rsidR="007F0DED" w:rsidRPr="00085CC1" w:rsidRDefault="007F0DED" w:rsidP="00072073">
      <w:pPr>
        <w:rPr>
          <w:rFonts w:ascii="Segoe UI" w:hAnsi="Segoe UI" w:cs="Segoe UI"/>
          <w:b/>
          <w:bCs/>
          <w:i/>
          <w:iCs/>
          <w:color w:val="993300"/>
          <w:w w:val="103"/>
        </w:rPr>
      </w:pPr>
    </w:p>
    <w:p w14:paraId="26220FE0" w14:textId="77777777" w:rsidR="007F0DED" w:rsidRPr="00085CC1" w:rsidRDefault="007F0DED" w:rsidP="00072073">
      <w:pPr>
        <w:numPr>
          <w:ilvl w:val="0"/>
          <w:numId w:val="2"/>
        </w:numPr>
        <w:rPr>
          <w:rFonts w:ascii="Segoe UI" w:hAnsi="Segoe UI" w:cs="Segoe UI"/>
          <w:b/>
          <w:bCs/>
          <w:i/>
          <w:iCs/>
          <w:color w:val="993300"/>
          <w:w w:val="103"/>
        </w:rPr>
      </w:pPr>
      <w:r w:rsidRPr="00085CC1">
        <w:rPr>
          <w:rFonts w:ascii="Segoe UI" w:hAnsi="Segoe UI" w:cs="Segoe UI"/>
          <w:b/>
          <w:bCs/>
          <w:i/>
          <w:iCs/>
          <w:color w:val="993300"/>
          <w:w w:val="103"/>
        </w:rPr>
        <w:t>Provide co-ordinated information to the public on an annual basis regarding the financial resources allocated by each government - federal, provincial and territorial - for criminal legal aid and civil legal aid.</w:t>
      </w:r>
    </w:p>
    <w:p w14:paraId="03C7CE09" w14:textId="77777777" w:rsidR="007F0DED" w:rsidRPr="00085CC1" w:rsidRDefault="007F0DED" w:rsidP="00072073">
      <w:pPr>
        <w:rPr>
          <w:rFonts w:ascii="Segoe UI" w:hAnsi="Segoe UI" w:cs="Segoe UI"/>
          <w:b/>
          <w:bCs/>
          <w:i/>
          <w:iCs/>
          <w:color w:val="993300"/>
          <w:w w:val="103"/>
        </w:rPr>
      </w:pPr>
    </w:p>
    <w:p w14:paraId="2337D197" w14:textId="77777777" w:rsidR="007F0DED" w:rsidRDefault="007F0DED" w:rsidP="00072073">
      <w:pPr>
        <w:numPr>
          <w:ilvl w:val="0"/>
          <w:numId w:val="2"/>
        </w:numPr>
        <w:rPr>
          <w:rFonts w:ascii="Segoe UI" w:hAnsi="Segoe UI" w:cs="Segoe UI"/>
          <w:b/>
          <w:bCs/>
          <w:i/>
          <w:iCs/>
          <w:color w:val="993300"/>
          <w:w w:val="103"/>
        </w:rPr>
      </w:pPr>
      <w:r w:rsidRPr="00085CC1">
        <w:rPr>
          <w:rFonts w:ascii="Segoe UI" w:hAnsi="Segoe UI" w:cs="Segoe UI"/>
          <w:b/>
          <w:bCs/>
          <w:i/>
          <w:iCs/>
          <w:color w:val="993300"/>
          <w:w w:val="103"/>
        </w:rPr>
        <w:t xml:space="preserve">Publish its plan for meeting </w:t>
      </w:r>
      <w:r w:rsidRPr="00085CC1">
        <w:rPr>
          <w:rFonts w:ascii="Segoe UI" w:hAnsi="Segoe UI" w:cs="Segoe UI"/>
          <w:b/>
          <w:bCs/>
          <w:i/>
          <w:iCs/>
          <w:color w:val="993300"/>
        </w:rPr>
        <w:t>Goal 16 of the 2030 UN Sustainable Development Goals (SDGs) which calls on governments to “provide access to justice for all and build effective, accountable and inclusive institutions at all levels”</w:t>
      </w:r>
      <w:r w:rsidRPr="00085CC1">
        <w:rPr>
          <w:rFonts w:ascii="Segoe UI" w:hAnsi="Segoe UI" w:cs="Segoe UI"/>
          <w:b/>
          <w:bCs/>
          <w:i/>
          <w:iCs/>
          <w:color w:val="993300"/>
          <w:w w:val="103"/>
        </w:rPr>
        <w:t xml:space="preserve"> </w:t>
      </w:r>
    </w:p>
    <w:p w14:paraId="2F7048AD" w14:textId="77777777" w:rsidR="007F0DED" w:rsidRDefault="007F0DED" w:rsidP="00072073">
      <w:pPr>
        <w:rPr>
          <w:rFonts w:ascii="Segoe UI" w:hAnsi="Segoe UI" w:cs="Segoe UI"/>
          <w:b/>
          <w:bCs/>
          <w:i/>
          <w:iCs/>
          <w:color w:val="993300"/>
          <w:w w:val="103"/>
        </w:rPr>
      </w:pPr>
    </w:p>
    <w:p w14:paraId="6DE7B5AC" w14:textId="77777777" w:rsidR="007F0DED" w:rsidRPr="00085CC1" w:rsidRDefault="007F0DED" w:rsidP="007C1733">
      <w:pPr>
        <w:numPr>
          <w:ilvl w:val="0"/>
          <w:numId w:val="3"/>
        </w:numPr>
        <w:rPr>
          <w:rFonts w:ascii="Segoe UI" w:hAnsi="Segoe UI" w:cs="Segoe UI"/>
          <w:b/>
          <w:bCs/>
          <w:i/>
          <w:iCs/>
          <w:color w:val="993300"/>
        </w:rPr>
      </w:pPr>
      <w:r w:rsidRPr="00085CC1">
        <w:rPr>
          <w:rFonts w:ascii="Segoe UI" w:hAnsi="Segoe UI" w:cs="Segoe UI"/>
          <w:b/>
          <w:bCs/>
          <w:i/>
          <w:iCs/>
          <w:color w:val="993300"/>
        </w:rPr>
        <w:t>Appoint an external</w:t>
      </w:r>
      <w:r>
        <w:rPr>
          <w:rFonts w:ascii="Segoe UI" w:hAnsi="Segoe UI" w:cs="Segoe UI"/>
          <w:b/>
          <w:bCs/>
          <w:i/>
          <w:iCs/>
          <w:color w:val="993300"/>
        </w:rPr>
        <w:t>, independent</w:t>
      </w:r>
      <w:r w:rsidRPr="00085CC1">
        <w:rPr>
          <w:rFonts w:ascii="Segoe UI" w:hAnsi="Segoe UI" w:cs="Segoe UI"/>
          <w:b/>
          <w:bCs/>
          <w:i/>
          <w:iCs/>
          <w:color w:val="993300"/>
        </w:rPr>
        <w:t xml:space="preserve"> review of the RCMP, as called for by the Bastarache Report and the Mass Casualty Commission.</w:t>
      </w:r>
    </w:p>
    <w:p w14:paraId="6D3186EF" w14:textId="77777777" w:rsidR="007F0DED" w:rsidRPr="00085CC1" w:rsidRDefault="007F0DED" w:rsidP="00B73A6C">
      <w:pPr>
        <w:rPr>
          <w:rFonts w:ascii="Segoe UI" w:hAnsi="Segoe UI" w:cs="Segoe UI"/>
          <w:b/>
          <w:bCs/>
          <w:i/>
          <w:iCs/>
          <w:color w:val="993300"/>
        </w:rPr>
      </w:pPr>
    </w:p>
    <w:p w14:paraId="20127DFB" w14:textId="752CB296" w:rsidR="007F0DED" w:rsidRPr="00567F4C" w:rsidRDefault="007F0DED" w:rsidP="007C1733">
      <w:pPr>
        <w:numPr>
          <w:ilvl w:val="0"/>
          <w:numId w:val="3"/>
        </w:numPr>
        <w:rPr>
          <w:rFonts w:ascii="Segoe UI" w:hAnsi="Segoe UI" w:cs="Segoe UI"/>
          <w:b/>
          <w:bCs/>
          <w:i/>
          <w:iCs/>
          <w:color w:val="993300"/>
        </w:rPr>
      </w:pPr>
      <w:r w:rsidRPr="00D56E2A">
        <w:rPr>
          <w:rFonts w:ascii="Segoe UI" w:hAnsi="Segoe UI" w:cs="Segoe UI"/>
          <w:b/>
          <w:bCs/>
          <w:i/>
          <w:iCs/>
          <w:color w:val="993300"/>
        </w:rPr>
        <w:t>Replace the CRCC with a genuinely independent and adequately resourced oversight body that can investigate and report publicly on all complaints against the RCMP and hold the institution and individual RCMP Officers to account for individual and systemic failures, neglect, harassment, abuse, misconduct, assault, and violence against women</w:t>
      </w:r>
      <w:r w:rsidRPr="00567F4C">
        <w:rPr>
          <w:rFonts w:ascii="Segoe UI" w:hAnsi="Segoe UI" w:cs="Segoe UI"/>
          <w:b/>
          <w:bCs/>
          <w:i/>
          <w:iCs/>
          <w:color w:val="993300"/>
        </w:rPr>
        <w:t>.</w:t>
      </w:r>
    </w:p>
    <w:p w14:paraId="0077C31B" w14:textId="77777777" w:rsidR="007F0DED" w:rsidRPr="00085CC1" w:rsidRDefault="007F0DED" w:rsidP="00255BE6">
      <w:pPr>
        <w:rPr>
          <w:rStyle w:val="FootnoteTextChar"/>
          <w:rFonts w:ascii="Segoe UI" w:hAnsi="Segoe UI" w:cs="Segoe UI"/>
          <w:b/>
          <w:bCs/>
          <w:color w:val="993300"/>
        </w:rPr>
      </w:pPr>
    </w:p>
    <w:p w14:paraId="0D8489C6" w14:textId="77777777" w:rsidR="007F0DED" w:rsidRPr="00D56E2A" w:rsidRDefault="007F0DED" w:rsidP="00D56E2A">
      <w:pPr>
        <w:pStyle w:val="NormalWeb"/>
        <w:numPr>
          <w:ilvl w:val="0"/>
          <w:numId w:val="27"/>
        </w:numPr>
        <w:spacing w:before="0" w:beforeAutospacing="0" w:after="120" w:afterAutospacing="0"/>
        <w:jc w:val="both"/>
        <w:textAlignment w:val="baseline"/>
        <w:rPr>
          <w:rFonts w:ascii="Segoe UI" w:hAnsi="Segoe UI" w:cs="Segoe UI"/>
          <w:b/>
          <w:bCs/>
          <w:i/>
          <w:iCs/>
          <w:color w:val="993300"/>
        </w:rPr>
      </w:pPr>
      <w:r w:rsidRPr="00D56E2A">
        <w:rPr>
          <w:rFonts w:ascii="Segoe UI" w:hAnsi="Segoe UI" w:cs="Segoe UI"/>
          <w:b/>
          <w:bCs/>
          <w:i/>
          <w:iCs/>
          <w:color w:val="993300"/>
        </w:rPr>
        <w:t xml:space="preserve">Increase funding for external case review </w:t>
      </w:r>
      <w:r>
        <w:rPr>
          <w:rFonts w:ascii="Segoe UI" w:hAnsi="Segoe UI" w:cs="Segoe UI"/>
          <w:b/>
          <w:bCs/>
          <w:i/>
          <w:iCs/>
          <w:color w:val="993300"/>
        </w:rPr>
        <w:t>of sexual assault complaints</w:t>
      </w:r>
      <w:r w:rsidRPr="00D56E2A">
        <w:rPr>
          <w:rFonts w:ascii="Segoe UI" w:hAnsi="Segoe UI" w:cs="Segoe UI"/>
          <w:b/>
          <w:bCs/>
          <w:i/>
          <w:iCs/>
          <w:color w:val="993300"/>
        </w:rPr>
        <w:t xml:space="preserve"> and encourage all police forces, including the RCMP, to participate in these programs.</w:t>
      </w:r>
    </w:p>
    <w:p w14:paraId="30A635CB" w14:textId="77777777" w:rsidR="007F0DED" w:rsidRDefault="007F0DED" w:rsidP="00D56E2A">
      <w:pPr>
        <w:numPr>
          <w:ilvl w:val="0"/>
          <w:numId w:val="26"/>
        </w:numPr>
        <w:rPr>
          <w:rFonts w:ascii="Segoe UI" w:hAnsi="Segoe UI" w:cs="Segoe UI"/>
          <w:b/>
          <w:bCs/>
          <w:i/>
          <w:iCs/>
          <w:color w:val="993300"/>
        </w:rPr>
      </w:pPr>
      <w:r w:rsidRPr="00D56E2A">
        <w:rPr>
          <w:rFonts w:ascii="Segoe UI" w:hAnsi="Segoe UI" w:cs="Segoe UI"/>
          <w:b/>
          <w:bCs/>
          <w:i/>
          <w:iCs/>
          <w:color w:val="993300"/>
        </w:rPr>
        <w:lastRenderedPageBreak/>
        <w:t xml:space="preserve">Implement the </w:t>
      </w:r>
      <w:hyperlink r:id="rId43" w:history="1">
        <w:r w:rsidRPr="00D56E2A">
          <w:rPr>
            <w:rStyle w:val="Hyperlink"/>
            <w:rFonts w:ascii="Segoe UI" w:eastAsia="MS Mincho" w:hAnsi="Segoe UI" w:cs="Segoe UI"/>
            <w:b/>
            <w:bCs/>
            <w:i/>
            <w:iCs/>
            <w:color w:val="993300"/>
            <w:sz w:val="24"/>
            <w:szCs w:val="24"/>
          </w:rPr>
          <w:t>recommendations</w:t>
        </w:r>
      </w:hyperlink>
      <w:r w:rsidRPr="00D56E2A">
        <w:rPr>
          <w:rFonts w:ascii="Segoe UI" w:hAnsi="Segoe UI" w:cs="Segoe UI"/>
          <w:b/>
          <w:bCs/>
          <w:i/>
          <w:iCs/>
          <w:color w:val="993300"/>
        </w:rPr>
        <w:t xml:space="preserve"> of the Mass Casualty Commission</w:t>
      </w:r>
      <w:r>
        <w:rPr>
          <w:rFonts w:ascii="Segoe UI" w:hAnsi="Segoe UI" w:cs="Segoe UI"/>
          <w:b/>
          <w:bCs/>
          <w:i/>
          <w:iCs/>
          <w:color w:val="993300"/>
        </w:rPr>
        <w:t>.</w:t>
      </w:r>
    </w:p>
    <w:p w14:paraId="736A68F3" w14:textId="77777777" w:rsidR="007F0DED" w:rsidRDefault="007F0DED" w:rsidP="00D56E2A">
      <w:pPr>
        <w:rPr>
          <w:rFonts w:ascii="Segoe UI" w:hAnsi="Segoe UI" w:cs="Segoe UI"/>
          <w:b/>
          <w:bCs/>
          <w:i/>
          <w:iCs/>
          <w:color w:val="993300"/>
        </w:rPr>
      </w:pPr>
    </w:p>
    <w:p w14:paraId="54491D50" w14:textId="77777777" w:rsidR="007F0DED" w:rsidRDefault="007F0DED" w:rsidP="00D56E2A">
      <w:pPr>
        <w:numPr>
          <w:ilvl w:val="0"/>
          <w:numId w:val="26"/>
        </w:numPr>
        <w:rPr>
          <w:rFonts w:ascii="Segoe UI" w:hAnsi="Segoe UI" w:cs="Segoe UI"/>
          <w:b/>
          <w:bCs/>
          <w:i/>
          <w:iCs/>
          <w:color w:val="993300"/>
        </w:rPr>
      </w:pPr>
      <w:r>
        <w:rPr>
          <w:rFonts w:ascii="Segoe UI" w:hAnsi="Segoe UI" w:cs="Segoe UI"/>
          <w:b/>
          <w:bCs/>
          <w:i/>
          <w:iCs/>
          <w:color w:val="993300"/>
        </w:rPr>
        <w:t>Establish an effective oversight mechanism for Canada’s National Action Plan on Violence against Women, to ensure consistency of services and supports across provinces and territories, and accountability for results.</w:t>
      </w:r>
    </w:p>
    <w:p w14:paraId="13F65EDB" w14:textId="77777777" w:rsidR="007F0DED" w:rsidRDefault="007F0DED" w:rsidP="00567F4C">
      <w:pPr>
        <w:rPr>
          <w:rFonts w:ascii="Segoe UI" w:hAnsi="Segoe UI" w:cs="Segoe UI"/>
          <w:b/>
          <w:bCs/>
          <w:i/>
          <w:iCs/>
          <w:color w:val="993300"/>
        </w:rPr>
      </w:pPr>
    </w:p>
    <w:p w14:paraId="6DA1B466" w14:textId="77777777" w:rsidR="007F0DED" w:rsidRDefault="007F0DED" w:rsidP="00D56E2A">
      <w:pPr>
        <w:rPr>
          <w:rFonts w:ascii="Segoe UI" w:hAnsi="Segoe UI" w:cs="Segoe UI"/>
          <w:b/>
          <w:bCs/>
          <w:i/>
          <w:iCs/>
          <w:color w:val="993300"/>
        </w:rPr>
      </w:pPr>
    </w:p>
    <w:p w14:paraId="6F9299C6" w14:textId="083B5754" w:rsidR="007F0DED" w:rsidRPr="00085CC1" w:rsidRDefault="007F0DED" w:rsidP="007C1733">
      <w:pPr>
        <w:pStyle w:val="Heading1"/>
        <w:numPr>
          <w:ilvl w:val="0"/>
          <w:numId w:val="8"/>
        </w:numPr>
        <w:rPr>
          <w:rFonts w:ascii="Segoe UI" w:hAnsi="Segoe UI" w:cs="Segoe UI"/>
          <w:color w:val="993300"/>
        </w:rPr>
      </w:pPr>
      <w:bookmarkStart w:id="91" w:name="_Toc220664146"/>
      <w:bookmarkStart w:id="92" w:name="_Toc72489165"/>
      <w:bookmarkStart w:id="93" w:name="_Toc72489188"/>
      <w:bookmarkStart w:id="94" w:name="_Toc72489251"/>
      <w:bookmarkStart w:id="95" w:name="_Toc72490509"/>
      <w:bookmarkStart w:id="96" w:name="_Toc72491023"/>
      <w:bookmarkStart w:id="97" w:name="_Toc72491441"/>
      <w:r w:rsidRPr="00085CC1">
        <w:rPr>
          <w:rFonts w:ascii="Segoe UI" w:hAnsi="Segoe UI" w:cs="Segoe UI"/>
          <w:color w:val="993300"/>
          <w:w w:val="103"/>
        </w:rPr>
        <w:t>Indian Act Sex Discrimination: Forced Assimilation</w:t>
      </w:r>
      <w:bookmarkEnd w:id="91"/>
      <w:r w:rsidRPr="00085CC1">
        <w:rPr>
          <w:rFonts w:ascii="Segoe UI" w:hAnsi="Segoe UI" w:cs="Segoe UI"/>
          <w:color w:val="993300"/>
          <w:w w:val="103"/>
        </w:rPr>
        <w:t xml:space="preserve"> </w:t>
      </w:r>
      <w:bookmarkEnd w:id="92"/>
      <w:bookmarkEnd w:id="93"/>
      <w:bookmarkEnd w:id="94"/>
      <w:bookmarkEnd w:id="95"/>
      <w:bookmarkEnd w:id="96"/>
      <w:bookmarkEnd w:id="97"/>
    </w:p>
    <w:p w14:paraId="66223059" w14:textId="77777777" w:rsidR="007F0DED" w:rsidRPr="00085CC1" w:rsidRDefault="007F0DED" w:rsidP="00A03B9E">
      <w:pPr>
        <w:rPr>
          <w:rFonts w:ascii="Segoe UI" w:hAnsi="Segoe UI" w:cs="Segoe UI"/>
          <w:color w:val="993300"/>
        </w:rPr>
      </w:pPr>
      <w:bookmarkStart w:id="98" w:name="_Toc485299431"/>
      <w:bookmarkStart w:id="99" w:name="_Toc515196150"/>
    </w:p>
    <w:p w14:paraId="48A5A411" w14:textId="77777777" w:rsidR="007F0DED" w:rsidRDefault="007F0DED" w:rsidP="00A03B9E">
      <w:pPr>
        <w:rPr>
          <w:rFonts w:ascii="Segoe UI" w:hAnsi="Segoe UI" w:cs="Segoe UI"/>
        </w:rPr>
      </w:pPr>
      <w:r w:rsidRPr="00D56E2A">
        <w:rPr>
          <w:rFonts w:ascii="Segoe UI" w:hAnsi="Segoe UI" w:cs="Segoe UI"/>
          <w:i/>
          <w:iCs/>
        </w:rPr>
        <w:t>Indian Act</w:t>
      </w:r>
      <w:r>
        <w:rPr>
          <w:rFonts w:ascii="Segoe UI" w:hAnsi="Segoe UI" w:cs="Segoe UI"/>
        </w:rPr>
        <w:t xml:space="preserve"> sex discrimination has been an issue of concern to United Nations treaty bodies for decades. Virtually every treaty body that reviews Canada has urged Canada to eliminate all the sex discrimination and its effect on matrilineal descendants from the </w:t>
      </w:r>
      <w:r w:rsidRPr="00D56E2A">
        <w:rPr>
          <w:rFonts w:ascii="Segoe UI" w:hAnsi="Segoe UI" w:cs="Segoe UI"/>
          <w:i/>
          <w:iCs/>
        </w:rPr>
        <w:t>Indian Act.</w:t>
      </w:r>
      <w:r>
        <w:rPr>
          <w:rStyle w:val="FootnoteReference"/>
          <w:rFonts w:ascii="Segoe UI" w:hAnsi="Segoe UI" w:cs="Segoe UI"/>
        </w:rPr>
        <w:footnoteReference w:id="92"/>
      </w:r>
      <w:r>
        <w:rPr>
          <w:rFonts w:ascii="Segoe UI" w:hAnsi="Segoe UI" w:cs="Segoe UI"/>
        </w:rPr>
        <w:t xml:space="preserve"> Unfortunately, this discrimination is not yet gone and its harms have not been repaired. </w:t>
      </w:r>
    </w:p>
    <w:p w14:paraId="159402EF" w14:textId="77777777" w:rsidR="007F0DED" w:rsidRDefault="007F0DED" w:rsidP="00A03B9E">
      <w:pPr>
        <w:rPr>
          <w:rFonts w:ascii="Segoe UI" w:hAnsi="Segoe UI" w:cs="Segoe UI"/>
        </w:rPr>
      </w:pPr>
    </w:p>
    <w:p w14:paraId="6A414DBC" w14:textId="77777777" w:rsidR="007F0DED" w:rsidRPr="007666D5" w:rsidRDefault="007F0DED" w:rsidP="00A03B9E">
      <w:pPr>
        <w:rPr>
          <w:rFonts w:ascii="Segoe UI" w:hAnsi="Segoe UI" w:cs="Segoe UI"/>
        </w:rPr>
      </w:pPr>
      <w:r w:rsidRPr="007666D5">
        <w:rPr>
          <w:rFonts w:ascii="Segoe UI" w:hAnsi="Segoe UI" w:cs="Segoe UI"/>
        </w:rPr>
        <w:t xml:space="preserve">Since its inception, the </w:t>
      </w:r>
      <w:r w:rsidRPr="007666D5">
        <w:rPr>
          <w:rFonts w:ascii="Segoe UI" w:hAnsi="Segoe UI" w:cs="Segoe UI"/>
          <w:i/>
          <w:iCs/>
        </w:rPr>
        <w:t>Indian Act</w:t>
      </w:r>
      <w:r w:rsidRPr="007666D5">
        <w:rPr>
          <w:rFonts w:ascii="Segoe UI" w:hAnsi="Segoe UI" w:cs="Segoe UI"/>
        </w:rPr>
        <w:t xml:space="preserve"> has privileged ‘Indian’ men</w:t>
      </w:r>
      <w:r w:rsidRPr="007666D5">
        <w:rPr>
          <w:rStyle w:val="FootnoteReference"/>
          <w:rFonts w:ascii="Segoe UI" w:hAnsi="Segoe UI" w:cs="Segoe UI"/>
        </w:rPr>
        <w:footnoteReference w:id="93"/>
      </w:r>
      <w:r w:rsidRPr="007666D5">
        <w:rPr>
          <w:rFonts w:ascii="Segoe UI" w:hAnsi="Segoe UI" w:cs="Segoe UI"/>
        </w:rPr>
        <w:t xml:space="preserve"> and their descendants over ‘Indian’ women and their descendants. For 1</w:t>
      </w:r>
      <w:r>
        <w:rPr>
          <w:rFonts w:ascii="Segoe UI" w:hAnsi="Segoe UI" w:cs="Segoe UI"/>
        </w:rPr>
        <w:t>5</w:t>
      </w:r>
      <w:r w:rsidRPr="007666D5">
        <w:rPr>
          <w:rFonts w:ascii="Segoe UI" w:hAnsi="Segoe UI" w:cs="Segoe UI"/>
        </w:rPr>
        <w:t xml:space="preserve">0 years being entitled to Indian status required being related to a male Indian by blood or marriage. There was a one-parent rule for transmission of status, and the one parent was male. In addition, Indian women who married non-Indian men lost their status, while Indian men who married non-Indian women endowed their Indian status on their wives. </w:t>
      </w:r>
    </w:p>
    <w:p w14:paraId="66500700" w14:textId="77777777" w:rsidR="007F0DED" w:rsidRPr="007666D5" w:rsidRDefault="007F0DED" w:rsidP="00A03B9E">
      <w:pPr>
        <w:rPr>
          <w:rFonts w:ascii="Segoe UI" w:hAnsi="Segoe UI" w:cs="Segoe UI"/>
        </w:rPr>
      </w:pPr>
    </w:p>
    <w:p w14:paraId="272985CF" w14:textId="77777777" w:rsidR="007F0DED" w:rsidRPr="007666D5" w:rsidRDefault="007F0DED" w:rsidP="00A03B9E">
      <w:pPr>
        <w:rPr>
          <w:rFonts w:ascii="Segoe UI" w:hAnsi="Segoe UI" w:cs="Segoe UI"/>
        </w:rPr>
      </w:pPr>
      <w:r w:rsidRPr="007666D5">
        <w:rPr>
          <w:rFonts w:ascii="Segoe UI" w:hAnsi="Segoe UI" w:cs="Segoe UI"/>
          <w:i/>
          <w:iCs/>
        </w:rPr>
        <w:t>Indian Act</w:t>
      </w:r>
      <w:r w:rsidRPr="007666D5">
        <w:rPr>
          <w:rFonts w:ascii="Segoe UI" w:hAnsi="Segoe UI" w:cs="Segoe UI"/>
        </w:rPr>
        <w:t xml:space="preserve"> sex discrimination has been identified as an element of the Canadian genocide against Indigenous peoples,</w:t>
      </w:r>
      <w:r w:rsidRPr="007666D5">
        <w:rPr>
          <w:rStyle w:val="FootnoteReference"/>
          <w:rFonts w:ascii="Segoe UI" w:hAnsi="Segoe UI" w:cs="Segoe UI"/>
        </w:rPr>
        <w:footnoteReference w:id="94"/>
      </w:r>
      <w:r w:rsidRPr="007666D5">
        <w:rPr>
          <w:rFonts w:ascii="Segoe UI" w:hAnsi="Segoe UI" w:cs="Segoe UI"/>
        </w:rPr>
        <w:t xml:space="preserve"> </w:t>
      </w:r>
      <w:r>
        <w:rPr>
          <w:rFonts w:ascii="Segoe UI" w:hAnsi="Segoe UI" w:cs="Segoe UI"/>
        </w:rPr>
        <w:t>and</w:t>
      </w:r>
      <w:r w:rsidRPr="007666D5">
        <w:rPr>
          <w:rFonts w:ascii="Segoe UI" w:hAnsi="Segoe UI" w:cs="Segoe UI"/>
        </w:rPr>
        <w:t xml:space="preserve"> it is a form of forced assimilation. It has had the effect of defining thousands of First Nations women and their descendants out of the pool of legally recognized ‘Indians,’ disentitling them to recognition, belonging in their communities, political voice, and the benefits of treaties and inherent rights, in violation of Article 8 of the </w:t>
      </w:r>
      <w:r w:rsidRPr="007666D5">
        <w:rPr>
          <w:rFonts w:ascii="Segoe UI" w:hAnsi="Segoe UI" w:cs="Segoe UI"/>
          <w:i/>
          <w:iCs/>
        </w:rPr>
        <w:t>Universal Declaration on the Rights of Indigenous Peoples</w:t>
      </w:r>
      <w:r w:rsidRPr="007666D5">
        <w:rPr>
          <w:rFonts w:ascii="Segoe UI" w:hAnsi="Segoe UI" w:cs="Segoe UI"/>
        </w:rPr>
        <w:t xml:space="preserve">, as well as Articles 26 and 27 of the ICCPR. The fact that independent demographers estimate the number of First Nations women and their descendants who have been </w:t>
      </w:r>
      <w:r w:rsidRPr="007666D5">
        <w:rPr>
          <w:rFonts w:ascii="Segoe UI" w:hAnsi="Segoe UI" w:cs="Segoe UI"/>
        </w:rPr>
        <w:lastRenderedPageBreak/>
        <w:t>excluded because of sex discrimination at 270,000 to 450,000</w:t>
      </w:r>
      <w:r w:rsidRPr="007666D5">
        <w:rPr>
          <w:rStyle w:val="FootnoteReference"/>
          <w:rFonts w:ascii="Segoe UI" w:hAnsi="Segoe UI" w:cs="Segoe UI"/>
        </w:rPr>
        <w:footnoteReference w:id="95"/>
      </w:r>
      <w:r w:rsidRPr="007666D5">
        <w:rPr>
          <w:rFonts w:ascii="Segoe UI" w:hAnsi="Segoe UI" w:cs="Segoe UI"/>
        </w:rPr>
        <w:t xml:space="preserve"> highlights the effectiveness of </w:t>
      </w:r>
      <w:r w:rsidRPr="007666D5">
        <w:rPr>
          <w:rFonts w:ascii="Segoe UI" w:hAnsi="Segoe UI" w:cs="Segoe UI"/>
          <w:i/>
          <w:iCs/>
        </w:rPr>
        <w:t>Indian Act</w:t>
      </w:r>
      <w:r w:rsidRPr="007666D5">
        <w:rPr>
          <w:rFonts w:ascii="Segoe UI" w:hAnsi="Segoe UI" w:cs="Segoe UI"/>
        </w:rPr>
        <w:t xml:space="preserve"> sex discrimination as a tool of assimilation.</w:t>
      </w:r>
    </w:p>
    <w:p w14:paraId="1D367494" w14:textId="77777777" w:rsidR="007F0DED" w:rsidRDefault="007F0DED" w:rsidP="003D3DD8">
      <w:pPr>
        <w:rPr>
          <w:rFonts w:ascii="Segoe UI" w:hAnsi="Segoe UI" w:cs="Segoe UI"/>
        </w:rPr>
      </w:pPr>
      <w:r w:rsidRPr="007666D5">
        <w:rPr>
          <w:rFonts w:ascii="Segoe UI" w:hAnsi="Segoe UI" w:cs="Segoe UI"/>
        </w:rPr>
        <w:t xml:space="preserve">The sex discrimination has had profoundly harmful effects on First Nations women, their descendants and their communities. It has been identified as a root cause of the violence against Indigenous women and girls by the UN CEDAW Committee, the Inter-American Commission on Human Rights, and the National Inquiry on Missing and Murdered Indigenous Women. The sex discrimination has defined First Nations women and their descendants as lesser Indians and lesser parents, and caused dislocation, banishment from community, loss of culture, language and identity, and social marginalization. </w:t>
      </w:r>
    </w:p>
    <w:p w14:paraId="4D230517" w14:textId="77777777" w:rsidR="007F0DED" w:rsidRPr="007666D5" w:rsidRDefault="007F0DED" w:rsidP="00A03B9E">
      <w:pPr>
        <w:spacing w:before="100" w:beforeAutospacing="1" w:after="100" w:afterAutospacing="1"/>
        <w:rPr>
          <w:rFonts w:ascii="Segoe UI" w:hAnsi="Segoe UI" w:cs="Segoe UI"/>
        </w:rPr>
      </w:pPr>
      <w:r w:rsidRPr="007666D5">
        <w:rPr>
          <w:rFonts w:ascii="Segoe UI" w:hAnsi="Segoe UI" w:cs="Segoe UI"/>
        </w:rPr>
        <w:t xml:space="preserve">Further, stripping First Nations women of status if they married non-status men caused numerous forms of consequential discrimination. The women lost band membership, and access to services and </w:t>
      </w:r>
      <w:r>
        <w:rPr>
          <w:rFonts w:ascii="Segoe UI" w:hAnsi="Segoe UI" w:cs="Segoe UI"/>
        </w:rPr>
        <w:t>privileges</w:t>
      </w:r>
      <w:r w:rsidRPr="007666D5">
        <w:rPr>
          <w:rFonts w:ascii="Segoe UI" w:hAnsi="Segoe UI" w:cs="Segoe UI"/>
        </w:rPr>
        <w:t xml:space="preserve"> extended to status Indians and band members, including the ability to hold land on reserve, to be buried on reserve, to access housing provided or supported by the band, to have children attend reserve schools, to access support for higher education for oneself or one’s children, to access health care provided on or through the reserve/band. The children also suffered from the consequential discrimination affecting their mothers, for they too were denied membership, services and benefits. In addition, since for decades Canadian policy was that only a ‘status’ Indian could benefit from a Treaty, women and their descendants lost Treaty rights and benefits.</w:t>
      </w:r>
    </w:p>
    <w:p w14:paraId="53872D74" w14:textId="77777777" w:rsidR="007F0DED" w:rsidRPr="00C730A9" w:rsidRDefault="007F0DED" w:rsidP="003D3DD8">
      <w:pPr>
        <w:rPr>
          <w:rFonts w:ascii="Segoe UI" w:hAnsi="Segoe UI" w:cs="Segoe UI"/>
        </w:rPr>
      </w:pPr>
      <w:hyperlink r:id="rId44" w:history="1">
        <w:r w:rsidRPr="007666D5">
          <w:rPr>
            <w:rStyle w:val="Hyperlink"/>
            <w:rFonts w:ascii="Segoe UI" w:hAnsi="Segoe UI" w:cs="Segoe UI"/>
            <w:color w:val="auto"/>
            <w:sz w:val="24"/>
            <w:szCs w:val="24"/>
            <w:u w:val="none"/>
          </w:rPr>
          <w:t>The United Nations Human Rights Committee</w:t>
        </w:r>
      </w:hyperlink>
      <w:r w:rsidRPr="007666D5">
        <w:rPr>
          <w:rFonts w:ascii="Segoe UI" w:hAnsi="Segoe UI" w:cs="Segoe UI"/>
        </w:rPr>
        <w:t xml:space="preserve"> ruled on January 11, 2019, when it decided the petition of Sharon McIvor and her son Jacob Grismer, that the sex discrimination in the </w:t>
      </w:r>
      <w:r w:rsidRPr="007666D5">
        <w:rPr>
          <w:rFonts w:ascii="Segoe UI" w:hAnsi="Segoe UI" w:cs="Segoe UI"/>
          <w:i/>
          <w:iCs/>
        </w:rPr>
        <w:t>Indian Act</w:t>
      </w:r>
      <w:r w:rsidRPr="007666D5">
        <w:rPr>
          <w:rFonts w:ascii="Segoe UI" w:hAnsi="Segoe UI" w:cs="Segoe UI"/>
        </w:rPr>
        <w:t xml:space="preserve"> violated the rights of First Nations women to equal protection of the law and to equal enjoyment of their Indigenous culture, guaranteed by the </w:t>
      </w:r>
      <w:r w:rsidRPr="007666D5">
        <w:rPr>
          <w:rFonts w:ascii="Segoe UI" w:hAnsi="Segoe UI" w:cs="Segoe UI"/>
          <w:i/>
          <w:iCs/>
        </w:rPr>
        <w:t xml:space="preserve">International Covenant on Civil and Political Rights. </w:t>
      </w:r>
      <w:r>
        <w:rPr>
          <w:rFonts w:ascii="Segoe UI" w:hAnsi="Segoe UI" w:cs="Segoe UI"/>
          <w:i/>
          <w:iCs/>
        </w:rPr>
        <w:t xml:space="preserve">McIvor </w:t>
      </w:r>
      <w:r w:rsidRPr="00EA5B72">
        <w:rPr>
          <w:rFonts w:ascii="Segoe UI" w:hAnsi="Segoe UI" w:cs="Segoe UI"/>
        </w:rPr>
        <w:t>followed the</w:t>
      </w:r>
      <w:r>
        <w:rPr>
          <w:rFonts w:ascii="Segoe UI" w:hAnsi="Segoe UI" w:cs="Segoe UI"/>
          <w:i/>
          <w:iCs/>
        </w:rPr>
        <w:t xml:space="preserve"> </w:t>
      </w:r>
      <w:r>
        <w:rPr>
          <w:rFonts w:ascii="Segoe UI" w:hAnsi="Segoe UI" w:cs="Segoe UI"/>
        </w:rPr>
        <w:t xml:space="preserve">1981 decision, </w:t>
      </w:r>
      <w:r w:rsidRPr="00C730A9">
        <w:rPr>
          <w:rFonts w:ascii="Segoe UI" w:hAnsi="Segoe UI" w:cs="Segoe UI"/>
          <w:i/>
          <w:iCs/>
        </w:rPr>
        <w:t>Lovelace v. Canada</w:t>
      </w:r>
      <w:r>
        <w:rPr>
          <w:rFonts w:ascii="Segoe UI" w:hAnsi="Segoe UI" w:cs="Segoe UI"/>
        </w:rPr>
        <w:t xml:space="preserve">, the Human Rights Committee also found that the sex discrimination in the </w:t>
      </w:r>
      <w:r w:rsidRPr="00C730A9">
        <w:rPr>
          <w:rFonts w:ascii="Segoe UI" w:hAnsi="Segoe UI" w:cs="Segoe UI"/>
          <w:i/>
          <w:iCs/>
        </w:rPr>
        <w:t>Indian Act</w:t>
      </w:r>
      <w:r>
        <w:rPr>
          <w:rFonts w:ascii="Segoe UI" w:hAnsi="Segoe UI" w:cs="Segoe UI"/>
        </w:rPr>
        <w:t xml:space="preserve"> violated the rights to culture.</w:t>
      </w:r>
    </w:p>
    <w:p w14:paraId="03E79CC7" w14:textId="77777777" w:rsidR="007F0DED" w:rsidRPr="007666D5" w:rsidRDefault="007F0DED" w:rsidP="003D3DD8">
      <w:pPr>
        <w:rPr>
          <w:rFonts w:ascii="Segoe UI" w:hAnsi="Segoe UI" w:cs="Segoe UI"/>
          <w:i/>
          <w:iCs/>
        </w:rPr>
      </w:pPr>
    </w:p>
    <w:bookmarkEnd w:id="98"/>
    <w:bookmarkEnd w:id="99"/>
    <w:p w14:paraId="67762567" w14:textId="77777777" w:rsidR="007F0DED" w:rsidRDefault="007F0DED" w:rsidP="00A03B9E">
      <w:pPr>
        <w:rPr>
          <w:rFonts w:ascii="Segoe UI" w:hAnsi="Segoe UI" w:cs="Segoe UI"/>
        </w:rPr>
      </w:pPr>
      <w:r w:rsidRPr="007666D5">
        <w:rPr>
          <w:rFonts w:ascii="Segoe UI" w:hAnsi="Segoe UI" w:cs="Segoe UI"/>
        </w:rPr>
        <w:t xml:space="preserve">On August 15, 2019, the Government of Canada brought into force amendments to the </w:t>
      </w:r>
      <w:r w:rsidRPr="007666D5">
        <w:rPr>
          <w:rFonts w:ascii="Segoe UI" w:hAnsi="Segoe UI" w:cs="Segoe UI"/>
          <w:i/>
          <w:iCs/>
        </w:rPr>
        <w:t>Indian Act</w:t>
      </w:r>
      <w:r w:rsidRPr="007666D5">
        <w:rPr>
          <w:rFonts w:ascii="Segoe UI" w:hAnsi="Segoe UI" w:cs="Segoe UI"/>
        </w:rPr>
        <w:t xml:space="preserve"> </w:t>
      </w:r>
      <w:r>
        <w:rPr>
          <w:rFonts w:ascii="Segoe UI" w:hAnsi="Segoe UI" w:cs="Segoe UI"/>
        </w:rPr>
        <w:t xml:space="preserve">in Bill S-3 </w:t>
      </w:r>
      <w:r w:rsidRPr="007666D5">
        <w:rPr>
          <w:rFonts w:ascii="Segoe UI" w:hAnsi="Segoe UI" w:cs="Segoe UI"/>
        </w:rPr>
        <w:t xml:space="preserve">that eliminated the core of the </w:t>
      </w:r>
      <w:r>
        <w:rPr>
          <w:rFonts w:ascii="Segoe UI" w:hAnsi="Segoe UI" w:cs="Segoe UI"/>
        </w:rPr>
        <w:t xml:space="preserve">pre-1985 </w:t>
      </w:r>
      <w:r w:rsidRPr="007666D5">
        <w:rPr>
          <w:rFonts w:ascii="Segoe UI" w:hAnsi="Segoe UI" w:cs="Segoe UI"/>
        </w:rPr>
        <w:t>sex discrimination against First Nations women and their descendants</w:t>
      </w:r>
      <w:r>
        <w:rPr>
          <w:rFonts w:ascii="Segoe UI" w:hAnsi="Segoe UI" w:cs="Segoe UI"/>
        </w:rPr>
        <w:t xml:space="preserve">. This reflected the findings of the Human Rights Committee in </w:t>
      </w:r>
      <w:r w:rsidRPr="00771699">
        <w:rPr>
          <w:rFonts w:ascii="Segoe UI" w:hAnsi="Segoe UI" w:cs="Segoe UI"/>
          <w:i/>
          <w:iCs/>
        </w:rPr>
        <w:t>McIvor v. Canada</w:t>
      </w:r>
      <w:r>
        <w:rPr>
          <w:rFonts w:ascii="Segoe UI" w:hAnsi="Segoe UI" w:cs="Segoe UI"/>
        </w:rPr>
        <w:t xml:space="preserve">. </w:t>
      </w:r>
    </w:p>
    <w:p w14:paraId="3A85D994" w14:textId="77777777" w:rsidR="007F0DED" w:rsidRDefault="007F0DED" w:rsidP="00A03B9E">
      <w:pPr>
        <w:rPr>
          <w:rFonts w:ascii="Segoe UI" w:hAnsi="Segoe UI" w:cs="Segoe UI"/>
        </w:rPr>
      </w:pPr>
    </w:p>
    <w:p w14:paraId="3BF8D197" w14:textId="77777777" w:rsidR="007F0DED" w:rsidRDefault="007F0DED" w:rsidP="00A03B9E">
      <w:pPr>
        <w:rPr>
          <w:rFonts w:ascii="Segoe UI" w:hAnsi="Segoe UI" w:cs="Segoe UI"/>
        </w:rPr>
      </w:pPr>
      <w:r>
        <w:rPr>
          <w:rFonts w:ascii="Segoe UI" w:hAnsi="Segoe UI" w:cs="Segoe UI"/>
        </w:rPr>
        <w:lastRenderedPageBreak/>
        <w:t xml:space="preserve">However, Bill S-3 did not eliminate </w:t>
      </w:r>
      <w:r w:rsidRPr="00077111">
        <w:rPr>
          <w:rFonts w:ascii="Segoe UI" w:hAnsi="Segoe UI" w:cs="Segoe UI"/>
          <w:i/>
          <w:iCs/>
        </w:rPr>
        <w:t>all</w:t>
      </w:r>
      <w:r>
        <w:rPr>
          <w:rFonts w:ascii="Segoe UI" w:hAnsi="Segoe UI" w:cs="Segoe UI"/>
        </w:rPr>
        <w:t xml:space="preserve"> the sex discrimination, and, in particular, it did not eliminate the post-1985 sex discrimination that is embedded in the second generation cut-off, the 1985 cut-off, and the two parent rule. </w:t>
      </w:r>
    </w:p>
    <w:p w14:paraId="734E63A5" w14:textId="77777777" w:rsidR="007F0DED" w:rsidRDefault="007F0DED" w:rsidP="00A03B9E">
      <w:pPr>
        <w:rPr>
          <w:rFonts w:ascii="Segoe UI" w:hAnsi="Segoe UI" w:cs="Segoe UI"/>
        </w:rPr>
      </w:pPr>
    </w:p>
    <w:p w14:paraId="215194D3" w14:textId="77777777" w:rsidR="007F0DED" w:rsidRDefault="007F0DED" w:rsidP="00A03B9E">
      <w:pPr>
        <w:rPr>
          <w:rFonts w:ascii="Segoe UI" w:hAnsi="Segoe UI" w:cs="Segoe UI"/>
        </w:rPr>
      </w:pPr>
      <w:r>
        <w:rPr>
          <w:rFonts w:ascii="Segoe UI" w:hAnsi="Segoe UI" w:cs="Segoe UI"/>
        </w:rPr>
        <w:t xml:space="preserve">The second generation cut-off perpetuates the sex discrimination of the past, but it is also a legal extinction plan. Because status cannot be transmitted to a child after two generations of out-parenting (i.e. with a non-status person), this rule will lead to the extinction of status Indians in Canada within a few generations. The Government of Canada, legal experts and demographers all agree that this will be the inevitable result of the second generation cut-off. 29% of status Indians in Canada already have only half status (6(2) status). Unless they parent with another status Indian, they cannot transmit status to a child. </w:t>
      </w:r>
    </w:p>
    <w:p w14:paraId="51C71B13" w14:textId="77777777" w:rsidR="007F0DED" w:rsidRDefault="007F0DED" w:rsidP="00A03B9E">
      <w:pPr>
        <w:rPr>
          <w:rFonts w:ascii="Segoe UI" w:hAnsi="Segoe UI" w:cs="Segoe UI"/>
        </w:rPr>
      </w:pPr>
    </w:p>
    <w:p w14:paraId="5E667920" w14:textId="77777777" w:rsidR="007F0DED" w:rsidRDefault="007F0DED" w:rsidP="00A03B9E">
      <w:pPr>
        <w:rPr>
          <w:rFonts w:ascii="Segoe UI" w:hAnsi="Segoe UI" w:cs="Segoe UI"/>
        </w:rPr>
      </w:pPr>
      <w:r>
        <w:rPr>
          <w:rFonts w:ascii="Segoe UI" w:hAnsi="Segoe UI" w:cs="Segoe UI"/>
        </w:rPr>
        <w:t>As status is the Government’s means of recognizing who has Aboriginal rights and title, the second generation cut-off has catastrophic consequences for First Nations individuals and communities in Canada. The Government of Canada recognizes that the second generation cut-off must be eliminated, but wishes to delay, claiming that more consultation is needed.</w:t>
      </w:r>
    </w:p>
    <w:p w14:paraId="1C419692" w14:textId="77777777" w:rsidR="007F0DED" w:rsidRDefault="007F0DED" w:rsidP="00A03B9E">
      <w:pPr>
        <w:rPr>
          <w:rFonts w:ascii="Segoe UI" w:hAnsi="Segoe UI" w:cs="Segoe UI"/>
        </w:rPr>
      </w:pPr>
    </w:p>
    <w:p w14:paraId="1B3A1FA1" w14:textId="77777777" w:rsidR="007F0DED" w:rsidRDefault="007F0DED" w:rsidP="00A03B9E">
      <w:pPr>
        <w:rPr>
          <w:rFonts w:ascii="Segoe UI" w:hAnsi="Segoe UI" w:cs="Segoe UI"/>
        </w:rPr>
      </w:pPr>
      <w:r>
        <w:rPr>
          <w:rFonts w:ascii="Segoe UI" w:hAnsi="Segoe UI" w:cs="Segoe UI"/>
        </w:rPr>
        <w:t xml:space="preserve">However, the Canadian Parliament has the opportunity to remove this discrimination now, as it is considering a new Bill (Bill S-2) to cure the discrimination identified in a successful court challenge called </w:t>
      </w:r>
      <w:r w:rsidRPr="005B65F8">
        <w:rPr>
          <w:rFonts w:ascii="Segoe UI" w:hAnsi="Segoe UI" w:cs="Segoe UI"/>
          <w:i/>
          <w:iCs/>
        </w:rPr>
        <w:t>Nicholas v. Canada</w:t>
      </w:r>
      <w:r>
        <w:rPr>
          <w:rFonts w:ascii="Segoe UI" w:hAnsi="Segoe UI" w:cs="Segoe UI"/>
          <w:i/>
          <w:iCs/>
        </w:rPr>
        <w:t>.</w:t>
      </w:r>
      <w:r>
        <w:rPr>
          <w:rFonts w:ascii="Segoe UI" w:hAnsi="Segoe UI" w:cs="Segoe UI"/>
        </w:rPr>
        <w:t xml:space="preserve"> Bill S-2 was introduced in the Senate and amended by the Senate of Canada in December 2025 to include a provision removing the second generation cut-off and instating a one parent rule for transmission of status. The Bill, as amended by the Senate, is now before the House of Commons, and the Government of Canada can support the Senate’s amendments and eliminate this crucial piece of the remaining discrimination now. </w:t>
      </w:r>
    </w:p>
    <w:p w14:paraId="1FDC2CFF" w14:textId="77777777" w:rsidR="007F0DED" w:rsidRDefault="007F0DED" w:rsidP="00A03B9E">
      <w:pPr>
        <w:rPr>
          <w:rFonts w:ascii="Segoe UI" w:hAnsi="Segoe UI" w:cs="Segoe UI"/>
        </w:rPr>
      </w:pPr>
    </w:p>
    <w:p w14:paraId="70BD8BA9" w14:textId="1F867B3B" w:rsidR="007F0DED" w:rsidRDefault="007F0DED" w:rsidP="00A03B9E">
      <w:pPr>
        <w:rPr>
          <w:rFonts w:ascii="Segoe UI" w:hAnsi="Segoe UI" w:cs="Segoe UI"/>
        </w:rPr>
      </w:pPr>
      <w:r>
        <w:rPr>
          <w:rFonts w:ascii="Segoe UI" w:hAnsi="Segoe UI" w:cs="Segoe UI"/>
        </w:rPr>
        <w:t>The Indian Act Sex Discrimination Working Group has filed a submission with the Human Rights Committee explaining these developments in detail. FAFIA endorses the submission of the Working Group and its recommendations. FAFIA submits that removal of the second generation cut-off, the 1985 cut-off, and the instatement of a one parent rule for transmission of status are crucial measures to eliminate discrimination, stop forced assimilation, and ensure the well-being and future of Indigenous women, men and communities in Canada.</w:t>
      </w:r>
    </w:p>
    <w:p w14:paraId="52AF0603" w14:textId="77777777" w:rsidR="009C71AE" w:rsidRPr="00085CC1" w:rsidRDefault="009C71AE" w:rsidP="009C71AE">
      <w:pPr>
        <w:pStyle w:val="Heading2"/>
        <w:keepNext w:val="0"/>
        <w:keepLines w:val="0"/>
        <w:numPr>
          <w:ilvl w:val="1"/>
          <w:numId w:val="0"/>
        </w:numPr>
        <w:spacing w:before="240"/>
        <w:ind w:left="357" w:hanging="357"/>
        <w:rPr>
          <w:rFonts w:cs="Calibri"/>
          <w:color w:val="993300"/>
          <w:sz w:val="24"/>
          <w:szCs w:val="24"/>
        </w:rPr>
      </w:pPr>
      <w:bookmarkStart w:id="100" w:name="_Toc220664147"/>
      <w:r w:rsidRPr="00085CC1">
        <w:rPr>
          <w:color w:val="993300"/>
          <w:sz w:val="24"/>
          <w:szCs w:val="24"/>
        </w:rPr>
        <w:t>Recommendations</w:t>
      </w:r>
      <w:bookmarkEnd w:id="100"/>
    </w:p>
    <w:p w14:paraId="4F57C5D6" w14:textId="77777777" w:rsidR="007F0DED" w:rsidRPr="00085CC1" w:rsidRDefault="007F0DED" w:rsidP="003D3DD8">
      <w:pPr>
        <w:rPr>
          <w:rFonts w:ascii="Segoe UI" w:hAnsi="Segoe UI" w:cs="Segoe UI"/>
          <w:b/>
          <w:bCs/>
          <w:color w:val="993300"/>
        </w:rPr>
      </w:pPr>
    </w:p>
    <w:p w14:paraId="2094E023" w14:textId="77777777" w:rsidR="007F0DED" w:rsidRPr="00085CC1" w:rsidRDefault="007F0DED" w:rsidP="00830F36">
      <w:pPr>
        <w:numPr>
          <w:ilvl w:val="0"/>
          <w:numId w:val="1"/>
        </w:numPr>
        <w:rPr>
          <w:rFonts w:ascii="Segoe UI" w:hAnsi="Segoe UI" w:cs="Segoe UI"/>
          <w:b/>
          <w:bCs/>
          <w:i/>
          <w:iCs/>
          <w:color w:val="993300"/>
          <w:w w:val="103"/>
        </w:rPr>
      </w:pPr>
      <w:r w:rsidRPr="00085CC1">
        <w:rPr>
          <w:rFonts w:ascii="Segoe UI" w:hAnsi="Segoe UI" w:cs="Segoe UI"/>
          <w:b/>
          <w:bCs/>
          <w:i/>
          <w:iCs/>
          <w:color w:val="993300"/>
          <w:w w:val="103"/>
        </w:rPr>
        <w:lastRenderedPageBreak/>
        <w:t>Support the Senate amendments to Bill S-2 that will remove the second generation cut-off and the 1985 cut-off, and instate a one-parent rule for transmission of status.</w:t>
      </w:r>
    </w:p>
    <w:p w14:paraId="0A676633" w14:textId="77777777" w:rsidR="007F0DED" w:rsidRPr="00085CC1" w:rsidRDefault="007F0DED" w:rsidP="00FC44CD">
      <w:pPr>
        <w:ind w:left="432"/>
        <w:rPr>
          <w:rFonts w:ascii="Segoe UI" w:hAnsi="Segoe UI" w:cs="Segoe UI"/>
          <w:b/>
          <w:bCs/>
          <w:i/>
          <w:iCs/>
          <w:color w:val="993300"/>
          <w:w w:val="103"/>
        </w:rPr>
      </w:pPr>
    </w:p>
    <w:p w14:paraId="3BC870F1" w14:textId="27D6D811" w:rsidR="007F0DED" w:rsidRDefault="007F0DED" w:rsidP="003B0F86">
      <w:pPr>
        <w:numPr>
          <w:ilvl w:val="0"/>
          <w:numId w:val="1"/>
        </w:numPr>
        <w:rPr>
          <w:rFonts w:ascii="Segoe UI" w:hAnsi="Segoe UI" w:cs="Segoe UI"/>
          <w:b/>
          <w:bCs/>
          <w:i/>
          <w:iCs/>
          <w:color w:val="993300"/>
          <w:w w:val="103"/>
        </w:rPr>
      </w:pPr>
      <w:r w:rsidRPr="00085CC1">
        <w:rPr>
          <w:rFonts w:ascii="Segoe UI" w:hAnsi="Segoe UI" w:cs="Segoe UI"/>
          <w:b/>
          <w:bCs/>
          <w:i/>
          <w:iCs/>
          <w:color w:val="993300"/>
          <w:w w:val="103"/>
        </w:rPr>
        <w:t>Implement the recommendations of the Standing Senate Committee on Indigenous Peoples set out in their 2022 report ‘Make It Stop! Ending the Remaining Discrimination in Indian Registration</w:t>
      </w:r>
      <w:r w:rsidR="00FC44CD">
        <w:rPr>
          <w:rFonts w:ascii="Segoe UI" w:hAnsi="Segoe UI" w:cs="Segoe UI"/>
          <w:b/>
          <w:bCs/>
          <w:i/>
          <w:iCs/>
          <w:color w:val="993300"/>
          <w:w w:val="103"/>
        </w:rPr>
        <w:t>.</w:t>
      </w:r>
      <w:r w:rsidRPr="00085CC1">
        <w:rPr>
          <w:rFonts w:ascii="Segoe UI" w:hAnsi="Segoe UI" w:cs="Segoe UI"/>
          <w:b/>
          <w:bCs/>
          <w:i/>
          <w:iCs/>
          <w:color w:val="993300"/>
          <w:w w:val="103"/>
        </w:rPr>
        <w:t>’</w:t>
      </w:r>
      <w:r w:rsidRPr="00085CC1">
        <w:rPr>
          <w:rStyle w:val="FootnoteReference"/>
          <w:rFonts w:ascii="Segoe UI" w:hAnsi="Segoe UI" w:cs="Segoe UI"/>
          <w:b/>
          <w:bCs/>
          <w:i/>
          <w:iCs/>
          <w:color w:val="993300"/>
          <w:w w:val="103"/>
        </w:rPr>
        <w:footnoteReference w:id="96"/>
      </w:r>
      <w:r w:rsidRPr="00085CC1">
        <w:rPr>
          <w:rFonts w:ascii="Segoe UI" w:hAnsi="Segoe UI" w:cs="Segoe UI"/>
          <w:b/>
          <w:bCs/>
          <w:i/>
          <w:iCs/>
          <w:color w:val="993300"/>
          <w:w w:val="103"/>
        </w:rPr>
        <w:t xml:space="preserve"> </w:t>
      </w:r>
    </w:p>
    <w:p w14:paraId="13A1B328" w14:textId="77777777" w:rsidR="007F0DED" w:rsidRDefault="007F0DED" w:rsidP="00D56E2A">
      <w:pPr>
        <w:ind w:left="72"/>
        <w:rPr>
          <w:rFonts w:ascii="Segoe UI" w:hAnsi="Segoe UI" w:cs="Segoe UI"/>
          <w:b/>
          <w:bCs/>
          <w:i/>
          <w:iCs/>
          <w:color w:val="993300"/>
          <w:w w:val="103"/>
        </w:rPr>
      </w:pPr>
    </w:p>
    <w:p w14:paraId="1120BF3A" w14:textId="77777777" w:rsidR="007F0DED" w:rsidRPr="00085CC1" w:rsidRDefault="007F0DED" w:rsidP="003B0F86">
      <w:pPr>
        <w:numPr>
          <w:ilvl w:val="0"/>
          <w:numId w:val="1"/>
        </w:numPr>
        <w:rPr>
          <w:rFonts w:ascii="Segoe UI" w:hAnsi="Segoe UI" w:cs="Segoe UI"/>
          <w:b/>
          <w:bCs/>
          <w:i/>
          <w:iCs/>
          <w:color w:val="993300"/>
          <w:w w:val="103"/>
        </w:rPr>
      </w:pPr>
      <w:r w:rsidRPr="00085CC1">
        <w:rPr>
          <w:rFonts w:ascii="Segoe UI" w:hAnsi="Segoe UI" w:cs="Segoe UI"/>
          <w:b/>
          <w:bCs/>
          <w:i/>
          <w:iCs/>
          <w:color w:val="993300"/>
          <w:w w:val="103"/>
        </w:rPr>
        <w:t>Fully implement the Human Rights Committee’s remedy for the discrimination found in McIvor v. Canada.</w:t>
      </w:r>
    </w:p>
    <w:p w14:paraId="3054D064" w14:textId="77777777" w:rsidR="007F0DED" w:rsidRPr="00085CC1" w:rsidRDefault="007F0DED" w:rsidP="003D3DD8">
      <w:pPr>
        <w:rPr>
          <w:rFonts w:ascii="Segoe UI" w:hAnsi="Segoe UI" w:cs="Segoe UI"/>
          <w:b/>
          <w:bCs/>
          <w:i/>
          <w:iCs/>
          <w:color w:val="993300"/>
          <w:sz w:val="28"/>
          <w:szCs w:val="28"/>
          <w:shd w:val="clear" w:color="auto" w:fill="FFFFFF"/>
        </w:rPr>
      </w:pPr>
    </w:p>
    <w:p w14:paraId="40CB4845" w14:textId="77777777" w:rsidR="007F0DED" w:rsidRPr="00085CC1" w:rsidRDefault="007F0DED" w:rsidP="007C1733">
      <w:pPr>
        <w:pStyle w:val="Heading1"/>
        <w:numPr>
          <w:ilvl w:val="0"/>
          <w:numId w:val="8"/>
        </w:numPr>
        <w:spacing w:before="0"/>
        <w:rPr>
          <w:rFonts w:ascii="Segoe UI" w:hAnsi="Segoe UI" w:cs="Segoe UI"/>
          <w:color w:val="993300"/>
          <w:w w:val="103"/>
        </w:rPr>
      </w:pPr>
      <w:bookmarkStart w:id="101" w:name="_Toc72489166"/>
      <w:bookmarkStart w:id="102" w:name="_Toc72489189"/>
      <w:bookmarkStart w:id="103" w:name="_Toc72489252"/>
      <w:bookmarkStart w:id="104" w:name="_Toc72490510"/>
      <w:bookmarkStart w:id="105" w:name="_Toc72491024"/>
      <w:bookmarkStart w:id="106" w:name="_Toc72491442"/>
      <w:bookmarkStart w:id="107" w:name="_Toc220664148"/>
      <w:bookmarkStart w:id="108" w:name="_Toc20731734"/>
      <w:r w:rsidRPr="00085CC1">
        <w:rPr>
          <w:rFonts w:ascii="Segoe UI" w:hAnsi="Segoe UI" w:cs="Segoe UI"/>
          <w:color w:val="993300"/>
          <w:w w:val="103"/>
        </w:rPr>
        <w:t>The National Action Plan on Missing and Murdered Indigenous Women and Girls (</w:t>
      </w:r>
      <w:r w:rsidRPr="00085CC1">
        <w:rPr>
          <w:rFonts w:ascii="Segoe UI" w:hAnsi="Segoe UI" w:cs="Segoe UI"/>
          <w:color w:val="993300"/>
        </w:rPr>
        <w:t>CCPR/C/CAN/CO/6, para. 9)</w:t>
      </w:r>
      <w:bookmarkEnd w:id="101"/>
      <w:bookmarkEnd w:id="102"/>
      <w:bookmarkEnd w:id="103"/>
      <w:bookmarkEnd w:id="104"/>
      <w:bookmarkEnd w:id="105"/>
      <w:bookmarkEnd w:id="106"/>
      <w:bookmarkEnd w:id="107"/>
    </w:p>
    <w:p w14:paraId="51A064E5" w14:textId="77777777" w:rsidR="007F0DED" w:rsidRPr="00085CC1" w:rsidRDefault="007F0DED" w:rsidP="00117915">
      <w:pPr>
        <w:pStyle w:val="Heading2"/>
        <w:keepNext w:val="0"/>
        <w:keepLines w:val="0"/>
        <w:numPr>
          <w:ilvl w:val="0"/>
          <w:numId w:val="20"/>
        </w:numPr>
        <w:spacing w:before="240"/>
        <w:rPr>
          <w:color w:val="993300"/>
          <w:sz w:val="24"/>
          <w:szCs w:val="24"/>
        </w:rPr>
      </w:pPr>
      <w:bookmarkStart w:id="109" w:name="_Toc176761782"/>
      <w:bookmarkStart w:id="110" w:name="_Toc220664149"/>
      <w:r w:rsidRPr="00085CC1">
        <w:rPr>
          <w:color w:val="993300"/>
          <w:sz w:val="24"/>
          <w:szCs w:val="24"/>
        </w:rPr>
        <w:t>International Obligations to End the Crisis of Missing and Murdered Indigenous Women and Girls</w:t>
      </w:r>
      <w:bookmarkEnd w:id="109"/>
      <w:bookmarkEnd w:id="110"/>
    </w:p>
    <w:p w14:paraId="114B7944" w14:textId="77777777" w:rsidR="007F0DED" w:rsidRPr="00ED2D4A" w:rsidRDefault="007F0DED" w:rsidP="00ED2D4A">
      <w:pPr>
        <w:spacing w:before="240" w:after="240"/>
        <w:jc w:val="both"/>
        <w:rPr>
          <w:rFonts w:ascii="Segoe UI Symbol" w:hAnsi="Segoe UI Symbol" w:cs="Segoe UI Symbol"/>
          <w:color w:val="000000"/>
        </w:rPr>
      </w:pPr>
      <w:r w:rsidRPr="00ED2D4A">
        <w:rPr>
          <w:rFonts w:ascii="Segoe UI Symbol" w:hAnsi="Segoe UI Symbol" w:cs="Segoe UI Symbol"/>
          <w:color w:val="000000"/>
        </w:rPr>
        <w:t xml:space="preserve">CEDAW conducted the first official inquiry into missing and murdered Indigenous women and girls in Canada. In 2011 FAFIA and the Native Women’s Association of Canada requested that the CEDAW Committee launch an inquiry under Article 8 of the Optional Protocol to the Convention. In 2015, the </w:t>
      </w:r>
      <w:hyperlink r:id="rId45" w:history="1">
        <w:r w:rsidRPr="00ED2D4A">
          <w:rPr>
            <w:rStyle w:val="Hyperlink"/>
            <w:rFonts w:ascii="Segoe UI Symbol" w:hAnsi="Segoe UI Symbol" w:cs="Segoe UI Symbol"/>
            <w:sz w:val="24"/>
            <w:szCs w:val="24"/>
          </w:rPr>
          <w:t>CEDAW Committee issued its Report</w:t>
        </w:r>
      </w:hyperlink>
      <w:r w:rsidRPr="00ED2D4A">
        <w:rPr>
          <w:rFonts w:ascii="Segoe UI Symbol" w:hAnsi="Segoe UI Symbol" w:cs="Segoe UI Symbol"/>
          <w:color w:val="000000"/>
        </w:rPr>
        <w:t xml:space="preserve">, finding that Canada’s actions, and failures to act to address the crisis of murders and disappearances, are a grave violation of the rights in </w:t>
      </w:r>
      <w:r w:rsidRPr="00ED2D4A">
        <w:rPr>
          <w:rFonts w:ascii="Segoe UI Symbol" w:hAnsi="Segoe UI Symbol" w:cs="Segoe UI Symbol"/>
          <w:i/>
          <w:iCs/>
          <w:color w:val="000000"/>
        </w:rPr>
        <w:t>CEDAW.</w:t>
      </w:r>
      <w:r w:rsidRPr="00ED2D4A">
        <w:rPr>
          <w:rFonts w:ascii="Segoe UI Symbol" w:hAnsi="Segoe UI Symbol" w:cs="Segoe UI Symbol"/>
          <w:color w:val="000000"/>
        </w:rPr>
        <w:t xml:space="preserve"> The Committee made 38 recommendations. Canada has not taken co-ordinated, effective action to implement these recommendations. As </w:t>
      </w:r>
      <w:hyperlink r:id="rId46" w:history="1">
        <w:r w:rsidRPr="00ED2D4A">
          <w:rPr>
            <w:rStyle w:val="Hyperlink"/>
            <w:rFonts w:ascii="Segoe UI Symbol" w:hAnsi="Segoe UI Symbol" w:cs="Segoe UI Symbol"/>
            <w:sz w:val="24"/>
            <w:szCs w:val="24"/>
          </w:rPr>
          <w:t>Canada's Follow-Up Report</w:t>
        </w:r>
      </w:hyperlink>
      <w:r w:rsidRPr="00ED2D4A">
        <w:rPr>
          <w:rFonts w:ascii="Segoe UI Symbol" w:hAnsi="Segoe UI Symbol" w:cs="Segoe UI Symbol"/>
          <w:color w:val="000000"/>
        </w:rPr>
        <w:t xml:space="preserve"> to the Committee shows, there have been piecemeal initiatives, and only some of them are directed specifically at Indigenous women.</w:t>
      </w:r>
    </w:p>
    <w:p w14:paraId="1777D18A" w14:textId="77777777" w:rsidR="007F0DED" w:rsidRPr="00085CC1" w:rsidRDefault="007F0DED" w:rsidP="00117915">
      <w:pPr>
        <w:pStyle w:val="Heading2"/>
        <w:keepNext w:val="0"/>
        <w:keepLines w:val="0"/>
        <w:numPr>
          <w:ilvl w:val="0"/>
          <w:numId w:val="21"/>
        </w:numPr>
        <w:spacing w:before="240"/>
        <w:rPr>
          <w:color w:val="993300"/>
          <w:sz w:val="24"/>
          <w:szCs w:val="24"/>
        </w:rPr>
      </w:pPr>
      <w:bookmarkStart w:id="111" w:name="_Toc176761783"/>
      <w:bookmarkStart w:id="112" w:name="_Toc220664150"/>
      <w:r w:rsidRPr="00085CC1">
        <w:rPr>
          <w:color w:val="993300"/>
          <w:sz w:val="24"/>
          <w:szCs w:val="24"/>
        </w:rPr>
        <w:t>National Inquiry</w:t>
      </w:r>
      <w:bookmarkEnd w:id="111"/>
      <w:bookmarkEnd w:id="112"/>
    </w:p>
    <w:p w14:paraId="6AAE5892" w14:textId="77777777" w:rsidR="007F0DED" w:rsidRPr="00085CC1" w:rsidRDefault="007F0DED" w:rsidP="001B2E15">
      <w:pPr>
        <w:rPr>
          <w:rFonts w:ascii="Segoe UI Symbol" w:hAnsi="Segoe UI Symbol" w:cs="Segoe UI Symbol"/>
          <w:color w:val="993300"/>
        </w:rPr>
      </w:pPr>
    </w:p>
    <w:p w14:paraId="3D88D725" w14:textId="77777777" w:rsidR="007F0DED" w:rsidRPr="007666D5" w:rsidRDefault="007F0DED" w:rsidP="001B2E15">
      <w:pPr>
        <w:rPr>
          <w:rFonts w:ascii="Segoe UI" w:hAnsi="Segoe UI" w:cs="Segoe UI"/>
        </w:rPr>
      </w:pPr>
      <w:r w:rsidRPr="00ED2D4A">
        <w:rPr>
          <w:rFonts w:ascii="Segoe UI Symbol" w:hAnsi="Segoe UI Symbol" w:cs="Segoe UI Symbol"/>
          <w:color w:val="000000"/>
        </w:rPr>
        <w:t xml:space="preserve">In 2016, the Government of Canada </w:t>
      </w:r>
      <w:hyperlink r:id="rId47" w:history="1">
        <w:r w:rsidRPr="00ED2D4A">
          <w:rPr>
            <w:rStyle w:val="Hyperlink"/>
            <w:rFonts w:ascii="Segoe UI Symbol" w:hAnsi="Segoe UI Symbol" w:cs="Segoe UI Symbol"/>
            <w:sz w:val="24"/>
            <w:szCs w:val="24"/>
          </w:rPr>
          <w:t>established</w:t>
        </w:r>
      </w:hyperlink>
      <w:r w:rsidRPr="00ED2D4A">
        <w:rPr>
          <w:rFonts w:ascii="Segoe UI Symbol" w:hAnsi="Segoe UI Symbol" w:cs="Segoe UI Symbol"/>
          <w:color w:val="000000"/>
        </w:rPr>
        <w:t xml:space="preserve"> a National Inquiry into Missing and Murdered Indigenous Women and Girls.</w:t>
      </w:r>
      <w:r w:rsidRPr="00ED2D4A">
        <w:rPr>
          <w:rStyle w:val="FootnoteReference"/>
          <w:rFonts w:ascii="Segoe UI Symbol" w:hAnsi="Segoe UI Symbol" w:cs="Segoe UI Symbol"/>
          <w:color w:val="000000"/>
        </w:rPr>
        <w:footnoteReference w:id="97"/>
      </w:r>
      <w:r w:rsidRPr="00ED2D4A">
        <w:rPr>
          <w:rFonts w:ascii="Segoe UI Symbol" w:hAnsi="Segoe UI Symbol" w:cs="Segoe UI Symbol"/>
          <w:color w:val="000000"/>
        </w:rPr>
        <w:t xml:space="preserve"> The </w:t>
      </w:r>
      <w:hyperlink r:id="rId48" w:history="1">
        <w:r w:rsidRPr="00ED2D4A">
          <w:rPr>
            <w:rStyle w:val="Hyperlink"/>
            <w:rFonts w:ascii="Segoe UI Symbol" w:hAnsi="Segoe UI Symbol" w:cs="Segoe UI Symbol"/>
            <w:sz w:val="24"/>
            <w:szCs w:val="24"/>
          </w:rPr>
          <w:t>final National Inquiry Report</w:t>
        </w:r>
      </w:hyperlink>
      <w:r w:rsidRPr="00ED2D4A">
        <w:rPr>
          <w:rFonts w:ascii="Segoe UI Symbol" w:hAnsi="Segoe UI Symbol" w:cs="Segoe UI Symbol"/>
          <w:color w:val="000000"/>
        </w:rPr>
        <w:t xml:space="preserve">, released in 2019, found that “the violence the National Inquiry heard amounts to a race-based genocide of Indigenous Peoples, including First Nations, Inuit and Metis, which especially targets women, girls, and 2SLGBTQQIA people”. </w:t>
      </w:r>
      <w:r w:rsidRPr="007666D5">
        <w:rPr>
          <w:rFonts w:ascii="Segoe UI" w:hAnsi="Segoe UI" w:cs="Segoe UI"/>
        </w:rPr>
        <w:t xml:space="preserve">Prime Minister Justin Trudeau, in his response to the National Inquiry's report, in June 2019 agreed with the </w:t>
      </w:r>
      <w:r w:rsidRPr="007666D5">
        <w:rPr>
          <w:rFonts w:ascii="Segoe UI" w:hAnsi="Segoe UI" w:cs="Segoe UI"/>
        </w:rPr>
        <w:lastRenderedPageBreak/>
        <w:t>report’s findings, including that the violence against Indigenous women and girls is part of a slow-moving genocide against Indigenous peoples</w:t>
      </w:r>
      <w:r>
        <w:rPr>
          <w:rFonts w:ascii="Segoe UI" w:hAnsi="Segoe UI" w:cs="Segoe UI"/>
        </w:rPr>
        <w:t>.</w:t>
      </w:r>
      <w:r w:rsidRPr="007666D5">
        <w:rPr>
          <w:rFonts w:ascii="Segoe UI" w:hAnsi="Segoe UI" w:cs="Segoe UI"/>
        </w:rPr>
        <w:t xml:space="preserve"> </w:t>
      </w:r>
    </w:p>
    <w:p w14:paraId="45B274D1" w14:textId="77777777" w:rsidR="007F0DED" w:rsidRPr="00ED2D4A" w:rsidRDefault="007F0DED" w:rsidP="00ED2D4A">
      <w:pPr>
        <w:spacing w:before="240" w:after="240"/>
        <w:jc w:val="both"/>
        <w:rPr>
          <w:rFonts w:ascii="Segoe UI Symbol" w:hAnsi="Segoe UI Symbol" w:cs="Segoe UI Symbol"/>
          <w:color w:val="000000"/>
        </w:rPr>
      </w:pPr>
      <w:r w:rsidRPr="00ED2D4A">
        <w:rPr>
          <w:rFonts w:ascii="Segoe UI Symbol" w:hAnsi="Segoe UI Symbol" w:cs="Segoe UI Symbol"/>
          <w:color w:val="000000"/>
        </w:rPr>
        <w:t xml:space="preserve">The </w:t>
      </w:r>
      <w:hyperlink r:id="rId49" w:history="1">
        <w:r w:rsidRPr="00ED2D4A">
          <w:rPr>
            <w:rStyle w:val="Hyperlink"/>
            <w:rFonts w:ascii="Segoe UI Symbol" w:hAnsi="Segoe UI Symbol" w:cs="Segoe UI Symbol"/>
            <w:sz w:val="24"/>
            <w:szCs w:val="24"/>
          </w:rPr>
          <w:t>National Inquiry Report call</w:t>
        </w:r>
        <w:r>
          <w:rPr>
            <w:rStyle w:val="Hyperlink"/>
            <w:rFonts w:ascii="Segoe UI Symbol" w:hAnsi="Segoe UI Symbol" w:cs="Segoe UI Symbol"/>
            <w:sz w:val="24"/>
            <w:szCs w:val="24"/>
          </w:rPr>
          <w:t>ed</w:t>
        </w:r>
        <w:r w:rsidRPr="00ED2D4A">
          <w:rPr>
            <w:rStyle w:val="Hyperlink"/>
            <w:rFonts w:ascii="Segoe UI Symbol" w:hAnsi="Segoe UI Symbol" w:cs="Segoe UI Symbol"/>
            <w:sz w:val="24"/>
            <w:szCs w:val="24"/>
          </w:rPr>
          <w:t xml:space="preserve"> on</w:t>
        </w:r>
      </w:hyperlink>
      <w:r w:rsidRPr="00ED2D4A">
        <w:rPr>
          <w:rFonts w:ascii="Segoe UI Symbol" w:hAnsi="Segoe UI Symbol" w:cs="Segoe UI Symbol"/>
          <w:color w:val="000000"/>
        </w:rPr>
        <w:t xml:space="preserve"> all governments to “implement all the recommendations of the 2015 CEDAW Inquiry Report and co-operate with the UN Committee on the Elimination of Discrimination against Women on all follow-up procedures”</w:t>
      </w:r>
      <w:r>
        <w:rPr>
          <w:rFonts w:ascii="Segoe UI Symbol" w:hAnsi="Segoe UI Symbol" w:cs="Segoe UI Symbol"/>
          <w:color w:val="000000"/>
        </w:rPr>
        <w:t xml:space="preserve"> </w:t>
      </w:r>
      <w:r w:rsidRPr="00ED2D4A">
        <w:rPr>
          <w:rFonts w:ascii="Segoe UI Symbol" w:hAnsi="Segoe UI Symbol" w:cs="Segoe UI Symbol"/>
          <w:color w:val="000000"/>
        </w:rPr>
        <w:t>.</w:t>
      </w:r>
    </w:p>
    <w:p w14:paraId="6A384F9D" w14:textId="77777777" w:rsidR="007F0DED" w:rsidRDefault="007F0DED" w:rsidP="00ED2D4A">
      <w:pPr>
        <w:spacing w:after="240"/>
        <w:jc w:val="both"/>
        <w:rPr>
          <w:rFonts w:ascii="Segoe UI Symbol" w:hAnsi="Segoe UI Symbol" w:cs="Segoe UI Symbol"/>
        </w:rPr>
      </w:pPr>
      <w:r>
        <w:rPr>
          <w:rFonts w:ascii="Segoe UI Symbol" w:hAnsi="Segoe UI Symbol" w:cs="Segoe UI Symbol"/>
        </w:rPr>
        <w:t>In June 2021, the Government of Canada issued a National Action Plan but, a</w:t>
      </w:r>
      <w:r w:rsidRPr="00ED2D4A">
        <w:rPr>
          <w:rFonts w:ascii="Segoe UI Symbol" w:hAnsi="Segoe UI Symbol" w:cs="Segoe UI Symbol"/>
        </w:rPr>
        <w:t xml:space="preserve">s with the implementation of the CEDAW recommendations, </w:t>
      </w:r>
      <w:r>
        <w:rPr>
          <w:rFonts w:ascii="Segoe UI Symbol" w:hAnsi="Segoe UI Symbol" w:cs="Segoe UI Symbol"/>
        </w:rPr>
        <w:t xml:space="preserve">although </w:t>
      </w:r>
      <w:r w:rsidRPr="00ED2D4A">
        <w:rPr>
          <w:rFonts w:ascii="Segoe UI Symbol" w:hAnsi="Segoe UI Symbol" w:cs="Segoe UI Symbol"/>
          <w:color w:val="000000"/>
        </w:rPr>
        <w:t xml:space="preserve">federal, provincial and territorial governments have taken some steps towards addressing these recommendations, their efforts have been piecemeal, and have had little effect for Indigenous women and girls. Five years after they were issued, the </w:t>
      </w:r>
      <w:hyperlink r:id="rId50" w:history="1">
        <w:r w:rsidRPr="00ED2D4A">
          <w:rPr>
            <w:rStyle w:val="Hyperlink"/>
            <w:rFonts w:ascii="Segoe UI Symbol" w:hAnsi="Segoe UI Symbol" w:cs="Segoe UI Symbol"/>
            <w:sz w:val="24"/>
            <w:szCs w:val="24"/>
          </w:rPr>
          <w:t>Assembly of First Nations reports</w:t>
        </w:r>
      </w:hyperlink>
      <w:r w:rsidRPr="00ED2D4A">
        <w:t>,</w:t>
      </w:r>
      <w:r w:rsidRPr="00ED2D4A">
        <w:rPr>
          <w:rFonts w:ascii="Segoe UI Symbol" w:hAnsi="Segoe UI Symbol" w:cs="Segoe UI Symbol"/>
          <w:color w:val="000000"/>
        </w:rPr>
        <w:t xml:space="preserve"> only 2 of the 231 Calls for Justice of the National Inquiry have been completed, and work on only </w:t>
      </w:r>
      <w:hyperlink r:id="rId51" w:history="1">
        <w:r w:rsidRPr="00ED2D4A">
          <w:rPr>
            <w:rStyle w:val="Hyperlink"/>
            <w:rFonts w:ascii="Segoe UI Symbol" w:hAnsi="Segoe UI Symbol" w:cs="Segoe UI Symbol"/>
            <w:sz w:val="24"/>
            <w:szCs w:val="24"/>
          </w:rPr>
          <w:t>50% has been started</w:t>
        </w:r>
      </w:hyperlink>
      <w:r w:rsidRPr="00ED2D4A">
        <w:rPr>
          <w:rFonts w:ascii="Segoe UI Symbol" w:hAnsi="Segoe UI Symbol" w:cs="Segoe UI Symbol"/>
          <w:color w:val="000000"/>
        </w:rPr>
        <w:t xml:space="preserve">. </w:t>
      </w:r>
      <w:hyperlink r:id="rId52" w:history="1">
        <w:r w:rsidRPr="00ED2D4A">
          <w:rPr>
            <w:rStyle w:val="Hyperlink"/>
            <w:rFonts w:ascii="Segoe UI Symbol" w:hAnsi="Segoe UI Symbol" w:cs="Segoe UI Symbol"/>
            <w:sz w:val="24"/>
            <w:szCs w:val="24"/>
          </w:rPr>
          <w:t>Pauktuutit Inuit Women of Canada says</w:t>
        </w:r>
      </w:hyperlink>
      <w:r w:rsidRPr="00ED2D4A">
        <w:rPr>
          <w:rFonts w:ascii="Segoe UI Symbol" w:hAnsi="Segoe UI Symbol" w:cs="Segoe UI Symbol"/>
          <w:color w:val="000000"/>
        </w:rPr>
        <w:t xml:space="preserve"> that “</w:t>
      </w:r>
      <w:r w:rsidRPr="00ED2D4A">
        <w:rPr>
          <w:rFonts w:ascii="Segoe UI Symbol" w:hAnsi="Segoe UI Symbol" w:cs="Segoe UI Symbol"/>
        </w:rPr>
        <w:t>the promises made through the National Action Plan…have yet to fully materialize into tangible improvements.</w:t>
      </w:r>
      <w:r w:rsidRPr="00ED2D4A">
        <w:rPr>
          <w:rFonts w:ascii="Segoe UI Symbol" w:hAnsi="Segoe UI Symbol" w:cs="Segoe UI Symbol"/>
          <w:color w:val="000000"/>
        </w:rPr>
        <w:t>” Former Commissioners of the National Inquiry say they are still waiting to see action on the Calls for Justice, and do not see “</w:t>
      </w:r>
      <w:r w:rsidRPr="00ED2D4A">
        <w:rPr>
          <w:rFonts w:ascii="Segoe UI Symbol" w:hAnsi="Segoe UI Symbol" w:cs="Segoe UI Symbol"/>
        </w:rPr>
        <w:t>evidence of the</w:t>
      </w:r>
      <w:r>
        <w:rPr>
          <w:rFonts w:ascii="Segoe UI Symbol" w:hAnsi="Segoe UI Symbol" w:cs="Segoe UI Symbol"/>
        </w:rPr>
        <w:t xml:space="preserve"> </w:t>
      </w:r>
      <w:r w:rsidRPr="00ED2D4A">
        <w:rPr>
          <w:rFonts w:ascii="Segoe UI Symbol" w:hAnsi="Segoe UI Symbol" w:cs="Segoe UI Symbol"/>
        </w:rPr>
        <w:t> political will needed to deliver the</w:t>
      </w:r>
      <w:r>
        <w:rPr>
          <w:rFonts w:ascii="Segoe UI Symbol" w:hAnsi="Segoe UI Symbol" w:cs="Segoe UI Symbol"/>
        </w:rPr>
        <w:t xml:space="preserve"> “</w:t>
      </w:r>
      <w:r w:rsidRPr="00ED2D4A">
        <w:rPr>
          <w:rFonts w:ascii="Segoe UI Symbol" w:hAnsi="Segoe UI Symbol" w:cs="Segoe UI Symbol"/>
        </w:rPr>
        <w:t xml:space="preserve">paradigm shift in Canada's relationship with Indigenous women and girls” that they </w:t>
      </w:r>
      <w:hyperlink r:id="rId53" w:history="1">
        <w:r w:rsidRPr="00ED2D4A">
          <w:rPr>
            <w:rStyle w:val="Hyperlink"/>
            <w:rFonts w:ascii="Segoe UI Symbol" w:hAnsi="Segoe UI Symbol" w:cs="Segoe UI Symbol"/>
            <w:sz w:val="24"/>
            <w:szCs w:val="24"/>
          </w:rPr>
          <w:t>called for</w:t>
        </w:r>
      </w:hyperlink>
      <w:r w:rsidRPr="00ED2D4A">
        <w:rPr>
          <w:rFonts w:ascii="Segoe UI Symbol" w:hAnsi="Segoe UI Symbol" w:cs="Segoe UI Symbol"/>
        </w:rPr>
        <w:t xml:space="preserve"> </w:t>
      </w:r>
      <w:hyperlink r:id="rId54" w:history="1">
        <w:r w:rsidRPr="00ED2D4A">
          <w:rPr>
            <w:rStyle w:val="Hyperlink"/>
            <w:rFonts w:ascii="Segoe UI Symbol" w:hAnsi="Segoe UI Symbol" w:cs="Segoe UI Symbol"/>
            <w:sz w:val="24"/>
            <w:szCs w:val="24"/>
          </w:rPr>
          <w:t>in 2019</w:t>
        </w:r>
      </w:hyperlink>
      <w:r w:rsidRPr="00ED2D4A">
        <w:rPr>
          <w:rFonts w:ascii="Segoe UI Symbol" w:hAnsi="Segoe UI Symbol" w:cs="Segoe UI Symbol"/>
        </w:rPr>
        <w:t>.</w:t>
      </w:r>
    </w:p>
    <w:p w14:paraId="0D532423" w14:textId="77777777" w:rsidR="007F0DED" w:rsidRDefault="007F0DED" w:rsidP="00ED2D4A">
      <w:pPr>
        <w:spacing w:after="240"/>
        <w:jc w:val="both"/>
        <w:rPr>
          <w:rFonts w:ascii="Segoe UI Symbol" w:hAnsi="Segoe UI Symbol" w:cs="Segoe UI Symbol"/>
        </w:rPr>
      </w:pPr>
      <w:r>
        <w:rPr>
          <w:rFonts w:ascii="Segoe UI Symbol" w:hAnsi="Segoe UI Symbol" w:cs="Segoe UI Symbol"/>
        </w:rPr>
        <w:t xml:space="preserve">So far there is no change in the situation of violence against Indigenous women and girls. While the crisis is better known and understood in Canada than it was a decade ago, Canada’s actions do not match its official words of concern. </w:t>
      </w:r>
    </w:p>
    <w:p w14:paraId="499E0DFC" w14:textId="77777777" w:rsidR="007F0DED" w:rsidRPr="00ED2D4A" w:rsidRDefault="007F0DED" w:rsidP="00ED2D4A">
      <w:pPr>
        <w:spacing w:after="240"/>
        <w:jc w:val="both"/>
        <w:rPr>
          <w:rFonts w:ascii="Segoe UI Symbol" w:hAnsi="Segoe UI Symbol" w:cs="Segoe UI Symbol"/>
          <w:color w:val="000000"/>
        </w:rPr>
      </w:pPr>
      <w:r>
        <w:rPr>
          <w:rFonts w:ascii="Segoe UI Symbol" w:hAnsi="Segoe UI Symbol" w:cs="Segoe UI Symbol"/>
        </w:rPr>
        <w:t>FAFIA supports and endorses the submissions of the National Family and Survivors Circle.</w:t>
      </w:r>
    </w:p>
    <w:p w14:paraId="4F8B4A06" w14:textId="77777777" w:rsidR="007F0DED" w:rsidRPr="00085CC1" w:rsidRDefault="007F0DED" w:rsidP="00085CC1">
      <w:pPr>
        <w:pStyle w:val="Heading2"/>
        <w:keepNext w:val="0"/>
        <w:keepLines w:val="0"/>
        <w:numPr>
          <w:ilvl w:val="1"/>
          <w:numId w:val="0"/>
        </w:numPr>
        <w:spacing w:before="240"/>
        <w:ind w:left="357" w:hanging="357"/>
        <w:rPr>
          <w:rFonts w:cs="Calibri"/>
          <w:color w:val="993300"/>
          <w:sz w:val="24"/>
          <w:szCs w:val="24"/>
        </w:rPr>
      </w:pPr>
      <w:bookmarkStart w:id="113" w:name="_Toc176761784"/>
      <w:bookmarkStart w:id="114" w:name="_Toc220664151"/>
      <w:r w:rsidRPr="00085CC1">
        <w:rPr>
          <w:color w:val="993300"/>
          <w:sz w:val="24"/>
          <w:szCs w:val="24"/>
        </w:rPr>
        <w:t>Recommendation</w:t>
      </w:r>
      <w:bookmarkEnd w:id="113"/>
      <w:r w:rsidRPr="00085CC1">
        <w:rPr>
          <w:color w:val="993300"/>
          <w:sz w:val="24"/>
          <w:szCs w:val="24"/>
        </w:rPr>
        <w:t>s</w:t>
      </w:r>
      <w:bookmarkEnd w:id="114"/>
    </w:p>
    <w:p w14:paraId="787D37A4" w14:textId="77777777" w:rsidR="007F0DED" w:rsidRPr="00DC6D10" w:rsidRDefault="007F0DED" w:rsidP="001B2E15">
      <w:pPr>
        <w:pStyle w:val="NormalWeb"/>
        <w:numPr>
          <w:ilvl w:val="0"/>
          <w:numId w:val="10"/>
        </w:numPr>
        <w:spacing w:beforeAutospacing="0" w:afterAutospacing="0"/>
        <w:jc w:val="both"/>
        <w:rPr>
          <w:rFonts w:ascii="Segoe UI" w:hAnsi="Segoe UI" w:cs="Segoe UI"/>
          <w:b/>
          <w:bCs/>
          <w:i/>
          <w:iCs/>
          <w:color w:val="993300"/>
        </w:rPr>
      </w:pPr>
      <w:r w:rsidRPr="00DC6D10">
        <w:rPr>
          <w:rFonts w:ascii="Segoe UI" w:hAnsi="Segoe UI" w:cs="Segoe UI"/>
          <w:b/>
          <w:bCs/>
          <w:i/>
          <w:iCs/>
          <w:color w:val="993300"/>
        </w:rPr>
        <w:t xml:space="preserve">Review, improve and re-energize the MMIWG National Action Plan: Canada must review the 38 recommendations of the CEDAW Inquiry and the 231 Calls for Justice of the National Inquiry, and, in light of extensive critiques by civil society organizations, update and revise the MMIWG National Action Plan, with a focus on developing co-ordinated actions, detailed plans, clear timelines, and funding commitments. </w:t>
      </w:r>
    </w:p>
    <w:p w14:paraId="76CC9213" w14:textId="77777777" w:rsidR="007F0DED" w:rsidRPr="00DC6D10" w:rsidRDefault="007F0DED" w:rsidP="001B2E15">
      <w:pPr>
        <w:pStyle w:val="NormalWeb"/>
        <w:numPr>
          <w:ilvl w:val="0"/>
          <w:numId w:val="10"/>
        </w:numPr>
        <w:spacing w:beforeAutospacing="0" w:afterAutospacing="0"/>
        <w:jc w:val="both"/>
        <w:rPr>
          <w:rFonts w:ascii="Segoe UI" w:hAnsi="Segoe UI" w:cs="Segoe UI"/>
          <w:b/>
          <w:bCs/>
          <w:i/>
          <w:iCs/>
          <w:color w:val="993300"/>
        </w:rPr>
      </w:pPr>
      <w:r w:rsidRPr="00DC6D10">
        <w:rPr>
          <w:rFonts w:ascii="Segoe UI" w:hAnsi="Segoe UI" w:cs="Segoe UI"/>
          <w:b/>
          <w:bCs/>
          <w:i/>
          <w:iCs/>
          <w:color w:val="993300"/>
        </w:rPr>
        <w:t>Create an independent accountability mechanism as recommended by the National Inquiry, designed and supported by Indigenous women and girls, to monitor the implementation of the Plan and its effectiveness.</w:t>
      </w:r>
    </w:p>
    <w:p w14:paraId="210CDAB7" w14:textId="77777777" w:rsidR="007F0DED" w:rsidRPr="00DC6D10" w:rsidRDefault="007F0DED" w:rsidP="00ED2D4A">
      <w:pPr>
        <w:numPr>
          <w:ilvl w:val="0"/>
          <w:numId w:val="9"/>
        </w:numPr>
        <w:rPr>
          <w:rFonts w:ascii="Segoe UI" w:hAnsi="Segoe UI" w:cs="Segoe UI"/>
          <w:b/>
          <w:bCs/>
          <w:i/>
          <w:iCs/>
          <w:color w:val="993300"/>
        </w:rPr>
      </w:pPr>
      <w:r w:rsidRPr="00DC6D10">
        <w:rPr>
          <w:rFonts w:ascii="Segoe UI" w:hAnsi="Segoe UI" w:cs="Segoe UI"/>
          <w:b/>
          <w:bCs/>
          <w:i/>
          <w:iCs/>
          <w:color w:val="993300"/>
        </w:rPr>
        <w:t xml:space="preserve">Review the Plan’s adequacy in light of Canada’s obligations under the Covenant on Civil and Political Rights, as well as CEDAW, CERD and CESCR. </w:t>
      </w:r>
    </w:p>
    <w:p w14:paraId="052F630B" w14:textId="77777777" w:rsidR="007F0DED" w:rsidRPr="00DC6D10" w:rsidRDefault="007F0DED" w:rsidP="00ED2D4A">
      <w:pPr>
        <w:rPr>
          <w:rFonts w:ascii="Segoe UI" w:hAnsi="Segoe UI" w:cs="Segoe UI"/>
          <w:b/>
          <w:bCs/>
          <w:i/>
          <w:iCs/>
          <w:color w:val="993300"/>
        </w:rPr>
      </w:pPr>
    </w:p>
    <w:p w14:paraId="5AB773F1" w14:textId="77777777" w:rsidR="007F0DED" w:rsidRDefault="007F0DED" w:rsidP="002A66D5">
      <w:pPr>
        <w:pStyle w:val="Heading1"/>
        <w:numPr>
          <w:ilvl w:val="0"/>
          <w:numId w:val="8"/>
        </w:numPr>
      </w:pPr>
      <w:bookmarkStart w:id="115" w:name="_Toc220664152"/>
      <w:bookmarkEnd w:id="108"/>
      <w:r>
        <w:t>Conclusion</w:t>
      </w:r>
      <w:bookmarkEnd w:id="115"/>
    </w:p>
    <w:p w14:paraId="31A1BE84" w14:textId="0294BC0D" w:rsidR="007F0DED" w:rsidRPr="000A0E8A" w:rsidRDefault="007F0DED" w:rsidP="000A0E8A">
      <w:pPr>
        <w:spacing w:before="240" w:after="240"/>
        <w:rPr>
          <w:rFonts w:ascii="Segoe UI Symbol" w:hAnsi="Segoe UI Symbol" w:cs="Segoe UI Symbol"/>
        </w:rPr>
      </w:pPr>
      <w:r>
        <w:rPr>
          <w:rFonts w:ascii="Segoe UI Symbol" w:hAnsi="Segoe UI Symbol" w:cs="Segoe UI Symbol"/>
        </w:rPr>
        <w:t>Fifty y</w:t>
      </w:r>
      <w:r w:rsidRPr="00493388">
        <w:rPr>
          <w:rFonts w:ascii="Segoe UI Symbol" w:hAnsi="Segoe UI Symbol" w:cs="Segoe UI Symbol"/>
        </w:rPr>
        <w:t xml:space="preserve">ears after Canada ratified the </w:t>
      </w:r>
      <w:r w:rsidRPr="00D56E2A">
        <w:rPr>
          <w:rFonts w:ascii="Segoe UI Symbol" w:hAnsi="Segoe UI Symbol" w:cs="Segoe UI Symbol"/>
          <w:i/>
          <w:iCs/>
        </w:rPr>
        <w:t>International Covenant on Civil and Political Rights</w:t>
      </w:r>
      <w:r>
        <w:rPr>
          <w:rFonts w:ascii="Segoe UI Symbol" w:hAnsi="Segoe UI Symbol" w:cs="Segoe UI Symbol"/>
        </w:rPr>
        <w:t>,</w:t>
      </w:r>
      <w:r w:rsidRPr="00493388">
        <w:rPr>
          <w:rFonts w:ascii="Segoe UI Symbol" w:hAnsi="Segoe UI Symbol" w:cs="Segoe UI Symbol"/>
        </w:rPr>
        <w:t xml:space="preserve"> it is time for Canada to engage, in a concerted and strategic way, with implementation of its human rights obligations to women. </w:t>
      </w:r>
      <w:r>
        <w:rPr>
          <w:rFonts w:ascii="Segoe UI Symbol" w:hAnsi="Segoe UI Symbol" w:cs="Segoe UI Symbol"/>
        </w:rPr>
        <w:t xml:space="preserve">Articles 3 and 26 of the </w:t>
      </w:r>
      <w:r w:rsidRPr="00D56E2A">
        <w:rPr>
          <w:rFonts w:ascii="Segoe UI Symbol" w:hAnsi="Segoe UI Symbol" w:cs="Segoe UI Symbol"/>
          <w:i/>
          <w:iCs/>
        </w:rPr>
        <w:t>Covenant</w:t>
      </w:r>
      <w:r>
        <w:rPr>
          <w:rFonts w:ascii="Segoe UI Symbol" w:hAnsi="Segoe UI Symbol" w:cs="Segoe UI Symbol"/>
        </w:rPr>
        <w:t xml:space="preserve"> provide an overarching guarantee of equality to women. </w:t>
      </w:r>
      <w:r w:rsidRPr="00493388">
        <w:rPr>
          <w:rFonts w:ascii="Segoe UI Symbol" w:hAnsi="Segoe UI Symbol" w:cs="Segoe UI Symbol"/>
        </w:rPr>
        <w:t xml:space="preserve">It is time, not for rhetoric, but for wrestling with the realities of inequality, and time for a serious conversation between Canadian governments and Canadian women about mechanisms and measures needed to bring women to equality. </w:t>
      </w:r>
      <w:r>
        <w:rPr>
          <w:rFonts w:ascii="Segoe UI Symbol" w:hAnsi="Segoe UI Symbol" w:cs="Segoe UI Symbol"/>
        </w:rPr>
        <w:t xml:space="preserve">In one of the wealthiest countries in the world, in 2026, too many women are living with poverty, insecurity, and violence because Canada is not fulfilling its human rights obligations. </w:t>
      </w:r>
      <w:r w:rsidRPr="00493388">
        <w:rPr>
          <w:rFonts w:ascii="Segoe UI Symbol" w:hAnsi="Segoe UI Symbol" w:cs="Segoe UI Symbol"/>
        </w:rPr>
        <w:t xml:space="preserve">There is much more work </w:t>
      </w:r>
      <w:r>
        <w:rPr>
          <w:rFonts w:ascii="Segoe UI Symbol" w:hAnsi="Segoe UI Symbol" w:cs="Segoe UI Symbol"/>
        </w:rPr>
        <w:t>that Canada must do.</w:t>
      </w:r>
    </w:p>
    <w:sectPr w:rsidR="007F0DED" w:rsidRPr="000A0E8A" w:rsidSect="00D56E2A">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E2ACD" w14:textId="77777777" w:rsidR="00EA0704" w:rsidRPr="007666D5" w:rsidRDefault="00EA0704">
      <w:r w:rsidRPr="007666D5">
        <w:separator/>
      </w:r>
    </w:p>
  </w:endnote>
  <w:endnote w:type="continuationSeparator" w:id="0">
    <w:p w14:paraId="4E07AB4E" w14:textId="77777777" w:rsidR="00EA0704" w:rsidRPr="007666D5" w:rsidRDefault="00EA0704">
      <w:r w:rsidRPr="007666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OpenSymbol">
    <w:altName w:val="Arial Unicode MS"/>
    <w:panose1 w:val="020B0604020202020204"/>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LCMC B+ Locator">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44498" w14:textId="77777777" w:rsidR="007F0DED" w:rsidRPr="007666D5" w:rsidRDefault="007F0DED" w:rsidP="00413FE0">
    <w:pPr>
      <w:pStyle w:val="Footer"/>
      <w:framePr w:wrap="auto" w:vAnchor="text" w:hAnchor="margin" w:xAlign="right" w:y="1"/>
      <w:rPr>
        <w:rStyle w:val="PageNumber"/>
      </w:rPr>
    </w:pPr>
    <w:r w:rsidRPr="007666D5">
      <w:rPr>
        <w:rStyle w:val="PageNumber"/>
      </w:rPr>
      <w:fldChar w:fldCharType="begin"/>
    </w:r>
    <w:r w:rsidRPr="007666D5">
      <w:rPr>
        <w:rStyle w:val="PageNumber"/>
      </w:rPr>
      <w:instrText xml:space="preserve">PAGE  </w:instrText>
    </w:r>
    <w:r w:rsidRPr="007666D5">
      <w:rPr>
        <w:rStyle w:val="PageNumber"/>
      </w:rPr>
      <w:fldChar w:fldCharType="separate"/>
    </w:r>
    <w:r>
      <w:rPr>
        <w:rStyle w:val="PageNumber"/>
        <w:noProof/>
      </w:rPr>
      <w:t>19</w:t>
    </w:r>
    <w:r w:rsidRPr="007666D5">
      <w:rPr>
        <w:rStyle w:val="PageNumber"/>
      </w:rPr>
      <w:fldChar w:fldCharType="end"/>
    </w:r>
  </w:p>
  <w:p w14:paraId="57783909" w14:textId="77777777" w:rsidR="007F0DED" w:rsidRPr="007666D5" w:rsidRDefault="007F0DED" w:rsidP="00D775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25106" w14:textId="77777777" w:rsidR="00EA0704" w:rsidRPr="007666D5" w:rsidRDefault="00EA0704">
      <w:r w:rsidRPr="007666D5">
        <w:separator/>
      </w:r>
    </w:p>
  </w:footnote>
  <w:footnote w:type="continuationSeparator" w:id="0">
    <w:p w14:paraId="77543C64" w14:textId="77777777" w:rsidR="00EA0704" w:rsidRPr="007666D5" w:rsidRDefault="00EA0704">
      <w:r w:rsidRPr="007666D5">
        <w:continuationSeparator/>
      </w:r>
    </w:p>
  </w:footnote>
  <w:footnote w:id="1">
    <w:p w14:paraId="0BDA7110" w14:textId="6D257002" w:rsidR="007F0DED" w:rsidRPr="00AE501D" w:rsidRDefault="007F0DED" w:rsidP="00E123C5">
      <w:pPr>
        <w:pStyle w:val="EndnoteText"/>
      </w:pPr>
      <w:r w:rsidRPr="00AE501D">
        <w:rPr>
          <w:rStyle w:val="FootnoteReference"/>
        </w:rPr>
        <w:footnoteRef/>
      </w:r>
      <w:r w:rsidRPr="00AE501D">
        <w:t xml:space="preserve"> The Committee on Economic, Social and Cultural Rights criticized Canada for refusing to recognize social and economic rights as justiciable rights and failing to provide domestic remedies for their violation at its 2016 review of Canada. See Committee on Economic, Social and Cultural Rights, UN Doc E/C.12/2016/SR7 (2016) at para 41, online: &lt;</w:t>
      </w:r>
      <w:hyperlink r:id="rId1" w:history="1">
        <w:r w:rsidRPr="00AE501D">
          <w:rPr>
            <w:rStyle w:val="Hyperlink"/>
            <w:color w:val="auto"/>
            <w:u w:val="none"/>
          </w:rPr>
          <w:t>https://documents-dds-ny.un.org/doc/UNDOC/GEN/G16/037/75/PDF/G1603775.pdf?OpenElement</w:t>
        </w:r>
      </w:hyperlink>
      <w:r w:rsidRPr="00AE501D">
        <w:t>&gt;.</w:t>
      </w:r>
      <w:r w:rsidR="00AE501D">
        <w:t xml:space="preserve"> </w:t>
      </w:r>
    </w:p>
  </w:footnote>
  <w:footnote w:id="2">
    <w:p w14:paraId="563024F1" w14:textId="77777777" w:rsidR="007F0DED" w:rsidRPr="00AE501D" w:rsidRDefault="007F0DED" w:rsidP="008E08C2">
      <w:pPr>
        <w:pStyle w:val="FootnoteText"/>
      </w:pPr>
      <w:r w:rsidRPr="00AE501D">
        <w:rPr>
          <w:rStyle w:val="FootnoteReference"/>
        </w:rPr>
        <w:footnoteRef/>
      </w:r>
      <w:r w:rsidRPr="00AE501D">
        <w:t xml:space="preserve"> FAFIA notes para. 26 of General Comment 36 in which the Committee states: “The duty to protect life also implies that States parties should take appropriate measures to address the general conditions in society that may give rise to direct threats to life or prevent individuals from enjoying their right to life with dignity.</w:t>
      </w:r>
    </w:p>
  </w:footnote>
  <w:footnote w:id="3">
    <w:p w14:paraId="10060463" w14:textId="77777777" w:rsidR="007F0DED" w:rsidRPr="00AE501D" w:rsidRDefault="007F0DED" w:rsidP="008E08C2">
      <w:pPr>
        <w:pStyle w:val="FootnoteText"/>
      </w:pPr>
      <w:r w:rsidRPr="00AE501D">
        <w:rPr>
          <w:rStyle w:val="FootnoteReference"/>
        </w:rPr>
        <w:footnoteRef/>
      </w:r>
      <w:r w:rsidRPr="00AE501D">
        <w:t xml:space="preserve"> Canadian women have been successful in establishing substantive equality as the interpretive norm for Canadian courts and tribunals. See, for example, </w:t>
      </w:r>
      <w:r w:rsidRPr="00AE501D">
        <w:rPr>
          <w:i/>
          <w:iCs/>
        </w:rPr>
        <w:t>Fraser v. Canada (Attorney General)</w:t>
      </w:r>
      <w:r w:rsidRPr="00AE501D">
        <w:t xml:space="preserve">, 2020 SCC 28, at 42. Abella J. writing for the majority, states “… substantive equality is the ‘animating norm’ of the s. 15 framework.”   </w:t>
      </w:r>
    </w:p>
  </w:footnote>
  <w:footnote w:id="4">
    <w:p w14:paraId="51E30921" w14:textId="77777777" w:rsidR="007F0DED" w:rsidRPr="00AE501D" w:rsidRDefault="007F0DED" w:rsidP="00731122">
      <w:pPr>
        <w:rPr>
          <w:sz w:val="20"/>
          <w:szCs w:val="20"/>
        </w:rPr>
      </w:pPr>
      <w:r w:rsidRPr="00AE501D">
        <w:rPr>
          <w:rStyle w:val="FootnoteReference"/>
          <w:sz w:val="20"/>
          <w:szCs w:val="20"/>
        </w:rPr>
        <w:footnoteRef/>
      </w:r>
      <w:r w:rsidRPr="00AE501D">
        <w:rPr>
          <w:sz w:val="20"/>
          <w:szCs w:val="20"/>
        </w:rPr>
        <w:t xml:space="preserve"> See, for example, CEDAW Committee, 1999, General recommendation No. 25, on article 4, paragraph 1, of the Convention on the Elimination of All Forms of Discrimination against Women, on temporary special measures.</w:t>
      </w:r>
    </w:p>
  </w:footnote>
  <w:footnote w:id="5">
    <w:p w14:paraId="0DE2158D" w14:textId="301A26C2" w:rsidR="007F0DED" w:rsidRPr="00AE501D" w:rsidRDefault="007F0DED" w:rsidP="008E08C2">
      <w:pPr>
        <w:pStyle w:val="FootnoteText"/>
      </w:pPr>
      <w:r w:rsidRPr="00AE501D">
        <w:rPr>
          <w:rStyle w:val="FootnoteReference"/>
        </w:rPr>
        <w:footnoteRef/>
      </w:r>
      <w:r w:rsidRPr="00AE501D">
        <w:t xml:space="preserve"> See, for example, Factum of the Attorney General of Canada in </w:t>
      </w:r>
      <w:r w:rsidRPr="00AE501D">
        <w:rPr>
          <w:i/>
          <w:iCs/>
        </w:rPr>
        <w:t>Tanujadja et al v. Attorney General of Canada and Attorney General of Ontario</w:t>
      </w:r>
      <w:r w:rsidRPr="00AE501D">
        <w:t xml:space="preserve">, Court File No. C57714, at paras. 54 - 57, online at: </w:t>
      </w:r>
      <w:hyperlink r:id="rId2" w:history="1">
        <w:r w:rsidRPr="00AE501D">
          <w:rPr>
            <w:rStyle w:val="Hyperlink"/>
          </w:rPr>
          <w:t>http://socialrightscura.ca/documents/legal/motion%20to%20strike/AG%20Canada%20Factum%20OCA.pdf</w:t>
        </w:r>
      </w:hyperlink>
      <w:r w:rsidRPr="00AE501D">
        <w:t xml:space="preserve"> </w:t>
      </w:r>
    </w:p>
  </w:footnote>
  <w:footnote w:id="6">
    <w:p w14:paraId="35617E8A" w14:textId="77777777" w:rsidR="007F0DED" w:rsidRPr="00AE501D" w:rsidRDefault="007F0DED" w:rsidP="008E08C2">
      <w:pPr>
        <w:pStyle w:val="FootnoteText"/>
      </w:pPr>
      <w:r w:rsidRPr="00AE501D">
        <w:rPr>
          <w:rStyle w:val="FootnoteReference"/>
        </w:rPr>
        <w:footnoteRef/>
      </w:r>
      <w:r w:rsidRPr="00AE501D">
        <w:t xml:space="preserve"> Committee on Economic, Social and Cultural Rights, </w:t>
      </w:r>
      <w:r w:rsidRPr="00AE501D">
        <w:rPr>
          <w:i/>
          <w:iCs/>
        </w:rPr>
        <w:t>Concluding observations on the sixth periodic report of Canada</w:t>
      </w:r>
      <w:r w:rsidRPr="00AE501D">
        <w:t xml:space="preserve">, E/C.12/CAN/CO/6, 4 March 2016, at para. 6, online at: </w:t>
      </w:r>
      <w:hyperlink r:id="rId3" w:history="1">
        <w:r w:rsidRPr="00AE501D">
          <w:rPr>
            <w:rStyle w:val="Hyperlink"/>
            <w:color w:val="auto"/>
            <w:u w:val="none"/>
          </w:rPr>
          <w:t>http://www.socialrightscura.ca/documents/international/CESCR%20COs%202016.pdf</w:t>
        </w:r>
      </w:hyperlink>
      <w:r w:rsidRPr="00AE501D">
        <w:t xml:space="preserve"> </w:t>
      </w:r>
    </w:p>
  </w:footnote>
  <w:footnote w:id="7">
    <w:p w14:paraId="78405670" w14:textId="77777777" w:rsidR="007F0DED" w:rsidRPr="00AE501D" w:rsidRDefault="007F0DED" w:rsidP="008E08C2">
      <w:pPr>
        <w:pStyle w:val="FootnoteText"/>
      </w:pPr>
      <w:r w:rsidRPr="00AE501D">
        <w:rPr>
          <w:rStyle w:val="FootnoteReference"/>
        </w:rPr>
        <w:footnoteRef/>
      </w:r>
      <w:r w:rsidRPr="00AE501D">
        <w:t xml:space="preserve"> Attorney General of Canada, </w:t>
      </w:r>
      <w:r w:rsidRPr="00AE501D">
        <w:rPr>
          <w:i/>
          <w:iCs/>
        </w:rPr>
        <w:t>Principles guiding the Attorney General of Canada in Charter Litigation</w:t>
      </w:r>
      <w:r w:rsidRPr="00AE501D">
        <w:t xml:space="preserve">, online at: </w:t>
      </w:r>
      <w:hyperlink r:id="rId4" w:history="1">
        <w:r w:rsidRPr="00AE501D">
          <w:rPr>
            <w:rStyle w:val="Hyperlink"/>
            <w:color w:val="auto"/>
            <w:u w:val="none"/>
          </w:rPr>
          <w:t>https://www.justice.gc.ca/eng/csj-sjc/principles2-eng.pdf</w:t>
        </w:r>
      </w:hyperlink>
    </w:p>
  </w:footnote>
  <w:footnote w:id="8">
    <w:p w14:paraId="5740EC84" w14:textId="77777777" w:rsidR="007F0DED" w:rsidRPr="00AE501D" w:rsidRDefault="007F0DED" w:rsidP="008E08C2">
      <w:pPr>
        <w:pStyle w:val="FootnoteText"/>
      </w:pPr>
      <w:r w:rsidRPr="00AE501D">
        <w:rPr>
          <w:rStyle w:val="FootnoteReference"/>
        </w:rPr>
        <w:footnoteRef/>
      </w:r>
      <w:r w:rsidRPr="00AE501D">
        <w:t xml:space="preserve"> For more detailed comment on this point, please see the submission from the National Housing and Homelessness Network and the Centre for Equality Rights in Accommodation.</w:t>
      </w:r>
    </w:p>
  </w:footnote>
  <w:footnote w:id="9">
    <w:p w14:paraId="70BE5818" w14:textId="77777777" w:rsidR="007F0DED" w:rsidRPr="00AE501D" w:rsidRDefault="007F0DED">
      <w:pPr>
        <w:pStyle w:val="FootnoteText"/>
      </w:pPr>
      <w:r w:rsidRPr="00AE501D">
        <w:rPr>
          <w:rStyle w:val="FootnoteReference"/>
        </w:rPr>
        <w:footnoteRef/>
      </w:r>
      <w:r w:rsidRPr="00AE501D">
        <w:t xml:space="preserve"> Vienna Convention on the Law of Treaties, 23 May 1969, Article 26 states: “Every treaty in force is binding upon the parties to it and must be performed by them in good faith, online at: </w:t>
      </w:r>
      <w:hyperlink r:id="rId5" w:history="1">
        <w:r w:rsidRPr="00AE501D">
          <w:rPr>
            <w:rStyle w:val="Hyperlink"/>
            <w:color w:val="auto"/>
            <w:u w:val="none"/>
          </w:rPr>
          <w:t>https://legal.un.org/ilc/texts/instruments/english/conventions/1_1_1969.pdf</w:t>
        </w:r>
      </w:hyperlink>
      <w:r w:rsidRPr="00AE501D">
        <w:t xml:space="preserve"> </w:t>
      </w:r>
    </w:p>
  </w:footnote>
  <w:footnote w:id="10">
    <w:p w14:paraId="5146903F" w14:textId="77777777" w:rsidR="007F0DED" w:rsidRPr="00AE501D" w:rsidRDefault="007F0DED" w:rsidP="00BC5E24">
      <w:pPr>
        <w:pStyle w:val="FootnoteText"/>
      </w:pPr>
      <w:r w:rsidRPr="00AE501D">
        <w:rPr>
          <w:rStyle w:val="FootnoteReference"/>
        </w:rPr>
        <w:footnoteRef/>
      </w:r>
      <w:r w:rsidRPr="00AE501D">
        <w:t xml:space="preserve"> Canadian Centre for Policy Alternatives, Katherine Scott, Women, work and COVID-19, March 2021, online at: https://www.policyalternatives.ca/wp-content/uploads/attachments/Women%20work%20and%20COVID.pdf</w:t>
      </w:r>
    </w:p>
  </w:footnote>
  <w:footnote w:id="11">
    <w:p w14:paraId="1B18A093" w14:textId="77777777" w:rsidR="007F0DED" w:rsidRPr="00AE501D" w:rsidRDefault="007F0DED" w:rsidP="0063362D">
      <w:pPr>
        <w:pStyle w:val="FootnoteText"/>
      </w:pPr>
      <w:r w:rsidRPr="00AE501D">
        <w:rPr>
          <w:rStyle w:val="FootnoteReference"/>
        </w:rPr>
        <w:footnoteRef/>
      </w:r>
      <w:r w:rsidRPr="00AE501D">
        <w:t xml:space="preserve"> See Canadian Feminist Alliance for International Action, with YWCA Canada, </w:t>
      </w:r>
      <w:r w:rsidRPr="00AE501D">
        <w:rPr>
          <w:i/>
          <w:iCs/>
        </w:rPr>
        <w:t>A Feminist Economic Recovery Plan for Canada: Human Rights Approach</w:t>
      </w:r>
      <w:r w:rsidRPr="00AE501D">
        <w:t xml:space="preserve">, December 10, 2020, online at: </w:t>
      </w:r>
      <w:hyperlink r:id="rId6" w:history="1">
        <w:r w:rsidRPr="00AE501D">
          <w:rPr>
            <w:rStyle w:val="Hyperlink"/>
            <w:color w:val="auto"/>
            <w:u w:val="none"/>
          </w:rPr>
          <w:t>https://static1.squarespace.com/static/5f0cd2090f50a31a91b37ff7/t/5fd17ce4a9eaf43bd84b44e1/1607564520499/Feminist+Economic+Recovery+Plan+-+Human+Rights+Approach.pdf</w:t>
        </w:r>
      </w:hyperlink>
    </w:p>
  </w:footnote>
  <w:footnote w:id="12">
    <w:p w14:paraId="1AD4D928" w14:textId="77777777" w:rsidR="007F0DED" w:rsidRPr="00AE501D" w:rsidRDefault="007F0DED" w:rsidP="008E08C2">
      <w:pPr>
        <w:pStyle w:val="FootnoteText"/>
      </w:pPr>
      <w:r w:rsidRPr="00AE501D">
        <w:rPr>
          <w:rStyle w:val="FootnoteReference"/>
        </w:rPr>
        <w:footnoteRef/>
      </w:r>
      <w:r w:rsidRPr="00AE501D">
        <w:t xml:space="preserve"> </w:t>
      </w:r>
      <w:hyperlink r:id="rId7" w:history="1">
        <w:r w:rsidRPr="00AE501D">
          <w:rPr>
            <w:rStyle w:val="Hyperlink"/>
            <w:color w:val="auto"/>
            <w:u w:val="none"/>
          </w:rPr>
          <w:t>UN Secretary-General António Guterres</w:t>
        </w:r>
      </w:hyperlink>
      <w:r w:rsidRPr="00AE501D">
        <w:t xml:space="preserve">, </w:t>
      </w:r>
      <w:r w:rsidRPr="00AE501D">
        <w:rPr>
          <w:i/>
          <w:iCs/>
        </w:rPr>
        <w:t>Tackling Inequality: A New Social Contract for a New Era</w:t>
      </w:r>
      <w:r w:rsidRPr="00AE501D">
        <w:t xml:space="preserve">, online at: </w:t>
      </w:r>
      <w:hyperlink r:id="rId8" w:history="1">
        <w:r w:rsidRPr="00AE501D">
          <w:rPr>
            <w:rStyle w:val="Hyperlink"/>
            <w:color w:val="auto"/>
            <w:u w:val="none"/>
          </w:rPr>
          <w:t>https://www.un.org/sustainabledevelopment/a-new-social-contract-for-a-new-era/</w:t>
        </w:r>
      </w:hyperlink>
      <w:r w:rsidRPr="00AE501D">
        <w:t>; FAFIA, ibid.</w:t>
      </w:r>
    </w:p>
  </w:footnote>
  <w:footnote w:id="13">
    <w:p w14:paraId="729B9E62" w14:textId="77777777" w:rsidR="007F0DED" w:rsidRPr="00AE501D" w:rsidRDefault="007F0DED">
      <w:pPr>
        <w:pStyle w:val="FootnoteText"/>
      </w:pPr>
      <w:r w:rsidRPr="00AE501D">
        <w:rPr>
          <w:rStyle w:val="FootnoteReference"/>
        </w:rPr>
        <w:footnoteRef/>
      </w:r>
      <w:r w:rsidRPr="00AE501D">
        <w:t xml:space="preserve"> Committee on Economic, Social and Cultural Rights, Concluding observations on the sixth report of Canada, E/C.12/CAN/CO/6, 4 March 2016, at para. 22, online at: http://socialrightscura.ca/documents/international/CESCR%20COs%202016.pdf</w:t>
      </w:r>
    </w:p>
  </w:footnote>
  <w:footnote w:id="14">
    <w:p w14:paraId="5718010C" w14:textId="77777777" w:rsidR="007F0DED" w:rsidRPr="00AE501D" w:rsidRDefault="007F0DED" w:rsidP="008E08C2">
      <w:pPr>
        <w:pStyle w:val="FootnoteText"/>
      </w:pPr>
      <w:r w:rsidRPr="00AE501D">
        <w:rPr>
          <w:rStyle w:val="FootnoteReference"/>
        </w:rPr>
        <w:footnoteRef/>
      </w:r>
      <w:r w:rsidRPr="00AE501D">
        <w:t xml:space="preserve"> CEDAW, Concluding observations on the combined 8</w:t>
      </w:r>
      <w:r w:rsidRPr="00AE501D">
        <w:rPr>
          <w:vertAlign w:val="superscript"/>
        </w:rPr>
        <w:t>th</w:t>
      </w:r>
      <w:r w:rsidRPr="00AE501D">
        <w:t xml:space="preserve"> and 9</w:t>
      </w:r>
      <w:r w:rsidRPr="00AE501D">
        <w:rPr>
          <w:vertAlign w:val="superscript"/>
        </w:rPr>
        <w:t>th</w:t>
      </w:r>
      <w:r w:rsidRPr="00AE501D">
        <w:t xml:space="preserve"> periodic reports of Canada, CEDAW/C/CAN/CO/8-9, 25, November 2016, at para. 21(b), online at</w:t>
      </w:r>
      <w:hyperlink r:id="rId9" w:history="1">
        <w:r w:rsidRPr="00AE501D">
          <w:rPr>
            <w:rStyle w:val="Hyperlink"/>
            <w:color w:val="auto"/>
            <w:u w:val="none"/>
          </w:rPr>
          <w:t>: https://documents-dds-ny.un.org/doc/UNDOC/GEN/N16/402/03/PDF/N1640203.pdf?OpenElement</w:t>
        </w:r>
      </w:hyperlink>
    </w:p>
  </w:footnote>
  <w:footnote w:id="15">
    <w:p w14:paraId="4EED1555" w14:textId="77777777" w:rsidR="007F0DED" w:rsidRPr="00AE501D" w:rsidRDefault="007F0DED">
      <w:pPr>
        <w:pStyle w:val="FootnoteText"/>
      </w:pPr>
      <w:r w:rsidRPr="00AE501D">
        <w:rPr>
          <w:rStyle w:val="FootnoteReference"/>
        </w:rPr>
        <w:footnoteRef/>
      </w:r>
      <w:r w:rsidRPr="00AE501D">
        <w:t xml:space="preserve"> CEDAW, Concluding observations on the 10</w:t>
      </w:r>
      <w:r w:rsidRPr="00AE501D">
        <w:rPr>
          <w:vertAlign w:val="superscript"/>
        </w:rPr>
        <w:t>th</w:t>
      </w:r>
      <w:r w:rsidRPr="00AE501D">
        <w:t xml:space="preserve"> periodic report of Canada, CEDAW/C/CAN/CO/10, 29 October 2024, at para. 39, online at: https://www.ohchr.org/en/documents/concluding-observations/cedawccanco10-concluding-observations-tenth-periodic-report</w:t>
      </w:r>
    </w:p>
  </w:footnote>
  <w:footnote w:id="16">
    <w:p w14:paraId="78582DE6" w14:textId="0B5974EA" w:rsidR="007F0DED" w:rsidRPr="00AE501D" w:rsidRDefault="007F0DED" w:rsidP="000D5426">
      <w:pPr>
        <w:pStyle w:val="Heading1"/>
        <w:spacing w:before="0"/>
        <w:rPr>
          <w:sz w:val="20"/>
          <w:szCs w:val="20"/>
        </w:rPr>
      </w:pPr>
      <w:r w:rsidRPr="00AE501D">
        <w:rPr>
          <w:rStyle w:val="FootnoteReference"/>
          <w:b w:val="0"/>
          <w:bCs w:val="0"/>
          <w:color w:val="auto"/>
          <w:sz w:val="20"/>
          <w:szCs w:val="20"/>
        </w:rPr>
        <w:footnoteRef/>
      </w:r>
      <w:r w:rsidRPr="00AE501D">
        <w:rPr>
          <w:b w:val="0"/>
          <w:bCs w:val="0"/>
          <w:color w:val="auto"/>
          <w:sz w:val="20"/>
          <w:szCs w:val="20"/>
        </w:rPr>
        <w:t xml:space="preserve"> Statistics Canada, </w:t>
      </w:r>
      <w:r w:rsidRPr="00AE501D">
        <w:rPr>
          <w:b w:val="0"/>
          <w:bCs w:val="0"/>
          <w:i/>
          <w:iCs/>
          <w:color w:val="auto"/>
          <w:sz w:val="20"/>
          <w:szCs w:val="20"/>
        </w:rPr>
        <w:t xml:space="preserve">Table 11-10-0135-02 Percentage of persons in low income by </w:t>
      </w:r>
      <w:r w:rsidRPr="00AE501D">
        <w:rPr>
          <w:b w:val="0"/>
          <w:bCs w:val="0"/>
          <w:color w:val="auto"/>
          <w:sz w:val="20"/>
          <w:szCs w:val="20"/>
        </w:rPr>
        <w:t xml:space="preserve">sex, November 7 2025, online at: </w:t>
      </w:r>
      <w:hyperlink r:id="rId10" w:history="1">
        <w:r w:rsidRPr="00AE501D">
          <w:rPr>
            <w:rStyle w:val="Hyperlink"/>
            <w:b w:val="0"/>
            <w:bCs w:val="0"/>
          </w:rPr>
          <w:t>https://www150.statcan.gc.ca/t1/tbl1/en/tv.action?pid=1110013502&amp;cubeTimeFrame.startYear=2020&amp;cubeTimeFrame.endYear=2023&amp;referencePeriods=20200101%2C20230101</w:t>
        </w:r>
      </w:hyperlink>
      <w:r w:rsidRPr="00AE501D">
        <w:rPr>
          <w:rStyle w:val="FootnoteReference"/>
          <w:b w:val="0"/>
          <w:bCs w:val="0"/>
          <w:color w:val="auto"/>
          <w:kern w:val="1"/>
          <w:sz w:val="20"/>
          <w:szCs w:val="20"/>
        </w:rPr>
        <w:t xml:space="preserve"> </w:t>
      </w:r>
    </w:p>
  </w:footnote>
  <w:footnote w:id="17">
    <w:p w14:paraId="69E5D074" w14:textId="77777777" w:rsidR="007F0DED" w:rsidRPr="00AE501D" w:rsidRDefault="007F0DED" w:rsidP="008E08C2">
      <w:pPr>
        <w:pStyle w:val="FootnoteText"/>
      </w:pPr>
      <w:r w:rsidRPr="00AE501D">
        <w:rPr>
          <w:rStyle w:val="FootnoteReference"/>
        </w:rPr>
        <w:footnoteRef/>
      </w:r>
      <w:r w:rsidRPr="00AE501D">
        <w:t xml:space="preserve"> </w:t>
      </w:r>
      <w:r w:rsidRPr="00AE501D">
        <w:rPr>
          <w:i/>
          <w:iCs/>
        </w:rPr>
        <w:t>Ibid</w:t>
      </w:r>
      <w:r w:rsidRPr="00AE501D">
        <w:t xml:space="preserve">. </w:t>
      </w:r>
    </w:p>
  </w:footnote>
  <w:footnote w:id="18">
    <w:p w14:paraId="307AF4BE" w14:textId="77777777" w:rsidR="007F0DED" w:rsidRPr="00AE501D" w:rsidRDefault="007F0DED" w:rsidP="008E08C2">
      <w:pPr>
        <w:pStyle w:val="FootnoteText"/>
      </w:pPr>
      <w:r w:rsidRPr="00AE501D">
        <w:rPr>
          <w:rStyle w:val="FootnoteReference"/>
        </w:rPr>
        <w:footnoteRef/>
      </w:r>
      <w:r w:rsidRPr="00AE501D">
        <w:t xml:space="preserve"> Statistics Canada, “International Women’s Day 2024”</w:t>
      </w:r>
      <w:r w:rsidRPr="00AE501D">
        <w:rPr>
          <w:i/>
          <w:iCs/>
        </w:rPr>
        <w:t xml:space="preserve">, </w:t>
      </w:r>
      <w:r w:rsidRPr="00AE501D">
        <w:t xml:space="preserve">March 8 2024, online at: </w:t>
      </w:r>
      <w:hyperlink r:id="rId11" w:history="1">
        <w:r w:rsidRPr="00AE501D">
          <w:rPr>
            <w:rStyle w:val="Hyperlink"/>
          </w:rPr>
          <w:t>https://www150.statcan.gc.ca/n1/pub/89-28-0001/2022001/article/00009-eng.htm</w:t>
        </w:r>
      </w:hyperlink>
      <w:r w:rsidRPr="00AE501D">
        <w:t xml:space="preserve"> </w:t>
      </w:r>
      <w:r w:rsidRPr="00AE501D">
        <w:rPr>
          <w:i/>
          <w:iCs/>
        </w:rPr>
        <w:t xml:space="preserve"> </w:t>
      </w:r>
    </w:p>
  </w:footnote>
  <w:footnote w:id="19">
    <w:p w14:paraId="780BE780"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20">
    <w:p w14:paraId="7BBD0877" w14:textId="77777777" w:rsidR="007F0DED" w:rsidRPr="00AE501D" w:rsidRDefault="007F0DED" w:rsidP="008E08C2">
      <w:pPr>
        <w:pStyle w:val="FootnoteText"/>
      </w:pPr>
      <w:r w:rsidRPr="00AE501D">
        <w:rPr>
          <w:rStyle w:val="FootnoteReference"/>
        </w:rPr>
        <w:footnoteRef/>
      </w:r>
      <w:r w:rsidRPr="00AE501D">
        <w:t xml:space="preserve"> </w:t>
      </w:r>
      <w:r w:rsidRPr="00AE501D">
        <w:rPr>
          <w:i/>
          <w:iCs/>
        </w:rPr>
        <w:t>Ibid.</w:t>
      </w:r>
    </w:p>
  </w:footnote>
  <w:footnote w:id="21">
    <w:p w14:paraId="1DFABDE2"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22">
    <w:p w14:paraId="37535C4C" w14:textId="77777777" w:rsidR="007F0DED" w:rsidRPr="00AE501D" w:rsidRDefault="007F0DED" w:rsidP="008E08C2">
      <w:pPr>
        <w:pStyle w:val="FootnoteText"/>
      </w:pPr>
      <w:r w:rsidRPr="00AE501D">
        <w:rPr>
          <w:rStyle w:val="FootnoteReference"/>
        </w:rPr>
        <w:footnoteRef/>
      </w:r>
      <w:r w:rsidRPr="00AE501D">
        <w:t xml:space="preserve"> National Advisory Council on Poverty, </w:t>
      </w:r>
      <w:r w:rsidRPr="00AE501D">
        <w:rPr>
          <w:i/>
          <w:iCs/>
        </w:rPr>
        <w:t xml:space="preserve">We can do better: it is not a safety net if the holes are this big – the 2025 report of the National Advisory Council on Poverty, </w:t>
      </w:r>
      <w:r w:rsidRPr="00AE501D">
        <w:t xml:space="preserve">at Table 2, 2025, online at: </w:t>
      </w:r>
      <w:hyperlink r:id="rId12" w:history="1">
        <w:r w:rsidRPr="00AE501D">
          <w:rPr>
            <w:rStyle w:val="Hyperlink"/>
          </w:rPr>
          <w:t>https://www.canada.ca/content/dam/esdc-edsc/documents/programs/poverty-reduction/national-advisory-council/reports/2025-annual/NACP_2025_Annual_Report-EN.pdf</w:t>
        </w:r>
      </w:hyperlink>
      <w:r w:rsidRPr="00AE501D">
        <w:t xml:space="preserve"> </w:t>
      </w:r>
    </w:p>
  </w:footnote>
  <w:footnote w:id="23">
    <w:p w14:paraId="1408973E" w14:textId="77777777" w:rsidR="007F0DED" w:rsidRPr="00AE501D" w:rsidRDefault="007F0DED" w:rsidP="008E08C2">
      <w:pPr>
        <w:pStyle w:val="FootnoteText"/>
      </w:pPr>
      <w:r w:rsidRPr="00AE501D">
        <w:rPr>
          <w:rStyle w:val="FootnoteReference"/>
        </w:rPr>
        <w:footnoteRef/>
      </w:r>
      <w:r w:rsidRPr="00AE501D">
        <w:t xml:space="preserve"> Canadian Women’s Foundation, </w:t>
      </w:r>
      <w:r w:rsidRPr="00AE501D">
        <w:rPr>
          <w:i/>
          <w:iCs/>
        </w:rPr>
        <w:t xml:space="preserve">Fact Sheet Women and Poverty in Canada, </w:t>
      </w:r>
      <w:r w:rsidRPr="00AE501D">
        <w:t xml:space="preserve">at 2, 2018, online at: </w:t>
      </w:r>
      <w:hyperlink r:id="rId13" w:history="1">
        <w:r w:rsidRPr="00AE501D">
          <w:rPr>
            <w:rStyle w:val="Hyperlink"/>
          </w:rPr>
          <w:t>https://canadianwomen.org/wp-content/uploads/2018/09/Fact-Sheet-WOMEN-POVERTY-September-2018.pdf</w:t>
        </w:r>
      </w:hyperlink>
      <w:r w:rsidRPr="00AE501D">
        <w:t xml:space="preserve"> </w:t>
      </w:r>
    </w:p>
  </w:footnote>
  <w:footnote w:id="24">
    <w:p w14:paraId="289EF1E1" w14:textId="77777777" w:rsidR="007F0DED" w:rsidRPr="00AE501D" w:rsidRDefault="007F0DED" w:rsidP="00536FE4">
      <w:pPr>
        <w:pStyle w:val="FootnoteText"/>
      </w:pPr>
      <w:r w:rsidRPr="00AE501D">
        <w:rPr>
          <w:rStyle w:val="FootnoteReference"/>
        </w:rPr>
        <w:footnoteRef/>
      </w:r>
      <w:r w:rsidRPr="00AE501D">
        <w:t xml:space="preserve"> Vanessa Preston and Miek Van Gaalen, </w:t>
      </w:r>
      <w:r w:rsidRPr="00AE501D">
        <w:rPr>
          <w:i/>
          <w:iCs/>
        </w:rPr>
        <w:t>Gender Equality in Canada</w:t>
      </w:r>
      <w:r w:rsidRPr="00AE501D">
        <w:t xml:space="preserve">, at 4, January 27 2025, online at: </w:t>
      </w:r>
      <w:hyperlink r:id="rId14" w:history="1">
        <w:r w:rsidRPr="00AE501D">
          <w:rPr>
            <w:rStyle w:val="Hyperlink"/>
          </w:rPr>
          <w:t>https://lop.parl.ca/sites/PublicWebsite/default/en_CA/ResearchPublications/202504E</w:t>
        </w:r>
      </w:hyperlink>
    </w:p>
  </w:footnote>
  <w:footnote w:id="25">
    <w:p w14:paraId="74B1FBBC" w14:textId="77777777" w:rsidR="007F0DED" w:rsidRPr="00AE501D" w:rsidRDefault="007F0DED" w:rsidP="00536FE4">
      <w:pPr>
        <w:pStyle w:val="FootnoteText"/>
      </w:pPr>
      <w:r w:rsidRPr="00AE501D">
        <w:rPr>
          <w:rStyle w:val="FootnoteReference"/>
        </w:rPr>
        <w:footnoteRef/>
      </w:r>
      <w:r w:rsidRPr="00AE501D">
        <w:t xml:space="preserve"> </w:t>
      </w:r>
      <w:r w:rsidRPr="00AE501D">
        <w:rPr>
          <w:i/>
          <w:iCs/>
        </w:rPr>
        <w:t>Ibid</w:t>
      </w:r>
      <w:r w:rsidRPr="00AE501D">
        <w:t xml:space="preserve">. </w:t>
      </w:r>
    </w:p>
  </w:footnote>
  <w:footnote w:id="26">
    <w:p w14:paraId="5CC77BFE" w14:textId="01E6F35A" w:rsidR="007F0DED" w:rsidRPr="00AE501D" w:rsidRDefault="007F0DED" w:rsidP="00D56E2A">
      <w:pPr>
        <w:rPr>
          <w:sz w:val="20"/>
          <w:szCs w:val="20"/>
        </w:rPr>
      </w:pPr>
      <w:r w:rsidRPr="00AE501D">
        <w:rPr>
          <w:sz w:val="20"/>
          <w:szCs w:val="20"/>
          <w:vertAlign w:val="superscript"/>
        </w:rPr>
        <w:footnoteRef/>
      </w:r>
      <w:r w:rsidRPr="00AE501D">
        <w:rPr>
          <w:sz w:val="20"/>
          <w:szCs w:val="20"/>
        </w:rPr>
        <w:t xml:space="preserve"> Statistics Canada, Average employment income in Canada 2022, by gender, online at: https://www.statista.com/statistics/1314929/average-employment-income-canada-gender/?srsltid=AfmBOop7cUlSfQtYAj26xXFQgXbM_Bvb556CE1X_IJXGxcR3OqZmfZnD </w:t>
      </w:r>
    </w:p>
  </w:footnote>
  <w:footnote w:id="27">
    <w:p w14:paraId="6BECA626" w14:textId="77777777" w:rsidR="007F0DED" w:rsidRPr="00AE501D" w:rsidRDefault="007F0DED" w:rsidP="00D42214">
      <w:pPr>
        <w:pStyle w:val="Heading3"/>
        <w:spacing w:before="0"/>
        <w:rPr>
          <w:rFonts w:ascii="Calibri" w:hAnsi="Calibri" w:cs="Calibri"/>
          <w:sz w:val="20"/>
          <w:szCs w:val="20"/>
        </w:rPr>
      </w:pPr>
      <w:r w:rsidRPr="00AE501D">
        <w:rPr>
          <w:rStyle w:val="FootnoteReference"/>
          <w:rFonts w:ascii="Calibri" w:hAnsi="Calibri" w:cs="Calibri"/>
          <w:b w:val="0"/>
          <w:bCs w:val="0"/>
          <w:sz w:val="20"/>
          <w:szCs w:val="20"/>
        </w:rPr>
        <w:footnoteRef/>
      </w:r>
      <w:r w:rsidRPr="00AE501D">
        <w:rPr>
          <w:rFonts w:ascii="Calibri" w:hAnsi="Calibri" w:cs="Calibri"/>
          <w:b w:val="0"/>
          <w:bCs w:val="0"/>
          <w:sz w:val="20"/>
          <w:szCs w:val="20"/>
        </w:rPr>
        <w:t xml:space="preserve"> Shelagh Day, “The Indivisibility of Women’s Human Rights” (2003) 20:3 </w:t>
      </w:r>
      <w:r w:rsidRPr="00AE501D">
        <w:rPr>
          <w:rFonts w:ascii="Calibri" w:hAnsi="Calibri" w:cs="Calibri"/>
          <w:b w:val="0"/>
          <w:bCs w:val="0"/>
          <w:i/>
          <w:iCs/>
          <w:sz w:val="20"/>
          <w:szCs w:val="20"/>
        </w:rPr>
        <w:t>Can Wom Stud</w:t>
      </w:r>
      <w:r w:rsidRPr="00AE501D">
        <w:rPr>
          <w:rFonts w:ascii="Calibri" w:hAnsi="Calibri" w:cs="Calibri"/>
          <w:b w:val="0"/>
          <w:bCs w:val="0"/>
          <w:sz w:val="20"/>
          <w:szCs w:val="20"/>
        </w:rPr>
        <w:t xml:space="preserve"> 11 at 12; see also The Economic Well-Being of Women, “The proportion of women in low income has been consistent for four decades”, supra note 11.</w:t>
      </w:r>
    </w:p>
  </w:footnote>
  <w:footnote w:id="28">
    <w:p w14:paraId="70AEE8B4" w14:textId="77777777" w:rsidR="007F0DED" w:rsidRPr="00AE501D" w:rsidRDefault="007F0DED">
      <w:pPr>
        <w:pStyle w:val="FootnoteText"/>
      </w:pPr>
      <w:r w:rsidRPr="00AE501D">
        <w:rPr>
          <w:rStyle w:val="FootnoteReference"/>
        </w:rPr>
        <w:footnoteRef/>
      </w:r>
      <w:r w:rsidRPr="00AE501D">
        <w:t xml:space="preserve"> Katherine Scott, </w:t>
      </w:r>
      <w:r w:rsidRPr="00AE501D">
        <w:rPr>
          <w:i/>
          <w:iCs/>
        </w:rPr>
        <w:t>The widening gap: Gender segregation and job polarization in the post-pandemic labour market</w:t>
      </w:r>
      <w:r w:rsidRPr="00AE501D">
        <w:t>, at 8, January 13 2026, online at: https://www.policyalternatives.ca/news-research/the-widening-gap-gender-segregation-and-job-polarization-in-the-post-pandemic-labour-market/</w:t>
      </w:r>
    </w:p>
  </w:footnote>
  <w:footnote w:id="29">
    <w:p w14:paraId="0122269F"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13. </w:t>
      </w:r>
    </w:p>
  </w:footnote>
  <w:footnote w:id="30">
    <w:p w14:paraId="16306487" w14:textId="77777777" w:rsidR="007F0DED" w:rsidRPr="00AE501D" w:rsidRDefault="007F0DED">
      <w:pPr>
        <w:pStyle w:val="FootnoteText"/>
      </w:pPr>
      <w:r w:rsidRPr="00AE501D">
        <w:rPr>
          <w:rStyle w:val="FootnoteReference"/>
        </w:rPr>
        <w:footnoteRef/>
      </w:r>
      <w:r w:rsidRPr="00AE501D">
        <w:t xml:space="preserve"> Oxfam Canada, </w:t>
      </w:r>
      <w:r w:rsidRPr="00AE501D">
        <w:rPr>
          <w:i/>
          <w:iCs/>
        </w:rPr>
        <w:t xml:space="preserve">How Much Do We Care: An Assessment of the Canadian Paid and Unpaid Care Policy Landscape, </w:t>
      </w:r>
      <w:r w:rsidRPr="00AE501D">
        <w:t>at 20, June 2023, online at: https://issuu.com/oxfamca/docs/care_policy_scorecard_report_2023_-_final?fr=sMjJiNzYxNDE2OTQ</w:t>
      </w:r>
    </w:p>
  </w:footnote>
  <w:footnote w:id="31">
    <w:p w14:paraId="598D3C73"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30. </w:t>
      </w:r>
    </w:p>
  </w:footnote>
  <w:footnote w:id="32">
    <w:p w14:paraId="1A54EFF8"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20. </w:t>
      </w:r>
    </w:p>
  </w:footnote>
  <w:footnote w:id="33">
    <w:p w14:paraId="4786B357" w14:textId="77777777" w:rsidR="007F0DED" w:rsidRPr="00AE501D" w:rsidRDefault="007F0DED">
      <w:pPr>
        <w:pStyle w:val="FootnoteText"/>
      </w:pPr>
      <w:r w:rsidRPr="00AE501D">
        <w:rPr>
          <w:rStyle w:val="FootnoteReference"/>
        </w:rPr>
        <w:footnoteRef/>
      </w:r>
      <w:r w:rsidRPr="00AE501D">
        <w:t xml:space="preserve"> Supra note 29 at 19.</w:t>
      </w:r>
    </w:p>
  </w:footnote>
  <w:footnote w:id="34">
    <w:p w14:paraId="159AFDEE"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r w:rsidRPr="00AE501D">
        <w:t>.</w:t>
      </w:r>
    </w:p>
  </w:footnote>
  <w:footnote w:id="35">
    <w:p w14:paraId="760C4775" w14:textId="77777777" w:rsidR="007F0DED" w:rsidRPr="00AE501D" w:rsidRDefault="007F0DED">
      <w:pPr>
        <w:pStyle w:val="FootnoteText"/>
      </w:pPr>
      <w:r w:rsidRPr="00AE501D">
        <w:rPr>
          <w:rStyle w:val="FootnoteReference"/>
        </w:rPr>
        <w:footnoteRef/>
      </w:r>
      <w:r w:rsidRPr="00AE501D">
        <w:t xml:space="preserve"> Migrant Rights Network, “FEDERAL GOVERNMENT GIVES CARE WORKERS “COALS FOR CHRISTMAS” WITH IMMIGRATION PROGRAM CANCELLATION”, December 22 2025, online at: </w:t>
      </w:r>
      <w:hyperlink r:id="rId15" w:history="1">
        <w:r w:rsidRPr="00AE501D">
          <w:rPr>
            <w:rStyle w:val="Hyperlink"/>
          </w:rPr>
          <w:t>https://migrantrights.ca/cwclosurepr/</w:t>
        </w:r>
      </w:hyperlink>
      <w:r w:rsidRPr="00AE501D">
        <w:t xml:space="preserve"> </w:t>
      </w:r>
    </w:p>
  </w:footnote>
  <w:footnote w:id="36">
    <w:p w14:paraId="501E55F4"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37">
    <w:p w14:paraId="36D4549F" w14:textId="3C49407D" w:rsidR="007F0DED" w:rsidRPr="00AE501D" w:rsidRDefault="007F0DED">
      <w:pPr>
        <w:pStyle w:val="FootnoteText"/>
      </w:pPr>
      <w:r w:rsidRPr="00AE501D">
        <w:rPr>
          <w:rStyle w:val="FootnoteReference"/>
        </w:rPr>
        <w:footnoteRef/>
      </w:r>
      <w:r w:rsidRPr="00AE501D">
        <w:t xml:space="preserve"> Government of Canada, “Pausing Home Care Worker Immigration pilots application intake”, December 19 2025, online at: </w:t>
      </w:r>
      <w:hyperlink r:id="rId16" w:history="1">
        <w:r w:rsidRPr="00AE501D">
          <w:rPr>
            <w:rStyle w:val="Hyperlink"/>
          </w:rPr>
          <w:t>https://www.canada.ca/en/immigration-refugees-citizenship/news/notices/pausing-home-care-worker-immigration-pilots-application-intake.html</w:t>
        </w:r>
      </w:hyperlink>
    </w:p>
  </w:footnote>
  <w:footnote w:id="38">
    <w:p w14:paraId="0ABF2F95" w14:textId="77777777" w:rsidR="007F0DED" w:rsidRPr="00AE501D" w:rsidRDefault="007F0DED">
      <w:pPr>
        <w:pStyle w:val="FootnoteText"/>
      </w:pPr>
      <w:r w:rsidRPr="00AE501D">
        <w:rPr>
          <w:rStyle w:val="FootnoteReference"/>
        </w:rPr>
        <w:footnoteRef/>
      </w:r>
      <w:r w:rsidRPr="00AE501D">
        <w:t xml:space="preserve"> Maytree Foundation, </w:t>
      </w:r>
      <w:r w:rsidRPr="00AE501D">
        <w:rPr>
          <w:i/>
          <w:iCs/>
        </w:rPr>
        <w:t xml:space="preserve">Welfare in Canada, 2024, </w:t>
      </w:r>
      <w:r w:rsidRPr="00AE501D">
        <w:t xml:space="preserve">at 18, July 2025, online at: </w:t>
      </w:r>
      <w:hyperlink r:id="rId17" w:history="1">
        <w:r w:rsidRPr="00AE501D">
          <w:rPr>
            <w:rStyle w:val="Hyperlink"/>
          </w:rPr>
          <w:t>https://maytree.com/wp-content/uploads/Welfare_in_Canada_2024.pdf</w:t>
        </w:r>
      </w:hyperlink>
      <w:r w:rsidRPr="00AE501D">
        <w:t xml:space="preserve"> </w:t>
      </w:r>
      <w:r w:rsidRPr="00AE501D">
        <w:rPr>
          <w:i/>
          <w:iCs/>
        </w:rPr>
        <w:t xml:space="preserve"> </w:t>
      </w:r>
    </w:p>
  </w:footnote>
  <w:footnote w:id="39">
    <w:p w14:paraId="6391161B" w14:textId="77777777" w:rsidR="007F0DED" w:rsidRPr="00AE501D" w:rsidRDefault="007F0DED">
      <w:pPr>
        <w:pStyle w:val="FootnoteText"/>
      </w:pPr>
      <w:r w:rsidRPr="00AE501D">
        <w:rPr>
          <w:rStyle w:val="FootnoteReference"/>
        </w:rPr>
        <w:footnoteRef/>
      </w:r>
      <w:r w:rsidRPr="00AE501D">
        <w:t xml:space="preserve"> Natalie Catney, </w:t>
      </w:r>
      <w:r w:rsidRPr="00AE501D">
        <w:rPr>
          <w:i/>
          <w:iCs/>
        </w:rPr>
        <w:t>The cost-of-living crisis for social assistance recipients</w:t>
      </w:r>
      <w:r w:rsidRPr="00AE501D">
        <w:t xml:space="preserve">, April 5 2024, online at: </w:t>
      </w:r>
      <w:hyperlink r:id="rId18" w:history="1">
        <w:r w:rsidRPr="00AE501D">
          <w:rPr>
            <w:rStyle w:val="Hyperlink"/>
          </w:rPr>
          <w:t>https://policyoptions.irpp.org/2024/04/cost-of-living-social-assistance/</w:t>
        </w:r>
      </w:hyperlink>
      <w:r w:rsidRPr="00AE501D">
        <w:t xml:space="preserve"> </w:t>
      </w:r>
    </w:p>
  </w:footnote>
  <w:footnote w:id="40">
    <w:p w14:paraId="500A05BD" w14:textId="77777777" w:rsidR="007F0DED" w:rsidRPr="00AE501D" w:rsidRDefault="007F0DED" w:rsidP="00A67AA9">
      <w:pPr>
        <w:pStyle w:val="Heading1"/>
        <w:rPr>
          <w:sz w:val="20"/>
          <w:szCs w:val="20"/>
        </w:rPr>
      </w:pPr>
      <w:r w:rsidRPr="00AE501D">
        <w:rPr>
          <w:rStyle w:val="FootnoteReference"/>
          <w:color w:val="auto"/>
          <w:sz w:val="20"/>
          <w:szCs w:val="20"/>
        </w:rPr>
        <w:footnoteRef/>
      </w:r>
      <w:r w:rsidRPr="00AE501D">
        <w:rPr>
          <w:color w:val="auto"/>
          <w:sz w:val="20"/>
          <w:szCs w:val="20"/>
        </w:rPr>
        <w:t xml:space="preserve"> </w:t>
      </w:r>
      <w:r w:rsidRPr="00AE501D">
        <w:rPr>
          <w:b w:val="0"/>
          <w:bCs w:val="0"/>
          <w:color w:val="auto"/>
          <w:sz w:val="20"/>
          <w:szCs w:val="20"/>
        </w:rPr>
        <w:t>Inclusion Canada, Budget 2024 Disappoints – Major Shortfalls in Canada Disability Benefit Funding &amp; Eligibility, April 17, 2024, online at: https://www.inclusioncanada.ca/post/budget-2024-disappoints</w:t>
      </w:r>
    </w:p>
  </w:footnote>
  <w:footnote w:id="41">
    <w:p w14:paraId="2B8B0E23" w14:textId="77777777" w:rsidR="007F0DED" w:rsidRPr="00AE501D" w:rsidRDefault="007F0DED">
      <w:pPr>
        <w:pStyle w:val="FootnoteText"/>
      </w:pPr>
      <w:r w:rsidRPr="00AE501D">
        <w:rPr>
          <w:rStyle w:val="FootnoteReference"/>
        </w:rPr>
        <w:footnoteRef/>
      </w:r>
      <w:r w:rsidRPr="00AE501D">
        <w:t xml:space="preserve"> Gordon Cleveland, </w:t>
      </w:r>
      <w:r w:rsidRPr="00AE501D">
        <w:rPr>
          <w:i/>
          <w:iCs/>
        </w:rPr>
        <w:t xml:space="preserve">Federal budget: Mr. Prime Minister, child care is infrastructure too, </w:t>
      </w:r>
      <w:r w:rsidRPr="00AE501D">
        <w:t xml:space="preserve">November 6 2025, online at: </w:t>
      </w:r>
      <w:hyperlink r:id="rId19" w:history="1">
        <w:r w:rsidRPr="00AE501D">
          <w:rPr>
            <w:rStyle w:val="Hyperlink"/>
          </w:rPr>
          <w:t>https://theconversation.com/federal-budget-mr-prime-minister-child-care-is-infrastructure-too-269177</w:t>
        </w:r>
      </w:hyperlink>
      <w:r w:rsidRPr="00AE501D">
        <w:t xml:space="preserve"> </w:t>
      </w:r>
    </w:p>
  </w:footnote>
  <w:footnote w:id="42">
    <w:p w14:paraId="10AA0C77" w14:textId="77777777" w:rsidR="007F0DED" w:rsidRPr="00AE501D" w:rsidRDefault="007F0DED">
      <w:pPr>
        <w:pStyle w:val="FootnoteText"/>
      </w:pPr>
      <w:r w:rsidRPr="00AE501D">
        <w:rPr>
          <w:rStyle w:val="FootnoteReference"/>
        </w:rPr>
        <w:footnoteRef/>
      </w:r>
      <w:r w:rsidRPr="00AE501D">
        <w:t xml:space="preserve"> Department of Finance Canada, </w:t>
      </w:r>
      <w:r w:rsidRPr="00AE501D">
        <w:rPr>
          <w:i/>
          <w:iCs/>
        </w:rPr>
        <w:t>A Canada-wide Early Learning and Child Care Plan</w:t>
      </w:r>
      <w:r w:rsidRPr="00AE501D">
        <w:t>, online at: https://www.canada.ca/en/department-finance/news/2021/12/a-canada-wide-early-learning-and-child-care-plan.html</w:t>
      </w:r>
    </w:p>
  </w:footnote>
  <w:footnote w:id="43">
    <w:p w14:paraId="66ACEA19" w14:textId="77777777" w:rsidR="007F0DED" w:rsidRPr="00AE501D" w:rsidRDefault="007F0DED">
      <w:pPr>
        <w:pStyle w:val="FootnoteText"/>
      </w:pPr>
      <w:r w:rsidRPr="00AE501D">
        <w:rPr>
          <w:rStyle w:val="FootnoteReference"/>
        </w:rPr>
        <w:footnoteRef/>
      </w:r>
      <w:r w:rsidRPr="00AE501D">
        <w:t xml:space="preserve"> Employment and Social Development Canada, </w:t>
      </w:r>
      <w:r w:rsidRPr="00AE501D">
        <w:rPr>
          <w:i/>
          <w:iCs/>
        </w:rPr>
        <w:t xml:space="preserve">Toward $10-a-day: Early Learning and Child Care, </w:t>
      </w:r>
      <w:r w:rsidRPr="00AE501D">
        <w:t>online at: https://www.canada.ca/en/employment-social-development/campaigns/child-care.html</w:t>
      </w:r>
    </w:p>
  </w:footnote>
  <w:footnote w:id="44">
    <w:p w14:paraId="129DBC1E" w14:textId="77777777" w:rsidR="007F0DED" w:rsidRPr="00AE501D" w:rsidRDefault="007F0DED">
      <w:pPr>
        <w:pStyle w:val="FootnoteText"/>
      </w:pPr>
      <w:r w:rsidRPr="00AE501D">
        <w:rPr>
          <w:rStyle w:val="FootnoteReference"/>
        </w:rPr>
        <w:footnoteRef/>
      </w:r>
      <w:r w:rsidRPr="00AE501D">
        <w:t xml:space="preserve"> Canadian Centre for Policy Alternatives, </w:t>
      </w:r>
      <w:r w:rsidRPr="00AE501D">
        <w:rPr>
          <w:i/>
          <w:iCs/>
        </w:rPr>
        <w:t xml:space="preserve">Cash Cow Assessing Child care space creation progress, </w:t>
      </w:r>
      <w:r w:rsidRPr="00AE501D">
        <w:t>at 13, August 2025, online at: https://www.policyalternatives.ca/news-research/cash-cow-assessing-child-care-space-creation-progress/</w:t>
      </w:r>
    </w:p>
  </w:footnote>
  <w:footnote w:id="45">
    <w:p w14:paraId="4846881D"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at 13 and 14.</w:t>
      </w:r>
    </w:p>
  </w:footnote>
  <w:footnote w:id="46">
    <w:p w14:paraId="54E0A9BC"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7. </w:t>
      </w:r>
    </w:p>
  </w:footnote>
  <w:footnote w:id="47">
    <w:p w14:paraId="49DC6C09"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26. </w:t>
      </w:r>
    </w:p>
  </w:footnote>
  <w:footnote w:id="48">
    <w:p w14:paraId="28296DD6"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at Figure 7. </w:t>
      </w:r>
    </w:p>
  </w:footnote>
  <w:footnote w:id="49">
    <w:p w14:paraId="5867790B"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r w:rsidRPr="00AE501D">
        <w:t xml:space="preserve">, at Figure 7. </w:t>
      </w:r>
    </w:p>
  </w:footnote>
  <w:footnote w:id="50">
    <w:p w14:paraId="149B6DB8" w14:textId="77777777" w:rsidR="007F0DED" w:rsidRPr="00AE501D" w:rsidRDefault="007F0DED">
      <w:pPr>
        <w:pStyle w:val="FootnoteText"/>
      </w:pPr>
      <w:r w:rsidRPr="00AE501D">
        <w:rPr>
          <w:rStyle w:val="FootnoteReference"/>
        </w:rPr>
        <w:footnoteRef/>
      </w:r>
      <w:r w:rsidRPr="00AE501D">
        <w:t xml:space="preserve"> YMCA Ontario, </w:t>
      </w:r>
      <w:r w:rsidRPr="00AE501D">
        <w:rPr>
          <w:i/>
          <w:iCs/>
        </w:rPr>
        <w:t>Workforce Solutions in Child Care A YMCA Ontario White Paper</w:t>
      </w:r>
      <w:r w:rsidRPr="00AE501D">
        <w:t xml:space="preserve">, at 4, January 2023, online at: </w:t>
      </w:r>
      <w:hyperlink r:id="rId20" w:history="1">
        <w:r w:rsidRPr="00AE501D">
          <w:rPr>
            <w:rStyle w:val="Hyperlink"/>
          </w:rPr>
          <w:t>https://www.ymcaneo.ca/wp-content/uploads/2023/01/YMCA-Ontario-White-Paper_Child-Care-Workforce-Solutions-1.pdf</w:t>
        </w:r>
      </w:hyperlink>
    </w:p>
  </w:footnote>
  <w:footnote w:id="51">
    <w:p w14:paraId="29CCF3B4"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r w:rsidRPr="00AE501D">
        <w:t xml:space="preserve">, at 4; Atkinson Centre, </w:t>
      </w:r>
      <w:r w:rsidRPr="00AE501D">
        <w:rPr>
          <w:i/>
          <w:iCs/>
        </w:rPr>
        <w:t xml:space="preserve">Canada’s Children Need a Professional Early Childhood Education Workforce, </w:t>
      </w:r>
      <w:r w:rsidRPr="00AE501D">
        <w:t>at 6, April 2022, online at: https://ecereport.ca/media/uploads/wr-downloads/canadas_children_need_a_professional_early_childhood_education_workforce.pdf</w:t>
      </w:r>
    </w:p>
  </w:footnote>
  <w:footnote w:id="52">
    <w:p w14:paraId="36ADFB49" w14:textId="77777777" w:rsidR="007F0DED" w:rsidRPr="00AE501D" w:rsidRDefault="007F0DED">
      <w:pPr>
        <w:pStyle w:val="FootnoteText"/>
      </w:pPr>
      <w:r w:rsidRPr="00AE501D">
        <w:rPr>
          <w:rStyle w:val="FootnoteReference"/>
        </w:rPr>
        <w:footnoteRef/>
      </w:r>
      <w:r w:rsidRPr="00AE501D">
        <w:t xml:space="preserve"> Building Blocks for Child Care, </w:t>
      </w:r>
      <w:r w:rsidRPr="00AE501D">
        <w:rPr>
          <w:i/>
          <w:iCs/>
        </w:rPr>
        <w:t xml:space="preserve">Analysis of Directo Approvals in Ontario’s Licensed Child Care System (2021 to 2025) Based on FOI Data from the Ministry of Education, </w:t>
      </w:r>
      <w:r w:rsidRPr="00AE501D">
        <w:t xml:space="preserve">at 6 and 12, December 2025, online at: </w:t>
      </w:r>
      <w:hyperlink r:id="rId21" w:history="1">
        <w:r w:rsidRPr="00AE501D">
          <w:rPr>
            <w:rStyle w:val="Hyperlink"/>
          </w:rPr>
          <w:t>https://b2c2.ca/wp-content/uploads/2026/01/DirectorApprovalsReport.pdf</w:t>
        </w:r>
      </w:hyperlink>
      <w:r w:rsidRPr="00AE501D">
        <w:t xml:space="preserve"> </w:t>
      </w:r>
    </w:p>
  </w:footnote>
  <w:footnote w:id="53">
    <w:p w14:paraId="4B8DF084" w14:textId="77777777" w:rsidR="007F0DED" w:rsidRPr="00AE501D" w:rsidRDefault="007F0DED">
      <w:pPr>
        <w:pStyle w:val="FootnoteText"/>
      </w:pPr>
      <w:r w:rsidRPr="00AE501D">
        <w:rPr>
          <w:rStyle w:val="FootnoteReference"/>
        </w:rPr>
        <w:footnoteRef/>
      </w:r>
      <w:r w:rsidRPr="00AE501D">
        <w:t xml:space="preserve"> Supra note 49 at 2. </w:t>
      </w:r>
    </w:p>
  </w:footnote>
  <w:footnote w:id="54">
    <w:p w14:paraId="1F50DF5B" w14:textId="77777777" w:rsidR="007F0DED" w:rsidRPr="00AE501D" w:rsidRDefault="007F0DED">
      <w:pPr>
        <w:pStyle w:val="FootnoteText"/>
      </w:pPr>
      <w:r w:rsidRPr="00AE501D">
        <w:rPr>
          <w:rStyle w:val="FootnoteReference"/>
        </w:rPr>
        <w:footnoteRef/>
      </w:r>
      <w:r w:rsidRPr="00AE501D">
        <w:t xml:space="preserve"> Supra note 48 at 4. </w:t>
      </w:r>
    </w:p>
  </w:footnote>
  <w:footnote w:id="55">
    <w:p w14:paraId="7C957302" w14:textId="77777777" w:rsidR="007F0DED" w:rsidRPr="00AE501D" w:rsidRDefault="007F0DED">
      <w:pPr>
        <w:pStyle w:val="FootnoteText"/>
      </w:pPr>
      <w:r w:rsidRPr="00AE501D">
        <w:rPr>
          <w:rStyle w:val="FootnoteReference"/>
        </w:rPr>
        <w:footnoteRef/>
      </w:r>
      <w:r w:rsidRPr="00AE501D">
        <w:t xml:space="preserve"> OECD, </w:t>
      </w:r>
      <w:r w:rsidRPr="00AE501D">
        <w:rPr>
          <w:i/>
          <w:iCs/>
        </w:rPr>
        <w:t xml:space="preserve">Joining Forces for Gender Equality What is Holding us Back? Country Note: Canada, </w:t>
      </w:r>
      <w:r w:rsidRPr="00AE501D">
        <w:t xml:space="preserve">at 2, 2023, online at: </w:t>
      </w:r>
      <w:hyperlink r:id="rId22" w:history="1">
        <w:r w:rsidRPr="00AE501D">
          <w:rPr>
            <w:rStyle w:val="Hyperlink"/>
          </w:rPr>
          <w:t>https://www.oecd.org/content/dam/oecd/en/publications/reports/2025/07/joining-forces-for-gender-equality-country-notes_99310c20/canada_3a820d39/cc8a4737-en.pdf</w:t>
        </w:r>
      </w:hyperlink>
      <w:r w:rsidRPr="00AE501D">
        <w:t xml:space="preserve"> </w:t>
      </w:r>
    </w:p>
  </w:footnote>
  <w:footnote w:id="56">
    <w:p w14:paraId="0C6A0279" w14:textId="77777777" w:rsidR="007F0DED" w:rsidRPr="00AE501D" w:rsidRDefault="007F0DED" w:rsidP="00BD4120">
      <w:pPr>
        <w:pStyle w:val="FootnoteText"/>
      </w:pPr>
      <w:r w:rsidRPr="00AE501D">
        <w:rPr>
          <w:rStyle w:val="FootnoteReference"/>
        </w:rPr>
        <w:footnoteRef/>
      </w:r>
      <w:r w:rsidRPr="00AE501D">
        <w:t xml:space="preserve"> Committee on the Elimination of Discrimination against Women, </w:t>
      </w:r>
      <w:r w:rsidRPr="00AE501D">
        <w:rPr>
          <w:i/>
          <w:iCs/>
        </w:rPr>
        <w:t>Concluding Observations of the Committee on the Elimination of Discrimination against Women</w:t>
      </w:r>
      <w:r w:rsidRPr="00AE501D">
        <w:t>, UN Doc CEDAW/C/CAN/CO/7, (7 November 2008) at para 22 [CEDAW 2008 Concluding Observations].</w:t>
      </w:r>
    </w:p>
  </w:footnote>
  <w:footnote w:id="57">
    <w:p w14:paraId="59EDA144" w14:textId="77777777" w:rsidR="007F0DED" w:rsidRPr="00AE501D" w:rsidRDefault="007F0DED" w:rsidP="00BD4120">
      <w:pPr>
        <w:pStyle w:val="FootnoteText"/>
      </w:pPr>
      <w:r w:rsidRPr="00AE501D">
        <w:rPr>
          <w:rStyle w:val="FootnoteReference"/>
        </w:rPr>
        <w:footnoteRef/>
      </w:r>
      <w:r w:rsidRPr="00AE501D">
        <w:t xml:space="preserve"> Committee on the Elimination of Discrimination against Women, Concluding observations on the 8</w:t>
      </w:r>
      <w:r w:rsidRPr="00AE501D">
        <w:rPr>
          <w:vertAlign w:val="superscript"/>
        </w:rPr>
        <w:t>th</w:t>
      </w:r>
      <w:r w:rsidRPr="00AE501D">
        <w:t xml:space="preserve"> and 9</w:t>
      </w:r>
      <w:r w:rsidRPr="00AE501D">
        <w:rPr>
          <w:vertAlign w:val="superscript"/>
        </w:rPr>
        <w:t>th</w:t>
      </w:r>
      <w:r w:rsidRPr="00AE501D">
        <w:t xml:space="preserve"> periodic reports of Canada, CEDAW/C/CAN/CO/8-9. 18 November 2016, at para. 47c), online at: </w:t>
      </w:r>
      <w:hyperlink r:id="rId23" w:history="1">
        <w:r w:rsidRPr="00AE501D">
          <w:rPr>
            <w:rStyle w:val="Hyperlink"/>
            <w:color w:val="auto"/>
            <w:u w:val="none"/>
          </w:rPr>
          <w:t>https://digitallibrary.un.org/record/3802136?ln=en</w:t>
        </w:r>
      </w:hyperlink>
      <w:r w:rsidRPr="00AE501D">
        <w:t xml:space="preserve">  </w:t>
      </w:r>
    </w:p>
  </w:footnote>
  <w:footnote w:id="58">
    <w:p w14:paraId="0C508838" w14:textId="77777777" w:rsidR="007F0DED" w:rsidRPr="00AE501D" w:rsidRDefault="007F0DED" w:rsidP="00172411">
      <w:pPr>
        <w:pStyle w:val="FootnoteText"/>
      </w:pPr>
      <w:r w:rsidRPr="00AE501D">
        <w:rPr>
          <w:rStyle w:val="FootnoteCharacters"/>
        </w:rPr>
        <w:footnoteRef/>
      </w:r>
      <w:r w:rsidRPr="00AE501D">
        <w:t xml:space="preserve"> McLachlin, Beverley, “Foreward”, in M. Trebilcock, A. Duggan, L. Sossin, eds. Middle Income Access to Justice (Toronto: University of Toronto Press, 2012).</w:t>
      </w:r>
    </w:p>
  </w:footnote>
  <w:footnote w:id="59">
    <w:p w14:paraId="08869002" w14:textId="77777777" w:rsidR="007F0DED" w:rsidRPr="00AE501D" w:rsidRDefault="007F0DED" w:rsidP="00172411">
      <w:pPr>
        <w:pStyle w:val="FootnoteText"/>
      </w:pPr>
      <w:r w:rsidRPr="00AE501D">
        <w:rPr>
          <w:rStyle w:val="FootnoteReference"/>
        </w:rPr>
        <w:footnoteRef/>
      </w:r>
      <w:r w:rsidRPr="00AE501D">
        <w:t xml:space="preserve"> Canadian Bar Association, “Legal Aid in Canada”, July 2015, online at: &lt;</w:t>
      </w:r>
      <w:hyperlink r:id="rId24" w:history="1">
        <w:r w:rsidRPr="00AE501D">
          <w:rPr>
            <w:rStyle w:val="Hyperlink"/>
            <w:color w:val="auto"/>
            <w:u w:val="none"/>
          </w:rPr>
          <w:t>http://www.cba.org/Sections/Legal-Aid-Liaison/Resources/Resources/Legal-Aid-in-Canada</w:t>
        </w:r>
      </w:hyperlink>
      <w:r w:rsidRPr="00AE501D">
        <w:t>&gt;.</w:t>
      </w:r>
    </w:p>
  </w:footnote>
  <w:footnote w:id="60">
    <w:p w14:paraId="2D4F5107" w14:textId="77777777" w:rsidR="007F0DED" w:rsidRPr="00AE501D" w:rsidRDefault="007F0DED">
      <w:pPr>
        <w:pStyle w:val="FootnoteText"/>
      </w:pPr>
      <w:r w:rsidRPr="00AE501D">
        <w:rPr>
          <w:rStyle w:val="FootnoteReference"/>
        </w:rPr>
        <w:footnoteRef/>
      </w:r>
      <w:r w:rsidRPr="00AE501D">
        <w:t xml:space="preserve"> Maan Alhmidi, “Criminal Lawyers' Association calls on Ontario for more funding of legal aid”, October 18 2022, online at: </w:t>
      </w:r>
      <w:hyperlink r:id="rId25" w:history="1">
        <w:r w:rsidRPr="00AE501D">
          <w:rPr>
            <w:rStyle w:val="Hyperlink"/>
          </w:rPr>
          <w:t>https://www.cbc.ca/news/canada/toronto/ont-legal-aid-1.6620857</w:t>
        </w:r>
      </w:hyperlink>
      <w:r w:rsidRPr="00AE501D">
        <w:t xml:space="preserve">;  </w:t>
      </w:r>
    </w:p>
  </w:footnote>
  <w:footnote w:id="61">
    <w:p w14:paraId="56E44B24" w14:textId="77777777" w:rsidR="007F0DED" w:rsidRPr="00AE501D" w:rsidRDefault="007F0DED">
      <w:pPr>
        <w:pStyle w:val="FootnoteText"/>
      </w:pPr>
      <w:r w:rsidRPr="00AE501D">
        <w:rPr>
          <w:rStyle w:val="FootnoteReference"/>
        </w:rPr>
        <w:footnoteRef/>
      </w:r>
      <w:r w:rsidRPr="00AE501D">
        <w:t xml:space="preserve"> Kylee Pedersen, “Legal Aid Alberta says province terminated its contract”, July 2 2024, online at: </w:t>
      </w:r>
      <w:hyperlink r:id="rId26" w:history="1">
        <w:r w:rsidRPr="00AE501D">
          <w:rPr>
            <w:rStyle w:val="Hyperlink"/>
          </w:rPr>
          <w:t>https://www.cbc.ca/news/canada/calgary/legal-aid-alberta-says-province-terminated-its-contract-1.7252708</w:t>
        </w:r>
      </w:hyperlink>
      <w:r w:rsidRPr="00AE501D">
        <w:t xml:space="preserve"> </w:t>
      </w:r>
    </w:p>
  </w:footnote>
  <w:footnote w:id="62">
    <w:p w14:paraId="0F237681" w14:textId="77777777" w:rsidR="007F0DED" w:rsidRPr="00AE501D" w:rsidRDefault="007F0DED">
      <w:pPr>
        <w:pStyle w:val="FootnoteText"/>
      </w:pPr>
      <w:r w:rsidRPr="00AE501D">
        <w:rPr>
          <w:rStyle w:val="FootnoteReference"/>
        </w:rPr>
        <w:footnoteRef/>
      </w:r>
      <w:r w:rsidRPr="00AE501D">
        <w:t xml:space="preserve"> Legal Aid Ontario, “Legal Aid Ontario raising financial eligibility for duty counsel and criminal certificate services”, January 28 2025, online at: </w:t>
      </w:r>
      <w:hyperlink r:id="rId27" w:history="1">
        <w:r w:rsidRPr="00AE501D">
          <w:rPr>
            <w:rStyle w:val="Hyperlink"/>
          </w:rPr>
          <w:t>https://www.legalaid.on.ca/news/legal-aid-ontario-raising-financial-eligibility-for-duty-counsel-and-criminal-certificate-services/</w:t>
        </w:r>
      </w:hyperlink>
      <w:r w:rsidRPr="00AE501D">
        <w:t xml:space="preserve">  </w:t>
      </w:r>
    </w:p>
  </w:footnote>
  <w:footnote w:id="63">
    <w:p w14:paraId="5E85DED8" w14:textId="77777777" w:rsidR="007F0DED" w:rsidRPr="00AE501D" w:rsidRDefault="007F0DED">
      <w:pPr>
        <w:pStyle w:val="FootnoteText"/>
      </w:pPr>
      <w:r w:rsidRPr="00AE501D">
        <w:rPr>
          <w:rStyle w:val="FootnoteReference"/>
        </w:rPr>
        <w:footnoteRef/>
      </w:r>
      <w:r w:rsidRPr="00AE501D">
        <w:t xml:space="preserve"> Statistics Canada, </w:t>
      </w:r>
      <w:r w:rsidRPr="00AE501D">
        <w:rPr>
          <w:i/>
          <w:iCs/>
        </w:rPr>
        <w:t xml:space="preserve">Table 11-10-0104-01 Market Basket Measure thresholds by Market Basket Measure region and family size, in current dollars, </w:t>
      </w:r>
      <w:r w:rsidRPr="00AE501D">
        <w:t xml:space="preserve">November 7 2025, online at: </w:t>
      </w:r>
      <w:hyperlink r:id="rId28" w:history="1">
        <w:r w:rsidRPr="00AE501D">
          <w:rPr>
            <w:rStyle w:val="Hyperlink"/>
          </w:rPr>
          <w:t>https://www150.statcan.gc.ca/t1/tbl1/en/tv.action?pid=1110010401</w:t>
        </w:r>
      </w:hyperlink>
    </w:p>
  </w:footnote>
  <w:footnote w:id="64">
    <w:p w14:paraId="50C2F636"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65">
    <w:p w14:paraId="626C451D" w14:textId="77777777" w:rsidR="007F0DED" w:rsidRPr="00AE501D" w:rsidRDefault="007F0DED">
      <w:pPr>
        <w:pStyle w:val="FootnoteText"/>
      </w:pPr>
      <w:r w:rsidRPr="00AE501D">
        <w:rPr>
          <w:rStyle w:val="FootnoteReference"/>
        </w:rPr>
        <w:footnoteRef/>
      </w:r>
      <w:r w:rsidRPr="00AE501D">
        <w:t xml:space="preserve"> Gillian Petit and Lindsay M. Tedds, </w:t>
      </w:r>
      <w:r w:rsidRPr="00AE501D">
        <w:rPr>
          <w:i/>
          <w:iCs/>
        </w:rPr>
        <w:t xml:space="preserve">Systematic Barriers to Justice: Financial Eligibility for Legal Aid – A Gendered Analysis, </w:t>
      </w:r>
      <w:r w:rsidRPr="00AE501D">
        <w:t xml:space="preserve">April 14 2023, online at: </w:t>
      </w:r>
      <w:hyperlink r:id="rId29" w:history="1">
        <w:r w:rsidRPr="00AE501D">
          <w:rPr>
            <w:rStyle w:val="Hyperlink"/>
          </w:rPr>
          <w:t>https://papers.ssrn.com/sol3/papers.cfm?abstract_id=4419064</w:t>
        </w:r>
      </w:hyperlink>
      <w:r w:rsidRPr="00AE501D">
        <w:t xml:space="preserve"> </w:t>
      </w:r>
    </w:p>
  </w:footnote>
  <w:footnote w:id="66">
    <w:p w14:paraId="6EA45F05" w14:textId="77777777" w:rsidR="007F0DED" w:rsidRPr="00AE501D" w:rsidRDefault="007F0DED">
      <w:pPr>
        <w:pStyle w:val="FootnoteText"/>
      </w:pPr>
      <w:r w:rsidRPr="00AE501D">
        <w:rPr>
          <w:rStyle w:val="FootnoteReference"/>
        </w:rPr>
        <w:footnoteRef/>
      </w:r>
      <w:r w:rsidRPr="00AE501D">
        <w:t xml:space="preserve"> Canadian Bar Association, “3. Providing Legal Services”, online at: </w:t>
      </w:r>
      <w:hyperlink r:id="rId30" w:history="1">
        <w:r w:rsidRPr="00AE501D">
          <w:rPr>
            <w:rStyle w:val="Hyperlink"/>
          </w:rPr>
          <w:t>https://cba.org/resources/reconciliation-equality-and-diversity/reaching-equal-justice-advocacy-guide/providing-legal-services/</w:t>
        </w:r>
      </w:hyperlink>
      <w:r w:rsidRPr="00AE501D">
        <w:t xml:space="preserve"> </w:t>
      </w:r>
    </w:p>
  </w:footnote>
  <w:footnote w:id="67">
    <w:p w14:paraId="32DE3BD4" w14:textId="77777777" w:rsidR="007F0DED" w:rsidRPr="00AE501D" w:rsidRDefault="007F0DED">
      <w:pPr>
        <w:pStyle w:val="FootnoteText"/>
      </w:pPr>
      <w:r w:rsidRPr="00AE501D">
        <w:rPr>
          <w:rStyle w:val="FootnoteReference"/>
        </w:rPr>
        <w:footnoteRef/>
      </w:r>
      <w:r w:rsidRPr="00AE501D">
        <w:t xml:space="preserve"> See footnote 3 of the report: Department of Justice Canada, </w:t>
      </w:r>
      <w:r w:rsidRPr="00AE501D">
        <w:rPr>
          <w:i/>
          <w:iCs/>
        </w:rPr>
        <w:t>Legal Aid in Canada 2023-2024</w:t>
      </w:r>
      <w:r w:rsidRPr="00AE501D">
        <w:t xml:space="preserve">, at 1, 2025, online at: </w:t>
      </w:r>
      <w:hyperlink r:id="rId31" w:history="1">
        <w:r w:rsidRPr="00AE501D">
          <w:rPr>
            <w:rStyle w:val="Hyperlink"/>
          </w:rPr>
          <w:t>https://www.justice.gc.ca/eng/rp-pr/jr/aid-aide/2024/docs/rsd_rr2025_legal-aid-in-canada-2023-24-eng.pdf</w:t>
        </w:r>
      </w:hyperlink>
      <w:r w:rsidRPr="00AE501D">
        <w:t xml:space="preserve"> </w:t>
      </w:r>
    </w:p>
  </w:footnote>
  <w:footnote w:id="68">
    <w:p w14:paraId="12A9F4FB" w14:textId="77777777" w:rsidR="007F0DED" w:rsidRPr="00AE501D" w:rsidRDefault="007F0DED">
      <w:pPr>
        <w:pStyle w:val="FootnoteText"/>
      </w:pPr>
      <w:r w:rsidRPr="00AE501D">
        <w:rPr>
          <w:rStyle w:val="FootnoteReference"/>
        </w:rPr>
        <w:footnoteRef/>
      </w:r>
      <w:r w:rsidRPr="00AE501D">
        <w:t xml:space="preserve"> Canadian Bar Association, Alberta Branch, “CBAAB Responses to the Government of Alberta's Survey for Legal Aid in Alberta”, November 15 2024, online at: </w:t>
      </w:r>
      <w:hyperlink r:id="rId32" w:history="1">
        <w:r w:rsidRPr="00AE501D">
          <w:rPr>
            <w:rStyle w:val="Hyperlink"/>
          </w:rPr>
          <w:t>https://cba-alberta.org/our-impact/submissions/written-submission-responses-to-the-government-of-alberta-s-survey-for-legal-aid-in-alberta/</w:t>
        </w:r>
      </w:hyperlink>
      <w:r w:rsidRPr="00AE501D">
        <w:t xml:space="preserve"> </w:t>
      </w:r>
    </w:p>
  </w:footnote>
  <w:footnote w:id="69">
    <w:p w14:paraId="1D28072B" w14:textId="77777777" w:rsidR="007F0DED" w:rsidRPr="00AE501D" w:rsidRDefault="007F0DED">
      <w:pPr>
        <w:pStyle w:val="FootnoteText"/>
      </w:pPr>
      <w:r w:rsidRPr="00AE501D">
        <w:rPr>
          <w:rStyle w:val="FootnoteReference"/>
        </w:rPr>
        <w:footnoteRef/>
      </w:r>
      <w:r w:rsidRPr="00AE501D">
        <w:t xml:space="preserve"> Aidan Macnab, “BC's new family law legal aid funding resolves long-standing Charter challenge”, February 20 2024, online at: </w:t>
      </w:r>
      <w:hyperlink r:id="rId33" w:history="1">
        <w:r w:rsidRPr="00AE501D">
          <w:rPr>
            <w:rStyle w:val="Hyperlink"/>
          </w:rPr>
          <w:t>https://www.cbabc.org/news/bc-s-new-family-law-legal-aid-funding-resolves-long-standing-charter-challenge/</w:t>
        </w:r>
      </w:hyperlink>
      <w:r w:rsidRPr="00AE501D">
        <w:t xml:space="preserve"> </w:t>
      </w:r>
    </w:p>
  </w:footnote>
  <w:footnote w:id="70">
    <w:p w14:paraId="23A7C920" w14:textId="77777777" w:rsidR="007F0DED" w:rsidRPr="00AE501D" w:rsidRDefault="007F0DED">
      <w:pPr>
        <w:pStyle w:val="FootnoteText"/>
      </w:pPr>
      <w:r w:rsidRPr="00AE501D">
        <w:rPr>
          <w:rStyle w:val="FootnoteReference"/>
        </w:rPr>
        <w:footnoteRef/>
      </w:r>
      <w:r w:rsidRPr="00AE501D">
        <w:t xml:space="preserve"> Aidan Macnab, “CBA BC branch slams provincial budget for absence of new funding for family law legal aid”, February 27 2024, online at: </w:t>
      </w:r>
      <w:hyperlink r:id="rId34" w:history="1">
        <w:r w:rsidRPr="00AE501D">
          <w:rPr>
            <w:rStyle w:val="Hyperlink"/>
          </w:rPr>
          <w:t>https://www.canadianlawyermag.com/practice-areas/family/cba-bc-branch-slams-provincial-budget-for-absence-of-new-funding-for-family-law-legal-aid/384035</w:t>
        </w:r>
      </w:hyperlink>
      <w:r w:rsidRPr="00AE501D">
        <w:t xml:space="preserve"> </w:t>
      </w:r>
    </w:p>
  </w:footnote>
  <w:footnote w:id="71">
    <w:p w14:paraId="76DB958E" w14:textId="77777777" w:rsidR="007F0DED" w:rsidRPr="00AE501D" w:rsidRDefault="007F0DED" w:rsidP="009D0487">
      <w:pPr>
        <w:pStyle w:val="FootnoteText"/>
        <w:rPr>
          <w:color w:val="000000"/>
        </w:rPr>
      </w:pPr>
      <w:r w:rsidRPr="00AE501D">
        <w:rPr>
          <w:rStyle w:val="FootnoteReference"/>
          <w:color w:val="000000"/>
        </w:rPr>
        <w:footnoteRef/>
      </w:r>
      <w:r w:rsidRPr="00AE501D">
        <w:rPr>
          <w:color w:val="000000"/>
        </w:rPr>
        <w:t xml:space="preserve"> Supra note 62.</w:t>
      </w:r>
    </w:p>
  </w:footnote>
  <w:footnote w:id="72">
    <w:p w14:paraId="61056CFC" w14:textId="1F51F5AE" w:rsidR="007F0DED" w:rsidRPr="00AE501D" w:rsidRDefault="007F0DED" w:rsidP="00E43EA7">
      <w:pPr>
        <w:pStyle w:val="Heading1"/>
        <w:spacing w:before="0"/>
        <w:rPr>
          <w:color w:val="000000"/>
          <w:sz w:val="20"/>
          <w:szCs w:val="20"/>
        </w:rPr>
      </w:pPr>
      <w:r w:rsidRPr="00AE501D">
        <w:rPr>
          <w:rStyle w:val="FootnoteReference"/>
          <w:b w:val="0"/>
          <w:bCs w:val="0"/>
          <w:color w:val="000000"/>
          <w:sz w:val="20"/>
          <w:szCs w:val="20"/>
        </w:rPr>
        <w:footnoteRef/>
      </w:r>
      <w:r w:rsidRPr="00AE501D">
        <w:rPr>
          <w:b w:val="0"/>
          <w:bCs w:val="0"/>
          <w:color w:val="000000"/>
          <w:sz w:val="20"/>
          <w:szCs w:val="20"/>
        </w:rPr>
        <w:t xml:space="preserve"> Statistics Canada, Criminal justice outcomes of police-reported sexual assault in Canada, 2015 to 2019, online at: </w:t>
      </w:r>
      <w:r w:rsidR="00D56E2A" w:rsidRPr="00AE501D">
        <w:rPr>
          <w:b w:val="0"/>
          <w:bCs w:val="0"/>
          <w:color w:val="000000"/>
          <w:sz w:val="20"/>
          <w:szCs w:val="20"/>
        </w:rPr>
        <w:t xml:space="preserve">https://www150.statcan.gc.ca/n1/daily-quotidien/241106/dq241106a-eng.htm   </w:t>
      </w:r>
    </w:p>
  </w:footnote>
  <w:footnote w:id="73">
    <w:p w14:paraId="2832D7E4" w14:textId="77777777" w:rsidR="007F0DED" w:rsidRPr="00AE501D" w:rsidRDefault="007F0DED">
      <w:pPr>
        <w:pStyle w:val="FootnoteText"/>
      </w:pPr>
      <w:r w:rsidRPr="00AE501D">
        <w:rPr>
          <w:rStyle w:val="FootnoteReference"/>
          <w:color w:val="000000"/>
        </w:rPr>
        <w:footnoteRef/>
      </w:r>
      <w:r w:rsidRPr="00AE501D">
        <w:rPr>
          <w:color w:val="000000"/>
        </w:rPr>
        <w:t xml:space="preserve"> Ibid.</w:t>
      </w:r>
    </w:p>
  </w:footnote>
  <w:footnote w:id="74">
    <w:p w14:paraId="4190FF39" w14:textId="77777777" w:rsidR="007F0DED" w:rsidRPr="00AE501D" w:rsidRDefault="007F0DED" w:rsidP="00072073">
      <w:pPr>
        <w:rPr>
          <w:sz w:val="20"/>
          <w:szCs w:val="20"/>
        </w:rPr>
      </w:pPr>
      <w:r w:rsidRPr="00AE501D">
        <w:rPr>
          <w:rStyle w:val="FootnoteReference"/>
          <w:sz w:val="20"/>
          <w:szCs w:val="20"/>
        </w:rPr>
        <w:footnoteRef/>
      </w:r>
      <w:r w:rsidRPr="00AE501D">
        <w:rPr>
          <w:sz w:val="20"/>
          <w:szCs w:val="20"/>
        </w:rPr>
        <w:t xml:space="preserve"> In 2019 </w:t>
      </w:r>
      <w:r w:rsidRPr="00AE501D">
        <w:rPr>
          <w:color w:val="000000"/>
          <w:sz w:val="20"/>
          <w:szCs w:val="20"/>
        </w:rPr>
        <w:t xml:space="preserve">Canada enacted changes to the </w:t>
      </w:r>
      <w:r w:rsidRPr="00AE501D">
        <w:rPr>
          <w:i/>
          <w:iCs/>
          <w:color w:val="000000"/>
          <w:sz w:val="20"/>
          <w:szCs w:val="20"/>
        </w:rPr>
        <w:t>Criminal Code</w:t>
      </w:r>
      <w:r w:rsidRPr="00AE501D">
        <w:rPr>
          <w:color w:val="000000"/>
          <w:sz w:val="20"/>
          <w:szCs w:val="20"/>
        </w:rPr>
        <w:t xml:space="preserve"> that are intended to reduce barriers to reporting for survivors of sexual assault. It is not clear, however, that they are having this effect. The </w:t>
      </w:r>
      <w:r w:rsidRPr="00AE501D">
        <w:rPr>
          <w:sz w:val="20"/>
          <w:szCs w:val="20"/>
        </w:rPr>
        <w:t>changes</w:t>
      </w:r>
      <w:r w:rsidRPr="00AE501D">
        <w:rPr>
          <w:color w:val="000000"/>
          <w:sz w:val="20"/>
          <w:szCs w:val="20"/>
        </w:rPr>
        <w:t xml:space="preserve"> allow survivors and their representatives to participate in records disclosure processes related to sexual history evidence (section 276 of the </w:t>
      </w:r>
      <w:r w:rsidRPr="00AE501D">
        <w:rPr>
          <w:i/>
          <w:iCs/>
          <w:color w:val="000000"/>
          <w:sz w:val="20"/>
          <w:szCs w:val="20"/>
        </w:rPr>
        <w:t>Criminal Code</w:t>
      </w:r>
      <w:r w:rsidRPr="00AE501D">
        <w:rPr>
          <w:color w:val="000000"/>
          <w:sz w:val="20"/>
          <w:szCs w:val="20"/>
        </w:rPr>
        <w:t xml:space="preserve">) or private records in possession of the accused (section 278). Despite these changes, governments, with a few exceptions, have not designated funding to cover legal representation for women who are survivors of sexual assault. </w:t>
      </w:r>
    </w:p>
  </w:footnote>
  <w:footnote w:id="75">
    <w:p w14:paraId="729C0CCA" w14:textId="77777777" w:rsidR="007F0DED" w:rsidRPr="00AE501D" w:rsidRDefault="007F0DED">
      <w:pPr>
        <w:pStyle w:val="FootnoteText"/>
      </w:pPr>
      <w:r w:rsidRPr="00AE501D">
        <w:rPr>
          <w:rStyle w:val="FootnoteReference"/>
        </w:rPr>
        <w:footnoteRef/>
      </w:r>
      <w:r w:rsidRPr="00AE501D">
        <w:t xml:space="preserve"> OSCEPOLIS, online at: </w:t>
      </w:r>
      <w:hyperlink r:id="rId35" w:history="1">
        <w:r w:rsidRPr="00AE501D">
          <w:rPr>
            <w:rStyle w:val="Hyperlink"/>
            <w:color w:val="auto"/>
            <w:u w:val="none"/>
          </w:rPr>
          <w:t>https://polis.osce.org/country-profiles/canada</w:t>
        </w:r>
      </w:hyperlink>
    </w:p>
  </w:footnote>
  <w:footnote w:id="76">
    <w:p w14:paraId="67A38E7A" w14:textId="77777777" w:rsidR="007F0DED" w:rsidRPr="00AE501D" w:rsidRDefault="007F0DED">
      <w:pPr>
        <w:pStyle w:val="FootnoteText"/>
      </w:pPr>
      <w:r w:rsidRPr="00AE501D">
        <w:rPr>
          <w:rStyle w:val="FootnoteReference"/>
        </w:rPr>
        <w:footnoteRef/>
      </w:r>
      <w:r w:rsidRPr="00AE501D">
        <w:t xml:space="preserve"> Canadian Feminist Alliance for International Action, </w:t>
      </w:r>
      <w:r w:rsidRPr="00AE501D">
        <w:rPr>
          <w:i/>
          <w:iCs/>
        </w:rPr>
        <w:t>The Toxic Culture of the RCMP: Misogyny, Racism and Homophobia in Canada’s National Police Force</w:t>
      </w:r>
      <w:r w:rsidRPr="00AE501D">
        <w:t>, May 2022, online at: https://fafia-afai.org/wp-content/uploads/2024/11/RCMP_REPORT_FINAL_MAY03.pdf</w:t>
      </w:r>
    </w:p>
  </w:footnote>
  <w:footnote w:id="77">
    <w:p w14:paraId="089DCA25" w14:textId="77777777" w:rsidR="007F0DED" w:rsidRPr="00AE501D" w:rsidRDefault="007F0DED" w:rsidP="00376E79">
      <w:pPr>
        <w:pStyle w:val="FootnoteText"/>
      </w:pPr>
      <w:r w:rsidRPr="00AE501D">
        <w:rPr>
          <w:rStyle w:val="FootnoteReference"/>
        </w:rPr>
        <w:footnoteRef/>
      </w:r>
      <w:r w:rsidRPr="00AE501D">
        <w:t xml:space="preserve"> See: Human Rights Watch, </w:t>
      </w:r>
      <w:r w:rsidRPr="00AE501D">
        <w:rPr>
          <w:i/>
          <w:iCs/>
        </w:rPr>
        <w:t xml:space="preserve">Those Who Take Us Away Abusive Policing and Failures in Protection of Indigenous Women and Girls in Northern British Columbia, Canada, </w:t>
      </w:r>
      <w:r w:rsidRPr="00AE501D">
        <w:t xml:space="preserve">February 13 2013, online at: </w:t>
      </w:r>
      <w:hyperlink r:id="rId36" w:history="1">
        <w:r w:rsidRPr="00AE501D">
          <w:rPr>
            <w:rStyle w:val="Hyperlink"/>
          </w:rPr>
          <w:t>https://www.hrw.org/report/2013/02/13/those-who-take-us-away/abusive-policing-and-failures-protection-indigenous-women</w:t>
        </w:r>
      </w:hyperlink>
      <w:r w:rsidRPr="00AE501D">
        <w:t xml:space="preserve">;  Legal Services Board of Nunavut Pauktuutit Inuit Women of Canada, </w:t>
      </w:r>
      <w:r w:rsidRPr="00AE501D">
        <w:rPr>
          <w:i/>
          <w:iCs/>
        </w:rPr>
        <w:t xml:space="preserve">Request for Review of RCMP in Nunavut, </w:t>
      </w:r>
      <w:r w:rsidRPr="00AE501D">
        <w:t xml:space="preserve">June 13 2019, online at: </w:t>
      </w:r>
      <w:hyperlink r:id="rId37" w:history="1">
        <w:r w:rsidRPr="00AE501D">
          <w:rPr>
            <w:rStyle w:val="Hyperlink"/>
          </w:rPr>
          <w:t>https://embed.documentcloud.org/documents/6937877-ATIPP-LSB1-Compressed/</w:t>
        </w:r>
      </w:hyperlink>
      <w:r w:rsidRPr="00AE501D">
        <w:t xml:space="preserve">; Committee on the Elimination of Discrimination against Women, </w:t>
      </w:r>
      <w:r w:rsidRPr="00AE501D">
        <w:rPr>
          <w:i/>
          <w:iCs/>
        </w:rPr>
        <w:t xml:space="preserve">Report of the inquiry concerning Canada of the Committee on the Elimination of Discrimination against Women under article 8 of the Optional Protocol to the Convention on the Elimination of All Forms of Discrimination against Women, </w:t>
      </w:r>
      <w:r w:rsidRPr="00AE501D">
        <w:t xml:space="preserve">UN Doc C/OP.8/CAN/1 (March 30, 2015); Inter-American Commission on Human Rights, </w:t>
      </w:r>
      <w:r w:rsidRPr="00AE501D">
        <w:rPr>
          <w:i/>
          <w:iCs/>
        </w:rPr>
        <w:t>Missing and Murdered Indigenous Women in British Columbia, Canada</w:t>
      </w:r>
      <w:r w:rsidRPr="00AE501D">
        <w:t xml:space="preserve">, December 21 2014, online at: </w:t>
      </w:r>
      <w:hyperlink r:id="rId38" w:history="1">
        <w:r w:rsidRPr="00AE501D">
          <w:rPr>
            <w:rStyle w:val="Hyperlink"/>
          </w:rPr>
          <w:t>https://www.oas.org/en/iachr/reports/pdfs/indigenous-women-bc-canada-en.pdf</w:t>
        </w:r>
      </w:hyperlink>
      <w:r w:rsidRPr="00AE501D">
        <w:t xml:space="preserve">; The Opal Inquiry, </w:t>
      </w:r>
      <w:r w:rsidRPr="00AE501D">
        <w:rPr>
          <w:i/>
          <w:iCs/>
        </w:rPr>
        <w:t>Forsaken The Report of the Missing Women Commission of Inquiry</w:t>
      </w:r>
      <w:r w:rsidRPr="00AE501D">
        <w:t xml:space="preserve">, November 19 2012, online at: </w:t>
      </w:r>
      <w:hyperlink r:id="rId39" w:history="1">
        <w:r w:rsidRPr="00AE501D">
          <w:rPr>
            <w:rStyle w:val="Hyperlink"/>
          </w:rPr>
          <w:t>https://www2.gov.bc.ca/assets/gov/law-crime-and-justice/about-bc-justice-system/inquiries/forsaken-es.pdf</w:t>
        </w:r>
      </w:hyperlink>
      <w:r w:rsidRPr="00AE501D">
        <w:t xml:space="preserve">; National Inquiry into Missing and Murdered Indigenous Women and Girls, </w:t>
      </w:r>
      <w:r w:rsidRPr="00AE501D">
        <w:rPr>
          <w:i/>
          <w:iCs/>
        </w:rPr>
        <w:t>Reclaiming Power and Place: The Final Report of the National Inquiry into Missing and Murdered Indigenous Women and Girls</w:t>
      </w:r>
      <w:r w:rsidRPr="00AE501D">
        <w:t xml:space="preserve">, 2019, online at: </w:t>
      </w:r>
      <w:hyperlink r:id="rId40" w:history="1">
        <w:r w:rsidRPr="00AE501D">
          <w:rPr>
            <w:rStyle w:val="Hyperlink"/>
          </w:rPr>
          <w:t>https://www.mmiwg-ffada.ca/final-report/</w:t>
        </w:r>
      </w:hyperlink>
      <w:r w:rsidRPr="00AE501D">
        <w:t xml:space="preserve">    </w:t>
      </w:r>
    </w:p>
  </w:footnote>
  <w:footnote w:id="78">
    <w:p w14:paraId="2860AF88" w14:textId="77777777" w:rsidR="007F0DED" w:rsidRPr="00AE501D" w:rsidRDefault="007F0DED">
      <w:pPr>
        <w:pStyle w:val="FootnoteText"/>
      </w:pPr>
      <w:r w:rsidRPr="00AE501D">
        <w:rPr>
          <w:rStyle w:val="FootnoteReference"/>
        </w:rPr>
        <w:footnoteRef/>
      </w:r>
      <w:r w:rsidRPr="00AE501D">
        <w:t xml:space="preserve"> Amanda Follett Hosgood, “BC Police-Involved Deaths Have Risen 700% in the Last Decade”, February 15 2023, online at: </w:t>
      </w:r>
      <w:hyperlink r:id="rId41" w:history="1">
        <w:r w:rsidRPr="00AE501D">
          <w:rPr>
            <w:rStyle w:val="Hyperlink"/>
          </w:rPr>
          <w:t>https://www.thetyee.ca/News/2023/02/15/Rising-Police-Involved-Deaths/?utm_source=twitter&amp;utm_medium=social&amp;utm_content=031723-1&amp;utm_campaign=editorial</w:t>
        </w:r>
      </w:hyperlink>
      <w:r w:rsidRPr="00AE501D">
        <w:t xml:space="preserve"> </w:t>
      </w:r>
    </w:p>
  </w:footnote>
  <w:footnote w:id="79">
    <w:p w14:paraId="203AAFD4" w14:textId="77777777" w:rsidR="007F0DED" w:rsidRPr="00AE501D" w:rsidRDefault="007F0DED" w:rsidP="00172411">
      <w:pPr>
        <w:rPr>
          <w:sz w:val="20"/>
          <w:szCs w:val="20"/>
        </w:rPr>
      </w:pPr>
      <w:r w:rsidRPr="00AE501D">
        <w:rPr>
          <w:sz w:val="20"/>
          <w:szCs w:val="20"/>
          <w:vertAlign w:val="superscript"/>
        </w:rPr>
        <w:footnoteRef/>
      </w:r>
      <w:r w:rsidRPr="00AE501D">
        <w:rPr>
          <w:sz w:val="20"/>
          <w:szCs w:val="20"/>
        </w:rPr>
        <w:t xml:space="preserve"> Royal Canadian Mounted Police Government of Canada, </w:t>
      </w:r>
      <w:r w:rsidRPr="00AE501D">
        <w:rPr>
          <w:i/>
          <w:iCs/>
          <w:sz w:val="20"/>
          <w:szCs w:val="20"/>
        </w:rPr>
        <w:t>Final Report on the Implementation of the Merlo Davidson Settlement Agreement</w:t>
      </w:r>
      <w:r w:rsidRPr="00AE501D">
        <w:rPr>
          <w:sz w:val="20"/>
          <w:szCs w:val="20"/>
        </w:rPr>
        <w:t>, 19 November 2020, online at: https://rcmp.ca/en/bastarache-report/final-report-implementation-merlo-davidson-settlement-agreement</w:t>
      </w:r>
    </w:p>
  </w:footnote>
  <w:footnote w:id="80">
    <w:p w14:paraId="06780D12" w14:textId="77777777" w:rsidR="007F0DED" w:rsidRPr="00AE501D" w:rsidRDefault="007F0DED">
      <w:pPr>
        <w:pStyle w:val="FootnoteText"/>
      </w:pPr>
      <w:r w:rsidRPr="00AE501D">
        <w:rPr>
          <w:rStyle w:val="FootnoteReference"/>
        </w:rPr>
        <w:footnoteRef/>
      </w:r>
      <w:r w:rsidRPr="00AE501D">
        <w:t xml:space="preserve"> </w:t>
      </w:r>
      <w:r w:rsidRPr="00AE501D">
        <w:rPr>
          <w:i/>
          <w:iCs/>
        </w:rPr>
        <w:t xml:space="preserve">Ibid, </w:t>
      </w:r>
      <w:r w:rsidRPr="00AE501D">
        <w:t xml:space="preserve">Executive Summary. </w:t>
      </w:r>
    </w:p>
  </w:footnote>
  <w:footnote w:id="81">
    <w:p w14:paraId="469A0FBB" w14:textId="77777777" w:rsidR="007F0DED" w:rsidRPr="00AE501D" w:rsidRDefault="007F0DED">
      <w:pPr>
        <w:pStyle w:val="FootnoteText"/>
      </w:pPr>
      <w:r w:rsidRPr="00AE501D">
        <w:rPr>
          <w:rStyle w:val="FootnoteReference"/>
        </w:rPr>
        <w:footnoteRef/>
      </w:r>
      <w:r w:rsidRPr="00AE501D">
        <w:t xml:space="preserve"> Juliana M. B. Khoury, Amber J. Fletcher, Jolan Nisbet and R. Nicholas Carleton, </w:t>
      </w:r>
      <w:r w:rsidRPr="00AE501D">
        <w:rPr>
          <w:i/>
          <w:iCs/>
        </w:rPr>
        <w:t>Understanding and addressing sexual- and gender-based harassment and discrimination among Royal Canadian Mounted Police</w:t>
      </w:r>
      <w:r w:rsidRPr="00AE501D">
        <w:t xml:space="preserve">, October 10 2024, online at: </w:t>
      </w:r>
      <w:hyperlink r:id="rId42" w:history="1">
        <w:r w:rsidRPr="00AE501D">
          <w:rPr>
            <w:rStyle w:val="Hyperlink"/>
          </w:rPr>
          <w:t>https://doi.org/10.1080/15614263.2024.2414314</w:t>
        </w:r>
      </w:hyperlink>
      <w:r w:rsidRPr="00AE501D">
        <w:t xml:space="preserve"> </w:t>
      </w:r>
    </w:p>
  </w:footnote>
  <w:footnote w:id="82">
    <w:p w14:paraId="1F5A4882" w14:textId="77777777" w:rsidR="007F0DED" w:rsidRPr="00AE501D" w:rsidRDefault="007F0DED">
      <w:pPr>
        <w:pStyle w:val="FootnoteText"/>
      </w:pPr>
      <w:r w:rsidRPr="00AE501D">
        <w:rPr>
          <w:rStyle w:val="FootnoteReference"/>
        </w:rPr>
        <w:footnoteRef/>
      </w:r>
      <w:r w:rsidRPr="00AE501D">
        <w:t xml:space="preserve"> Supra note 72, Executive Summary.</w:t>
      </w:r>
    </w:p>
  </w:footnote>
  <w:footnote w:id="83">
    <w:p w14:paraId="659C7951"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r w:rsidRPr="00AE501D">
        <w:t>.</w:t>
      </w:r>
    </w:p>
  </w:footnote>
  <w:footnote w:id="84">
    <w:p w14:paraId="3EE70D50" w14:textId="77777777" w:rsidR="007F0DED" w:rsidRPr="00AE501D" w:rsidRDefault="007F0DED" w:rsidP="00172411">
      <w:pPr>
        <w:pStyle w:val="FootnoteText"/>
      </w:pPr>
      <w:r w:rsidRPr="00AE501D">
        <w:rPr>
          <w:rStyle w:val="FootnoteReference"/>
        </w:rPr>
        <w:footnoteRef/>
      </w:r>
      <w:r w:rsidRPr="00AE501D">
        <w:t xml:space="preserve"> Nicole Munro, Saltwire, “Hundreds join women’s rights activists in rally for public inquiry into mass shooting”, July 27 2020, online at: </w:t>
      </w:r>
      <w:hyperlink r:id="rId43" w:history="1">
        <w:r w:rsidRPr="00AE501D">
          <w:rPr>
            <w:rStyle w:val="Hyperlink"/>
            <w:color w:val="auto"/>
            <w:u w:val="none"/>
          </w:rPr>
          <w:t>https://www.saltwire.com/atlantic-canada/news/canada/hundreds-join-womens-rights-activists-in-rally-for-public-inquiry-into-mass-shooting-478065/</w:t>
        </w:r>
      </w:hyperlink>
    </w:p>
  </w:footnote>
  <w:footnote w:id="85">
    <w:p w14:paraId="40F69DB0" w14:textId="77777777" w:rsidR="007F0DED" w:rsidRPr="00AE501D" w:rsidRDefault="007F0DED" w:rsidP="00172411">
      <w:pPr>
        <w:rPr>
          <w:sz w:val="20"/>
          <w:szCs w:val="20"/>
        </w:rPr>
      </w:pPr>
      <w:r w:rsidRPr="00AE501D">
        <w:rPr>
          <w:rStyle w:val="FootnoteReference"/>
          <w:sz w:val="20"/>
          <w:szCs w:val="20"/>
        </w:rPr>
        <w:footnoteRef/>
      </w:r>
      <w:r w:rsidRPr="00AE501D">
        <w:rPr>
          <w:sz w:val="20"/>
          <w:szCs w:val="20"/>
        </w:rPr>
        <w:t xml:space="preserve"> Rachel Aiello, CTV News, “Government now launching full public inquiry into N.S. mass shooting”, online at: </w:t>
      </w:r>
      <w:hyperlink r:id="rId44" w:history="1">
        <w:r w:rsidRPr="00AE501D">
          <w:rPr>
            <w:rStyle w:val="Hyperlink"/>
            <w:color w:val="auto"/>
            <w:u w:val="none"/>
          </w:rPr>
          <w:t>https://www.ctvnews.ca/politics/government-now-launching-full-public-inquiry-into-n-s-mass-shooting-1.5041933</w:t>
        </w:r>
      </w:hyperlink>
    </w:p>
  </w:footnote>
  <w:footnote w:id="86">
    <w:p w14:paraId="500C4ACB" w14:textId="77777777" w:rsidR="007F0DED" w:rsidRPr="00AE501D" w:rsidRDefault="007F0DED">
      <w:pPr>
        <w:pStyle w:val="FootnoteText"/>
      </w:pPr>
      <w:r w:rsidRPr="00AE501D">
        <w:rPr>
          <w:rStyle w:val="FootnoteReference"/>
        </w:rPr>
        <w:footnoteRef/>
      </w:r>
      <w:r w:rsidRPr="00AE501D">
        <w:t xml:space="preserve"> Mass Casualty Commission, </w:t>
      </w:r>
      <w:r w:rsidRPr="00AE501D">
        <w:rPr>
          <w:i/>
          <w:iCs/>
        </w:rPr>
        <w:t>Turning the Tide Together Final Report of the Mass Casualty Commission</w:t>
      </w:r>
      <w:r w:rsidRPr="00AE501D">
        <w:t xml:space="preserve">, March 30 2023, online at: </w:t>
      </w:r>
      <w:hyperlink r:id="rId45" w:history="1">
        <w:r w:rsidRPr="00AE501D">
          <w:rPr>
            <w:rStyle w:val="Hyperlink"/>
          </w:rPr>
          <w:t>https://masscasualtycommission.ca/final-report/</w:t>
        </w:r>
      </w:hyperlink>
      <w:r w:rsidRPr="00AE501D">
        <w:t xml:space="preserve"> </w:t>
      </w:r>
    </w:p>
  </w:footnote>
  <w:footnote w:id="87">
    <w:p w14:paraId="029E3022" w14:textId="77777777" w:rsidR="007F0DED" w:rsidRPr="00AE501D" w:rsidRDefault="007F0DED">
      <w:pPr>
        <w:pStyle w:val="FootnoteText"/>
      </w:pPr>
      <w:r w:rsidRPr="00AE501D">
        <w:rPr>
          <w:rStyle w:val="FootnoteReference"/>
        </w:rPr>
        <w:footnoteRef/>
      </w:r>
      <w:r w:rsidRPr="00AE501D">
        <w:t xml:space="preserve"> Mass Casualty Commission, </w:t>
      </w:r>
      <w:r w:rsidRPr="00AE501D">
        <w:rPr>
          <w:i/>
          <w:iCs/>
        </w:rPr>
        <w:t>Final Report of the Mass Casualty Commission</w:t>
      </w:r>
      <w:r w:rsidRPr="00AE501D">
        <w:t xml:space="preserve">, at number 98, March 30 2023 online at: </w:t>
      </w:r>
      <w:hyperlink r:id="rId46" w:history="1">
        <w:r w:rsidRPr="00AE501D">
          <w:rPr>
            <w:rStyle w:val="Hyperlink"/>
          </w:rPr>
          <w:t>https://masscasualtycommission.ca/files/documents/Turning-the-Tide-Together-List-of-Recommendations.pdf</w:t>
        </w:r>
      </w:hyperlink>
      <w:r w:rsidRPr="00AE501D">
        <w:t xml:space="preserve"> </w:t>
      </w:r>
    </w:p>
  </w:footnote>
  <w:footnote w:id="88">
    <w:p w14:paraId="09A9286D" w14:textId="77777777" w:rsidR="007F0DED" w:rsidRPr="00AE501D" w:rsidRDefault="007F0DED">
      <w:pPr>
        <w:pStyle w:val="FootnoteText"/>
      </w:pPr>
      <w:r w:rsidRPr="00AE501D">
        <w:rPr>
          <w:rStyle w:val="FootnoteReference"/>
        </w:rPr>
        <w:footnoteRef/>
      </w:r>
      <w:r w:rsidRPr="00AE501D">
        <w:t xml:space="preserve"> See  Canadian Feminist Alliance for International Action, </w:t>
      </w:r>
      <w:r w:rsidRPr="00AE501D">
        <w:rPr>
          <w:i/>
          <w:iCs/>
        </w:rPr>
        <w:t>The Toxic Culture of the RCMP: Misogyny, Racism and Homophobia in Canada’s National Police Force</w:t>
      </w:r>
      <w:r w:rsidRPr="00AE501D">
        <w:t>, May 2022, at p. 37, online at: https://fafia-afai.org/wp-content/uploads/2024/11/RCMP_REPORT_FINAL_MAY03.pdf</w:t>
      </w:r>
    </w:p>
  </w:footnote>
  <w:footnote w:id="89">
    <w:p w14:paraId="39808730" w14:textId="77777777" w:rsidR="007F0DED" w:rsidRPr="00AE501D" w:rsidRDefault="007F0DED">
      <w:pPr>
        <w:pStyle w:val="FootnoteText"/>
      </w:pPr>
      <w:r w:rsidRPr="00AE501D">
        <w:rPr>
          <w:rStyle w:val="FootnoteReference"/>
        </w:rPr>
        <w:footnoteRef/>
      </w:r>
      <w:r w:rsidRPr="00AE501D">
        <w:t xml:space="preserve"> Brent Patterson, “PBI-Canada continues to monitor the Civilian Review and Complaints Commission systemic investigation of the RCMP C-IRG”, January 23 2026, online at: </w:t>
      </w:r>
      <w:hyperlink r:id="rId47" w:history="1">
        <w:r w:rsidRPr="00AE501D">
          <w:rPr>
            <w:rStyle w:val="Hyperlink"/>
          </w:rPr>
          <w:t>https://pbicanada.org/2026/01/23/pbi-canada-continues-to-monitor-the-civilian-review-and-complaints-commission-systemic-investigation-of-the-rcmp-c-irg/</w:t>
        </w:r>
      </w:hyperlink>
      <w:r w:rsidRPr="00AE501D">
        <w:t xml:space="preserve"> </w:t>
      </w:r>
    </w:p>
  </w:footnote>
  <w:footnote w:id="90">
    <w:p w14:paraId="12CEFFA4"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91">
    <w:p w14:paraId="2A31FE83" w14:textId="77777777" w:rsidR="007F0DED" w:rsidRPr="00AE501D" w:rsidRDefault="007F0DED">
      <w:pPr>
        <w:pStyle w:val="FootnoteText"/>
      </w:pPr>
      <w:r w:rsidRPr="00AE501D">
        <w:rPr>
          <w:rStyle w:val="FootnoteReference"/>
        </w:rPr>
        <w:footnoteRef/>
      </w:r>
      <w:r w:rsidRPr="00AE501D">
        <w:t xml:space="preserve"> </w:t>
      </w:r>
      <w:r w:rsidRPr="00AE501D">
        <w:rPr>
          <w:i/>
          <w:iCs/>
        </w:rPr>
        <w:t>Ibid.</w:t>
      </w:r>
    </w:p>
  </w:footnote>
  <w:footnote w:id="92">
    <w:p w14:paraId="5AFDA973" w14:textId="1B88EEDD" w:rsidR="007F0DED" w:rsidRPr="00AE501D" w:rsidRDefault="007F0DED">
      <w:pPr>
        <w:pStyle w:val="FootnoteText"/>
      </w:pPr>
      <w:r w:rsidRPr="00AE501D">
        <w:rPr>
          <w:rStyle w:val="FootnoteReference"/>
        </w:rPr>
        <w:footnoteRef/>
      </w:r>
      <w:r w:rsidRPr="00AE501D">
        <w:t xml:space="preserve"> </w:t>
      </w:r>
      <w:r w:rsidR="008938CE" w:rsidRPr="00AE501D">
        <w:t xml:space="preserve">See Annex B here: </w:t>
      </w:r>
      <w:hyperlink r:id="rId48" w:history="1">
        <w:r w:rsidR="008938CE" w:rsidRPr="00AE501D">
          <w:rPr>
            <w:rStyle w:val="Hyperlink"/>
          </w:rPr>
          <w:t>https://docs.google.com/document/d/1SE8qMDbMWb8MvVjHXdy5ZcwbpX7shU-5fEBJfw-7OLk/edit?tab=t.0</w:t>
        </w:r>
      </w:hyperlink>
      <w:r w:rsidR="008938CE" w:rsidRPr="00AE501D">
        <w:t xml:space="preserve"> </w:t>
      </w:r>
    </w:p>
  </w:footnote>
  <w:footnote w:id="93">
    <w:p w14:paraId="505A9404" w14:textId="77777777" w:rsidR="007F0DED" w:rsidRPr="00AE501D" w:rsidRDefault="007F0DED" w:rsidP="00A03B9E">
      <w:pPr>
        <w:pStyle w:val="FootnoteText"/>
      </w:pPr>
      <w:r w:rsidRPr="00AE501D">
        <w:rPr>
          <w:rStyle w:val="FootnoteReference"/>
        </w:rPr>
        <w:footnoteRef/>
      </w:r>
      <w:r w:rsidRPr="00AE501D">
        <w:t xml:space="preserve"> Note that we use the term ‘Indian’ in this particular context as this is the legal term in the </w:t>
      </w:r>
      <w:r w:rsidRPr="00AE501D">
        <w:rPr>
          <w:i/>
          <w:iCs/>
        </w:rPr>
        <w:t xml:space="preserve">Indian Act, </w:t>
      </w:r>
      <w:r w:rsidRPr="00AE501D">
        <w:t>while recognizing that it is</w:t>
      </w:r>
      <w:r w:rsidRPr="00AE501D">
        <w:rPr>
          <w:i/>
          <w:iCs/>
        </w:rPr>
        <w:t xml:space="preserve"> </w:t>
      </w:r>
      <w:r w:rsidRPr="00AE501D">
        <w:t>an archaic, colonial term.</w:t>
      </w:r>
    </w:p>
  </w:footnote>
  <w:footnote w:id="94">
    <w:p w14:paraId="3DED453B" w14:textId="6F4063A2" w:rsidR="007F0DED" w:rsidRPr="00AE501D" w:rsidRDefault="007F0DED" w:rsidP="00A03B9E">
      <w:pPr>
        <w:pStyle w:val="FootnoteText"/>
      </w:pPr>
      <w:r w:rsidRPr="00AE501D">
        <w:rPr>
          <w:rStyle w:val="FootnoteReference"/>
        </w:rPr>
        <w:footnoteRef/>
      </w:r>
      <w:r w:rsidRPr="00AE501D">
        <w:t xml:space="preserve"> National Inquiry on Missing and Murdered Indigenous Women and Girls, </w:t>
      </w:r>
      <w:r w:rsidRPr="00AE501D">
        <w:rPr>
          <w:i/>
          <w:iCs/>
        </w:rPr>
        <w:t>A Legal Analysis of Genocide: Supplementary Report</w:t>
      </w:r>
      <w:r w:rsidRPr="00AE501D">
        <w:t xml:space="preserve">, online at: </w:t>
      </w:r>
      <w:hyperlink r:id="rId49" w:history="1">
        <w:r w:rsidRPr="00AE501D">
          <w:rPr>
            <w:rStyle w:val="Hyperlink"/>
            <w:color w:val="auto"/>
            <w:u w:val="none"/>
          </w:rPr>
          <w:t>https://www.mmiwg-ffada.ca/wp-content/uploads/2019/06/Supplementary-Report_Genocide.pdf</w:t>
        </w:r>
      </w:hyperlink>
      <w:r w:rsidR="008938CE" w:rsidRPr="00AE501D">
        <w:t xml:space="preserve"> </w:t>
      </w:r>
    </w:p>
  </w:footnote>
  <w:footnote w:id="95">
    <w:p w14:paraId="5285B1DD" w14:textId="77777777" w:rsidR="007F0DED" w:rsidRPr="00AE501D" w:rsidRDefault="007F0DED" w:rsidP="00A03B9E">
      <w:pPr>
        <w:pStyle w:val="FootnoteText"/>
      </w:pPr>
      <w:r w:rsidRPr="00AE501D">
        <w:rPr>
          <w:rStyle w:val="FootnoteReference"/>
        </w:rPr>
        <w:footnoteRef/>
      </w:r>
      <w:r w:rsidRPr="00AE501D">
        <w:t xml:space="preserve"> Office of the Parliamentary Budget Officer, </w:t>
      </w:r>
      <w:r w:rsidRPr="00AE501D">
        <w:rPr>
          <w:i/>
          <w:iCs/>
        </w:rPr>
        <w:t>Addressing sex-based inequities in Indian Registration</w:t>
      </w:r>
      <w:r w:rsidRPr="00AE501D">
        <w:t xml:space="preserve">, 5 December 2017, online at: </w:t>
      </w:r>
      <w:hyperlink r:id="rId50" w:history="1">
        <w:r w:rsidRPr="00AE501D">
          <w:rPr>
            <w:rStyle w:val="Hyperlink"/>
            <w:color w:val="auto"/>
            <w:u w:val="none"/>
          </w:rPr>
          <w:t>https://www.pbo-dpb.gc.ca/web/default/files/Documents/Reports/2017/Bill%20S-3/Bill%20S-3_EN.pdf</w:t>
        </w:r>
      </w:hyperlink>
    </w:p>
  </w:footnote>
  <w:footnote w:id="96">
    <w:p w14:paraId="6E05456C" w14:textId="77777777" w:rsidR="007F0DED" w:rsidRPr="00AE501D" w:rsidRDefault="007F0DED">
      <w:pPr>
        <w:pStyle w:val="FootnoteText"/>
      </w:pPr>
      <w:r w:rsidRPr="00AE501D">
        <w:rPr>
          <w:rStyle w:val="FootnoteReference"/>
        </w:rPr>
        <w:footnoteRef/>
      </w:r>
      <w:r w:rsidRPr="00AE501D">
        <w:t xml:space="preserve"> Standing Senate Committee on Indigenous Peoples, </w:t>
      </w:r>
      <w:r w:rsidRPr="00AE501D">
        <w:rPr>
          <w:i/>
          <w:iCs/>
        </w:rPr>
        <w:t>Make It Stop! Eliminating the Remaining Discrimination in Indian Registration</w:t>
      </w:r>
      <w:r w:rsidRPr="00AE501D">
        <w:t>, June 2022, online at: https://sencanada.ca/content/sen/committee/441/APPA/reports/2022-06-27_APPA_S-3_Report_e_FINAL.pdf</w:t>
      </w:r>
      <w:r w:rsidRPr="00AE501D">
        <w:rPr>
          <w:i/>
          <w:iCs/>
        </w:rPr>
        <w:t xml:space="preserve"> </w:t>
      </w:r>
    </w:p>
  </w:footnote>
  <w:footnote w:id="97">
    <w:p w14:paraId="5B452DC7" w14:textId="77777777" w:rsidR="007F0DED" w:rsidRDefault="007F0DED" w:rsidP="00ED2D4A">
      <w:pPr>
        <w:pStyle w:val="FootnoteText"/>
      </w:pPr>
      <w:r w:rsidRPr="00AE501D">
        <w:rPr>
          <w:rStyle w:val="FootnoteReference"/>
          <w:vertAlign w:val="baseline"/>
        </w:rPr>
        <w:footnoteRef/>
      </w:r>
      <w:r w:rsidRPr="00AE501D">
        <w:t xml:space="preserve"> Five commissioners were appointed and Canada allocated $53.8 million to fund the National Inquiry.</w:t>
      </w:r>
      <w:r w:rsidRPr="005D37AE">
        <w:rPr>
          <w:rFonts w:ascii="Segoe UI" w:hAnsi="Segoe UI" w:cs="Segoe U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E8D"/>
    <w:multiLevelType w:val="hybridMultilevel"/>
    <w:tmpl w:val="DEAAB7F4"/>
    <w:lvl w:ilvl="0" w:tplc="32E610DA">
      <w:start w:val="1"/>
      <w:numFmt w:val="bullet"/>
      <w:lvlText w:val=""/>
      <w:lvlJc w:val="left"/>
      <w:pPr>
        <w:tabs>
          <w:tab w:val="num" w:pos="432"/>
        </w:tabs>
        <w:ind w:left="432" w:hanging="360"/>
      </w:pPr>
      <w:rPr>
        <w:rFonts w:ascii="Symbol" w:hAnsi="Symbol" w:cs="Symbol" w:hint="default"/>
      </w:rPr>
    </w:lvl>
    <w:lvl w:ilvl="1" w:tplc="32E610DA">
      <w:start w:val="1"/>
      <w:numFmt w:val="bullet"/>
      <w:lvlText w:val=""/>
      <w:lvlJc w:val="left"/>
      <w:pPr>
        <w:tabs>
          <w:tab w:val="num" w:pos="432"/>
        </w:tabs>
        <w:ind w:left="432" w:hanging="360"/>
      </w:pPr>
      <w:rPr>
        <w:rFonts w:ascii="Symbol" w:hAnsi="Symbol" w:cs="Symbol"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F52AA3"/>
    <w:multiLevelType w:val="hybridMultilevel"/>
    <w:tmpl w:val="F6A4ADD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84D316A"/>
    <w:multiLevelType w:val="hybridMultilevel"/>
    <w:tmpl w:val="1060A5E2"/>
    <w:lvl w:ilvl="0" w:tplc="04090001">
      <w:start w:val="1"/>
      <w:numFmt w:val="bullet"/>
      <w:lvlText w:val=""/>
      <w:lvlJc w:val="left"/>
      <w:pPr>
        <w:tabs>
          <w:tab w:val="num" w:pos="432"/>
        </w:tabs>
        <w:ind w:left="432" w:hanging="360"/>
      </w:pPr>
      <w:rPr>
        <w:rFonts w:ascii="Symbol" w:hAnsi="Symbol" w:cs="Symbol" w:hint="default"/>
      </w:rPr>
    </w:lvl>
    <w:lvl w:ilvl="1" w:tplc="04090003">
      <w:start w:val="1"/>
      <w:numFmt w:val="bullet"/>
      <w:lvlText w:val="o"/>
      <w:lvlJc w:val="left"/>
      <w:pPr>
        <w:tabs>
          <w:tab w:val="num" w:pos="1152"/>
        </w:tabs>
        <w:ind w:left="1152" w:hanging="360"/>
      </w:pPr>
      <w:rPr>
        <w:rFonts w:ascii="Courier New" w:hAnsi="Courier New" w:cs="Courier New" w:hint="default"/>
      </w:rPr>
    </w:lvl>
    <w:lvl w:ilvl="2" w:tplc="04090005">
      <w:start w:val="1"/>
      <w:numFmt w:val="bullet"/>
      <w:lvlText w:val=""/>
      <w:lvlJc w:val="left"/>
      <w:pPr>
        <w:tabs>
          <w:tab w:val="num" w:pos="1872"/>
        </w:tabs>
        <w:ind w:left="1872" w:hanging="360"/>
      </w:pPr>
      <w:rPr>
        <w:rFonts w:ascii="Wingdings" w:hAnsi="Wingdings" w:cs="Wingdings" w:hint="default"/>
      </w:rPr>
    </w:lvl>
    <w:lvl w:ilvl="3" w:tplc="04090001">
      <w:start w:val="1"/>
      <w:numFmt w:val="bullet"/>
      <w:lvlText w:val=""/>
      <w:lvlJc w:val="left"/>
      <w:pPr>
        <w:tabs>
          <w:tab w:val="num" w:pos="2592"/>
        </w:tabs>
        <w:ind w:left="2592" w:hanging="360"/>
      </w:pPr>
      <w:rPr>
        <w:rFonts w:ascii="Symbol" w:hAnsi="Symbol" w:cs="Symbol" w:hint="default"/>
      </w:rPr>
    </w:lvl>
    <w:lvl w:ilvl="4" w:tplc="04090003">
      <w:start w:val="1"/>
      <w:numFmt w:val="bullet"/>
      <w:lvlText w:val="o"/>
      <w:lvlJc w:val="left"/>
      <w:pPr>
        <w:tabs>
          <w:tab w:val="num" w:pos="3312"/>
        </w:tabs>
        <w:ind w:left="3312" w:hanging="360"/>
      </w:pPr>
      <w:rPr>
        <w:rFonts w:ascii="Courier New" w:hAnsi="Courier New" w:cs="Courier New" w:hint="default"/>
      </w:rPr>
    </w:lvl>
    <w:lvl w:ilvl="5" w:tplc="04090005">
      <w:start w:val="1"/>
      <w:numFmt w:val="bullet"/>
      <w:lvlText w:val=""/>
      <w:lvlJc w:val="left"/>
      <w:pPr>
        <w:tabs>
          <w:tab w:val="num" w:pos="4032"/>
        </w:tabs>
        <w:ind w:left="4032" w:hanging="360"/>
      </w:pPr>
      <w:rPr>
        <w:rFonts w:ascii="Wingdings" w:hAnsi="Wingdings" w:cs="Wingdings" w:hint="default"/>
      </w:rPr>
    </w:lvl>
    <w:lvl w:ilvl="6" w:tplc="04090001">
      <w:start w:val="1"/>
      <w:numFmt w:val="bullet"/>
      <w:lvlText w:val=""/>
      <w:lvlJc w:val="left"/>
      <w:pPr>
        <w:tabs>
          <w:tab w:val="num" w:pos="4752"/>
        </w:tabs>
        <w:ind w:left="4752" w:hanging="360"/>
      </w:pPr>
      <w:rPr>
        <w:rFonts w:ascii="Symbol" w:hAnsi="Symbol" w:cs="Symbol" w:hint="default"/>
      </w:rPr>
    </w:lvl>
    <w:lvl w:ilvl="7" w:tplc="04090003">
      <w:start w:val="1"/>
      <w:numFmt w:val="bullet"/>
      <w:lvlText w:val="o"/>
      <w:lvlJc w:val="left"/>
      <w:pPr>
        <w:tabs>
          <w:tab w:val="num" w:pos="5472"/>
        </w:tabs>
        <w:ind w:left="5472" w:hanging="360"/>
      </w:pPr>
      <w:rPr>
        <w:rFonts w:ascii="Courier New" w:hAnsi="Courier New" w:cs="Courier New" w:hint="default"/>
      </w:rPr>
    </w:lvl>
    <w:lvl w:ilvl="8" w:tplc="04090005">
      <w:start w:val="1"/>
      <w:numFmt w:val="bullet"/>
      <w:lvlText w:val=""/>
      <w:lvlJc w:val="left"/>
      <w:pPr>
        <w:tabs>
          <w:tab w:val="num" w:pos="6192"/>
        </w:tabs>
        <w:ind w:left="6192" w:hanging="360"/>
      </w:pPr>
      <w:rPr>
        <w:rFonts w:ascii="Wingdings" w:hAnsi="Wingdings" w:cs="Wingdings" w:hint="default"/>
      </w:rPr>
    </w:lvl>
  </w:abstractNum>
  <w:abstractNum w:abstractNumId="3" w15:restartNumberingAfterBreak="0">
    <w:nsid w:val="0A3B2D0A"/>
    <w:multiLevelType w:val="hybridMultilevel"/>
    <w:tmpl w:val="09568B88"/>
    <w:lvl w:ilvl="0" w:tplc="04090001">
      <w:start w:val="1"/>
      <w:numFmt w:val="bullet"/>
      <w:lvlText w:val=""/>
      <w:lvlJc w:val="left"/>
      <w:pPr>
        <w:tabs>
          <w:tab w:val="num" w:pos="1080"/>
        </w:tabs>
        <w:ind w:left="108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0F625771"/>
    <w:multiLevelType w:val="hybridMultilevel"/>
    <w:tmpl w:val="B0FE98C4"/>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3BD6014"/>
    <w:multiLevelType w:val="hybridMultilevel"/>
    <w:tmpl w:val="87006FA8"/>
    <w:lvl w:ilvl="0" w:tplc="32E610DA">
      <w:start w:val="1"/>
      <w:numFmt w:val="bullet"/>
      <w:lvlText w:val=""/>
      <w:lvlJc w:val="left"/>
      <w:pPr>
        <w:tabs>
          <w:tab w:val="num" w:pos="432"/>
        </w:tabs>
        <w:ind w:left="432"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81A5208"/>
    <w:multiLevelType w:val="multilevel"/>
    <w:tmpl w:val="6A9C4B0C"/>
    <w:lvl w:ilvl="0">
      <w:start w:val="1"/>
      <w:numFmt w:val="upperRoman"/>
      <w:lvlText w:val="%1."/>
      <w:lvlJc w:val="right"/>
      <w:pPr>
        <w:tabs>
          <w:tab w:val="num" w:pos="648"/>
        </w:tabs>
        <w:ind w:left="720" w:hanging="648"/>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D80611F"/>
    <w:multiLevelType w:val="hybridMultilevel"/>
    <w:tmpl w:val="2560614A"/>
    <w:lvl w:ilvl="0" w:tplc="04090001">
      <w:start w:val="1"/>
      <w:numFmt w:val="bullet"/>
      <w:lvlText w:val=""/>
      <w:lvlJc w:val="left"/>
      <w:pPr>
        <w:tabs>
          <w:tab w:val="num" w:pos="504"/>
        </w:tabs>
        <w:ind w:left="504" w:hanging="360"/>
      </w:pPr>
      <w:rPr>
        <w:rFonts w:ascii="Symbol" w:hAnsi="Symbol" w:cs="Symbol" w:hint="default"/>
        <w:b/>
        <w:bCs/>
        <w:color w:val="000000"/>
      </w:rPr>
    </w:lvl>
    <w:lvl w:ilvl="1" w:tplc="08090019">
      <w:start w:val="1"/>
      <w:numFmt w:val="lowerLetter"/>
      <w:lvlText w:val="%2."/>
      <w:lvlJc w:val="left"/>
      <w:pPr>
        <w:ind w:left="864" w:hanging="360"/>
      </w:pPr>
    </w:lvl>
    <w:lvl w:ilvl="2" w:tplc="0809001B">
      <w:start w:val="1"/>
      <w:numFmt w:val="lowerRoman"/>
      <w:lvlText w:val="%3."/>
      <w:lvlJc w:val="right"/>
      <w:pPr>
        <w:ind w:left="1584" w:hanging="180"/>
      </w:pPr>
    </w:lvl>
    <w:lvl w:ilvl="3" w:tplc="0809000F">
      <w:start w:val="1"/>
      <w:numFmt w:val="decimal"/>
      <w:lvlText w:val="%4."/>
      <w:lvlJc w:val="left"/>
      <w:pPr>
        <w:ind w:left="2304" w:hanging="360"/>
      </w:pPr>
    </w:lvl>
    <w:lvl w:ilvl="4" w:tplc="08090019">
      <w:start w:val="1"/>
      <w:numFmt w:val="lowerLetter"/>
      <w:lvlText w:val="%5."/>
      <w:lvlJc w:val="left"/>
      <w:pPr>
        <w:ind w:left="3024" w:hanging="360"/>
      </w:pPr>
    </w:lvl>
    <w:lvl w:ilvl="5" w:tplc="0809001B">
      <w:start w:val="1"/>
      <w:numFmt w:val="lowerRoman"/>
      <w:lvlText w:val="%6."/>
      <w:lvlJc w:val="right"/>
      <w:pPr>
        <w:ind w:left="3744" w:hanging="180"/>
      </w:pPr>
    </w:lvl>
    <w:lvl w:ilvl="6" w:tplc="0809000F">
      <w:start w:val="1"/>
      <w:numFmt w:val="decimal"/>
      <w:lvlText w:val="%7."/>
      <w:lvlJc w:val="left"/>
      <w:pPr>
        <w:ind w:left="4464" w:hanging="360"/>
      </w:pPr>
    </w:lvl>
    <w:lvl w:ilvl="7" w:tplc="08090019">
      <w:start w:val="1"/>
      <w:numFmt w:val="lowerLetter"/>
      <w:lvlText w:val="%8."/>
      <w:lvlJc w:val="left"/>
      <w:pPr>
        <w:ind w:left="5184" w:hanging="360"/>
      </w:pPr>
    </w:lvl>
    <w:lvl w:ilvl="8" w:tplc="0809001B">
      <w:start w:val="1"/>
      <w:numFmt w:val="lowerRoman"/>
      <w:lvlText w:val="%9."/>
      <w:lvlJc w:val="right"/>
      <w:pPr>
        <w:ind w:left="5904" w:hanging="180"/>
      </w:pPr>
    </w:lvl>
  </w:abstractNum>
  <w:abstractNum w:abstractNumId="8" w15:restartNumberingAfterBreak="0">
    <w:nsid w:val="1DAA3299"/>
    <w:multiLevelType w:val="hybridMultilevel"/>
    <w:tmpl w:val="22CC68E6"/>
    <w:lvl w:ilvl="0" w:tplc="81B69E5E">
      <w:start w:val="1"/>
      <w:numFmt w:val="bullet"/>
      <w:lvlText w:val=""/>
      <w:lvlJc w:val="left"/>
      <w:pPr>
        <w:tabs>
          <w:tab w:val="num" w:pos="1080"/>
        </w:tabs>
        <w:ind w:left="1080" w:hanging="360"/>
      </w:pPr>
      <w:rPr>
        <w:rFonts w:ascii="Symbol" w:hAnsi="Symbol" w:cs="Symbol" w:hint="default"/>
        <w:color w:val="9933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217F4860"/>
    <w:multiLevelType w:val="hybridMultilevel"/>
    <w:tmpl w:val="C1927B16"/>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4242A96"/>
    <w:multiLevelType w:val="hybridMultilevel"/>
    <w:tmpl w:val="FCBC7430"/>
    <w:lvl w:ilvl="0" w:tplc="04090001">
      <w:start w:val="1"/>
      <w:numFmt w:val="bullet"/>
      <w:lvlText w:val=""/>
      <w:lvlJc w:val="left"/>
      <w:pPr>
        <w:tabs>
          <w:tab w:val="num" w:pos="1080"/>
        </w:tabs>
        <w:ind w:left="108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66555B"/>
    <w:multiLevelType w:val="hybridMultilevel"/>
    <w:tmpl w:val="957640EC"/>
    <w:lvl w:ilvl="0" w:tplc="04090001">
      <w:start w:val="1"/>
      <w:numFmt w:val="bullet"/>
      <w:lvlText w:val=""/>
      <w:lvlJc w:val="left"/>
      <w:pPr>
        <w:tabs>
          <w:tab w:val="num" w:pos="432"/>
        </w:tabs>
        <w:ind w:left="432" w:hanging="360"/>
      </w:pPr>
      <w:rPr>
        <w:rFonts w:ascii="Symbol" w:hAnsi="Symbol" w:cs="Symbol" w:hint="default"/>
      </w:rPr>
    </w:lvl>
    <w:lvl w:ilvl="1" w:tplc="04090003">
      <w:start w:val="1"/>
      <w:numFmt w:val="bullet"/>
      <w:lvlText w:val="o"/>
      <w:lvlJc w:val="left"/>
      <w:pPr>
        <w:tabs>
          <w:tab w:val="num" w:pos="1152"/>
        </w:tabs>
        <w:ind w:left="1152" w:hanging="360"/>
      </w:pPr>
      <w:rPr>
        <w:rFonts w:ascii="Courier New" w:hAnsi="Courier New" w:cs="Courier New" w:hint="default"/>
      </w:rPr>
    </w:lvl>
    <w:lvl w:ilvl="2" w:tplc="04090005">
      <w:start w:val="1"/>
      <w:numFmt w:val="bullet"/>
      <w:lvlText w:val=""/>
      <w:lvlJc w:val="left"/>
      <w:pPr>
        <w:tabs>
          <w:tab w:val="num" w:pos="1872"/>
        </w:tabs>
        <w:ind w:left="1872" w:hanging="360"/>
      </w:pPr>
      <w:rPr>
        <w:rFonts w:ascii="Wingdings" w:hAnsi="Wingdings" w:cs="Wingdings" w:hint="default"/>
      </w:rPr>
    </w:lvl>
    <w:lvl w:ilvl="3" w:tplc="04090001">
      <w:start w:val="1"/>
      <w:numFmt w:val="bullet"/>
      <w:lvlText w:val=""/>
      <w:lvlJc w:val="left"/>
      <w:pPr>
        <w:tabs>
          <w:tab w:val="num" w:pos="2592"/>
        </w:tabs>
        <w:ind w:left="2592" w:hanging="360"/>
      </w:pPr>
      <w:rPr>
        <w:rFonts w:ascii="Symbol" w:hAnsi="Symbol" w:cs="Symbol" w:hint="default"/>
      </w:rPr>
    </w:lvl>
    <w:lvl w:ilvl="4" w:tplc="04090003">
      <w:start w:val="1"/>
      <w:numFmt w:val="bullet"/>
      <w:lvlText w:val="o"/>
      <w:lvlJc w:val="left"/>
      <w:pPr>
        <w:tabs>
          <w:tab w:val="num" w:pos="3312"/>
        </w:tabs>
        <w:ind w:left="3312" w:hanging="360"/>
      </w:pPr>
      <w:rPr>
        <w:rFonts w:ascii="Courier New" w:hAnsi="Courier New" w:cs="Courier New" w:hint="default"/>
      </w:rPr>
    </w:lvl>
    <w:lvl w:ilvl="5" w:tplc="04090005">
      <w:start w:val="1"/>
      <w:numFmt w:val="bullet"/>
      <w:lvlText w:val=""/>
      <w:lvlJc w:val="left"/>
      <w:pPr>
        <w:tabs>
          <w:tab w:val="num" w:pos="4032"/>
        </w:tabs>
        <w:ind w:left="4032" w:hanging="360"/>
      </w:pPr>
      <w:rPr>
        <w:rFonts w:ascii="Wingdings" w:hAnsi="Wingdings" w:cs="Wingdings" w:hint="default"/>
      </w:rPr>
    </w:lvl>
    <w:lvl w:ilvl="6" w:tplc="04090001">
      <w:start w:val="1"/>
      <w:numFmt w:val="bullet"/>
      <w:lvlText w:val=""/>
      <w:lvlJc w:val="left"/>
      <w:pPr>
        <w:tabs>
          <w:tab w:val="num" w:pos="4752"/>
        </w:tabs>
        <w:ind w:left="4752" w:hanging="360"/>
      </w:pPr>
      <w:rPr>
        <w:rFonts w:ascii="Symbol" w:hAnsi="Symbol" w:cs="Symbol" w:hint="default"/>
      </w:rPr>
    </w:lvl>
    <w:lvl w:ilvl="7" w:tplc="04090003">
      <w:start w:val="1"/>
      <w:numFmt w:val="bullet"/>
      <w:lvlText w:val="o"/>
      <w:lvlJc w:val="left"/>
      <w:pPr>
        <w:tabs>
          <w:tab w:val="num" w:pos="5472"/>
        </w:tabs>
        <w:ind w:left="5472" w:hanging="360"/>
      </w:pPr>
      <w:rPr>
        <w:rFonts w:ascii="Courier New" w:hAnsi="Courier New" w:cs="Courier New" w:hint="default"/>
      </w:rPr>
    </w:lvl>
    <w:lvl w:ilvl="8" w:tplc="04090005">
      <w:start w:val="1"/>
      <w:numFmt w:val="bullet"/>
      <w:lvlText w:val=""/>
      <w:lvlJc w:val="left"/>
      <w:pPr>
        <w:tabs>
          <w:tab w:val="num" w:pos="6192"/>
        </w:tabs>
        <w:ind w:left="6192" w:hanging="360"/>
      </w:pPr>
      <w:rPr>
        <w:rFonts w:ascii="Wingdings" w:hAnsi="Wingdings" w:cs="Wingdings" w:hint="default"/>
      </w:rPr>
    </w:lvl>
  </w:abstractNum>
  <w:abstractNum w:abstractNumId="12" w15:restartNumberingAfterBreak="0">
    <w:nsid w:val="2ADD2115"/>
    <w:multiLevelType w:val="hybridMultilevel"/>
    <w:tmpl w:val="7D802AE6"/>
    <w:lvl w:ilvl="0" w:tplc="32E610DA">
      <w:start w:val="1"/>
      <w:numFmt w:val="bullet"/>
      <w:lvlText w:val=""/>
      <w:lvlJc w:val="left"/>
      <w:pPr>
        <w:tabs>
          <w:tab w:val="num" w:pos="432"/>
        </w:tabs>
        <w:ind w:left="432"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035285B"/>
    <w:multiLevelType w:val="hybridMultilevel"/>
    <w:tmpl w:val="E17E2326"/>
    <w:lvl w:ilvl="0" w:tplc="04090001">
      <w:start w:val="1"/>
      <w:numFmt w:val="bullet"/>
      <w:lvlText w:val=""/>
      <w:lvlJc w:val="left"/>
      <w:pPr>
        <w:tabs>
          <w:tab w:val="num" w:pos="1080"/>
        </w:tabs>
        <w:ind w:left="108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32884586"/>
    <w:multiLevelType w:val="multilevel"/>
    <w:tmpl w:val="95A21384"/>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87E0534"/>
    <w:multiLevelType w:val="hybridMultilevel"/>
    <w:tmpl w:val="8C505A0E"/>
    <w:lvl w:ilvl="0" w:tplc="32E610DA">
      <w:start w:val="1"/>
      <w:numFmt w:val="bullet"/>
      <w:lvlText w:val=""/>
      <w:lvlJc w:val="left"/>
      <w:pPr>
        <w:tabs>
          <w:tab w:val="num" w:pos="864"/>
        </w:tabs>
        <w:ind w:left="864" w:hanging="360"/>
      </w:pPr>
      <w:rPr>
        <w:rFonts w:ascii="Symbol" w:hAnsi="Symbol" w:cs="Symbol"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abstractNum w:abstractNumId="16" w15:restartNumberingAfterBreak="0">
    <w:nsid w:val="38DE5EAA"/>
    <w:multiLevelType w:val="hybridMultilevel"/>
    <w:tmpl w:val="DFC4FBC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9FA593C"/>
    <w:multiLevelType w:val="hybridMultilevel"/>
    <w:tmpl w:val="A84020EE"/>
    <w:lvl w:ilvl="0" w:tplc="04090001">
      <w:start w:val="1"/>
      <w:numFmt w:val="bullet"/>
      <w:lvlText w:val=""/>
      <w:lvlJc w:val="left"/>
      <w:pPr>
        <w:tabs>
          <w:tab w:val="num" w:pos="1080"/>
        </w:tabs>
        <w:ind w:left="108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8" w15:restartNumberingAfterBreak="0">
    <w:nsid w:val="40914334"/>
    <w:multiLevelType w:val="multilevel"/>
    <w:tmpl w:val="B434C5E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44B772CA"/>
    <w:multiLevelType w:val="hybridMultilevel"/>
    <w:tmpl w:val="EA267146"/>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99E0275"/>
    <w:multiLevelType w:val="multilevel"/>
    <w:tmpl w:val="D4B26F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C1D40A8"/>
    <w:multiLevelType w:val="hybridMultilevel"/>
    <w:tmpl w:val="566E1C7C"/>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51F01B26"/>
    <w:multiLevelType w:val="hybridMultilevel"/>
    <w:tmpl w:val="8FC88330"/>
    <w:lvl w:ilvl="0" w:tplc="04090001">
      <w:start w:val="1"/>
      <w:numFmt w:val="bullet"/>
      <w:lvlText w:val=""/>
      <w:lvlJc w:val="left"/>
      <w:pPr>
        <w:tabs>
          <w:tab w:val="num" w:pos="1080"/>
        </w:tabs>
        <w:ind w:left="1080" w:hanging="360"/>
      </w:pPr>
      <w:rPr>
        <w:rFonts w:ascii="Symbol" w:hAnsi="Symbol" w:cs="Symbol" w:hint="default"/>
        <w:color w:val="9933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3" w15:restartNumberingAfterBreak="0">
    <w:nsid w:val="5A0B2763"/>
    <w:multiLevelType w:val="hybridMultilevel"/>
    <w:tmpl w:val="54E65644"/>
    <w:lvl w:ilvl="0" w:tplc="32E610DA">
      <w:start w:val="1"/>
      <w:numFmt w:val="bullet"/>
      <w:lvlText w:val=""/>
      <w:lvlJc w:val="left"/>
      <w:pPr>
        <w:tabs>
          <w:tab w:val="num" w:pos="504"/>
        </w:tabs>
        <w:ind w:left="504" w:hanging="360"/>
      </w:pPr>
      <w:rPr>
        <w:rFonts w:ascii="Symbol" w:hAnsi="Symbol" w:cs="Symbol" w:hint="default"/>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start w:val="1"/>
      <w:numFmt w:val="bullet"/>
      <w:lvlText w:val=""/>
      <w:lvlJc w:val="left"/>
      <w:pPr>
        <w:tabs>
          <w:tab w:val="num" w:pos="2232"/>
        </w:tabs>
        <w:ind w:left="2232" w:hanging="360"/>
      </w:pPr>
      <w:rPr>
        <w:rFonts w:ascii="Wingdings" w:hAnsi="Wingdings" w:cs="Wingdings" w:hint="default"/>
      </w:rPr>
    </w:lvl>
    <w:lvl w:ilvl="3" w:tplc="04090001">
      <w:start w:val="1"/>
      <w:numFmt w:val="bullet"/>
      <w:lvlText w:val=""/>
      <w:lvlJc w:val="left"/>
      <w:pPr>
        <w:tabs>
          <w:tab w:val="num" w:pos="2952"/>
        </w:tabs>
        <w:ind w:left="2952" w:hanging="360"/>
      </w:pPr>
      <w:rPr>
        <w:rFonts w:ascii="Symbol" w:hAnsi="Symbol" w:cs="Symbol" w:hint="default"/>
      </w:rPr>
    </w:lvl>
    <w:lvl w:ilvl="4" w:tplc="04090003">
      <w:start w:val="1"/>
      <w:numFmt w:val="bullet"/>
      <w:lvlText w:val="o"/>
      <w:lvlJc w:val="left"/>
      <w:pPr>
        <w:tabs>
          <w:tab w:val="num" w:pos="3672"/>
        </w:tabs>
        <w:ind w:left="3672" w:hanging="360"/>
      </w:pPr>
      <w:rPr>
        <w:rFonts w:ascii="Courier New" w:hAnsi="Courier New" w:cs="Courier New" w:hint="default"/>
      </w:rPr>
    </w:lvl>
    <w:lvl w:ilvl="5" w:tplc="04090005">
      <w:start w:val="1"/>
      <w:numFmt w:val="bullet"/>
      <w:lvlText w:val=""/>
      <w:lvlJc w:val="left"/>
      <w:pPr>
        <w:tabs>
          <w:tab w:val="num" w:pos="4392"/>
        </w:tabs>
        <w:ind w:left="4392" w:hanging="360"/>
      </w:pPr>
      <w:rPr>
        <w:rFonts w:ascii="Wingdings" w:hAnsi="Wingdings" w:cs="Wingdings" w:hint="default"/>
      </w:rPr>
    </w:lvl>
    <w:lvl w:ilvl="6" w:tplc="04090001">
      <w:start w:val="1"/>
      <w:numFmt w:val="bullet"/>
      <w:lvlText w:val=""/>
      <w:lvlJc w:val="left"/>
      <w:pPr>
        <w:tabs>
          <w:tab w:val="num" w:pos="5112"/>
        </w:tabs>
        <w:ind w:left="5112" w:hanging="360"/>
      </w:pPr>
      <w:rPr>
        <w:rFonts w:ascii="Symbol" w:hAnsi="Symbol" w:cs="Symbol" w:hint="default"/>
      </w:rPr>
    </w:lvl>
    <w:lvl w:ilvl="7" w:tplc="04090003">
      <w:start w:val="1"/>
      <w:numFmt w:val="bullet"/>
      <w:lvlText w:val="o"/>
      <w:lvlJc w:val="left"/>
      <w:pPr>
        <w:tabs>
          <w:tab w:val="num" w:pos="5832"/>
        </w:tabs>
        <w:ind w:left="5832" w:hanging="360"/>
      </w:pPr>
      <w:rPr>
        <w:rFonts w:ascii="Courier New" w:hAnsi="Courier New" w:cs="Courier New" w:hint="default"/>
      </w:rPr>
    </w:lvl>
    <w:lvl w:ilvl="8" w:tplc="04090005">
      <w:start w:val="1"/>
      <w:numFmt w:val="bullet"/>
      <w:lvlText w:val=""/>
      <w:lvlJc w:val="left"/>
      <w:pPr>
        <w:tabs>
          <w:tab w:val="num" w:pos="6552"/>
        </w:tabs>
        <w:ind w:left="6552" w:hanging="360"/>
      </w:pPr>
      <w:rPr>
        <w:rFonts w:ascii="Wingdings" w:hAnsi="Wingdings" w:cs="Wingdings" w:hint="default"/>
      </w:rPr>
    </w:lvl>
  </w:abstractNum>
  <w:abstractNum w:abstractNumId="24" w15:restartNumberingAfterBreak="0">
    <w:nsid w:val="5B16378F"/>
    <w:multiLevelType w:val="hybridMultilevel"/>
    <w:tmpl w:val="7A28B586"/>
    <w:lvl w:ilvl="0" w:tplc="EFD8E126">
      <w:start w:val="1"/>
      <w:numFmt w:val="upperRoman"/>
      <w:lvlText w:val="%1."/>
      <w:lvlJc w:val="right"/>
      <w:pPr>
        <w:tabs>
          <w:tab w:val="num" w:pos="432"/>
        </w:tabs>
        <w:ind w:left="432"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012591D"/>
    <w:multiLevelType w:val="hybridMultilevel"/>
    <w:tmpl w:val="42F4048A"/>
    <w:lvl w:ilvl="0" w:tplc="04090001">
      <w:start w:val="1"/>
      <w:numFmt w:val="bullet"/>
      <w:lvlText w:val=""/>
      <w:lvlJc w:val="left"/>
      <w:pPr>
        <w:tabs>
          <w:tab w:val="num" w:pos="1080"/>
        </w:tabs>
        <w:ind w:left="1080" w:hanging="360"/>
      </w:pPr>
      <w:rPr>
        <w:rFonts w:ascii="Symbol" w:hAnsi="Symbol" w:cs="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15:restartNumberingAfterBreak="0">
    <w:nsid w:val="624C5439"/>
    <w:multiLevelType w:val="hybridMultilevel"/>
    <w:tmpl w:val="BCE4E7AC"/>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03901B5"/>
    <w:multiLevelType w:val="hybridMultilevel"/>
    <w:tmpl w:val="E06E86E4"/>
    <w:lvl w:ilvl="0" w:tplc="32E610DA">
      <w:start w:val="1"/>
      <w:numFmt w:val="bullet"/>
      <w:lvlText w:val=""/>
      <w:lvlJc w:val="left"/>
      <w:pPr>
        <w:tabs>
          <w:tab w:val="num" w:pos="432"/>
        </w:tabs>
        <w:ind w:left="432"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1EE761E"/>
    <w:multiLevelType w:val="multilevel"/>
    <w:tmpl w:val="D458B948"/>
    <w:lvl w:ilvl="0">
      <w:start w:val="1"/>
      <w:numFmt w:val="upperRoman"/>
      <w:lvlText w:val="%1."/>
      <w:lvlJc w:val="right"/>
      <w:pPr>
        <w:tabs>
          <w:tab w:val="num" w:pos="648"/>
        </w:tabs>
        <w:ind w:left="720" w:hanging="288"/>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72CE0D79"/>
    <w:multiLevelType w:val="hybridMultilevel"/>
    <w:tmpl w:val="F79A6752"/>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7A2647EA"/>
    <w:multiLevelType w:val="hybridMultilevel"/>
    <w:tmpl w:val="1EF855BE"/>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992981321">
    <w:abstractNumId w:val="12"/>
  </w:num>
  <w:num w:numId="2" w16cid:durableId="1716733886">
    <w:abstractNumId w:val="0"/>
  </w:num>
  <w:num w:numId="3" w16cid:durableId="1724672093">
    <w:abstractNumId w:val="5"/>
  </w:num>
  <w:num w:numId="4" w16cid:durableId="348218435">
    <w:abstractNumId w:val="23"/>
  </w:num>
  <w:num w:numId="5" w16cid:durableId="720790888">
    <w:abstractNumId w:val="15"/>
  </w:num>
  <w:num w:numId="6" w16cid:durableId="1364407556">
    <w:abstractNumId w:val="18"/>
  </w:num>
  <w:num w:numId="7" w16cid:durableId="964508498">
    <w:abstractNumId w:val="27"/>
  </w:num>
  <w:num w:numId="8" w16cid:durableId="1130778920">
    <w:abstractNumId w:val="24"/>
  </w:num>
  <w:num w:numId="9" w16cid:durableId="2051030161">
    <w:abstractNumId w:val="16"/>
  </w:num>
  <w:num w:numId="10" w16cid:durableId="1938295250">
    <w:abstractNumId w:val="1"/>
  </w:num>
  <w:num w:numId="11" w16cid:durableId="1269117011">
    <w:abstractNumId w:val="19"/>
  </w:num>
  <w:num w:numId="12" w16cid:durableId="2087992733">
    <w:abstractNumId w:val="4"/>
  </w:num>
  <w:num w:numId="13" w16cid:durableId="125398689">
    <w:abstractNumId w:val="10"/>
  </w:num>
  <w:num w:numId="14" w16cid:durableId="1188640645">
    <w:abstractNumId w:val="25"/>
  </w:num>
  <w:num w:numId="15" w16cid:durableId="1042709501">
    <w:abstractNumId w:val="3"/>
  </w:num>
  <w:num w:numId="16" w16cid:durableId="2087723193">
    <w:abstractNumId w:val="17"/>
  </w:num>
  <w:num w:numId="17" w16cid:durableId="2070616898">
    <w:abstractNumId w:val="8"/>
  </w:num>
  <w:num w:numId="18" w16cid:durableId="338436430">
    <w:abstractNumId w:val="22"/>
  </w:num>
  <w:num w:numId="19" w16cid:durableId="1372999097">
    <w:abstractNumId w:val="13"/>
  </w:num>
  <w:num w:numId="20" w16cid:durableId="294064456">
    <w:abstractNumId w:val="30"/>
  </w:num>
  <w:num w:numId="21" w16cid:durableId="1872298319">
    <w:abstractNumId w:val="29"/>
  </w:num>
  <w:num w:numId="22" w16cid:durableId="1632975051">
    <w:abstractNumId w:val="26"/>
  </w:num>
  <w:num w:numId="23" w16cid:durableId="1403528360">
    <w:abstractNumId w:val="9"/>
  </w:num>
  <w:num w:numId="24" w16cid:durableId="2038235530">
    <w:abstractNumId w:val="21"/>
  </w:num>
  <w:num w:numId="25" w16cid:durableId="1861971394">
    <w:abstractNumId w:val="7"/>
  </w:num>
  <w:num w:numId="26" w16cid:durableId="857699390">
    <w:abstractNumId w:val="2"/>
  </w:num>
  <w:num w:numId="27" w16cid:durableId="1412461118">
    <w:abstractNumId w:val="11"/>
  </w:num>
  <w:num w:numId="28" w16cid:durableId="1944878502">
    <w:abstractNumId w:val="14"/>
  </w:num>
  <w:num w:numId="29" w16cid:durableId="1612737595">
    <w:abstractNumId w:val="28"/>
  </w:num>
  <w:num w:numId="30" w16cid:durableId="895244374">
    <w:abstractNumId w:val="6"/>
  </w:num>
  <w:num w:numId="31" w16cid:durableId="5910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3DD8"/>
    <w:rsid w:val="00000EE4"/>
    <w:rsid w:val="00006FE5"/>
    <w:rsid w:val="00007077"/>
    <w:rsid w:val="00012111"/>
    <w:rsid w:val="00012429"/>
    <w:rsid w:val="000134FD"/>
    <w:rsid w:val="00016994"/>
    <w:rsid w:val="00017BA6"/>
    <w:rsid w:val="00017F7F"/>
    <w:rsid w:val="0002104D"/>
    <w:rsid w:val="0002153A"/>
    <w:rsid w:val="00024175"/>
    <w:rsid w:val="0002452F"/>
    <w:rsid w:val="0003016E"/>
    <w:rsid w:val="00031B23"/>
    <w:rsid w:val="000323B4"/>
    <w:rsid w:val="00033673"/>
    <w:rsid w:val="00035B26"/>
    <w:rsid w:val="0003627B"/>
    <w:rsid w:val="000373B5"/>
    <w:rsid w:val="000375F4"/>
    <w:rsid w:val="00037C33"/>
    <w:rsid w:val="000400AB"/>
    <w:rsid w:val="00041367"/>
    <w:rsid w:val="0004160C"/>
    <w:rsid w:val="00043230"/>
    <w:rsid w:val="000434FD"/>
    <w:rsid w:val="00045F1A"/>
    <w:rsid w:val="000478F3"/>
    <w:rsid w:val="00047C37"/>
    <w:rsid w:val="000519CB"/>
    <w:rsid w:val="00052C9E"/>
    <w:rsid w:val="00052F9E"/>
    <w:rsid w:val="0006423D"/>
    <w:rsid w:val="00064EAA"/>
    <w:rsid w:val="0007028B"/>
    <w:rsid w:val="000709EA"/>
    <w:rsid w:val="00071509"/>
    <w:rsid w:val="00072073"/>
    <w:rsid w:val="0007227A"/>
    <w:rsid w:val="00073CE9"/>
    <w:rsid w:val="00077111"/>
    <w:rsid w:val="000779D8"/>
    <w:rsid w:val="00077C15"/>
    <w:rsid w:val="00081134"/>
    <w:rsid w:val="000829BE"/>
    <w:rsid w:val="00085BB2"/>
    <w:rsid w:val="00085CC1"/>
    <w:rsid w:val="000873AC"/>
    <w:rsid w:val="000879EE"/>
    <w:rsid w:val="0009035E"/>
    <w:rsid w:val="0009105C"/>
    <w:rsid w:val="00091708"/>
    <w:rsid w:val="00091FED"/>
    <w:rsid w:val="00093A4A"/>
    <w:rsid w:val="000944EC"/>
    <w:rsid w:val="000969E8"/>
    <w:rsid w:val="000A0BB5"/>
    <w:rsid w:val="000A0E8A"/>
    <w:rsid w:val="000A1251"/>
    <w:rsid w:val="000A1F57"/>
    <w:rsid w:val="000A2E29"/>
    <w:rsid w:val="000A572B"/>
    <w:rsid w:val="000A6572"/>
    <w:rsid w:val="000B0720"/>
    <w:rsid w:val="000B0E5F"/>
    <w:rsid w:val="000B6249"/>
    <w:rsid w:val="000B6549"/>
    <w:rsid w:val="000B7297"/>
    <w:rsid w:val="000C1BF9"/>
    <w:rsid w:val="000C21ED"/>
    <w:rsid w:val="000C2748"/>
    <w:rsid w:val="000C34AA"/>
    <w:rsid w:val="000C479F"/>
    <w:rsid w:val="000C4A7A"/>
    <w:rsid w:val="000C50C7"/>
    <w:rsid w:val="000D5426"/>
    <w:rsid w:val="000D5E27"/>
    <w:rsid w:val="000D6281"/>
    <w:rsid w:val="000D73EC"/>
    <w:rsid w:val="000E65C5"/>
    <w:rsid w:val="000E6909"/>
    <w:rsid w:val="000E6CF1"/>
    <w:rsid w:val="000E702B"/>
    <w:rsid w:val="000F00CF"/>
    <w:rsid w:val="000F033D"/>
    <w:rsid w:val="000F4EE5"/>
    <w:rsid w:val="000F51A0"/>
    <w:rsid w:val="00100B74"/>
    <w:rsid w:val="00102C09"/>
    <w:rsid w:val="00104748"/>
    <w:rsid w:val="00105319"/>
    <w:rsid w:val="00105649"/>
    <w:rsid w:val="001056F9"/>
    <w:rsid w:val="00111659"/>
    <w:rsid w:val="001171D6"/>
    <w:rsid w:val="00117915"/>
    <w:rsid w:val="001200EB"/>
    <w:rsid w:val="00120C35"/>
    <w:rsid w:val="00125D18"/>
    <w:rsid w:val="00126228"/>
    <w:rsid w:val="00126812"/>
    <w:rsid w:val="00130CE0"/>
    <w:rsid w:val="00130E91"/>
    <w:rsid w:val="001316EB"/>
    <w:rsid w:val="00132C21"/>
    <w:rsid w:val="00135AFA"/>
    <w:rsid w:val="001362AD"/>
    <w:rsid w:val="00137457"/>
    <w:rsid w:val="001408C3"/>
    <w:rsid w:val="001440B8"/>
    <w:rsid w:val="00145662"/>
    <w:rsid w:val="001523A7"/>
    <w:rsid w:val="00152AC9"/>
    <w:rsid w:val="00153AF2"/>
    <w:rsid w:val="00154730"/>
    <w:rsid w:val="00154EFA"/>
    <w:rsid w:val="0016123C"/>
    <w:rsid w:val="00161D07"/>
    <w:rsid w:val="00164C03"/>
    <w:rsid w:val="00170F7E"/>
    <w:rsid w:val="0017128A"/>
    <w:rsid w:val="00172411"/>
    <w:rsid w:val="00172C4A"/>
    <w:rsid w:val="001734A5"/>
    <w:rsid w:val="00177626"/>
    <w:rsid w:val="001A07B8"/>
    <w:rsid w:val="001A1873"/>
    <w:rsid w:val="001A4C5A"/>
    <w:rsid w:val="001A58FD"/>
    <w:rsid w:val="001A6AD4"/>
    <w:rsid w:val="001A798F"/>
    <w:rsid w:val="001B2543"/>
    <w:rsid w:val="001B2E15"/>
    <w:rsid w:val="001B34C1"/>
    <w:rsid w:val="001B5F44"/>
    <w:rsid w:val="001C1668"/>
    <w:rsid w:val="001C1C33"/>
    <w:rsid w:val="001C4283"/>
    <w:rsid w:val="001C7499"/>
    <w:rsid w:val="001D223E"/>
    <w:rsid w:val="001D34B5"/>
    <w:rsid w:val="001D6C14"/>
    <w:rsid w:val="001E4379"/>
    <w:rsid w:val="001E43DC"/>
    <w:rsid w:val="001E55B4"/>
    <w:rsid w:val="001E7F39"/>
    <w:rsid w:val="001F1B19"/>
    <w:rsid w:val="00207A93"/>
    <w:rsid w:val="00211787"/>
    <w:rsid w:val="00211D69"/>
    <w:rsid w:val="0021413D"/>
    <w:rsid w:val="00214E66"/>
    <w:rsid w:val="00215E13"/>
    <w:rsid w:val="00223B52"/>
    <w:rsid w:val="00223CC7"/>
    <w:rsid w:val="00232408"/>
    <w:rsid w:val="00233309"/>
    <w:rsid w:val="002334C7"/>
    <w:rsid w:val="00234FE5"/>
    <w:rsid w:val="00242A17"/>
    <w:rsid w:val="002433A9"/>
    <w:rsid w:val="002446B2"/>
    <w:rsid w:val="002471DD"/>
    <w:rsid w:val="00250A54"/>
    <w:rsid w:val="00251C98"/>
    <w:rsid w:val="0025276F"/>
    <w:rsid w:val="00255BE6"/>
    <w:rsid w:val="002561E5"/>
    <w:rsid w:val="002566A4"/>
    <w:rsid w:val="002567AC"/>
    <w:rsid w:val="002579A0"/>
    <w:rsid w:val="002620F7"/>
    <w:rsid w:val="00270DC9"/>
    <w:rsid w:val="002803E8"/>
    <w:rsid w:val="00280793"/>
    <w:rsid w:val="0028100C"/>
    <w:rsid w:val="002865CD"/>
    <w:rsid w:val="0028710A"/>
    <w:rsid w:val="002940E6"/>
    <w:rsid w:val="00297DB6"/>
    <w:rsid w:val="002A589A"/>
    <w:rsid w:val="002A64EF"/>
    <w:rsid w:val="002A66D5"/>
    <w:rsid w:val="002B065A"/>
    <w:rsid w:val="002B212A"/>
    <w:rsid w:val="002B242E"/>
    <w:rsid w:val="002B34CB"/>
    <w:rsid w:val="002B3846"/>
    <w:rsid w:val="002B7A38"/>
    <w:rsid w:val="002C4209"/>
    <w:rsid w:val="002C7D2C"/>
    <w:rsid w:val="002C7F14"/>
    <w:rsid w:val="002D0744"/>
    <w:rsid w:val="002D41F6"/>
    <w:rsid w:val="002D50E2"/>
    <w:rsid w:val="002E0C2C"/>
    <w:rsid w:val="002E4050"/>
    <w:rsid w:val="002E6CCB"/>
    <w:rsid w:val="002E7684"/>
    <w:rsid w:val="002F404A"/>
    <w:rsid w:val="002F4410"/>
    <w:rsid w:val="002F6F1A"/>
    <w:rsid w:val="002F75A9"/>
    <w:rsid w:val="002F7DB1"/>
    <w:rsid w:val="00300AAE"/>
    <w:rsid w:val="003026D8"/>
    <w:rsid w:val="0030279A"/>
    <w:rsid w:val="00306EB1"/>
    <w:rsid w:val="003079E0"/>
    <w:rsid w:val="00307E24"/>
    <w:rsid w:val="0031237B"/>
    <w:rsid w:val="00313BFA"/>
    <w:rsid w:val="00321801"/>
    <w:rsid w:val="00322835"/>
    <w:rsid w:val="00323A2B"/>
    <w:rsid w:val="00325693"/>
    <w:rsid w:val="00326025"/>
    <w:rsid w:val="003269CB"/>
    <w:rsid w:val="00332A77"/>
    <w:rsid w:val="00334AE6"/>
    <w:rsid w:val="00335358"/>
    <w:rsid w:val="0033619F"/>
    <w:rsid w:val="00341F43"/>
    <w:rsid w:val="00342322"/>
    <w:rsid w:val="00342EE5"/>
    <w:rsid w:val="003431AA"/>
    <w:rsid w:val="00343D1C"/>
    <w:rsid w:val="00345949"/>
    <w:rsid w:val="00346892"/>
    <w:rsid w:val="00350163"/>
    <w:rsid w:val="003501A8"/>
    <w:rsid w:val="003505D3"/>
    <w:rsid w:val="00350CAC"/>
    <w:rsid w:val="00351ED9"/>
    <w:rsid w:val="00352789"/>
    <w:rsid w:val="00353A11"/>
    <w:rsid w:val="003544AD"/>
    <w:rsid w:val="00355AF4"/>
    <w:rsid w:val="00357419"/>
    <w:rsid w:val="00360605"/>
    <w:rsid w:val="00361158"/>
    <w:rsid w:val="003649EA"/>
    <w:rsid w:val="00364E09"/>
    <w:rsid w:val="003659F2"/>
    <w:rsid w:val="0037037D"/>
    <w:rsid w:val="00375C20"/>
    <w:rsid w:val="00376E79"/>
    <w:rsid w:val="00381C37"/>
    <w:rsid w:val="00383C50"/>
    <w:rsid w:val="00386DE8"/>
    <w:rsid w:val="003900BB"/>
    <w:rsid w:val="00391C39"/>
    <w:rsid w:val="00391FBB"/>
    <w:rsid w:val="0039244B"/>
    <w:rsid w:val="00393C07"/>
    <w:rsid w:val="00394A3A"/>
    <w:rsid w:val="00395B17"/>
    <w:rsid w:val="003976E4"/>
    <w:rsid w:val="003977EB"/>
    <w:rsid w:val="003A19D1"/>
    <w:rsid w:val="003A3A8D"/>
    <w:rsid w:val="003A410D"/>
    <w:rsid w:val="003A423C"/>
    <w:rsid w:val="003B0C05"/>
    <w:rsid w:val="003B0EFE"/>
    <w:rsid w:val="003B0F86"/>
    <w:rsid w:val="003B5EC4"/>
    <w:rsid w:val="003B698B"/>
    <w:rsid w:val="003B7705"/>
    <w:rsid w:val="003C0791"/>
    <w:rsid w:val="003C4121"/>
    <w:rsid w:val="003C4C96"/>
    <w:rsid w:val="003C762F"/>
    <w:rsid w:val="003D0768"/>
    <w:rsid w:val="003D0F01"/>
    <w:rsid w:val="003D16CF"/>
    <w:rsid w:val="003D3431"/>
    <w:rsid w:val="003D3DD8"/>
    <w:rsid w:val="003D749A"/>
    <w:rsid w:val="003E1C30"/>
    <w:rsid w:val="003E3850"/>
    <w:rsid w:val="003E60F9"/>
    <w:rsid w:val="003E748B"/>
    <w:rsid w:val="003E77E1"/>
    <w:rsid w:val="003E7BA7"/>
    <w:rsid w:val="003F3051"/>
    <w:rsid w:val="003F33F6"/>
    <w:rsid w:val="003F3BEA"/>
    <w:rsid w:val="003F3D50"/>
    <w:rsid w:val="003F45A3"/>
    <w:rsid w:val="003F4943"/>
    <w:rsid w:val="003F4ADD"/>
    <w:rsid w:val="003F7B8E"/>
    <w:rsid w:val="003F7D28"/>
    <w:rsid w:val="00400FDD"/>
    <w:rsid w:val="00402DB5"/>
    <w:rsid w:val="004034AB"/>
    <w:rsid w:val="00403F46"/>
    <w:rsid w:val="00404A12"/>
    <w:rsid w:val="0041319A"/>
    <w:rsid w:val="00413903"/>
    <w:rsid w:val="00413FE0"/>
    <w:rsid w:val="00417521"/>
    <w:rsid w:val="00417EC8"/>
    <w:rsid w:val="0042062E"/>
    <w:rsid w:val="00421AF5"/>
    <w:rsid w:val="00421CF4"/>
    <w:rsid w:val="00422B97"/>
    <w:rsid w:val="00423AA7"/>
    <w:rsid w:val="0042590E"/>
    <w:rsid w:val="00426232"/>
    <w:rsid w:val="004262A6"/>
    <w:rsid w:val="00427D63"/>
    <w:rsid w:val="00431786"/>
    <w:rsid w:val="00434D48"/>
    <w:rsid w:val="00437FE5"/>
    <w:rsid w:val="00441358"/>
    <w:rsid w:val="00443C67"/>
    <w:rsid w:val="00447669"/>
    <w:rsid w:val="004479CF"/>
    <w:rsid w:val="004479E5"/>
    <w:rsid w:val="00457CEC"/>
    <w:rsid w:val="00462233"/>
    <w:rsid w:val="0046251C"/>
    <w:rsid w:val="004652CD"/>
    <w:rsid w:val="0046612C"/>
    <w:rsid w:val="004665C1"/>
    <w:rsid w:val="00467EE9"/>
    <w:rsid w:val="00470A62"/>
    <w:rsid w:val="00470BA5"/>
    <w:rsid w:val="00471C1C"/>
    <w:rsid w:val="00472731"/>
    <w:rsid w:val="004729D0"/>
    <w:rsid w:val="00475FE6"/>
    <w:rsid w:val="004764FE"/>
    <w:rsid w:val="0048168A"/>
    <w:rsid w:val="0048275F"/>
    <w:rsid w:val="00484F08"/>
    <w:rsid w:val="004855CF"/>
    <w:rsid w:val="004875AB"/>
    <w:rsid w:val="004912D9"/>
    <w:rsid w:val="00492243"/>
    <w:rsid w:val="00493388"/>
    <w:rsid w:val="00494148"/>
    <w:rsid w:val="004943A2"/>
    <w:rsid w:val="004A44E3"/>
    <w:rsid w:val="004A4986"/>
    <w:rsid w:val="004A608F"/>
    <w:rsid w:val="004A62C1"/>
    <w:rsid w:val="004A6ED8"/>
    <w:rsid w:val="004A7E93"/>
    <w:rsid w:val="004B2AAB"/>
    <w:rsid w:val="004B5250"/>
    <w:rsid w:val="004B70CA"/>
    <w:rsid w:val="004C0FF1"/>
    <w:rsid w:val="004C16CC"/>
    <w:rsid w:val="004C4E13"/>
    <w:rsid w:val="004C4F22"/>
    <w:rsid w:val="004C5BB0"/>
    <w:rsid w:val="004C5CFC"/>
    <w:rsid w:val="004C6CC2"/>
    <w:rsid w:val="004D1AAA"/>
    <w:rsid w:val="004D1D02"/>
    <w:rsid w:val="004D759C"/>
    <w:rsid w:val="004D7C96"/>
    <w:rsid w:val="004E0C5B"/>
    <w:rsid w:val="004E35A2"/>
    <w:rsid w:val="004E57E9"/>
    <w:rsid w:val="004E583A"/>
    <w:rsid w:val="004E7318"/>
    <w:rsid w:val="004F016A"/>
    <w:rsid w:val="004F0ED2"/>
    <w:rsid w:val="004F1286"/>
    <w:rsid w:val="004F2028"/>
    <w:rsid w:val="004F2142"/>
    <w:rsid w:val="004F42D8"/>
    <w:rsid w:val="004F45FF"/>
    <w:rsid w:val="004F4F91"/>
    <w:rsid w:val="004F7B25"/>
    <w:rsid w:val="00503BD7"/>
    <w:rsid w:val="00504112"/>
    <w:rsid w:val="00511472"/>
    <w:rsid w:val="005129C2"/>
    <w:rsid w:val="00516CBD"/>
    <w:rsid w:val="00517791"/>
    <w:rsid w:val="00520CF0"/>
    <w:rsid w:val="0052141F"/>
    <w:rsid w:val="00523156"/>
    <w:rsid w:val="00527801"/>
    <w:rsid w:val="0053262F"/>
    <w:rsid w:val="00533996"/>
    <w:rsid w:val="00533F8A"/>
    <w:rsid w:val="00536FE4"/>
    <w:rsid w:val="00537798"/>
    <w:rsid w:val="00540B47"/>
    <w:rsid w:val="00541282"/>
    <w:rsid w:val="00542F99"/>
    <w:rsid w:val="00544D31"/>
    <w:rsid w:val="00555E65"/>
    <w:rsid w:val="00561905"/>
    <w:rsid w:val="005619E2"/>
    <w:rsid w:val="0056291A"/>
    <w:rsid w:val="00562B60"/>
    <w:rsid w:val="005632FC"/>
    <w:rsid w:val="005637C6"/>
    <w:rsid w:val="00565084"/>
    <w:rsid w:val="00567F4C"/>
    <w:rsid w:val="00570C80"/>
    <w:rsid w:val="00570C89"/>
    <w:rsid w:val="005721EC"/>
    <w:rsid w:val="00573DFF"/>
    <w:rsid w:val="005759B3"/>
    <w:rsid w:val="00577DE9"/>
    <w:rsid w:val="00583052"/>
    <w:rsid w:val="00584746"/>
    <w:rsid w:val="005864C6"/>
    <w:rsid w:val="0058695E"/>
    <w:rsid w:val="00590541"/>
    <w:rsid w:val="00590980"/>
    <w:rsid w:val="005949E4"/>
    <w:rsid w:val="00596A92"/>
    <w:rsid w:val="00596E66"/>
    <w:rsid w:val="00596F28"/>
    <w:rsid w:val="005A0A6B"/>
    <w:rsid w:val="005A643E"/>
    <w:rsid w:val="005A6FB7"/>
    <w:rsid w:val="005B02CD"/>
    <w:rsid w:val="005B1A48"/>
    <w:rsid w:val="005B4AB7"/>
    <w:rsid w:val="005B5E57"/>
    <w:rsid w:val="005B65F8"/>
    <w:rsid w:val="005B7948"/>
    <w:rsid w:val="005C3611"/>
    <w:rsid w:val="005C5DB0"/>
    <w:rsid w:val="005C7FD2"/>
    <w:rsid w:val="005D0F8A"/>
    <w:rsid w:val="005D3549"/>
    <w:rsid w:val="005D37AE"/>
    <w:rsid w:val="005D6CD9"/>
    <w:rsid w:val="005D7329"/>
    <w:rsid w:val="005E13EA"/>
    <w:rsid w:val="005E4BDF"/>
    <w:rsid w:val="005E5952"/>
    <w:rsid w:val="005E5F91"/>
    <w:rsid w:val="005F0A93"/>
    <w:rsid w:val="005F257F"/>
    <w:rsid w:val="005F4D63"/>
    <w:rsid w:val="005F63EE"/>
    <w:rsid w:val="005F6BA5"/>
    <w:rsid w:val="005F77EF"/>
    <w:rsid w:val="00600EFC"/>
    <w:rsid w:val="00602EDF"/>
    <w:rsid w:val="00607B8D"/>
    <w:rsid w:val="00607E08"/>
    <w:rsid w:val="00610517"/>
    <w:rsid w:val="00614911"/>
    <w:rsid w:val="00623E24"/>
    <w:rsid w:val="0062449B"/>
    <w:rsid w:val="00624F65"/>
    <w:rsid w:val="00625543"/>
    <w:rsid w:val="0063362D"/>
    <w:rsid w:val="006352F3"/>
    <w:rsid w:val="00636766"/>
    <w:rsid w:val="00636CC0"/>
    <w:rsid w:val="00642302"/>
    <w:rsid w:val="00646010"/>
    <w:rsid w:val="0064672B"/>
    <w:rsid w:val="00646FAC"/>
    <w:rsid w:val="00647CC4"/>
    <w:rsid w:val="00661699"/>
    <w:rsid w:val="0066195D"/>
    <w:rsid w:val="0066275A"/>
    <w:rsid w:val="006627FA"/>
    <w:rsid w:val="00663599"/>
    <w:rsid w:val="0066406E"/>
    <w:rsid w:val="0066615D"/>
    <w:rsid w:val="006676E9"/>
    <w:rsid w:val="00670529"/>
    <w:rsid w:val="006713EB"/>
    <w:rsid w:val="0067409F"/>
    <w:rsid w:val="00677A5C"/>
    <w:rsid w:val="00685E88"/>
    <w:rsid w:val="00691FCE"/>
    <w:rsid w:val="0069317C"/>
    <w:rsid w:val="00696200"/>
    <w:rsid w:val="00696837"/>
    <w:rsid w:val="00697296"/>
    <w:rsid w:val="006A0A16"/>
    <w:rsid w:val="006B09CE"/>
    <w:rsid w:val="006B1C06"/>
    <w:rsid w:val="006B28AA"/>
    <w:rsid w:val="006C23F4"/>
    <w:rsid w:val="006C2C15"/>
    <w:rsid w:val="006C3252"/>
    <w:rsid w:val="006C33C2"/>
    <w:rsid w:val="006C7A13"/>
    <w:rsid w:val="006D16D9"/>
    <w:rsid w:val="006D2274"/>
    <w:rsid w:val="006D331B"/>
    <w:rsid w:val="006D3D30"/>
    <w:rsid w:val="006D57D2"/>
    <w:rsid w:val="006D7562"/>
    <w:rsid w:val="006E0BF9"/>
    <w:rsid w:val="006E26E8"/>
    <w:rsid w:val="006E36DE"/>
    <w:rsid w:val="006E449C"/>
    <w:rsid w:val="006E4B8B"/>
    <w:rsid w:val="006F0E0E"/>
    <w:rsid w:val="006F58F4"/>
    <w:rsid w:val="007009EC"/>
    <w:rsid w:val="0070194B"/>
    <w:rsid w:val="00703B56"/>
    <w:rsid w:val="00705F72"/>
    <w:rsid w:val="00706DD9"/>
    <w:rsid w:val="00710821"/>
    <w:rsid w:val="00723FBA"/>
    <w:rsid w:val="0072480E"/>
    <w:rsid w:val="007254AE"/>
    <w:rsid w:val="00727912"/>
    <w:rsid w:val="0073060D"/>
    <w:rsid w:val="00730D4A"/>
    <w:rsid w:val="00731122"/>
    <w:rsid w:val="00732639"/>
    <w:rsid w:val="007348A1"/>
    <w:rsid w:val="00735615"/>
    <w:rsid w:val="0073583D"/>
    <w:rsid w:val="007369E2"/>
    <w:rsid w:val="007370A8"/>
    <w:rsid w:val="00737AE4"/>
    <w:rsid w:val="00740378"/>
    <w:rsid w:val="00745004"/>
    <w:rsid w:val="00745524"/>
    <w:rsid w:val="00751078"/>
    <w:rsid w:val="007548C0"/>
    <w:rsid w:val="00756669"/>
    <w:rsid w:val="007577C8"/>
    <w:rsid w:val="007602C7"/>
    <w:rsid w:val="00760A14"/>
    <w:rsid w:val="007634F3"/>
    <w:rsid w:val="0076378C"/>
    <w:rsid w:val="007665D0"/>
    <w:rsid w:val="007666D5"/>
    <w:rsid w:val="00766ACA"/>
    <w:rsid w:val="00771699"/>
    <w:rsid w:val="007723FC"/>
    <w:rsid w:val="00773234"/>
    <w:rsid w:val="007739CA"/>
    <w:rsid w:val="0077775C"/>
    <w:rsid w:val="00777A2A"/>
    <w:rsid w:val="00781BEE"/>
    <w:rsid w:val="007835FE"/>
    <w:rsid w:val="00790CC2"/>
    <w:rsid w:val="00794639"/>
    <w:rsid w:val="00797344"/>
    <w:rsid w:val="007A275D"/>
    <w:rsid w:val="007A2FAA"/>
    <w:rsid w:val="007A464E"/>
    <w:rsid w:val="007A5246"/>
    <w:rsid w:val="007A5D92"/>
    <w:rsid w:val="007A6798"/>
    <w:rsid w:val="007A69AA"/>
    <w:rsid w:val="007A7072"/>
    <w:rsid w:val="007B0CBD"/>
    <w:rsid w:val="007B1CBA"/>
    <w:rsid w:val="007B2D89"/>
    <w:rsid w:val="007B673F"/>
    <w:rsid w:val="007B77B1"/>
    <w:rsid w:val="007C065E"/>
    <w:rsid w:val="007C0A45"/>
    <w:rsid w:val="007C162C"/>
    <w:rsid w:val="007C1733"/>
    <w:rsid w:val="007C470A"/>
    <w:rsid w:val="007D0076"/>
    <w:rsid w:val="007D0A0F"/>
    <w:rsid w:val="007D0BBC"/>
    <w:rsid w:val="007D20C0"/>
    <w:rsid w:val="007D330D"/>
    <w:rsid w:val="007D46D6"/>
    <w:rsid w:val="007D49D7"/>
    <w:rsid w:val="007D5702"/>
    <w:rsid w:val="007D7377"/>
    <w:rsid w:val="007E0E84"/>
    <w:rsid w:val="007E1434"/>
    <w:rsid w:val="007E4BE5"/>
    <w:rsid w:val="007E6557"/>
    <w:rsid w:val="007E726F"/>
    <w:rsid w:val="007E7DFD"/>
    <w:rsid w:val="007F0AAD"/>
    <w:rsid w:val="007F0DED"/>
    <w:rsid w:val="007F0EF5"/>
    <w:rsid w:val="007F37D6"/>
    <w:rsid w:val="007F7A29"/>
    <w:rsid w:val="0080092C"/>
    <w:rsid w:val="00801B4B"/>
    <w:rsid w:val="008026D4"/>
    <w:rsid w:val="00806479"/>
    <w:rsid w:val="00830F36"/>
    <w:rsid w:val="00832473"/>
    <w:rsid w:val="00835E83"/>
    <w:rsid w:val="00837169"/>
    <w:rsid w:val="008408A3"/>
    <w:rsid w:val="00843B8A"/>
    <w:rsid w:val="00844B6C"/>
    <w:rsid w:val="00845B21"/>
    <w:rsid w:val="00846133"/>
    <w:rsid w:val="0085012B"/>
    <w:rsid w:val="00850DBA"/>
    <w:rsid w:val="008514C3"/>
    <w:rsid w:val="00852F1F"/>
    <w:rsid w:val="008568D5"/>
    <w:rsid w:val="00867C64"/>
    <w:rsid w:val="00874C9A"/>
    <w:rsid w:val="00881F8B"/>
    <w:rsid w:val="008824CE"/>
    <w:rsid w:val="00884C33"/>
    <w:rsid w:val="008852B5"/>
    <w:rsid w:val="008924DE"/>
    <w:rsid w:val="008938CE"/>
    <w:rsid w:val="008945B1"/>
    <w:rsid w:val="00894E63"/>
    <w:rsid w:val="008956B2"/>
    <w:rsid w:val="008A0140"/>
    <w:rsid w:val="008A03A0"/>
    <w:rsid w:val="008A1351"/>
    <w:rsid w:val="008A30D9"/>
    <w:rsid w:val="008A4C1F"/>
    <w:rsid w:val="008A589B"/>
    <w:rsid w:val="008B249A"/>
    <w:rsid w:val="008B26EA"/>
    <w:rsid w:val="008B427C"/>
    <w:rsid w:val="008B439A"/>
    <w:rsid w:val="008B633F"/>
    <w:rsid w:val="008B68A3"/>
    <w:rsid w:val="008C0948"/>
    <w:rsid w:val="008C1983"/>
    <w:rsid w:val="008C683B"/>
    <w:rsid w:val="008C6DCF"/>
    <w:rsid w:val="008D6B82"/>
    <w:rsid w:val="008D72E0"/>
    <w:rsid w:val="008E08C2"/>
    <w:rsid w:val="008E0B8E"/>
    <w:rsid w:val="008E2051"/>
    <w:rsid w:val="008E3774"/>
    <w:rsid w:val="008F0D03"/>
    <w:rsid w:val="008F2425"/>
    <w:rsid w:val="008F3085"/>
    <w:rsid w:val="00902034"/>
    <w:rsid w:val="00904261"/>
    <w:rsid w:val="00905089"/>
    <w:rsid w:val="009112D1"/>
    <w:rsid w:val="00913124"/>
    <w:rsid w:val="00913A12"/>
    <w:rsid w:val="00914B19"/>
    <w:rsid w:val="009201FF"/>
    <w:rsid w:val="00921E33"/>
    <w:rsid w:val="0092274B"/>
    <w:rsid w:val="00923BFC"/>
    <w:rsid w:val="00923F4E"/>
    <w:rsid w:val="00924549"/>
    <w:rsid w:val="00924C8C"/>
    <w:rsid w:val="00924FBE"/>
    <w:rsid w:val="00925851"/>
    <w:rsid w:val="00927B5D"/>
    <w:rsid w:val="00927DC6"/>
    <w:rsid w:val="00930CF5"/>
    <w:rsid w:val="00935EAE"/>
    <w:rsid w:val="00936D2C"/>
    <w:rsid w:val="00936F0D"/>
    <w:rsid w:val="0094437E"/>
    <w:rsid w:val="0094651F"/>
    <w:rsid w:val="00946758"/>
    <w:rsid w:val="00947FEA"/>
    <w:rsid w:val="00951A9B"/>
    <w:rsid w:val="009524E9"/>
    <w:rsid w:val="00955D68"/>
    <w:rsid w:val="00956349"/>
    <w:rsid w:val="00957B95"/>
    <w:rsid w:val="00962A37"/>
    <w:rsid w:val="009636C4"/>
    <w:rsid w:val="00964361"/>
    <w:rsid w:val="0096542F"/>
    <w:rsid w:val="00966FE8"/>
    <w:rsid w:val="00967B27"/>
    <w:rsid w:val="0097028F"/>
    <w:rsid w:val="009710FC"/>
    <w:rsid w:val="009739AF"/>
    <w:rsid w:val="00977FBB"/>
    <w:rsid w:val="00980545"/>
    <w:rsid w:val="009835A7"/>
    <w:rsid w:val="009851B2"/>
    <w:rsid w:val="00985881"/>
    <w:rsid w:val="00986AE5"/>
    <w:rsid w:val="00991DAF"/>
    <w:rsid w:val="00995AC4"/>
    <w:rsid w:val="009A2635"/>
    <w:rsid w:val="009A3963"/>
    <w:rsid w:val="009A3FC9"/>
    <w:rsid w:val="009A48BA"/>
    <w:rsid w:val="009A4DAD"/>
    <w:rsid w:val="009A62B1"/>
    <w:rsid w:val="009A6B42"/>
    <w:rsid w:val="009B1D71"/>
    <w:rsid w:val="009B2143"/>
    <w:rsid w:val="009B5DD0"/>
    <w:rsid w:val="009B6178"/>
    <w:rsid w:val="009B6275"/>
    <w:rsid w:val="009C0604"/>
    <w:rsid w:val="009C4465"/>
    <w:rsid w:val="009C5E4D"/>
    <w:rsid w:val="009C71AE"/>
    <w:rsid w:val="009C7281"/>
    <w:rsid w:val="009D0487"/>
    <w:rsid w:val="009D063B"/>
    <w:rsid w:val="009D0DA8"/>
    <w:rsid w:val="009D13C5"/>
    <w:rsid w:val="009D4ABE"/>
    <w:rsid w:val="009D518E"/>
    <w:rsid w:val="009D5CF4"/>
    <w:rsid w:val="009D739E"/>
    <w:rsid w:val="009D7E23"/>
    <w:rsid w:val="009E032F"/>
    <w:rsid w:val="009E0599"/>
    <w:rsid w:val="009E2461"/>
    <w:rsid w:val="009E2D80"/>
    <w:rsid w:val="009E63BC"/>
    <w:rsid w:val="009F48AD"/>
    <w:rsid w:val="009F69CC"/>
    <w:rsid w:val="009F788A"/>
    <w:rsid w:val="009F7928"/>
    <w:rsid w:val="00A011DB"/>
    <w:rsid w:val="00A02ED8"/>
    <w:rsid w:val="00A033AD"/>
    <w:rsid w:val="00A033CD"/>
    <w:rsid w:val="00A03B9E"/>
    <w:rsid w:val="00A04FCD"/>
    <w:rsid w:val="00A151BC"/>
    <w:rsid w:val="00A15DF4"/>
    <w:rsid w:val="00A2118B"/>
    <w:rsid w:val="00A222C9"/>
    <w:rsid w:val="00A23784"/>
    <w:rsid w:val="00A23B30"/>
    <w:rsid w:val="00A245C2"/>
    <w:rsid w:val="00A25B50"/>
    <w:rsid w:val="00A30A53"/>
    <w:rsid w:val="00A34D84"/>
    <w:rsid w:val="00A35D92"/>
    <w:rsid w:val="00A377E0"/>
    <w:rsid w:val="00A40D6F"/>
    <w:rsid w:val="00A429FC"/>
    <w:rsid w:val="00A430A3"/>
    <w:rsid w:val="00A43D8E"/>
    <w:rsid w:val="00A44375"/>
    <w:rsid w:val="00A47A0C"/>
    <w:rsid w:val="00A54B5A"/>
    <w:rsid w:val="00A555CF"/>
    <w:rsid w:val="00A61F8E"/>
    <w:rsid w:val="00A61F9C"/>
    <w:rsid w:val="00A6206D"/>
    <w:rsid w:val="00A64E97"/>
    <w:rsid w:val="00A652BD"/>
    <w:rsid w:val="00A67AA9"/>
    <w:rsid w:val="00A67CD6"/>
    <w:rsid w:val="00A70F18"/>
    <w:rsid w:val="00A7361D"/>
    <w:rsid w:val="00A758A4"/>
    <w:rsid w:val="00A81127"/>
    <w:rsid w:val="00A8340B"/>
    <w:rsid w:val="00A83C43"/>
    <w:rsid w:val="00A84D9E"/>
    <w:rsid w:val="00A85AF1"/>
    <w:rsid w:val="00A86F51"/>
    <w:rsid w:val="00A904AF"/>
    <w:rsid w:val="00A956C2"/>
    <w:rsid w:val="00A96EFB"/>
    <w:rsid w:val="00A97F52"/>
    <w:rsid w:val="00AA095A"/>
    <w:rsid w:val="00AA100C"/>
    <w:rsid w:val="00AA171D"/>
    <w:rsid w:val="00AA31E5"/>
    <w:rsid w:val="00AA59A9"/>
    <w:rsid w:val="00AA673F"/>
    <w:rsid w:val="00AA72AC"/>
    <w:rsid w:val="00AA7A5A"/>
    <w:rsid w:val="00AB2756"/>
    <w:rsid w:val="00AB3BD4"/>
    <w:rsid w:val="00AB49D4"/>
    <w:rsid w:val="00AB5941"/>
    <w:rsid w:val="00AC0442"/>
    <w:rsid w:val="00AC28ED"/>
    <w:rsid w:val="00AC3B85"/>
    <w:rsid w:val="00AD121B"/>
    <w:rsid w:val="00AD55CF"/>
    <w:rsid w:val="00AD6A82"/>
    <w:rsid w:val="00AE0620"/>
    <w:rsid w:val="00AE0BC3"/>
    <w:rsid w:val="00AE2106"/>
    <w:rsid w:val="00AE4241"/>
    <w:rsid w:val="00AE452B"/>
    <w:rsid w:val="00AE4B0D"/>
    <w:rsid w:val="00AE501D"/>
    <w:rsid w:val="00AE73E5"/>
    <w:rsid w:val="00AE7A4D"/>
    <w:rsid w:val="00AF0306"/>
    <w:rsid w:val="00AF1373"/>
    <w:rsid w:val="00AF2DB7"/>
    <w:rsid w:val="00AF62E9"/>
    <w:rsid w:val="00B142D9"/>
    <w:rsid w:val="00B17802"/>
    <w:rsid w:val="00B227FD"/>
    <w:rsid w:val="00B24EA0"/>
    <w:rsid w:val="00B2508C"/>
    <w:rsid w:val="00B253FD"/>
    <w:rsid w:val="00B26463"/>
    <w:rsid w:val="00B26C73"/>
    <w:rsid w:val="00B30DBE"/>
    <w:rsid w:val="00B33740"/>
    <w:rsid w:val="00B3474A"/>
    <w:rsid w:val="00B35EDB"/>
    <w:rsid w:val="00B36E60"/>
    <w:rsid w:val="00B37DDB"/>
    <w:rsid w:val="00B41735"/>
    <w:rsid w:val="00B41BCF"/>
    <w:rsid w:val="00B42FF8"/>
    <w:rsid w:val="00B43A7A"/>
    <w:rsid w:val="00B43CD6"/>
    <w:rsid w:val="00B45EBD"/>
    <w:rsid w:val="00B469BD"/>
    <w:rsid w:val="00B508F8"/>
    <w:rsid w:val="00B53542"/>
    <w:rsid w:val="00B535C9"/>
    <w:rsid w:val="00B61D23"/>
    <w:rsid w:val="00B6406E"/>
    <w:rsid w:val="00B64ACC"/>
    <w:rsid w:val="00B67576"/>
    <w:rsid w:val="00B72814"/>
    <w:rsid w:val="00B7372E"/>
    <w:rsid w:val="00B73A6C"/>
    <w:rsid w:val="00B74EAC"/>
    <w:rsid w:val="00B75481"/>
    <w:rsid w:val="00B754BF"/>
    <w:rsid w:val="00B77018"/>
    <w:rsid w:val="00B77B81"/>
    <w:rsid w:val="00B80EF9"/>
    <w:rsid w:val="00B812C6"/>
    <w:rsid w:val="00B815E3"/>
    <w:rsid w:val="00B82933"/>
    <w:rsid w:val="00B87E70"/>
    <w:rsid w:val="00B905E1"/>
    <w:rsid w:val="00B91046"/>
    <w:rsid w:val="00B94B28"/>
    <w:rsid w:val="00B96D2D"/>
    <w:rsid w:val="00B96EB2"/>
    <w:rsid w:val="00BA4D39"/>
    <w:rsid w:val="00BA6AD7"/>
    <w:rsid w:val="00BA70F1"/>
    <w:rsid w:val="00BB04DE"/>
    <w:rsid w:val="00BB0EE2"/>
    <w:rsid w:val="00BB52A8"/>
    <w:rsid w:val="00BB53D6"/>
    <w:rsid w:val="00BB71EE"/>
    <w:rsid w:val="00BB7DA9"/>
    <w:rsid w:val="00BC0232"/>
    <w:rsid w:val="00BC1C14"/>
    <w:rsid w:val="00BC5E24"/>
    <w:rsid w:val="00BC6B53"/>
    <w:rsid w:val="00BD2934"/>
    <w:rsid w:val="00BD4120"/>
    <w:rsid w:val="00BE007D"/>
    <w:rsid w:val="00BE2642"/>
    <w:rsid w:val="00BE309B"/>
    <w:rsid w:val="00BE3AB0"/>
    <w:rsid w:val="00BE3BA2"/>
    <w:rsid w:val="00BE5D4C"/>
    <w:rsid w:val="00BE5D8C"/>
    <w:rsid w:val="00BF06B3"/>
    <w:rsid w:val="00BF10A3"/>
    <w:rsid w:val="00BF31B9"/>
    <w:rsid w:val="00BF6A5C"/>
    <w:rsid w:val="00BF7237"/>
    <w:rsid w:val="00C016F5"/>
    <w:rsid w:val="00C06A78"/>
    <w:rsid w:val="00C12564"/>
    <w:rsid w:val="00C140C1"/>
    <w:rsid w:val="00C17858"/>
    <w:rsid w:val="00C20B43"/>
    <w:rsid w:val="00C22A6C"/>
    <w:rsid w:val="00C23F87"/>
    <w:rsid w:val="00C30546"/>
    <w:rsid w:val="00C321E1"/>
    <w:rsid w:val="00C33969"/>
    <w:rsid w:val="00C33F9B"/>
    <w:rsid w:val="00C34D7E"/>
    <w:rsid w:val="00C40724"/>
    <w:rsid w:val="00C429CB"/>
    <w:rsid w:val="00C43707"/>
    <w:rsid w:val="00C47CA7"/>
    <w:rsid w:val="00C50305"/>
    <w:rsid w:val="00C5051C"/>
    <w:rsid w:val="00C53650"/>
    <w:rsid w:val="00C54BC5"/>
    <w:rsid w:val="00C61FC0"/>
    <w:rsid w:val="00C62728"/>
    <w:rsid w:val="00C65D5F"/>
    <w:rsid w:val="00C6655D"/>
    <w:rsid w:val="00C730A9"/>
    <w:rsid w:val="00C750F7"/>
    <w:rsid w:val="00C816DB"/>
    <w:rsid w:val="00C82AEF"/>
    <w:rsid w:val="00C951A2"/>
    <w:rsid w:val="00C95985"/>
    <w:rsid w:val="00CA0B2F"/>
    <w:rsid w:val="00CA28CE"/>
    <w:rsid w:val="00CA2C28"/>
    <w:rsid w:val="00CA3C8C"/>
    <w:rsid w:val="00CA4ABE"/>
    <w:rsid w:val="00CA4B22"/>
    <w:rsid w:val="00CA52C0"/>
    <w:rsid w:val="00CA5766"/>
    <w:rsid w:val="00CA5F33"/>
    <w:rsid w:val="00CA6707"/>
    <w:rsid w:val="00CA6C06"/>
    <w:rsid w:val="00CB006F"/>
    <w:rsid w:val="00CB4342"/>
    <w:rsid w:val="00CB73A4"/>
    <w:rsid w:val="00CC0D47"/>
    <w:rsid w:val="00CC2746"/>
    <w:rsid w:val="00CC3729"/>
    <w:rsid w:val="00CC4141"/>
    <w:rsid w:val="00CD2F10"/>
    <w:rsid w:val="00CD5C60"/>
    <w:rsid w:val="00CD73D6"/>
    <w:rsid w:val="00CE583D"/>
    <w:rsid w:val="00CE602C"/>
    <w:rsid w:val="00CE60B4"/>
    <w:rsid w:val="00CF061F"/>
    <w:rsid w:val="00CF20FF"/>
    <w:rsid w:val="00CF2C72"/>
    <w:rsid w:val="00CF6833"/>
    <w:rsid w:val="00CF6A8F"/>
    <w:rsid w:val="00D0189D"/>
    <w:rsid w:val="00D01DD8"/>
    <w:rsid w:val="00D0220B"/>
    <w:rsid w:val="00D058F2"/>
    <w:rsid w:val="00D07341"/>
    <w:rsid w:val="00D07E67"/>
    <w:rsid w:val="00D104AB"/>
    <w:rsid w:val="00D109BA"/>
    <w:rsid w:val="00D15C11"/>
    <w:rsid w:val="00D1748C"/>
    <w:rsid w:val="00D1792A"/>
    <w:rsid w:val="00D22C78"/>
    <w:rsid w:val="00D24459"/>
    <w:rsid w:val="00D2456C"/>
    <w:rsid w:val="00D25B40"/>
    <w:rsid w:val="00D25C11"/>
    <w:rsid w:val="00D25F52"/>
    <w:rsid w:val="00D32909"/>
    <w:rsid w:val="00D36EF1"/>
    <w:rsid w:val="00D4128A"/>
    <w:rsid w:val="00D42214"/>
    <w:rsid w:val="00D44CA7"/>
    <w:rsid w:val="00D466B0"/>
    <w:rsid w:val="00D47D81"/>
    <w:rsid w:val="00D5042B"/>
    <w:rsid w:val="00D5193E"/>
    <w:rsid w:val="00D54384"/>
    <w:rsid w:val="00D54E9B"/>
    <w:rsid w:val="00D55821"/>
    <w:rsid w:val="00D55AB2"/>
    <w:rsid w:val="00D56846"/>
    <w:rsid w:val="00D56E1A"/>
    <w:rsid w:val="00D56E2A"/>
    <w:rsid w:val="00D61A5E"/>
    <w:rsid w:val="00D660D7"/>
    <w:rsid w:val="00D67B1E"/>
    <w:rsid w:val="00D77553"/>
    <w:rsid w:val="00D80721"/>
    <w:rsid w:val="00D81451"/>
    <w:rsid w:val="00D86206"/>
    <w:rsid w:val="00D86BB9"/>
    <w:rsid w:val="00D87A38"/>
    <w:rsid w:val="00D91E0B"/>
    <w:rsid w:val="00D93067"/>
    <w:rsid w:val="00D93F50"/>
    <w:rsid w:val="00D94B38"/>
    <w:rsid w:val="00D967BD"/>
    <w:rsid w:val="00DA2D26"/>
    <w:rsid w:val="00DA5779"/>
    <w:rsid w:val="00DB02D7"/>
    <w:rsid w:val="00DB0860"/>
    <w:rsid w:val="00DB114A"/>
    <w:rsid w:val="00DB3C76"/>
    <w:rsid w:val="00DB44B9"/>
    <w:rsid w:val="00DB4AB0"/>
    <w:rsid w:val="00DB62ED"/>
    <w:rsid w:val="00DB6366"/>
    <w:rsid w:val="00DB755D"/>
    <w:rsid w:val="00DC0214"/>
    <w:rsid w:val="00DC049C"/>
    <w:rsid w:val="00DC29E6"/>
    <w:rsid w:val="00DC3D3D"/>
    <w:rsid w:val="00DC6D10"/>
    <w:rsid w:val="00DC7185"/>
    <w:rsid w:val="00DD0146"/>
    <w:rsid w:val="00DD1F9E"/>
    <w:rsid w:val="00DD252A"/>
    <w:rsid w:val="00DD35F8"/>
    <w:rsid w:val="00DD5633"/>
    <w:rsid w:val="00DD7F37"/>
    <w:rsid w:val="00DE05E9"/>
    <w:rsid w:val="00DE22B2"/>
    <w:rsid w:val="00DE3EE2"/>
    <w:rsid w:val="00DE4E7C"/>
    <w:rsid w:val="00DF2D70"/>
    <w:rsid w:val="00DF3C44"/>
    <w:rsid w:val="00DF45CA"/>
    <w:rsid w:val="00DF6F96"/>
    <w:rsid w:val="00DF71DD"/>
    <w:rsid w:val="00E020F1"/>
    <w:rsid w:val="00E04D68"/>
    <w:rsid w:val="00E064A2"/>
    <w:rsid w:val="00E067A7"/>
    <w:rsid w:val="00E07947"/>
    <w:rsid w:val="00E123C5"/>
    <w:rsid w:val="00E15AEF"/>
    <w:rsid w:val="00E16694"/>
    <w:rsid w:val="00E20ED0"/>
    <w:rsid w:val="00E2147D"/>
    <w:rsid w:val="00E21FD4"/>
    <w:rsid w:val="00E23BCA"/>
    <w:rsid w:val="00E243AA"/>
    <w:rsid w:val="00E27F03"/>
    <w:rsid w:val="00E36DF5"/>
    <w:rsid w:val="00E374E4"/>
    <w:rsid w:val="00E37BDB"/>
    <w:rsid w:val="00E4225E"/>
    <w:rsid w:val="00E42700"/>
    <w:rsid w:val="00E43EA7"/>
    <w:rsid w:val="00E4441D"/>
    <w:rsid w:val="00E52067"/>
    <w:rsid w:val="00E5644E"/>
    <w:rsid w:val="00E57CE6"/>
    <w:rsid w:val="00E61094"/>
    <w:rsid w:val="00E61E85"/>
    <w:rsid w:val="00E65908"/>
    <w:rsid w:val="00E66B36"/>
    <w:rsid w:val="00E709E6"/>
    <w:rsid w:val="00E71E7A"/>
    <w:rsid w:val="00E74754"/>
    <w:rsid w:val="00E8079E"/>
    <w:rsid w:val="00E81D83"/>
    <w:rsid w:val="00E8365F"/>
    <w:rsid w:val="00E90C80"/>
    <w:rsid w:val="00E92E48"/>
    <w:rsid w:val="00E95B61"/>
    <w:rsid w:val="00E962C3"/>
    <w:rsid w:val="00EA0704"/>
    <w:rsid w:val="00EA43BB"/>
    <w:rsid w:val="00EA4B38"/>
    <w:rsid w:val="00EA5B72"/>
    <w:rsid w:val="00EA60C0"/>
    <w:rsid w:val="00EA615F"/>
    <w:rsid w:val="00EA6A6E"/>
    <w:rsid w:val="00EA7931"/>
    <w:rsid w:val="00EB3B33"/>
    <w:rsid w:val="00EB4190"/>
    <w:rsid w:val="00EB6D5C"/>
    <w:rsid w:val="00EC23C6"/>
    <w:rsid w:val="00EC449A"/>
    <w:rsid w:val="00EC68D5"/>
    <w:rsid w:val="00ED2779"/>
    <w:rsid w:val="00ED2D4A"/>
    <w:rsid w:val="00ED35FE"/>
    <w:rsid w:val="00ED4D65"/>
    <w:rsid w:val="00ED54AA"/>
    <w:rsid w:val="00ED607A"/>
    <w:rsid w:val="00ED6386"/>
    <w:rsid w:val="00ED73A2"/>
    <w:rsid w:val="00EE33B1"/>
    <w:rsid w:val="00EE486E"/>
    <w:rsid w:val="00EF0B58"/>
    <w:rsid w:val="00EF3AC2"/>
    <w:rsid w:val="00EF45D8"/>
    <w:rsid w:val="00EF4DB1"/>
    <w:rsid w:val="00EF501E"/>
    <w:rsid w:val="00EF56E6"/>
    <w:rsid w:val="00EF59AD"/>
    <w:rsid w:val="00EF5A54"/>
    <w:rsid w:val="00EF6C7B"/>
    <w:rsid w:val="00EF7C2B"/>
    <w:rsid w:val="00F004AD"/>
    <w:rsid w:val="00F03B80"/>
    <w:rsid w:val="00F04DA3"/>
    <w:rsid w:val="00F054CC"/>
    <w:rsid w:val="00F067C6"/>
    <w:rsid w:val="00F133CB"/>
    <w:rsid w:val="00F143D0"/>
    <w:rsid w:val="00F16756"/>
    <w:rsid w:val="00F1695D"/>
    <w:rsid w:val="00F16D7C"/>
    <w:rsid w:val="00F1747F"/>
    <w:rsid w:val="00F17D37"/>
    <w:rsid w:val="00F21E5D"/>
    <w:rsid w:val="00F22459"/>
    <w:rsid w:val="00F230C7"/>
    <w:rsid w:val="00F236ED"/>
    <w:rsid w:val="00F265DC"/>
    <w:rsid w:val="00F26643"/>
    <w:rsid w:val="00F32F6E"/>
    <w:rsid w:val="00F34F94"/>
    <w:rsid w:val="00F35F9F"/>
    <w:rsid w:val="00F408B3"/>
    <w:rsid w:val="00F43ADB"/>
    <w:rsid w:val="00F4683A"/>
    <w:rsid w:val="00F52505"/>
    <w:rsid w:val="00F5323B"/>
    <w:rsid w:val="00F53455"/>
    <w:rsid w:val="00F53594"/>
    <w:rsid w:val="00F60344"/>
    <w:rsid w:val="00F6189B"/>
    <w:rsid w:val="00F620EE"/>
    <w:rsid w:val="00F70922"/>
    <w:rsid w:val="00F76C74"/>
    <w:rsid w:val="00F776EE"/>
    <w:rsid w:val="00F80E49"/>
    <w:rsid w:val="00F86436"/>
    <w:rsid w:val="00F87572"/>
    <w:rsid w:val="00F904A5"/>
    <w:rsid w:val="00F915EF"/>
    <w:rsid w:val="00F9269D"/>
    <w:rsid w:val="00F93AD4"/>
    <w:rsid w:val="00F97533"/>
    <w:rsid w:val="00F975D4"/>
    <w:rsid w:val="00FA0E51"/>
    <w:rsid w:val="00FA1FE6"/>
    <w:rsid w:val="00FA4264"/>
    <w:rsid w:val="00FA6D9F"/>
    <w:rsid w:val="00FA7FAD"/>
    <w:rsid w:val="00FB12F4"/>
    <w:rsid w:val="00FB1FCA"/>
    <w:rsid w:val="00FB500B"/>
    <w:rsid w:val="00FC08C1"/>
    <w:rsid w:val="00FC278A"/>
    <w:rsid w:val="00FC44CD"/>
    <w:rsid w:val="00FC54AB"/>
    <w:rsid w:val="00FC5596"/>
    <w:rsid w:val="00FC77F2"/>
    <w:rsid w:val="00FD1D05"/>
    <w:rsid w:val="00FD2D28"/>
    <w:rsid w:val="00FD6ACE"/>
    <w:rsid w:val="00FD705A"/>
    <w:rsid w:val="00FE3DC8"/>
    <w:rsid w:val="00FE4151"/>
    <w:rsid w:val="00FE4E07"/>
    <w:rsid w:val="00FE7A07"/>
    <w:rsid w:val="00FF0511"/>
    <w:rsid w:val="00FF2405"/>
    <w:rsid w:val="00FF41D1"/>
    <w:rsid w:val="00FF57E2"/>
    <w:rsid w:val="00FF6155"/>
    <w:rsid w:val="00FF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59E9D772"/>
  <w15:docId w15:val="{15F85034-BB1D-9A43-8E65-6020F693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DD8"/>
    <w:rPr>
      <w:rFonts w:ascii="Calibri" w:eastAsia="Yu Mincho" w:hAnsi="Calibri" w:cs="Calibri"/>
      <w:sz w:val="24"/>
      <w:szCs w:val="24"/>
    </w:rPr>
  </w:style>
  <w:style w:type="paragraph" w:styleId="Heading1">
    <w:name w:val="heading 1"/>
    <w:basedOn w:val="Normal"/>
    <w:next w:val="Normal"/>
    <w:link w:val="Heading1Char"/>
    <w:uiPriority w:val="99"/>
    <w:qFormat/>
    <w:rsid w:val="003D3DD8"/>
    <w:pPr>
      <w:keepNext/>
      <w:keepLines/>
      <w:spacing w:before="240"/>
      <w:outlineLvl w:val="0"/>
    </w:pPr>
    <w:rPr>
      <w:rFonts w:eastAsia="Yu Gothic Light"/>
      <w:b/>
      <w:bCs/>
      <w:color w:val="CA5D29"/>
      <w:sz w:val="32"/>
      <w:szCs w:val="32"/>
      <w:lang w:val="en-US" w:eastAsia="ja-JP"/>
    </w:rPr>
  </w:style>
  <w:style w:type="paragraph" w:styleId="Heading2">
    <w:name w:val="heading 2"/>
    <w:basedOn w:val="Normal"/>
    <w:next w:val="Normal"/>
    <w:link w:val="Heading2Char"/>
    <w:uiPriority w:val="99"/>
    <w:qFormat/>
    <w:rsid w:val="003C762F"/>
    <w:pPr>
      <w:keepNext/>
      <w:keepLines/>
      <w:spacing w:before="40"/>
      <w:outlineLvl w:val="1"/>
    </w:pPr>
    <w:rPr>
      <w:rFonts w:ascii="Segoe UI" w:eastAsia="Yu Gothic Light" w:hAnsi="Segoe UI" w:cs="Segoe UI"/>
      <w:b/>
      <w:bCs/>
      <w:color w:val="CA5D29"/>
      <w:sz w:val="26"/>
      <w:szCs w:val="26"/>
      <w:lang w:val="en-US"/>
    </w:rPr>
  </w:style>
  <w:style w:type="paragraph" w:styleId="Heading3">
    <w:name w:val="heading 3"/>
    <w:basedOn w:val="Normal"/>
    <w:next w:val="Normal"/>
    <w:link w:val="Heading3Char"/>
    <w:uiPriority w:val="99"/>
    <w:qFormat/>
    <w:rsid w:val="003C762F"/>
    <w:pPr>
      <w:keepNext/>
      <w:spacing w:before="240" w:after="60"/>
      <w:outlineLvl w:val="2"/>
    </w:pPr>
    <w:rPr>
      <w:rFonts w:ascii="Segoe UI" w:hAnsi="Segoe UI" w:cs="Segoe UI"/>
      <w:b/>
      <w:bCs/>
    </w:rPr>
  </w:style>
  <w:style w:type="paragraph" w:styleId="Heading4">
    <w:name w:val="heading 4"/>
    <w:basedOn w:val="Normal"/>
    <w:next w:val="Normal"/>
    <w:link w:val="Heading4Char"/>
    <w:uiPriority w:val="99"/>
    <w:qFormat/>
    <w:rsid w:val="00511472"/>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D3DD8"/>
    <w:rPr>
      <w:rFonts w:ascii="Calibri" w:eastAsia="Yu Gothic Light" w:hAnsi="Calibri" w:cs="Calibri"/>
      <w:b/>
      <w:bCs/>
      <w:color w:val="CA5D29"/>
      <w:sz w:val="32"/>
      <w:szCs w:val="32"/>
      <w:lang w:val="en-US" w:eastAsia="ja-JP"/>
    </w:rPr>
  </w:style>
  <w:style w:type="character" w:customStyle="1" w:styleId="Heading2Char">
    <w:name w:val="Heading 2 Char"/>
    <w:link w:val="Heading2"/>
    <w:uiPriority w:val="99"/>
    <w:locked/>
    <w:rsid w:val="003C762F"/>
    <w:rPr>
      <w:rFonts w:ascii="Segoe UI" w:eastAsia="Yu Gothic Light" w:hAnsi="Segoe UI" w:cs="Segoe UI"/>
      <w:b/>
      <w:bCs/>
      <w:color w:val="CA5D29"/>
      <w:sz w:val="26"/>
      <w:szCs w:val="26"/>
    </w:rPr>
  </w:style>
  <w:style w:type="character" w:customStyle="1" w:styleId="Heading3Char">
    <w:name w:val="Heading 3 Char"/>
    <w:link w:val="Heading3"/>
    <w:uiPriority w:val="99"/>
    <w:semiHidden/>
    <w:locked/>
    <w:rsid w:val="00F53455"/>
    <w:rPr>
      <w:rFonts w:ascii="Cambria" w:hAnsi="Cambria" w:cs="Cambria"/>
      <w:b/>
      <w:bCs/>
      <w:sz w:val="26"/>
      <w:szCs w:val="26"/>
      <w:lang w:val="en-CA"/>
    </w:rPr>
  </w:style>
  <w:style w:type="character" w:customStyle="1" w:styleId="Heading4Char">
    <w:name w:val="Heading 4 Char"/>
    <w:link w:val="Heading4"/>
    <w:uiPriority w:val="99"/>
    <w:semiHidden/>
    <w:locked/>
    <w:rsid w:val="00F53455"/>
    <w:rPr>
      <w:rFonts w:ascii="Calibri" w:hAnsi="Calibri" w:cs="Calibri"/>
      <w:b/>
      <w:bCs/>
      <w:sz w:val="28"/>
      <w:szCs w:val="28"/>
      <w:lang w:val="en-CA"/>
    </w:rPr>
  </w:style>
  <w:style w:type="paragraph" w:styleId="BalloonText">
    <w:name w:val="Balloon Text"/>
    <w:basedOn w:val="Normal"/>
    <w:link w:val="BalloonTextChar"/>
    <w:uiPriority w:val="99"/>
    <w:semiHidden/>
    <w:locked/>
    <w:rsid w:val="00F52505"/>
    <w:rPr>
      <w:rFonts w:ascii="Tahoma" w:hAnsi="Tahoma" w:cs="Tahoma"/>
      <w:sz w:val="16"/>
      <w:szCs w:val="16"/>
    </w:rPr>
  </w:style>
  <w:style w:type="character" w:customStyle="1" w:styleId="BalloonTextChar">
    <w:name w:val="Balloon Text Char"/>
    <w:link w:val="BalloonText"/>
    <w:uiPriority w:val="99"/>
    <w:semiHidden/>
    <w:locked/>
    <w:rsid w:val="00966FE8"/>
    <w:rPr>
      <w:rFonts w:eastAsia="Yu Mincho"/>
      <w:sz w:val="2"/>
      <w:szCs w:val="2"/>
      <w:lang w:val="en-CA"/>
    </w:rPr>
  </w:style>
  <w:style w:type="paragraph" w:styleId="FootnoteText">
    <w:name w:val="footnote text"/>
    <w:basedOn w:val="Normal"/>
    <w:link w:val="FootnoteTextChar"/>
    <w:uiPriority w:val="99"/>
    <w:semiHidden/>
    <w:rsid w:val="003D3DD8"/>
    <w:rPr>
      <w:sz w:val="20"/>
      <w:szCs w:val="20"/>
      <w:lang w:val="en-US"/>
    </w:rPr>
  </w:style>
  <w:style w:type="character" w:customStyle="1" w:styleId="FootnoteTextChar">
    <w:name w:val="Footnote Text Char"/>
    <w:link w:val="FootnoteText"/>
    <w:uiPriority w:val="99"/>
    <w:locked/>
    <w:rsid w:val="003D3DD8"/>
    <w:rPr>
      <w:rFonts w:ascii="Calibri" w:eastAsia="Yu Mincho" w:hAnsi="Calibri" w:cs="Calibri"/>
      <w:lang w:val="en-US" w:eastAsia="en-US"/>
    </w:rPr>
  </w:style>
  <w:style w:type="character" w:styleId="FootnoteReference">
    <w:name w:val="footnote reference"/>
    <w:aliases w:val="Footnotes refss"/>
    <w:uiPriority w:val="99"/>
    <w:semiHidden/>
    <w:rsid w:val="003D3DD8"/>
    <w:rPr>
      <w:vertAlign w:val="superscript"/>
    </w:rPr>
  </w:style>
  <w:style w:type="character" w:styleId="Hyperlink">
    <w:name w:val="Hyperlink"/>
    <w:uiPriority w:val="99"/>
    <w:rsid w:val="003D3DD8"/>
    <w:rPr>
      <w:rFonts w:ascii="Calibri" w:eastAsia="Yu Mincho" w:hAnsi="Calibri" w:cs="Calibri"/>
      <w:color w:val="833C0B"/>
      <w:sz w:val="20"/>
      <w:szCs w:val="20"/>
      <w:u w:val="single"/>
    </w:rPr>
  </w:style>
  <w:style w:type="character" w:customStyle="1" w:styleId="FootnoteCharacters">
    <w:name w:val="Footnote Characters"/>
    <w:uiPriority w:val="99"/>
    <w:rsid w:val="003D3DD8"/>
    <w:rPr>
      <w:vertAlign w:val="superscript"/>
    </w:rPr>
  </w:style>
  <w:style w:type="paragraph" w:styleId="PlainText">
    <w:name w:val="Plain Text"/>
    <w:basedOn w:val="Normal"/>
    <w:link w:val="PlainTextChar"/>
    <w:uiPriority w:val="99"/>
    <w:rsid w:val="003D3DD8"/>
    <w:pPr>
      <w:widowControl w:val="0"/>
      <w:suppressAutoHyphens/>
    </w:pPr>
    <w:rPr>
      <w:kern w:val="1"/>
      <w:sz w:val="20"/>
      <w:szCs w:val="20"/>
      <w:lang w:val="en-US" w:eastAsia="zh-CN"/>
    </w:rPr>
  </w:style>
  <w:style w:type="character" w:customStyle="1" w:styleId="PlainTextChar">
    <w:name w:val="Plain Text Char"/>
    <w:link w:val="PlainText"/>
    <w:uiPriority w:val="99"/>
    <w:locked/>
    <w:rsid w:val="003D3DD8"/>
    <w:rPr>
      <w:rFonts w:ascii="Calibri" w:eastAsia="Yu Mincho" w:hAnsi="Calibri" w:cs="Calibri"/>
      <w:kern w:val="1"/>
      <w:lang w:val="en-US" w:eastAsia="zh-CN"/>
    </w:rPr>
  </w:style>
  <w:style w:type="character" w:customStyle="1" w:styleId="A8">
    <w:name w:val="A8"/>
    <w:uiPriority w:val="99"/>
    <w:rsid w:val="003D3DD8"/>
    <w:rPr>
      <w:rFonts w:ascii="NLCMC B+ Locator" w:hAnsi="NLCMC B+ Locator" w:cs="NLCMC B+ Locator"/>
      <w:color w:val="auto"/>
      <w:sz w:val="11"/>
      <w:szCs w:val="11"/>
    </w:rPr>
  </w:style>
  <w:style w:type="paragraph" w:styleId="Footer">
    <w:name w:val="footer"/>
    <w:basedOn w:val="Normal"/>
    <w:link w:val="FooterChar"/>
    <w:uiPriority w:val="99"/>
    <w:rsid w:val="00D77553"/>
    <w:pPr>
      <w:tabs>
        <w:tab w:val="center" w:pos="4320"/>
        <w:tab w:val="right" w:pos="8640"/>
      </w:tabs>
    </w:pPr>
  </w:style>
  <w:style w:type="character" w:customStyle="1" w:styleId="FooterChar">
    <w:name w:val="Footer Char"/>
    <w:link w:val="Footer"/>
    <w:uiPriority w:val="99"/>
    <w:semiHidden/>
    <w:locked/>
    <w:rsid w:val="00F53455"/>
    <w:rPr>
      <w:rFonts w:ascii="Calibri" w:eastAsia="Yu Mincho" w:hAnsi="Calibri" w:cs="Calibri"/>
      <w:sz w:val="24"/>
      <w:szCs w:val="24"/>
      <w:lang w:val="en-CA"/>
    </w:rPr>
  </w:style>
  <w:style w:type="character" w:styleId="PageNumber">
    <w:name w:val="page number"/>
    <w:basedOn w:val="DefaultParagraphFont"/>
    <w:uiPriority w:val="99"/>
    <w:rsid w:val="00D77553"/>
  </w:style>
  <w:style w:type="paragraph" w:styleId="EndnoteText">
    <w:name w:val="endnote text"/>
    <w:basedOn w:val="Normal"/>
    <w:link w:val="EndnoteTextChar"/>
    <w:uiPriority w:val="99"/>
    <w:semiHidden/>
    <w:rsid w:val="00F87572"/>
    <w:rPr>
      <w:sz w:val="20"/>
      <w:szCs w:val="20"/>
      <w:lang w:val="en-US"/>
    </w:rPr>
  </w:style>
  <w:style w:type="character" w:customStyle="1" w:styleId="EndnoteTextChar">
    <w:name w:val="Endnote Text Char"/>
    <w:link w:val="EndnoteText"/>
    <w:uiPriority w:val="99"/>
    <w:locked/>
    <w:rsid w:val="008E08C2"/>
    <w:rPr>
      <w:rFonts w:ascii="Calibri" w:eastAsia="Yu Mincho" w:hAnsi="Calibri" w:cs="Calibri"/>
      <w:lang w:val="en-US" w:eastAsia="en-US"/>
    </w:rPr>
  </w:style>
  <w:style w:type="character" w:styleId="EndnoteReference">
    <w:name w:val="endnote reference"/>
    <w:uiPriority w:val="99"/>
    <w:semiHidden/>
    <w:rsid w:val="00F87572"/>
    <w:rPr>
      <w:vertAlign w:val="superscript"/>
    </w:rPr>
  </w:style>
  <w:style w:type="paragraph" w:customStyle="1" w:styleId="scjnormal">
    <w:name w:val="scjnormal"/>
    <w:basedOn w:val="Normal"/>
    <w:uiPriority w:val="99"/>
    <w:rsid w:val="00AE2106"/>
    <w:pPr>
      <w:spacing w:before="100" w:beforeAutospacing="1" w:after="100" w:afterAutospacing="1"/>
    </w:pPr>
    <w:rPr>
      <w:rFonts w:eastAsia="Times New Roman"/>
    </w:rPr>
  </w:style>
  <w:style w:type="character" w:styleId="Emphasis">
    <w:name w:val="Emphasis"/>
    <w:uiPriority w:val="99"/>
    <w:qFormat/>
    <w:rsid w:val="006E26E8"/>
    <w:rPr>
      <w:i/>
      <w:iCs/>
    </w:rPr>
  </w:style>
  <w:style w:type="character" w:styleId="FollowedHyperlink">
    <w:name w:val="FollowedHyperlink"/>
    <w:uiPriority w:val="99"/>
    <w:rsid w:val="00DF2D70"/>
    <w:rPr>
      <w:color w:val="800080"/>
      <w:u w:val="single"/>
    </w:rPr>
  </w:style>
  <w:style w:type="paragraph" w:customStyle="1" w:styleId="ListParagraph1">
    <w:name w:val="List Paragraph1"/>
    <w:aliases w:val="List Paragraph calibri"/>
    <w:basedOn w:val="Normal"/>
    <w:uiPriority w:val="99"/>
    <w:rsid w:val="00D55821"/>
    <w:pPr>
      <w:spacing w:after="160" w:line="259" w:lineRule="auto"/>
      <w:ind w:left="720" w:firstLine="720"/>
    </w:pPr>
    <w:rPr>
      <w:rFonts w:eastAsia="Times New Roman"/>
      <w:sz w:val="22"/>
      <w:szCs w:val="22"/>
    </w:rPr>
  </w:style>
  <w:style w:type="character" w:customStyle="1" w:styleId="hidden-xshidden-sm">
    <w:name w:val="hidden-xs hidden-sm"/>
    <w:basedOn w:val="DefaultParagraphFont"/>
    <w:uiPriority w:val="99"/>
    <w:rsid w:val="008E08C2"/>
  </w:style>
  <w:style w:type="character" w:customStyle="1" w:styleId="sm-txt">
    <w:name w:val="sm-txt"/>
    <w:basedOn w:val="DefaultParagraphFont"/>
    <w:uiPriority w:val="99"/>
    <w:rsid w:val="008E08C2"/>
  </w:style>
  <w:style w:type="character" w:customStyle="1" w:styleId="nowrap">
    <w:name w:val="nowrap"/>
    <w:basedOn w:val="DefaultParagraphFont"/>
    <w:uiPriority w:val="99"/>
    <w:rsid w:val="008E08C2"/>
  </w:style>
  <w:style w:type="character" w:customStyle="1" w:styleId="display-blockwidth100">
    <w:name w:val="display-block width100"/>
    <w:basedOn w:val="DefaultParagraphFont"/>
    <w:uiPriority w:val="99"/>
    <w:rsid w:val="008E08C2"/>
  </w:style>
  <w:style w:type="character" w:customStyle="1" w:styleId="nodenode--type-paragraphnode--view-mode-full">
    <w:name w:val="node node--type-paragraph node--view-mode-full"/>
    <w:basedOn w:val="DefaultParagraphFont"/>
    <w:uiPriority w:val="99"/>
    <w:rsid w:val="00342EE5"/>
  </w:style>
  <w:style w:type="paragraph" w:styleId="TOCHeading">
    <w:name w:val="TOC Heading"/>
    <w:basedOn w:val="Heading1"/>
    <w:next w:val="Normal"/>
    <w:uiPriority w:val="99"/>
    <w:qFormat/>
    <w:rsid w:val="00FE3DC8"/>
    <w:pPr>
      <w:spacing w:line="259" w:lineRule="auto"/>
      <w:outlineLvl w:val="9"/>
    </w:pPr>
    <w:rPr>
      <w:rFonts w:ascii="Calibri Light" w:eastAsia="Times New Roman" w:hAnsi="Calibri Light" w:cs="Calibri Light"/>
      <w:b w:val="0"/>
      <w:bCs w:val="0"/>
      <w:color w:val="2E74B5"/>
      <w:lang w:eastAsia="en-US"/>
    </w:rPr>
  </w:style>
  <w:style w:type="paragraph" w:styleId="TOC1">
    <w:name w:val="toc 1"/>
    <w:basedOn w:val="Normal"/>
    <w:next w:val="Normal"/>
    <w:autoRedefine/>
    <w:uiPriority w:val="39"/>
    <w:rsid w:val="00FE3DC8"/>
  </w:style>
  <w:style w:type="paragraph" w:styleId="TOC2">
    <w:name w:val="toc 2"/>
    <w:basedOn w:val="Normal"/>
    <w:next w:val="Normal"/>
    <w:autoRedefine/>
    <w:uiPriority w:val="39"/>
    <w:rsid w:val="00242A17"/>
    <w:pPr>
      <w:ind w:left="240"/>
    </w:pPr>
  </w:style>
  <w:style w:type="paragraph" w:styleId="TOC3">
    <w:name w:val="toc 3"/>
    <w:basedOn w:val="Normal"/>
    <w:next w:val="Normal"/>
    <w:autoRedefine/>
    <w:uiPriority w:val="39"/>
    <w:rsid w:val="00242A17"/>
    <w:pPr>
      <w:ind w:left="480"/>
    </w:pPr>
  </w:style>
  <w:style w:type="character" w:styleId="CommentReference">
    <w:name w:val="annotation reference"/>
    <w:uiPriority w:val="99"/>
    <w:semiHidden/>
    <w:rsid w:val="00332A77"/>
    <w:rPr>
      <w:sz w:val="16"/>
      <w:szCs w:val="16"/>
    </w:rPr>
  </w:style>
  <w:style w:type="paragraph" w:styleId="CommentText">
    <w:name w:val="annotation text"/>
    <w:basedOn w:val="Normal"/>
    <w:link w:val="CommentTextChar"/>
    <w:uiPriority w:val="99"/>
    <w:semiHidden/>
    <w:rsid w:val="00332A77"/>
    <w:rPr>
      <w:sz w:val="20"/>
      <w:szCs w:val="20"/>
    </w:rPr>
  </w:style>
  <w:style w:type="character" w:customStyle="1" w:styleId="CommentTextChar">
    <w:name w:val="Comment Text Char"/>
    <w:link w:val="CommentText"/>
    <w:uiPriority w:val="99"/>
    <w:locked/>
    <w:rsid w:val="00332A77"/>
    <w:rPr>
      <w:rFonts w:ascii="Calibri" w:eastAsia="Yu Mincho" w:hAnsi="Calibri" w:cs="Calibri"/>
      <w:lang w:val="en-US" w:eastAsia="en-US"/>
    </w:rPr>
  </w:style>
  <w:style w:type="paragraph" w:styleId="CommentSubject">
    <w:name w:val="annotation subject"/>
    <w:basedOn w:val="CommentText"/>
    <w:next w:val="CommentText"/>
    <w:link w:val="CommentSubjectChar"/>
    <w:uiPriority w:val="99"/>
    <w:semiHidden/>
    <w:rsid w:val="00332A77"/>
    <w:rPr>
      <w:b/>
      <w:bCs/>
    </w:rPr>
  </w:style>
  <w:style w:type="character" w:customStyle="1" w:styleId="CommentSubjectChar">
    <w:name w:val="Comment Subject Char"/>
    <w:link w:val="CommentSubject"/>
    <w:uiPriority w:val="99"/>
    <w:locked/>
    <w:rsid w:val="00332A77"/>
    <w:rPr>
      <w:rFonts w:ascii="Calibri" w:eastAsia="Yu Mincho" w:hAnsi="Calibri" w:cs="Calibri"/>
      <w:b/>
      <w:bCs/>
      <w:lang w:val="en-US" w:eastAsia="en-US"/>
    </w:rPr>
  </w:style>
  <w:style w:type="paragraph" w:styleId="Revision">
    <w:name w:val="Revision"/>
    <w:hidden/>
    <w:uiPriority w:val="99"/>
    <w:semiHidden/>
    <w:rsid w:val="00BE007D"/>
    <w:rPr>
      <w:rFonts w:ascii="Calibri" w:eastAsia="Yu Mincho" w:hAnsi="Calibri" w:cs="Calibri"/>
      <w:sz w:val="24"/>
      <w:szCs w:val="24"/>
      <w:lang w:val="en-US"/>
    </w:rPr>
  </w:style>
  <w:style w:type="character" w:customStyle="1" w:styleId="UnresolvedMention1">
    <w:name w:val="Unresolved Mention1"/>
    <w:uiPriority w:val="99"/>
    <w:semiHidden/>
    <w:rsid w:val="009C0604"/>
    <w:rPr>
      <w:color w:val="auto"/>
      <w:shd w:val="clear" w:color="auto" w:fill="auto"/>
    </w:rPr>
  </w:style>
  <w:style w:type="paragraph" w:styleId="ListParagraph">
    <w:name w:val="List Paragraph"/>
    <w:basedOn w:val="Normal"/>
    <w:uiPriority w:val="99"/>
    <w:qFormat/>
    <w:rsid w:val="004B2AAB"/>
    <w:pPr>
      <w:ind w:left="720"/>
    </w:pPr>
  </w:style>
  <w:style w:type="paragraph" w:styleId="Header">
    <w:name w:val="header"/>
    <w:basedOn w:val="Normal"/>
    <w:link w:val="HeaderChar"/>
    <w:uiPriority w:val="99"/>
    <w:locked/>
    <w:rsid w:val="00751078"/>
    <w:pPr>
      <w:tabs>
        <w:tab w:val="center" w:pos="4320"/>
        <w:tab w:val="right" w:pos="8640"/>
      </w:tabs>
    </w:pPr>
  </w:style>
  <w:style w:type="character" w:customStyle="1" w:styleId="HeaderChar">
    <w:name w:val="Header Char"/>
    <w:link w:val="Header"/>
    <w:uiPriority w:val="99"/>
    <w:semiHidden/>
    <w:locked/>
    <w:rsid w:val="00966FE8"/>
    <w:rPr>
      <w:rFonts w:ascii="Calibri" w:eastAsia="Yu Mincho" w:hAnsi="Calibri" w:cs="Calibri"/>
      <w:sz w:val="24"/>
      <w:szCs w:val="24"/>
      <w:lang w:val="en-CA"/>
    </w:rPr>
  </w:style>
  <w:style w:type="character" w:customStyle="1" w:styleId="akgp8">
    <w:name w:val="akgp8"/>
    <w:basedOn w:val="DefaultParagraphFont"/>
    <w:uiPriority w:val="99"/>
    <w:rsid w:val="00A67AA9"/>
  </w:style>
  <w:style w:type="paragraph" w:styleId="NormalWeb">
    <w:name w:val="Normal (Web)"/>
    <w:basedOn w:val="Normal"/>
    <w:uiPriority w:val="99"/>
    <w:locked/>
    <w:rsid w:val="00ED2D4A"/>
    <w:pPr>
      <w:spacing w:before="100" w:beforeAutospacing="1" w:after="100" w:afterAutospacing="1"/>
    </w:pPr>
    <w:rPr>
      <w:rFonts w:ascii="Times New Roman" w:eastAsia="MS Mincho" w:hAnsi="Times New Roman" w:cs="Times New Roman"/>
      <w:lang w:val="en-GB" w:eastAsia="ja-JP"/>
    </w:rPr>
  </w:style>
  <w:style w:type="character" w:styleId="UnresolvedMention">
    <w:name w:val="Unresolved Mention"/>
    <w:uiPriority w:val="99"/>
    <w:semiHidden/>
    <w:unhideWhenUsed/>
    <w:rsid w:val="00D56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9001958">
      <w:marLeft w:val="0"/>
      <w:marRight w:val="0"/>
      <w:marTop w:val="0"/>
      <w:marBottom w:val="0"/>
      <w:divBdr>
        <w:top w:val="none" w:sz="0" w:space="0" w:color="auto"/>
        <w:left w:val="none" w:sz="0" w:space="0" w:color="auto"/>
        <w:bottom w:val="none" w:sz="0" w:space="0" w:color="auto"/>
        <w:right w:val="none" w:sz="0" w:space="0" w:color="auto"/>
      </w:divBdr>
    </w:div>
    <w:div w:id="1879001963">
      <w:marLeft w:val="0"/>
      <w:marRight w:val="0"/>
      <w:marTop w:val="0"/>
      <w:marBottom w:val="0"/>
      <w:divBdr>
        <w:top w:val="none" w:sz="0" w:space="0" w:color="auto"/>
        <w:left w:val="none" w:sz="0" w:space="0" w:color="auto"/>
        <w:bottom w:val="none" w:sz="0" w:space="0" w:color="auto"/>
        <w:right w:val="none" w:sz="0" w:space="0" w:color="auto"/>
      </w:divBdr>
      <w:divsChild>
        <w:div w:id="1879001960">
          <w:marLeft w:val="0"/>
          <w:marRight w:val="0"/>
          <w:marTop w:val="0"/>
          <w:marBottom w:val="0"/>
          <w:divBdr>
            <w:top w:val="none" w:sz="0" w:space="0" w:color="auto"/>
            <w:left w:val="none" w:sz="0" w:space="0" w:color="auto"/>
            <w:bottom w:val="none" w:sz="0" w:space="0" w:color="auto"/>
            <w:right w:val="none" w:sz="0" w:space="0" w:color="auto"/>
          </w:divBdr>
        </w:div>
        <w:div w:id="1879001962">
          <w:marLeft w:val="0"/>
          <w:marRight w:val="0"/>
          <w:marTop w:val="0"/>
          <w:marBottom w:val="0"/>
          <w:divBdr>
            <w:top w:val="none" w:sz="0" w:space="0" w:color="auto"/>
            <w:left w:val="none" w:sz="0" w:space="0" w:color="auto"/>
            <w:bottom w:val="none" w:sz="0" w:space="0" w:color="auto"/>
            <w:right w:val="none" w:sz="0" w:space="0" w:color="auto"/>
          </w:divBdr>
        </w:div>
        <w:div w:id="1879001969">
          <w:marLeft w:val="0"/>
          <w:marRight w:val="0"/>
          <w:marTop w:val="0"/>
          <w:marBottom w:val="0"/>
          <w:divBdr>
            <w:top w:val="none" w:sz="0" w:space="0" w:color="auto"/>
            <w:left w:val="none" w:sz="0" w:space="0" w:color="auto"/>
            <w:bottom w:val="none" w:sz="0" w:space="0" w:color="auto"/>
            <w:right w:val="none" w:sz="0" w:space="0" w:color="auto"/>
          </w:divBdr>
        </w:div>
      </w:divsChild>
    </w:div>
    <w:div w:id="1879001966">
      <w:marLeft w:val="0"/>
      <w:marRight w:val="0"/>
      <w:marTop w:val="0"/>
      <w:marBottom w:val="0"/>
      <w:divBdr>
        <w:top w:val="none" w:sz="0" w:space="0" w:color="auto"/>
        <w:left w:val="none" w:sz="0" w:space="0" w:color="auto"/>
        <w:bottom w:val="none" w:sz="0" w:space="0" w:color="auto"/>
        <w:right w:val="none" w:sz="0" w:space="0" w:color="auto"/>
      </w:divBdr>
    </w:div>
    <w:div w:id="1879001967">
      <w:marLeft w:val="0"/>
      <w:marRight w:val="0"/>
      <w:marTop w:val="0"/>
      <w:marBottom w:val="0"/>
      <w:divBdr>
        <w:top w:val="none" w:sz="0" w:space="0" w:color="auto"/>
        <w:left w:val="none" w:sz="0" w:space="0" w:color="auto"/>
        <w:bottom w:val="none" w:sz="0" w:space="0" w:color="auto"/>
        <w:right w:val="none" w:sz="0" w:space="0" w:color="auto"/>
      </w:divBdr>
    </w:div>
    <w:div w:id="1879001968">
      <w:marLeft w:val="0"/>
      <w:marRight w:val="0"/>
      <w:marTop w:val="0"/>
      <w:marBottom w:val="0"/>
      <w:divBdr>
        <w:top w:val="none" w:sz="0" w:space="0" w:color="auto"/>
        <w:left w:val="none" w:sz="0" w:space="0" w:color="auto"/>
        <w:bottom w:val="none" w:sz="0" w:space="0" w:color="auto"/>
        <w:right w:val="none" w:sz="0" w:space="0" w:color="auto"/>
      </w:divBdr>
    </w:div>
    <w:div w:id="1879001971">
      <w:marLeft w:val="0"/>
      <w:marRight w:val="0"/>
      <w:marTop w:val="0"/>
      <w:marBottom w:val="0"/>
      <w:divBdr>
        <w:top w:val="none" w:sz="0" w:space="0" w:color="auto"/>
        <w:left w:val="none" w:sz="0" w:space="0" w:color="auto"/>
        <w:bottom w:val="none" w:sz="0" w:space="0" w:color="auto"/>
        <w:right w:val="none" w:sz="0" w:space="0" w:color="auto"/>
      </w:divBdr>
    </w:div>
    <w:div w:id="1879001972">
      <w:marLeft w:val="0"/>
      <w:marRight w:val="0"/>
      <w:marTop w:val="0"/>
      <w:marBottom w:val="0"/>
      <w:divBdr>
        <w:top w:val="none" w:sz="0" w:space="0" w:color="auto"/>
        <w:left w:val="none" w:sz="0" w:space="0" w:color="auto"/>
        <w:bottom w:val="none" w:sz="0" w:space="0" w:color="auto"/>
        <w:right w:val="none" w:sz="0" w:space="0" w:color="auto"/>
      </w:divBdr>
      <w:divsChild>
        <w:div w:id="1879001980">
          <w:marLeft w:val="0"/>
          <w:marRight w:val="0"/>
          <w:marTop w:val="0"/>
          <w:marBottom w:val="0"/>
          <w:divBdr>
            <w:top w:val="none" w:sz="0" w:space="0" w:color="auto"/>
            <w:left w:val="none" w:sz="0" w:space="0" w:color="auto"/>
            <w:bottom w:val="none" w:sz="0" w:space="0" w:color="auto"/>
            <w:right w:val="none" w:sz="0" w:space="0" w:color="auto"/>
          </w:divBdr>
          <w:divsChild>
            <w:div w:id="1879001981">
              <w:marLeft w:val="0"/>
              <w:marRight w:val="0"/>
              <w:marTop w:val="0"/>
              <w:marBottom w:val="0"/>
              <w:divBdr>
                <w:top w:val="none" w:sz="0" w:space="0" w:color="auto"/>
                <w:left w:val="none" w:sz="0" w:space="0" w:color="auto"/>
                <w:bottom w:val="none" w:sz="0" w:space="0" w:color="auto"/>
                <w:right w:val="none" w:sz="0" w:space="0" w:color="auto"/>
              </w:divBdr>
            </w:div>
            <w:div w:id="1879001983">
              <w:marLeft w:val="0"/>
              <w:marRight w:val="0"/>
              <w:marTop w:val="0"/>
              <w:marBottom w:val="0"/>
              <w:divBdr>
                <w:top w:val="none" w:sz="0" w:space="0" w:color="auto"/>
                <w:left w:val="none" w:sz="0" w:space="0" w:color="auto"/>
                <w:bottom w:val="none" w:sz="0" w:space="0" w:color="auto"/>
                <w:right w:val="none" w:sz="0" w:space="0" w:color="auto"/>
              </w:divBdr>
            </w:div>
            <w:div w:id="187900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974">
      <w:marLeft w:val="0"/>
      <w:marRight w:val="0"/>
      <w:marTop w:val="0"/>
      <w:marBottom w:val="0"/>
      <w:divBdr>
        <w:top w:val="none" w:sz="0" w:space="0" w:color="auto"/>
        <w:left w:val="none" w:sz="0" w:space="0" w:color="auto"/>
        <w:bottom w:val="none" w:sz="0" w:space="0" w:color="auto"/>
        <w:right w:val="none" w:sz="0" w:space="0" w:color="auto"/>
      </w:divBdr>
      <w:divsChild>
        <w:div w:id="1879001961">
          <w:marLeft w:val="0"/>
          <w:marRight w:val="0"/>
          <w:marTop w:val="0"/>
          <w:marBottom w:val="0"/>
          <w:divBdr>
            <w:top w:val="none" w:sz="0" w:space="0" w:color="auto"/>
            <w:left w:val="none" w:sz="0" w:space="0" w:color="auto"/>
            <w:bottom w:val="none" w:sz="0" w:space="0" w:color="auto"/>
            <w:right w:val="none" w:sz="0" w:space="0" w:color="auto"/>
          </w:divBdr>
        </w:div>
        <w:div w:id="1879001964">
          <w:marLeft w:val="0"/>
          <w:marRight w:val="0"/>
          <w:marTop w:val="0"/>
          <w:marBottom w:val="0"/>
          <w:divBdr>
            <w:top w:val="none" w:sz="0" w:space="0" w:color="auto"/>
            <w:left w:val="none" w:sz="0" w:space="0" w:color="auto"/>
            <w:bottom w:val="none" w:sz="0" w:space="0" w:color="auto"/>
            <w:right w:val="none" w:sz="0" w:space="0" w:color="auto"/>
          </w:divBdr>
        </w:div>
        <w:div w:id="1879001965">
          <w:marLeft w:val="0"/>
          <w:marRight w:val="0"/>
          <w:marTop w:val="0"/>
          <w:marBottom w:val="0"/>
          <w:divBdr>
            <w:top w:val="none" w:sz="0" w:space="0" w:color="auto"/>
            <w:left w:val="none" w:sz="0" w:space="0" w:color="auto"/>
            <w:bottom w:val="none" w:sz="0" w:space="0" w:color="auto"/>
            <w:right w:val="none" w:sz="0" w:space="0" w:color="auto"/>
          </w:divBdr>
        </w:div>
        <w:div w:id="1879001970">
          <w:marLeft w:val="0"/>
          <w:marRight w:val="0"/>
          <w:marTop w:val="0"/>
          <w:marBottom w:val="0"/>
          <w:divBdr>
            <w:top w:val="none" w:sz="0" w:space="0" w:color="auto"/>
            <w:left w:val="none" w:sz="0" w:space="0" w:color="auto"/>
            <w:bottom w:val="none" w:sz="0" w:space="0" w:color="auto"/>
            <w:right w:val="none" w:sz="0" w:space="0" w:color="auto"/>
          </w:divBdr>
        </w:div>
        <w:div w:id="1879001976">
          <w:marLeft w:val="0"/>
          <w:marRight w:val="0"/>
          <w:marTop w:val="0"/>
          <w:marBottom w:val="0"/>
          <w:divBdr>
            <w:top w:val="none" w:sz="0" w:space="0" w:color="auto"/>
            <w:left w:val="none" w:sz="0" w:space="0" w:color="auto"/>
            <w:bottom w:val="none" w:sz="0" w:space="0" w:color="auto"/>
            <w:right w:val="none" w:sz="0" w:space="0" w:color="auto"/>
          </w:divBdr>
        </w:div>
      </w:divsChild>
    </w:div>
    <w:div w:id="1879001975">
      <w:marLeft w:val="0"/>
      <w:marRight w:val="0"/>
      <w:marTop w:val="0"/>
      <w:marBottom w:val="0"/>
      <w:divBdr>
        <w:top w:val="none" w:sz="0" w:space="0" w:color="auto"/>
        <w:left w:val="none" w:sz="0" w:space="0" w:color="auto"/>
        <w:bottom w:val="none" w:sz="0" w:space="0" w:color="auto"/>
        <w:right w:val="none" w:sz="0" w:space="0" w:color="auto"/>
      </w:divBdr>
    </w:div>
    <w:div w:id="1879001977">
      <w:marLeft w:val="0"/>
      <w:marRight w:val="0"/>
      <w:marTop w:val="0"/>
      <w:marBottom w:val="0"/>
      <w:divBdr>
        <w:top w:val="none" w:sz="0" w:space="0" w:color="auto"/>
        <w:left w:val="none" w:sz="0" w:space="0" w:color="auto"/>
        <w:bottom w:val="none" w:sz="0" w:space="0" w:color="auto"/>
        <w:right w:val="none" w:sz="0" w:space="0" w:color="auto"/>
      </w:divBdr>
      <w:divsChild>
        <w:div w:id="1879001959">
          <w:marLeft w:val="0"/>
          <w:marRight w:val="0"/>
          <w:marTop w:val="0"/>
          <w:marBottom w:val="0"/>
          <w:divBdr>
            <w:top w:val="none" w:sz="0" w:space="0" w:color="auto"/>
            <w:left w:val="none" w:sz="0" w:space="0" w:color="auto"/>
            <w:bottom w:val="none" w:sz="0" w:space="0" w:color="auto"/>
            <w:right w:val="none" w:sz="0" w:space="0" w:color="auto"/>
          </w:divBdr>
        </w:div>
        <w:div w:id="1879001973">
          <w:marLeft w:val="0"/>
          <w:marRight w:val="0"/>
          <w:marTop w:val="0"/>
          <w:marBottom w:val="0"/>
          <w:divBdr>
            <w:top w:val="none" w:sz="0" w:space="0" w:color="auto"/>
            <w:left w:val="none" w:sz="0" w:space="0" w:color="auto"/>
            <w:bottom w:val="none" w:sz="0" w:space="0" w:color="auto"/>
            <w:right w:val="none" w:sz="0" w:space="0" w:color="auto"/>
          </w:divBdr>
        </w:div>
        <w:div w:id="1879001979">
          <w:marLeft w:val="0"/>
          <w:marRight w:val="0"/>
          <w:marTop w:val="0"/>
          <w:marBottom w:val="0"/>
          <w:divBdr>
            <w:top w:val="none" w:sz="0" w:space="0" w:color="auto"/>
            <w:left w:val="none" w:sz="0" w:space="0" w:color="auto"/>
            <w:bottom w:val="none" w:sz="0" w:space="0" w:color="auto"/>
            <w:right w:val="none" w:sz="0" w:space="0" w:color="auto"/>
          </w:divBdr>
        </w:div>
      </w:divsChild>
    </w:div>
    <w:div w:id="1879001978">
      <w:marLeft w:val="0"/>
      <w:marRight w:val="0"/>
      <w:marTop w:val="0"/>
      <w:marBottom w:val="0"/>
      <w:divBdr>
        <w:top w:val="none" w:sz="0" w:space="0" w:color="auto"/>
        <w:left w:val="none" w:sz="0" w:space="0" w:color="auto"/>
        <w:bottom w:val="none" w:sz="0" w:space="0" w:color="auto"/>
        <w:right w:val="none" w:sz="0" w:space="0" w:color="auto"/>
      </w:divBdr>
    </w:div>
    <w:div w:id="1879001982">
      <w:marLeft w:val="0"/>
      <w:marRight w:val="0"/>
      <w:marTop w:val="0"/>
      <w:marBottom w:val="0"/>
      <w:divBdr>
        <w:top w:val="none" w:sz="0" w:space="0" w:color="auto"/>
        <w:left w:val="none" w:sz="0" w:space="0" w:color="auto"/>
        <w:bottom w:val="none" w:sz="0" w:space="0" w:color="auto"/>
        <w:right w:val="none" w:sz="0" w:space="0" w:color="auto"/>
      </w:divBdr>
    </w:div>
    <w:div w:id="1879001985">
      <w:marLeft w:val="0"/>
      <w:marRight w:val="0"/>
      <w:marTop w:val="0"/>
      <w:marBottom w:val="0"/>
      <w:divBdr>
        <w:top w:val="none" w:sz="0" w:space="0" w:color="auto"/>
        <w:left w:val="none" w:sz="0" w:space="0" w:color="auto"/>
        <w:bottom w:val="none" w:sz="0" w:space="0" w:color="auto"/>
        <w:right w:val="none" w:sz="0" w:space="0" w:color="auto"/>
      </w:divBdr>
    </w:div>
    <w:div w:id="1879001986">
      <w:marLeft w:val="0"/>
      <w:marRight w:val="0"/>
      <w:marTop w:val="0"/>
      <w:marBottom w:val="0"/>
      <w:divBdr>
        <w:top w:val="none" w:sz="0" w:space="0" w:color="auto"/>
        <w:left w:val="none" w:sz="0" w:space="0" w:color="auto"/>
        <w:bottom w:val="none" w:sz="0" w:space="0" w:color="auto"/>
        <w:right w:val="none" w:sz="0" w:space="0" w:color="auto"/>
      </w:divBdr>
    </w:div>
    <w:div w:id="1879001987">
      <w:marLeft w:val="0"/>
      <w:marRight w:val="0"/>
      <w:marTop w:val="0"/>
      <w:marBottom w:val="0"/>
      <w:divBdr>
        <w:top w:val="none" w:sz="0" w:space="0" w:color="auto"/>
        <w:left w:val="none" w:sz="0" w:space="0" w:color="auto"/>
        <w:bottom w:val="none" w:sz="0" w:space="0" w:color="auto"/>
        <w:right w:val="none" w:sz="0" w:space="0" w:color="auto"/>
      </w:divBdr>
    </w:div>
    <w:div w:id="1879001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150.statcan.gc.ca/n1/pub/85-002-x/2021001/article/00014-eng.htm" TargetMode="External"/><Relationship Id="rId18" Type="http://schemas.openxmlformats.org/officeDocument/2006/relationships/hyperlink" Target="https://www.canadianwomen.org/the-facts/gender-based-violence/" TargetMode="External"/><Relationship Id="rId26" Type="http://schemas.openxmlformats.org/officeDocument/2006/relationships/hyperlink" Target="https://www.povertyandhumanrights.org/wp-content/uploads/2012/11/The-Vicious-Circle-Report.pdf" TargetMode="External"/><Relationship Id="rId39" Type="http://schemas.openxmlformats.org/officeDocument/2006/relationships/hyperlink" Target="http://www.theglobeandmail.com/news/investigations/unfounded-37272-sexual-assault-cases-being-reviewed-402-unfounded-cases-reopened-so-far/article37245525/" TargetMode="External"/><Relationship Id="rId21" Type="http://schemas.openxmlformats.org/officeDocument/2006/relationships/hyperlink" Target="https://www150.statcan.gc.ca/n1/pub/85-002-x/2023001/article/00003-eng.htm" TargetMode="External"/><Relationship Id="rId34" Type="http://schemas.openxmlformats.org/officeDocument/2006/relationships/hyperlink" Target="https://www150.statcan.gc.ca/n1/pub/85-002-x/2019001/article/00017-eng.htm" TargetMode="External"/><Relationship Id="rId42" Type="http://schemas.openxmlformats.org/officeDocument/2006/relationships/hyperlink" Target="http://www.justice.gc.ca/eng/rp-pr/jr/jf-pf/2019/apr01.html" TargetMode="External"/><Relationship Id="rId47" Type="http://schemas.openxmlformats.org/officeDocument/2006/relationships/hyperlink" Target="https://www.rcaanc-cirnac.gc.ca/eng/1448633299414/1534526479029" TargetMode="External"/><Relationship Id="rId50" Type="http://schemas.openxmlformats.org/officeDocument/2006/relationships/hyperlink" Target="https://www.afn.ca/wp-content/uploads/2021/06/First-Nations-Action-Plan-Report.pdf" TargetMode="External"/><Relationship Id="rId55" Type="http://schemas.openxmlformats.org/officeDocument/2006/relationships/footer" Target="footer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www.justice.gc.ca/eng/rp-pr/jr/jf-pf/2019/apr01.html" TargetMode="External"/><Relationship Id="rId29" Type="http://schemas.openxmlformats.org/officeDocument/2006/relationships/hyperlink" Target="https://www150.statcan.gc.ca/n1/pub/85-002-x/2017001/article/54870-eng.htm" TargetMode="External"/><Relationship Id="rId11" Type="http://schemas.openxmlformats.org/officeDocument/2006/relationships/hyperlink" Target="https://www.cbc.ca/news/canada/kitchener-waterloo/womens-crisis-services-intimate-partner-violence-epidemic-1.6953672" TargetMode="External"/><Relationship Id="rId24" Type="http://schemas.openxmlformats.org/officeDocument/2006/relationships/hyperlink" Target="https://femicideincanada.ca/cfoja-research/cfoja-reports/" TargetMode="External"/><Relationship Id="rId32" Type="http://schemas.openxmlformats.org/officeDocument/2006/relationships/hyperlink" Target="http://www.publicsafety.gc.ca/lbrr/archives/cnmcs-plcng/cn000034864243-eng.pdf" TargetMode="External"/><Relationship Id="rId37" Type="http://schemas.openxmlformats.org/officeDocument/2006/relationships/hyperlink" Target="http://www.theglobeandmail.com/news/investigations/unfounded-sexual-assault-canada-main/article33891309/" TargetMode="External"/><Relationship Id="rId40" Type="http://schemas.openxmlformats.org/officeDocument/2006/relationships/hyperlink" Target="http://www.theglobeandmail.com/canada/article-unfounded-sexual-assault-2022/" TargetMode="External"/><Relationship Id="rId45" Type="http://schemas.openxmlformats.org/officeDocument/2006/relationships/hyperlink" Target="https://digitallibrary.un.org/record/836103/files/CEDAW_C_OP.8_CAN_1-EN.pdf?ln=en" TargetMode="External"/><Relationship Id="rId53" Type="http://schemas.openxmlformats.org/officeDocument/2006/relationships/hyperlink" Target="https://www.cbc.ca/news/politics/national-inquiry-mmiwg-final-report-fifth-anniversary-1.7221433" TargetMode="External"/><Relationship Id="rId5" Type="http://schemas.openxmlformats.org/officeDocument/2006/relationships/footnotes" Target="footnotes.xml"/><Relationship Id="rId19" Type="http://schemas.openxmlformats.org/officeDocument/2006/relationships/hyperlink" Target="https://www.femicideincanada.ca/cfoja-research/cfoja-reports/" TargetMode="External"/><Relationship Id="rId4" Type="http://schemas.openxmlformats.org/officeDocument/2006/relationships/webSettings" Target="webSettings.xml"/><Relationship Id="rId9" Type="http://schemas.openxmlformats.org/officeDocument/2006/relationships/hyperlink" Target="https://documents.un.org/doc/undoc/gen/n08/602/42/pdf/n0860242.pdf" TargetMode="External"/><Relationship Id="rId14" Type="http://schemas.openxmlformats.org/officeDocument/2006/relationships/hyperlink" Target="https://www.hillnotes.ca/2023/12/04/a-snapshot-of-gender-based-violence-against-women-in-canada/" TargetMode="External"/><Relationship Id="rId22" Type="http://schemas.openxmlformats.org/officeDocument/2006/relationships/hyperlink" Target="http://www.canada.ca/en/women-gender-equality/gender-based-violence/gender-based-violence-strategy/its-time.html" TargetMode="External"/><Relationship Id="rId27" Type="http://schemas.openxmlformats.org/officeDocument/2006/relationships/hyperlink" Target="https://www.povertyandhumanrights.org/wp-content/uploads/2012/11/The-Vicious-Circle-Report.pdf" TargetMode="External"/><Relationship Id="rId30" Type="http://schemas.openxmlformats.org/officeDocument/2006/relationships/hyperlink" Target="https://www150.statcan.gc.ca/n1/pub/85-002-x/2018001/article/54910-eng.htm" TargetMode="External"/><Relationship Id="rId35" Type="http://schemas.openxmlformats.org/officeDocument/2006/relationships/hyperlink" Target="https://www150.statcan.gc.ca/n1/en/pub/85-002-x/2020001/article/00009-eng.pdf?st=k6SY7hVa" TargetMode="External"/><Relationship Id="rId43" Type="http://schemas.openxmlformats.org/officeDocument/2006/relationships/hyperlink" Target="https://masscasualtycommission.ca/files/documents/Turning-the-Tide-Together-List-of-Recommendations.pdf" TargetMode="External"/><Relationship Id="rId48" Type="http://schemas.openxmlformats.org/officeDocument/2006/relationships/hyperlink" Target="http://www.mmiwg-ffada.ca/wp-content/uploads/2019/06/Final_Report_Vol_1a-1.pdf" TargetMode="External"/><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nwac.ca/assets-documents/June_3_NWAC_Scorecard_Factsheet_2024.pdf" TargetMode="External"/><Relationship Id="rId3" Type="http://schemas.openxmlformats.org/officeDocument/2006/relationships/settings" Target="settings.xml"/><Relationship Id="rId12" Type="http://schemas.openxmlformats.org/officeDocument/2006/relationships/hyperlink" Target="https://www.masscasualtycommission.ca/files/documents/Turning-the-Tide-Together-List-of-Recommendations.pdf" TargetMode="External"/><Relationship Id="rId17" Type="http://schemas.openxmlformats.org/officeDocument/2006/relationships/hyperlink" Target="http://www.canada.ca/en/women-gender-equality/gender-based-violence/intimate-partner-violence.html" TargetMode="External"/><Relationship Id="rId25" Type="http://schemas.openxmlformats.org/officeDocument/2006/relationships/hyperlink" Target="http://www.vancouverisawesome.com/opinion/british-columbia-women-call-for-guaranteed-livable-income-3768324" TargetMode="External"/><Relationship Id="rId33" Type="http://schemas.openxmlformats.org/officeDocument/2006/relationships/hyperlink" Target="https://books.openedition.org/uop/551?lang=en" TargetMode="External"/><Relationship Id="rId38" Type="http://schemas.openxmlformats.org/officeDocument/2006/relationships/hyperlink" Target="http://www.theglobeandmail.com/news/investigations/unfounded-sexual-assault-canada-main/article33891309/" TargetMode="External"/><Relationship Id="rId46" Type="http://schemas.openxmlformats.org/officeDocument/2006/relationships/hyperlink" Target="https://docstore.ohchr.org/SelfServices/FilesHandler.ashx?enc=6QkG1d%2FPPRiCAqhKb7yhslpSf4Lt4DUhQcPE9cYLQWW%2Ff5v%2BXMKP%2BHiWzg%2FQszkM3JyjlEqTS1xvYexyztU%2FXwcc5aVrSrDe7bpiXDUKrmP3FMNHP%2F7wPltEoabR%2BFOabeqjH4WaVm6UgTKCcd%2BHJA%3D%3D" TargetMode="External"/><Relationship Id="rId20" Type="http://schemas.openxmlformats.org/officeDocument/2006/relationships/hyperlink" Target="https://www150.statcan.gc.ca/n1/pub/85-002-x/2023001/article/00003-eng.htm" TargetMode="External"/><Relationship Id="rId41" Type="http://schemas.openxmlformats.org/officeDocument/2006/relationships/hyperlink" Target="http://www.theglobeandmail.com/canada/article-unfounded-sexual-assault-2022/" TargetMode="External"/><Relationship Id="rId54" Type="http://schemas.openxmlformats.org/officeDocument/2006/relationships/hyperlink" Target="http://www.onwa.ca/_files/ugd/274c9a_466b36b132cd4c5ca9ccdc0e2267742c.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justice.gc.ca/eng/rp-pr/jr/jf-pf/2019/apr01.html" TargetMode="External"/><Relationship Id="rId23" Type="http://schemas.openxmlformats.org/officeDocument/2006/relationships/hyperlink" Target="http://www.canada.ca/en/women-gender-equality/gender-based-violence/intergovernmental-collaboration/national-action-plan-end-gender-based-violence/first-national-action-plan-end-gender-based-violence.html" TargetMode="External"/><Relationship Id="rId28" Type="http://schemas.openxmlformats.org/officeDocument/2006/relationships/hyperlink" Target="https://www.masscasualtycommission.ca/files/documents/Turning-the-Tide-Together-List-of-Recommendations.pdf" TargetMode="External"/><Relationship Id="rId36" Type="http://schemas.openxmlformats.org/officeDocument/2006/relationships/hyperlink" Target="http://www.theglobeandmail.com/news/investigations/unfounded-sexual-assault-canada-main/article33891309/" TargetMode="External"/><Relationship Id="rId49" Type="http://schemas.openxmlformats.org/officeDocument/2006/relationships/hyperlink" Target="http://www.mmiwg-ffada.ca/wp-content/uploads/2019/06/Final_Report_Vol_1b.pdf" TargetMode="External"/><Relationship Id="rId57" Type="http://schemas.openxmlformats.org/officeDocument/2006/relationships/theme" Target="theme/theme1.xml"/><Relationship Id="rId10"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31" Type="http://schemas.openxmlformats.org/officeDocument/2006/relationships/hyperlink" Target="https://www150.statcan.gc.ca/n1/pub/85-002-x/2021001/article/00008-eng.htm" TargetMode="External"/><Relationship Id="rId44" Type="http://schemas.openxmlformats.org/officeDocument/2006/relationships/hyperlink" Target="file:///C:\AppData\AppData\Local\AppData\Local\Temp\afia-afai.org\wp-content\uploads\2019\03\CCPR_C_124_D_2020_2010_28073_E.pdf" TargetMode="External"/><Relationship Id="rId52" Type="http://schemas.openxmlformats.org/officeDocument/2006/relationships/hyperlink" Target="https://www.pauktuutit.ca/news/pauktuutit-responds-mmiw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canadianwomen.org/wp-content/uploads/2018/09/Fact-Sheet-WOMEN-POVERTY-September-2018.pdf" TargetMode="External"/><Relationship Id="rId18" Type="http://schemas.openxmlformats.org/officeDocument/2006/relationships/hyperlink" Target="https://policyoptions.irpp.org/2024/04/cost-of-living-social-assistance/" TargetMode="External"/><Relationship Id="rId26" Type="http://schemas.openxmlformats.org/officeDocument/2006/relationships/hyperlink" Target="https://www.cbc.ca/news/canada/calgary/legal-aid-alberta-says-province-terminated-its-contract-1.7252708" TargetMode="External"/><Relationship Id="rId39" Type="http://schemas.openxmlformats.org/officeDocument/2006/relationships/hyperlink" Target="https://www2.gov.bc.ca/assets/gov/law-crime-and-justice/about-bc-justice-system/inquiries/forsaken-es.pdf" TargetMode="External"/><Relationship Id="rId21" Type="http://schemas.openxmlformats.org/officeDocument/2006/relationships/hyperlink" Target="https://b2c2.ca/wp-content/uploads/2026/01/DirectorApprovalsReport.pdf" TargetMode="External"/><Relationship Id="rId34" Type="http://schemas.openxmlformats.org/officeDocument/2006/relationships/hyperlink" Target="https://www.canadianlawyermag.com/practice-areas/family/cba-bc-branch-slams-provincial-budget-for-absence-of-new-funding-for-family-law-legal-aid/384035" TargetMode="External"/><Relationship Id="rId42" Type="http://schemas.openxmlformats.org/officeDocument/2006/relationships/hyperlink" Target="https://doi.org/10.1080/15614263.2024.2414314" TargetMode="External"/><Relationship Id="rId47" Type="http://schemas.openxmlformats.org/officeDocument/2006/relationships/hyperlink" Target="https://pbicanada.org/2026/01/23/pbi-canada-continues-to-monitor-the-civilian-review-and-complaints-commission-systemic-investigation-of-the-rcmp-c-irg/" TargetMode="External"/><Relationship Id="rId50" Type="http://schemas.openxmlformats.org/officeDocument/2006/relationships/hyperlink" Target="https://www.pbo-dpb.gc.ca/web/default/files/Documents/Reports/2017/Bill%20S-3/Bill%20S-3_EN.pdf" TargetMode="External"/><Relationship Id="rId7" Type="http://schemas.openxmlformats.org/officeDocument/2006/relationships/hyperlink" Target="http://www.un.org/sg" TargetMode="External"/><Relationship Id="rId2" Type="http://schemas.openxmlformats.org/officeDocument/2006/relationships/hyperlink" Target="http://socialrightscura.ca/documents/legal/motion%20to%20strike/AG%20Canada%20Factum%20OCA.pdf" TargetMode="External"/><Relationship Id="rId16" Type="http://schemas.openxmlformats.org/officeDocument/2006/relationships/hyperlink" Target="https://www.canada.ca/en/immigration-refugees-citizenship/news/notices/pausing-home-care-worker-immigration-pilots-application-intake.html" TargetMode="External"/><Relationship Id="rId29" Type="http://schemas.openxmlformats.org/officeDocument/2006/relationships/hyperlink" Target="https://papers.ssrn.com/sol3/papers.cfm?abstract_id=4419064" TargetMode="External"/><Relationship Id="rId11" Type="http://schemas.openxmlformats.org/officeDocument/2006/relationships/hyperlink" Target="https://www150.statcan.gc.ca/n1/pub/89-28-0001/2022001/article/00009-eng.htm" TargetMode="External"/><Relationship Id="rId24" Type="http://schemas.openxmlformats.org/officeDocument/2006/relationships/hyperlink" Target="http://www.cba.org/Sections/Legal-Aid-Liaison/Resources/Resources/Legal-Aid-in-Canada" TargetMode="External"/><Relationship Id="rId32" Type="http://schemas.openxmlformats.org/officeDocument/2006/relationships/hyperlink" Target="https://cba-alberta.org/our-impact/submissions/written-submission-responses-to-the-government-of-alberta-s-survey-for-legal-aid-in-alberta/" TargetMode="External"/><Relationship Id="rId37" Type="http://schemas.openxmlformats.org/officeDocument/2006/relationships/hyperlink" Target="https://embed.documentcloud.org/documents/6937877-ATIPP-LSB1-Compressed/" TargetMode="External"/><Relationship Id="rId40" Type="http://schemas.openxmlformats.org/officeDocument/2006/relationships/hyperlink" Target="https://www.mmiwg-ffada.ca/final-report/" TargetMode="External"/><Relationship Id="rId45" Type="http://schemas.openxmlformats.org/officeDocument/2006/relationships/hyperlink" Target="https://masscasualtycommission.ca/final-report/" TargetMode="External"/><Relationship Id="rId5" Type="http://schemas.openxmlformats.org/officeDocument/2006/relationships/hyperlink" Target="https://legal.un.org/ilc/texts/instruments/english/conventions/1_1_1969.pdf" TargetMode="External"/><Relationship Id="rId15" Type="http://schemas.openxmlformats.org/officeDocument/2006/relationships/hyperlink" Target="https://migrantrights.ca/cwclosurepr/" TargetMode="External"/><Relationship Id="rId23" Type="http://schemas.openxmlformats.org/officeDocument/2006/relationships/hyperlink" Target="https://digitallibrary.un.org/record/3802136?ln=en" TargetMode="External"/><Relationship Id="rId28" Type="http://schemas.openxmlformats.org/officeDocument/2006/relationships/hyperlink" Target="https://www150.statcan.gc.ca/t1/tbl1/en/tv.action?pid=1110010401" TargetMode="External"/><Relationship Id="rId36" Type="http://schemas.openxmlformats.org/officeDocument/2006/relationships/hyperlink" Target="https://www.hrw.org/report/2013/02/13/those-who-take-us-away/abusive-policing-and-failures-protection-indigenous-women" TargetMode="External"/><Relationship Id="rId49" Type="http://schemas.openxmlformats.org/officeDocument/2006/relationships/hyperlink" Target="https://www.mmiwg-ffada.ca/wp-content/uploads/2019/06/Supplementary-Report_Genocide.pdf" TargetMode="External"/><Relationship Id="rId10" Type="http://schemas.openxmlformats.org/officeDocument/2006/relationships/hyperlink" Target="https://www150.statcan.gc.ca/t1/tbl1/en/tv.action?pid=1110013502&amp;cubeTimeFrame.startYear=2020&amp;cubeTimeFrame.endYear=2023&amp;referencePeriods=20200101%2C20230101" TargetMode="External"/><Relationship Id="rId19" Type="http://schemas.openxmlformats.org/officeDocument/2006/relationships/hyperlink" Target="https://theconversation.com/federal-budget-mr-prime-minister-child-care-is-infrastructure-too-269177" TargetMode="External"/><Relationship Id="rId31" Type="http://schemas.openxmlformats.org/officeDocument/2006/relationships/hyperlink" Target="https://www.justice.gc.ca/eng/rp-pr/jr/aid-aide/2024/docs/rsd_rr2025_legal-aid-in-canada-2023-24-eng.pdf" TargetMode="External"/><Relationship Id="rId44" Type="http://schemas.openxmlformats.org/officeDocument/2006/relationships/hyperlink" Target="https://www.ctvnews.ca/politics/government-now-launching-full-public-inquiry-into-n-s-mass-shooting-1.5041933" TargetMode="External"/><Relationship Id="rId4" Type="http://schemas.openxmlformats.org/officeDocument/2006/relationships/hyperlink" Target="https://www.justice.gc.ca/eng/csj-sjc/principles2-eng.pdf" TargetMode="External"/><Relationship Id="rId9" Type="http://schemas.openxmlformats.org/officeDocument/2006/relationships/hyperlink" Target="file:///C:\AppData\Local\AppData\Local\Temp\:%20https:\documents-dds-ny.un.org\doc\UNDOC\GEN\N16\402\03\PDF\N1640203.pdf%3fOpenElement" TargetMode="External"/><Relationship Id="rId14" Type="http://schemas.openxmlformats.org/officeDocument/2006/relationships/hyperlink" Target="https://lop.parl.ca/sites/PublicWebsite/default/en_CA/ResearchPublications/202504E" TargetMode="External"/><Relationship Id="rId22" Type="http://schemas.openxmlformats.org/officeDocument/2006/relationships/hyperlink" Target="https://www.oecd.org/content/dam/oecd/en/publications/reports/2025/07/joining-forces-for-gender-equality-country-notes_99310c20/canada_3a820d39/cc8a4737-en.pdf" TargetMode="External"/><Relationship Id="rId27" Type="http://schemas.openxmlformats.org/officeDocument/2006/relationships/hyperlink" Target="https://www.legalaid.on.ca/news/legal-aid-ontario-raising-financial-eligibility-for-duty-counsel-and-criminal-certificate-services/" TargetMode="External"/><Relationship Id="rId30" Type="http://schemas.openxmlformats.org/officeDocument/2006/relationships/hyperlink" Target="https://cba.org/resources/reconciliation-equality-and-diversity/reaching-equal-justice-advocacy-guide/providing-legal-services/" TargetMode="External"/><Relationship Id="rId35" Type="http://schemas.openxmlformats.org/officeDocument/2006/relationships/hyperlink" Target="https://polis.osce.org/country-profiles/canada" TargetMode="External"/><Relationship Id="rId43" Type="http://schemas.openxmlformats.org/officeDocument/2006/relationships/hyperlink" Target="https://www.saltwire.com/atlantic-canada/news/canada/hundreds-join-womens-rights-activists-in-rally-for-public-inquiry-into-mass-shooting-478065/" TargetMode="External"/><Relationship Id="rId48" Type="http://schemas.openxmlformats.org/officeDocument/2006/relationships/hyperlink" Target="https://docs.google.com/document/d/1SE8qMDbMWb8MvVjHXdy5ZcwbpX7shU-5fEBJfw-7OLk/edit?tab=t.0" TargetMode="External"/><Relationship Id="rId8" Type="http://schemas.openxmlformats.org/officeDocument/2006/relationships/hyperlink" Target="https://www.un.org/sustainabledevelopment/a-new-social-contract-for-a-new-era/" TargetMode="External"/><Relationship Id="rId3" Type="http://schemas.openxmlformats.org/officeDocument/2006/relationships/hyperlink" Target="http://www.socialrightscura.ca/documents/international/CESCR%20COs%202016.pdf" TargetMode="External"/><Relationship Id="rId12" Type="http://schemas.openxmlformats.org/officeDocument/2006/relationships/hyperlink" Target="https://www.canada.ca/content/dam/esdc-edsc/documents/programs/poverty-reduction/national-advisory-council/reports/2025-annual/NACP_2025_Annual_Report-EN.pdf" TargetMode="External"/><Relationship Id="rId17" Type="http://schemas.openxmlformats.org/officeDocument/2006/relationships/hyperlink" Target="https://maytree.com/wp-content/uploads/Welfare_in_Canada_2024.pdf" TargetMode="External"/><Relationship Id="rId25" Type="http://schemas.openxmlformats.org/officeDocument/2006/relationships/hyperlink" Target="https://www.cbc.ca/news/canada/toronto/ont-legal-aid-1.6620857" TargetMode="External"/><Relationship Id="rId33" Type="http://schemas.openxmlformats.org/officeDocument/2006/relationships/hyperlink" Target="https://www.cbabc.org/news/bc-s-new-family-law-legal-aid-funding-resolves-long-standing-charter-challenge/" TargetMode="External"/><Relationship Id="rId38" Type="http://schemas.openxmlformats.org/officeDocument/2006/relationships/hyperlink" Target="https://www.oas.org/en/iachr/reports/pdfs/indigenous-women-bc-canada-en.pdf" TargetMode="External"/><Relationship Id="rId46" Type="http://schemas.openxmlformats.org/officeDocument/2006/relationships/hyperlink" Target="https://masscasualtycommission.ca/files/documents/Turning-the-Tide-Together-List-of-Recommendations.pdf" TargetMode="External"/><Relationship Id="rId20" Type="http://schemas.openxmlformats.org/officeDocument/2006/relationships/hyperlink" Target="https://www.ymcaneo.ca/wp-content/uploads/2023/01/YMCA-Ontario-White-Paper_Child-Care-Workforce-Solutions-1.pdf" TargetMode="External"/><Relationship Id="rId41" Type="http://schemas.openxmlformats.org/officeDocument/2006/relationships/hyperlink" Target="https://www.thetyee.ca/News/2023/02/15/Rising-Police-Involved-Deaths/?utm_source=twitter&amp;utm_medium=social&amp;utm_content=031723-1&amp;utm_campaign=editorial" TargetMode="External"/><Relationship Id="rId1" Type="http://schemas.openxmlformats.org/officeDocument/2006/relationships/hyperlink" Target="https://documents-dds-ny.un.org/doc/UNDOC/GEN/G16/037/75/PDF/G1603775.pdf?OpenElement" TargetMode="External"/><Relationship Id="rId6" Type="http://schemas.openxmlformats.org/officeDocument/2006/relationships/hyperlink" Target="https://static1.squarespace.com/static/5f0cd2090f50a31a91b37ff7/t/5fd17ce4a9eaf43bd84b44e1/1607564520499/Feminist+Economic+Recovery+Plan+-+Human+Rights+Approa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30</Pages>
  <Words>9329</Words>
  <Characters>53178</Characters>
  <Application>Microsoft Office Word</Application>
  <DocSecurity>0</DocSecurity>
  <Lines>443</Lines>
  <Paragraphs>124</Paragraphs>
  <ScaleCrop>false</ScaleCrop>
  <Company/>
  <LinksUpToDate>false</LinksUpToDate>
  <CharactersWithSpaces>62383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Preamble</dc:title>
  <dc:subject/>
  <dc:creator>SD</dc:creator>
  <cp:keywords/>
  <dc:description/>
  <cp:lastModifiedBy>Rachel  Singleton-Polster</cp:lastModifiedBy>
  <cp:revision>20</cp:revision>
  <cp:lastPrinted>2021-05-21T17:04:00Z</cp:lastPrinted>
  <dcterms:created xsi:type="dcterms:W3CDTF">2026-01-30T17:51:00Z</dcterms:created>
  <dcterms:modified xsi:type="dcterms:W3CDTF">2026-02-01T02:15:00Z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id="N5KNdhnE"/&gt;&lt;style id="http://www.zotero.org/styles/mcgill-en" hasBibliography="1" bibliographyStyleHasBeenSet="0"/&gt;&lt;prefs&gt;&lt;pref name="fieldType" value="Field"/&gt;&lt;pref name="noteType" value="1"/&gt;</vt:lpwstr>
  </property>
  <property fmtid="{D5CDD505-2E9C-101B-9397-08002B2CF9AE}" pid="3" name="ZOTERO_PREF_2">
    <vt:lpwstr>&lt;/prefs&gt;&lt;/data&gt;</vt:lpwstr>
  </property>
  <property fmtid="{D5CDD505-2E9C-101B-9397-08002B2CF9AE}" pid="4" name="ContentTypeId">
    <vt:lpwstr>0x0101008649A37541196145A96FA40C432CCF14</vt:lpwstr>
  </property>
</Properties>
</file>