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FB8F6D9" w14:textId="0F0D546D" w:rsidR="00BA19CB" w:rsidRPr="006477A9" w:rsidRDefault="00BA19CB" w:rsidP="004F0BE7">
      <w:pPr>
        <w:pStyle w:val="Normal1"/>
        <w:contextualSpacing w:val="0"/>
        <w:rPr>
          <w:rFonts w:ascii="Franklin Gothic Medium" w:hAnsi="Franklin Gothic Medium"/>
          <w:sz w:val="24"/>
          <w:szCs w:val="24"/>
          <w:lang w:val="en-GB"/>
        </w:rPr>
      </w:pPr>
    </w:p>
    <w:p w14:paraId="3BC349E9" w14:textId="077698DD" w:rsidR="00FE278A" w:rsidRPr="006477A9" w:rsidRDefault="00FE278A" w:rsidP="001E542A">
      <w:pPr>
        <w:jc w:val="center"/>
        <w:rPr>
          <w:i/>
          <w:lang w:val="en-GB"/>
        </w:rPr>
      </w:pPr>
      <w:r w:rsidRPr="006477A9">
        <w:rPr>
          <w:i/>
          <w:lang w:val="en-GB"/>
        </w:rPr>
        <w:tab/>
      </w:r>
      <w:r w:rsidRPr="006477A9">
        <w:rPr>
          <w:i/>
          <w:lang w:val="en-GB"/>
        </w:rPr>
        <w:tab/>
      </w:r>
      <w:r w:rsidRPr="006477A9">
        <w:rPr>
          <w:i/>
          <w:lang w:val="en-GB"/>
        </w:rPr>
        <w:tab/>
      </w:r>
      <w:r w:rsidRPr="006477A9">
        <w:rPr>
          <w:i/>
          <w:lang w:val="en-GB"/>
        </w:rPr>
        <w:tab/>
      </w:r>
      <w:r w:rsidRPr="006477A9">
        <w:rPr>
          <w:i/>
          <w:lang w:val="en-GB"/>
        </w:rPr>
        <w:tab/>
      </w:r>
      <w:r w:rsidRPr="006477A9">
        <w:rPr>
          <w:i/>
          <w:lang w:val="en-GB"/>
        </w:rPr>
        <w:tab/>
        <w:t xml:space="preserve">    </w:t>
      </w:r>
    </w:p>
    <w:p w14:paraId="349AB358" w14:textId="77777777" w:rsidR="00A12525" w:rsidRPr="006477A9" w:rsidRDefault="00A12525" w:rsidP="00A12525">
      <w:pPr>
        <w:pStyle w:val="Normal1"/>
        <w:shd w:val="clear" w:color="auto" w:fill="F2F2F2" w:themeFill="background1" w:themeFillShade="F2"/>
        <w:contextualSpacing w:val="0"/>
        <w:rPr>
          <w:rFonts w:ascii="Franklin Gothic Demi" w:hAnsi="Franklin Gothic Demi" w:cs="Cordia New"/>
          <w:b/>
          <w:color w:val="17365D" w:themeColor="text2" w:themeShade="BF"/>
          <w:sz w:val="44"/>
          <w:szCs w:val="44"/>
          <w:lang w:val="en-GB"/>
        </w:rPr>
      </w:pPr>
    </w:p>
    <w:p w14:paraId="4F8EC77C" w14:textId="50A36576" w:rsidR="00A12525" w:rsidRPr="006477A9" w:rsidRDefault="00C24F76" w:rsidP="00A12525">
      <w:pPr>
        <w:pStyle w:val="Normal1"/>
        <w:shd w:val="clear" w:color="auto" w:fill="F2F2F2" w:themeFill="background1" w:themeFillShade="F2"/>
        <w:contextualSpacing w:val="0"/>
        <w:jc w:val="center"/>
        <w:rPr>
          <w:rFonts w:ascii="Franklin Gothic Demi" w:hAnsi="Franklin Gothic Demi" w:cs="Cordia New"/>
          <w:b/>
          <w:color w:val="17365D" w:themeColor="text2" w:themeShade="BF"/>
          <w:sz w:val="32"/>
          <w:szCs w:val="32"/>
          <w:lang w:val="en-GB"/>
        </w:rPr>
      </w:pPr>
      <w:r w:rsidRPr="006477A9">
        <w:rPr>
          <w:rFonts w:ascii="Franklin Gothic Demi" w:hAnsi="Franklin Gothic Demi" w:cs="Cordia New"/>
          <w:b/>
          <w:color w:val="17365D" w:themeColor="text2" w:themeShade="BF"/>
          <w:sz w:val="32"/>
          <w:szCs w:val="32"/>
          <w:lang w:val="en-GB"/>
        </w:rPr>
        <w:t>Ukraine</w:t>
      </w:r>
    </w:p>
    <w:p w14:paraId="42B7AD94" w14:textId="1D0C9C2E" w:rsidR="001E542A" w:rsidRPr="006477A9" w:rsidRDefault="001E542A" w:rsidP="001E542A">
      <w:pPr>
        <w:pStyle w:val="Normal1"/>
        <w:shd w:val="clear" w:color="auto" w:fill="F2F2F2" w:themeFill="background1" w:themeFillShade="F2"/>
        <w:contextualSpacing w:val="0"/>
        <w:jc w:val="center"/>
        <w:rPr>
          <w:rFonts w:ascii="Franklin Gothic Demi" w:hAnsi="Franklin Gothic Demi" w:cs="Cordia New"/>
          <w:b/>
          <w:color w:val="17365D" w:themeColor="text2" w:themeShade="BF"/>
          <w:sz w:val="28"/>
          <w:szCs w:val="28"/>
          <w:lang w:val="en-GB"/>
        </w:rPr>
      </w:pPr>
      <w:bookmarkStart w:id="0" w:name="_GoBack"/>
      <w:bookmarkEnd w:id="0"/>
      <w:r w:rsidRPr="006477A9">
        <w:rPr>
          <w:rFonts w:ascii="Franklin Gothic Demi" w:hAnsi="Franklin Gothic Demi" w:cs="Cordia New"/>
          <w:b/>
          <w:color w:val="17365D" w:themeColor="text2" w:themeShade="BF"/>
          <w:sz w:val="28"/>
          <w:szCs w:val="28"/>
          <w:lang w:val="en-GB"/>
        </w:rPr>
        <w:t xml:space="preserve">Joint submission to the UN CEDAW Committee </w:t>
      </w:r>
    </w:p>
    <w:p w14:paraId="1B8AD6F1" w14:textId="58246E9B" w:rsidR="001E542A" w:rsidRPr="006477A9" w:rsidRDefault="001E542A" w:rsidP="001E542A">
      <w:pPr>
        <w:pStyle w:val="Normal1"/>
        <w:shd w:val="clear" w:color="auto" w:fill="F2F2F2" w:themeFill="background1" w:themeFillShade="F2"/>
        <w:contextualSpacing w:val="0"/>
        <w:jc w:val="center"/>
        <w:rPr>
          <w:rFonts w:ascii="Franklin Gothic Demi" w:hAnsi="Franklin Gothic Demi" w:cs="Cordia New"/>
          <w:b/>
          <w:color w:val="17365D" w:themeColor="text2" w:themeShade="BF"/>
          <w:sz w:val="28"/>
          <w:szCs w:val="28"/>
          <w:lang w:val="en-GB"/>
        </w:rPr>
      </w:pPr>
      <w:r w:rsidRPr="006477A9">
        <w:rPr>
          <w:rFonts w:ascii="Franklin Gothic Demi" w:hAnsi="Franklin Gothic Demi" w:cs="Cordia New"/>
          <w:b/>
          <w:color w:val="17365D" w:themeColor="text2" w:themeShade="BF"/>
          <w:sz w:val="28"/>
          <w:szCs w:val="28"/>
          <w:lang w:val="en-GB"/>
        </w:rPr>
        <w:t>Pre-sessional working group, 77</w:t>
      </w:r>
      <w:r w:rsidRPr="006477A9">
        <w:rPr>
          <w:rFonts w:ascii="Franklin Gothic Demi" w:hAnsi="Franklin Gothic Demi" w:cs="Cordia New"/>
          <w:b/>
          <w:color w:val="17365D" w:themeColor="text2" w:themeShade="BF"/>
          <w:sz w:val="28"/>
          <w:szCs w:val="28"/>
          <w:vertAlign w:val="superscript"/>
          <w:lang w:val="en-GB"/>
        </w:rPr>
        <w:t>th</w:t>
      </w:r>
      <w:r w:rsidRPr="006477A9">
        <w:rPr>
          <w:rFonts w:ascii="Franklin Gothic Demi" w:hAnsi="Franklin Gothic Demi" w:cs="Cordia New"/>
          <w:b/>
          <w:color w:val="17365D" w:themeColor="text2" w:themeShade="BF"/>
          <w:sz w:val="28"/>
          <w:szCs w:val="28"/>
          <w:lang w:val="en-GB"/>
        </w:rPr>
        <w:t xml:space="preserve"> session (March 2020)</w:t>
      </w:r>
    </w:p>
    <w:p w14:paraId="08B411CB" w14:textId="7BDCB71A" w:rsidR="006477A9" w:rsidRPr="00865907" w:rsidRDefault="006477A9" w:rsidP="001E542A">
      <w:pPr>
        <w:pStyle w:val="Normal1"/>
        <w:shd w:val="clear" w:color="auto" w:fill="F2F2F2" w:themeFill="background1" w:themeFillShade="F2"/>
        <w:contextualSpacing w:val="0"/>
        <w:jc w:val="center"/>
        <w:rPr>
          <w:rFonts w:ascii="Franklin Gothic Demi" w:hAnsi="Franklin Gothic Demi" w:cs="Cordia New"/>
          <w:b/>
          <w:color w:val="17365D" w:themeColor="text2" w:themeShade="BF"/>
          <w:sz w:val="24"/>
          <w:szCs w:val="24"/>
          <w:lang w:val="en-GB"/>
        </w:rPr>
      </w:pPr>
      <w:r w:rsidRPr="00865907">
        <w:rPr>
          <w:rFonts w:ascii="Franklin Gothic Demi" w:hAnsi="Franklin Gothic Demi" w:cs="Cordia New"/>
          <w:b/>
          <w:color w:val="17365D" w:themeColor="text2" w:themeShade="BF"/>
          <w:sz w:val="24"/>
          <w:szCs w:val="24"/>
          <w:lang w:val="en-GB"/>
        </w:rPr>
        <w:t>List of issues prior to reporting (LOIPR)</w:t>
      </w:r>
    </w:p>
    <w:p w14:paraId="23A30693" w14:textId="403FEF9F" w:rsidR="00496188" w:rsidRPr="006477A9" w:rsidRDefault="00496188" w:rsidP="006477A9">
      <w:pPr>
        <w:pStyle w:val="Normal1"/>
        <w:shd w:val="clear" w:color="auto" w:fill="F2F2F2" w:themeFill="background1" w:themeFillShade="F2"/>
        <w:contextualSpacing w:val="0"/>
        <w:rPr>
          <w:rFonts w:ascii="Franklin Gothic Book" w:hAnsi="Franklin Gothic Book"/>
          <w:b/>
          <w:sz w:val="28"/>
          <w:szCs w:val="28"/>
          <w:lang w:val="en-GB"/>
        </w:rPr>
      </w:pPr>
    </w:p>
    <w:p w14:paraId="0DF279BB" w14:textId="77777777" w:rsidR="00A12525" w:rsidRPr="006477A9" w:rsidRDefault="00A12525" w:rsidP="00820BFF">
      <w:pPr>
        <w:rPr>
          <w:lang w:val="en-GB"/>
        </w:rPr>
      </w:pPr>
    </w:p>
    <w:p w14:paraId="1B819ADD" w14:textId="767D7BA2" w:rsidR="006477A9" w:rsidRPr="006477A9" w:rsidRDefault="006477A9" w:rsidP="006477A9">
      <w:pPr>
        <w:rPr>
          <w:b/>
          <w:lang w:val="en-GB"/>
        </w:rPr>
      </w:pPr>
      <w:r w:rsidRPr="006477A9">
        <w:rPr>
          <w:bCs/>
          <w:lang w:val="en-GB"/>
        </w:rPr>
        <w:t>Joint submission by</w:t>
      </w:r>
      <w:r w:rsidRPr="006477A9">
        <w:rPr>
          <w:b/>
          <w:lang w:val="en-GB"/>
        </w:rPr>
        <w:t xml:space="preserve"> </w:t>
      </w:r>
      <w:r w:rsidRPr="006477A9">
        <w:rPr>
          <w:lang w:val="en-GB"/>
        </w:rPr>
        <w:t xml:space="preserve">the Women’s International League for Peace and Freedom (WILPF), the NGO </w:t>
      </w:r>
      <w:proofErr w:type="spellStart"/>
      <w:r w:rsidRPr="006477A9">
        <w:rPr>
          <w:lang w:val="en-GB"/>
        </w:rPr>
        <w:t>Center</w:t>
      </w:r>
      <w:proofErr w:type="spellEnd"/>
      <w:r w:rsidRPr="006477A9">
        <w:rPr>
          <w:lang w:val="en-GB"/>
        </w:rPr>
        <w:t xml:space="preserve"> “Women’s Perspectives,” the NGO “Insight”, the </w:t>
      </w:r>
      <w:proofErr w:type="spellStart"/>
      <w:r w:rsidRPr="006477A9">
        <w:rPr>
          <w:lang w:val="en-GB"/>
        </w:rPr>
        <w:t>Сharity</w:t>
      </w:r>
      <w:proofErr w:type="spellEnd"/>
      <w:r w:rsidRPr="006477A9">
        <w:rPr>
          <w:lang w:val="en-GB"/>
        </w:rPr>
        <w:t xml:space="preserve"> Fund “Child Smile,” the “Women's Network for Dialogue and Inclusive Peace,” </w:t>
      </w:r>
      <w:proofErr w:type="spellStart"/>
      <w:r w:rsidRPr="006477A9">
        <w:rPr>
          <w:lang w:val="en-GB"/>
        </w:rPr>
        <w:t>Kharkiv</w:t>
      </w:r>
      <w:proofErr w:type="spellEnd"/>
      <w:r w:rsidRPr="006477A9">
        <w:rPr>
          <w:lang w:val="en-GB"/>
        </w:rPr>
        <w:t xml:space="preserve"> Regional Foundation “Public Alternative,” </w:t>
      </w:r>
      <w:proofErr w:type="spellStart"/>
      <w:r w:rsidRPr="006477A9">
        <w:rPr>
          <w:lang w:val="en-GB"/>
        </w:rPr>
        <w:t>Сharity</w:t>
      </w:r>
      <w:proofErr w:type="spellEnd"/>
      <w:r w:rsidRPr="006477A9">
        <w:rPr>
          <w:lang w:val="en-GB"/>
        </w:rPr>
        <w:t xml:space="preserve"> Fund “Slavic Heart,” </w:t>
      </w:r>
      <w:proofErr w:type="spellStart"/>
      <w:r w:rsidRPr="006477A9">
        <w:rPr>
          <w:lang w:val="en-GB"/>
        </w:rPr>
        <w:t>Center</w:t>
      </w:r>
      <w:proofErr w:type="spellEnd"/>
      <w:r w:rsidRPr="006477A9">
        <w:rPr>
          <w:lang w:val="en-GB"/>
        </w:rPr>
        <w:t xml:space="preserve"> for Social and </w:t>
      </w:r>
      <w:proofErr w:type="spellStart"/>
      <w:r w:rsidRPr="006477A9">
        <w:rPr>
          <w:lang w:val="en-GB"/>
        </w:rPr>
        <w:t>Labor</w:t>
      </w:r>
      <w:proofErr w:type="spellEnd"/>
      <w:r w:rsidRPr="006477A9">
        <w:rPr>
          <w:lang w:val="en-GB"/>
        </w:rPr>
        <w:t xml:space="preserve"> Research, NGO “East Donbass Regional Development Agency,” as well as </w:t>
      </w:r>
      <w:proofErr w:type="spellStart"/>
      <w:r w:rsidRPr="006477A9">
        <w:rPr>
          <w:lang w:val="en-GB"/>
        </w:rPr>
        <w:t>Viktoriia</w:t>
      </w:r>
      <w:proofErr w:type="spellEnd"/>
      <w:r w:rsidRPr="006477A9">
        <w:rPr>
          <w:lang w:val="en-GB"/>
        </w:rPr>
        <w:t xml:space="preserve"> </w:t>
      </w:r>
      <w:proofErr w:type="spellStart"/>
      <w:r w:rsidRPr="006477A9">
        <w:rPr>
          <w:lang w:val="en-GB"/>
        </w:rPr>
        <w:t>Zinchuk</w:t>
      </w:r>
      <w:proofErr w:type="spellEnd"/>
      <w:r w:rsidRPr="006477A9">
        <w:rPr>
          <w:lang w:val="en-GB"/>
        </w:rPr>
        <w:t xml:space="preserve">, Oksana </w:t>
      </w:r>
      <w:proofErr w:type="spellStart"/>
      <w:r w:rsidRPr="006477A9">
        <w:rPr>
          <w:lang w:val="en-GB"/>
        </w:rPr>
        <w:t>Dutchak</w:t>
      </w:r>
      <w:proofErr w:type="spellEnd"/>
      <w:r w:rsidRPr="006477A9">
        <w:rPr>
          <w:lang w:val="en-GB"/>
        </w:rPr>
        <w:t xml:space="preserve">, Alena </w:t>
      </w:r>
      <w:proofErr w:type="spellStart"/>
      <w:r w:rsidRPr="006477A9">
        <w:rPr>
          <w:lang w:val="en-GB"/>
        </w:rPr>
        <w:t>Tkalich</w:t>
      </w:r>
      <w:proofErr w:type="spellEnd"/>
      <w:r>
        <w:rPr>
          <w:lang w:val="en-GB"/>
        </w:rPr>
        <w:t>.</w:t>
      </w:r>
    </w:p>
    <w:p w14:paraId="792F37BE" w14:textId="0DA3337D" w:rsidR="00820BFF" w:rsidRPr="006477A9" w:rsidRDefault="00820BFF" w:rsidP="009E03A5">
      <w:pPr>
        <w:rPr>
          <w:b/>
          <w:lang w:val="en-GB"/>
        </w:rPr>
      </w:pPr>
    </w:p>
    <w:p w14:paraId="27CF914A" w14:textId="16C376B8" w:rsidR="006477A9" w:rsidRPr="00EF5307" w:rsidRDefault="006477A9" w:rsidP="00EF5307">
      <w:pPr>
        <w:pStyle w:val="Normal1"/>
        <w:tabs>
          <w:tab w:val="left" w:pos="426"/>
        </w:tabs>
        <w:contextualSpacing w:val="0"/>
        <w:jc w:val="center"/>
        <w:rPr>
          <w:rFonts w:ascii="Franklin Gothic Medium" w:hAnsi="Franklin Gothic Medium"/>
          <w:color w:val="17365D" w:themeColor="text2" w:themeShade="BF"/>
          <w:sz w:val="28"/>
          <w:szCs w:val="28"/>
          <w:lang w:val="en-GB"/>
        </w:rPr>
      </w:pPr>
      <w:r w:rsidRPr="006477A9">
        <w:rPr>
          <w:rFonts w:ascii="Franklin Gothic Medium" w:hAnsi="Franklin Gothic Medium"/>
          <w:color w:val="17365D" w:themeColor="text2" w:themeShade="BF"/>
          <w:sz w:val="28"/>
          <w:szCs w:val="28"/>
          <w:lang w:val="en-GB"/>
        </w:rPr>
        <w:t xml:space="preserve">Contents </w:t>
      </w:r>
    </w:p>
    <w:p w14:paraId="38736017" w14:textId="08D5EF4F" w:rsidR="00865907" w:rsidRDefault="006477A9">
      <w:pPr>
        <w:pStyle w:val="TOC1"/>
        <w:rPr>
          <w:rFonts w:asciiTheme="minorHAnsi" w:eastAsiaTheme="minorEastAsia" w:hAnsiTheme="minorHAnsi" w:cstheme="minorBidi"/>
          <w:b w:val="0"/>
          <w:noProof/>
          <w:color w:val="auto"/>
          <w:szCs w:val="24"/>
          <w:lang w:val="en-US"/>
        </w:rPr>
      </w:pPr>
      <w:r w:rsidRPr="006477A9">
        <w:rPr>
          <w:b w:val="0"/>
          <w:lang w:val="en-GB"/>
        </w:rPr>
        <w:fldChar w:fldCharType="begin"/>
      </w:r>
      <w:r w:rsidRPr="006477A9">
        <w:rPr>
          <w:b w:val="0"/>
          <w:lang w:val="en-GB"/>
        </w:rPr>
        <w:instrText xml:space="preserve"> TOC \o "1-3" \h \z \u </w:instrText>
      </w:r>
      <w:r w:rsidRPr="006477A9">
        <w:rPr>
          <w:b w:val="0"/>
          <w:lang w:val="en-GB"/>
        </w:rPr>
        <w:fldChar w:fldCharType="separate"/>
      </w:r>
      <w:hyperlink w:anchor="_Toc31646716" w:history="1">
        <w:r w:rsidR="00865907" w:rsidRPr="00B34427">
          <w:rPr>
            <w:rStyle w:val="Hyperlink"/>
            <w:noProof/>
            <w:lang w:val="en-GB"/>
          </w:rPr>
          <w:t>I.</w:t>
        </w:r>
        <w:r w:rsidR="00865907">
          <w:rPr>
            <w:rFonts w:asciiTheme="minorHAnsi" w:eastAsiaTheme="minorEastAsia" w:hAnsiTheme="minorHAnsi" w:cstheme="minorBidi"/>
            <w:b w:val="0"/>
            <w:noProof/>
            <w:color w:val="auto"/>
            <w:szCs w:val="24"/>
            <w:lang w:val="en-US"/>
          </w:rPr>
          <w:tab/>
        </w:r>
        <w:r w:rsidR="00865907" w:rsidRPr="00B34427">
          <w:rPr>
            <w:rStyle w:val="Hyperlink"/>
            <w:noProof/>
            <w:lang w:val="en-GB"/>
          </w:rPr>
          <w:t>Introduction</w:t>
        </w:r>
        <w:r w:rsidR="00865907">
          <w:rPr>
            <w:noProof/>
            <w:webHidden/>
          </w:rPr>
          <w:tab/>
        </w:r>
        <w:r w:rsidR="00865907">
          <w:rPr>
            <w:noProof/>
            <w:webHidden/>
          </w:rPr>
          <w:fldChar w:fldCharType="begin"/>
        </w:r>
        <w:r w:rsidR="00865907">
          <w:rPr>
            <w:noProof/>
            <w:webHidden/>
          </w:rPr>
          <w:instrText xml:space="preserve"> PAGEREF _Toc31646716 \h </w:instrText>
        </w:r>
        <w:r w:rsidR="00865907">
          <w:rPr>
            <w:noProof/>
            <w:webHidden/>
          </w:rPr>
        </w:r>
        <w:r w:rsidR="00865907">
          <w:rPr>
            <w:noProof/>
            <w:webHidden/>
          </w:rPr>
          <w:fldChar w:fldCharType="separate"/>
        </w:r>
        <w:r w:rsidR="00865907">
          <w:rPr>
            <w:noProof/>
            <w:webHidden/>
          </w:rPr>
          <w:t>2</w:t>
        </w:r>
        <w:r w:rsidR="00865907">
          <w:rPr>
            <w:noProof/>
            <w:webHidden/>
          </w:rPr>
          <w:fldChar w:fldCharType="end"/>
        </w:r>
      </w:hyperlink>
    </w:p>
    <w:p w14:paraId="3D3A27ED" w14:textId="7B2B8876" w:rsidR="00865907" w:rsidRDefault="00865907">
      <w:pPr>
        <w:pStyle w:val="TOC1"/>
        <w:rPr>
          <w:rFonts w:asciiTheme="minorHAnsi" w:eastAsiaTheme="minorEastAsia" w:hAnsiTheme="minorHAnsi" w:cstheme="minorBidi"/>
          <w:b w:val="0"/>
          <w:noProof/>
          <w:color w:val="auto"/>
          <w:szCs w:val="24"/>
          <w:lang w:val="en-US"/>
        </w:rPr>
      </w:pPr>
      <w:hyperlink w:anchor="_Toc31646717" w:history="1">
        <w:r w:rsidRPr="00B34427">
          <w:rPr>
            <w:rStyle w:val="Hyperlink"/>
            <w:noProof/>
            <w:lang w:val="en-GB"/>
          </w:rPr>
          <w:t>II.</w:t>
        </w:r>
        <w:r>
          <w:rPr>
            <w:rFonts w:asciiTheme="minorHAnsi" w:eastAsiaTheme="minorEastAsia" w:hAnsiTheme="minorHAnsi" w:cstheme="minorBidi"/>
            <w:b w:val="0"/>
            <w:noProof/>
            <w:color w:val="auto"/>
            <w:szCs w:val="24"/>
            <w:lang w:val="en-US"/>
          </w:rPr>
          <w:tab/>
        </w:r>
        <w:r w:rsidRPr="00B34427">
          <w:rPr>
            <w:rStyle w:val="Hyperlink"/>
            <w:noProof/>
            <w:lang w:val="en-GB"/>
          </w:rPr>
          <w:t>Suggested questions</w:t>
        </w:r>
        <w:r>
          <w:rPr>
            <w:noProof/>
            <w:webHidden/>
          </w:rPr>
          <w:tab/>
        </w:r>
        <w:r>
          <w:rPr>
            <w:noProof/>
            <w:webHidden/>
          </w:rPr>
          <w:fldChar w:fldCharType="begin"/>
        </w:r>
        <w:r>
          <w:rPr>
            <w:noProof/>
            <w:webHidden/>
          </w:rPr>
          <w:instrText xml:space="preserve"> PAGEREF _Toc31646717 \h </w:instrText>
        </w:r>
        <w:r>
          <w:rPr>
            <w:noProof/>
            <w:webHidden/>
          </w:rPr>
        </w:r>
        <w:r>
          <w:rPr>
            <w:noProof/>
            <w:webHidden/>
          </w:rPr>
          <w:fldChar w:fldCharType="separate"/>
        </w:r>
        <w:r>
          <w:rPr>
            <w:noProof/>
            <w:webHidden/>
          </w:rPr>
          <w:t>3</w:t>
        </w:r>
        <w:r>
          <w:rPr>
            <w:noProof/>
            <w:webHidden/>
          </w:rPr>
          <w:fldChar w:fldCharType="end"/>
        </w:r>
      </w:hyperlink>
    </w:p>
    <w:p w14:paraId="7B1A7334" w14:textId="4ADB2FAA" w:rsidR="00865907" w:rsidRDefault="00865907">
      <w:pPr>
        <w:pStyle w:val="TOC2"/>
        <w:tabs>
          <w:tab w:val="right" w:leader="dot" w:pos="9350"/>
        </w:tabs>
        <w:rPr>
          <w:rFonts w:asciiTheme="minorHAnsi" w:eastAsiaTheme="minorEastAsia" w:hAnsiTheme="minorHAnsi" w:cstheme="minorBidi"/>
          <w:noProof/>
          <w:color w:val="auto"/>
          <w:sz w:val="24"/>
          <w:szCs w:val="24"/>
          <w:lang w:val="en-US"/>
        </w:rPr>
      </w:pPr>
      <w:hyperlink w:anchor="_Toc31646718" w:history="1">
        <w:r w:rsidRPr="00B34427">
          <w:rPr>
            <w:rStyle w:val="Hyperlink"/>
            <w:noProof/>
          </w:rPr>
          <w:t>Gendered impacts of impacts of armed conflict and of austerity measures</w:t>
        </w:r>
        <w:r>
          <w:rPr>
            <w:noProof/>
            <w:webHidden/>
          </w:rPr>
          <w:tab/>
        </w:r>
        <w:r>
          <w:rPr>
            <w:noProof/>
            <w:webHidden/>
          </w:rPr>
          <w:fldChar w:fldCharType="begin"/>
        </w:r>
        <w:r>
          <w:rPr>
            <w:noProof/>
            <w:webHidden/>
          </w:rPr>
          <w:instrText xml:space="preserve"> PAGEREF _Toc31646718 \h </w:instrText>
        </w:r>
        <w:r>
          <w:rPr>
            <w:noProof/>
            <w:webHidden/>
          </w:rPr>
        </w:r>
        <w:r>
          <w:rPr>
            <w:noProof/>
            <w:webHidden/>
          </w:rPr>
          <w:fldChar w:fldCharType="separate"/>
        </w:r>
        <w:r>
          <w:rPr>
            <w:noProof/>
            <w:webHidden/>
          </w:rPr>
          <w:t>3</w:t>
        </w:r>
        <w:r>
          <w:rPr>
            <w:noProof/>
            <w:webHidden/>
          </w:rPr>
          <w:fldChar w:fldCharType="end"/>
        </w:r>
      </w:hyperlink>
    </w:p>
    <w:p w14:paraId="40C2965D" w14:textId="46EA6C81" w:rsidR="00865907" w:rsidRDefault="00865907">
      <w:pPr>
        <w:pStyle w:val="TOC2"/>
        <w:tabs>
          <w:tab w:val="right" w:leader="dot" w:pos="9350"/>
        </w:tabs>
        <w:rPr>
          <w:rFonts w:asciiTheme="minorHAnsi" w:eastAsiaTheme="minorEastAsia" w:hAnsiTheme="minorHAnsi" w:cstheme="minorBidi"/>
          <w:noProof/>
          <w:color w:val="auto"/>
          <w:sz w:val="24"/>
          <w:szCs w:val="24"/>
          <w:lang w:val="en-US"/>
        </w:rPr>
      </w:pPr>
      <w:hyperlink w:anchor="_Toc31646719" w:history="1">
        <w:r w:rsidRPr="00B34427">
          <w:rPr>
            <w:rStyle w:val="Hyperlink"/>
            <w:noProof/>
          </w:rPr>
          <w:t>Access to employment, labour rights, maternity protection</w:t>
        </w:r>
        <w:r>
          <w:rPr>
            <w:noProof/>
            <w:webHidden/>
          </w:rPr>
          <w:tab/>
        </w:r>
        <w:r>
          <w:rPr>
            <w:noProof/>
            <w:webHidden/>
          </w:rPr>
          <w:fldChar w:fldCharType="begin"/>
        </w:r>
        <w:r>
          <w:rPr>
            <w:noProof/>
            <w:webHidden/>
          </w:rPr>
          <w:instrText xml:space="preserve"> PAGEREF _Toc31646719 \h </w:instrText>
        </w:r>
        <w:r>
          <w:rPr>
            <w:noProof/>
            <w:webHidden/>
          </w:rPr>
        </w:r>
        <w:r>
          <w:rPr>
            <w:noProof/>
            <w:webHidden/>
          </w:rPr>
          <w:fldChar w:fldCharType="separate"/>
        </w:r>
        <w:r>
          <w:rPr>
            <w:noProof/>
            <w:webHidden/>
          </w:rPr>
          <w:t>4</w:t>
        </w:r>
        <w:r>
          <w:rPr>
            <w:noProof/>
            <w:webHidden/>
          </w:rPr>
          <w:fldChar w:fldCharType="end"/>
        </w:r>
      </w:hyperlink>
    </w:p>
    <w:p w14:paraId="040F4D06" w14:textId="7FABA30D" w:rsidR="00865907" w:rsidRDefault="00865907">
      <w:pPr>
        <w:pStyle w:val="TOC2"/>
        <w:tabs>
          <w:tab w:val="right" w:leader="dot" w:pos="9350"/>
        </w:tabs>
        <w:rPr>
          <w:rFonts w:asciiTheme="minorHAnsi" w:eastAsiaTheme="minorEastAsia" w:hAnsiTheme="minorHAnsi" w:cstheme="minorBidi"/>
          <w:noProof/>
          <w:color w:val="auto"/>
          <w:sz w:val="24"/>
          <w:szCs w:val="24"/>
          <w:lang w:val="en-US"/>
        </w:rPr>
      </w:pPr>
      <w:hyperlink w:anchor="_Toc31646720" w:history="1">
        <w:r w:rsidRPr="00B34427">
          <w:rPr>
            <w:rStyle w:val="Hyperlink"/>
            <w:noProof/>
          </w:rPr>
          <w:t>Access to employment by internally displaced persons (IDPs)</w:t>
        </w:r>
        <w:r>
          <w:rPr>
            <w:noProof/>
            <w:webHidden/>
          </w:rPr>
          <w:tab/>
        </w:r>
        <w:r>
          <w:rPr>
            <w:noProof/>
            <w:webHidden/>
          </w:rPr>
          <w:fldChar w:fldCharType="begin"/>
        </w:r>
        <w:r>
          <w:rPr>
            <w:noProof/>
            <w:webHidden/>
          </w:rPr>
          <w:instrText xml:space="preserve"> PAGEREF _Toc31646720 \h </w:instrText>
        </w:r>
        <w:r>
          <w:rPr>
            <w:noProof/>
            <w:webHidden/>
          </w:rPr>
        </w:r>
        <w:r>
          <w:rPr>
            <w:noProof/>
            <w:webHidden/>
          </w:rPr>
          <w:fldChar w:fldCharType="separate"/>
        </w:r>
        <w:r>
          <w:rPr>
            <w:noProof/>
            <w:webHidden/>
          </w:rPr>
          <w:t>5</w:t>
        </w:r>
        <w:r>
          <w:rPr>
            <w:noProof/>
            <w:webHidden/>
          </w:rPr>
          <w:fldChar w:fldCharType="end"/>
        </w:r>
      </w:hyperlink>
    </w:p>
    <w:p w14:paraId="5A0A8D7C" w14:textId="6E090C07" w:rsidR="00865907" w:rsidRDefault="00865907">
      <w:pPr>
        <w:pStyle w:val="TOC2"/>
        <w:tabs>
          <w:tab w:val="right" w:leader="dot" w:pos="9350"/>
        </w:tabs>
        <w:rPr>
          <w:rFonts w:asciiTheme="minorHAnsi" w:eastAsiaTheme="minorEastAsia" w:hAnsiTheme="minorHAnsi" w:cstheme="minorBidi"/>
          <w:noProof/>
          <w:color w:val="auto"/>
          <w:sz w:val="24"/>
          <w:szCs w:val="24"/>
          <w:lang w:val="en-US"/>
        </w:rPr>
      </w:pPr>
      <w:hyperlink w:anchor="_Toc31646721" w:history="1">
        <w:r w:rsidRPr="00B34427">
          <w:rPr>
            <w:rStyle w:val="Hyperlink"/>
            <w:noProof/>
          </w:rPr>
          <w:t>Gender and conflict awareness training</w:t>
        </w:r>
        <w:r>
          <w:rPr>
            <w:noProof/>
            <w:webHidden/>
          </w:rPr>
          <w:tab/>
        </w:r>
        <w:r>
          <w:rPr>
            <w:noProof/>
            <w:webHidden/>
          </w:rPr>
          <w:fldChar w:fldCharType="begin"/>
        </w:r>
        <w:r>
          <w:rPr>
            <w:noProof/>
            <w:webHidden/>
          </w:rPr>
          <w:instrText xml:space="preserve"> PAGEREF _Toc31646721 \h </w:instrText>
        </w:r>
        <w:r>
          <w:rPr>
            <w:noProof/>
            <w:webHidden/>
          </w:rPr>
        </w:r>
        <w:r>
          <w:rPr>
            <w:noProof/>
            <w:webHidden/>
          </w:rPr>
          <w:fldChar w:fldCharType="separate"/>
        </w:r>
        <w:r>
          <w:rPr>
            <w:noProof/>
            <w:webHidden/>
          </w:rPr>
          <w:t>7</w:t>
        </w:r>
        <w:r>
          <w:rPr>
            <w:noProof/>
            <w:webHidden/>
          </w:rPr>
          <w:fldChar w:fldCharType="end"/>
        </w:r>
      </w:hyperlink>
    </w:p>
    <w:p w14:paraId="61E2B1A0" w14:textId="1F3C8B2E" w:rsidR="00865907" w:rsidRDefault="00865907">
      <w:pPr>
        <w:pStyle w:val="TOC2"/>
        <w:tabs>
          <w:tab w:val="right" w:leader="dot" w:pos="9350"/>
        </w:tabs>
        <w:rPr>
          <w:rFonts w:asciiTheme="minorHAnsi" w:eastAsiaTheme="minorEastAsia" w:hAnsiTheme="minorHAnsi" w:cstheme="minorBidi"/>
          <w:noProof/>
          <w:color w:val="auto"/>
          <w:sz w:val="24"/>
          <w:szCs w:val="24"/>
          <w:lang w:val="en-US"/>
        </w:rPr>
      </w:pPr>
      <w:hyperlink w:anchor="_Toc31646722" w:history="1">
        <w:r w:rsidRPr="00B34427">
          <w:rPr>
            <w:rStyle w:val="Hyperlink"/>
            <w:noProof/>
          </w:rPr>
          <w:t>Access to mental health and psychosocial support in conflict-affected communities</w:t>
        </w:r>
        <w:r>
          <w:rPr>
            <w:noProof/>
            <w:webHidden/>
          </w:rPr>
          <w:tab/>
        </w:r>
        <w:r>
          <w:rPr>
            <w:noProof/>
            <w:webHidden/>
          </w:rPr>
          <w:fldChar w:fldCharType="begin"/>
        </w:r>
        <w:r>
          <w:rPr>
            <w:noProof/>
            <w:webHidden/>
          </w:rPr>
          <w:instrText xml:space="preserve"> PAGEREF _Toc31646722 \h </w:instrText>
        </w:r>
        <w:r>
          <w:rPr>
            <w:noProof/>
            <w:webHidden/>
          </w:rPr>
        </w:r>
        <w:r>
          <w:rPr>
            <w:noProof/>
            <w:webHidden/>
          </w:rPr>
          <w:fldChar w:fldCharType="separate"/>
        </w:r>
        <w:r>
          <w:rPr>
            <w:noProof/>
            <w:webHidden/>
          </w:rPr>
          <w:t>7</w:t>
        </w:r>
        <w:r>
          <w:rPr>
            <w:noProof/>
            <w:webHidden/>
          </w:rPr>
          <w:fldChar w:fldCharType="end"/>
        </w:r>
      </w:hyperlink>
    </w:p>
    <w:p w14:paraId="50C53053" w14:textId="5A166E68" w:rsidR="00865907" w:rsidRDefault="00865907">
      <w:pPr>
        <w:pStyle w:val="TOC2"/>
        <w:tabs>
          <w:tab w:val="right" w:leader="dot" w:pos="9350"/>
        </w:tabs>
        <w:rPr>
          <w:rFonts w:asciiTheme="minorHAnsi" w:eastAsiaTheme="minorEastAsia" w:hAnsiTheme="minorHAnsi" w:cstheme="minorBidi"/>
          <w:noProof/>
          <w:color w:val="auto"/>
          <w:sz w:val="24"/>
          <w:szCs w:val="24"/>
          <w:lang w:val="en-US"/>
        </w:rPr>
      </w:pPr>
      <w:hyperlink w:anchor="_Toc31646723" w:history="1">
        <w:r w:rsidRPr="00B34427">
          <w:rPr>
            <w:rStyle w:val="Hyperlink"/>
            <w:noProof/>
          </w:rPr>
          <w:t>Gender-based violence, including domestic violence.</w:t>
        </w:r>
        <w:r>
          <w:rPr>
            <w:noProof/>
            <w:webHidden/>
          </w:rPr>
          <w:tab/>
        </w:r>
        <w:r>
          <w:rPr>
            <w:noProof/>
            <w:webHidden/>
          </w:rPr>
          <w:fldChar w:fldCharType="begin"/>
        </w:r>
        <w:r>
          <w:rPr>
            <w:noProof/>
            <w:webHidden/>
          </w:rPr>
          <w:instrText xml:space="preserve"> PAGEREF _Toc31646723 \h </w:instrText>
        </w:r>
        <w:r>
          <w:rPr>
            <w:noProof/>
            <w:webHidden/>
          </w:rPr>
        </w:r>
        <w:r>
          <w:rPr>
            <w:noProof/>
            <w:webHidden/>
          </w:rPr>
          <w:fldChar w:fldCharType="separate"/>
        </w:r>
        <w:r>
          <w:rPr>
            <w:noProof/>
            <w:webHidden/>
          </w:rPr>
          <w:t>7</w:t>
        </w:r>
        <w:r>
          <w:rPr>
            <w:noProof/>
            <w:webHidden/>
          </w:rPr>
          <w:fldChar w:fldCharType="end"/>
        </w:r>
      </w:hyperlink>
    </w:p>
    <w:p w14:paraId="37DBBAE4" w14:textId="0BF2B0AC" w:rsidR="00865907" w:rsidRDefault="00865907">
      <w:pPr>
        <w:pStyle w:val="TOC2"/>
        <w:tabs>
          <w:tab w:val="right" w:leader="dot" w:pos="9350"/>
        </w:tabs>
        <w:rPr>
          <w:rFonts w:asciiTheme="minorHAnsi" w:eastAsiaTheme="minorEastAsia" w:hAnsiTheme="minorHAnsi" w:cstheme="minorBidi"/>
          <w:noProof/>
          <w:color w:val="auto"/>
          <w:sz w:val="24"/>
          <w:szCs w:val="24"/>
          <w:lang w:val="en-US"/>
        </w:rPr>
      </w:pPr>
      <w:hyperlink w:anchor="_Toc31646724" w:history="1">
        <w:r w:rsidRPr="00B34427">
          <w:rPr>
            <w:rStyle w:val="Hyperlink"/>
            <w:noProof/>
          </w:rPr>
          <w:t>Addressing hate crimes</w:t>
        </w:r>
        <w:r>
          <w:rPr>
            <w:noProof/>
            <w:webHidden/>
          </w:rPr>
          <w:tab/>
        </w:r>
        <w:r>
          <w:rPr>
            <w:noProof/>
            <w:webHidden/>
          </w:rPr>
          <w:fldChar w:fldCharType="begin"/>
        </w:r>
        <w:r>
          <w:rPr>
            <w:noProof/>
            <w:webHidden/>
          </w:rPr>
          <w:instrText xml:space="preserve"> PAGEREF _Toc31646724 \h </w:instrText>
        </w:r>
        <w:r>
          <w:rPr>
            <w:noProof/>
            <w:webHidden/>
          </w:rPr>
        </w:r>
        <w:r>
          <w:rPr>
            <w:noProof/>
            <w:webHidden/>
          </w:rPr>
          <w:fldChar w:fldCharType="separate"/>
        </w:r>
        <w:r>
          <w:rPr>
            <w:noProof/>
            <w:webHidden/>
          </w:rPr>
          <w:t>8</w:t>
        </w:r>
        <w:r>
          <w:rPr>
            <w:noProof/>
            <w:webHidden/>
          </w:rPr>
          <w:fldChar w:fldCharType="end"/>
        </w:r>
      </w:hyperlink>
    </w:p>
    <w:p w14:paraId="039D9566" w14:textId="6D640BCA" w:rsidR="00865907" w:rsidRDefault="00865907">
      <w:pPr>
        <w:pStyle w:val="TOC2"/>
        <w:tabs>
          <w:tab w:val="right" w:leader="dot" w:pos="9350"/>
        </w:tabs>
        <w:rPr>
          <w:rFonts w:asciiTheme="minorHAnsi" w:eastAsiaTheme="minorEastAsia" w:hAnsiTheme="minorHAnsi" w:cstheme="minorBidi"/>
          <w:noProof/>
          <w:color w:val="auto"/>
          <w:sz w:val="24"/>
          <w:szCs w:val="24"/>
          <w:lang w:val="en-US"/>
        </w:rPr>
      </w:pPr>
      <w:hyperlink w:anchor="_Toc31646725" w:history="1">
        <w:r w:rsidRPr="00B34427">
          <w:rPr>
            <w:rStyle w:val="Hyperlink"/>
            <w:noProof/>
          </w:rPr>
          <w:t>Human rights education</w:t>
        </w:r>
        <w:r>
          <w:rPr>
            <w:noProof/>
            <w:webHidden/>
          </w:rPr>
          <w:tab/>
        </w:r>
        <w:r>
          <w:rPr>
            <w:noProof/>
            <w:webHidden/>
          </w:rPr>
          <w:fldChar w:fldCharType="begin"/>
        </w:r>
        <w:r>
          <w:rPr>
            <w:noProof/>
            <w:webHidden/>
          </w:rPr>
          <w:instrText xml:space="preserve"> PAGEREF _Toc31646725 \h </w:instrText>
        </w:r>
        <w:r>
          <w:rPr>
            <w:noProof/>
            <w:webHidden/>
          </w:rPr>
        </w:r>
        <w:r>
          <w:rPr>
            <w:noProof/>
            <w:webHidden/>
          </w:rPr>
          <w:fldChar w:fldCharType="separate"/>
        </w:r>
        <w:r>
          <w:rPr>
            <w:noProof/>
            <w:webHidden/>
          </w:rPr>
          <w:t>8</w:t>
        </w:r>
        <w:r>
          <w:rPr>
            <w:noProof/>
            <w:webHidden/>
          </w:rPr>
          <w:fldChar w:fldCharType="end"/>
        </w:r>
      </w:hyperlink>
    </w:p>
    <w:p w14:paraId="4F7911FE" w14:textId="76E99B30" w:rsidR="00865907" w:rsidRDefault="00865907">
      <w:pPr>
        <w:pStyle w:val="TOC2"/>
        <w:tabs>
          <w:tab w:val="right" w:leader="dot" w:pos="9350"/>
        </w:tabs>
        <w:rPr>
          <w:rFonts w:asciiTheme="minorHAnsi" w:eastAsiaTheme="minorEastAsia" w:hAnsiTheme="minorHAnsi" w:cstheme="minorBidi"/>
          <w:noProof/>
          <w:color w:val="auto"/>
          <w:sz w:val="24"/>
          <w:szCs w:val="24"/>
          <w:lang w:val="en-US"/>
        </w:rPr>
      </w:pPr>
      <w:hyperlink w:anchor="_Toc31646726" w:history="1">
        <w:r w:rsidRPr="00B34427">
          <w:rPr>
            <w:rStyle w:val="Hyperlink"/>
            <w:noProof/>
          </w:rPr>
          <w:t>Women human rights defenders and LGTBIQ defenders</w:t>
        </w:r>
        <w:r>
          <w:rPr>
            <w:noProof/>
            <w:webHidden/>
          </w:rPr>
          <w:tab/>
        </w:r>
        <w:r>
          <w:rPr>
            <w:noProof/>
            <w:webHidden/>
          </w:rPr>
          <w:fldChar w:fldCharType="begin"/>
        </w:r>
        <w:r>
          <w:rPr>
            <w:noProof/>
            <w:webHidden/>
          </w:rPr>
          <w:instrText xml:space="preserve"> PAGEREF _Toc31646726 \h </w:instrText>
        </w:r>
        <w:r>
          <w:rPr>
            <w:noProof/>
            <w:webHidden/>
          </w:rPr>
        </w:r>
        <w:r>
          <w:rPr>
            <w:noProof/>
            <w:webHidden/>
          </w:rPr>
          <w:fldChar w:fldCharType="separate"/>
        </w:r>
        <w:r>
          <w:rPr>
            <w:noProof/>
            <w:webHidden/>
          </w:rPr>
          <w:t>8</w:t>
        </w:r>
        <w:r>
          <w:rPr>
            <w:noProof/>
            <w:webHidden/>
          </w:rPr>
          <w:fldChar w:fldCharType="end"/>
        </w:r>
      </w:hyperlink>
    </w:p>
    <w:p w14:paraId="72B40FFE" w14:textId="017F2344" w:rsidR="00865907" w:rsidRDefault="00865907">
      <w:pPr>
        <w:pStyle w:val="TOC1"/>
        <w:rPr>
          <w:rFonts w:asciiTheme="minorHAnsi" w:eastAsiaTheme="minorEastAsia" w:hAnsiTheme="minorHAnsi" w:cstheme="minorBidi"/>
          <w:b w:val="0"/>
          <w:noProof/>
          <w:color w:val="auto"/>
          <w:szCs w:val="24"/>
          <w:lang w:val="en-US"/>
        </w:rPr>
      </w:pPr>
      <w:hyperlink w:anchor="_Toc31646727" w:history="1">
        <w:r w:rsidRPr="00B34427">
          <w:rPr>
            <w:rStyle w:val="Hyperlink"/>
            <w:noProof/>
            <w:lang w:val="en-GB"/>
          </w:rPr>
          <w:t>III.</w:t>
        </w:r>
        <w:r>
          <w:rPr>
            <w:rFonts w:asciiTheme="minorHAnsi" w:eastAsiaTheme="minorEastAsia" w:hAnsiTheme="minorHAnsi" w:cstheme="minorBidi"/>
            <w:b w:val="0"/>
            <w:noProof/>
            <w:color w:val="auto"/>
            <w:szCs w:val="24"/>
            <w:lang w:val="en-US"/>
          </w:rPr>
          <w:tab/>
        </w:r>
        <w:r w:rsidRPr="00B34427">
          <w:rPr>
            <w:rStyle w:val="Hyperlink"/>
            <w:noProof/>
            <w:lang w:val="en-GB"/>
          </w:rPr>
          <w:t>Annexes</w:t>
        </w:r>
        <w:r>
          <w:rPr>
            <w:noProof/>
            <w:webHidden/>
          </w:rPr>
          <w:tab/>
        </w:r>
        <w:r>
          <w:rPr>
            <w:noProof/>
            <w:webHidden/>
          </w:rPr>
          <w:fldChar w:fldCharType="begin"/>
        </w:r>
        <w:r>
          <w:rPr>
            <w:noProof/>
            <w:webHidden/>
          </w:rPr>
          <w:instrText xml:space="preserve"> PAGEREF _Toc31646727 \h </w:instrText>
        </w:r>
        <w:r>
          <w:rPr>
            <w:noProof/>
            <w:webHidden/>
          </w:rPr>
        </w:r>
        <w:r>
          <w:rPr>
            <w:noProof/>
            <w:webHidden/>
          </w:rPr>
          <w:fldChar w:fldCharType="separate"/>
        </w:r>
        <w:r>
          <w:rPr>
            <w:noProof/>
            <w:webHidden/>
          </w:rPr>
          <w:t>9</w:t>
        </w:r>
        <w:r>
          <w:rPr>
            <w:noProof/>
            <w:webHidden/>
          </w:rPr>
          <w:fldChar w:fldCharType="end"/>
        </w:r>
      </w:hyperlink>
    </w:p>
    <w:p w14:paraId="7BE0C82B" w14:textId="796C20E5" w:rsidR="00865907" w:rsidRPr="00EF5307" w:rsidRDefault="006477A9" w:rsidP="00865907">
      <w:pPr>
        <w:rPr>
          <w:b/>
          <w:lang w:val="en-GB"/>
        </w:rPr>
      </w:pPr>
      <w:r w:rsidRPr="006477A9">
        <w:rPr>
          <w:b/>
          <w:lang w:val="en-GB"/>
        </w:rPr>
        <w:fldChar w:fldCharType="end"/>
      </w:r>
    </w:p>
    <w:p w14:paraId="4D9E1C34" w14:textId="77777777" w:rsidR="00A235B8" w:rsidRPr="006477A9" w:rsidRDefault="00A235B8" w:rsidP="00A235B8">
      <w:pPr>
        <w:tabs>
          <w:tab w:val="left" w:pos="8647"/>
        </w:tabs>
        <w:ind w:right="283"/>
        <w:jc w:val="right"/>
        <w:rPr>
          <w:b/>
          <w:color w:val="1F497D" w:themeColor="text2"/>
          <w:sz w:val="20"/>
          <w:szCs w:val="20"/>
          <w:lang w:val="en-GB"/>
        </w:rPr>
      </w:pPr>
      <w:r w:rsidRPr="006477A9">
        <w:rPr>
          <w:b/>
          <w:color w:val="1F497D" w:themeColor="text2"/>
          <w:sz w:val="20"/>
          <w:szCs w:val="20"/>
          <w:lang w:val="en-GB"/>
        </w:rPr>
        <w:t>Submitted on 3 February 2020</w:t>
      </w:r>
    </w:p>
    <w:p w14:paraId="45ACE470" w14:textId="77777777" w:rsidR="00A235B8" w:rsidRPr="006477A9" w:rsidRDefault="00A235B8" w:rsidP="00A235B8">
      <w:pPr>
        <w:tabs>
          <w:tab w:val="left" w:pos="8647"/>
        </w:tabs>
        <w:ind w:right="283"/>
        <w:jc w:val="right"/>
        <w:rPr>
          <w:color w:val="1F497D" w:themeColor="text2"/>
          <w:sz w:val="20"/>
          <w:szCs w:val="20"/>
          <w:lang w:val="en-GB"/>
        </w:rPr>
      </w:pPr>
      <w:r w:rsidRPr="006477A9">
        <w:rPr>
          <w:color w:val="1F497D" w:themeColor="text2"/>
          <w:sz w:val="20"/>
          <w:szCs w:val="20"/>
          <w:lang w:val="en-GB"/>
        </w:rPr>
        <w:t>For more information, please contact:</w:t>
      </w:r>
    </w:p>
    <w:p w14:paraId="14C46598" w14:textId="77777777" w:rsidR="00A235B8" w:rsidRPr="006477A9" w:rsidRDefault="00A235B8" w:rsidP="00A235B8">
      <w:pPr>
        <w:tabs>
          <w:tab w:val="left" w:pos="8647"/>
        </w:tabs>
        <w:ind w:right="283"/>
        <w:jc w:val="right"/>
        <w:rPr>
          <w:color w:val="1F497D" w:themeColor="text2"/>
          <w:sz w:val="20"/>
          <w:szCs w:val="20"/>
          <w:lang w:val="en-GB"/>
        </w:rPr>
      </w:pPr>
      <w:r w:rsidRPr="006477A9">
        <w:rPr>
          <w:color w:val="1F497D" w:themeColor="text2"/>
          <w:sz w:val="20"/>
          <w:szCs w:val="20"/>
          <w:lang w:val="en-GB"/>
        </w:rPr>
        <w:t>Women’s International League for Peace and Freedom (WILPF)</w:t>
      </w:r>
    </w:p>
    <w:p w14:paraId="4D7A47F1" w14:textId="77777777" w:rsidR="00A235B8" w:rsidRPr="006477A9" w:rsidRDefault="00A235B8" w:rsidP="00A235B8">
      <w:pPr>
        <w:tabs>
          <w:tab w:val="left" w:pos="8647"/>
        </w:tabs>
        <w:ind w:right="283"/>
        <w:jc w:val="right"/>
        <w:rPr>
          <w:color w:val="1F497D" w:themeColor="text2"/>
          <w:sz w:val="20"/>
          <w:szCs w:val="20"/>
          <w:lang w:val="en-GB"/>
        </w:rPr>
      </w:pPr>
      <w:r w:rsidRPr="006477A9">
        <w:rPr>
          <w:color w:val="1F497D" w:themeColor="text2"/>
          <w:sz w:val="20"/>
          <w:szCs w:val="20"/>
          <w:lang w:val="en-GB"/>
        </w:rPr>
        <w:t xml:space="preserve">Rue de Varembé 1, Case </w:t>
      </w:r>
      <w:proofErr w:type="spellStart"/>
      <w:r w:rsidRPr="006477A9">
        <w:rPr>
          <w:color w:val="1F497D" w:themeColor="text2"/>
          <w:sz w:val="20"/>
          <w:szCs w:val="20"/>
          <w:lang w:val="en-GB"/>
        </w:rPr>
        <w:t>Postale</w:t>
      </w:r>
      <w:proofErr w:type="spellEnd"/>
      <w:r w:rsidRPr="006477A9">
        <w:rPr>
          <w:color w:val="1F497D" w:themeColor="text2"/>
          <w:sz w:val="20"/>
          <w:szCs w:val="20"/>
          <w:lang w:val="en-GB"/>
        </w:rPr>
        <w:t xml:space="preserve"> 28, 1211 Geneva 20, Switzerland</w:t>
      </w:r>
    </w:p>
    <w:p w14:paraId="690D8DFE" w14:textId="5D3FD571" w:rsidR="00E9229F" w:rsidRPr="00EF5307" w:rsidRDefault="00A235B8" w:rsidP="00EF5307">
      <w:pPr>
        <w:tabs>
          <w:tab w:val="left" w:pos="8647"/>
        </w:tabs>
        <w:ind w:right="283"/>
        <w:jc w:val="right"/>
        <w:rPr>
          <w:color w:val="1F497D" w:themeColor="text2"/>
          <w:sz w:val="20"/>
          <w:szCs w:val="20"/>
          <w:lang w:val="en-GB"/>
        </w:rPr>
      </w:pPr>
      <w:r w:rsidRPr="006477A9">
        <w:rPr>
          <w:color w:val="1F497D" w:themeColor="text2"/>
          <w:sz w:val="20"/>
          <w:szCs w:val="20"/>
          <w:lang w:val="en-GB"/>
        </w:rPr>
        <w:t xml:space="preserve">Email: </w:t>
      </w:r>
      <w:r w:rsidRPr="006477A9">
        <w:rPr>
          <w:rStyle w:val="Hyperlink"/>
          <w:color w:val="1F497D" w:themeColor="text2"/>
          <w:sz w:val="20"/>
          <w:szCs w:val="20"/>
          <w:lang w:val="en-GB"/>
        </w:rPr>
        <w:t>secretariat@wilpf.org</w:t>
      </w:r>
      <w:r w:rsidRPr="006477A9">
        <w:rPr>
          <w:color w:val="1F497D" w:themeColor="text2"/>
          <w:sz w:val="20"/>
          <w:szCs w:val="20"/>
          <w:lang w:val="en-GB"/>
        </w:rPr>
        <w:t>| Tel: +41 (0) 22919 70 80 | Web: wilpf.org</w:t>
      </w:r>
    </w:p>
    <w:p w14:paraId="67604D27" w14:textId="0553A714" w:rsidR="005253BB" w:rsidRPr="006477A9" w:rsidRDefault="009A4B0A" w:rsidP="008B0BF4">
      <w:pPr>
        <w:pStyle w:val="Heading1"/>
        <w:rPr>
          <w:lang w:val="en-GB"/>
        </w:rPr>
      </w:pPr>
      <w:bookmarkStart w:id="1" w:name="_heading=h.1fob9te" w:colFirst="0" w:colLast="0"/>
      <w:bookmarkStart w:id="2" w:name="_Toc29547583"/>
      <w:bookmarkStart w:id="3" w:name="_Toc29476215"/>
      <w:bookmarkStart w:id="4" w:name="_Toc31646716"/>
      <w:bookmarkEnd w:id="1"/>
      <w:r>
        <w:rPr>
          <w:lang w:val="en-GB"/>
        </w:rPr>
        <w:lastRenderedPageBreak/>
        <w:t>I.</w:t>
      </w:r>
      <w:r>
        <w:rPr>
          <w:lang w:val="en-GB"/>
        </w:rPr>
        <w:tab/>
      </w:r>
      <w:r w:rsidR="005253BB" w:rsidRPr="006477A9">
        <w:rPr>
          <w:lang w:val="en-GB"/>
        </w:rPr>
        <w:t>Introduction</w:t>
      </w:r>
      <w:bookmarkEnd w:id="2"/>
      <w:bookmarkEnd w:id="3"/>
      <w:bookmarkEnd w:id="4"/>
      <w:r w:rsidR="005253BB" w:rsidRPr="006477A9">
        <w:rPr>
          <w:lang w:val="en-GB"/>
        </w:rPr>
        <w:t xml:space="preserve"> </w:t>
      </w:r>
    </w:p>
    <w:p w14:paraId="026B32EC" w14:textId="77777777" w:rsidR="006477A9" w:rsidRPr="006477A9" w:rsidRDefault="006477A9" w:rsidP="006477A9">
      <w:pPr>
        <w:rPr>
          <w:lang w:val="en-GB"/>
        </w:rPr>
      </w:pPr>
      <w:r w:rsidRPr="006477A9">
        <w:rPr>
          <w:lang w:val="en-GB"/>
        </w:rPr>
        <w:t xml:space="preserve">The sixth year of the ongoing armed conflict in the East of Ukraine has significantly transformed socio-economic structures and has irreversibly changed the daily lives of millions of Ukrainians. In times of conflict, social infrastructure is affected the most, and its breakdown disproportionately affects women. Indeed, women make up for the reduction of social services through an increase of their unpaid care work; this reduces, </w:t>
      </w:r>
      <w:r w:rsidRPr="006477A9">
        <w:rPr>
          <w:i/>
          <w:lang w:val="en-GB"/>
        </w:rPr>
        <w:t>inter alia,</w:t>
      </w:r>
      <w:r w:rsidRPr="006477A9">
        <w:rPr>
          <w:lang w:val="en-GB"/>
        </w:rPr>
        <w:t xml:space="preserve"> women’s time for paid work and participation in social, political, economic and cultural spaces and puts further pressure on women’s health. According to data from the Ministry of Social Policy for 2013 only 1% of men took parental leave;</w:t>
      </w:r>
      <w:r w:rsidRPr="006477A9">
        <w:rPr>
          <w:vertAlign w:val="superscript"/>
          <w:lang w:val="en-GB"/>
        </w:rPr>
        <w:footnoteReference w:id="1"/>
      </w:r>
      <w:r w:rsidRPr="006477A9">
        <w:rPr>
          <w:lang w:val="en-GB"/>
        </w:rPr>
        <w:t xml:space="preserve"> this shows that the responsibility for childcare falls almost entirely on women. Thus, reduction in the availability of educational facilities or lack thereof has a disproportionate impact on them. Conflicts exacerbate patriarchal norms, including pre-existing patterns of gender-based discrimination. It also reinforces gender stereotypes, and adds roles and burdens on women such as caretaking of combatants and the wounded. </w:t>
      </w:r>
    </w:p>
    <w:p w14:paraId="658D2E05" w14:textId="77777777" w:rsidR="006477A9" w:rsidRPr="006477A9" w:rsidRDefault="006477A9" w:rsidP="006477A9">
      <w:pPr>
        <w:rPr>
          <w:lang w:val="en-GB"/>
        </w:rPr>
      </w:pPr>
    </w:p>
    <w:p w14:paraId="742B6F0D" w14:textId="2D132C2A" w:rsidR="006477A9" w:rsidRPr="006477A9" w:rsidRDefault="006477A9" w:rsidP="00B421A6">
      <w:pPr>
        <w:rPr>
          <w:lang w:val="en-GB"/>
        </w:rPr>
      </w:pPr>
      <w:r w:rsidRPr="006477A9">
        <w:rPr>
          <w:lang w:val="en-GB"/>
        </w:rPr>
        <w:t>The impact of the armed conflict has also been compounded by the negative effects of macro-economic reforms, implemented as part of the conditionalities attached to lending provided by International Financial Institutions, that have led to the narrowing of access to social services, which, in turn, has significantly reduced the quality of life and safety of women in Ukraine. Violations of women’s economic and social rights resulting from implementation of austerity measures has contributed to the feminization of poverty and the deepening of gender inequalities within the family and in society as a whole. Such impacts are highlighted in a joint submission by WILPF with Ukrainian partner organisations to the Universal Periodic Review (UPR), titled “Obstacles to Women’s Meaningful Participation in Peace Efforts in Ukraine” (March 2017).</w:t>
      </w:r>
      <w:r w:rsidRPr="006477A9">
        <w:rPr>
          <w:vertAlign w:val="superscript"/>
          <w:lang w:val="en-GB"/>
        </w:rPr>
        <w:footnoteReference w:id="2"/>
      </w:r>
      <w:r w:rsidRPr="006477A9">
        <w:rPr>
          <w:lang w:val="en-GB"/>
        </w:rPr>
        <w:t xml:space="preserve"> </w:t>
      </w:r>
      <w:r w:rsidR="00344934">
        <w:rPr>
          <w:lang w:val="en-GB"/>
        </w:rPr>
        <w:t xml:space="preserve">The joint UPR submission followed a </w:t>
      </w:r>
      <w:r w:rsidR="00B421A6">
        <w:rPr>
          <w:lang w:val="en-GB"/>
        </w:rPr>
        <w:t>joint report</w:t>
      </w:r>
      <w:r w:rsidR="00344934">
        <w:rPr>
          <w:lang w:val="en-GB"/>
        </w:rPr>
        <w:t xml:space="preserve"> on similar issues </w:t>
      </w:r>
      <w:r w:rsidR="00B421A6">
        <w:rPr>
          <w:lang w:val="en-GB"/>
        </w:rPr>
        <w:t>submitted</w:t>
      </w:r>
      <w:r w:rsidR="00344934">
        <w:rPr>
          <w:lang w:val="en-GB"/>
        </w:rPr>
        <w:t xml:space="preserve"> to the CEDAW Committee in January 2017</w:t>
      </w:r>
      <w:r w:rsidR="00B421A6">
        <w:rPr>
          <w:lang w:val="en-GB"/>
        </w:rPr>
        <w:t>;</w:t>
      </w:r>
      <w:r w:rsidR="00344934">
        <w:rPr>
          <w:rStyle w:val="FootnoteReference"/>
          <w:lang w:val="en-GB"/>
        </w:rPr>
        <w:footnoteReference w:id="3"/>
      </w:r>
      <w:r w:rsidR="00E86475">
        <w:rPr>
          <w:lang w:val="en-GB"/>
        </w:rPr>
        <w:t xml:space="preserve"> </w:t>
      </w:r>
      <w:r w:rsidR="00B421A6">
        <w:rPr>
          <w:lang w:val="en-GB"/>
        </w:rPr>
        <w:t xml:space="preserve">it </w:t>
      </w:r>
      <w:r w:rsidRPr="006477A9">
        <w:rPr>
          <w:lang w:val="en-GB"/>
        </w:rPr>
        <w:t>shows how the introduction of austerity policies, such as the increase in gas prices and the reduction in public sector workforce has an adverse impact on women</w:t>
      </w:r>
      <w:r w:rsidR="00B421A6">
        <w:rPr>
          <w:lang w:val="en-GB"/>
        </w:rPr>
        <w:t xml:space="preserve"> (A copy of the UPR submission is provided as an Annex</w:t>
      </w:r>
      <w:r w:rsidRPr="006477A9">
        <w:rPr>
          <w:lang w:val="en-GB"/>
        </w:rPr>
        <w:t>.</w:t>
      </w:r>
      <w:r w:rsidR="00B421A6">
        <w:rPr>
          <w:lang w:val="en-GB"/>
        </w:rPr>
        <w:t>)</w:t>
      </w:r>
      <w:r w:rsidRPr="006477A9">
        <w:rPr>
          <w:lang w:val="en-GB"/>
        </w:rPr>
        <w:t xml:space="preserve"> Furthermore, reductions in public spending on health, education, social assistance and safety nets including child benefits, have placed additional burdens on women’s unpaid care labour, especially in </w:t>
      </w:r>
      <w:r w:rsidRPr="006477A9">
        <w:rPr>
          <w:lang w:val="en-GB"/>
        </w:rPr>
        <w:lastRenderedPageBreak/>
        <w:t>rural areas, shrinking their space for engagement with the labour market. As recognised by the UN Independent Expert on Foreign Debt after his country visit to Ukraine, the “reduction in State services and subsidies directly affect women the most, whether because they assume the domestic (and unpaid) caring for children and older persons, among others, because they depend more on certain State services and social programmes, or because they are paid less or lose their jobs.”</w:t>
      </w:r>
      <w:r w:rsidRPr="006477A9">
        <w:rPr>
          <w:vertAlign w:val="superscript"/>
          <w:lang w:val="en-GB"/>
        </w:rPr>
        <w:footnoteReference w:id="4"/>
      </w:r>
      <w:r w:rsidRPr="006477A9">
        <w:rPr>
          <w:lang w:val="en-GB"/>
        </w:rPr>
        <w:t xml:space="preserve"> </w:t>
      </w:r>
    </w:p>
    <w:p w14:paraId="3CAEE844" w14:textId="77777777" w:rsidR="006477A9" w:rsidRPr="006477A9" w:rsidRDefault="006477A9" w:rsidP="006477A9">
      <w:pPr>
        <w:rPr>
          <w:lang w:val="en-GB"/>
        </w:rPr>
      </w:pPr>
    </w:p>
    <w:p w14:paraId="1467697B" w14:textId="428EF54A" w:rsidR="006477A9" w:rsidRPr="006477A9" w:rsidRDefault="006477A9" w:rsidP="006477A9">
      <w:pPr>
        <w:rPr>
          <w:lang w:val="en-GB"/>
        </w:rPr>
      </w:pPr>
      <w:r w:rsidRPr="006477A9">
        <w:rPr>
          <w:lang w:val="en-GB"/>
        </w:rPr>
        <w:t xml:space="preserve">On 24 January 2020, </w:t>
      </w:r>
      <w:r>
        <w:rPr>
          <w:lang w:val="en-GB"/>
        </w:rPr>
        <w:t xml:space="preserve">the organisations and experts making the present submission sent a joint report to the </w:t>
      </w:r>
      <w:r w:rsidRPr="006477A9">
        <w:rPr>
          <w:lang w:val="en-GB"/>
        </w:rPr>
        <w:t>UN Committee on Economic, Social and Cultural Rights (CESCR)</w:t>
      </w:r>
      <w:r>
        <w:rPr>
          <w:lang w:val="en-GB"/>
        </w:rPr>
        <w:t xml:space="preserve"> in relation to its upcoming review of Ukraine</w:t>
      </w:r>
      <w:r w:rsidR="00E86475">
        <w:rPr>
          <w:lang w:val="en-GB"/>
        </w:rPr>
        <w:t xml:space="preserve">. </w:t>
      </w:r>
      <w:r w:rsidRPr="006477A9">
        <w:rPr>
          <w:lang w:val="en-GB"/>
        </w:rPr>
        <w:t>The joint</w:t>
      </w:r>
      <w:r>
        <w:rPr>
          <w:lang w:val="en-GB"/>
        </w:rPr>
        <w:t xml:space="preserve"> report</w:t>
      </w:r>
      <w:r w:rsidRPr="006477A9">
        <w:rPr>
          <w:lang w:val="en-GB"/>
        </w:rPr>
        <w:t xml:space="preserve"> </w:t>
      </w:r>
      <w:r w:rsidR="00E86475">
        <w:rPr>
          <w:lang w:val="en-GB"/>
        </w:rPr>
        <w:t xml:space="preserve">provides information and recommendations relating to </w:t>
      </w:r>
      <w:r w:rsidRPr="006477A9">
        <w:rPr>
          <w:lang w:val="en-GB"/>
        </w:rPr>
        <w:t xml:space="preserve">relates to the impacts of armed conflict and of austerity measures on women’s economic and social rights; </w:t>
      </w:r>
      <w:r w:rsidR="00E86475">
        <w:rPr>
          <w:lang w:val="en-GB"/>
        </w:rPr>
        <w:t xml:space="preserve">the </w:t>
      </w:r>
      <w:r w:rsidRPr="006477A9">
        <w:rPr>
          <w:lang w:val="en-GB"/>
        </w:rPr>
        <w:t>gendered impacts of cuts in social services and benefits;</w:t>
      </w:r>
      <w:r w:rsidR="00E86475">
        <w:rPr>
          <w:lang w:val="en-GB"/>
        </w:rPr>
        <w:t xml:space="preserve"> the</w:t>
      </w:r>
      <w:r w:rsidRPr="006477A9">
        <w:rPr>
          <w:lang w:val="en-GB"/>
        </w:rPr>
        <w:t xml:space="preserve"> impacts of decentralisation on access to social services; concerns around the right to just and favourable conditions of work; discrimination against women with regard to the right to work; obstacles to IDPs</w:t>
      </w:r>
      <w:r w:rsidR="00CF58B1">
        <w:rPr>
          <w:lang w:val="en-GB"/>
        </w:rPr>
        <w:t>’</w:t>
      </w:r>
      <w:r w:rsidRPr="006477A9">
        <w:rPr>
          <w:lang w:val="en-GB"/>
        </w:rPr>
        <w:t xml:space="preserve"> access to work and housing; concerns relating to parental leave; access to mental health and psychosocial support in conflict-affected communities; gender-based violence and discrimination, including domestic violence. </w:t>
      </w:r>
      <w:r w:rsidR="00E86475">
        <w:rPr>
          <w:lang w:val="en-GB"/>
        </w:rPr>
        <w:t>The</w:t>
      </w:r>
      <w:r w:rsidR="00E86475" w:rsidRPr="006477A9">
        <w:rPr>
          <w:lang w:val="en-GB"/>
        </w:rPr>
        <w:t xml:space="preserve"> concerns highlighted in that</w:t>
      </w:r>
      <w:r w:rsidR="00E86475">
        <w:rPr>
          <w:lang w:val="en-GB"/>
        </w:rPr>
        <w:t xml:space="preserve"> joint</w:t>
      </w:r>
      <w:r w:rsidR="00E86475" w:rsidRPr="006477A9">
        <w:rPr>
          <w:lang w:val="en-GB"/>
        </w:rPr>
        <w:t xml:space="preserve"> </w:t>
      </w:r>
      <w:r w:rsidR="00E86475">
        <w:rPr>
          <w:lang w:val="en-GB"/>
        </w:rPr>
        <w:t xml:space="preserve">report </w:t>
      </w:r>
      <w:r w:rsidR="00E86475" w:rsidRPr="006477A9">
        <w:rPr>
          <w:lang w:val="en-GB"/>
        </w:rPr>
        <w:t>are very relevant to the CEDAW Committee’s preparation of the list of issues prior to reporting (LOIPR) for Ukraine</w:t>
      </w:r>
      <w:r w:rsidR="00E86475">
        <w:rPr>
          <w:lang w:val="en-GB"/>
        </w:rPr>
        <w:t xml:space="preserve">; </w:t>
      </w:r>
      <w:r w:rsidR="00E86475">
        <w:rPr>
          <w:lang w:val="en-GB"/>
        </w:rPr>
        <w:t xml:space="preserve">thus, we are </w:t>
      </w:r>
      <w:r w:rsidR="00E86475" w:rsidRPr="006477A9">
        <w:rPr>
          <w:lang w:val="en-GB"/>
        </w:rPr>
        <w:t xml:space="preserve">sharing </w:t>
      </w:r>
      <w:r w:rsidR="00E86475">
        <w:rPr>
          <w:lang w:val="en-GB"/>
        </w:rPr>
        <w:t>that report</w:t>
      </w:r>
      <w:r w:rsidR="00E86475" w:rsidRPr="006477A9">
        <w:rPr>
          <w:lang w:val="en-GB"/>
        </w:rPr>
        <w:t xml:space="preserve"> with the CEDAW Committee too</w:t>
      </w:r>
      <w:r w:rsidR="00E86475">
        <w:rPr>
          <w:lang w:val="en-GB"/>
        </w:rPr>
        <w:t xml:space="preserve"> and providing some suggested questions. </w:t>
      </w:r>
    </w:p>
    <w:p w14:paraId="3CA70CA6" w14:textId="2C22009F" w:rsidR="006477A9" w:rsidRPr="006477A9" w:rsidRDefault="006477A9" w:rsidP="006477A9">
      <w:pPr>
        <w:rPr>
          <w:lang w:val="en-GB"/>
        </w:rPr>
      </w:pPr>
    </w:p>
    <w:p w14:paraId="2F7E9DDE" w14:textId="7DA51447" w:rsidR="006477A9" w:rsidRPr="006477A9" w:rsidRDefault="009A4B0A" w:rsidP="006477A9">
      <w:pPr>
        <w:pStyle w:val="Heading1"/>
        <w:rPr>
          <w:lang w:val="en-GB"/>
        </w:rPr>
      </w:pPr>
      <w:bookmarkStart w:id="5" w:name="_Toc31646717"/>
      <w:r>
        <w:rPr>
          <w:lang w:val="en-GB"/>
        </w:rPr>
        <w:t>II.</w:t>
      </w:r>
      <w:r w:rsidR="00593F3E">
        <w:rPr>
          <w:lang w:val="en-GB"/>
        </w:rPr>
        <w:tab/>
      </w:r>
      <w:r w:rsidR="006477A9" w:rsidRPr="006477A9">
        <w:rPr>
          <w:lang w:val="en-GB"/>
        </w:rPr>
        <w:t>Suggested questions</w:t>
      </w:r>
      <w:bookmarkEnd w:id="5"/>
    </w:p>
    <w:p w14:paraId="6F9D0475" w14:textId="31A36A3B" w:rsidR="006477A9" w:rsidRDefault="006477A9" w:rsidP="006477A9">
      <w:pPr>
        <w:rPr>
          <w:lang w:val="en-GB"/>
        </w:rPr>
      </w:pPr>
      <w:bookmarkStart w:id="6" w:name="_heading=h.30j0zll" w:colFirst="0" w:colLast="0"/>
      <w:bookmarkEnd w:id="6"/>
      <w:r w:rsidRPr="006477A9">
        <w:rPr>
          <w:lang w:val="en-GB"/>
        </w:rPr>
        <w:t xml:space="preserve">Based on the concerns and recommendations presented in that joint </w:t>
      </w:r>
      <w:r w:rsidR="00E86475">
        <w:rPr>
          <w:lang w:val="en-GB"/>
        </w:rPr>
        <w:t>report</w:t>
      </w:r>
      <w:r w:rsidRPr="006477A9">
        <w:rPr>
          <w:lang w:val="en-GB"/>
        </w:rPr>
        <w:t>, our organisations suggest that the CEDAW Committee ask the government questions relating to:</w:t>
      </w:r>
    </w:p>
    <w:p w14:paraId="652F3153" w14:textId="77777777" w:rsidR="004A2AAE" w:rsidRPr="006477A9" w:rsidRDefault="004A2AAE" w:rsidP="006477A9">
      <w:pPr>
        <w:rPr>
          <w:lang w:val="en-GB"/>
        </w:rPr>
      </w:pPr>
    </w:p>
    <w:p w14:paraId="75C0F9A2" w14:textId="76D57126" w:rsidR="006477A9" w:rsidRPr="001859B2" w:rsidRDefault="004A2AAE" w:rsidP="001859B2">
      <w:pPr>
        <w:pStyle w:val="Heading2"/>
      </w:pPr>
      <w:bookmarkStart w:id="7" w:name="_Toc31646718"/>
      <w:r w:rsidRPr="001859B2">
        <w:t>Gendered impacts of impacts of armed conflict and of austerity measures</w:t>
      </w:r>
      <w:bookmarkEnd w:id="7"/>
      <w:r w:rsidRPr="001859B2">
        <w:t xml:space="preserve"> </w:t>
      </w:r>
    </w:p>
    <w:p w14:paraId="0735A2E2" w14:textId="557B6AD9" w:rsidR="006477A9" w:rsidRPr="006477A9" w:rsidRDefault="006477A9" w:rsidP="006477A9">
      <w:pPr>
        <w:numPr>
          <w:ilvl w:val="0"/>
          <w:numId w:val="27"/>
        </w:numPr>
        <w:rPr>
          <w:lang w:val="en-GB"/>
        </w:rPr>
      </w:pPr>
      <w:r w:rsidRPr="006477A9">
        <w:rPr>
          <w:lang w:val="en-GB"/>
        </w:rPr>
        <w:t xml:space="preserve">The need for </w:t>
      </w:r>
      <w:r w:rsidRPr="006477A9">
        <w:rPr>
          <w:b/>
          <w:lang w:val="en-GB"/>
        </w:rPr>
        <w:t>human rights and gender impact assessments of austerity measures,</w:t>
      </w:r>
      <w:r w:rsidRPr="006477A9">
        <w:rPr>
          <w:lang w:val="en-GB"/>
        </w:rPr>
        <w:t xml:space="preserve"> including of the decentralisation process, focusing on the impacts on access to social services (including on healthcare and childcare) and on the most marginalised groups including women and </w:t>
      </w:r>
      <w:r w:rsidRPr="006477A9">
        <w:rPr>
          <w:lang w:val="en-GB"/>
        </w:rPr>
        <w:lastRenderedPageBreak/>
        <w:t xml:space="preserve">communities affected by the conflict, such as IDPs. </w:t>
      </w:r>
      <w:r w:rsidR="00E86475">
        <w:rPr>
          <w:lang w:val="en-GB"/>
        </w:rPr>
        <w:t xml:space="preserve">Such assessments </w:t>
      </w:r>
      <w:r w:rsidRPr="006477A9">
        <w:rPr>
          <w:lang w:val="en-GB"/>
        </w:rPr>
        <w:t xml:space="preserve">should pay special attention to the impacts of cuts in social services on women’s unpaid care work (including in relation to the care of combatants and of the wounded </w:t>
      </w:r>
      <w:r w:rsidR="00E86475">
        <w:rPr>
          <w:lang w:val="en-GB"/>
        </w:rPr>
        <w:t>in</w:t>
      </w:r>
      <w:r w:rsidRPr="006477A9">
        <w:rPr>
          <w:lang w:val="en-GB"/>
        </w:rPr>
        <w:t xml:space="preserve"> communities affected by the conflict), on women’s poverty and access to decent work; as well as access to quality and affordable education, childcare and healthcare services.</w:t>
      </w:r>
    </w:p>
    <w:p w14:paraId="2E3EE755" w14:textId="77777777" w:rsidR="00C37606" w:rsidRDefault="006477A9" w:rsidP="00C37606">
      <w:pPr>
        <w:numPr>
          <w:ilvl w:val="0"/>
          <w:numId w:val="27"/>
        </w:numPr>
        <w:rPr>
          <w:lang w:val="en-GB"/>
        </w:rPr>
      </w:pPr>
      <w:r w:rsidRPr="006477A9">
        <w:rPr>
          <w:lang w:val="en-GB"/>
        </w:rPr>
        <w:t xml:space="preserve">Plans to introduce </w:t>
      </w:r>
      <w:r w:rsidRPr="006477A9">
        <w:rPr>
          <w:b/>
          <w:lang w:val="en-GB"/>
        </w:rPr>
        <w:t xml:space="preserve">minimum budget allocations to social services, with gender-responsive budgeting, </w:t>
      </w:r>
      <w:r w:rsidRPr="006477A9">
        <w:rPr>
          <w:lang w:val="en-GB"/>
        </w:rPr>
        <w:t xml:space="preserve">in order to ensure indiscriminate access to social infrastructure across Ukraine and to mitigate the effects of decentralization on access to social services. </w:t>
      </w:r>
    </w:p>
    <w:p w14:paraId="5446A3E3" w14:textId="77777777" w:rsidR="00C37606" w:rsidRDefault="00C37606" w:rsidP="00C37606">
      <w:pPr>
        <w:ind w:left="720"/>
        <w:rPr>
          <w:lang w:val="en-GB"/>
        </w:rPr>
      </w:pPr>
    </w:p>
    <w:p w14:paraId="30F2C245" w14:textId="3E3D6489" w:rsidR="00E91D46" w:rsidRPr="00C37606" w:rsidRDefault="006477A9" w:rsidP="00C37606">
      <w:pPr>
        <w:numPr>
          <w:ilvl w:val="0"/>
          <w:numId w:val="27"/>
        </w:numPr>
        <w:rPr>
          <w:lang w:val="en-GB"/>
        </w:rPr>
      </w:pPr>
      <w:r w:rsidRPr="00C37606">
        <w:rPr>
          <w:lang w:val="en-GB"/>
        </w:rPr>
        <w:t xml:space="preserve">Steps taken to: </w:t>
      </w:r>
    </w:p>
    <w:p w14:paraId="4ACE1C5A" w14:textId="7BEDC723" w:rsidR="006477A9" w:rsidRPr="006477A9" w:rsidRDefault="006477A9" w:rsidP="006477A9">
      <w:pPr>
        <w:numPr>
          <w:ilvl w:val="1"/>
          <w:numId w:val="23"/>
        </w:numPr>
        <w:rPr>
          <w:lang w:val="en-GB"/>
        </w:rPr>
      </w:pPr>
      <w:r w:rsidRPr="006477A9">
        <w:rPr>
          <w:b/>
          <w:lang w:val="en-GB"/>
        </w:rPr>
        <w:t>redress the negative impacts of austerity measures</w:t>
      </w:r>
      <w:r w:rsidRPr="006477A9">
        <w:rPr>
          <w:lang w:val="en-GB"/>
        </w:rPr>
        <w:t xml:space="preserve"> on the enjoyment of women’s rights including through the reallocation of public funding, with gender-sensitive budgeting methods, to reinforce access to social services.</w:t>
      </w:r>
    </w:p>
    <w:p w14:paraId="602273C6" w14:textId="633E6D4B" w:rsidR="006477A9" w:rsidRPr="006477A9" w:rsidRDefault="006477A9" w:rsidP="006477A9">
      <w:pPr>
        <w:numPr>
          <w:ilvl w:val="1"/>
          <w:numId w:val="23"/>
        </w:numPr>
        <w:rPr>
          <w:lang w:val="en-GB"/>
        </w:rPr>
      </w:pPr>
      <w:r w:rsidRPr="006477A9">
        <w:rPr>
          <w:lang w:val="en-GB"/>
        </w:rPr>
        <w:t xml:space="preserve">ensure that relevant social and labour policies recognise and value </w:t>
      </w:r>
      <w:r w:rsidRPr="006477A9">
        <w:rPr>
          <w:b/>
          <w:lang w:val="en-GB"/>
        </w:rPr>
        <w:t xml:space="preserve">unpaid care work </w:t>
      </w:r>
      <w:r w:rsidRPr="006477A9">
        <w:rPr>
          <w:lang w:val="en-GB"/>
        </w:rPr>
        <w:t>and address its impact on women’s access to work and promote the sharing of family responsibilities between men and women such as through awareness-raising campaigns to combat gender stereotypes and raise awareness of the legal requirement of gender equality and its benefits for the society.</w:t>
      </w:r>
    </w:p>
    <w:p w14:paraId="24C04CEC" w14:textId="2D0EB035" w:rsidR="006477A9" w:rsidRPr="005B31E6" w:rsidRDefault="006477A9" w:rsidP="005B31E6">
      <w:pPr>
        <w:numPr>
          <w:ilvl w:val="1"/>
          <w:numId w:val="23"/>
        </w:numPr>
        <w:rPr>
          <w:lang w:val="en-US"/>
        </w:rPr>
      </w:pPr>
      <w:r w:rsidRPr="006477A9">
        <w:rPr>
          <w:lang w:val="en-GB"/>
        </w:rPr>
        <w:t xml:space="preserve">ensure </w:t>
      </w:r>
      <w:r w:rsidRPr="006477A9">
        <w:rPr>
          <w:b/>
          <w:lang w:val="en-GB"/>
        </w:rPr>
        <w:t>access</w:t>
      </w:r>
      <w:r w:rsidRPr="006477A9">
        <w:rPr>
          <w:lang w:val="en-GB"/>
        </w:rPr>
        <w:t xml:space="preserve"> </w:t>
      </w:r>
      <w:r w:rsidRPr="006477A9">
        <w:rPr>
          <w:b/>
          <w:lang w:val="en-GB"/>
        </w:rPr>
        <w:t>to essential health services and medical aid</w:t>
      </w:r>
      <w:r w:rsidR="005B31E6">
        <w:rPr>
          <w:b/>
          <w:lang w:val="en-GB"/>
        </w:rPr>
        <w:t xml:space="preserve">, </w:t>
      </w:r>
      <w:r w:rsidR="005B31E6" w:rsidRPr="005B31E6">
        <w:rPr>
          <w:lang w:val="en-US"/>
        </w:rPr>
        <w:t>including sexual and reproductive health care,</w:t>
      </w:r>
      <w:r w:rsidRPr="006477A9">
        <w:rPr>
          <w:b/>
          <w:lang w:val="en-GB"/>
        </w:rPr>
        <w:t xml:space="preserve"> in all regions</w:t>
      </w:r>
      <w:r w:rsidRPr="006477A9">
        <w:rPr>
          <w:lang w:val="en-GB"/>
        </w:rPr>
        <w:t xml:space="preserve"> of the country, paying </w:t>
      </w:r>
      <w:r w:rsidRPr="0018621E">
        <w:rPr>
          <w:b/>
          <w:bCs/>
          <w:lang w:val="en-GB"/>
        </w:rPr>
        <w:t>special attention to rural areas</w:t>
      </w:r>
      <w:r w:rsidRPr="006477A9">
        <w:rPr>
          <w:lang w:val="en-GB"/>
        </w:rPr>
        <w:t xml:space="preserve"> and areas close to the conflict zones</w:t>
      </w:r>
      <w:r w:rsidR="005B31E6">
        <w:rPr>
          <w:lang w:val="en-GB"/>
        </w:rPr>
        <w:t xml:space="preserve">; </w:t>
      </w:r>
    </w:p>
    <w:p w14:paraId="0053B2FC" w14:textId="670A5057" w:rsidR="006477A9" w:rsidRPr="006477A9" w:rsidRDefault="006477A9" w:rsidP="006477A9">
      <w:pPr>
        <w:numPr>
          <w:ilvl w:val="1"/>
          <w:numId w:val="23"/>
        </w:numPr>
        <w:rPr>
          <w:lang w:val="en-GB"/>
        </w:rPr>
      </w:pPr>
      <w:r w:rsidRPr="006477A9">
        <w:rPr>
          <w:lang w:val="en-GB"/>
        </w:rPr>
        <w:t xml:space="preserve">ensure an adequate budget for the </w:t>
      </w:r>
      <w:r w:rsidRPr="006477A9">
        <w:rPr>
          <w:b/>
          <w:lang w:val="en-GB"/>
        </w:rPr>
        <w:t>educational sector,</w:t>
      </w:r>
      <w:r w:rsidRPr="006477A9">
        <w:rPr>
          <w:lang w:val="en-GB"/>
        </w:rPr>
        <w:t xml:space="preserve"> the strengthening of pre-school education institutions, the establishment a system of affordable after-school childcare services and the improvement of the availability, accessibility and quality of general education, </w:t>
      </w:r>
      <w:r w:rsidRPr="00EF5307">
        <w:rPr>
          <w:b/>
          <w:bCs/>
          <w:lang w:val="en-GB"/>
        </w:rPr>
        <w:t>especially in</w:t>
      </w:r>
      <w:r w:rsidRPr="006477A9">
        <w:rPr>
          <w:lang w:val="en-GB"/>
        </w:rPr>
        <w:t xml:space="preserve"> </w:t>
      </w:r>
      <w:r w:rsidRPr="0018621E">
        <w:rPr>
          <w:b/>
          <w:bCs/>
          <w:lang w:val="en-GB"/>
        </w:rPr>
        <w:t>rural areas.</w:t>
      </w:r>
    </w:p>
    <w:p w14:paraId="26061855" w14:textId="0838AE04" w:rsidR="006477A9" w:rsidRDefault="006477A9" w:rsidP="006477A9">
      <w:pPr>
        <w:numPr>
          <w:ilvl w:val="1"/>
          <w:numId w:val="23"/>
        </w:numPr>
        <w:rPr>
          <w:lang w:val="en-GB"/>
        </w:rPr>
      </w:pPr>
      <w:r w:rsidRPr="006477A9">
        <w:rPr>
          <w:lang w:val="en-GB"/>
        </w:rPr>
        <w:t xml:space="preserve">ensure that </w:t>
      </w:r>
      <w:r w:rsidRPr="006477A9">
        <w:rPr>
          <w:b/>
          <w:lang w:val="en-GB"/>
        </w:rPr>
        <w:t>social payments,</w:t>
      </w:r>
      <w:r w:rsidRPr="006477A9">
        <w:rPr>
          <w:lang w:val="en-GB"/>
        </w:rPr>
        <w:t xml:space="preserve"> including childcare payments, payments to single mothers, be in line with </w:t>
      </w:r>
      <w:r w:rsidRPr="006477A9">
        <w:rPr>
          <w:b/>
          <w:lang w:val="en-GB"/>
        </w:rPr>
        <w:t>consumer price index</w:t>
      </w:r>
      <w:r w:rsidRPr="006477A9">
        <w:rPr>
          <w:lang w:val="en-GB"/>
        </w:rPr>
        <w:t xml:space="preserve">. </w:t>
      </w:r>
    </w:p>
    <w:p w14:paraId="0178900C" w14:textId="77777777" w:rsidR="00CF58B1" w:rsidRDefault="00CF58B1" w:rsidP="00CF58B1">
      <w:pPr>
        <w:ind w:left="1440"/>
        <w:rPr>
          <w:lang w:val="en-GB"/>
        </w:rPr>
      </w:pPr>
    </w:p>
    <w:p w14:paraId="65B71EF5" w14:textId="7F4421FF" w:rsidR="004A2AAE" w:rsidRPr="004A2AAE" w:rsidRDefault="00CF58B1" w:rsidP="001859B2">
      <w:pPr>
        <w:pStyle w:val="Heading2"/>
      </w:pPr>
      <w:bookmarkStart w:id="8" w:name="_Toc31646719"/>
      <w:r>
        <w:t>Access to e</w:t>
      </w:r>
      <w:r w:rsidR="004A2AAE">
        <w:t>mployment</w:t>
      </w:r>
      <w:r>
        <w:t>, labour rights, maternity protection</w:t>
      </w:r>
      <w:bookmarkEnd w:id="8"/>
      <w:r>
        <w:t xml:space="preserve"> </w:t>
      </w:r>
    </w:p>
    <w:p w14:paraId="52E043DB" w14:textId="5DF37439" w:rsidR="006477A9" w:rsidRPr="006477A9" w:rsidRDefault="006477A9" w:rsidP="006477A9">
      <w:pPr>
        <w:numPr>
          <w:ilvl w:val="1"/>
          <w:numId w:val="23"/>
        </w:numPr>
        <w:rPr>
          <w:lang w:val="en-GB"/>
        </w:rPr>
      </w:pPr>
      <w:r w:rsidRPr="006477A9">
        <w:rPr>
          <w:lang w:val="en-GB"/>
        </w:rPr>
        <w:t xml:space="preserve">combat </w:t>
      </w:r>
      <w:r w:rsidRPr="006477A9">
        <w:rPr>
          <w:b/>
          <w:lang w:val="en-GB"/>
        </w:rPr>
        <w:t>employment practices that undermine labour rights</w:t>
      </w:r>
      <w:r w:rsidRPr="006477A9">
        <w:rPr>
          <w:lang w:val="en-GB"/>
        </w:rPr>
        <w:t xml:space="preserve"> prescribed for women in the legislation. </w:t>
      </w:r>
    </w:p>
    <w:p w14:paraId="0097FBA9" w14:textId="0EA6E980" w:rsidR="006477A9" w:rsidRPr="006477A9" w:rsidRDefault="006477A9" w:rsidP="006477A9">
      <w:pPr>
        <w:numPr>
          <w:ilvl w:val="1"/>
          <w:numId w:val="23"/>
        </w:numPr>
        <w:rPr>
          <w:lang w:val="en-GB"/>
        </w:rPr>
      </w:pPr>
      <w:r w:rsidRPr="006477A9">
        <w:rPr>
          <w:lang w:val="en-GB"/>
        </w:rPr>
        <w:t xml:space="preserve">support comprehensively </w:t>
      </w:r>
      <w:r w:rsidRPr="006477A9">
        <w:rPr>
          <w:b/>
          <w:lang w:val="en-GB"/>
        </w:rPr>
        <w:t>women’s right to work and achieving a work-life balance</w:t>
      </w:r>
      <w:r w:rsidRPr="006477A9">
        <w:rPr>
          <w:lang w:val="en-GB"/>
        </w:rPr>
        <w:t xml:space="preserve"> </w:t>
      </w:r>
      <w:r w:rsidR="00C37606">
        <w:rPr>
          <w:lang w:val="en-GB"/>
        </w:rPr>
        <w:t xml:space="preserve">and work-family </w:t>
      </w:r>
      <w:r w:rsidRPr="006477A9">
        <w:rPr>
          <w:lang w:val="en-GB"/>
        </w:rPr>
        <w:t xml:space="preserve">for women and families and promote men taking </w:t>
      </w:r>
      <w:r w:rsidRPr="006477A9">
        <w:rPr>
          <w:b/>
          <w:lang w:val="en-GB"/>
        </w:rPr>
        <w:t>parental leave.</w:t>
      </w:r>
    </w:p>
    <w:p w14:paraId="619E205D" w14:textId="7D28E131" w:rsidR="006477A9" w:rsidRPr="006477A9" w:rsidRDefault="006477A9" w:rsidP="006477A9">
      <w:pPr>
        <w:numPr>
          <w:ilvl w:val="1"/>
          <w:numId w:val="23"/>
        </w:numPr>
        <w:rPr>
          <w:lang w:val="en-GB"/>
        </w:rPr>
      </w:pPr>
      <w:r w:rsidRPr="006477A9">
        <w:rPr>
          <w:lang w:val="en-GB"/>
        </w:rPr>
        <w:lastRenderedPageBreak/>
        <w:t xml:space="preserve">implement with adequate sanctions and through efficient labour inspections the legislation prohibiting the </w:t>
      </w:r>
      <w:r w:rsidRPr="006477A9">
        <w:rPr>
          <w:b/>
          <w:lang w:val="en-GB"/>
        </w:rPr>
        <w:t>discrimination of employees based on their family status.</w:t>
      </w:r>
    </w:p>
    <w:p w14:paraId="0A4C82CE" w14:textId="2C34164D" w:rsidR="006477A9" w:rsidRPr="006477A9" w:rsidRDefault="006477A9" w:rsidP="006477A9">
      <w:pPr>
        <w:numPr>
          <w:ilvl w:val="1"/>
          <w:numId w:val="23"/>
        </w:numPr>
        <w:rPr>
          <w:lang w:val="en-GB"/>
        </w:rPr>
      </w:pPr>
      <w:r w:rsidRPr="006477A9">
        <w:rPr>
          <w:lang w:val="en-GB"/>
        </w:rPr>
        <w:t xml:space="preserve">strengthen </w:t>
      </w:r>
      <w:r w:rsidRPr="006477A9">
        <w:rPr>
          <w:b/>
          <w:lang w:val="en-GB"/>
        </w:rPr>
        <w:t>labour inspections</w:t>
      </w:r>
      <w:r w:rsidRPr="006477A9">
        <w:rPr>
          <w:lang w:val="en-GB"/>
        </w:rPr>
        <w:t xml:space="preserve"> including with regard to the control of gender equality-related and anti-discrimination laws in the workplace.</w:t>
      </w:r>
    </w:p>
    <w:p w14:paraId="3442D0CF" w14:textId="045FC1D5" w:rsidR="006477A9" w:rsidRPr="006477A9" w:rsidRDefault="006477A9" w:rsidP="006477A9">
      <w:pPr>
        <w:numPr>
          <w:ilvl w:val="1"/>
          <w:numId w:val="23"/>
        </w:numPr>
        <w:rPr>
          <w:lang w:val="en-GB"/>
        </w:rPr>
      </w:pPr>
      <w:r w:rsidRPr="006477A9">
        <w:rPr>
          <w:lang w:val="en-GB"/>
        </w:rPr>
        <w:t xml:space="preserve">encourage </w:t>
      </w:r>
      <w:r w:rsidRPr="006477A9">
        <w:rPr>
          <w:b/>
          <w:lang w:val="en-GB"/>
        </w:rPr>
        <w:t>employers to implement programs for gender equality</w:t>
      </w:r>
      <w:r w:rsidRPr="006477A9">
        <w:rPr>
          <w:lang w:val="en-GB"/>
        </w:rPr>
        <w:t xml:space="preserve"> devoting special attention to women in vulnerable situations and </w:t>
      </w:r>
      <w:r w:rsidRPr="00054DFF">
        <w:rPr>
          <w:b/>
          <w:bCs/>
          <w:lang w:val="en-GB"/>
        </w:rPr>
        <w:t>to assess</w:t>
      </w:r>
      <w:r w:rsidRPr="006477A9">
        <w:rPr>
          <w:lang w:val="en-GB"/>
        </w:rPr>
        <w:t xml:space="preserve"> at all levels of the organisation the </w:t>
      </w:r>
      <w:r w:rsidRPr="00054DFF">
        <w:rPr>
          <w:b/>
          <w:bCs/>
          <w:lang w:val="en-GB"/>
        </w:rPr>
        <w:t>risks of violations to women’s rights deriving from their business activities</w:t>
      </w:r>
      <w:r w:rsidRPr="006477A9">
        <w:rPr>
          <w:lang w:val="en-GB"/>
        </w:rPr>
        <w:t>, including but not limited to, discrimination and gender-based violence.</w:t>
      </w:r>
    </w:p>
    <w:p w14:paraId="025162FB" w14:textId="775D83A1" w:rsidR="006477A9" w:rsidRDefault="006477A9" w:rsidP="006477A9">
      <w:pPr>
        <w:numPr>
          <w:ilvl w:val="1"/>
          <w:numId w:val="23"/>
        </w:numPr>
        <w:rPr>
          <w:lang w:val="en-GB"/>
        </w:rPr>
      </w:pPr>
      <w:r w:rsidRPr="006477A9">
        <w:rPr>
          <w:lang w:val="en-GB"/>
        </w:rPr>
        <w:t xml:space="preserve">ensure targeted investments and ear-marked financial </w:t>
      </w:r>
      <w:r w:rsidRPr="006477A9">
        <w:rPr>
          <w:b/>
          <w:lang w:val="en-GB"/>
        </w:rPr>
        <w:t>support for women’s participation in paid work</w:t>
      </w:r>
      <w:r w:rsidR="0018621E">
        <w:rPr>
          <w:lang w:val="en-GB"/>
        </w:rPr>
        <w:t>.</w:t>
      </w:r>
    </w:p>
    <w:p w14:paraId="598FA854" w14:textId="10D81248" w:rsidR="00C37606" w:rsidRPr="00C37606" w:rsidRDefault="00C37606" w:rsidP="00C37606">
      <w:pPr>
        <w:numPr>
          <w:ilvl w:val="1"/>
          <w:numId w:val="23"/>
        </w:numPr>
        <w:rPr>
          <w:lang w:val="en-GB"/>
        </w:rPr>
      </w:pPr>
      <w:r w:rsidRPr="006477A9">
        <w:rPr>
          <w:lang w:val="en-GB"/>
        </w:rPr>
        <w:t xml:space="preserve">ratify </w:t>
      </w:r>
      <w:r w:rsidRPr="00054DFF">
        <w:rPr>
          <w:bCs/>
          <w:lang w:val="en-GB"/>
        </w:rPr>
        <w:t>ILO Convention 183 on Maternity Protection Convention</w:t>
      </w:r>
      <w:r w:rsidRPr="006477A9">
        <w:rPr>
          <w:lang w:val="en-GB"/>
        </w:rPr>
        <w:t xml:space="preserve"> (2000) and further </w:t>
      </w:r>
      <w:r w:rsidRPr="00054DFF">
        <w:rPr>
          <w:b/>
          <w:bCs/>
          <w:lang w:val="en-GB"/>
        </w:rPr>
        <w:t>enhance the degree of maternity protection,</w:t>
      </w:r>
      <w:r w:rsidRPr="006477A9">
        <w:rPr>
          <w:lang w:val="en-GB"/>
        </w:rPr>
        <w:t xml:space="preserve"> extending protection to pregnant and nursing women from any employment-related discrimination that may occur, for instance, at recruitment or unjustifiable lay-off. </w:t>
      </w:r>
    </w:p>
    <w:p w14:paraId="258ABF38" w14:textId="77777777" w:rsidR="001859B2" w:rsidRPr="001859B2" w:rsidRDefault="001859B2" w:rsidP="001859B2">
      <w:pPr>
        <w:pStyle w:val="Normal1"/>
        <w:rPr>
          <w:lang w:val="en-GB"/>
        </w:rPr>
      </w:pPr>
    </w:p>
    <w:p w14:paraId="45138169" w14:textId="4983F877" w:rsidR="00C37606" w:rsidRPr="00C37606" w:rsidRDefault="00C37606" w:rsidP="001859B2">
      <w:pPr>
        <w:pStyle w:val="Heading2"/>
      </w:pPr>
      <w:bookmarkStart w:id="9" w:name="_Toc31646720"/>
      <w:r>
        <w:t>Access to employment by internally displaced persons (IDPs)</w:t>
      </w:r>
      <w:bookmarkEnd w:id="9"/>
    </w:p>
    <w:p w14:paraId="1AE6D224" w14:textId="77777777" w:rsidR="00C37606" w:rsidRPr="006477A9" w:rsidRDefault="00C37606" w:rsidP="00C37606">
      <w:pPr>
        <w:numPr>
          <w:ilvl w:val="1"/>
          <w:numId w:val="23"/>
        </w:numPr>
        <w:rPr>
          <w:lang w:val="en-GB"/>
        </w:rPr>
      </w:pPr>
      <w:r w:rsidRPr="006477A9">
        <w:rPr>
          <w:lang w:val="en-GB"/>
        </w:rPr>
        <w:t xml:space="preserve">ensure the availability of </w:t>
      </w:r>
      <w:r w:rsidRPr="006477A9">
        <w:rPr>
          <w:b/>
          <w:lang w:val="en-GB"/>
        </w:rPr>
        <w:t>high-quality, timely and reliable data on IDPs disaggregated</w:t>
      </w:r>
      <w:r w:rsidRPr="006477A9">
        <w:rPr>
          <w:lang w:val="en-GB"/>
        </w:rPr>
        <w:t xml:space="preserve"> by socioeconomic status, gender, age, disability, geographic location and other characteristics relevant to the national context, on </w:t>
      </w:r>
      <w:r w:rsidRPr="006477A9">
        <w:rPr>
          <w:b/>
          <w:lang w:val="en-GB"/>
        </w:rPr>
        <w:t xml:space="preserve">single-parent IDP families </w:t>
      </w:r>
      <w:r w:rsidRPr="006477A9">
        <w:rPr>
          <w:lang w:val="en-GB"/>
        </w:rPr>
        <w:t xml:space="preserve">disaggregated by data, and on whether </w:t>
      </w:r>
      <w:r w:rsidRPr="006477A9">
        <w:rPr>
          <w:b/>
          <w:lang w:val="en-GB"/>
        </w:rPr>
        <w:t>single-parent IDP families</w:t>
      </w:r>
      <w:r w:rsidRPr="006477A9">
        <w:rPr>
          <w:lang w:val="en-GB"/>
        </w:rPr>
        <w:t xml:space="preserve"> receive a state allowance and have received accommodation.</w:t>
      </w:r>
    </w:p>
    <w:p w14:paraId="074ED921" w14:textId="433429C6" w:rsidR="006477A9" w:rsidRPr="006477A9" w:rsidRDefault="006477A9" w:rsidP="006477A9">
      <w:pPr>
        <w:numPr>
          <w:ilvl w:val="1"/>
          <w:numId w:val="23"/>
        </w:numPr>
        <w:rPr>
          <w:lang w:val="en-GB"/>
        </w:rPr>
      </w:pPr>
      <w:r w:rsidRPr="006477A9">
        <w:rPr>
          <w:b/>
          <w:lang w:val="en-GB"/>
        </w:rPr>
        <w:t xml:space="preserve">support, </w:t>
      </w:r>
      <w:r w:rsidRPr="006477A9">
        <w:rPr>
          <w:lang w:val="en-GB"/>
        </w:rPr>
        <w:t>e.g. through tax incentives,</w:t>
      </w:r>
      <w:r w:rsidRPr="006477A9">
        <w:rPr>
          <w:b/>
          <w:lang w:val="en-GB"/>
        </w:rPr>
        <w:t xml:space="preserve"> IDPs who create and/or own businesses</w:t>
      </w:r>
      <w:r w:rsidRPr="006477A9">
        <w:rPr>
          <w:lang w:val="en-GB"/>
        </w:rPr>
        <w:t xml:space="preserve"> and support</w:t>
      </w:r>
      <w:r w:rsidRPr="006477A9">
        <w:rPr>
          <w:b/>
          <w:lang w:val="en-GB"/>
        </w:rPr>
        <w:t xml:space="preserve"> women IDPs involved in entrepreneurship</w:t>
      </w:r>
      <w:r w:rsidRPr="006477A9">
        <w:rPr>
          <w:lang w:val="en-GB"/>
        </w:rPr>
        <w:t xml:space="preserve"> including in access to credit.</w:t>
      </w:r>
    </w:p>
    <w:p w14:paraId="76EC8554" w14:textId="523A53D1" w:rsidR="006477A9" w:rsidRDefault="006477A9" w:rsidP="006477A9">
      <w:pPr>
        <w:numPr>
          <w:ilvl w:val="1"/>
          <w:numId w:val="23"/>
        </w:numPr>
        <w:rPr>
          <w:lang w:val="en-GB"/>
        </w:rPr>
      </w:pPr>
      <w:r w:rsidRPr="006477A9">
        <w:rPr>
          <w:b/>
          <w:lang w:val="en-GB"/>
        </w:rPr>
        <w:t>promote policies in the private sector that are supportive of IDPs</w:t>
      </w:r>
      <w:r w:rsidRPr="006477A9">
        <w:rPr>
          <w:lang w:val="en-GB"/>
        </w:rPr>
        <w:t xml:space="preserve">, </w:t>
      </w:r>
      <w:r w:rsidR="00054DFF">
        <w:rPr>
          <w:lang w:val="en-GB"/>
        </w:rPr>
        <w:t>e.g.</w:t>
      </w:r>
      <w:r w:rsidRPr="006477A9">
        <w:rPr>
          <w:lang w:val="en-GB"/>
        </w:rPr>
        <w:t xml:space="preserve"> interest-free or low-interest credit opportunities for IDP employees, possibility of partial rent compensation for them, and provide business incentives to hire IDPs.</w:t>
      </w:r>
    </w:p>
    <w:p w14:paraId="6E262F50" w14:textId="77777777" w:rsidR="00C37606" w:rsidRDefault="00C37606" w:rsidP="00C37606">
      <w:pPr>
        <w:ind w:left="1440"/>
        <w:rPr>
          <w:lang w:val="en-GB"/>
        </w:rPr>
      </w:pPr>
    </w:p>
    <w:p w14:paraId="6F5C3C35" w14:textId="7FC929D5" w:rsidR="00C37606" w:rsidRPr="00C37606" w:rsidRDefault="00C37606" w:rsidP="00C37606">
      <w:pPr>
        <w:rPr>
          <w:i/>
          <w:iCs/>
          <w:lang w:val="en-GB"/>
        </w:rPr>
      </w:pPr>
      <w:r>
        <w:rPr>
          <w:i/>
          <w:iCs/>
          <w:lang w:val="en-GB"/>
        </w:rPr>
        <w:t>Access to housing</w:t>
      </w:r>
      <w:r w:rsidR="00CF58B1">
        <w:rPr>
          <w:i/>
          <w:iCs/>
          <w:lang w:val="en-GB"/>
        </w:rPr>
        <w:t>,</w:t>
      </w:r>
      <w:r>
        <w:rPr>
          <w:i/>
          <w:iCs/>
          <w:lang w:val="en-GB"/>
        </w:rPr>
        <w:t xml:space="preserve"> including by </w:t>
      </w:r>
      <w:r w:rsidR="00CF58B1">
        <w:rPr>
          <w:i/>
          <w:iCs/>
          <w:lang w:val="en-GB"/>
        </w:rPr>
        <w:t xml:space="preserve">women </w:t>
      </w:r>
      <w:r>
        <w:rPr>
          <w:i/>
          <w:iCs/>
          <w:lang w:val="en-GB"/>
        </w:rPr>
        <w:t>IDPs</w:t>
      </w:r>
    </w:p>
    <w:p w14:paraId="4CBA0E7B" w14:textId="2D4B62AF" w:rsidR="00C37606" w:rsidRDefault="00C37606" w:rsidP="00C37606">
      <w:pPr>
        <w:numPr>
          <w:ilvl w:val="1"/>
          <w:numId w:val="23"/>
        </w:numPr>
        <w:rPr>
          <w:lang w:val="en-GB"/>
        </w:rPr>
      </w:pPr>
      <w:r w:rsidRPr="00E86475">
        <w:rPr>
          <w:lang w:val="en-GB"/>
        </w:rPr>
        <w:t xml:space="preserve">ensure that </w:t>
      </w:r>
      <w:r w:rsidRPr="00E86475">
        <w:rPr>
          <w:b/>
          <w:lang w:val="en-GB"/>
        </w:rPr>
        <w:t xml:space="preserve">pregnant women, mothers with young children, female heads of household, persons with disabilities and elderly persons, be entitled to assistance that </w:t>
      </w:r>
      <w:proofErr w:type="gramStart"/>
      <w:r w:rsidRPr="00E86475">
        <w:rPr>
          <w:b/>
          <w:lang w:val="en-GB"/>
        </w:rPr>
        <w:t>takes into account</w:t>
      </w:r>
      <w:proofErr w:type="gramEnd"/>
      <w:r w:rsidRPr="00E86475">
        <w:rPr>
          <w:b/>
          <w:lang w:val="en-GB"/>
        </w:rPr>
        <w:t xml:space="preserve"> their special needs in terms of housing,</w:t>
      </w:r>
      <w:r w:rsidRPr="00E86475">
        <w:rPr>
          <w:lang w:val="en-GB"/>
        </w:rPr>
        <w:t xml:space="preserve"> including through prioritising provision of accommodation to them or support in purchasing one.</w:t>
      </w:r>
    </w:p>
    <w:p w14:paraId="4015961D" w14:textId="24E3427E" w:rsidR="00CF58B1" w:rsidRPr="00CF58B1" w:rsidRDefault="00CF58B1" w:rsidP="00CF58B1">
      <w:pPr>
        <w:numPr>
          <w:ilvl w:val="1"/>
          <w:numId w:val="23"/>
        </w:numPr>
        <w:rPr>
          <w:lang w:val="en-GB"/>
        </w:rPr>
      </w:pPr>
      <w:r w:rsidRPr="006477A9">
        <w:rPr>
          <w:lang w:val="en-GB"/>
        </w:rPr>
        <w:t xml:space="preserve">ensure that </w:t>
      </w:r>
      <w:r w:rsidRPr="006477A9">
        <w:rPr>
          <w:b/>
          <w:lang w:val="en-GB"/>
        </w:rPr>
        <w:t>housing policies and programs take into account the specific challenges faced by women IDPs</w:t>
      </w:r>
      <w:r w:rsidRPr="006477A9">
        <w:rPr>
          <w:lang w:val="en-GB"/>
        </w:rPr>
        <w:t xml:space="preserve"> e.g. the fact they have on average lower income which creates additional challenges for them when it comes to buying a home; the </w:t>
      </w:r>
      <w:r w:rsidRPr="006477A9">
        <w:rPr>
          <w:b/>
          <w:lang w:val="en-GB"/>
        </w:rPr>
        <w:t xml:space="preserve">specific needs of </w:t>
      </w:r>
      <w:r w:rsidRPr="006477A9">
        <w:rPr>
          <w:b/>
          <w:lang w:val="en-GB"/>
        </w:rPr>
        <w:lastRenderedPageBreak/>
        <w:t xml:space="preserve">female-headed households </w:t>
      </w:r>
      <w:r w:rsidRPr="006477A9">
        <w:rPr>
          <w:lang w:val="en-GB"/>
        </w:rPr>
        <w:t>(due to various circumstances: a woman living alone; a woman raising one or more children alone; the husband is unemployed; the husband died/ stayed in the occupied territory/ is not involved in the children’s upbringing/ does not contribute to it financially)</w:t>
      </w:r>
      <w:r>
        <w:rPr>
          <w:lang w:val="en-GB"/>
        </w:rPr>
        <w:t xml:space="preserve">. </w:t>
      </w:r>
      <w:r w:rsidRPr="006477A9">
        <w:rPr>
          <w:lang w:val="en-GB"/>
        </w:rPr>
        <w:t xml:space="preserve"> </w:t>
      </w:r>
    </w:p>
    <w:p w14:paraId="18CA7095" w14:textId="77777777" w:rsidR="00C37606" w:rsidRDefault="00C37606" w:rsidP="00C37606">
      <w:pPr>
        <w:numPr>
          <w:ilvl w:val="1"/>
          <w:numId w:val="23"/>
        </w:numPr>
        <w:rPr>
          <w:lang w:val="en-GB"/>
        </w:rPr>
      </w:pPr>
      <w:r w:rsidRPr="00E86475">
        <w:rPr>
          <w:lang w:val="en-GB"/>
        </w:rPr>
        <w:t>develop regional (or at the level of Amalgamated Territorial Communities (ATC)</w:t>
      </w:r>
      <w:r w:rsidRPr="006477A9">
        <w:rPr>
          <w:vertAlign w:val="superscript"/>
          <w:lang w:val="en-GB"/>
        </w:rPr>
        <w:footnoteReference w:id="5"/>
      </w:r>
      <w:r w:rsidRPr="00E86475">
        <w:rPr>
          <w:lang w:val="en-GB"/>
        </w:rPr>
        <w:t xml:space="preserve">) </w:t>
      </w:r>
      <w:r w:rsidRPr="00E86475">
        <w:rPr>
          <w:b/>
          <w:lang w:val="en-GB"/>
        </w:rPr>
        <w:t>programs to provide accommodation for groups in particular vulnerable situations</w:t>
      </w:r>
      <w:r w:rsidRPr="00E86475">
        <w:rPr>
          <w:lang w:val="en-GB"/>
        </w:rPr>
        <w:t xml:space="preserve"> </w:t>
      </w:r>
      <w:r w:rsidRPr="00E86475">
        <w:rPr>
          <w:b/>
          <w:lang w:val="en-GB"/>
        </w:rPr>
        <w:t xml:space="preserve">and that </w:t>
      </w:r>
      <w:r w:rsidRPr="00E86475">
        <w:rPr>
          <w:lang w:val="en-GB"/>
        </w:rPr>
        <w:t>include analysis of needs for accommodation (considering various factors), analysis of the housing stock and resources available, including inventory of non-governmental initiatives and programs in place in the region, and analysis of professional resources among the population registered at local unemployment agencies.</w:t>
      </w:r>
    </w:p>
    <w:p w14:paraId="30F783CA" w14:textId="56BE34D1" w:rsidR="00E86475" w:rsidRDefault="006477A9" w:rsidP="00E86475">
      <w:pPr>
        <w:numPr>
          <w:ilvl w:val="1"/>
          <w:numId w:val="23"/>
        </w:numPr>
        <w:rPr>
          <w:lang w:val="en-GB"/>
        </w:rPr>
      </w:pPr>
      <w:r w:rsidRPr="00E86475">
        <w:rPr>
          <w:lang w:val="en-GB"/>
        </w:rPr>
        <w:t xml:space="preserve">establish procedures for state and authorities at the oblast, rayon, city and local levels to conduct an </w:t>
      </w:r>
      <w:r w:rsidRPr="00E86475">
        <w:rPr>
          <w:b/>
          <w:lang w:val="en-GB"/>
        </w:rPr>
        <w:t>inventory of the temporary and social housing stock</w:t>
      </w:r>
      <w:r w:rsidRPr="00E86475">
        <w:rPr>
          <w:lang w:val="en-GB"/>
        </w:rPr>
        <w:t xml:space="preserve">, as well as </w:t>
      </w:r>
      <w:r w:rsidR="00C37606">
        <w:rPr>
          <w:lang w:val="en-GB"/>
        </w:rPr>
        <w:t xml:space="preserve">of </w:t>
      </w:r>
      <w:r w:rsidRPr="00E86475">
        <w:rPr>
          <w:lang w:val="en-GB"/>
        </w:rPr>
        <w:t>any vacant premises that can be used</w:t>
      </w:r>
      <w:r w:rsidR="00C37606">
        <w:rPr>
          <w:lang w:val="en-GB"/>
        </w:rPr>
        <w:t xml:space="preserve"> </w:t>
      </w:r>
      <w:r w:rsidRPr="00E86475">
        <w:rPr>
          <w:lang w:val="en-GB"/>
        </w:rPr>
        <w:t xml:space="preserve">to provide temporary and social housing to IDPs </w:t>
      </w:r>
      <w:r w:rsidR="00C37606">
        <w:rPr>
          <w:lang w:val="en-GB"/>
        </w:rPr>
        <w:t xml:space="preserve">and of </w:t>
      </w:r>
      <w:r w:rsidR="00C37606" w:rsidRPr="00E86475">
        <w:rPr>
          <w:lang w:val="en-GB"/>
        </w:rPr>
        <w:t xml:space="preserve">premises that could be refurbished </w:t>
      </w:r>
      <w:r w:rsidR="00C37606">
        <w:rPr>
          <w:lang w:val="en-GB"/>
        </w:rPr>
        <w:t xml:space="preserve">for that purpose </w:t>
      </w:r>
      <w:r w:rsidRPr="00E86475">
        <w:rPr>
          <w:lang w:val="en-GB"/>
        </w:rPr>
        <w:t xml:space="preserve">and to ensure that </w:t>
      </w:r>
      <w:r w:rsidRPr="00E86475">
        <w:rPr>
          <w:b/>
          <w:lang w:val="en-GB"/>
        </w:rPr>
        <w:t xml:space="preserve">IDPs be regularly and timely informed </w:t>
      </w:r>
      <w:r w:rsidRPr="00E86475">
        <w:rPr>
          <w:lang w:val="en-GB"/>
        </w:rPr>
        <w:t>on current housing capacities</w:t>
      </w:r>
      <w:r w:rsidR="0018621E">
        <w:rPr>
          <w:lang w:val="en-GB"/>
        </w:rPr>
        <w:t>.</w:t>
      </w:r>
    </w:p>
    <w:p w14:paraId="16B523B5" w14:textId="77777777" w:rsidR="00E86475" w:rsidRDefault="006477A9" w:rsidP="00E86475">
      <w:pPr>
        <w:numPr>
          <w:ilvl w:val="1"/>
          <w:numId w:val="23"/>
        </w:numPr>
        <w:rPr>
          <w:lang w:val="en-GB"/>
        </w:rPr>
      </w:pPr>
      <w:r w:rsidRPr="00E86475">
        <w:rPr>
          <w:lang w:val="en-GB"/>
        </w:rPr>
        <w:t xml:space="preserve">raise awareness among real-estate and other companies that provide housing services and implement measures to monitor and </w:t>
      </w:r>
      <w:r w:rsidRPr="00E86475">
        <w:rPr>
          <w:b/>
          <w:lang w:val="en-GB"/>
        </w:rPr>
        <w:t>address discrimination by property owners, such as refusal to sign lease, based on the IDP status</w:t>
      </w:r>
      <w:r w:rsidRPr="00E86475">
        <w:rPr>
          <w:lang w:val="en-GB"/>
        </w:rPr>
        <w:t xml:space="preserve"> of the tenants, their </w:t>
      </w:r>
      <w:r w:rsidRPr="00E86475">
        <w:rPr>
          <w:b/>
          <w:lang w:val="en-GB"/>
        </w:rPr>
        <w:t>gender or the fact that they have small children.</w:t>
      </w:r>
    </w:p>
    <w:p w14:paraId="60C2790B" w14:textId="77777777" w:rsidR="00E86475" w:rsidRDefault="006477A9" w:rsidP="00E86475">
      <w:pPr>
        <w:numPr>
          <w:ilvl w:val="1"/>
          <w:numId w:val="23"/>
        </w:numPr>
        <w:rPr>
          <w:lang w:val="en-GB"/>
        </w:rPr>
      </w:pPr>
      <w:r w:rsidRPr="00E86475">
        <w:rPr>
          <w:lang w:val="en-GB"/>
        </w:rPr>
        <w:t xml:space="preserve">provide </w:t>
      </w:r>
      <w:r w:rsidRPr="00E86475">
        <w:rPr>
          <w:b/>
          <w:lang w:val="en-GB"/>
        </w:rPr>
        <w:t>incentives to property owners who lease accommodation to IDPs</w:t>
      </w:r>
      <w:r w:rsidRPr="00E86475">
        <w:rPr>
          <w:lang w:val="en-GB"/>
        </w:rPr>
        <w:t xml:space="preserve"> and stimulate construction and real estate companies to offer favourable lease or sale terms to IDPs, in particular to those in more vulnerable situation.</w:t>
      </w:r>
    </w:p>
    <w:p w14:paraId="6BCE81AE" w14:textId="5B78DB83" w:rsidR="00E86475" w:rsidRDefault="006477A9" w:rsidP="00E86475">
      <w:pPr>
        <w:numPr>
          <w:ilvl w:val="1"/>
          <w:numId w:val="23"/>
        </w:numPr>
        <w:rPr>
          <w:lang w:val="en-GB"/>
        </w:rPr>
      </w:pPr>
      <w:r w:rsidRPr="00E86475">
        <w:rPr>
          <w:lang w:val="en-GB"/>
        </w:rPr>
        <w:t xml:space="preserve">consider IDPs’ </w:t>
      </w:r>
      <w:r w:rsidRPr="00E86475">
        <w:rPr>
          <w:b/>
          <w:lang w:val="en-GB"/>
        </w:rPr>
        <w:t>needs when compiling the “community passport” (</w:t>
      </w:r>
      <w:proofErr w:type="spellStart"/>
      <w:r w:rsidRPr="00E86475">
        <w:rPr>
          <w:b/>
          <w:i/>
          <w:lang w:val="en-GB"/>
        </w:rPr>
        <w:t>паспорт</w:t>
      </w:r>
      <w:proofErr w:type="spellEnd"/>
      <w:r w:rsidRPr="00E86475">
        <w:rPr>
          <w:b/>
          <w:i/>
          <w:lang w:val="en-GB"/>
        </w:rPr>
        <w:t xml:space="preserve"> </w:t>
      </w:r>
      <w:proofErr w:type="spellStart"/>
      <w:r w:rsidRPr="00E86475">
        <w:rPr>
          <w:b/>
          <w:i/>
          <w:lang w:val="en-GB"/>
        </w:rPr>
        <w:t>громади</w:t>
      </w:r>
      <w:proofErr w:type="spellEnd"/>
      <w:r w:rsidRPr="00E86475">
        <w:rPr>
          <w:b/>
          <w:lang w:val="en-GB"/>
        </w:rPr>
        <w:t>)</w:t>
      </w:r>
      <w:r w:rsidRPr="006477A9">
        <w:rPr>
          <w:vertAlign w:val="superscript"/>
          <w:lang w:val="en-GB"/>
        </w:rPr>
        <w:footnoteReference w:id="6"/>
      </w:r>
      <w:r w:rsidRPr="00E86475">
        <w:rPr>
          <w:b/>
          <w:lang w:val="en-GB"/>
        </w:rPr>
        <w:t xml:space="preserve"> of an Amalgamated Territorial Community (ATC)</w:t>
      </w:r>
      <w:r w:rsidRPr="00E86475">
        <w:rPr>
          <w:lang w:val="en-GB"/>
        </w:rPr>
        <w:t xml:space="preserve"> and ensure certainty about IDPs as members of an ATC by adopting a decision at the city council/executive committee level and including corresponding provisions to the ATC Statute.</w:t>
      </w:r>
    </w:p>
    <w:p w14:paraId="4741675E" w14:textId="77777777" w:rsidR="00CF58B1" w:rsidRDefault="00CF58B1" w:rsidP="00CF58B1">
      <w:pPr>
        <w:rPr>
          <w:lang w:val="en-GB"/>
        </w:rPr>
      </w:pPr>
    </w:p>
    <w:p w14:paraId="33276CAC" w14:textId="21D0370D" w:rsidR="00CF58B1" w:rsidRPr="00C37606" w:rsidRDefault="00EF5307" w:rsidP="001859B2">
      <w:pPr>
        <w:pStyle w:val="Heading2"/>
      </w:pPr>
      <w:bookmarkStart w:id="10" w:name="_Toc31646721"/>
      <w:r>
        <w:lastRenderedPageBreak/>
        <w:t>Gender and conflict awareness training</w:t>
      </w:r>
      <w:bookmarkEnd w:id="10"/>
      <w:r>
        <w:t xml:space="preserve"> </w:t>
      </w:r>
    </w:p>
    <w:p w14:paraId="0A80CF11" w14:textId="77777777" w:rsidR="00CF58B1" w:rsidRPr="006477A9" w:rsidRDefault="00CF58B1" w:rsidP="00CF58B1">
      <w:pPr>
        <w:numPr>
          <w:ilvl w:val="1"/>
          <w:numId w:val="23"/>
        </w:numPr>
        <w:rPr>
          <w:lang w:val="en-GB"/>
        </w:rPr>
      </w:pPr>
      <w:bookmarkStart w:id="11" w:name="_heading=h.a6ttqjxpoaq5" w:colFirst="0" w:colLast="0"/>
      <w:bookmarkEnd w:id="11"/>
      <w:r w:rsidRPr="006477A9">
        <w:rPr>
          <w:lang w:val="en-GB"/>
        </w:rPr>
        <w:t xml:space="preserve">ensure that the </w:t>
      </w:r>
      <w:r w:rsidRPr="006477A9">
        <w:rPr>
          <w:b/>
          <w:lang w:val="en-GB"/>
        </w:rPr>
        <w:t xml:space="preserve">executive authorities (central and local) who handle matters concerning IDPs </w:t>
      </w:r>
      <w:r>
        <w:rPr>
          <w:lang w:val="en-GB"/>
        </w:rPr>
        <w:t>be</w:t>
      </w:r>
      <w:r w:rsidRPr="006477A9">
        <w:rPr>
          <w:lang w:val="en-GB"/>
        </w:rPr>
        <w:t xml:space="preserve"> fully staffed; increase the staff’s </w:t>
      </w:r>
      <w:r w:rsidRPr="006477A9">
        <w:rPr>
          <w:b/>
          <w:lang w:val="en-GB"/>
        </w:rPr>
        <w:t>awareness of women’s rights</w:t>
      </w:r>
      <w:r w:rsidRPr="006477A9">
        <w:rPr>
          <w:lang w:val="en-GB"/>
        </w:rPr>
        <w:t xml:space="preserve"> </w:t>
      </w:r>
      <w:r w:rsidRPr="00C37606">
        <w:rPr>
          <w:b/>
          <w:bCs/>
          <w:lang w:val="en-GB"/>
        </w:rPr>
        <w:t>during conflict and internal displacement,</w:t>
      </w:r>
      <w:r w:rsidRPr="006477A9">
        <w:rPr>
          <w:lang w:val="en-GB"/>
        </w:rPr>
        <w:t xml:space="preserve"> international and regional standards for the protection of the rights of IDPs, of those in more vulnerable situations in particular</w:t>
      </w:r>
      <w:r>
        <w:rPr>
          <w:lang w:val="en-GB"/>
        </w:rPr>
        <w:t>.</w:t>
      </w:r>
      <w:r w:rsidRPr="006477A9">
        <w:rPr>
          <w:lang w:val="en-GB"/>
        </w:rPr>
        <w:t xml:space="preserve"> </w:t>
      </w:r>
    </w:p>
    <w:p w14:paraId="0A9464B8" w14:textId="77777777" w:rsidR="00CF58B1" w:rsidRPr="006477A9" w:rsidRDefault="00CF58B1" w:rsidP="00CF58B1">
      <w:pPr>
        <w:numPr>
          <w:ilvl w:val="1"/>
          <w:numId w:val="23"/>
        </w:numPr>
        <w:rPr>
          <w:lang w:val="en-GB"/>
        </w:rPr>
      </w:pPr>
      <w:r w:rsidRPr="006477A9">
        <w:rPr>
          <w:lang w:val="en-GB"/>
        </w:rPr>
        <w:t xml:space="preserve">establish </w:t>
      </w:r>
      <w:r w:rsidRPr="006477A9">
        <w:rPr>
          <w:b/>
          <w:lang w:val="en-GB"/>
        </w:rPr>
        <w:t>educational courses on gender equality</w:t>
      </w:r>
      <w:r w:rsidRPr="006477A9">
        <w:rPr>
          <w:lang w:val="en-GB"/>
        </w:rPr>
        <w:t xml:space="preserve">, devoting special attention to the situation of conflict and internal displacement, </w:t>
      </w:r>
      <w:r w:rsidRPr="006477A9">
        <w:rPr>
          <w:b/>
          <w:lang w:val="en-GB"/>
        </w:rPr>
        <w:t>for professionals at employment agencies, banks, centres for free legal aid as well as for lawyers and judges;</w:t>
      </w:r>
    </w:p>
    <w:p w14:paraId="79E89A64" w14:textId="77777777" w:rsidR="00CF58B1" w:rsidRDefault="00CF58B1" w:rsidP="00CF58B1">
      <w:pPr>
        <w:numPr>
          <w:ilvl w:val="1"/>
          <w:numId w:val="23"/>
        </w:numPr>
        <w:rPr>
          <w:lang w:val="en-GB"/>
        </w:rPr>
      </w:pPr>
      <w:r>
        <w:rPr>
          <w:lang w:val="en-GB"/>
        </w:rPr>
        <w:t>promote</w:t>
      </w:r>
      <w:r w:rsidRPr="006477A9">
        <w:rPr>
          <w:lang w:val="en-GB"/>
        </w:rPr>
        <w:t xml:space="preserve"> </w:t>
      </w:r>
      <w:r w:rsidRPr="006477A9">
        <w:rPr>
          <w:b/>
          <w:lang w:val="en-GB"/>
        </w:rPr>
        <w:t>gender training programs at the universities</w:t>
      </w:r>
      <w:r w:rsidRPr="006477A9">
        <w:rPr>
          <w:lang w:val="en-GB"/>
        </w:rPr>
        <w:t xml:space="preserve"> that have educational programs in jurisprudence and international law. </w:t>
      </w:r>
    </w:p>
    <w:p w14:paraId="6EC064DB" w14:textId="77777777" w:rsidR="00CF58B1" w:rsidRDefault="00CF58B1" w:rsidP="001859B2">
      <w:pPr>
        <w:pStyle w:val="Heading2"/>
      </w:pPr>
    </w:p>
    <w:p w14:paraId="7D2D7F59" w14:textId="6E4265C1" w:rsidR="00CF58B1" w:rsidRPr="00CF58B1" w:rsidRDefault="00CF58B1" w:rsidP="001859B2">
      <w:pPr>
        <w:pStyle w:val="Heading2"/>
      </w:pPr>
      <w:bookmarkStart w:id="12" w:name="_Toc31646722"/>
      <w:r w:rsidRPr="00CF58B1">
        <w:t>A</w:t>
      </w:r>
      <w:r w:rsidRPr="00CF58B1">
        <w:t>ccess to mental health and psychosocial support in conflict-affected communities</w:t>
      </w:r>
      <w:bookmarkEnd w:id="12"/>
    </w:p>
    <w:p w14:paraId="79865406" w14:textId="77777777" w:rsidR="00E86475" w:rsidRDefault="006477A9" w:rsidP="00E86475">
      <w:pPr>
        <w:numPr>
          <w:ilvl w:val="1"/>
          <w:numId w:val="23"/>
        </w:numPr>
        <w:rPr>
          <w:lang w:val="en-GB"/>
        </w:rPr>
      </w:pPr>
      <w:r w:rsidRPr="00E86475">
        <w:rPr>
          <w:lang w:val="en-GB"/>
        </w:rPr>
        <w:t xml:space="preserve">monitor and evaluate the on-going mental health needs of IDPs and of the communities affected by the conflict; develop systematic State policies and programs on providing </w:t>
      </w:r>
      <w:r w:rsidRPr="00E86475">
        <w:rPr>
          <w:b/>
          <w:lang w:val="en-GB"/>
        </w:rPr>
        <w:t>mental health services and psychosocial aid to all those affected by the conflict,</w:t>
      </w:r>
      <w:r w:rsidRPr="00E86475">
        <w:rPr>
          <w:lang w:val="en-GB"/>
        </w:rPr>
        <w:t xml:space="preserve"> including IDPs and teachers, social workers and school psychologists living in areas close to the conflict zones and ensure accessibility and affordability of mental health care services and medicines for IDPs.</w:t>
      </w:r>
    </w:p>
    <w:p w14:paraId="7B04A7C1" w14:textId="77777777" w:rsidR="00E86475" w:rsidRDefault="00E86475" w:rsidP="00E86475">
      <w:pPr>
        <w:numPr>
          <w:ilvl w:val="1"/>
          <w:numId w:val="23"/>
        </w:numPr>
        <w:rPr>
          <w:lang w:val="en-GB"/>
        </w:rPr>
      </w:pPr>
      <w:r w:rsidRPr="00E86475">
        <w:rPr>
          <w:lang w:val="en-GB"/>
        </w:rPr>
        <w:t>r</w:t>
      </w:r>
      <w:r w:rsidR="006477A9" w:rsidRPr="00E86475">
        <w:rPr>
          <w:lang w:val="en-GB"/>
        </w:rPr>
        <w:t xml:space="preserve">aise awareness among the general public about the consequences of traumatic exposure and experiences with the aim of educating the public on mental health and to </w:t>
      </w:r>
      <w:r w:rsidR="006477A9" w:rsidRPr="00E86475">
        <w:rPr>
          <w:b/>
          <w:lang w:val="en-GB"/>
        </w:rPr>
        <w:t>fight stigma associated with mental health issues.</w:t>
      </w:r>
    </w:p>
    <w:p w14:paraId="57961F07" w14:textId="3A07BD89" w:rsidR="00E86475" w:rsidRDefault="00E86475" w:rsidP="00E86475">
      <w:pPr>
        <w:numPr>
          <w:ilvl w:val="1"/>
          <w:numId w:val="23"/>
        </w:numPr>
        <w:rPr>
          <w:lang w:val="en-GB"/>
        </w:rPr>
      </w:pPr>
      <w:r>
        <w:rPr>
          <w:lang w:val="en-GB"/>
        </w:rPr>
        <w:t>c</w:t>
      </w:r>
      <w:r w:rsidR="006477A9" w:rsidRPr="00E86475">
        <w:rPr>
          <w:lang w:val="en-GB"/>
        </w:rPr>
        <w:t xml:space="preserve">onduct </w:t>
      </w:r>
      <w:r w:rsidR="006477A9" w:rsidRPr="00E86475">
        <w:rPr>
          <w:b/>
          <w:lang w:val="en-GB"/>
        </w:rPr>
        <w:t xml:space="preserve">gender-based analysis of women and men former combatants’ needs of social protection, medical services and psychological </w:t>
      </w:r>
      <w:r w:rsidR="006477A9" w:rsidRPr="001859B2">
        <w:rPr>
          <w:b/>
          <w:lang w:val="en-GB"/>
        </w:rPr>
        <w:t xml:space="preserve">rehabilitation </w:t>
      </w:r>
      <w:r w:rsidR="006477A9" w:rsidRPr="00E86475">
        <w:rPr>
          <w:lang w:val="en-GB"/>
        </w:rPr>
        <w:t xml:space="preserve">and assess with gender-sensitivity the effectiveness of the Programme on the Physical, Medical and Psychological Rehabilitation and Social and Professional Adaptation of Anti-Terrorist Operation.  </w:t>
      </w:r>
    </w:p>
    <w:p w14:paraId="190C1AD7" w14:textId="5F5598FE" w:rsidR="006477A9" w:rsidRDefault="006477A9" w:rsidP="00E86475">
      <w:pPr>
        <w:numPr>
          <w:ilvl w:val="1"/>
          <w:numId w:val="23"/>
        </w:numPr>
        <w:rPr>
          <w:lang w:val="en-GB"/>
        </w:rPr>
      </w:pPr>
      <w:r w:rsidRPr="00E86475">
        <w:rPr>
          <w:lang w:val="en-GB"/>
        </w:rPr>
        <w:t xml:space="preserve">ensure adequate </w:t>
      </w:r>
      <w:r w:rsidRPr="00E86475">
        <w:rPr>
          <w:b/>
          <w:lang w:val="en-GB"/>
        </w:rPr>
        <w:t>gender-sensitive and trauma-sensitive training of mental health</w:t>
      </w:r>
      <w:r w:rsidRPr="00E86475">
        <w:rPr>
          <w:lang w:val="en-GB"/>
        </w:rPr>
        <w:t xml:space="preserve"> and social service </w:t>
      </w:r>
      <w:r w:rsidRPr="00E86475">
        <w:rPr>
          <w:b/>
          <w:lang w:val="en-GB"/>
        </w:rPr>
        <w:t>providers,</w:t>
      </w:r>
      <w:r w:rsidRPr="00E86475">
        <w:rPr>
          <w:lang w:val="en-GB"/>
        </w:rPr>
        <w:t xml:space="preserve"> including for former combatants, and ensure adequate controls by relevant authorities.</w:t>
      </w:r>
    </w:p>
    <w:p w14:paraId="543492AB" w14:textId="77777777" w:rsidR="0006279B" w:rsidRDefault="0006279B" w:rsidP="001859B2">
      <w:pPr>
        <w:pStyle w:val="Heading2"/>
      </w:pPr>
    </w:p>
    <w:p w14:paraId="0EFDD0F9" w14:textId="755D5E50" w:rsidR="0018621E" w:rsidRPr="0006279B" w:rsidRDefault="00E86475" w:rsidP="001859B2">
      <w:pPr>
        <w:pStyle w:val="Heading2"/>
      </w:pPr>
      <w:bookmarkStart w:id="13" w:name="_Toc31646723"/>
      <w:r w:rsidRPr="0006279B">
        <w:t>Gender-based violence</w:t>
      </w:r>
      <w:r w:rsidR="0006279B" w:rsidRPr="0006279B">
        <w:t>, including domestic violence</w:t>
      </w:r>
      <w:r w:rsidR="00EF5307">
        <w:t>.</w:t>
      </w:r>
      <w:bookmarkEnd w:id="13"/>
    </w:p>
    <w:p w14:paraId="550756AD" w14:textId="77777777" w:rsidR="0006279B" w:rsidRDefault="0006279B" w:rsidP="0006279B">
      <w:pPr>
        <w:numPr>
          <w:ilvl w:val="1"/>
          <w:numId w:val="23"/>
        </w:numPr>
        <w:rPr>
          <w:lang w:val="en-GB"/>
        </w:rPr>
      </w:pPr>
      <w:r w:rsidRPr="00E86475">
        <w:rPr>
          <w:lang w:val="en-GB"/>
        </w:rPr>
        <w:t xml:space="preserve">ensure </w:t>
      </w:r>
      <w:r w:rsidR="006477A9" w:rsidRPr="0006279B">
        <w:rPr>
          <w:lang w:val="en-GB"/>
        </w:rPr>
        <w:t>ratify the Istanbul Convention</w:t>
      </w:r>
      <w:r>
        <w:rPr>
          <w:lang w:val="en-GB"/>
        </w:rPr>
        <w:t>.</w:t>
      </w:r>
    </w:p>
    <w:p w14:paraId="119ABED7" w14:textId="69DD72E1" w:rsidR="0006279B" w:rsidRPr="00EF5307" w:rsidRDefault="00E86475" w:rsidP="0006279B">
      <w:pPr>
        <w:numPr>
          <w:ilvl w:val="1"/>
          <w:numId w:val="23"/>
        </w:numPr>
        <w:rPr>
          <w:lang w:val="en-GB"/>
        </w:rPr>
      </w:pPr>
      <w:r w:rsidRPr="0006279B">
        <w:rPr>
          <w:lang w:val="en-GB"/>
        </w:rPr>
        <w:t>p</w:t>
      </w:r>
      <w:r w:rsidR="006477A9" w:rsidRPr="0006279B">
        <w:rPr>
          <w:lang w:val="en-GB"/>
        </w:rPr>
        <w:t xml:space="preserve">rovide relevant and </w:t>
      </w:r>
      <w:r w:rsidR="006477A9" w:rsidRPr="0006279B">
        <w:rPr>
          <w:b/>
          <w:lang w:val="en-GB"/>
        </w:rPr>
        <w:t>gender-sensitive training for legal professionals, investigators, prosecutors and police officers</w:t>
      </w:r>
      <w:r w:rsidR="006477A9" w:rsidRPr="0006279B">
        <w:rPr>
          <w:lang w:val="en-GB"/>
        </w:rPr>
        <w:t xml:space="preserve"> in order to enhance their capacity to investigate, </w:t>
      </w:r>
      <w:r w:rsidR="006477A9" w:rsidRPr="0006279B">
        <w:rPr>
          <w:lang w:val="en-GB"/>
        </w:rPr>
        <w:lastRenderedPageBreak/>
        <w:t xml:space="preserve">document and prosecute gender-based violence, including domestic violence cases, and ensure that the Ministry of Internal Affairs and National Police institutionalize and </w:t>
      </w:r>
      <w:r w:rsidR="006477A9" w:rsidRPr="0006279B">
        <w:rPr>
          <w:b/>
          <w:lang w:val="en-GB"/>
        </w:rPr>
        <w:t>approve permanent staff of the Special Domestic Violence Police Divisions “POLINA.”</w:t>
      </w:r>
    </w:p>
    <w:p w14:paraId="0FA1C2AC" w14:textId="77777777" w:rsidR="00EF5307" w:rsidRPr="00EF5307" w:rsidRDefault="00EF5307" w:rsidP="00EF5307">
      <w:pPr>
        <w:numPr>
          <w:ilvl w:val="1"/>
          <w:numId w:val="23"/>
        </w:numPr>
        <w:rPr>
          <w:lang w:val="en-GB"/>
        </w:rPr>
      </w:pPr>
      <w:r w:rsidRPr="0006279B">
        <w:rPr>
          <w:lang w:val="en-GB"/>
        </w:rPr>
        <w:t xml:space="preserve">ensure that women and girls in conflict-affected areas have access to vital goods and services as well as to activities that bring income including via microcredit and opportunities for self-employment in order to </w:t>
      </w:r>
      <w:r w:rsidRPr="0006279B">
        <w:rPr>
          <w:b/>
          <w:lang w:val="en-GB"/>
        </w:rPr>
        <w:t>reduce the risk of being compelled to have “survival sex.”</w:t>
      </w:r>
    </w:p>
    <w:p w14:paraId="3C78A762" w14:textId="7420C280" w:rsidR="00EF5307" w:rsidRDefault="00EF5307" w:rsidP="00EF5307">
      <w:pPr>
        <w:numPr>
          <w:ilvl w:val="1"/>
          <w:numId w:val="23"/>
        </w:numPr>
        <w:rPr>
          <w:lang w:val="en-GB"/>
        </w:rPr>
      </w:pPr>
      <w:r>
        <w:rPr>
          <w:lang w:val="en-GB"/>
        </w:rPr>
        <w:t>e</w:t>
      </w:r>
      <w:r w:rsidRPr="0006279B">
        <w:rPr>
          <w:lang w:val="en-GB"/>
        </w:rPr>
        <w:t xml:space="preserve">nsure that the Ministry of Internal Affairs develop and approve the methodology to ensure </w:t>
      </w:r>
      <w:r w:rsidRPr="0006279B">
        <w:rPr>
          <w:b/>
          <w:lang w:val="en-GB"/>
        </w:rPr>
        <w:t>effective investigation of rape and sexual violence crimes,</w:t>
      </w:r>
      <w:r w:rsidRPr="0006279B">
        <w:rPr>
          <w:lang w:val="en-GB"/>
        </w:rPr>
        <w:t xml:space="preserve"> including in conflict-affected areas.</w:t>
      </w:r>
    </w:p>
    <w:p w14:paraId="27D2A22F" w14:textId="77777777" w:rsidR="00EF5307" w:rsidRPr="00EF5307" w:rsidRDefault="00EF5307" w:rsidP="00EF5307">
      <w:pPr>
        <w:ind w:left="1440"/>
        <w:rPr>
          <w:lang w:val="en-GB"/>
        </w:rPr>
      </w:pPr>
    </w:p>
    <w:p w14:paraId="60482F9F" w14:textId="7E1B279A" w:rsidR="00EF5307" w:rsidRPr="00EF5307" w:rsidRDefault="00054DFF" w:rsidP="00EF5307">
      <w:pPr>
        <w:pStyle w:val="Heading2"/>
      </w:pPr>
      <w:bookmarkStart w:id="14" w:name="_Toc31646724"/>
      <w:r>
        <w:t>Addressing</w:t>
      </w:r>
      <w:r w:rsidR="00EF5307">
        <w:t xml:space="preserve"> </w:t>
      </w:r>
      <w:r>
        <w:t>h</w:t>
      </w:r>
      <w:r w:rsidR="00EF5307">
        <w:t>ate crimes</w:t>
      </w:r>
      <w:bookmarkEnd w:id="14"/>
    </w:p>
    <w:p w14:paraId="73B607D6" w14:textId="117D0FAE" w:rsidR="0006279B" w:rsidRDefault="0006279B" w:rsidP="0006279B">
      <w:pPr>
        <w:numPr>
          <w:ilvl w:val="1"/>
          <w:numId w:val="23"/>
        </w:numPr>
        <w:rPr>
          <w:lang w:val="en-GB"/>
        </w:rPr>
      </w:pPr>
      <w:r>
        <w:rPr>
          <w:lang w:val="en-GB"/>
        </w:rPr>
        <w:t>o</w:t>
      </w:r>
      <w:r w:rsidR="006477A9" w:rsidRPr="0006279B">
        <w:rPr>
          <w:lang w:val="en-GB"/>
        </w:rPr>
        <w:t xml:space="preserve">rganize </w:t>
      </w:r>
      <w:r w:rsidR="006477A9" w:rsidRPr="0006279B">
        <w:rPr>
          <w:b/>
          <w:lang w:val="en-GB"/>
        </w:rPr>
        <w:t>training courses for police and prosecutors to effectively investigate and prosecute hate crimes, including on the basis of gender identity or sexual orientation</w:t>
      </w:r>
      <w:r w:rsidR="006477A9" w:rsidRPr="0006279B">
        <w:rPr>
          <w:lang w:val="en-GB"/>
        </w:rPr>
        <w:t xml:space="preserve"> and ensure that such crimes are not considered by law enforcement agencies as hooliganism, but as particularly grave crimes motivated by hatred and prejudice against certain social groups. </w:t>
      </w:r>
    </w:p>
    <w:p w14:paraId="239A0C2D" w14:textId="1139BD56" w:rsidR="00EF5307" w:rsidRDefault="0006279B" w:rsidP="00EF5307">
      <w:pPr>
        <w:numPr>
          <w:ilvl w:val="1"/>
          <w:numId w:val="23"/>
        </w:numPr>
        <w:rPr>
          <w:lang w:val="en-GB"/>
        </w:rPr>
      </w:pPr>
      <w:r>
        <w:rPr>
          <w:b/>
          <w:lang w:val="en-GB"/>
        </w:rPr>
        <w:t>p</w:t>
      </w:r>
      <w:r w:rsidR="006477A9" w:rsidRPr="0006279B">
        <w:rPr>
          <w:b/>
          <w:lang w:val="en-GB"/>
        </w:rPr>
        <w:t>rohibit funding to far right or any other organizations that promote hate speech, intolerance and violence</w:t>
      </w:r>
      <w:r w:rsidR="006477A9" w:rsidRPr="0006279B">
        <w:rPr>
          <w:lang w:val="en-GB"/>
        </w:rPr>
        <w:t xml:space="preserve"> against minorities, including on the basis of sexual orientation, gender identity, ethnic or religious grounds.</w:t>
      </w:r>
    </w:p>
    <w:p w14:paraId="6F21378C" w14:textId="77777777" w:rsidR="00EF5307" w:rsidRPr="00EF5307" w:rsidRDefault="00EF5307" w:rsidP="00EF5307">
      <w:pPr>
        <w:ind w:left="1440"/>
        <w:rPr>
          <w:lang w:val="en-GB"/>
        </w:rPr>
      </w:pPr>
    </w:p>
    <w:p w14:paraId="4135640A" w14:textId="3258CB6F" w:rsidR="00EF5307" w:rsidRDefault="00EF5307" w:rsidP="00EF5307">
      <w:pPr>
        <w:pStyle w:val="Heading2"/>
      </w:pPr>
      <w:bookmarkStart w:id="15" w:name="_Toc31646725"/>
      <w:r>
        <w:t>Human rights education</w:t>
      </w:r>
      <w:bookmarkEnd w:id="15"/>
    </w:p>
    <w:p w14:paraId="389184C9" w14:textId="0305DA61" w:rsidR="00EF5307" w:rsidRDefault="006477A9" w:rsidP="00EF5307">
      <w:pPr>
        <w:numPr>
          <w:ilvl w:val="1"/>
          <w:numId w:val="23"/>
        </w:numPr>
        <w:rPr>
          <w:lang w:val="en-GB"/>
        </w:rPr>
      </w:pPr>
      <w:r w:rsidRPr="0006279B">
        <w:rPr>
          <w:lang w:val="en-GB"/>
        </w:rPr>
        <w:t xml:space="preserve">implement the State Strategy for </w:t>
      </w:r>
      <w:r w:rsidRPr="0006279B">
        <w:rPr>
          <w:b/>
          <w:lang w:val="en-GB"/>
        </w:rPr>
        <w:t>Human Rights Education</w:t>
      </w:r>
      <w:r w:rsidRPr="0006279B">
        <w:rPr>
          <w:lang w:val="en-GB"/>
        </w:rPr>
        <w:t>, systematically providing interactive human rights education, and promoting non-discrimination and tolerance in schools and other educational institutions.</w:t>
      </w:r>
    </w:p>
    <w:p w14:paraId="69E71296" w14:textId="77777777" w:rsidR="00EF5307" w:rsidRDefault="00EF5307" w:rsidP="00EF5307">
      <w:pPr>
        <w:pStyle w:val="Heading2"/>
      </w:pPr>
    </w:p>
    <w:p w14:paraId="29E2F41B" w14:textId="1CEE84C5" w:rsidR="00EF5307" w:rsidRPr="00EF5307" w:rsidRDefault="00EF5307" w:rsidP="00EF5307">
      <w:pPr>
        <w:pStyle w:val="Heading2"/>
      </w:pPr>
      <w:bookmarkStart w:id="16" w:name="_Toc31646726"/>
      <w:r>
        <w:t xml:space="preserve">Women human rights defenders and </w:t>
      </w:r>
      <w:r w:rsidRPr="00EF5307">
        <w:t>LGTBIQ</w:t>
      </w:r>
      <w:r>
        <w:t xml:space="preserve"> defenders</w:t>
      </w:r>
      <w:bookmarkEnd w:id="16"/>
    </w:p>
    <w:p w14:paraId="18EEA141" w14:textId="2FD6F79B" w:rsidR="0006279B" w:rsidRPr="00EF5307" w:rsidRDefault="006477A9" w:rsidP="0006279B">
      <w:pPr>
        <w:numPr>
          <w:ilvl w:val="1"/>
          <w:numId w:val="23"/>
        </w:numPr>
        <w:rPr>
          <w:lang w:val="en-GB"/>
        </w:rPr>
      </w:pPr>
      <w:r w:rsidRPr="0006279B">
        <w:rPr>
          <w:b/>
          <w:lang w:val="en-GB"/>
        </w:rPr>
        <w:t>support local organizations</w:t>
      </w:r>
      <w:r w:rsidRPr="0006279B">
        <w:rPr>
          <w:lang w:val="en-GB"/>
        </w:rPr>
        <w:t xml:space="preserve"> that uphold human rights for all and </w:t>
      </w:r>
      <w:r w:rsidR="00EF5307" w:rsidRPr="00EF5307">
        <w:rPr>
          <w:b/>
          <w:bCs/>
          <w:lang w:val="en-GB"/>
        </w:rPr>
        <w:t xml:space="preserve">that </w:t>
      </w:r>
      <w:r w:rsidRPr="00EF5307">
        <w:rPr>
          <w:b/>
          <w:bCs/>
          <w:lang w:val="en-GB"/>
        </w:rPr>
        <w:t>support minorities and marginalized groups, including feminist groups and LGTBIQ groups.</w:t>
      </w:r>
    </w:p>
    <w:p w14:paraId="64E5C28F" w14:textId="54B03A98" w:rsidR="00EF5307" w:rsidRPr="00EF5307" w:rsidRDefault="00EF5307" w:rsidP="00EF5307">
      <w:pPr>
        <w:numPr>
          <w:ilvl w:val="1"/>
          <w:numId w:val="23"/>
        </w:numPr>
        <w:rPr>
          <w:lang w:val="en-GB"/>
        </w:rPr>
      </w:pPr>
      <w:r>
        <w:rPr>
          <w:b/>
          <w:lang w:val="en-GB"/>
        </w:rPr>
        <w:t>g</w:t>
      </w:r>
      <w:r w:rsidRPr="0006279B">
        <w:rPr>
          <w:b/>
          <w:lang w:val="en-GB"/>
        </w:rPr>
        <w:t>uarantee the protection of the right to peaceful assembly</w:t>
      </w:r>
      <w:r w:rsidRPr="0006279B">
        <w:rPr>
          <w:lang w:val="en-GB"/>
        </w:rPr>
        <w:t xml:space="preserve"> for all citizens, </w:t>
      </w:r>
      <w:r w:rsidRPr="0006279B">
        <w:rPr>
          <w:b/>
          <w:lang w:val="en-GB"/>
        </w:rPr>
        <w:t>without discrimination</w:t>
      </w:r>
      <w:r w:rsidRPr="0006279B">
        <w:rPr>
          <w:lang w:val="en-GB"/>
        </w:rPr>
        <w:t xml:space="preserve"> on the basis of gender, gender identity, sexual orientation, social origin or other differences.</w:t>
      </w:r>
    </w:p>
    <w:p w14:paraId="35B7A066" w14:textId="609136E7" w:rsidR="00E86475" w:rsidRDefault="00E86475" w:rsidP="00E86475">
      <w:pPr>
        <w:rPr>
          <w:lang w:val="en-GB"/>
        </w:rPr>
      </w:pPr>
    </w:p>
    <w:p w14:paraId="53F05C56" w14:textId="692ADAF4" w:rsidR="00E86475" w:rsidRDefault="009A4B0A" w:rsidP="00E86475">
      <w:pPr>
        <w:pStyle w:val="Heading1"/>
        <w:rPr>
          <w:lang w:val="en-GB"/>
        </w:rPr>
      </w:pPr>
      <w:bookmarkStart w:id="17" w:name="_Toc31646727"/>
      <w:r>
        <w:rPr>
          <w:lang w:val="en-GB"/>
        </w:rPr>
        <w:lastRenderedPageBreak/>
        <w:t>III.</w:t>
      </w:r>
      <w:r>
        <w:rPr>
          <w:lang w:val="en-GB"/>
        </w:rPr>
        <w:tab/>
      </w:r>
      <w:r w:rsidR="00E86475">
        <w:rPr>
          <w:lang w:val="en-GB"/>
        </w:rPr>
        <w:t>Annexes</w:t>
      </w:r>
      <w:bookmarkEnd w:id="17"/>
      <w:r w:rsidR="00E86475">
        <w:rPr>
          <w:lang w:val="en-GB"/>
        </w:rPr>
        <w:t xml:space="preserve"> </w:t>
      </w:r>
    </w:p>
    <w:p w14:paraId="05B169A4" w14:textId="7315DB5C" w:rsidR="00E86475" w:rsidRDefault="00E86475" w:rsidP="00CF58B1">
      <w:pPr>
        <w:rPr>
          <w:lang w:val="en-GB"/>
        </w:rPr>
      </w:pPr>
      <w:r>
        <w:rPr>
          <w:lang w:val="en-GB"/>
        </w:rPr>
        <w:t>The following reports are provided as annexes to this joint submission</w:t>
      </w:r>
      <w:r w:rsidR="00CF58B1">
        <w:rPr>
          <w:lang w:val="en-GB"/>
        </w:rPr>
        <w:t>:</w:t>
      </w:r>
    </w:p>
    <w:p w14:paraId="288D460B" w14:textId="77777777" w:rsidR="00CF58B1" w:rsidRDefault="00CF58B1" w:rsidP="00CF58B1">
      <w:pPr>
        <w:rPr>
          <w:lang w:val="en-GB"/>
        </w:rPr>
      </w:pPr>
    </w:p>
    <w:p w14:paraId="4C80A966" w14:textId="5665C3E6" w:rsidR="00E86475" w:rsidRDefault="00E86475" w:rsidP="00E86475">
      <w:pPr>
        <w:pStyle w:val="ListParagraph"/>
        <w:numPr>
          <w:ilvl w:val="0"/>
          <w:numId w:val="28"/>
        </w:numPr>
        <w:rPr>
          <w:lang w:val="en-GB"/>
        </w:rPr>
      </w:pPr>
      <w:r>
        <w:rPr>
          <w:lang w:val="en-GB"/>
        </w:rPr>
        <w:t>Joint submission to the UN Committee on Economic, Social and Cultural Rights, 67</w:t>
      </w:r>
      <w:r w:rsidRPr="00E86475">
        <w:rPr>
          <w:vertAlign w:val="superscript"/>
          <w:lang w:val="en-GB"/>
        </w:rPr>
        <w:t>th</w:t>
      </w:r>
      <w:r>
        <w:rPr>
          <w:lang w:val="en-GB"/>
        </w:rPr>
        <w:t xml:space="preserve"> session (24 January 2020)</w:t>
      </w:r>
    </w:p>
    <w:p w14:paraId="48815612" w14:textId="14C2833D" w:rsidR="00B870C2" w:rsidRPr="00B870C2" w:rsidRDefault="00E86475" w:rsidP="00B870C2">
      <w:pPr>
        <w:pStyle w:val="ListParagraph"/>
        <w:numPr>
          <w:ilvl w:val="0"/>
          <w:numId w:val="28"/>
        </w:numPr>
        <w:rPr>
          <w:lang w:val="en-GB"/>
        </w:rPr>
      </w:pPr>
      <w:r>
        <w:rPr>
          <w:lang w:val="en-GB"/>
        </w:rPr>
        <w:t>“</w:t>
      </w:r>
      <w:r w:rsidRPr="006477A9">
        <w:rPr>
          <w:lang w:val="en-GB"/>
        </w:rPr>
        <w:t>Obstacles to Women’s Meaningful Participation in Peace Efforts in Ukraine”</w:t>
      </w:r>
      <w:r>
        <w:rPr>
          <w:lang w:val="en-GB"/>
        </w:rPr>
        <w:t xml:space="preserve">, Joint submission </w:t>
      </w:r>
      <w:r w:rsidRPr="00E86475">
        <w:rPr>
          <w:lang w:val="en-GB"/>
        </w:rPr>
        <w:t>to the Universal Periodic Review (UPR)</w:t>
      </w:r>
      <w:r>
        <w:rPr>
          <w:lang w:val="en-GB"/>
        </w:rPr>
        <w:t xml:space="preserve"> </w:t>
      </w:r>
      <w:r w:rsidRPr="00E86475">
        <w:rPr>
          <w:lang w:val="en-GB"/>
        </w:rPr>
        <w:t>(March 2017)</w:t>
      </w:r>
    </w:p>
    <w:sectPr w:rsidR="00B870C2" w:rsidRPr="00B870C2" w:rsidSect="00A235B8">
      <w:footerReference w:type="even" r:id="rId8"/>
      <w:footerReference w:type="default" r:id="rId9"/>
      <w:pgSz w:w="12240" w:h="15840"/>
      <w:pgMar w:top="1440" w:right="1440" w:bottom="1440" w:left="1440" w:header="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3E5DB74" w14:textId="77777777" w:rsidR="003329BD" w:rsidRDefault="003329BD">
      <w:pPr>
        <w:spacing w:line="240" w:lineRule="auto"/>
      </w:pPr>
      <w:r>
        <w:separator/>
      </w:r>
    </w:p>
    <w:p w14:paraId="6420BD31" w14:textId="77777777" w:rsidR="003329BD" w:rsidRDefault="003329BD"/>
  </w:endnote>
  <w:endnote w:type="continuationSeparator" w:id="0">
    <w:p w14:paraId="3F181F11" w14:textId="77777777" w:rsidR="003329BD" w:rsidRDefault="003329BD">
      <w:pPr>
        <w:spacing w:line="240" w:lineRule="auto"/>
      </w:pPr>
      <w:r>
        <w:continuationSeparator/>
      </w:r>
    </w:p>
    <w:p w14:paraId="1B6CA532" w14:textId="77777777" w:rsidR="003329BD" w:rsidRDefault="003329B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Noto Sans Symbols">
    <w:altName w:val="Calibri"/>
    <w:panose1 w:val="020B0604020202020204"/>
    <w:charset w:val="00"/>
    <w:family w:val="auto"/>
    <w:pitch w:val="default"/>
  </w:font>
  <w:font w:name="Arial">
    <w:panose1 w:val="020B0604020202020204"/>
    <w:charset w:val="00"/>
    <w:family w:val="swiss"/>
    <w:pitch w:val="variable"/>
    <w:sig w:usb0="E0002AFF" w:usb1="C0007843" w:usb2="00000009" w:usb3="00000000" w:csb0="000001FF" w:csb1="00000000"/>
  </w:font>
  <w:font w:name="Franklin Gothic Book">
    <w:panose1 w:val="020B0503020102020204"/>
    <w:charset w:val="00"/>
    <w:family w:val="swiss"/>
    <w:pitch w:val="variable"/>
    <w:sig w:usb0="00000287" w:usb1="00000000" w:usb2="00000000" w:usb3="00000000" w:csb0="0000009F" w:csb1="00000000"/>
  </w:font>
  <w:font w:name="Franklin Gothic Demi">
    <w:altName w:val="Seravek Medium"/>
    <w:panose1 w:val="020B0703020102020204"/>
    <w:charset w:val="00"/>
    <w:family w:val="swiss"/>
    <w:pitch w:val="variable"/>
    <w:sig w:usb0="00000287" w:usb1="00000000" w:usb2="00000000" w:usb3="00000000" w:csb0="0000009F" w:csb1="00000000"/>
  </w:font>
  <w:font w:name="Lucida Grande">
    <w:panose1 w:val="020B0600040502020204"/>
    <w:charset w:val="00"/>
    <w:family w:val="swiss"/>
    <w:pitch w:val="variable"/>
    <w:sig w:usb0="E1000AEF" w:usb1="5000A1FF" w:usb2="00000000" w:usb3="00000000" w:csb0="000001BF" w:csb1="00000000"/>
  </w:font>
  <w:font w:name="Franklin Gothic Medium">
    <w:panose1 w:val="020B0603020102020204"/>
    <w:charset w:val="00"/>
    <w:family w:val="swiss"/>
    <w:pitch w:val="variable"/>
    <w:sig w:usb0="00000287" w:usb1="00000000" w:usb2="00000000" w:usb3="00000000" w:csb0="0000009F" w:csb1="00000000"/>
  </w:font>
  <w:font w:name="Cordia New">
    <w:panose1 w:val="020B0304020202020204"/>
    <w:charset w:val="DE"/>
    <w:family w:val="swiss"/>
    <w:pitch w:val="variable"/>
    <w:sig w:usb0="81000003" w:usb1="00000000" w:usb2="00000000" w:usb3="00000000" w:csb0="00010001"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Libre Franklin">
    <w:altName w:val="Calibri"/>
    <w:panose1 w:val="020B0604020202020204"/>
    <w:charset w:val="00"/>
    <w:family w:val="auto"/>
    <w:pitch w:val="default"/>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299454250"/>
      <w:docPartObj>
        <w:docPartGallery w:val="Page Numbers (Bottom of Page)"/>
        <w:docPartUnique/>
      </w:docPartObj>
    </w:sdtPr>
    <w:sdtEndPr>
      <w:rPr>
        <w:rStyle w:val="PageNumber"/>
      </w:rPr>
    </w:sdtEndPr>
    <w:sdtContent>
      <w:p w14:paraId="377B593E" w14:textId="4398901F" w:rsidR="00A235B8" w:rsidRDefault="00A235B8" w:rsidP="00A235B8">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5990A54" w14:textId="77777777" w:rsidR="00A235B8" w:rsidRDefault="00A235B8" w:rsidP="00A235B8">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782407021"/>
      <w:docPartObj>
        <w:docPartGallery w:val="Page Numbers (Bottom of Page)"/>
        <w:docPartUnique/>
      </w:docPartObj>
    </w:sdtPr>
    <w:sdtEndPr>
      <w:rPr>
        <w:rStyle w:val="PageNumber"/>
      </w:rPr>
    </w:sdtEndPr>
    <w:sdtContent>
      <w:p w14:paraId="0EF49A97" w14:textId="19EC10A1" w:rsidR="00A235B8" w:rsidRDefault="00A235B8" w:rsidP="00A235B8">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3F4804D1" w14:textId="62B58380" w:rsidR="0058641E" w:rsidRPr="00FE2A93" w:rsidRDefault="0058641E" w:rsidP="00A235B8">
    <w:pPr>
      <w:pStyle w:val="Normal1"/>
      <w:pBdr>
        <w:top w:val="nil"/>
        <w:left w:val="nil"/>
        <w:bottom w:val="nil"/>
        <w:right w:val="nil"/>
        <w:between w:val="nil"/>
      </w:pBdr>
      <w:ind w:right="360"/>
      <w:contextualSpacing w:val="0"/>
      <w:jc w:val="right"/>
      <w:rPr>
        <w:rFonts w:ascii="Franklin Gothic Book" w:hAnsi="Franklin Gothic Book"/>
        <w:color w:val="000000"/>
        <w:sz w:val="21"/>
        <w:szCs w:val="21"/>
      </w:rPr>
    </w:pPr>
  </w:p>
  <w:p w14:paraId="591626EA" w14:textId="77777777" w:rsidR="0058641E" w:rsidRDefault="0058641E"/>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AEA9CE4" w14:textId="77777777" w:rsidR="003329BD" w:rsidRDefault="003329BD">
      <w:pPr>
        <w:spacing w:line="240" w:lineRule="auto"/>
      </w:pPr>
      <w:r>
        <w:separator/>
      </w:r>
    </w:p>
    <w:p w14:paraId="1591DC81" w14:textId="77777777" w:rsidR="003329BD" w:rsidRDefault="003329BD"/>
  </w:footnote>
  <w:footnote w:type="continuationSeparator" w:id="0">
    <w:p w14:paraId="7A237C2C" w14:textId="77777777" w:rsidR="003329BD" w:rsidRDefault="003329BD">
      <w:pPr>
        <w:spacing w:line="240" w:lineRule="auto"/>
      </w:pPr>
      <w:r>
        <w:continuationSeparator/>
      </w:r>
    </w:p>
    <w:p w14:paraId="3E5F8D8F" w14:textId="77777777" w:rsidR="003329BD" w:rsidRDefault="003329BD"/>
  </w:footnote>
  <w:footnote w:id="1">
    <w:p w14:paraId="7B9F6FBB" w14:textId="77777777" w:rsidR="006477A9" w:rsidRPr="00593F3E" w:rsidRDefault="006477A9" w:rsidP="006477A9">
      <w:pPr>
        <w:pBdr>
          <w:top w:val="nil"/>
          <w:left w:val="nil"/>
          <w:bottom w:val="nil"/>
          <w:right w:val="nil"/>
          <w:between w:val="nil"/>
        </w:pBdr>
        <w:spacing w:line="240" w:lineRule="auto"/>
        <w:jc w:val="left"/>
        <w:rPr>
          <w:rFonts w:eastAsia="Libre Franklin" w:cs="Libre Franklin"/>
          <w:color w:val="595959"/>
          <w:sz w:val="20"/>
          <w:szCs w:val="20"/>
        </w:rPr>
      </w:pPr>
      <w:r w:rsidRPr="00593F3E">
        <w:rPr>
          <w:rStyle w:val="FootnoteReference"/>
          <w:sz w:val="20"/>
          <w:szCs w:val="20"/>
        </w:rPr>
        <w:footnoteRef/>
      </w:r>
      <w:r w:rsidRPr="00593F3E">
        <w:rPr>
          <w:rFonts w:eastAsia="Libre Franklin" w:cs="Libre Franklin"/>
          <w:color w:val="595959"/>
          <w:sz w:val="20"/>
          <w:szCs w:val="20"/>
        </w:rPr>
        <w:t xml:space="preserve"> https://www.kyivpost.com/lifestyle/city-life-paternity-leave-helps-families-and-fathers.html</w:t>
      </w:r>
    </w:p>
  </w:footnote>
  <w:footnote w:id="2">
    <w:p w14:paraId="2E8E4462" w14:textId="77777777" w:rsidR="006477A9" w:rsidRPr="00593F3E" w:rsidRDefault="006477A9" w:rsidP="006477A9">
      <w:pPr>
        <w:pBdr>
          <w:top w:val="nil"/>
          <w:left w:val="nil"/>
          <w:bottom w:val="nil"/>
          <w:right w:val="nil"/>
          <w:between w:val="nil"/>
        </w:pBdr>
        <w:spacing w:line="240" w:lineRule="auto"/>
        <w:jc w:val="left"/>
        <w:rPr>
          <w:rFonts w:eastAsia="Libre Franklin" w:cs="Libre Franklin"/>
          <w:color w:val="595959"/>
          <w:sz w:val="20"/>
          <w:szCs w:val="20"/>
        </w:rPr>
      </w:pPr>
      <w:r w:rsidRPr="00593F3E">
        <w:rPr>
          <w:rStyle w:val="FootnoteReference"/>
          <w:sz w:val="20"/>
          <w:szCs w:val="20"/>
        </w:rPr>
        <w:footnoteRef/>
      </w:r>
      <w:r w:rsidRPr="00593F3E">
        <w:rPr>
          <w:rFonts w:eastAsia="Libre Franklin" w:cs="Libre Franklin"/>
          <w:color w:val="595959"/>
          <w:sz w:val="20"/>
          <w:szCs w:val="20"/>
        </w:rPr>
        <w:t xml:space="preserve"> Available </w:t>
      </w:r>
      <w:proofErr w:type="gramStart"/>
      <w:r w:rsidRPr="00593F3E">
        <w:rPr>
          <w:rFonts w:eastAsia="Libre Franklin" w:cs="Libre Franklin"/>
          <w:color w:val="595959"/>
          <w:sz w:val="20"/>
          <w:szCs w:val="20"/>
        </w:rPr>
        <w:t>at :</w:t>
      </w:r>
      <w:proofErr w:type="gramEnd"/>
      <w:r w:rsidRPr="00593F3E">
        <w:rPr>
          <w:rFonts w:eastAsia="Libre Franklin" w:cs="Libre Franklin"/>
          <w:color w:val="595959"/>
          <w:sz w:val="20"/>
          <w:szCs w:val="20"/>
        </w:rPr>
        <w:t xml:space="preserve">  </w:t>
      </w:r>
      <w:hyperlink r:id="rId1">
        <w:r w:rsidRPr="00593F3E">
          <w:rPr>
            <w:rFonts w:eastAsia="Libre Franklin" w:cs="Libre Franklin"/>
            <w:color w:val="595959"/>
            <w:sz w:val="20"/>
            <w:szCs w:val="20"/>
          </w:rPr>
          <w:t>https://wilpf.org/wp-content/uploads/2017/04/UKRAINE.UPR_.JointSubmission-30-Mar-2017.pdf</w:t>
        </w:r>
      </w:hyperlink>
    </w:p>
  </w:footnote>
  <w:footnote w:id="3">
    <w:p w14:paraId="79D74C68" w14:textId="3790004D" w:rsidR="00344934" w:rsidRPr="00344934" w:rsidRDefault="00344934" w:rsidP="00344934">
      <w:pPr>
        <w:pStyle w:val="FootnoteText"/>
      </w:pPr>
      <w:r>
        <w:rPr>
          <w:rStyle w:val="FootnoteReference"/>
        </w:rPr>
        <w:footnoteRef/>
      </w:r>
      <w:r>
        <w:t xml:space="preserve"> </w:t>
      </w:r>
      <w:r w:rsidRPr="00344934">
        <w:rPr>
          <w:lang w:val="en-US"/>
        </w:rPr>
        <w:t>The Effects of Intervention by International Financial Institutions on Women’s Human Rights</w:t>
      </w:r>
      <w:r w:rsidR="00B421A6">
        <w:rPr>
          <w:lang w:val="en-US"/>
        </w:rPr>
        <w:t xml:space="preserve"> in Ukraine</w:t>
      </w:r>
      <w:r w:rsidRPr="00344934">
        <w:rPr>
          <w:lang w:val="en-US"/>
        </w:rPr>
        <w:t xml:space="preserve">. Joint shadow report to the </w:t>
      </w:r>
      <w:r w:rsidRPr="00344934">
        <w:t>CEDAW Committee, 66</w:t>
      </w:r>
      <w:r w:rsidRPr="00344934">
        <w:rPr>
          <w:vertAlign w:val="superscript"/>
        </w:rPr>
        <w:t>th</w:t>
      </w:r>
      <w:r w:rsidRPr="00344934">
        <w:t xml:space="preserve"> Session (January 2020)</w:t>
      </w:r>
      <w:r>
        <w:t xml:space="preserve">, available at: </w:t>
      </w:r>
    </w:p>
    <w:p w14:paraId="48DF460A" w14:textId="6062E485" w:rsidR="00344934" w:rsidRPr="00344934" w:rsidRDefault="00344934">
      <w:pPr>
        <w:pStyle w:val="FootnoteText"/>
      </w:pPr>
      <w:hyperlink r:id="rId2" w:history="1">
        <w:r w:rsidRPr="00D25D7F">
          <w:rPr>
            <w:rStyle w:val="Hyperlink"/>
          </w:rPr>
          <w:t>https://tbinternet.ohchr.org/_layouts/15/treatybodyexternal/Download.aspx?symbolno=INT%2fCEDAW%2fNGO%2fUKR%2f26388&amp;Lang=en</w:t>
        </w:r>
      </w:hyperlink>
      <w:r>
        <w:t xml:space="preserve"> </w:t>
      </w:r>
    </w:p>
  </w:footnote>
  <w:footnote w:id="4">
    <w:p w14:paraId="22E2295D" w14:textId="77777777" w:rsidR="006477A9" w:rsidRPr="00593F3E" w:rsidRDefault="006477A9" w:rsidP="006477A9">
      <w:pPr>
        <w:pBdr>
          <w:top w:val="nil"/>
          <w:left w:val="nil"/>
          <w:bottom w:val="nil"/>
          <w:right w:val="nil"/>
          <w:between w:val="nil"/>
        </w:pBdr>
        <w:spacing w:line="240" w:lineRule="auto"/>
        <w:jc w:val="left"/>
        <w:rPr>
          <w:rFonts w:eastAsia="Libre Franklin" w:cs="Libre Franklin"/>
          <w:color w:val="595959"/>
          <w:sz w:val="20"/>
          <w:szCs w:val="20"/>
        </w:rPr>
      </w:pPr>
      <w:r w:rsidRPr="00593F3E">
        <w:rPr>
          <w:rStyle w:val="FootnoteReference"/>
          <w:sz w:val="20"/>
          <w:szCs w:val="20"/>
        </w:rPr>
        <w:footnoteRef/>
      </w:r>
      <w:r w:rsidRPr="00593F3E">
        <w:rPr>
          <w:rFonts w:eastAsia="Libre Franklin" w:cs="Libre Franklin"/>
          <w:color w:val="595959"/>
          <w:sz w:val="20"/>
          <w:szCs w:val="20"/>
        </w:rPr>
        <w:t xml:space="preserve">  See section “Women, austerity and discrimination”, Report of the Independent Expert on the effects of foreign debt and other related international financial obligations of States on the full enjoyment of human rights, particularly economic, social and cultural rights. A/HRC/40/57/Add.1, December 2018.  The Expert also expressed deep concerns “about the situation of women and the overall inequality between men and women, which has increased in recent years.” He noted, inter alia, that “austerity measures implemented as part of the fiscal consolidation required by IMF have included specific measures that disproportionately impact on the human rights of women.”</w:t>
      </w:r>
    </w:p>
  </w:footnote>
  <w:footnote w:id="5">
    <w:p w14:paraId="294DCD30" w14:textId="77777777" w:rsidR="00C37606" w:rsidRPr="00593F3E" w:rsidRDefault="00C37606" w:rsidP="00C37606">
      <w:pPr>
        <w:pBdr>
          <w:top w:val="nil"/>
          <w:left w:val="nil"/>
          <w:bottom w:val="nil"/>
          <w:right w:val="nil"/>
          <w:between w:val="nil"/>
        </w:pBdr>
        <w:spacing w:line="240" w:lineRule="auto"/>
        <w:jc w:val="left"/>
        <w:rPr>
          <w:rFonts w:eastAsia="Libre Franklin" w:cs="Libre Franklin"/>
          <w:color w:val="595959"/>
          <w:sz w:val="20"/>
          <w:szCs w:val="20"/>
        </w:rPr>
      </w:pPr>
      <w:r w:rsidRPr="00593F3E">
        <w:rPr>
          <w:rStyle w:val="FootnoteReference"/>
          <w:sz w:val="20"/>
          <w:szCs w:val="20"/>
        </w:rPr>
        <w:footnoteRef/>
      </w:r>
      <w:r w:rsidRPr="00593F3E">
        <w:rPr>
          <w:rFonts w:eastAsia="Libre Franklin" w:cs="Libre Franklin"/>
          <w:color w:val="595959"/>
          <w:sz w:val="20"/>
          <w:szCs w:val="20"/>
        </w:rPr>
        <w:t xml:space="preserve"> The process of decentralization that started in 2014 involved, </w:t>
      </w:r>
      <w:r w:rsidRPr="00593F3E">
        <w:rPr>
          <w:rFonts w:eastAsia="Libre Franklin" w:cs="Libre Franklin"/>
          <w:i/>
          <w:iCs/>
          <w:color w:val="595959"/>
          <w:sz w:val="20"/>
          <w:szCs w:val="20"/>
        </w:rPr>
        <w:t>inter alia</w:t>
      </w:r>
      <w:r w:rsidRPr="00593F3E">
        <w:rPr>
          <w:rFonts w:eastAsia="Libre Franklin" w:cs="Libre Franklin"/>
          <w:color w:val="595959"/>
          <w:sz w:val="20"/>
          <w:szCs w:val="20"/>
        </w:rPr>
        <w:t>, a re-drawing of local administrative units (territorial-administrative reform) through the establishment of Amalgamated Territorial Communities (ATC) or ‘</w:t>
      </w:r>
      <w:proofErr w:type="spellStart"/>
      <w:r w:rsidRPr="00593F3E">
        <w:rPr>
          <w:rFonts w:eastAsia="Libre Franklin" w:cs="Libre Franklin"/>
          <w:i/>
          <w:iCs/>
          <w:color w:val="595959"/>
          <w:sz w:val="20"/>
          <w:szCs w:val="20"/>
        </w:rPr>
        <w:t>hromada</w:t>
      </w:r>
      <w:proofErr w:type="spellEnd"/>
      <w:r w:rsidRPr="00593F3E">
        <w:rPr>
          <w:rFonts w:eastAsia="Libre Franklin" w:cs="Libre Franklin"/>
          <w:i/>
          <w:iCs/>
          <w:color w:val="595959"/>
          <w:sz w:val="20"/>
          <w:szCs w:val="20"/>
        </w:rPr>
        <w:t>.</w:t>
      </w:r>
      <w:r w:rsidRPr="00593F3E">
        <w:rPr>
          <w:rFonts w:eastAsia="Libre Franklin" w:cs="Libre Franklin"/>
          <w:color w:val="595959"/>
          <w:sz w:val="20"/>
          <w:szCs w:val="20"/>
        </w:rPr>
        <w:t xml:space="preserve">’ </w:t>
      </w:r>
    </w:p>
  </w:footnote>
  <w:footnote w:id="6">
    <w:p w14:paraId="40D7C077" w14:textId="39B9CA17" w:rsidR="006477A9" w:rsidRPr="00593F3E" w:rsidRDefault="006477A9" w:rsidP="00593F3E">
      <w:pPr>
        <w:pBdr>
          <w:top w:val="nil"/>
          <w:left w:val="nil"/>
          <w:bottom w:val="nil"/>
          <w:right w:val="nil"/>
          <w:between w:val="nil"/>
        </w:pBdr>
        <w:spacing w:line="240" w:lineRule="auto"/>
        <w:jc w:val="left"/>
        <w:rPr>
          <w:rFonts w:eastAsia="Libre Franklin" w:cs="Libre Franklin"/>
          <w:color w:val="595959"/>
          <w:sz w:val="20"/>
          <w:szCs w:val="20"/>
        </w:rPr>
      </w:pPr>
      <w:r w:rsidRPr="00593F3E">
        <w:rPr>
          <w:rStyle w:val="FootnoteReference"/>
          <w:sz w:val="20"/>
          <w:szCs w:val="20"/>
        </w:rPr>
        <w:footnoteRef/>
      </w:r>
      <w:r w:rsidRPr="00593F3E">
        <w:rPr>
          <w:color w:val="595959"/>
          <w:sz w:val="20"/>
          <w:szCs w:val="20"/>
        </w:rPr>
        <w:t xml:space="preserve"> The </w:t>
      </w:r>
      <w:proofErr w:type="spellStart"/>
      <w:r w:rsidRPr="00593F3E">
        <w:rPr>
          <w:i/>
          <w:iCs/>
          <w:color w:val="595959"/>
          <w:sz w:val="20"/>
          <w:szCs w:val="20"/>
        </w:rPr>
        <w:t>паспорт</w:t>
      </w:r>
      <w:proofErr w:type="spellEnd"/>
      <w:r w:rsidRPr="00593F3E">
        <w:rPr>
          <w:i/>
          <w:iCs/>
          <w:color w:val="595959"/>
          <w:sz w:val="20"/>
          <w:szCs w:val="20"/>
        </w:rPr>
        <w:t xml:space="preserve"> </w:t>
      </w:r>
      <w:proofErr w:type="spellStart"/>
      <w:r w:rsidRPr="00593F3E">
        <w:rPr>
          <w:i/>
          <w:iCs/>
          <w:color w:val="595959"/>
          <w:sz w:val="20"/>
          <w:szCs w:val="20"/>
        </w:rPr>
        <w:t>громади</w:t>
      </w:r>
      <w:proofErr w:type="spellEnd"/>
      <w:r w:rsidRPr="00593F3E">
        <w:rPr>
          <w:color w:val="595959"/>
          <w:sz w:val="20"/>
          <w:szCs w:val="20"/>
        </w:rPr>
        <w:t xml:space="preserve"> (“community passport”) is an inventory of data such as the</w:t>
      </w:r>
      <w:r w:rsidR="00593F3E">
        <w:rPr>
          <w:rFonts w:eastAsia="Libre Franklin" w:cs="Libre Franklin"/>
          <w:color w:val="595959"/>
          <w:sz w:val="20"/>
          <w:szCs w:val="20"/>
        </w:rPr>
        <w:t xml:space="preserve"> </w:t>
      </w:r>
      <w:r w:rsidRPr="00593F3E">
        <w:rPr>
          <w:rFonts w:eastAsia="Libre Franklin" w:cs="Libre Franklin"/>
          <w:color w:val="595959"/>
          <w:sz w:val="20"/>
          <w:szCs w:val="20"/>
        </w:rPr>
        <w:t xml:space="preserve">administrative-territorial distribution, structure of the land, composition (e.g. number families with children) and employment situation of the population. See, for example, </w:t>
      </w:r>
      <w:hyperlink r:id="rId3">
        <w:r w:rsidRPr="00593F3E">
          <w:rPr>
            <w:rFonts w:eastAsia="Libre Franklin" w:cs="Libre Franklin"/>
            <w:color w:val="595959"/>
            <w:sz w:val="20"/>
            <w:szCs w:val="20"/>
          </w:rPr>
          <w:t>https://otg.cn.ua/2018/12/25/news-vlada/navishho-otg-pasporty-gromad/</w:t>
        </w:r>
      </w:hyperlink>
      <w:r w:rsidRPr="00593F3E">
        <w:rPr>
          <w:rFonts w:eastAsia="Libre Franklin" w:cs="Libre Franklin"/>
          <w:color w:val="595959"/>
          <w:sz w:val="20"/>
          <w:szCs w:val="20"/>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EB17D2"/>
    <w:multiLevelType w:val="multilevel"/>
    <w:tmpl w:val="A5122E5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DC438C6"/>
    <w:multiLevelType w:val="multilevel"/>
    <w:tmpl w:val="BFB89FFE"/>
    <w:lvl w:ilvl="0">
      <w:start w:val="1"/>
      <w:numFmt w:val="bullet"/>
      <w:lvlText w:val="●"/>
      <w:lvlJc w:val="left"/>
      <w:pPr>
        <w:ind w:left="720" w:hanging="360"/>
      </w:pPr>
      <w:rPr>
        <w:sz w:val="18"/>
        <w:szCs w:val="18"/>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13CC3FD8"/>
    <w:multiLevelType w:val="hybridMultilevel"/>
    <w:tmpl w:val="21C02EA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14B10AF9"/>
    <w:multiLevelType w:val="hybridMultilevel"/>
    <w:tmpl w:val="3F3A02B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15:restartNumberingAfterBreak="0">
    <w:nsid w:val="19254A0B"/>
    <w:multiLevelType w:val="hybridMultilevel"/>
    <w:tmpl w:val="911A09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17D5DBB"/>
    <w:multiLevelType w:val="multilevel"/>
    <w:tmpl w:val="2D6AC4C4"/>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6" w15:restartNumberingAfterBreak="0">
    <w:nsid w:val="295A231B"/>
    <w:multiLevelType w:val="hybridMultilevel"/>
    <w:tmpl w:val="014AEE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95D1FC8"/>
    <w:multiLevelType w:val="hybridMultilevel"/>
    <w:tmpl w:val="C52A6F5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15:restartNumberingAfterBreak="0">
    <w:nsid w:val="309B6F34"/>
    <w:multiLevelType w:val="multilevel"/>
    <w:tmpl w:val="F35A73A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9" w15:restartNumberingAfterBreak="0">
    <w:nsid w:val="36470B09"/>
    <w:multiLevelType w:val="hybridMultilevel"/>
    <w:tmpl w:val="0F80EE8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15:restartNumberingAfterBreak="0">
    <w:nsid w:val="38606EA9"/>
    <w:multiLevelType w:val="hybridMultilevel"/>
    <w:tmpl w:val="759E9480"/>
    <w:lvl w:ilvl="0" w:tplc="DD50ED34">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ACA210E"/>
    <w:multiLevelType w:val="hybridMultilevel"/>
    <w:tmpl w:val="870A0F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D6C222D"/>
    <w:multiLevelType w:val="multilevel"/>
    <w:tmpl w:val="C658B33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3" w15:restartNumberingAfterBreak="0">
    <w:nsid w:val="412F6A67"/>
    <w:multiLevelType w:val="multilevel"/>
    <w:tmpl w:val="9D52B8FA"/>
    <w:lvl w:ilvl="0">
      <w:start w:val="1"/>
      <w:numFmt w:val="bullet"/>
      <w:lvlText w:val="●"/>
      <w:lvlJc w:val="left"/>
      <w:pPr>
        <w:ind w:left="718" w:hanging="360"/>
      </w:pPr>
      <w:rPr>
        <w:rFonts w:ascii="Noto Sans Symbols" w:eastAsia="Noto Sans Symbols" w:hAnsi="Noto Sans Symbols" w:cs="Noto Sans Symbols"/>
      </w:rPr>
    </w:lvl>
    <w:lvl w:ilvl="1">
      <w:start w:val="1"/>
      <w:numFmt w:val="bullet"/>
      <w:lvlText w:val="o"/>
      <w:lvlJc w:val="left"/>
      <w:pPr>
        <w:ind w:left="1438" w:hanging="360"/>
      </w:pPr>
      <w:rPr>
        <w:rFonts w:ascii="Courier New" w:eastAsia="Courier New" w:hAnsi="Courier New" w:cs="Courier New"/>
      </w:rPr>
    </w:lvl>
    <w:lvl w:ilvl="2">
      <w:start w:val="1"/>
      <w:numFmt w:val="bullet"/>
      <w:lvlText w:val="▪"/>
      <w:lvlJc w:val="left"/>
      <w:pPr>
        <w:ind w:left="2158" w:hanging="360"/>
      </w:pPr>
      <w:rPr>
        <w:rFonts w:ascii="Noto Sans Symbols" w:eastAsia="Noto Sans Symbols" w:hAnsi="Noto Sans Symbols" w:cs="Noto Sans Symbols"/>
      </w:rPr>
    </w:lvl>
    <w:lvl w:ilvl="3">
      <w:start w:val="1"/>
      <w:numFmt w:val="bullet"/>
      <w:lvlText w:val="●"/>
      <w:lvlJc w:val="left"/>
      <w:pPr>
        <w:ind w:left="2878" w:hanging="360"/>
      </w:pPr>
      <w:rPr>
        <w:rFonts w:ascii="Noto Sans Symbols" w:eastAsia="Noto Sans Symbols" w:hAnsi="Noto Sans Symbols" w:cs="Noto Sans Symbols"/>
      </w:rPr>
    </w:lvl>
    <w:lvl w:ilvl="4">
      <w:start w:val="1"/>
      <w:numFmt w:val="bullet"/>
      <w:lvlText w:val="o"/>
      <w:lvlJc w:val="left"/>
      <w:pPr>
        <w:ind w:left="3598" w:hanging="360"/>
      </w:pPr>
      <w:rPr>
        <w:rFonts w:ascii="Courier New" w:eastAsia="Courier New" w:hAnsi="Courier New" w:cs="Courier New"/>
      </w:rPr>
    </w:lvl>
    <w:lvl w:ilvl="5">
      <w:start w:val="1"/>
      <w:numFmt w:val="bullet"/>
      <w:lvlText w:val="▪"/>
      <w:lvlJc w:val="left"/>
      <w:pPr>
        <w:ind w:left="4318" w:hanging="360"/>
      </w:pPr>
      <w:rPr>
        <w:rFonts w:ascii="Noto Sans Symbols" w:eastAsia="Noto Sans Symbols" w:hAnsi="Noto Sans Symbols" w:cs="Noto Sans Symbols"/>
      </w:rPr>
    </w:lvl>
    <w:lvl w:ilvl="6">
      <w:start w:val="1"/>
      <w:numFmt w:val="bullet"/>
      <w:lvlText w:val="●"/>
      <w:lvlJc w:val="left"/>
      <w:pPr>
        <w:ind w:left="5038" w:hanging="360"/>
      </w:pPr>
      <w:rPr>
        <w:rFonts w:ascii="Noto Sans Symbols" w:eastAsia="Noto Sans Symbols" w:hAnsi="Noto Sans Symbols" w:cs="Noto Sans Symbols"/>
      </w:rPr>
    </w:lvl>
    <w:lvl w:ilvl="7">
      <w:start w:val="1"/>
      <w:numFmt w:val="bullet"/>
      <w:lvlText w:val="o"/>
      <w:lvlJc w:val="left"/>
      <w:pPr>
        <w:ind w:left="5758" w:hanging="360"/>
      </w:pPr>
      <w:rPr>
        <w:rFonts w:ascii="Courier New" w:eastAsia="Courier New" w:hAnsi="Courier New" w:cs="Courier New"/>
      </w:rPr>
    </w:lvl>
    <w:lvl w:ilvl="8">
      <w:start w:val="1"/>
      <w:numFmt w:val="bullet"/>
      <w:lvlText w:val="▪"/>
      <w:lvlJc w:val="left"/>
      <w:pPr>
        <w:ind w:left="6478" w:hanging="360"/>
      </w:pPr>
      <w:rPr>
        <w:rFonts w:ascii="Noto Sans Symbols" w:eastAsia="Noto Sans Symbols" w:hAnsi="Noto Sans Symbols" w:cs="Noto Sans Symbols"/>
      </w:rPr>
    </w:lvl>
  </w:abstractNum>
  <w:abstractNum w:abstractNumId="14" w15:restartNumberingAfterBreak="0">
    <w:nsid w:val="43BF45C5"/>
    <w:multiLevelType w:val="hybridMultilevel"/>
    <w:tmpl w:val="906287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55C129B"/>
    <w:multiLevelType w:val="multilevel"/>
    <w:tmpl w:val="A5122E5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15:restartNumberingAfterBreak="0">
    <w:nsid w:val="4C5C19F5"/>
    <w:multiLevelType w:val="hybridMultilevel"/>
    <w:tmpl w:val="E848C5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F745F33"/>
    <w:multiLevelType w:val="multilevel"/>
    <w:tmpl w:val="EE688E0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8" w15:restartNumberingAfterBreak="0">
    <w:nsid w:val="52846A57"/>
    <w:multiLevelType w:val="hybridMultilevel"/>
    <w:tmpl w:val="B3C650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561369E6"/>
    <w:multiLevelType w:val="hybridMultilevel"/>
    <w:tmpl w:val="E12E48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8E62CC6"/>
    <w:multiLevelType w:val="hybridMultilevel"/>
    <w:tmpl w:val="87E26056"/>
    <w:lvl w:ilvl="0" w:tplc="0C240950">
      <w:start w:val="1"/>
      <w:numFmt w:val="upperRoman"/>
      <w:lvlText w:val="%1."/>
      <w:lvlJc w:val="left"/>
      <w:pPr>
        <w:ind w:left="1080" w:hanging="720"/>
      </w:pPr>
      <w:rPr>
        <w:rFonts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BBC1074"/>
    <w:multiLevelType w:val="hybridMultilevel"/>
    <w:tmpl w:val="037E4528"/>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650C465C"/>
    <w:multiLevelType w:val="hybridMultilevel"/>
    <w:tmpl w:val="089471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A237E2E"/>
    <w:multiLevelType w:val="multilevel"/>
    <w:tmpl w:val="A5122E5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 w15:restartNumberingAfterBreak="0">
    <w:nsid w:val="6D2F03F8"/>
    <w:multiLevelType w:val="hybridMultilevel"/>
    <w:tmpl w:val="CFC41532"/>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75A46FB9"/>
    <w:multiLevelType w:val="multilevel"/>
    <w:tmpl w:val="BC70A1D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6" w15:restartNumberingAfterBreak="0">
    <w:nsid w:val="777B0AA9"/>
    <w:multiLevelType w:val="multilevel"/>
    <w:tmpl w:val="539C0EB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7" w15:restartNumberingAfterBreak="0">
    <w:nsid w:val="7919057B"/>
    <w:multiLevelType w:val="multilevel"/>
    <w:tmpl w:val="A5122E5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 w15:restartNumberingAfterBreak="0">
    <w:nsid w:val="7D8C2845"/>
    <w:multiLevelType w:val="multilevel"/>
    <w:tmpl w:val="4860216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15"/>
  </w:num>
  <w:num w:numId="2">
    <w:abstractNumId w:val="0"/>
  </w:num>
  <w:num w:numId="3">
    <w:abstractNumId w:val="27"/>
  </w:num>
  <w:num w:numId="4">
    <w:abstractNumId w:val="23"/>
  </w:num>
  <w:num w:numId="5">
    <w:abstractNumId w:val="24"/>
  </w:num>
  <w:num w:numId="6">
    <w:abstractNumId w:val="10"/>
  </w:num>
  <w:num w:numId="7">
    <w:abstractNumId w:val="2"/>
  </w:num>
  <w:num w:numId="8">
    <w:abstractNumId w:val="3"/>
  </w:num>
  <w:num w:numId="9">
    <w:abstractNumId w:val="7"/>
  </w:num>
  <w:num w:numId="10">
    <w:abstractNumId w:val="20"/>
  </w:num>
  <w:num w:numId="11">
    <w:abstractNumId w:val="8"/>
  </w:num>
  <w:num w:numId="12">
    <w:abstractNumId w:val="12"/>
  </w:num>
  <w:num w:numId="13">
    <w:abstractNumId w:val="25"/>
  </w:num>
  <w:num w:numId="14">
    <w:abstractNumId w:val="22"/>
  </w:num>
  <w:num w:numId="15">
    <w:abstractNumId w:val="6"/>
  </w:num>
  <w:num w:numId="16">
    <w:abstractNumId w:val="11"/>
  </w:num>
  <w:num w:numId="17">
    <w:abstractNumId w:val="19"/>
  </w:num>
  <w:num w:numId="18">
    <w:abstractNumId w:val="14"/>
  </w:num>
  <w:num w:numId="19">
    <w:abstractNumId w:val="16"/>
  </w:num>
  <w:num w:numId="20">
    <w:abstractNumId w:val="4"/>
  </w:num>
  <w:num w:numId="21">
    <w:abstractNumId w:val="21"/>
  </w:num>
  <w:num w:numId="22">
    <w:abstractNumId w:val="5"/>
  </w:num>
  <w:num w:numId="23">
    <w:abstractNumId w:val="1"/>
  </w:num>
  <w:num w:numId="24">
    <w:abstractNumId w:val="17"/>
  </w:num>
  <w:num w:numId="25">
    <w:abstractNumId w:val="26"/>
  </w:num>
  <w:num w:numId="26">
    <w:abstractNumId w:val="13"/>
  </w:num>
  <w:num w:numId="27">
    <w:abstractNumId w:val="28"/>
  </w:num>
  <w:num w:numId="28">
    <w:abstractNumId w:val="18"/>
  </w:num>
  <w:num w:numId="2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4"/>
  <w:removePersonalInformation/>
  <w:removeDateAndTim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0E17"/>
    <w:rsid w:val="00010974"/>
    <w:rsid w:val="00030B2F"/>
    <w:rsid w:val="00040091"/>
    <w:rsid w:val="0004281B"/>
    <w:rsid w:val="00047B83"/>
    <w:rsid w:val="00054DFF"/>
    <w:rsid w:val="0006279B"/>
    <w:rsid w:val="00071D9B"/>
    <w:rsid w:val="0007753A"/>
    <w:rsid w:val="000976C7"/>
    <w:rsid w:val="00097AA7"/>
    <w:rsid w:val="000B24A7"/>
    <w:rsid w:val="000C1B99"/>
    <w:rsid w:val="000C5DBE"/>
    <w:rsid w:val="000D49D8"/>
    <w:rsid w:val="000E1C29"/>
    <w:rsid w:val="000E65D0"/>
    <w:rsid w:val="000F0C40"/>
    <w:rsid w:val="000F45FC"/>
    <w:rsid w:val="0011545B"/>
    <w:rsid w:val="00124C49"/>
    <w:rsid w:val="001254E1"/>
    <w:rsid w:val="0014147A"/>
    <w:rsid w:val="001428F0"/>
    <w:rsid w:val="001432E4"/>
    <w:rsid w:val="00153535"/>
    <w:rsid w:val="00163C1A"/>
    <w:rsid w:val="00166E03"/>
    <w:rsid w:val="00173161"/>
    <w:rsid w:val="001859B2"/>
    <w:rsid w:val="0018621E"/>
    <w:rsid w:val="001945B5"/>
    <w:rsid w:val="001A01EB"/>
    <w:rsid w:val="001A5456"/>
    <w:rsid w:val="001C5EBF"/>
    <w:rsid w:val="001E542A"/>
    <w:rsid w:val="001E6D73"/>
    <w:rsid w:val="001E6FE4"/>
    <w:rsid w:val="002242D7"/>
    <w:rsid w:val="0022478C"/>
    <w:rsid w:val="002314D8"/>
    <w:rsid w:val="0024381A"/>
    <w:rsid w:val="00256BD3"/>
    <w:rsid w:val="00260A03"/>
    <w:rsid w:val="002713F9"/>
    <w:rsid w:val="00281663"/>
    <w:rsid w:val="00285BB9"/>
    <w:rsid w:val="00285E2A"/>
    <w:rsid w:val="00286041"/>
    <w:rsid w:val="00287914"/>
    <w:rsid w:val="002923D8"/>
    <w:rsid w:val="00295099"/>
    <w:rsid w:val="002954A7"/>
    <w:rsid w:val="0029692F"/>
    <w:rsid w:val="002B3F82"/>
    <w:rsid w:val="002B719A"/>
    <w:rsid w:val="002B7553"/>
    <w:rsid w:val="002C5B18"/>
    <w:rsid w:val="002D2682"/>
    <w:rsid w:val="002F2C48"/>
    <w:rsid w:val="00304BB0"/>
    <w:rsid w:val="00322C3E"/>
    <w:rsid w:val="003257CD"/>
    <w:rsid w:val="00326389"/>
    <w:rsid w:val="003276AE"/>
    <w:rsid w:val="003329BD"/>
    <w:rsid w:val="00336086"/>
    <w:rsid w:val="0033613C"/>
    <w:rsid w:val="0034262D"/>
    <w:rsid w:val="00344934"/>
    <w:rsid w:val="00356D73"/>
    <w:rsid w:val="003700ED"/>
    <w:rsid w:val="00370675"/>
    <w:rsid w:val="00372F3F"/>
    <w:rsid w:val="00384DB0"/>
    <w:rsid w:val="00387F9A"/>
    <w:rsid w:val="003A4369"/>
    <w:rsid w:val="003A60F4"/>
    <w:rsid w:val="003B4998"/>
    <w:rsid w:val="003D2A64"/>
    <w:rsid w:val="003D6791"/>
    <w:rsid w:val="003E53B8"/>
    <w:rsid w:val="003E770E"/>
    <w:rsid w:val="00401590"/>
    <w:rsid w:val="00424EAC"/>
    <w:rsid w:val="00436928"/>
    <w:rsid w:val="004419C4"/>
    <w:rsid w:val="0044430E"/>
    <w:rsid w:val="00444B29"/>
    <w:rsid w:val="00446D37"/>
    <w:rsid w:val="00464C5E"/>
    <w:rsid w:val="00467BCD"/>
    <w:rsid w:val="00471983"/>
    <w:rsid w:val="00471F90"/>
    <w:rsid w:val="00472C4E"/>
    <w:rsid w:val="00477BEB"/>
    <w:rsid w:val="00477D32"/>
    <w:rsid w:val="00486724"/>
    <w:rsid w:val="0049376D"/>
    <w:rsid w:val="00496188"/>
    <w:rsid w:val="00497B7E"/>
    <w:rsid w:val="004A2AAE"/>
    <w:rsid w:val="004B44F0"/>
    <w:rsid w:val="004B4A11"/>
    <w:rsid w:val="004B73F2"/>
    <w:rsid w:val="004C2E1C"/>
    <w:rsid w:val="004D1904"/>
    <w:rsid w:val="004D239F"/>
    <w:rsid w:val="004E5199"/>
    <w:rsid w:val="004E6957"/>
    <w:rsid w:val="004F0BE7"/>
    <w:rsid w:val="004F4517"/>
    <w:rsid w:val="005022DD"/>
    <w:rsid w:val="005253BB"/>
    <w:rsid w:val="00526AC0"/>
    <w:rsid w:val="00550794"/>
    <w:rsid w:val="00560DE6"/>
    <w:rsid w:val="005625EF"/>
    <w:rsid w:val="0056659E"/>
    <w:rsid w:val="00571B4E"/>
    <w:rsid w:val="00583272"/>
    <w:rsid w:val="0058641E"/>
    <w:rsid w:val="00593579"/>
    <w:rsid w:val="00593F3E"/>
    <w:rsid w:val="00595961"/>
    <w:rsid w:val="005A08A3"/>
    <w:rsid w:val="005A5314"/>
    <w:rsid w:val="005A5780"/>
    <w:rsid w:val="005B1C8F"/>
    <w:rsid w:val="005B31E6"/>
    <w:rsid w:val="005B5B3B"/>
    <w:rsid w:val="005B69C5"/>
    <w:rsid w:val="005F5CC0"/>
    <w:rsid w:val="006058CA"/>
    <w:rsid w:val="006063F7"/>
    <w:rsid w:val="00617639"/>
    <w:rsid w:val="00642B57"/>
    <w:rsid w:val="006463C3"/>
    <w:rsid w:val="006477A9"/>
    <w:rsid w:val="00651CA1"/>
    <w:rsid w:val="006678E4"/>
    <w:rsid w:val="00686E2E"/>
    <w:rsid w:val="006874C5"/>
    <w:rsid w:val="006B199A"/>
    <w:rsid w:val="006B6318"/>
    <w:rsid w:val="006C3B04"/>
    <w:rsid w:val="006C40DF"/>
    <w:rsid w:val="006C6106"/>
    <w:rsid w:val="006E0843"/>
    <w:rsid w:val="006E299F"/>
    <w:rsid w:val="00701324"/>
    <w:rsid w:val="00707A69"/>
    <w:rsid w:val="00711409"/>
    <w:rsid w:val="00717B21"/>
    <w:rsid w:val="00726858"/>
    <w:rsid w:val="007616FA"/>
    <w:rsid w:val="00762299"/>
    <w:rsid w:val="007652B8"/>
    <w:rsid w:val="00765BFE"/>
    <w:rsid w:val="00773397"/>
    <w:rsid w:val="00774554"/>
    <w:rsid w:val="00792478"/>
    <w:rsid w:val="00796312"/>
    <w:rsid w:val="0079650C"/>
    <w:rsid w:val="00797535"/>
    <w:rsid w:val="007A18BF"/>
    <w:rsid w:val="007A1A0A"/>
    <w:rsid w:val="007D2A6E"/>
    <w:rsid w:val="007E1B64"/>
    <w:rsid w:val="007E3F48"/>
    <w:rsid w:val="007E6823"/>
    <w:rsid w:val="007F5145"/>
    <w:rsid w:val="008065AF"/>
    <w:rsid w:val="00810057"/>
    <w:rsid w:val="008179D2"/>
    <w:rsid w:val="00820BFF"/>
    <w:rsid w:val="008230D9"/>
    <w:rsid w:val="00834E85"/>
    <w:rsid w:val="00836BE6"/>
    <w:rsid w:val="008438E3"/>
    <w:rsid w:val="00844B6A"/>
    <w:rsid w:val="00862352"/>
    <w:rsid w:val="00863E24"/>
    <w:rsid w:val="00865676"/>
    <w:rsid w:val="00865907"/>
    <w:rsid w:val="00890718"/>
    <w:rsid w:val="008919CD"/>
    <w:rsid w:val="00894983"/>
    <w:rsid w:val="008A07A5"/>
    <w:rsid w:val="008A273F"/>
    <w:rsid w:val="008B0BF4"/>
    <w:rsid w:val="008B0E17"/>
    <w:rsid w:val="008B4344"/>
    <w:rsid w:val="008F4E81"/>
    <w:rsid w:val="0091108C"/>
    <w:rsid w:val="00923020"/>
    <w:rsid w:val="00923E07"/>
    <w:rsid w:val="009341C3"/>
    <w:rsid w:val="00952EA0"/>
    <w:rsid w:val="009604E2"/>
    <w:rsid w:val="00965A5A"/>
    <w:rsid w:val="00965C2E"/>
    <w:rsid w:val="00966605"/>
    <w:rsid w:val="00975C38"/>
    <w:rsid w:val="00986D3D"/>
    <w:rsid w:val="009958E2"/>
    <w:rsid w:val="00996902"/>
    <w:rsid w:val="00996E79"/>
    <w:rsid w:val="00996EA7"/>
    <w:rsid w:val="009A0B72"/>
    <w:rsid w:val="009A2E31"/>
    <w:rsid w:val="009A4B0A"/>
    <w:rsid w:val="009A6D43"/>
    <w:rsid w:val="009C3F27"/>
    <w:rsid w:val="009D05CF"/>
    <w:rsid w:val="009D1E93"/>
    <w:rsid w:val="009D7097"/>
    <w:rsid w:val="009E03A5"/>
    <w:rsid w:val="00A01A7E"/>
    <w:rsid w:val="00A02C90"/>
    <w:rsid w:val="00A12525"/>
    <w:rsid w:val="00A232B7"/>
    <w:rsid w:val="00A235B8"/>
    <w:rsid w:val="00A46AD7"/>
    <w:rsid w:val="00A64563"/>
    <w:rsid w:val="00A74329"/>
    <w:rsid w:val="00A81D12"/>
    <w:rsid w:val="00AC77AD"/>
    <w:rsid w:val="00AD6A79"/>
    <w:rsid w:val="00AE3540"/>
    <w:rsid w:val="00AE3B64"/>
    <w:rsid w:val="00AF1A6F"/>
    <w:rsid w:val="00AF225C"/>
    <w:rsid w:val="00AF69BB"/>
    <w:rsid w:val="00B046B8"/>
    <w:rsid w:val="00B11A4E"/>
    <w:rsid w:val="00B246A5"/>
    <w:rsid w:val="00B276E3"/>
    <w:rsid w:val="00B30AB7"/>
    <w:rsid w:val="00B378B8"/>
    <w:rsid w:val="00B421A6"/>
    <w:rsid w:val="00B42631"/>
    <w:rsid w:val="00B43C4A"/>
    <w:rsid w:val="00B71B73"/>
    <w:rsid w:val="00B72B8A"/>
    <w:rsid w:val="00B870C2"/>
    <w:rsid w:val="00BA0790"/>
    <w:rsid w:val="00BA118F"/>
    <w:rsid w:val="00BA1598"/>
    <w:rsid w:val="00BA19CB"/>
    <w:rsid w:val="00BA72F8"/>
    <w:rsid w:val="00BB6A7C"/>
    <w:rsid w:val="00BC50F8"/>
    <w:rsid w:val="00BD4A1E"/>
    <w:rsid w:val="00BE7257"/>
    <w:rsid w:val="00BF6E4E"/>
    <w:rsid w:val="00C14EBF"/>
    <w:rsid w:val="00C24F76"/>
    <w:rsid w:val="00C30142"/>
    <w:rsid w:val="00C3070A"/>
    <w:rsid w:val="00C332F4"/>
    <w:rsid w:val="00C37606"/>
    <w:rsid w:val="00C42C80"/>
    <w:rsid w:val="00C5098C"/>
    <w:rsid w:val="00C57D85"/>
    <w:rsid w:val="00C60E46"/>
    <w:rsid w:val="00C74EF0"/>
    <w:rsid w:val="00C758B5"/>
    <w:rsid w:val="00C843D2"/>
    <w:rsid w:val="00CA0F36"/>
    <w:rsid w:val="00CC1821"/>
    <w:rsid w:val="00CC1E44"/>
    <w:rsid w:val="00CC2D7F"/>
    <w:rsid w:val="00CD0B25"/>
    <w:rsid w:val="00CD3346"/>
    <w:rsid w:val="00CD4660"/>
    <w:rsid w:val="00CD7785"/>
    <w:rsid w:val="00CE1E38"/>
    <w:rsid w:val="00CE470E"/>
    <w:rsid w:val="00CF58B1"/>
    <w:rsid w:val="00D00A2D"/>
    <w:rsid w:val="00D020B2"/>
    <w:rsid w:val="00D07145"/>
    <w:rsid w:val="00D07C28"/>
    <w:rsid w:val="00D119A7"/>
    <w:rsid w:val="00D15D6C"/>
    <w:rsid w:val="00D23452"/>
    <w:rsid w:val="00D23CE1"/>
    <w:rsid w:val="00D3026F"/>
    <w:rsid w:val="00D376C7"/>
    <w:rsid w:val="00D46D9C"/>
    <w:rsid w:val="00D5475E"/>
    <w:rsid w:val="00D62A62"/>
    <w:rsid w:val="00D662D8"/>
    <w:rsid w:val="00D741E7"/>
    <w:rsid w:val="00D9076A"/>
    <w:rsid w:val="00D927EC"/>
    <w:rsid w:val="00D93157"/>
    <w:rsid w:val="00DB6D71"/>
    <w:rsid w:val="00DC7C0D"/>
    <w:rsid w:val="00DD501E"/>
    <w:rsid w:val="00DE6798"/>
    <w:rsid w:val="00DF0791"/>
    <w:rsid w:val="00DF47BD"/>
    <w:rsid w:val="00DF6C33"/>
    <w:rsid w:val="00E24F6B"/>
    <w:rsid w:val="00E2527B"/>
    <w:rsid w:val="00E307A0"/>
    <w:rsid w:val="00E30813"/>
    <w:rsid w:val="00E32A02"/>
    <w:rsid w:val="00E406F2"/>
    <w:rsid w:val="00E671A0"/>
    <w:rsid w:val="00E76600"/>
    <w:rsid w:val="00E771D5"/>
    <w:rsid w:val="00E8189A"/>
    <w:rsid w:val="00E82F99"/>
    <w:rsid w:val="00E86475"/>
    <w:rsid w:val="00E91D46"/>
    <w:rsid w:val="00E9229F"/>
    <w:rsid w:val="00EA0150"/>
    <w:rsid w:val="00EB3A5E"/>
    <w:rsid w:val="00EB47A5"/>
    <w:rsid w:val="00EE6372"/>
    <w:rsid w:val="00EF1523"/>
    <w:rsid w:val="00EF49C9"/>
    <w:rsid w:val="00EF5307"/>
    <w:rsid w:val="00F337E9"/>
    <w:rsid w:val="00F34844"/>
    <w:rsid w:val="00F53E20"/>
    <w:rsid w:val="00F63AD7"/>
    <w:rsid w:val="00F708F1"/>
    <w:rsid w:val="00F73665"/>
    <w:rsid w:val="00F81127"/>
    <w:rsid w:val="00F84270"/>
    <w:rsid w:val="00F95E2C"/>
    <w:rsid w:val="00FA4B5F"/>
    <w:rsid w:val="00FB741B"/>
    <w:rsid w:val="00FB7A95"/>
    <w:rsid w:val="00FC5887"/>
    <w:rsid w:val="00FC64BE"/>
    <w:rsid w:val="00FD7274"/>
    <w:rsid w:val="00FD7556"/>
    <w:rsid w:val="00FE278A"/>
    <w:rsid w:val="00FE2A93"/>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6CBAC0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en" w:eastAsia="en-US" w:bidi="ar-SA"/>
      </w:rPr>
    </w:rPrDefault>
    <w:pPrDefault>
      <w:pPr>
        <w:spacing w:line="276" w:lineRule="auto"/>
        <w:contextualSpacing/>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E6823"/>
    <w:pPr>
      <w:spacing w:line="360" w:lineRule="auto"/>
      <w:jc w:val="both"/>
    </w:pPr>
    <w:rPr>
      <w:rFonts w:ascii="Franklin Gothic Book" w:hAnsi="Franklin Gothic Book"/>
    </w:rPr>
  </w:style>
  <w:style w:type="paragraph" w:styleId="Heading1">
    <w:name w:val="heading 1"/>
    <w:basedOn w:val="Normal1"/>
    <w:next w:val="Normal1"/>
    <w:rsid w:val="00996902"/>
    <w:pPr>
      <w:keepNext/>
      <w:keepLines/>
      <w:pBdr>
        <w:top w:val="nil"/>
        <w:left w:val="nil"/>
        <w:bottom w:val="nil"/>
        <w:right w:val="nil"/>
        <w:between w:val="nil"/>
      </w:pBdr>
      <w:tabs>
        <w:tab w:val="left" w:pos="426"/>
      </w:tabs>
      <w:spacing w:after="280" w:line="240" w:lineRule="auto"/>
      <w:ind w:left="567" w:hanging="567"/>
      <w:outlineLvl w:val="0"/>
    </w:pPr>
    <w:rPr>
      <w:rFonts w:ascii="Franklin Gothic Demi" w:hAnsi="Franklin Gothic Demi"/>
      <w:b/>
      <w:color w:val="17365D" w:themeColor="text2" w:themeShade="BF"/>
      <w:sz w:val="32"/>
      <w:szCs w:val="40"/>
    </w:rPr>
  </w:style>
  <w:style w:type="paragraph" w:styleId="Heading2">
    <w:name w:val="heading 2"/>
    <w:basedOn w:val="Normal"/>
    <w:next w:val="Normal1"/>
    <w:rsid w:val="001859B2"/>
    <w:pPr>
      <w:outlineLvl w:val="1"/>
    </w:pPr>
    <w:rPr>
      <w:i/>
      <w:iCs/>
      <w:lang w:val="en-GB"/>
    </w:rPr>
  </w:style>
  <w:style w:type="paragraph" w:styleId="Heading3">
    <w:name w:val="heading 3"/>
    <w:basedOn w:val="Normal1"/>
    <w:next w:val="Normal1"/>
    <w:rsid w:val="00071D9B"/>
    <w:pPr>
      <w:keepNext/>
      <w:keepLines/>
      <w:pBdr>
        <w:top w:val="nil"/>
        <w:left w:val="nil"/>
        <w:bottom w:val="nil"/>
        <w:right w:val="nil"/>
        <w:between w:val="nil"/>
      </w:pBdr>
      <w:spacing w:before="320" w:after="80"/>
      <w:outlineLvl w:val="2"/>
    </w:pPr>
    <w:rPr>
      <w:b/>
      <w:color w:val="244061" w:themeColor="accent1" w:themeShade="80"/>
      <w:sz w:val="24"/>
      <w:szCs w:val="28"/>
    </w:rPr>
  </w:style>
  <w:style w:type="paragraph" w:styleId="Heading4">
    <w:name w:val="heading 4"/>
    <w:basedOn w:val="Normal1"/>
    <w:next w:val="Normal1"/>
    <w:pPr>
      <w:keepNext/>
      <w:keepLines/>
      <w:pBdr>
        <w:top w:val="nil"/>
        <w:left w:val="nil"/>
        <w:bottom w:val="nil"/>
        <w:right w:val="nil"/>
        <w:between w:val="nil"/>
      </w:pBdr>
      <w:spacing w:before="280" w:after="80"/>
      <w:outlineLvl w:val="3"/>
    </w:pPr>
    <w:rPr>
      <w:color w:val="666666"/>
      <w:sz w:val="24"/>
      <w:szCs w:val="24"/>
    </w:rPr>
  </w:style>
  <w:style w:type="paragraph" w:styleId="Heading5">
    <w:name w:val="heading 5"/>
    <w:basedOn w:val="Normal1"/>
    <w:next w:val="Normal1"/>
    <w:pPr>
      <w:keepNext/>
      <w:keepLines/>
      <w:pBdr>
        <w:top w:val="nil"/>
        <w:left w:val="nil"/>
        <w:bottom w:val="nil"/>
        <w:right w:val="nil"/>
        <w:between w:val="nil"/>
      </w:pBdr>
      <w:spacing w:before="240" w:after="80"/>
      <w:outlineLvl w:val="4"/>
    </w:pPr>
    <w:rPr>
      <w:color w:val="666666"/>
    </w:rPr>
  </w:style>
  <w:style w:type="paragraph" w:styleId="Heading6">
    <w:name w:val="heading 6"/>
    <w:basedOn w:val="Normal1"/>
    <w:next w:val="Normal1"/>
    <w:pPr>
      <w:keepNext/>
      <w:keepLines/>
      <w:pBdr>
        <w:top w:val="nil"/>
        <w:left w:val="nil"/>
        <w:bottom w:val="nil"/>
        <w:right w:val="nil"/>
        <w:between w:val="nil"/>
      </w:pBdr>
      <w:spacing w:before="240" w:after="80"/>
      <w:outlineLvl w:val="5"/>
    </w:pPr>
    <w:rPr>
      <w:i/>
      <w:color w:val="66666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style>
  <w:style w:type="paragraph" w:styleId="Title">
    <w:name w:val="Title"/>
    <w:basedOn w:val="Normal1"/>
    <w:next w:val="Normal1"/>
    <w:pPr>
      <w:keepNext/>
      <w:keepLines/>
      <w:pBdr>
        <w:top w:val="nil"/>
        <w:left w:val="nil"/>
        <w:bottom w:val="nil"/>
        <w:right w:val="nil"/>
        <w:between w:val="nil"/>
      </w:pBdr>
      <w:spacing w:after="60"/>
    </w:pPr>
    <w:rPr>
      <w:color w:val="000000"/>
      <w:sz w:val="52"/>
      <w:szCs w:val="52"/>
    </w:rPr>
  </w:style>
  <w:style w:type="paragraph" w:styleId="Subtitle">
    <w:name w:val="Subtitle"/>
    <w:basedOn w:val="Normal1"/>
    <w:next w:val="Normal1"/>
    <w:pPr>
      <w:keepNext/>
      <w:keepLines/>
      <w:pBdr>
        <w:top w:val="nil"/>
        <w:left w:val="nil"/>
        <w:bottom w:val="nil"/>
        <w:right w:val="nil"/>
        <w:between w:val="nil"/>
      </w:pBdr>
      <w:spacing w:after="320"/>
    </w:pPr>
    <w:rPr>
      <w:color w:val="666666"/>
      <w:sz w:val="30"/>
      <w:szCs w:val="30"/>
    </w:rPr>
  </w:style>
  <w:style w:type="character" w:styleId="CommentReference">
    <w:name w:val="annotation reference"/>
    <w:basedOn w:val="DefaultParagraphFont"/>
    <w:uiPriority w:val="99"/>
    <w:semiHidden/>
    <w:unhideWhenUsed/>
    <w:rsid w:val="000F45FC"/>
    <w:rPr>
      <w:sz w:val="18"/>
      <w:szCs w:val="18"/>
    </w:rPr>
  </w:style>
  <w:style w:type="paragraph" w:styleId="CommentText">
    <w:name w:val="annotation text"/>
    <w:basedOn w:val="Normal"/>
    <w:link w:val="CommentTextChar"/>
    <w:uiPriority w:val="99"/>
    <w:semiHidden/>
    <w:unhideWhenUsed/>
    <w:rsid w:val="000F45FC"/>
    <w:pPr>
      <w:spacing w:line="240" w:lineRule="auto"/>
    </w:pPr>
    <w:rPr>
      <w:sz w:val="24"/>
      <w:szCs w:val="24"/>
    </w:rPr>
  </w:style>
  <w:style w:type="character" w:customStyle="1" w:styleId="CommentTextChar">
    <w:name w:val="Comment Text Char"/>
    <w:basedOn w:val="DefaultParagraphFont"/>
    <w:link w:val="CommentText"/>
    <w:uiPriority w:val="99"/>
    <w:semiHidden/>
    <w:rsid w:val="000F45FC"/>
    <w:rPr>
      <w:sz w:val="24"/>
      <w:szCs w:val="24"/>
    </w:rPr>
  </w:style>
  <w:style w:type="paragraph" w:styleId="CommentSubject">
    <w:name w:val="annotation subject"/>
    <w:basedOn w:val="CommentText"/>
    <w:next w:val="CommentText"/>
    <w:link w:val="CommentSubjectChar"/>
    <w:uiPriority w:val="99"/>
    <w:semiHidden/>
    <w:unhideWhenUsed/>
    <w:rsid w:val="000F45FC"/>
    <w:rPr>
      <w:b/>
      <w:bCs/>
      <w:sz w:val="20"/>
      <w:szCs w:val="20"/>
    </w:rPr>
  </w:style>
  <w:style w:type="character" w:customStyle="1" w:styleId="CommentSubjectChar">
    <w:name w:val="Comment Subject Char"/>
    <w:basedOn w:val="CommentTextChar"/>
    <w:link w:val="CommentSubject"/>
    <w:uiPriority w:val="99"/>
    <w:semiHidden/>
    <w:rsid w:val="000F45FC"/>
    <w:rPr>
      <w:b/>
      <w:bCs/>
      <w:sz w:val="20"/>
      <w:szCs w:val="20"/>
    </w:rPr>
  </w:style>
  <w:style w:type="paragraph" w:styleId="BalloonText">
    <w:name w:val="Balloon Text"/>
    <w:basedOn w:val="Normal"/>
    <w:link w:val="BalloonTextChar"/>
    <w:uiPriority w:val="99"/>
    <w:semiHidden/>
    <w:unhideWhenUsed/>
    <w:rsid w:val="000F45FC"/>
    <w:pPr>
      <w:spacing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0F45FC"/>
    <w:rPr>
      <w:rFonts w:ascii="Lucida Grande" w:hAnsi="Lucida Grande" w:cs="Lucida Grande"/>
      <w:sz w:val="18"/>
      <w:szCs w:val="18"/>
    </w:rPr>
  </w:style>
  <w:style w:type="character" w:styleId="Hyperlink">
    <w:name w:val="Hyperlink"/>
    <w:basedOn w:val="DefaultParagraphFont"/>
    <w:uiPriority w:val="99"/>
    <w:unhideWhenUsed/>
    <w:rsid w:val="00287914"/>
    <w:rPr>
      <w:color w:val="7F7F7F" w:themeColor="text1" w:themeTint="80"/>
      <w:u w:val="single"/>
    </w:rPr>
  </w:style>
  <w:style w:type="character" w:customStyle="1" w:styleId="UnresolvedMention1">
    <w:name w:val="Unresolved Mention1"/>
    <w:basedOn w:val="DefaultParagraphFont"/>
    <w:uiPriority w:val="99"/>
    <w:semiHidden/>
    <w:unhideWhenUsed/>
    <w:rsid w:val="00295099"/>
    <w:rPr>
      <w:color w:val="605E5C"/>
      <w:shd w:val="clear" w:color="auto" w:fill="E1DFDD"/>
    </w:rPr>
  </w:style>
  <w:style w:type="paragraph" w:styleId="FootnoteText">
    <w:name w:val="footnote text"/>
    <w:aliases w:val="5_G,single space,Sharp - Footnote Text,Footnote Text - Sharp Char Char,Footnote Text - Sharp Char,FOOTNOTES,fn,Footnote Text - Sharp,Footnote Text Char Char Char,Footnote Text Char Char Char Char Char Char Char Char,FA Fu,Char,Char Char2,f"/>
    <w:basedOn w:val="Normal"/>
    <w:link w:val="FootnoteTextChar"/>
    <w:uiPriority w:val="99"/>
    <w:unhideWhenUsed/>
    <w:qFormat/>
    <w:rsid w:val="005253BB"/>
    <w:pPr>
      <w:spacing w:line="240" w:lineRule="auto"/>
      <w:jc w:val="left"/>
    </w:pPr>
    <w:rPr>
      <w:color w:val="595959" w:themeColor="text1" w:themeTint="A6"/>
      <w:sz w:val="18"/>
      <w:szCs w:val="18"/>
      <w:lang w:val="en-GB"/>
    </w:rPr>
  </w:style>
  <w:style w:type="character" w:customStyle="1" w:styleId="FootnoteTextChar">
    <w:name w:val="Footnote Text Char"/>
    <w:aliases w:val="5_G Char,single space Char,Sharp - Footnote Text Char,Footnote Text - Sharp Char Char Char,Footnote Text - Sharp Char Char1,FOOTNOTES Char,fn Char,Footnote Text - Sharp Char1,Footnote Text Char Char Char Char1,FA Fu Char,Char Char1"/>
    <w:basedOn w:val="DefaultParagraphFont"/>
    <w:link w:val="FootnoteText"/>
    <w:uiPriority w:val="99"/>
    <w:rsid w:val="005253BB"/>
    <w:rPr>
      <w:rFonts w:ascii="Franklin Gothic Book" w:hAnsi="Franklin Gothic Book"/>
      <w:color w:val="595959" w:themeColor="text1" w:themeTint="A6"/>
      <w:sz w:val="18"/>
      <w:szCs w:val="18"/>
      <w:lang w:val="en-GB"/>
    </w:rPr>
  </w:style>
  <w:style w:type="character" w:styleId="FootnoteReference">
    <w:name w:val="footnote reference"/>
    <w:aliases w:val="4_G,Footnote Reference1,ftref,Char Char,Footnote Reference1 Char,ftref Char,Char Char Char,Footnote Text Char2 Char,Footnote Text Char1 Char Char,Footnote Text Char Char Char Char,single space Char1 Char,ft Char1 Char,fn Char Char,fr"/>
    <w:basedOn w:val="DefaultParagraphFont"/>
    <w:link w:val="CharChar1CharCharCharChar1CharCharCharCharCharCharCharCharCharCharCharCharCharCharCharChar"/>
    <w:unhideWhenUsed/>
    <w:qFormat/>
    <w:rsid w:val="00E307A0"/>
    <w:rPr>
      <w:vertAlign w:val="superscript"/>
    </w:rPr>
  </w:style>
  <w:style w:type="paragraph" w:styleId="ListParagraph">
    <w:name w:val="List Paragraph"/>
    <w:basedOn w:val="Normal"/>
    <w:uiPriority w:val="34"/>
    <w:qFormat/>
    <w:rsid w:val="006063F7"/>
    <w:pPr>
      <w:ind w:left="720"/>
    </w:pPr>
  </w:style>
  <w:style w:type="paragraph" w:styleId="TOC1">
    <w:name w:val="toc 1"/>
    <w:next w:val="Normal"/>
    <w:autoRedefine/>
    <w:uiPriority w:val="39"/>
    <w:unhideWhenUsed/>
    <w:rsid w:val="00863E24"/>
    <w:pPr>
      <w:tabs>
        <w:tab w:val="left" w:pos="567"/>
        <w:tab w:val="right" w:leader="dot" w:pos="9350"/>
      </w:tabs>
      <w:spacing w:after="100"/>
    </w:pPr>
    <w:rPr>
      <w:rFonts w:ascii="Franklin Gothic Book" w:hAnsi="Franklin Gothic Book"/>
      <w:b/>
      <w:color w:val="002060"/>
      <w:sz w:val="24"/>
    </w:rPr>
  </w:style>
  <w:style w:type="paragraph" w:styleId="TOC2">
    <w:name w:val="toc 2"/>
    <w:basedOn w:val="Normal"/>
    <w:next w:val="Normal"/>
    <w:autoRedefine/>
    <w:uiPriority w:val="39"/>
    <w:unhideWhenUsed/>
    <w:rsid w:val="00863E24"/>
    <w:pPr>
      <w:spacing w:after="100"/>
      <w:ind w:left="220"/>
    </w:pPr>
    <w:rPr>
      <w:color w:val="17365D" w:themeColor="text2" w:themeShade="BF"/>
    </w:rPr>
  </w:style>
  <w:style w:type="paragraph" w:styleId="TOC3">
    <w:name w:val="toc 3"/>
    <w:basedOn w:val="Normal"/>
    <w:next w:val="Normal"/>
    <w:autoRedefine/>
    <w:uiPriority w:val="39"/>
    <w:unhideWhenUsed/>
    <w:rsid w:val="00863E24"/>
    <w:pPr>
      <w:spacing w:after="100"/>
      <w:ind w:left="440"/>
    </w:pPr>
    <w:rPr>
      <w:b/>
      <w:color w:val="244061" w:themeColor="accent1" w:themeShade="80"/>
    </w:rPr>
  </w:style>
  <w:style w:type="character" w:styleId="FollowedHyperlink">
    <w:name w:val="FollowedHyperlink"/>
    <w:basedOn w:val="DefaultParagraphFont"/>
    <w:uiPriority w:val="99"/>
    <w:semiHidden/>
    <w:unhideWhenUsed/>
    <w:rsid w:val="00952EA0"/>
    <w:rPr>
      <w:color w:val="800080" w:themeColor="followedHyperlink"/>
      <w:u w:val="single"/>
    </w:rPr>
  </w:style>
  <w:style w:type="paragraph" w:styleId="Header">
    <w:name w:val="header"/>
    <w:basedOn w:val="Normal"/>
    <w:link w:val="HeaderChar"/>
    <w:uiPriority w:val="99"/>
    <w:unhideWhenUsed/>
    <w:rsid w:val="00FE2A93"/>
    <w:pPr>
      <w:tabs>
        <w:tab w:val="center" w:pos="4680"/>
        <w:tab w:val="right" w:pos="9360"/>
      </w:tabs>
      <w:spacing w:line="240" w:lineRule="auto"/>
    </w:pPr>
  </w:style>
  <w:style w:type="character" w:customStyle="1" w:styleId="HeaderChar">
    <w:name w:val="Header Char"/>
    <w:basedOn w:val="DefaultParagraphFont"/>
    <w:link w:val="Header"/>
    <w:uiPriority w:val="99"/>
    <w:rsid w:val="00FE2A93"/>
    <w:rPr>
      <w:rFonts w:ascii="Franklin Gothic Book" w:hAnsi="Franklin Gothic Book"/>
    </w:rPr>
  </w:style>
  <w:style w:type="paragraph" w:styleId="Footer">
    <w:name w:val="footer"/>
    <w:basedOn w:val="Normal"/>
    <w:link w:val="FooterChar"/>
    <w:uiPriority w:val="99"/>
    <w:unhideWhenUsed/>
    <w:rsid w:val="00FE2A93"/>
    <w:pPr>
      <w:tabs>
        <w:tab w:val="center" w:pos="4680"/>
        <w:tab w:val="right" w:pos="9360"/>
      </w:tabs>
      <w:spacing w:line="240" w:lineRule="auto"/>
    </w:pPr>
  </w:style>
  <w:style w:type="character" w:customStyle="1" w:styleId="FooterChar">
    <w:name w:val="Footer Char"/>
    <w:basedOn w:val="DefaultParagraphFont"/>
    <w:link w:val="Footer"/>
    <w:uiPriority w:val="99"/>
    <w:rsid w:val="00FE2A93"/>
    <w:rPr>
      <w:rFonts w:ascii="Franklin Gothic Book" w:hAnsi="Franklin Gothic Book"/>
    </w:rPr>
  </w:style>
  <w:style w:type="character" w:customStyle="1" w:styleId="UnresolvedMention2">
    <w:name w:val="Unresolved Mention2"/>
    <w:basedOn w:val="DefaultParagraphFont"/>
    <w:uiPriority w:val="99"/>
    <w:semiHidden/>
    <w:unhideWhenUsed/>
    <w:rsid w:val="00773397"/>
    <w:rPr>
      <w:color w:val="605E5C"/>
      <w:shd w:val="clear" w:color="auto" w:fill="E1DFDD"/>
    </w:rPr>
  </w:style>
  <w:style w:type="paragraph" w:styleId="EndnoteText">
    <w:name w:val="endnote text"/>
    <w:basedOn w:val="Normal"/>
    <w:link w:val="EndnoteTextChar"/>
    <w:uiPriority w:val="99"/>
    <w:semiHidden/>
    <w:unhideWhenUsed/>
    <w:rsid w:val="008179D2"/>
    <w:pPr>
      <w:spacing w:line="240" w:lineRule="auto"/>
    </w:pPr>
    <w:rPr>
      <w:sz w:val="20"/>
      <w:szCs w:val="20"/>
    </w:rPr>
  </w:style>
  <w:style w:type="character" w:customStyle="1" w:styleId="EndnoteTextChar">
    <w:name w:val="Endnote Text Char"/>
    <w:basedOn w:val="DefaultParagraphFont"/>
    <w:link w:val="EndnoteText"/>
    <w:uiPriority w:val="99"/>
    <w:semiHidden/>
    <w:rsid w:val="008179D2"/>
    <w:rPr>
      <w:rFonts w:ascii="Franklin Gothic Book" w:hAnsi="Franklin Gothic Book"/>
      <w:sz w:val="20"/>
      <w:szCs w:val="20"/>
    </w:rPr>
  </w:style>
  <w:style w:type="character" w:styleId="EndnoteReference">
    <w:name w:val="endnote reference"/>
    <w:basedOn w:val="DefaultParagraphFont"/>
    <w:uiPriority w:val="99"/>
    <w:semiHidden/>
    <w:unhideWhenUsed/>
    <w:rsid w:val="008179D2"/>
    <w:rPr>
      <w:vertAlign w:val="superscript"/>
    </w:rPr>
  </w:style>
  <w:style w:type="character" w:customStyle="1" w:styleId="UnresolvedMention3">
    <w:name w:val="Unresolved Mention3"/>
    <w:basedOn w:val="DefaultParagraphFont"/>
    <w:uiPriority w:val="99"/>
    <w:semiHidden/>
    <w:unhideWhenUsed/>
    <w:rsid w:val="00285BB9"/>
    <w:rPr>
      <w:color w:val="605E5C"/>
      <w:shd w:val="clear" w:color="auto" w:fill="E1DFDD"/>
    </w:rPr>
  </w:style>
  <w:style w:type="character" w:customStyle="1" w:styleId="UnresolvedMention4">
    <w:name w:val="Unresolved Mention4"/>
    <w:basedOn w:val="DefaultParagraphFont"/>
    <w:uiPriority w:val="99"/>
    <w:semiHidden/>
    <w:unhideWhenUsed/>
    <w:rsid w:val="00E24F6B"/>
    <w:rPr>
      <w:color w:val="605E5C"/>
      <w:shd w:val="clear" w:color="auto" w:fill="E1DFDD"/>
    </w:rPr>
  </w:style>
  <w:style w:type="paragraph" w:styleId="Revision">
    <w:name w:val="Revision"/>
    <w:hidden/>
    <w:uiPriority w:val="99"/>
    <w:semiHidden/>
    <w:rsid w:val="006E0843"/>
    <w:pPr>
      <w:spacing w:line="240" w:lineRule="auto"/>
      <w:contextualSpacing w:val="0"/>
    </w:pPr>
    <w:rPr>
      <w:rFonts w:ascii="Franklin Gothic Book" w:hAnsi="Franklin Gothic Book"/>
    </w:rPr>
  </w:style>
  <w:style w:type="paragraph" w:styleId="NormalWeb">
    <w:name w:val="Normal (Web)"/>
    <w:basedOn w:val="Normal"/>
    <w:uiPriority w:val="99"/>
    <w:semiHidden/>
    <w:unhideWhenUsed/>
    <w:rsid w:val="009D05CF"/>
    <w:pPr>
      <w:spacing w:before="100" w:beforeAutospacing="1" w:after="100" w:afterAutospacing="1" w:line="240" w:lineRule="auto"/>
      <w:contextualSpacing w:val="0"/>
      <w:jc w:val="left"/>
    </w:pPr>
    <w:rPr>
      <w:rFonts w:ascii="Times New Roman" w:eastAsia="Times New Roman" w:hAnsi="Times New Roman" w:cs="Times New Roman"/>
      <w:sz w:val="24"/>
      <w:szCs w:val="24"/>
      <w:lang w:val="en-US"/>
    </w:rPr>
  </w:style>
  <w:style w:type="character" w:customStyle="1" w:styleId="apple-converted-space">
    <w:name w:val="apple-converted-space"/>
    <w:basedOn w:val="DefaultParagraphFont"/>
    <w:rsid w:val="00EF49C9"/>
  </w:style>
  <w:style w:type="character" w:customStyle="1" w:styleId="UnresolvedMention5">
    <w:name w:val="Unresolved Mention5"/>
    <w:basedOn w:val="DefaultParagraphFont"/>
    <w:uiPriority w:val="99"/>
    <w:semiHidden/>
    <w:unhideWhenUsed/>
    <w:rsid w:val="004B4A11"/>
    <w:rPr>
      <w:color w:val="605E5C"/>
      <w:shd w:val="clear" w:color="auto" w:fill="E1DFDD"/>
    </w:rPr>
  </w:style>
  <w:style w:type="paragraph" w:customStyle="1" w:styleId="CharChar1CharCharCharChar1CharCharCharCharCharCharCharCharCharCharCharCharCharCharCharChar">
    <w:name w:val="Char Char1 Char Char Char Char1 Char Char Char Char Char Char Char Char Char Char Char Char (文字) Char Char Char Char"/>
    <w:aliases w:val="Char Char Char Char1 Char Char (文字) Char Char Char Char"/>
    <w:basedOn w:val="Normal"/>
    <w:next w:val="Normal"/>
    <w:link w:val="FootnoteReference"/>
    <w:uiPriority w:val="99"/>
    <w:qFormat/>
    <w:rsid w:val="00F84270"/>
    <w:pPr>
      <w:spacing w:after="160" w:line="240" w:lineRule="exact"/>
      <w:contextualSpacing w:val="0"/>
      <w:jc w:val="left"/>
    </w:pPr>
    <w:rPr>
      <w:rFonts w:ascii="Arial" w:hAnsi="Arial"/>
      <w:vertAlign w:val="superscript"/>
    </w:rPr>
  </w:style>
  <w:style w:type="character" w:styleId="UnresolvedMention">
    <w:name w:val="Unresolved Mention"/>
    <w:basedOn w:val="DefaultParagraphFont"/>
    <w:uiPriority w:val="99"/>
    <w:semiHidden/>
    <w:unhideWhenUsed/>
    <w:rsid w:val="00F84270"/>
    <w:rPr>
      <w:color w:val="605E5C"/>
      <w:shd w:val="clear" w:color="auto" w:fill="E1DFDD"/>
    </w:rPr>
  </w:style>
  <w:style w:type="character" w:styleId="PageNumber">
    <w:name w:val="page number"/>
    <w:basedOn w:val="DefaultParagraphFont"/>
    <w:uiPriority w:val="99"/>
    <w:semiHidden/>
    <w:unhideWhenUsed/>
    <w:rsid w:val="00A235B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0641817">
      <w:bodyDiv w:val="1"/>
      <w:marLeft w:val="0"/>
      <w:marRight w:val="0"/>
      <w:marTop w:val="0"/>
      <w:marBottom w:val="0"/>
      <w:divBdr>
        <w:top w:val="none" w:sz="0" w:space="0" w:color="auto"/>
        <w:left w:val="none" w:sz="0" w:space="0" w:color="auto"/>
        <w:bottom w:val="none" w:sz="0" w:space="0" w:color="auto"/>
        <w:right w:val="none" w:sz="0" w:space="0" w:color="auto"/>
      </w:divBdr>
    </w:div>
    <w:div w:id="106434234">
      <w:bodyDiv w:val="1"/>
      <w:marLeft w:val="0"/>
      <w:marRight w:val="0"/>
      <w:marTop w:val="0"/>
      <w:marBottom w:val="0"/>
      <w:divBdr>
        <w:top w:val="none" w:sz="0" w:space="0" w:color="auto"/>
        <w:left w:val="none" w:sz="0" w:space="0" w:color="auto"/>
        <w:bottom w:val="none" w:sz="0" w:space="0" w:color="auto"/>
        <w:right w:val="none" w:sz="0" w:space="0" w:color="auto"/>
      </w:divBdr>
    </w:div>
    <w:div w:id="119424531">
      <w:bodyDiv w:val="1"/>
      <w:marLeft w:val="0"/>
      <w:marRight w:val="0"/>
      <w:marTop w:val="0"/>
      <w:marBottom w:val="0"/>
      <w:divBdr>
        <w:top w:val="none" w:sz="0" w:space="0" w:color="auto"/>
        <w:left w:val="none" w:sz="0" w:space="0" w:color="auto"/>
        <w:bottom w:val="none" w:sz="0" w:space="0" w:color="auto"/>
        <w:right w:val="none" w:sz="0" w:space="0" w:color="auto"/>
      </w:divBdr>
      <w:divsChild>
        <w:div w:id="276914273">
          <w:marLeft w:val="0"/>
          <w:marRight w:val="0"/>
          <w:marTop w:val="0"/>
          <w:marBottom w:val="0"/>
          <w:divBdr>
            <w:top w:val="none" w:sz="0" w:space="0" w:color="auto"/>
            <w:left w:val="none" w:sz="0" w:space="0" w:color="auto"/>
            <w:bottom w:val="none" w:sz="0" w:space="0" w:color="auto"/>
            <w:right w:val="none" w:sz="0" w:space="0" w:color="auto"/>
          </w:divBdr>
          <w:divsChild>
            <w:div w:id="603728746">
              <w:marLeft w:val="0"/>
              <w:marRight w:val="0"/>
              <w:marTop w:val="0"/>
              <w:marBottom w:val="0"/>
              <w:divBdr>
                <w:top w:val="none" w:sz="0" w:space="0" w:color="auto"/>
                <w:left w:val="none" w:sz="0" w:space="0" w:color="auto"/>
                <w:bottom w:val="none" w:sz="0" w:space="0" w:color="auto"/>
                <w:right w:val="none" w:sz="0" w:space="0" w:color="auto"/>
              </w:divBdr>
              <w:divsChild>
                <w:div w:id="4991242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917992">
      <w:bodyDiv w:val="1"/>
      <w:marLeft w:val="0"/>
      <w:marRight w:val="0"/>
      <w:marTop w:val="0"/>
      <w:marBottom w:val="0"/>
      <w:divBdr>
        <w:top w:val="none" w:sz="0" w:space="0" w:color="auto"/>
        <w:left w:val="none" w:sz="0" w:space="0" w:color="auto"/>
        <w:bottom w:val="none" w:sz="0" w:space="0" w:color="auto"/>
        <w:right w:val="none" w:sz="0" w:space="0" w:color="auto"/>
      </w:divBdr>
    </w:div>
    <w:div w:id="195385551">
      <w:bodyDiv w:val="1"/>
      <w:marLeft w:val="0"/>
      <w:marRight w:val="0"/>
      <w:marTop w:val="0"/>
      <w:marBottom w:val="0"/>
      <w:divBdr>
        <w:top w:val="none" w:sz="0" w:space="0" w:color="auto"/>
        <w:left w:val="none" w:sz="0" w:space="0" w:color="auto"/>
        <w:bottom w:val="none" w:sz="0" w:space="0" w:color="auto"/>
        <w:right w:val="none" w:sz="0" w:space="0" w:color="auto"/>
      </w:divBdr>
      <w:divsChild>
        <w:div w:id="1791392340">
          <w:marLeft w:val="0"/>
          <w:marRight w:val="0"/>
          <w:marTop w:val="0"/>
          <w:marBottom w:val="0"/>
          <w:divBdr>
            <w:top w:val="none" w:sz="0" w:space="0" w:color="auto"/>
            <w:left w:val="none" w:sz="0" w:space="0" w:color="auto"/>
            <w:bottom w:val="none" w:sz="0" w:space="0" w:color="auto"/>
            <w:right w:val="none" w:sz="0" w:space="0" w:color="auto"/>
          </w:divBdr>
          <w:divsChild>
            <w:div w:id="1458522316">
              <w:marLeft w:val="0"/>
              <w:marRight w:val="0"/>
              <w:marTop w:val="0"/>
              <w:marBottom w:val="0"/>
              <w:divBdr>
                <w:top w:val="none" w:sz="0" w:space="0" w:color="auto"/>
                <w:left w:val="none" w:sz="0" w:space="0" w:color="auto"/>
                <w:bottom w:val="none" w:sz="0" w:space="0" w:color="auto"/>
                <w:right w:val="none" w:sz="0" w:space="0" w:color="auto"/>
              </w:divBdr>
              <w:divsChild>
                <w:div w:id="18484043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42422753">
      <w:bodyDiv w:val="1"/>
      <w:marLeft w:val="0"/>
      <w:marRight w:val="0"/>
      <w:marTop w:val="0"/>
      <w:marBottom w:val="0"/>
      <w:divBdr>
        <w:top w:val="none" w:sz="0" w:space="0" w:color="auto"/>
        <w:left w:val="none" w:sz="0" w:space="0" w:color="auto"/>
        <w:bottom w:val="none" w:sz="0" w:space="0" w:color="auto"/>
        <w:right w:val="none" w:sz="0" w:space="0" w:color="auto"/>
      </w:divBdr>
    </w:div>
    <w:div w:id="271978725">
      <w:bodyDiv w:val="1"/>
      <w:marLeft w:val="0"/>
      <w:marRight w:val="0"/>
      <w:marTop w:val="0"/>
      <w:marBottom w:val="0"/>
      <w:divBdr>
        <w:top w:val="none" w:sz="0" w:space="0" w:color="auto"/>
        <w:left w:val="none" w:sz="0" w:space="0" w:color="auto"/>
        <w:bottom w:val="none" w:sz="0" w:space="0" w:color="auto"/>
        <w:right w:val="none" w:sz="0" w:space="0" w:color="auto"/>
      </w:divBdr>
      <w:divsChild>
        <w:div w:id="1043216018">
          <w:marLeft w:val="0"/>
          <w:marRight w:val="0"/>
          <w:marTop w:val="0"/>
          <w:marBottom w:val="0"/>
          <w:divBdr>
            <w:top w:val="none" w:sz="0" w:space="0" w:color="auto"/>
            <w:left w:val="none" w:sz="0" w:space="0" w:color="auto"/>
            <w:bottom w:val="none" w:sz="0" w:space="0" w:color="auto"/>
            <w:right w:val="none" w:sz="0" w:space="0" w:color="auto"/>
          </w:divBdr>
          <w:divsChild>
            <w:div w:id="2125224387">
              <w:marLeft w:val="0"/>
              <w:marRight w:val="0"/>
              <w:marTop w:val="0"/>
              <w:marBottom w:val="0"/>
              <w:divBdr>
                <w:top w:val="none" w:sz="0" w:space="0" w:color="auto"/>
                <w:left w:val="none" w:sz="0" w:space="0" w:color="auto"/>
                <w:bottom w:val="none" w:sz="0" w:space="0" w:color="auto"/>
                <w:right w:val="none" w:sz="0" w:space="0" w:color="auto"/>
              </w:divBdr>
              <w:divsChild>
                <w:div w:id="267322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0427986">
      <w:bodyDiv w:val="1"/>
      <w:marLeft w:val="0"/>
      <w:marRight w:val="0"/>
      <w:marTop w:val="0"/>
      <w:marBottom w:val="0"/>
      <w:divBdr>
        <w:top w:val="none" w:sz="0" w:space="0" w:color="auto"/>
        <w:left w:val="none" w:sz="0" w:space="0" w:color="auto"/>
        <w:bottom w:val="none" w:sz="0" w:space="0" w:color="auto"/>
        <w:right w:val="none" w:sz="0" w:space="0" w:color="auto"/>
      </w:divBdr>
      <w:divsChild>
        <w:div w:id="1742560134">
          <w:marLeft w:val="0"/>
          <w:marRight w:val="0"/>
          <w:marTop w:val="0"/>
          <w:marBottom w:val="0"/>
          <w:divBdr>
            <w:top w:val="none" w:sz="0" w:space="0" w:color="auto"/>
            <w:left w:val="none" w:sz="0" w:space="0" w:color="auto"/>
            <w:bottom w:val="none" w:sz="0" w:space="0" w:color="auto"/>
            <w:right w:val="none" w:sz="0" w:space="0" w:color="auto"/>
          </w:divBdr>
        </w:div>
        <w:div w:id="1114715974">
          <w:marLeft w:val="0"/>
          <w:marRight w:val="0"/>
          <w:marTop w:val="0"/>
          <w:marBottom w:val="0"/>
          <w:divBdr>
            <w:top w:val="none" w:sz="0" w:space="0" w:color="auto"/>
            <w:left w:val="none" w:sz="0" w:space="0" w:color="auto"/>
            <w:bottom w:val="none" w:sz="0" w:space="0" w:color="auto"/>
            <w:right w:val="none" w:sz="0" w:space="0" w:color="auto"/>
          </w:divBdr>
        </w:div>
      </w:divsChild>
    </w:div>
    <w:div w:id="360862098">
      <w:bodyDiv w:val="1"/>
      <w:marLeft w:val="0"/>
      <w:marRight w:val="0"/>
      <w:marTop w:val="0"/>
      <w:marBottom w:val="0"/>
      <w:divBdr>
        <w:top w:val="none" w:sz="0" w:space="0" w:color="auto"/>
        <w:left w:val="none" w:sz="0" w:space="0" w:color="auto"/>
        <w:bottom w:val="none" w:sz="0" w:space="0" w:color="auto"/>
        <w:right w:val="none" w:sz="0" w:space="0" w:color="auto"/>
      </w:divBdr>
      <w:divsChild>
        <w:div w:id="2080668324">
          <w:marLeft w:val="0"/>
          <w:marRight w:val="0"/>
          <w:marTop w:val="0"/>
          <w:marBottom w:val="0"/>
          <w:divBdr>
            <w:top w:val="none" w:sz="0" w:space="0" w:color="auto"/>
            <w:left w:val="none" w:sz="0" w:space="0" w:color="auto"/>
            <w:bottom w:val="none" w:sz="0" w:space="0" w:color="auto"/>
            <w:right w:val="none" w:sz="0" w:space="0" w:color="auto"/>
          </w:divBdr>
          <w:divsChild>
            <w:div w:id="1281259128">
              <w:marLeft w:val="0"/>
              <w:marRight w:val="0"/>
              <w:marTop w:val="0"/>
              <w:marBottom w:val="0"/>
              <w:divBdr>
                <w:top w:val="none" w:sz="0" w:space="0" w:color="auto"/>
                <w:left w:val="none" w:sz="0" w:space="0" w:color="auto"/>
                <w:bottom w:val="none" w:sz="0" w:space="0" w:color="auto"/>
                <w:right w:val="none" w:sz="0" w:space="0" w:color="auto"/>
              </w:divBdr>
              <w:divsChild>
                <w:div w:id="1468545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1893866">
      <w:bodyDiv w:val="1"/>
      <w:marLeft w:val="0"/>
      <w:marRight w:val="0"/>
      <w:marTop w:val="0"/>
      <w:marBottom w:val="0"/>
      <w:divBdr>
        <w:top w:val="none" w:sz="0" w:space="0" w:color="auto"/>
        <w:left w:val="none" w:sz="0" w:space="0" w:color="auto"/>
        <w:bottom w:val="none" w:sz="0" w:space="0" w:color="auto"/>
        <w:right w:val="none" w:sz="0" w:space="0" w:color="auto"/>
      </w:divBdr>
      <w:divsChild>
        <w:div w:id="1352218492">
          <w:marLeft w:val="0"/>
          <w:marRight w:val="0"/>
          <w:marTop w:val="0"/>
          <w:marBottom w:val="0"/>
          <w:divBdr>
            <w:top w:val="none" w:sz="0" w:space="0" w:color="auto"/>
            <w:left w:val="none" w:sz="0" w:space="0" w:color="auto"/>
            <w:bottom w:val="none" w:sz="0" w:space="0" w:color="auto"/>
            <w:right w:val="none" w:sz="0" w:space="0" w:color="auto"/>
          </w:divBdr>
          <w:divsChild>
            <w:div w:id="1449201957">
              <w:marLeft w:val="0"/>
              <w:marRight w:val="0"/>
              <w:marTop w:val="0"/>
              <w:marBottom w:val="0"/>
              <w:divBdr>
                <w:top w:val="none" w:sz="0" w:space="0" w:color="auto"/>
                <w:left w:val="none" w:sz="0" w:space="0" w:color="auto"/>
                <w:bottom w:val="none" w:sz="0" w:space="0" w:color="auto"/>
                <w:right w:val="none" w:sz="0" w:space="0" w:color="auto"/>
              </w:divBdr>
              <w:divsChild>
                <w:div w:id="16785782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52567639">
      <w:bodyDiv w:val="1"/>
      <w:marLeft w:val="0"/>
      <w:marRight w:val="0"/>
      <w:marTop w:val="0"/>
      <w:marBottom w:val="0"/>
      <w:divBdr>
        <w:top w:val="none" w:sz="0" w:space="0" w:color="auto"/>
        <w:left w:val="none" w:sz="0" w:space="0" w:color="auto"/>
        <w:bottom w:val="none" w:sz="0" w:space="0" w:color="auto"/>
        <w:right w:val="none" w:sz="0" w:space="0" w:color="auto"/>
      </w:divBdr>
    </w:div>
    <w:div w:id="739596657">
      <w:bodyDiv w:val="1"/>
      <w:marLeft w:val="0"/>
      <w:marRight w:val="0"/>
      <w:marTop w:val="0"/>
      <w:marBottom w:val="0"/>
      <w:divBdr>
        <w:top w:val="none" w:sz="0" w:space="0" w:color="auto"/>
        <w:left w:val="none" w:sz="0" w:space="0" w:color="auto"/>
        <w:bottom w:val="none" w:sz="0" w:space="0" w:color="auto"/>
        <w:right w:val="none" w:sz="0" w:space="0" w:color="auto"/>
      </w:divBdr>
    </w:div>
    <w:div w:id="753018763">
      <w:bodyDiv w:val="1"/>
      <w:marLeft w:val="0"/>
      <w:marRight w:val="0"/>
      <w:marTop w:val="0"/>
      <w:marBottom w:val="0"/>
      <w:divBdr>
        <w:top w:val="none" w:sz="0" w:space="0" w:color="auto"/>
        <w:left w:val="none" w:sz="0" w:space="0" w:color="auto"/>
        <w:bottom w:val="none" w:sz="0" w:space="0" w:color="auto"/>
        <w:right w:val="none" w:sz="0" w:space="0" w:color="auto"/>
      </w:divBdr>
      <w:divsChild>
        <w:div w:id="1049575136">
          <w:marLeft w:val="0"/>
          <w:marRight w:val="0"/>
          <w:marTop w:val="0"/>
          <w:marBottom w:val="0"/>
          <w:divBdr>
            <w:top w:val="none" w:sz="0" w:space="0" w:color="auto"/>
            <w:left w:val="none" w:sz="0" w:space="0" w:color="auto"/>
            <w:bottom w:val="none" w:sz="0" w:space="0" w:color="auto"/>
            <w:right w:val="none" w:sz="0" w:space="0" w:color="auto"/>
          </w:divBdr>
          <w:divsChild>
            <w:div w:id="482041737">
              <w:marLeft w:val="0"/>
              <w:marRight w:val="0"/>
              <w:marTop w:val="0"/>
              <w:marBottom w:val="0"/>
              <w:divBdr>
                <w:top w:val="none" w:sz="0" w:space="0" w:color="auto"/>
                <w:left w:val="none" w:sz="0" w:space="0" w:color="auto"/>
                <w:bottom w:val="none" w:sz="0" w:space="0" w:color="auto"/>
                <w:right w:val="none" w:sz="0" w:space="0" w:color="auto"/>
              </w:divBdr>
              <w:divsChild>
                <w:div w:id="2808484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3984066">
      <w:bodyDiv w:val="1"/>
      <w:marLeft w:val="0"/>
      <w:marRight w:val="0"/>
      <w:marTop w:val="0"/>
      <w:marBottom w:val="0"/>
      <w:divBdr>
        <w:top w:val="none" w:sz="0" w:space="0" w:color="auto"/>
        <w:left w:val="none" w:sz="0" w:space="0" w:color="auto"/>
        <w:bottom w:val="none" w:sz="0" w:space="0" w:color="auto"/>
        <w:right w:val="none" w:sz="0" w:space="0" w:color="auto"/>
      </w:divBdr>
    </w:div>
    <w:div w:id="845629947">
      <w:bodyDiv w:val="1"/>
      <w:marLeft w:val="0"/>
      <w:marRight w:val="0"/>
      <w:marTop w:val="0"/>
      <w:marBottom w:val="0"/>
      <w:divBdr>
        <w:top w:val="none" w:sz="0" w:space="0" w:color="auto"/>
        <w:left w:val="none" w:sz="0" w:space="0" w:color="auto"/>
        <w:bottom w:val="none" w:sz="0" w:space="0" w:color="auto"/>
        <w:right w:val="none" w:sz="0" w:space="0" w:color="auto"/>
      </w:divBdr>
    </w:div>
    <w:div w:id="987976003">
      <w:bodyDiv w:val="1"/>
      <w:marLeft w:val="0"/>
      <w:marRight w:val="0"/>
      <w:marTop w:val="0"/>
      <w:marBottom w:val="0"/>
      <w:divBdr>
        <w:top w:val="none" w:sz="0" w:space="0" w:color="auto"/>
        <w:left w:val="none" w:sz="0" w:space="0" w:color="auto"/>
        <w:bottom w:val="none" w:sz="0" w:space="0" w:color="auto"/>
        <w:right w:val="none" w:sz="0" w:space="0" w:color="auto"/>
      </w:divBdr>
    </w:div>
    <w:div w:id="1004552756">
      <w:bodyDiv w:val="1"/>
      <w:marLeft w:val="0"/>
      <w:marRight w:val="0"/>
      <w:marTop w:val="0"/>
      <w:marBottom w:val="0"/>
      <w:divBdr>
        <w:top w:val="none" w:sz="0" w:space="0" w:color="auto"/>
        <w:left w:val="none" w:sz="0" w:space="0" w:color="auto"/>
        <w:bottom w:val="none" w:sz="0" w:space="0" w:color="auto"/>
        <w:right w:val="none" w:sz="0" w:space="0" w:color="auto"/>
      </w:divBdr>
    </w:div>
    <w:div w:id="1331328991">
      <w:bodyDiv w:val="1"/>
      <w:marLeft w:val="0"/>
      <w:marRight w:val="0"/>
      <w:marTop w:val="0"/>
      <w:marBottom w:val="0"/>
      <w:divBdr>
        <w:top w:val="none" w:sz="0" w:space="0" w:color="auto"/>
        <w:left w:val="none" w:sz="0" w:space="0" w:color="auto"/>
        <w:bottom w:val="none" w:sz="0" w:space="0" w:color="auto"/>
        <w:right w:val="none" w:sz="0" w:space="0" w:color="auto"/>
      </w:divBdr>
      <w:divsChild>
        <w:div w:id="942762293">
          <w:marLeft w:val="0"/>
          <w:marRight w:val="0"/>
          <w:marTop w:val="0"/>
          <w:marBottom w:val="0"/>
          <w:divBdr>
            <w:top w:val="none" w:sz="0" w:space="0" w:color="auto"/>
            <w:left w:val="none" w:sz="0" w:space="0" w:color="auto"/>
            <w:bottom w:val="none" w:sz="0" w:space="0" w:color="auto"/>
            <w:right w:val="none" w:sz="0" w:space="0" w:color="auto"/>
          </w:divBdr>
          <w:divsChild>
            <w:div w:id="2030839482">
              <w:marLeft w:val="0"/>
              <w:marRight w:val="0"/>
              <w:marTop w:val="0"/>
              <w:marBottom w:val="0"/>
              <w:divBdr>
                <w:top w:val="none" w:sz="0" w:space="0" w:color="auto"/>
                <w:left w:val="none" w:sz="0" w:space="0" w:color="auto"/>
                <w:bottom w:val="none" w:sz="0" w:space="0" w:color="auto"/>
                <w:right w:val="none" w:sz="0" w:space="0" w:color="auto"/>
              </w:divBdr>
              <w:divsChild>
                <w:div w:id="1697268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2561025">
      <w:bodyDiv w:val="1"/>
      <w:marLeft w:val="0"/>
      <w:marRight w:val="0"/>
      <w:marTop w:val="0"/>
      <w:marBottom w:val="0"/>
      <w:divBdr>
        <w:top w:val="none" w:sz="0" w:space="0" w:color="auto"/>
        <w:left w:val="none" w:sz="0" w:space="0" w:color="auto"/>
        <w:bottom w:val="none" w:sz="0" w:space="0" w:color="auto"/>
        <w:right w:val="none" w:sz="0" w:space="0" w:color="auto"/>
      </w:divBdr>
    </w:div>
    <w:div w:id="1414476944">
      <w:bodyDiv w:val="1"/>
      <w:marLeft w:val="0"/>
      <w:marRight w:val="0"/>
      <w:marTop w:val="0"/>
      <w:marBottom w:val="0"/>
      <w:divBdr>
        <w:top w:val="none" w:sz="0" w:space="0" w:color="auto"/>
        <w:left w:val="none" w:sz="0" w:space="0" w:color="auto"/>
        <w:bottom w:val="none" w:sz="0" w:space="0" w:color="auto"/>
        <w:right w:val="none" w:sz="0" w:space="0" w:color="auto"/>
      </w:divBdr>
      <w:divsChild>
        <w:div w:id="766924041">
          <w:marLeft w:val="0"/>
          <w:marRight w:val="0"/>
          <w:marTop w:val="0"/>
          <w:marBottom w:val="0"/>
          <w:divBdr>
            <w:top w:val="none" w:sz="0" w:space="0" w:color="auto"/>
            <w:left w:val="none" w:sz="0" w:space="0" w:color="auto"/>
            <w:bottom w:val="none" w:sz="0" w:space="0" w:color="auto"/>
            <w:right w:val="none" w:sz="0" w:space="0" w:color="auto"/>
          </w:divBdr>
          <w:divsChild>
            <w:div w:id="377634725">
              <w:marLeft w:val="0"/>
              <w:marRight w:val="0"/>
              <w:marTop w:val="0"/>
              <w:marBottom w:val="0"/>
              <w:divBdr>
                <w:top w:val="none" w:sz="0" w:space="0" w:color="auto"/>
                <w:left w:val="none" w:sz="0" w:space="0" w:color="auto"/>
                <w:bottom w:val="none" w:sz="0" w:space="0" w:color="auto"/>
                <w:right w:val="none" w:sz="0" w:space="0" w:color="auto"/>
              </w:divBdr>
              <w:divsChild>
                <w:div w:id="21391799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52375531">
      <w:bodyDiv w:val="1"/>
      <w:marLeft w:val="0"/>
      <w:marRight w:val="0"/>
      <w:marTop w:val="0"/>
      <w:marBottom w:val="0"/>
      <w:divBdr>
        <w:top w:val="none" w:sz="0" w:space="0" w:color="auto"/>
        <w:left w:val="none" w:sz="0" w:space="0" w:color="auto"/>
        <w:bottom w:val="none" w:sz="0" w:space="0" w:color="auto"/>
        <w:right w:val="none" w:sz="0" w:space="0" w:color="auto"/>
      </w:divBdr>
      <w:divsChild>
        <w:div w:id="1641956406">
          <w:marLeft w:val="0"/>
          <w:marRight w:val="0"/>
          <w:marTop w:val="0"/>
          <w:marBottom w:val="0"/>
          <w:divBdr>
            <w:top w:val="none" w:sz="0" w:space="0" w:color="auto"/>
            <w:left w:val="none" w:sz="0" w:space="0" w:color="auto"/>
            <w:bottom w:val="none" w:sz="0" w:space="0" w:color="auto"/>
            <w:right w:val="none" w:sz="0" w:space="0" w:color="auto"/>
          </w:divBdr>
          <w:divsChild>
            <w:div w:id="1879972645">
              <w:marLeft w:val="0"/>
              <w:marRight w:val="0"/>
              <w:marTop w:val="0"/>
              <w:marBottom w:val="0"/>
              <w:divBdr>
                <w:top w:val="none" w:sz="0" w:space="0" w:color="auto"/>
                <w:left w:val="none" w:sz="0" w:space="0" w:color="auto"/>
                <w:bottom w:val="none" w:sz="0" w:space="0" w:color="auto"/>
                <w:right w:val="none" w:sz="0" w:space="0" w:color="auto"/>
              </w:divBdr>
              <w:divsChild>
                <w:div w:id="8575055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4378597">
      <w:bodyDiv w:val="1"/>
      <w:marLeft w:val="0"/>
      <w:marRight w:val="0"/>
      <w:marTop w:val="0"/>
      <w:marBottom w:val="0"/>
      <w:divBdr>
        <w:top w:val="none" w:sz="0" w:space="0" w:color="auto"/>
        <w:left w:val="none" w:sz="0" w:space="0" w:color="auto"/>
        <w:bottom w:val="none" w:sz="0" w:space="0" w:color="auto"/>
        <w:right w:val="none" w:sz="0" w:space="0" w:color="auto"/>
      </w:divBdr>
      <w:divsChild>
        <w:div w:id="119761240">
          <w:marLeft w:val="0"/>
          <w:marRight w:val="0"/>
          <w:marTop w:val="0"/>
          <w:marBottom w:val="0"/>
          <w:divBdr>
            <w:top w:val="none" w:sz="0" w:space="0" w:color="auto"/>
            <w:left w:val="none" w:sz="0" w:space="0" w:color="auto"/>
            <w:bottom w:val="none" w:sz="0" w:space="0" w:color="auto"/>
            <w:right w:val="none" w:sz="0" w:space="0" w:color="auto"/>
          </w:divBdr>
          <w:divsChild>
            <w:div w:id="467863946">
              <w:marLeft w:val="0"/>
              <w:marRight w:val="0"/>
              <w:marTop w:val="0"/>
              <w:marBottom w:val="0"/>
              <w:divBdr>
                <w:top w:val="none" w:sz="0" w:space="0" w:color="auto"/>
                <w:left w:val="none" w:sz="0" w:space="0" w:color="auto"/>
                <w:bottom w:val="none" w:sz="0" w:space="0" w:color="auto"/>
                <w:right w:val="none" w:sz="0" w:space="0" w:color="auto"/>
              </w:divBdr>
              <w:divsChild>
                <w:div w:id="20092112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6570409">
      <w:bodyDiv w:val="1"/>
      <w:marLeft w:val="0"/>
      <w:marRight w:val="0"/>
      <w:marTop w:val="0"/>
      <w:marBottom w:val="0"/>
      <w:divBdr>
        <w:top w:val="none" w:sz="0" w:space="0" w:color="auto"/>
        <w:left w:val="none" w:sz="0" w:space="0" w:color="auto"/>
        <w:bottom w:val="none" w:sz="0" w:space="0" w:color="auto"/>
        <w:right w:val="none" w:sz="0" w:space="0" w:color="auto"/>
      </w:divBdr>
    </w:div>
    <w:div w:id="2056002336">
      <w:bodyDiv w:val="1"/>
      <w:marLeft w:val="0"/>
      <w:marRight w:val="0"/>
      <w:marTop w:val="0"/>
      <w:marBottom w:val="0"/>
      <w:divBdr>
        <w:top w:val="none" w:sz="0" w:space="0" w:color="auto"/>
        <w:left w:val="none" w:sz="0" w:space="0" w:color="auto"/>
        <w:bottom w:val="none" w:sz="0" w:space="0" w:color="auto"/>
        <w:right w:val="none" w:sz="0" w:space="0" w:color="auto"/>
      </w:divBdr>
    </w:div>
    <w:div w:id="2120908613">
      <w:bodyDiv w:val="1"/>
      <w:marLeft w:val="0"/>
      <w:marRight w:val="0"/>
      <w:marTop w:val="0"/>
      <w:marBottom w:val="0"/>
      <w:divBdr>
        <w:top w:val="none" w:sz="0" w:space="0" w:color="auto"/>
        <w:left w:val="none" w:sz="0" w:space="0" w:color="auto"/>
        <w:bottom w:val="none" w:sz="0" w:space="0" w:color="auto"/>
        <w:right w:val="none" w:sz="0" w:space="0" w:color="auto"/>
      </w:divBdr>
      <w:divsChild>
        <w:div w:id="1495686003">
          <w:marLeft w:val="0"/>
          <w:marRight w:val="0"/>
          <w:marTop w:val="0"/>
          <w:marBottom w:val="0"/>
          <w:divBdr>
            <w:top w:val="none" w:sz="0" w:space="0" w:color="auto"/>
            <w:left w:val="none" w:sz="0" w:space="0" w:color="auto"/>
            <w:bottom w:val="none" w:sz="0" w:space="0" w:color="auto"/>
            <w:right w:val="none" w:sz="0" w:space="0" w:color="auto"/>
          </w:divBdr>
          <w:divsChild>
            <w:div w:id="2068335357">
              <w:marLeft w:val="0"/>
              <w:marRight w:val="0"/>
              <w:marTop w:val="0"/>
              <w:marBottom w:val="0"/>
              <w:divBdr>
                <w:top w:val="none" w:sz="0" w:space="0" w:color="auto"/>
                <w:left w:val="none" w:sz="0" w:space="0" w:color="auto"/>
                <w:bottom w:val="none" w:sz="0" w:space="0" w:color="auto"/>
                <w:right w:val="none" w:sz="0" w:space="0" w:color="auto"/>
              </w:divBdr>
              <w:divsChild>
                <w:div w:id="2065247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customXml" Target="../customXml/item4.xml"/></Relationships>
</file>

<file path=word/_rels/footnotes.xml.rels><?xml version="1.0" encoding="UTF-8" standalone="yes"?>
<Relationships xmlns="http://schemas.openxmlformats.org/package/2006/relationships"><Relationship Id="rId3" Type="http://schemas.openxmlformats.org/officeDocument/2006/relationships/hyperlink" Target="https://otg.cn.ua/2018/12/25/news-vlada/navishho-otg-pasporty-gromad/" TargetMode="External"/><Relationship Id="rId2" Type="http://schemas.openxmlformats.org/officeDocument/2006/relationships/hyperlink" Target="https://tbinternet.ohchr.org/_layouts/15/treatybodyexternal/Download.aspx?symbolno=INT%2fCEDAW%2fNGO%2fUKR%2f26388&amp;Lang=en" TargetMode="External"/><Relationship Id="rId1" Type="http://schemas.openxmlformats.org/officeDocument/2006/relationships/hyperlink" Target="https://wilpf.org/wp-content/uploads/2017/04/UKRAINE.UPR_.JointSubmission-30-Mar-2017.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9F22D19-EB78-6E4F-A5DD-43B932D8DC19}">
  <ds:schemaRefs>
    <ds:schemaRef ds:uri="http://schemas.openxmlformats.org/officeDocument/2006/bibliography"/>
  </ds:schemaRefs>
</ds:datastoreItem>
</file>

<file path=customXml/itemProps2.xml><?xml version="1.0" encoding="utf-8"?>
<ds:datastoreItem xmlns:ds="http://schemas.openxmlformats.org/officeDocument/2006/customXml" ds:itemID="{7FDA4CE5-D72C-4CBC-B8AB-56B547DC07B7}"/>
</file>

<file path=customXml/itemProps3.xml><?xml version="1.0" encoding="utf-8"?>
<ds:datastoreItem xmlns:ds="http://schemas.openxmlformats.org/officeDocument/2006/customXml" ds:itemID="{36313DA2-FC0B-4A19-B04D-C359B977C473}"/>
</file>

<file path=customXml/itemProps4.xml><?xml version="1.0" encoding="utf-8"?>
<ds:datastoreItem xmlns:ds="http://schemas.openxmlformats.org/officeDocument/2006/customXml" ds:itemID="{397C79CF-416B-4359-B011-9D1EB64F7BF5}"/>
</file>

<file path=docProps/app.xml><?xml version="1.0" encoding="utf-8"?>
<Properties xmlns="http://schemas.openxmlformats.org/officeDocument/2006/extended-properties" xmlns:vt="http://schemas.openxmlformats.org/officeDocument/2006/docPropsVTypes">
  <Template>Normal.dotm</Template>
  <TotalTime>0</TotalTime>
  <Pages>9</Pages>
  <Words>2721</Words>
  <Characters>15514</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18199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cp:lastPrinted>2019-08-27T08:28:00Z</cp:lastPrinted>
  <dcterms:created xsi:type="dcterms:W3CDTF">2020-02-03T17:23:00Z</dcterms:created>
  <dcterms:modified xsi:type="dcterms:W3CDTF">2020-02-03T17:26:00Z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