
<file path=[Content_Types].xml><?xml version="1.0" encoding="utf-8"?>
<Types xmlns="http://schemas.openxmlformats.org/package/2006/content-types">
  <Default Extension="rels" ContentType="application/vnd.openxmlformats-package.relationships+xml"/>
  <Default Extension="emf" ContentType="image/x-emf"/>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80BF236" w14:textId="60F280DF" w:rsidR="00464722" w:rsidRDefault="00464722">
      <w:r>
        <w:t>January 31, 2020</w:t>
      </w:r>
    </w:p>
    <w:p w14:paraId="79B68DB2" w14:textId="7A30904C" w:rsidR="003D5F5C" w:rsidRDefault="00275E98">
      <w:r>
        <w:t>To: the Committee on the Elimination of Discrimination against Women</w:t>
      </w:r>
    </w:p>
    <w:p w14:paraId="22633D3D" w14:textId="77777777" w:rsidR="00464722" w:rsidRDefault="00464722"/>
    <w:p w14:paraId="0BC0BED7" w14:textId="272C61F0" w:rsidR="00464722" w:rsidRDefault="00464722">
      <w:r>
        <w:t>The Japan NGO Network for CEDAW (JNNC)</w:t>
      </w:r>
      <w:bookmarkStart w:id="0" w:name="_GoBack"/>
      <w:bookmarkEnd w:id="0"/>
    </w:p>
    <w:p w14:paraId="6B66DDFF" w14:textId="77777777" w:rsidR="00275E98" w:rsidRDefault="00275E98"/>
    <w:p w14:paraId="645F750C" w14:textId="77777777" w:rsidR="002878B4" w:rsidRPr="00A00A73" w:rsidRDefault="00275E98">
      <w:pPr>
        <w:rPr>
          <w:b/>
          <w:bCs/>
        </w:rPr>
      </w:pPr>
      <w:r w:rsidRPr="00A00A73">
        <w:rPr>
          <w:b/>
          <w:bCs/>
        </w:rPr>
        <w:t>The Japan NGO Network for CEDAW requests that the Japanese government be asked to report on the following items.</w:t>
      </w:r>
    </w:p>
    <w:p w14:paraId="3D1A3F7A" w14:textId="77777777" w:rsidR="003D5F5C" w:rsidRDefault="003D5F5C"/>
    <w:p w14:paraId="3301F74C" w14:textId="0EF35C3C" w:rsidR="003D5F5C" w:rsidRPr="009E1161" w:rsidRDefault="003D5F5C" w:rsidP="003D5F5C">
      <w:pPr>
        <w:rPr>
          <w:b/>
          <w:bCs/>
          <w:color w:val="17365D" w:themeColor="text2" w:themeShade="BF"/>
        </w:rPr>
      </w:pPr>
      <w:r w:rsidRPr="009E1161">
        <w:rPr>
          <w:b/>
          <w:bCs/>
          <w:color w:val="17365D" w:themeColor="text2" w:themeShade="BF"/>
        </w:rPr>
        <w:t xml:space="preserve">1. </w:t>
      </w:r>
      <w:r w:rsidR="00E24ECE" w:rsidRPr="009E1161">
        <w:rPr>
          <w:b/>
          <w:bCs/>
          <w:color w:val="17365D" w:themeColor="text2" w:themeShade="BF"/>
        </w:rPr>
        <w:t>Prompt</w:t>
      </w:r>
      <w:r w:rsidRPr="009E1161">
        <w:rPr>
          <w:b/>
          <w:bCs/>
          <w:color w:val="17365D" w:themeColor="text2" w:themeShade="BF"/>
        </w:rPr>
        <w:t xml:space="preserve"> ratification of the Optional Protocol (paragraphs 9, 50 of the Concluding Observation</w:t>
      </w:r>
      <w:r w:rsidR="00A00A73" w:rsidRPr="009E1161">
        <w:rPr>
          <w:b/>
          <w:bCs/>
          <w:color w:val="17365D" w:themeColor="text2" w:themeShade="BF"/>
        </w:rPr>
        <w:t>s</w:t>
      </w:r>
      <w:r w:rsidRPr="009E1161">
        <w:rPr>
          <w:b/>
          <w:bCs/>
          <w:color w:val="17365D" w:themeColor="text2" w:themeShade="BF"/>
        </w:rPr>
        <w:t>)</w:t>
      </w:r>
    </w:p>
    <w:p w14:paraId="6D78FF7D" w14:textId="70960A65" w:rsidR="003D5F5C" w:rsidRPr="00A00A73" w:rsidRDefault="003D5F5C" w:rsidP="003D5F5C">
      <w:pPr>
        <w:rPr>
          <w:b/>
          <w:bCs/>
        </w:rPr>
      </w:pPr>
      <w:r w:rsidRPr="00A00A73">
        <w:rPr>
          <w:b/>
          <w:bCs/>
        </w:rPr>
        <w:t xml:space="preserve">Q1 </w:t>
      </w:r>
      <w:r w:rsidR="005F355C" w:rsidRPr="00A00A73">
        <w:rPr>
          <w:b/>
          <w:bCs/>
        </w:rPr>
        <w:t>Why was there no indication of the tim</w:t>
      </w:r>
      <w:r w:rsidR="009F4C80">
        <w:rPr>
          <w:b/>
          <w:bCs/>
        </w:rPr>
        <w:t>e</w:t>
      </w:r>
      <w:r w:rsidR="005F355C" w:rsidRPr="00A00A73">
        <w:rPr>
          <w:b/>
          <w:bCs/>
        </w:rPr>
        <w:t>frame for ratifying the Optional Protocol in the response to the LOI for the previous examination of the Periodic Report</w:t>
      </w:r>
      <w:r w:rsidR="00A00A73">
        <w:rPr>
          <w:b/>
          <w:bCs/>
        </w:rPr>
        <w:t>?</w:t>
      </w:r>
      <w:r w:rsidR="005F355C" w:rsidRPr="00A00A73">
        <w:rPr>
          <w:b/>
          <w:bCs/>
        </w:rPr>
        <w:t xml:space="preserve"> Please indicate the prospects for approval by the Diet, which is necessary for the ratification.</w:t>
      </w:r>
    </w:p>
    <w:p w14:paraId="4017C940" w14:textId="40231BE0" w:rsidR="005F355C" w:rsidRDefault="005F355C" w:rsidP="003D5F5C">
      <w:r>
        <w:t xml:space="preserve">Background: The government has acknowledged that the individual communication system under the Optional Protocol is a ‘noteworthy system,’ yet there has been no progress in </w:t>
      </w:r>
      <w:r w:rsidR="00A00A73">
        <w:t xml:space="preserve">its </w:t>
      </w:r>
      <w:r>
        <w:t xml:space="preserve">efforts for ratification. </w:t>
      </w:r>
      <w:r w:rsidR="001854BA">
        <w:t xml:space="preserve">As there is no need for new legislation or </w:t>
      </w:r>
      <w:r w:rsidR="003B4205">
        <w:t xml:space="preserve">domestic </w:t>
      </w:r>
      <w:r w:rsidR="001854BA">
        <w:t>measures, the government should ratify the Optional Protocol as soon as possible to increase the effectiveness of the Convention.</w:t>
      </w:r>
    </w:p>
    <w:p w14:paraId="61CB1189" w14:textId="77777777" w:rsidR="001854BA" w:rsidRDefault="001854BA" w:rsidP="003D5F5C"/>
    <w:p w14:paraId="466C968D" w14:textId="15536313" w:rsidR="001854BA" w:rsidRPr="003B4205" w:rsidRDefault="001854BA" w:rsidP="003D5F5C">
      <w:pPr>
        <w:rPr>
          <w:b/>
          <w:bCs/>
        </w:rPr>
      </w:pPr>
      <w:r w:rsidRPr="003B4205">
        <w:rPr>
          <w:b/>
          <w:bCs/>
        </w:rPr>
        <w:t xml:space="preserve">Q2 The government states that there are various issues to </w:t>
      </w:r>
      <w:proofErr w:type="gramStart"/>
      <w:r w:rsidRPr="003B4205">
        <w:rPr>
          <w:b/>
          <w:bCs/>
        </w:rPr>
        <w:t>consider</w:t>
      </w:r>
      <w:proofErr w:type="gramEnd"/>
      <w:r w:rsidRPr="003B4205">
        <w:rPr>
          <w:b/>
          <w:bCs/>
        </w:rPr>
        <w:t xml:space="preserve"> in relation to Japan’s judicial system or legislative policy, as well as organizational frameworks for implementation if Japan were to ratify the Optional Protocol. Please explain how specifically these may be obstacles in ratification of the OP.</w:t>
      </w:r>
    </w:p>
    <w:p w14:paraId="3B0C845A" w14:textId="7B63CFCA" w:rsidR="001854BA" w:rsidRDefault="001854BA" w:rsidP="003D5F5C">
      <w:r>
        <w:t xml:space="preserve">Background: Japan has held 20 interagency study meetings since 2005, and has continued to ‘seriously consider’ ratification, but has not indicated any intention or schedule towards ratification. </w:t>
      </w:r>
      <w:r w:rsidR="009E1161">
        <w:t>The</w:t>
      </w:r>
      <w:r w:rsidR="00D26867">
        <w:t xml:space="preserve"> </w:t>
      </w:r>
      <w:r w:rsidR="00D26867" w:rsidRPr="00D26867">
        <w:t>Division for Implementation of Human Rights Treaties</w:t>
      </w:r>
      <w:r w:rsidR="00D26867">
        <w:t xml:space="preserve"> was created in the Ministry of Foreign Affairs in 2010, but it has not played any role in promoting ratification.</w:t>
      </w:r>
    </w:p>
    <w:p w14:paraId="22F33824" w14:textId="77777777" w:rsidR="00D26867" w:rsidRDefault="00D26867" w:rsidP="003D5F5C"/>
    <w:p w14:paraId="275FCEE3" w14:textId="77777777" w:rsidR="00D26867" w:rsidRPr="009E1161" w:rsidRDefault="00D26867" w:rsidP="003D5F5C">
      <w:pPr>
        <w:rPr>
          <w:b/>
          <w:bCs/>
          <w:color w:val="17365D" w:themeColor="text2" w:themeShade="BF"/>
        </w:rPr>
      </w:pPr>
      <w:r w:rsidRPr="009E1161">
        <w:rPr>
          <w:b/>
          <w:bCs/>
          <w:color w:val="17365D" w:themeColor="text2" w:themeShade="BF"/>
        </w:rPr>
        <w:lastRenderedPageBreak/>
        <w:t>2. Full domestication of the provisions of the Convention (paragraph 9a)</w:t>
      </w:r>
    </w:p>
    <w:p w14:paraId="440C2C6B" w14:textId="608B4619" w:rsidR="00D26867" w:rsidRPr="003B4205" w:rsidRDefault="00D26867" w:rsidP="003D5F5C">
      <w:pPr>
        <w:rPr>
          <w:b/>
          <w:bCs/>
        </w:rPr>
      </w:pPr>
      <w:r w:rsidRPr="003B4205">
        <w:rPr>
          <w:b/>
          <w:bCs/>
        </w:rPr>
        <w:t>Q3 Legislation of a comprehensive law against discrimination and violence based on gender including a definition of discrimination against women in line with Article 1 of the Convention</w:t>
      </w:r>
      <w:r w:rsidR="003B4205" w:rsidRPr="003B4205">
        <w:rPr>
          <w:b/>
          <w:bCs/>
        </w:rPr>
        <w:t xml:space="preserve"> is necessary</w:t>
      </w:r>
      <w:r w:rsidRPr="003B4205">
        <w:rPr>
          <w:b/>
          <w:bCs/>
        </w:rPr>
        <w:t>. Why is there no progress in the government response?</w:t>
      </w:r>
    </w:p>
    <w:p w14:paraId="13EEB5BC" w14:textId="430EABA8" w:rsidR="00D26867" w:rsidRDefault="00D26867" w:rsidP="003D5F5C">
      <w:r>
        <w:t xml:space="preserve">Background: </w:t>
      </w:r>
      <w:r w:rsidR="00CC1D99">
        <w:t xml:space="preserve">Legislation of a comprehensive law against discrimination and violence based on gender including a definition of discrimination against women in line with Article 1 of the Convention is necessary for the full incorporation of the Convention in the domestic laws. The government should also </w:t>
      </w:r>
      <w:r w:rsidR="009E232B">
        <w:t xml:space="preserve">ensure that </w:t>
      </w:r>
      <w:r w:rsidR="00004984">
        <w:t xml:space="preserve">the officials and personnel of the legislature, </w:t>
      </w:r>
      <w:r w:rsidR="004126EE">
        <w:t xml:space="preserve">the </w:t>
      </w:r>
      <w:r w:rsidR="00004984">
        <w:t xml:space="preserve">judiciary and </w:t>
      </w:r>
      <w:r w:rsidR="004126EE">
        <w:t xml:space="preserve">the </w:t>
      </w:r>
      <w:r w:rsidR="009E1161">
        <w:t xml:space="preserve">executive </w:t>
      </w:r>
      <w:r w:rsidR="009E232B">
        <w:t xml:space="preserve">are aware that </w:t>
      </w:r>
      <w:r w:rsidR="003B4205">
        <w:t xml:space="preserve">under Article 98 paragraph 2 of the Constitution, </w:t>
      </w:r>
      <w:r w:rsidR="009E232B">
        <w:t>when provisions of a law and treaty are in conflict, those of the treaties prevail.</w:t>
      </w:r>
    </w:p>
    <w:p w14:paraId="1BDE633F" w14:textId="77777777" w:rsidR="009E232B" w:rsidRPr="003B4205" w:rsidRDefault="009E232B" w:rsidP="003D5F5C"/>
    <w:p w14:paraId="3D9232AA" w14:textId="4FAB6A91" w:rsidR="009E232B" w:rsidRPr="004126EE" w:rsidRDefault="009E232B" w:rsidP="003D5F5C">
      <w:pPr>
        <w:rPr>
          <w:b/>
          <w:bCs/>
          <w:color w:val="17365D" w:themeColor="text2" w:themeShade="BF"/>
        </w:rPr>
      </w:pPr>
      <w:r w:rsidRPr="004126EE">
        <w:rPr>
          <w:b/>
          <w:bCs/>
          <w:color w:val="17365D" w:themeColor="text2" w:themeShade="BF"/>
        </w:rPr>
        <w:t xml:space="preserve">3. </w:t>
      </w:r>
      <w:r w:rsidR="00D940E8" w:rsidRPr="004126EE">
        <w:rPr>
          <w:b/>
          <w:bCs/>
          <w:color w:val="17365D" w:themeColor="text2" w:themeShade="BF"/>
        </w:rPr>
        <w:t>Strengthening the national machinery (paragraph 17)</w:t>
      </w:r>
    </w:p>
    <w:p w14:paraId="14694197" w14:textId="77777777" w:rsidR="00D940E8" w:rsidRPr="003B4205" w:rsidRDefault="00D940E8" w:rsidP="003D5F5C">
      <w:pPr>
        <w:rPr>
          <w:b/>
          <w:bCs/>
        </w:rPr>
      </w:pPr>
      <w:r w:rsidRPr="003B4205">
        <w:rPr>
          <w:b/>
          <w:bCs/>
        </w:rPr>
        <w:t xml:space="preserve">Q4 Please </w:t>
      </w:r>
      <w:proofErr w:type="gramStart"/>
      <w:r w:rsidRPr="003B4205">
        <w:rPr>
          <w:b/>
          <w:bCs/>
        </w:rPr>
        <w:t>explain</w:t>
      </w:r>
      <w:proofErr w:type="gramEnd"/>
      <w:r w:rsidRPr="003B4205">
        <w:rPr>
          <w:b/>
          <w:bCs/>
        </w:rPr>
        <w:t xml:space="preserve"> how the roles of the various organs were clarified and how the national machinery as a whole was strengthened for the effective implementation of efforts for gender mainstreaming and gender budgeting.</w:t>
      </w:r>
    </w:p>
    <w:p w14:paraId="6EBAAA8D" w14:textId="03FF4905" w:rsidR="00D940E8" w:rsidRDefault="00D940E8" w:rsidP="003D5F5C">
      <w:pPr>
        <w:rPr>
          <w:sz w:val="22"/>
          <w:szCs w:val="22"/>
        </w:rPr>
      </w:pPr>
      <w:r>
        <w:t xml:space="preserve">Background: </w:t>
      </w:r>
      <w:r w:rsidR="002E0349">
        <w:t>The Minister for Gender Equality is holding other positions</w:t>
      </w:r>
      <w:r w:rsidR="003B4205" w:rsidRPr="003B4205">
        <w:t xml:space="preserve"> </w:t>
      </w:r>
      <w:r w:rsidR="003B4205">
        <w:t>concurrently.</w:t>
      </w:r>
      <w:r w:rsidR="002E0349">
        <w:t xml:space="preserve"> The three most recent meetings of the </w:t>
      </w:r>
      <w:r w:rsidR="002E0349" w:rsidRPr="007913AF">
        <w:rPr>
          <w:sz w:val="22"/>
          <w:szCs w:val="22"/>
        </w:rPr>
        <w:t xml:space="preserve">Headquarters for the Promotion of Gender </w:t>
      </w:r>
      <w:proofErr w:type="gramStart"/>
      <w:r w:rsidR="002E0349" w:rsidRPr="007913AF">
        <w:rPr>
          <w:sz w:val="22"/>
          <w:szCs w:val="22"/>
        </w:rPr>
        <w:t>Equality,</w:t>
      </w:r>
      <w:proofErr w:type="gramEnd"/>
      <w:r w:rsidR="002E0349" w:rsidRPr="007913AF">
        <w:rPr>
          <w:sz w:val="22"/>
          <w:szCs w:val="22"/>
        </w:rPr>
        <w:t xml:space="preserve"> headed by </w:t>
      </w:r>
      <w:r w:rsidR="003B4205">
        <w:rPr>
          <w:sz w:val="22"/>
          <w:szCs w:val="22"/>
        </w:rPr>
        <w:t xml:space="preserve">the </w:t>
      </w:r>
      <w:r w:rsidR="002E0349" w:rsidRPr="007913AF">
        <w:rPr>
          <w:sz w:val="22"/>
          <w:szCs w:val="22"/>
        </w:rPr>
        <w:t xml:space="preserve">Prime Minister and </w:t>
      </w:r>
      <w:r w:rsidR="002E0349">
        <w:rPr>
          <w:sz w:val="22"/>
          <w:szCs w:val="22"/>
        </w:rPr>
        <w:t>com</w:t>
      </w:r>
      <w:r w:rsidR="004126EE">
        <w:rPr>
          <w:sz w:val="22"/>
          <w:szCs w:val="22"/>
        </w:rPr>
        <w:t>posed of all Cabinet members were</w:t>
      </w:r>
      <w:r w:rsidR="002E0349">
        <w:rPr>
          <w:sz w:val="22"/>
          <w:szCs w:val="22"/>
        </w:rPr>
        <w:t xml:space="preserve"> in 2008, 2014 and 2016. The national machinery </w:t>
      </w:r>
      <w:r w:rsidR="009E4428">
        <w:rPr>
          <w:sz w:val="22"/>
          <w:szCs w:val="22"/>
        </w:rPr>
        <w:t>does not have the necessary authority or functions to effectively take initiatives for gender mainstreaming and gender budgeting.</w:t>
      </w:r>
    </w:p>
    <w:p w14:paraId="72D39B99" w14:textId="77777777" w:rsidR="009E4428" w:rsidRDefault="009E4428" w:rsidP="003D5F5C">
      <w:pPr>
        <w:rPr>
          <w:sz w:val="22"/>
          <w:szCs w:val="22"/>
        </w:rPr>
      </w:pPr>
    </w:p>
    <w:p w14:paraId="3B053DD6" w14:textId="0C72E7A0" w:rsidR="009E4428" w:rsidRPr="004126EE" w:rsidRDefault="009E4428" w:rsidP="003D5F5C">
      <w:pPr>
        <w:rPr>
          <w:b/>
          <w:bCs/>
          <w:color w:val="17365D" w:themeColor="text2" w:themeShade="BF"/>
        </w:rPr>
      </w:pPr>
      <w:r w:rsidRPr="004126EE">
        <w:rPr>
          <w:b/>
          <w:bCs/>
          <w:color w:val="17365D" w:themeColor="text2" w:themeShade="BF"/>
        </w:rPr>
        <w:t>4. Strengthening the role of the legislature (paragraph 7)</w:t>
      </w:r>
    </w:p>
    <w:p w14:paraId="2F2C9A40" w14:textId="1F601877" w:rsidR="009E4428" w:rsidRPr="003B4205" w:rsidRDefault="009E4428" w:rsidP="003D5F5C">
      <w:pPr>
        <w:rPr>
          <w:b/>
          <w:bCs/>
        </w:rPr>
      </w:pPr>
      <w:r w:rsidRPr="003B4205">
        <w:rPr>
          <w:b/>
          <w:bCs/>
        </w:rPr>
        <w:t xml:space="preserve">Q5 Please explain </w:t>
      </w:r>
      <w:r w:rsidR="004126EE">
        <w:rPr>
          <w:b/>
          <w:bCs/>
        </w:rPr>
        <w:t xml:space="preserve">about the </w:t>
      </w:r>
      <w:r w:rsidRPr="003B4205">
        <w:rPr>
          <w:b/>
          <w:bCs/>
        </w:rPr>
        <w:t xml:space="preserve">specific measures taken to strengthen the strategic role of the Diet in implementing the Convention, as well as </w:t>
      </w:r>
      <w:r w:rsidR="004126EE">
        <w:rPr>
          <w:b/>
          <w:bCs/>
        </w:rPr>
        <w:t xml:space="preserve">about the </w:t>
      </w:r>
      <w:r w:rsidRPr="003B4205">
        <w:rPr>
          <w:b/>
          <w:bCs/>
        </w:rPr>
        <w:t>remaining problems.</w:t>
      </w:r>
    </w:p>
    <w:p w14:paraId="091924FD" w14:textId="285BF5D9" w:rsidR="009E4428" w:rsidRDefault="009E4428" w:rsidP="003D5F5C">
      <w:r>
        <w:t xml:space="preserve">Background: </w:t>
      </w:r>
      <w:r w:rsidR="001310FC">
        <w:t xml:space="preserve">The current state of dissemination of information on the </w:t>
      </w:r>
      <w:r w:rsidR="001310FC">
        <w:lastRenderedPageBreak/>
        <w:t>Convention and rel</w:t>
      </w:r>
      <w:r w:rsidR="003B4205">
        <w:t>ated</w:t>
      </w:r>
      <w:r w:rsidR="001310FC">
        <w:t xml:space="preserve"> texts is said to </w:t>
      </w:r>
      <w:r w:rsidR="003B4205">
        <w:t>consist of</w:t>
      </w:r>
      <w:r w:rsidR="001310FC">
        <w:t xml:space="preserve"> information provided to the Secretariats of both Houses of the Diet. The Diet should play a strategic role in the implementation of the Convention and the ratification of the Optional Protocol.</w:t>
      </w:r>
    </w:p>
    <w:p w14:paraId="0D2D0A94" w14:textId="77777777" w:rsidR="001310FC" w:rsidRDefault="001310FC" w:rsidP="003D5F5C"/>
    <w:p w14:paraId="13FB9796" w14:textId="65842A31" w:rsidR="001310FC" w:rsidRPr="004126EE" w:rsidRDefault="001310FC" w:rsidP="003D5F5C">
      <w:pPr>
        <w:rPr>
          <w:b/>
          <w:bCs/>
          <w:color w:val="17365D" w:themeColor="text2" w:themeShade="BF"/>
        </w:rPr>
      </w:pPr>
      <w:r w:rsidRPr="004126EE">
        <w:rPr>
          <w:b/>
          <w:bCs/>
          <w:color w:val="17365D" w:themeColor="text2" w:themeShade="BF"/>
        </w:rPr>
        <w:t>5. Establishment of the national human rights institution (paragraph 16)</w:t>
      </w:r>
    </w:p>
    <w:p w14:paraId="1A53821B" w14:textId="232A21E6" w:rsidR="001310FC" w:rsidRPr="003B4205" w:rsidRDefault="001310FC" w:rsidP="003D5F5C">
      <w:pPr>
        <w:rPr>
          <w:b/>
          <w:bCs/>
        </w:rPr>
      </w:pPr>
      <w:r w:rsidRPr="003B4205">
        <w:rPr>
          <w:b/>
          <w:bCs/>
        </w:rPr>
        <w:t xml:space="preserve">Q6 </w:t>
      </w:r>
      <w:r w:rsidR="00F767C8" w:rsidRPr="003B4205">
        <w:rPr>
          <w:b/>
          <w:bCs/>
        </w:rPr>
        <w:t xml:space="preserve">The establishment </w:t>
      </w:r>
      <w:r w:rsidR="00464722">
        <w:rPr>
          <w:b/>
          <w:bCs/>
        </w:rPr>
        <w:t xml:space="preserve">of </w:t>
      </w:r>
      <w:r w:rsidR="00F767C8" w:rsidRPr="003B4205">
        <w:rPr>
          <w:b/>
          <w:bCs/>
        </w:rPr>
        <w:t xml:space="preserve">a national human rights institution in line with the Paris Principles and a system to implement human rights protection in the country is urgently needed. Please explain in clear details what </w:t>
      </w:r>
      <w:r w:rsidR="008C135D" w:rsidRPr="003B4205">
        <w:rPr>
          <w:b/>
          <w:bCs/>
        </w:rPr>
        <w:t xml:space="preserve">is necessary </w:t>
      </w:r>
      <w:r w:rsidR="003B4205" w:rsidRPr="003B4205">
        <w:rPr>
          <w:b/>
          <w:bCs/>
        </w:rPr>
        <w:t>for their establishment</w:t>
      </w:r>
      <w:r w:rsidR="008C135D" w:rsidRPr="003B4205">
        <w:rPr>
          <w:b/>
          <w:bCs/>
        </w:rPr>
        <w:t>.</w:t>
      </w:r>
    </w:p>
    <w:p w14:paraId="07F5F591" w14:textId="7B6050D6" w:rsidR="008C135D" w:rsidRDefault="008C135D" w:rsidP="003D5F5C">
      <w:r>
        <w:t>Background: The establishment of a human rights institution that has the functions of making policy proposals and providing remedies for violation of human rights including sexual violence, which are important mandates for national human rights institutions, is necessary. It should also be able to formulate and implement training and education programs for judicial personnel as well as conduct research.</w:t>
      </w:r>
    </w:p>
    <w:p w14:paraId="390A1FB3" w14:textId="77777777" w:rsidR="008C135D" w:rsidRDefault="008C135D" w:rsidP="003D5F5C"/>
    <w:p w14:paraId="546ED68A" w14:textId="428E1F82" w:rsidR="008C135D" w:rsidRPr="004126EE" w:rsidRDefault="008C135D" w:rsidP="003D5F5C">
      <w:pPr>
        <w:rPr>
          <w:b/>
          <w:bCs/>
          <w:color w:val="17365D" w:themeColor="text2" w:themeShade="BF"/>
        </w:rPr>
      </w:pPr>
      <w:r w:rsidRPr="004126EE">
        <w:rPr>
          <w:b/>
          <w:bCs/>
          <w:color w:val="17365D" w:themeColor="text2" w:themeShade="BF"/>
        </w:rPr>
        <w:t>6. Implementation of the Concluding Observations (paragraph 53, 9b, 9d)</w:t>
      </w:r>
    </w:p>
    <w:p w14:paraId="615B9AE9" w14:textId="29591954" w:rsidR="008C135D" w:rsidRPr="003B4205" w:rsidRDefault="008C135D" w:rsidP="003D5F5C">
      <w:pPr>
        <w:rPr>
          <w:b/>
          <w:bCs/>
        </w:rPr>
      </w:pPr>
      <w:r w:rsidRPr="003B4205">
        <w:rPr>
          <w:b/>
          <w:bCs/>
        </w:rPr>
        <w:t>Q7 Please explain the status of dissemination of the Conve</w:t>
      </w:r>
      <w:r w:rsidR="00863F82" w:rsidRPr="003B4205">
        <w:rPr>
          <w:b/>
          <w:bCs/>
        </w:rPr>
        <w:t>ntion and the Optional Protocol to the various sectors of the general public, Members of the Diet, the judiciary and the media among others, as well as the obstacles.</w:t>
      </w:r>
    </w:p>
    <w:p w14:paraId="5A2D69C8" w14:textId="1F2AA95E" w:rsidR="00863F82" w:rsidRDefault="00863F82" w:rsidP="003D5F5C">
      <w:r>
        <w:t xml:space="preserve">Background: The dissemination of the title of the Convention itself is extremely insufficient (the target was set at 50% or more, the latest figure was 36.1%). More active efforts should be made to disseminate the Convention, the Concluding Observations, the Optional Protocol and the General </w:t>
      </w:r>
      <w:r w:rsidR="003B4205">
        <w:t>Recommendations</w:t>
      </w:r>
      <w:r>
        <w:t xml:space="preserve"> to the various sectors of the general public, Members of the Diet, the judiciary and the media among others.</w:t>
      </w:r>
    </w:p>
    <w:p w14:paraId="642E2EEA" w14:textId="77777777" w:rsidR="00863F82" w:rsidRPr="003B4205" w:rsidRDefault="00863F82" w:rsidP="003D5F5C"/>
    <w:p w14:paraId="5ACAB0BB" w14:textId="19C39159" w:rsidR="00863F82" w:rsidRPr="003B4205" w:rsidRDefault="00863F82" w:rsidP="003D5F5C">
      <w:pPr>
        <w:rPr>
          <w:b/>
          <w:bCs/>
        </w:rPr>
      </w:pPr>
      <w:r w:rsidRPr="003B4205">
        <w:rPr>
          <w:b/>
          <w:bCs/>
        </w:rPr>
        <w:t xml:space="preserve">Q8 Please give details, if any, of trainings and awareness-raising </w:t>
      </w:r>
      <w:r w:rsidRPr="003B4205">
        <w:rPr>
          <w:b/>
          <w:bCs/>
        </w:rPr>
        <w:lastRenderedPageBreak/>
        <w:t>programs for Members of the Diet, civil servants, judges, public prosecutors and others on the Convention and the jurisprudence under the Optional Protocol.</w:t>
      </w:r>
    </w:p>
    <w:p w14:paraId="7EABD287" w14:textId="0C2A1E8A" w:rsidR="00863F82" w:rsidRDefault="00863F82" w:rsidP="003D5F5C">
      <w:r>
        <w:t xml:space="preserve">Background: Enhanced training should be provided for Members of the Diet, civil servants, judges and public prosecutors on the Convention, General Comments and human rights of women in general. Also, </w:t>
      </w:r>
      <w:r w:rsidR="001E525A">
        <w:t>international human rights law should be made a mandatory subject for the bar examination. In particular, systematic training should be provided on the jurisprudence under the Optional Protocol and the need for prompt ratification of the Optional Protocol.</w:t>
      </w:r>
    </w:p>
    <w:p w14:paraId="46E240A4" w14:textId="70D6A95E" w:rsidR="00231D1B" w:rsidRDefault="00231D1B" w:rsidP="003D5F5C"/>
    <w:p w14:paraId="2DA46235" w14:textId="77777777" w:rsidR="003F3537" w:rsidRPr="003B4205" w:rsidRDefault="00231D1B" w:rsidP="003D5F5C">
      <w:pPr>
        <w:rPr>
          <w:b/>
          <w:bCs/>
        </w:rPr>
      </w:pPr>
      <w:r w:rsidRPr="003B4205">
        <w:rPr>
          <w:b/>
          <w:bCs/>
        </w:rPr>
        <w:t xml:space="preserve">Q9 Please clarify whether clear targets </w:t>
      </w:r>
      <w:r w:rsidR="003F3537" w:rsidRPr="003B4205">
        <w:rPr>
          <w:b/>
          <w:bCs/>
        </w:rPr>
        <w:t>and indices for the implementation of the Concluding Observations are provided for in the 5</w:t>
      </w:r>
      <w:r w:rsidR="003F3537" w:rsidRPr="003B4205">
        <w:rPr>
          <w:b/>
          <w:bCs/>
          <w:vertAlign w:val="superscript"/>
        </w:rPr>
        <w:t>th</w:t>
      </w:r>
      <w:r w:rsidR="003F3537" w:rsidRPr="003B4205">
        <w:rPr>
          <w:b/>
          <w:bCs/>
        </w:rPr>
        <w:t xml:space="preserve"> Basic Plan for Gender </w:t>
      </w:r>
      <w:proofErr w:type="gramStart"/>
      <w:r w:rsidR="003F3537" w:rsidRPr="003B4205">
        <w:rPr>
          <w:b/>
          <w:bCs/>
        </w:rPr>
        <w:t>Equality which</w:t>
      </w:r>
      <w:proofErr w:type="gramEnd"/>
      <w:r w:rsidR="003F3537" w:rsidRPr="003B4205">
        <w:rPr>
          <w:b/>
          <w:bCs/>
        </w:rPr>
        <w:t xml:space="preserve"> is currently being formulated.</w:t>
      </w:r>
    </w:p>
    <w:p w14:paraId="77DDBE6C" w14:textId="77777777" w:rsidR="003F3537" w:rsidRDefault="003F3537" w:rsidP="003D5F5C">
      <w:r>
        <w:t>Background: The 4</w:t>
      </w:r>
      <w:r w:rsidRPr="003F3537">
        <w:rPr>
          <w:vertAlign w:val="superscript"/>
        </w:rPr>
        <w:t>th</w:t>
      </w:r>
      <w:r>
        <w:t xml:space="preserve"> Basic Plan for Gender Equality mentions ‘response to recommendations given in the Concluding Observations’ but what is being implemented is insufficient. There is a need to put in place a system that enables discussion, evaluation and proposals from experts on the specific measures taken and status of progress in meeting targets in the 5</w:t>
      </w:r>
      <w:r w:rsidRPr="003F3537">
        <w:rPr>
          <w:vertAlign w:val="superscript"/>
        </w:rPr>
        <w:t>th</w:t>
      </w:r>
      <w:r>
        <w:t xml:space="preserve"> Basic Plan.</w:t>
      </w:r>
    </w:p>
    <w:p w14:paraId="03FEE299" w14:textId="77777777" w:rsidR="006B0637" w:rsidRDefault="006B0637" w:rsidP="003D5F5C"/>
    <w:p w14:paraId="565D1A83" w14:textId="77777777" w:rsidR="006B0637" w:rsidRPr="00967993" w:rsidRDefault="006B0637" w:rsidP="003D5F5C">
      <w:pPr>
        <w:rPr>
          <w:b/>
          <w:bCs/>
          <w:color w:val="17365D" w:themeColor="text2" w:themeShade="BF"/>
        </w:rPr>
      </w:pPr>
      <w:r w:rsidRPr="00967993">
        <w:rPr>
          <w:b/>
          <w:bCs/>
          <w:color w:val="17365D" w:themeColor="text2" w:themeShade="BF"/>
        </w:rPr>
        <w:t>7. The Beijing Declaration and Platform for Action (paragraph 51)</w:t>
      </w:r>
    </w:p>
    <w:p w14:paraId="762C7A86" w14:textId="141A2641" w:rsidR="00231D1B" w:rsidRDefault="003E17DE" w:rsidP="003D5F5C">
      <w:r w:rsidRPr="003B4205">
        <w:rPr>
          <w:b/>
          <w:bCs/>
        </w:rPr>
        <w:t xml:space="preserve">Q10 Please explain how the Beijing Platform for Action, which is an essential international policy guideline for gender mainstreaming, is implemented, as well as what efforts were made to enhance the important aspects for the policy basis such as gender statics, and gender budgeting. </w:t>
      </w:r>
      <w:r w:rsidR="003F3537">
        <w:t xml:space="preserve">   </w:t>
      </w:r>
    </w:p>
    <w:p w14:paraId="7E241709" w14:textId="47A9258E" w:rsidR="00D940E8" w:rsidRDefault="003E17DE" w:rsidP="003D5F5C">
      <w:r>
        <w:t xml:space="preserve">Background: The government policy to increase participation of women is a policy of using women as labor force as part of the strategy for economic growth, and is not a policy for gender mainstreaming. The authority of the Gender Equality Bureau as well as the budget and personnel related to </w:t>
      </w:r>
      <w:r>
        <w:lastRenderedPageBreak/>
        <w:t>gender equality has not been expanded, and the implementation of the Beijing Platform is insufficient.</w:t>
      </w:r>
    </w:p>
    <w:p w14:paraId="7C7F927E" w14:textId="4523EE39" w:rsidR="003E17DE" w:rsidRDefault="003E17DE" w:rsidP="003D5F5C"/>
    <w:p w14:paraId="0E76E3B1" w14:textId="5BD76E7C" w:rsidR="003E17DE" w:rsidRPr="00D92245" w:rsidRDefault="003E17DE" w:rsidP="003D5F5C">
      <w:pPr>
        <w:rPr>
          <w:color w:val="17365D" w:themeColor="text2" w:themeShade="BF"/>
        </w:rPr>
      </w:pPr>
      <w:r w:rsidRPr="00D92245">
        <w:rPr>
          <w:rFonts w:hint="eastAsia"/>
          <w:color w:val="17365D" w:themeColor="text2" w:themeShade="BF"/>
        </w:rPr>
        <w:t>8</w:t>
      </w:r>
      <w:r w:rsidRPr="00D92245">
        <w:rPr>
          <w:color w:val="17365D" w:themeColor="text2" w:themeShade="BF"/>
        </w:rPr>
        <w:t>. Elimination of stereotypical ideas of gender roles (paragraph 21 a)</w:t>
      </w:r>
    </w:p>
    <w:p w14:paraId="5D27DDD5" w14:textId="1CDFF5AA" w:rsidR="003E17DE" w:rsidRPr="00D92245" w:rsidRDefault="003E17DE" w:rsidP="003D5F5C">
      <w:pPr>
        <w:rPr>
          <w:b/>
        </w:rPr>
      </w:pPr>
      <w:r w:rsidRPr="00D92245">
        <w:rPr>
          <w:b/>
        </w:rPr>
        <w:t>Q11 Please explain what efforts have been made to change traditional stereotypical ideas of gender roles as well as social norms.</w:t>
      </w:r>
    </w:p>
    <w:p w14:paraId="793A4F13" w14:textId="0B96BC38" w:rsidR="003E17DE" w:rsidRDefault="003E17DE" w:rsidP="003D5F5C">
      <w:r>
        <w:rPr>
          <w:rFonts w:hint="eastAsia"/>
        </w:rPr>
        <w:t>B</w:t>
      </w:r>
      <w:r>
        <w:t>ackground:</w:t>
      </w:r>
      <w:r w:rsidR="00720A27">
        <w:rPr>
          <w:rFonts w:hint="eastAsia"/>
        </w:rPr>
        <w:t xml:space="preserve"> </w:t>
      </w:r>
      <w:r w:rsidR="00720A27">
        <w:t xml:space="preserve">Male workers continue to work long hours, and no measures have been taken to create an environment in which men and women share family responsibilities on an equal basis, so there is no progress in the number of men taking childcare leave. Japan ranks 144th in the political field in the Gender Gap Index of 2019, because of the electoral system, which makes it difficult for women to stand for elections. In rural areas, in particular, politics is still seen as strictly ‘men’s work’ and </w:t>
      </w:r>
      <w:r w:rsidR="00FA6358">
        <w:t xml:space="preserve">female members of local councils continue to face </w:t>
      </w:r>
      <w:r w:rsidR="00720A27">
        <w:t xml:space="preserve">sexual harassment </w:t>
      </w:r>
      <w:r w:rsidR="00FA6358">
        <w:t>and discriminatory treatment.</w:t>
      </w:r>
    </w:p>
    <w:p w14:paraId="30BF59A1" w14:textId="37DE528D" w:rsidR="00FA6358" w:rsidRDefault="00FA6358" w:rsidP="003D5F5C"/>
    <w:p w14:paraId="6711B5A0" w14:textId="358B5BDF" w:rsidR="00FA6358" w:rsidRPr="009F4C80" w:rsidRDefault="00FA6358" w:rsidP="003D5F5C">
      <w:pPr>
        <w:rPr>
          <w:b/>
          <w:bCs/>
        </w:rPr>
      </w:pPr>
      <w:r w:rsidRPr="009F4C80">
        <w:rPr>
          <w:rFonts w:hint="eastAsia"/>
          <w:b/>
          <w:bCs/>
        </w:rPr>
        <w:t>Q</w:t>
      </w:r>
      <w:r w:rsidRPr="009F4C80">
        <w:rPr>
          <w:b/>
          <w:bCs/>
        </w:rPr>
        <w:t>12 Please explain what measures are being taken to prohibit gender discriminatory remarks by politicians and public officials that facilitate stereotypical ideas of gender roles.</w:t>
      </w:r>
    </w:p>
    <w:p w14:paraId="6FC5B5FE" w14:textId="5842C7CD" w:rsidR="00FA6358" w:rsidRDefault="00FA6358" w:rsidP="003D5F5C">
      <w:r>
        <w:rPr>
          <w:rFonts w:hint="eastAsia"/>
        </w:rPr>
        <w:t>B</w:t>
      </w:r>
      <w:r>
        <w:t>ackground: In 2009, the Committee recommended</w:t>
      </w:r>
      <w:r w:rsidRPr="00FA6358">
        <w:t xml:space="preserve"> criminalization of verbal violence</w:t>
      </w:r>
      <w:r>
        <w:t xml:space="preserve"> regarding discriminatory remarks by public officials, but the Japanese government has not taken any measures, and discriminatory remarks by Members of the Cabinet and the Diet continue. </w:t>
      </w:r>
      <w:proofErr w:type="gramStart"/>
      <w:r>
        <w:t>Remarks</w:t>
      </w:r>
      <w:r w:rsidRPr="00FA6358">
        <w:t xml:space="preserve"> </w:t>
      </w:r>
      <w:r>
        <w:t>such as “there is no crime called sexual harassment,” “please have three children or more,” and “LGBT people are not productive” have been made by Ministers and Members of the Diet</w:t>
      </w:r>
      <w:proofErr w:type="gramEnd"/>
      <w:r>
        <w:t>, but none of them have left the office or faced punishment.</w:t>
      </w:r>
    </w:p>
    <w:p w14:paraId="14F7EA5A" w14:textId="05E6413C" w:rsidR="00FA6358" w:rsidRDefault="00FA6358" w:rsidP="003D5F5C"/>
    <w:p w14:paraId="6D6159A9" w14:textId="394D3E1D" w:rsidR="00FA6358" w:rsidRPr="009F4C80" w:rsidRDefault="00FA6358" w:rsidP="003D5F5C">
      <w:pPr>
        <w:rPr>
          <w:b/>
          <w:bCs/>
        </w:rPr>
      </w:pPr>
      <w:r w:rsidRPr="00D92245">
        <w:rPr>
          <w:rFonts w:hint="eastAsia"/>
          <w:b/>
          <w:bCs/>
          <w:color w:val="17365D" w:themeColor="text2" w:themeShade="BF"/>
        </w:rPr>
        <w:t>9</w:t>
      </w:r>
      <w:r w:rsidRPr="00D92245">
        <w:rPr>
          <w:b/>
          <w:bCs/>
          <w:color w:val="17365D" w:themeColor="text2" w:themeShade="BF"/>
        </w:rPr>
        <w:t>. Participation in political and public activities (paragraphs 31a, 31b)</w:t>
      </w:r>
    </w:p>
    <w:p w14:paraId="6354B3F4" w14:textId="3B280556" w:rsidR="00FA6358" w:rsidRPr="009F4C80" w:rsidRDefault="00FA6358" w:rsidP="003D5F5C">
      <w:pPr>
        <w:rPr>
          <w:b/>
          <w:bCs/>
        </w:rPr>
      </w:pPr>
      <w:r w:rsidRPr="009F4C80">
        <w:rPr>
          <w:rFonts w:hint="eastAsia"/>
          <w:b/>
          <w:bCs/>
        </w:rPr>
        <w:t>Q</w:t>
      </w:r>
      <w:r w:rsidRPr="009F4C80">
        <w:rPr>
          <w:b/>
          <w:bCs/>
        </w:rPr>
        <w:t xml:space="preserve">13 Please explain </w:t>
      </w:r>
      <w:r w:rsidR="00076879" w:rsidRPr="009F4C80">
        <w:rPr>
          <w:b/>
          <w:bCs/>
        </w:rPr>
        <w:t xml:space="preserve">whether there were </w:t>
      </w:r>
      <w:r w:rsidR="009F4C80" w:rsidRPr="009F4C80">
        <w:rPr>
          <w:b/>
          <w:bCs/>
        </w:rPr>
        <w:t xml:space="preserve">any </w:t>
      </w:r>
      <w:r w:rsidR="00076879" w:rsidRPr="009F4C80">
        <w:rPr>
          <w:b/>
          <w:bCs/>
        </w:rPr>
        <w:t xml:space="preserve">discussions on how to </w:t>
      </w:r>
      <w:r w:rsidR="00076879" w:rsidRPr="009F4C80">
        <w:rPr>
          <w:b/>
          <w:bCs/>
        </w:rPr>
        <w:lastRenderedPageBreak/>
        <w:t>introduce statutory quotas to accelerate full and equal participation of women in the political field, as well as obstacles in introducing such quotas.</w:t>
      </w:r>
    </w:p>
    <w:p w14:paraId="771931F4" w14:textId="4F98D01A" w:rsidR="00076879" w:rsidRDefault="00076879" w:rsidP="003D5F5C">
      <w:r>
        <w:rPr>
          <w:rFonts w:hint="eastAsia"/>
        </w:rPr>
        <w:t>B</w:t>
      </w:r>
      <w:r>
        <w:t>ackground</w:t>
      </w:r>
      <w:r w:rsidR="002C2D7B">
        <w:t>:</w:t>
      </w:r>
      <w:r w:rsidR="002C2D7B" w:rsidRPr="002C2D7B">
        <w:t xml:space="preserve"> </w:t>
      </w:r>
      <w:r w:rsidR="002C2D7B">
        <w:t>T</w:t>
      </w:r>
      <w:r w:rsidR="002C2D7B" w:rsidRPr="002C2D7B">
        <w:t>he Act on Promotion of Gender Equality in the Political Field</w:t>
      </w:r>
      <w:r w:rsidR="002C2D7B">
        <w:t xml:space="preserve"> (May 2018) sets forth the principles of equal participation, but political parties are required only to make an effort to have </w:t>
      </w:r>
      <w:r w:rsidR="009F4C80">
        <w:t xml:space="preserve">an </w:t>
      </w:r>
      <w:r w:rsidR="002C2D7B">
        <w:t>equitable number of candidates of both genders, and has no enforcement powers, therefore, its effectiveness is limited. The</w:t>
      </w:r>
      <w:r w:rsidR="009F4C80">
        <w:t xml:space="preserve"> laws and policies should be revised to introduce</w:t>
      </w:r>
      <w:r w:rsidR="002C2D7B">
        <w:t xml:space="preserve"> statutory quotas</w:t>
      </w:r>
      <w:r w:rsidR="009F4C80">
        <w:t xml:space="preserve"> without delay</w:t>
      </w:r>
      <w:r w:rsidR="002C2D7B">
        <w:t>.</w:t>
      </w:r>
    </w:p>
    <w:p w14:paraId="44DB65F2" w14:textId="3EFEADDA" w:rsidR="002C2D7B" w:rsidRPr="009F4C80" w:rsidRDefault="002C2D7B" w:rsidP="003D5F5C"/>
    <w:p w14:paraId="4B606C92" w14:textId="6E9A4028" w:rsidR="002C2D7B" w:rsidRPr="009F4C80" w:rsidRDefault="002C2D7B" w:rsidP="003D5F5C">
      <w:pPr>
        <w:rPr>
          <w:b/>
          <w:bCs/>
        </w:rPr>
      </w:pPr>
      <w:r w:rsidRPr="009F4C80">
        <w:rPr>
          <w:rFonts w:hint="eastAsia"/>
          <w:b/>
          <w:bCs/>
        </w:rPr>
        <w:t>Q</w:t>
      </w:r>
      <w:r w:rsidRPr="009F4C80">
        <w:rPr>
          <w:b/>
          <w:bCs/>
        </w:rPr>
        <w:t xml:space="preserve">14 It has become apparent that meeting the target of 30% </w:t>
      </w:r>
      <w:r w:rsidR="009F4C80" w:rsidRPr="009F4C80">
        <w:rPr>
          <w:b/>
          <w:bCs/>
        </w:rPr>
        <w:t xml:space="preserve">for </w:t>
      </w:r>
      <w:r w:rsidRPr="009F4C80">
        <w:rPr>
          <w:b/>
          <w:bCs/>
        </w:rPr>
        <w:t>the proportion of women in leadership positions by 2020 is impossible. Please explain what proportions would be included as targets for participation in the 5th Basic Plan for Gender Equality, which is currently being formulated.</w:t>
      </w:r>
    </w:p>
    <w:p w14:paraId="20086CCA" w14:textId="70568885" w:rsidR="002C2D7B" w:rsidRDefault="002C2D7B" w:rsidP="003D5F5C">
      <w:r>
        <w:rPr>
          <w:rFonts w:hint="eastAsia"/>
        </w:rPr>
        <w:t>B</w:t>
      </w:r>
      <w:r>
        <w:t>ackground: Introduction of temporary special measures to enhance participation of women in leadership positions was one of the recommendations for the follow-up procedures in 2009. Numerical targets were included in the 4th Basic Plan, but not much was done to</w:t>
      </w:r>
      <w:r w:rsidR="008D25C4">
        <w:t xml:space="preserve"> achieve those targets, and as of today, there is no system in place to do so.</w:t>
      </w:r>
    </w:p>
    <w:p w14:paraId="42C0401E" w14:textId="646884A8" w:rsidR="008D25C4" w:rsidRDefault="008D25C4" w:rsidP="003D5F5C"/>
    <w:p w14:paraId="18B5FEFE" w14:textId="01BE5361" w:rsidR="008D25C4" w:rsidRPr="009F4C80" w:rsidRDefault="008D25C4" w:rsidP="003D5F5C">
      <w:pPr>
        <w:rPr>
          <w:b/>
          <w:bCs/>
        </w:rPr>
      </w:pPr>
      <w:r w:rsidRPr="009F4C80">
        <w:rPr>
          <w:rFonts w:hint="eastAsia"/>
          <w:b/>
          <w:bCs/>
        </w:rPr>
        <w:t>Q</w:t>
      </w:r>
      <w:r w:rsidRPr="009F4C80">
        <w:rPr>
          <w:b/>
          <w:bCs/>
        </w:rPr>
        <w:t xml:space="preserve">15 Please clarify whether </w:t>
      </w:r>
      <w:r w:rsidR="009F4C80" w:rsidRPr="009F4C80">
        <w:rPr>
          <w:b/>
          <w:bCs/>
        </w:rPr>
        <w:t xml:space="preserve">the </w:t>
      </w:r>
      <w:r w:rsidRPr="009F4C80">
        <w:rPr>
          <w:b/>
          <w:bCs/>
        </w:rPr>
        <w:t xml:space="preserve">proportion of men and women is considered in appointing </w:t>
      </w:r>
      <w:r w:rsidR="009F4C80" w:rsidRPr="009F4C80">
        <w:rPr>
          <w:b/>
          <w:bCs/>
        </w:rPr>
        <w:t xml:space="preserve">the </w:t>
      </w:r>
      <w:r w:rsidRPr="009F4C80">
        <w:rPr>
          <w:b/>
          <w:bCs/>
        </w:rPr>
        <w:t>Judges of the Supreme Court.</w:t>
      </w:r>
    </w:p>
    <w:p w14:paraId="52DB5958" w14:textId="5B486CEF" w:rsidR="008D25C4" w:rsidRDefault="008D25C4" w:rsidP="003D5F5C">
      <w:r>
        <w:rPr>
          <w:rFonts w:hint="eastAsia"/>
        </w:rPr>
        <w:t>B</w:t>
      </w:r>
      <w:r>
        <w:t xml:space="preserve">ackground: In 2013, there were three women among the Judges of the Supreme Court. This meant that </w:t>
      </w:r>
      <w:r w:rsidR="009F4C80">
        <w:t>women comprised</w:t>
      </w:r>
      <w:r>
        <w:t xml:space="preserve"> 20% of the 15 Judges, and that there was a female Judge in each of the three </w:t>
      </w:r>
      <w:r w:rsidR="009F4C80">
        <w:t>P</w:t>
      </w:r>
      <w:r>
        <w:t xml:space="preserve">etty </w:t>
      </w:r>
      <w:r w:rsidR="009F4C80">
        <w:t>B</w:t>
      </w:r>
      <w:r>
        <w:t xml:space="preserve">enches, comprising of 5 Judges. In spring 2019, two of the female Judges completed their term, and male Judges were appointed in their places. In September 2019, when a male Judge retired, </w:t>
      </w:r>
      <w:r w:rsidR="009F4C80">
        <w:t>an</w:t>
      </w:r>
      <w:r>
        <w:t xml:space="preserve"> NGO, OP CEDAW Action submitted an emergency request to the Prime Minister, to increase the proportion of female Judges to 50%. As a result, a female Judge was appointed, but there are still only two female Judges out of 15.</w:t>
      </w:r>
    </w:p>
    <w:p w14:paraId="2260EC20" w14:textId="7B4F3B06" w:rsidR="008D25C4" w:rsidRDefault="008D25C4" w:rsidP="003D5F5C"/>
    <w:p w14:paraId="29984640" w14:textId="3653CCD6" w:rsidR="008D25C4" w:rsidRPr="00D92245" w:rsidRDefault="008D25C4" w:rsidP="003D5F5C">
      <w:pPr>
        <w:rPr>
          <w:b/>
          <w:bCs/>
          <w:color w:val="17365D" w:themeColor="text2" w:themeShade="BF"/>
        </w:rPr>
      </w:pPr>
      <w:r w:rsidRPr="00D92245">
        <w:rPr>
          <w:rFonts w:hint="eastAsia"/>
          <w:b/>
          <w:bCs/>
          <w:color w:val="17365D" w:themeColor="text2" w:themeShade="BF"/>
        </w:rPr>
        <w:t>1</w:t>
      </w:r>
      <w:r w:rsidRPr="00D92245">
        <w:rPr>
          <w:b/>
          <w:bCs/>
          <w:color w:val="17365D" w:themeColor="text2" w:themeShade="BF"/>
        </w:rPr>
        <w:t>0. Amendment to the Civil Code (paragraph 13a)</w:t>
      </w:r>
    </w:p>
    <w:p w14:paraId="47E60662" w14:textId="71963A9A" w:rsidR="008D25C4" w:rsidRPr="009F4C80" w:rsidRDefault="008D25C4" w:rsidP="003D5F5C">
      <w:pPr>
        <w:rPr>
          <w:b/>
          <w:bCs/>
        </w:rPr>
      </w:pPr>
      <w:r w:rsidRPr="009F4C80">
        <w:rPr>
          <w:rFonts w:hint="eastAsia"/>
          <w:b/>
          <w:bCs/>
        </w:rPr>
        <w:t>Q</w:t>
      </w:r>
      <w:r w:rsidRPr="009F4C80">
        <w:rPr>
          <w:b/>
          <w:bCs/>
        </w:rPr>
        <w:t xml:space="preserve">16 Please </w:t>
      </w:r>
      <w:proofErr w:type="gramStart"/>
      <w:r w:rsidRPr="009F4C80">
        <w:rPr>
          <w:b/>
          <w:bCs/>
        </w:rPr>
        <w:t>report</w:t>
      </w:r>
      <w:proofErr w:type="gramEnd"/>
      <w:r w:rsidRPr="009F4C80">
        <w:rPr>
          <w:b/>
          <w:bCs/>
        </w:rPr>
        <w:t xml:space="preserve"> on the specific actions taken to enable choice of surnames for married couples.</w:t>
      </w:r>
    </w:p>
    <w:p w14:paraId="2B532014" w14:textId="08E333CC" w:rsidR="008D25C4" w:rsidRDefault="008D25C4" w:rsidP="003D5F5C">
      <w:r>
        <w:rPr>
          <w:rFonts w:hint="eastAsia"/>
        </w:rPr>
        <w:t>B</w:t>
      </w:r>
      <w:r>
        <w:t xml:space="preserve">ackground: The Japanese government </w:t>
      </w:r>
      <w:r w:rsidR="00D76AAB">
        <w:t xml:space="preserve">points to public opinion as reasons why a system enabling choice of surnames cannot be achieved. However, according to the public opinion survey in 2018, 42.5% of respondents supported choice of surnames while 29.3% were against. In the second series of legal actions on the issue, the court held that there were no changes in the circumstance that would render Article 750 of the Civil Code unconstitutional. The government promotes the use of ‘informal’ former surnames, but women have to bear the burden of coping with the use of two names. </w:t>
      </w:r>
    </w:p>
    <w:p w14:paraId="0F46C911" w14:textId="79B959DE" w:rsidR="00D76AAB" w:rsidRDefault="00D76AAB" w:rsidP="003D5F5C">
      <w:r>
        <w:t xml:space="preserve">On January 22, 2020, a Member of the Diet from the opposition party stated the need to enable choice of surnames, indicating that forcing single surnames </w:t>
      </w:r>
      <w:r w:rsidR="009F4C80">
        <w:t>is</w:t>
      </w:r>
      <w:r>
        <w:t xml:space="preserve"> an obstacle to marriage</w:t>
      </w:r>
      <w:r w:rsidR="009F4C80">
        <w:t>. As he was doing so,</w:t>
      </w:r>
      <w:r>
        <w:t xml:space="preserve"> a female Member from the government party </w:t>
      </w:r>
      <w:proofErr w:type="gramStart"/>
      <w:r>
        <w:t>shouted</w:t>
      </w:r>
      <w:proofErr w:type="gramEnd"/>
      <w:r>
        <w:t xml:space="preserve"> “then don’t marry!” The response of the Prime Minister</w:t>
      </w:r>
      <w:r w:rsidR="00D06430">
        <w:t xml:space="preserve"> was negative, stating that there were various opinions among the general public.</w:t>
      </w:r>
    </w:p>
    <w:p w14:paraId="00C2DB85" w14:textId="4E6C3F54" w:rsidR="00D06430" w:rsidRDefault="00D06430" w:rsidP="003D5F5C"/>
    <w:p w14:paraId="29C65455" w14:textId="0C279517" w:rsidR="00D06430" w:rsidRPr="009F4C80" w:rsidRDefault="00D06430" w:rsidP="003D5F5C">
      <w:pPr>
        <w:rPr>
          <w:b/>
          <w:bCs/>
        </w:rPr>
      </w:pPr>
      <w:r w:rsidRPr="009F4C80">
        <w:rPr>
          <w:rFonts w:hint="eastAsia"/>
          <w:b/>
          <w:bCs/>
        </w:rPr>
        <w:t>Q</w:t>
      </w:r>
      <w:r w:rsidRPr="009F4C80">
        <w:rPr>
          <w:b/>
          <w:bCs/>
        </w:rPr>
        <w:t xml:space="preserve">17 Please </w:t>
      </w:r>
      <w:proofErr w:type="gramStart"/>
      <w:r w:rsidRPr="009F4C80">
        <w:rPr>
          <w:b/>
          <w:bCs/>
        </w:rPr>
        <w:t>give</w:t>
      </w:r>
      <w:proofErr w:type="gramEnd"/>
      <w:r w:rsidRPr="009F4C80">
        <w:rPr>
          <w:b/>
          <w:bCs/>
        </w:rPr>
        <w:t xml:space="preserve"> a specific timeframe for abolishing the waiting period (100 days) for remarriage after divorce.</w:t>
      </w:r>
    </w:p>
    <w:p w14:paraId="658F5178" w14:textId="090763C1" w:rsidR="00D06430" w:rsidRDefault="00D06430" w:rsidP="003D5F5C">
      <w:r>
        <w:rPr>
          <w:rFonts w:hint="eastAsia"/>
        </w:rPr>
        <w:t>B</w:t>
      </w:r>
      <w:r>
        <w:t xml:space="preserve">ackground: The waiting period for remarriage after </w:t>
      </w:r>
      <w:proofErr w:type="gramStart"/>
      <w:r>
        <w:t>divorced which was applied only to women</w:t>
      </w:r>
      <w:proofErr w:type="gramEnd"/>
      <w:r>
        <w:t xml:space="preserve"> was shortened to 100 days, and a policy was introduced to allow marriage right after divorce in practice. The provision itself prohibiting remarriage for a certain period should be abolished.</w:t>
      </w:r>
    </w:p>
    <w:p w14:paraId="7B8A8CB2" w14:textId="0D44819A" w:rsidR="00D06430" w:rsidRDefault="00D06430" w:rsidP="003D5F5C"/>
    <w:p w14:paraId="182CAB04" w14:textId="185C363E" w:rsidR="00D06430" w:rsidRPr="00D92245" w:rsidRDefault="00D06430" w:rsidP="003D5F5C">
      <w:pPr>
        <w:rPr>
          <w:b/>
          <w:bCs/>
          <w:color w:val="17365D" w:themeColor="text2" w:themeShade="BF"/>
        </w:rPr>
      </w:pPr>
      <w:r w:rsidRPr="00D92245">
        <w:rPr>
          <w:rFonts w:hint="eastAsia"/>
          <w:b/>
          <w:bCs/>
          <w:color w:val="17365D" w:themeColor="text2" w:themeShade="BF"/>
        </w:rPr>
        <w:t>1</w:t>
      </w:r>
      <w:r w:rsidRPr="00D92245">
        <w:rPr>
          <w:b/>
          <w:bCs/>
          <w:color w:val="17365D" w:themeColor="text2" w:themeShade="BF"/>
        </w:rPr>
        <w:t>1. Elimination of discrimination in employment (paragraphs 35a, 35b, 35c, 35d, 35g)</w:t>
      </w:r>
    </w:p>
    <w:p w14:paraId="2499A4B1" w14:textId="695ED3DC" w:rsidR="00D06430" w:rsidRPr="00FF6E8C" w:rsidRDefault="00D06430" w:rsidP="003D5F5C">
      <w:pPr>
        <w:rPr>
          <w:b/>
          <w:bCs/>
        </w:rPr>
      </w:pPr>
      <w:r w:rsidRPr="00FF6E8C">
        <w:rPr>
          <w:rFonts w:hint="eastAsia"/>
          <w:b/>
          <w:bCs/>
        </w:rPr>
        <w:t>Q</w:t>
      </w:r>
      <w:r w:rsidRPr="00FF6E8C">
        <w:rPr>
          <w:b/>
          <w:bCs/>
        </w:rPr>
        <w:t>18 Please indicate the wage gap in percentage points between men and women</w:t>
      </w:r>
      <w:r w:rsidR="00FF6E8C" w:rsidRPr="00FF6E8C">
        <w:rPr>
          <w:b/>
          <w:bCs/>
        </w:rPr>
        <w:t>, covering all women,</w:t>
      </w:r>
      <w:r w:rsidRPr="00FF6E8C">
        <w:rPr>
          <w:b/>
          <w:bCs/>
        </w:rPr>
        <w:t xml:space="preserve"> including non-regular workers.</w:t>
      </w:r>
    </w:p>
    <w:p w14:paraId="69BD2F76" w14:textId="09D3C7F7" w:rsidR="00D06430" w:rsidRPr="003E17DE" w:rsidRDefault="00D06430" w:rsidP="003D5F5C">
      <w:r>
        <w:lastRenderedPageBreak/>
        <w:t xml:space="preserve">Background: The narrowing of the wage gap between men and women in Japan is very slow. In a comparison among male and female regular workers, women earn 75.6% of men’s wages (2018). 56% of </w:t>
      </w:r>
      <w:proofErr w:type="gramStart"/>
      <w:r>
        <w:t>working women</w:t>
      </w:r>
      <w:proofErr w:type="gramEnd"/>
      <w:r>
        <w:t xml:space="preserve"> are in non-regular work, but the wage level for women including non-regular workers has not been published. According to the </w:t>
      </w:r>
      <w:r w:rsidRPr="00D06430">
        <w:t>Statistical Survey of Actual Status for Salary in the Private Sector</w:t>
      </w:r>
      <w:r w:rsidR="00304DEB">
        <w:t xml:space="preserve"> (National Tax Agency), female regular workers earn 70, and female non-regular workers earn 30, when male regular workers earn 100, meaning the wage gap would be 100:70:30. </w:t>
      </w:r>
      <w:r w:rsidR="00CA4729">
        <w:rPr>
          <w:rFonts w:hint="eastAsia"/>
        </w:rPr>
        <w:t>Also, t</w:t>
      </w:r>
      <w:r w:rsidR="00304DEB">
        <w:t xml:space="preserve">he ‘difference in pay for men and women’ was not included in the items that companies were required to confirm </w:t>
      </w:r>
      <w:r w:rsidR="00CA4729">
        <w:rPr>
          <w:rFonts w:hint="eastAsia"/>
        </w:rPr>
        <w:t>when</w:t>
      </w:r>
      <w:r w:rsidR="00304DEB">
        <w:t xml:space="preserve"> the </w:t>
      </w:r>
      <w:r w:rsidR="00304DEB" w:rsidRPr="00304DEB">
        <w:t>Act on Promotion of Women's Participation and Advancement in the Workplace</w:t>
      </w:r>
      <w:r w:rsidR="00CA4729">
        <w:t xml:space="preserve"> was amended.</w:t>
      </w:r>
    </w:p>
    <w:p w14:paraId="67BD7E90" w14:textId="67D6B90B" w:rsidR="00D26867" w:rsidRDefault="00D26867" w:rsidP="003D5F5C"/>
    <w:p w14:paraId="3385D235" w14:textId="3F147B12" w:rsidR="00CA4729" w:rsidRPr="00FF6E8C" w:rsidRDefault="00CA4729" w:rsidP="003D5F5C">
      <w:pPr>
        <w:rPr>
          <w:b/>
          <w:bCs/>
        </w:rPr>
      </w:pPr>
      <w:r w:rsidRPr="00FF6E8C">
        <w:rPr>
          <w:rFonts w:hint="eastAsia"/>
          <w:b/>
          <w:bCs/>
        </w:rPr>
        <w:t>Q</w:t>
      </w:r>
      <w:r w:rsidRPr="00FF6E8C">
        <w:rPr>
          <w:b/>
          <w:bCs/>
        </w:rPr>
        <w:t>19 Until 1999, listed companies were required to include the average age, average number of years in employment and average pay for men and women in the annual securities reports. Are there any plans for reintroducing this requirement as a measure to eliminate discrimination against women?</w:t>
      </w:r>
    </w:p>
    <w:p w14:paraId="0FC22E32" w14:textId="3D0DFEA1" w:rsidR="00CA4729" w:rsidRDefault="00CA4729" w:rsidP="003D5F5C">
      <w:r>
        <w:rPr>
          <w:rFonts w:hint="eastAsia"/>
        </w:rPr>
        <w:t>B</w:t>
      </w:r>
      <w:r>
        <w:t xml:space="preserve">ackground: Gender disaggregated statistics in the field of employment is an effective tool for the elimination of gender discrimination. When the amendment of the Equal Employment Opportunity Act and the Act on Promotion of Women’s Participation and Advancement in the Workplace was adopted, the Standing Committee on Health, Welfare and Labor of the House of </w:t>
      </w:r>
      <w:proofErr w:type="spellStart"/>
      <w:r>
        <w:t>Councillors</w:t>
      </w:r>
      <w:proofErr w:type="spellEnd"/>
      <w:r>
        <w:t xml:space="preserve"> called for the deliberation of the inclusion of ‘difference in wages between men and women’ in the basic items to be confirmed by employers, among other issues. The reintroduction of the requirement in the annual securities report can be done immediately if the government had the will to do so.</w:t>
      </w:r>
    </w:p>
    <w:p w14:paraId="5CEE347D" w14:textId="39607C9F" w:rsidR="00CA4729" w:rsidRDefault="00CA4729" w:rsidP="003D5F5C"/>
    <w:p w14:paraId="4599B81A" w14:textId="315CA591" w:rsidR="00CA4729" w:rsidRPr="00FF6E8C" w:rsidRDefault="00CA4729" w:rsidP="003D5F5C">
      <w:pPr>
        <w:rPr>
          <w:b/>
          <w:bCs/>
        </w:rPr>
      </w:pPr>
      <w:r w:rsidRPr="00FF6E8C">
        <w:rPr>
          <w:rFonts w:hint="eastAsia"/>
          <w:b/>
          <w:bCs/>
        </w:rPr>
        <w:t>Q</w:t>
      </w:r>
      <w:r w:rsidRPr="00FF6E8C">
        <w:rPr>
          <w:b/>
          <w:bCs/>
        </w:rPr>
        <w:t xml:space="preserve">20 Please report on the situation and court decisions involving Article 20 of the Labor Contracts Act (prohibition of </w:t>
      </w:r>
      <w:r w:rsidR="00926A2B" w:rsidRPr="00FF6E8C">
        <w:rPr>
          <w:b/>
          <w:bCs/>
        </w:rPr>
        <w:t xml:space="preserve">unreasonable labor conditions based on fixed-term contracts). Please report </w:t>
      </w:r>
      <w:r w:rsidR="00B93E67">
        <w:rPr>
          <w:b/>
          <w:bCs/>
        </w:rPr>
        <w:t xml:space="preserve">on </w:t>
      </w:r>
      <w:r w:rsidR="00926A2B" w:rsidRPr="00FF6E8C">
        <w:rPr>
          <w:b/>
          <w:bCs/>
        </w:rPr>
        <w:t xml:space="preserve">whether the outcome of the court decisions contributed to the </w:t>
      </w:r>
      <w:r w:rsidR="00926A2B" w:rsidRPr="00FF6E8C">
        <w:rPr>
          <w:b/>
          <w:bCs/>
        </w:rPr>
        <w:lastRenderedPageBreak/>
        <w:t>improvement of the status of fixed-term contract workers on the basis of the principle of equal pay for work of equal value.</w:t>
      </w:r>
    </w:p>
    <w:p w14:paraId="10A75810" w14:textId="5AA356B7" w:rsidR="00926A2B" w:rsidRDefault="00926A2B" w:rsidP="003D5F5C">
      <w:r>
        <w:rPr>
          <w:rFonts w:hint="eastAsia"/>
        </w:rPr>
        <w:t>B</w:t>
      </w:r>
      <w:r>
        <w:t>ackground: Article 20 of the Labor Contracts Act will be abolished on April 1, 2020, and its contents will be covered by the Part-time and Fixed-term Workers Act. But there are no mechanisms to evaluate the value of jobs using international standards, and d</w:t>
      </w:r>
      <w:r w:rsidRPr="00926A2B">
        <w:t xml:space="preserve">ifferences based on employment management categories in basic pay which is the remuneration for work provided is </w:t>
      </w:r>
      <w:r>
        <w:t xml:space="preserve">permitted. </w:t>
      </w:r>
    </w:p>
    <w:p w14:paraId="47429A46" w14:textId="51CE1050" w:rsidR="00926A2B" w:rsidRDefault="00926A2B" w:rsidP="003D5F5C">
      <w:r>
        <w:rPr>
          <w:rFonts w:hint="eastAsia"/>
        </w:rPr>
        <w:t>7</w:t>
      </w:r>
      <w:r>
        <w:t xml:space="preserve">0% of non-regular workers are women, and continued discrimination against non-regular workers </w:t>
      </w:r>
      <w:r w:rsidR="00FF6E8C">
        <w:t>is a form of</w:t>
      </w:r>
      <w:r>
        <w:t xml:space="preserve"> indirect discrimination against women.</w:t>
      </w:r>
    </w:p>
    <w:p w14:paraId="45849CA3" w14:textId="2D048B9A" w:rsidR="00926A2B" w:rsidRDefault="00926A2B" w:rsidP="003D5F5C">
      <w:r>
        <w:t xml:space="preserve">Four out of five cases involving Article 20 of the Labor Contracts Act are pending </w:t>
      </w:r>
      <w:r w:rsidR="0049296E">
        <w:t>at the Supreme Court, and two of the cases against two companies are brought by women. In all fi</w:t>
      </w:r>
      <w:r w:rsidR="00B93E67">
        <w:t>ve cases, the Appeals Courts have</w:t>
      </w:r>
      <w:r w:rsidR="0049296E">
        <w:t xml:space="preserve"> not ordered remedies for the difference in basic pay.</w:t>
      </w:r>
    </w:p>
    <w:p w14:paraId="5181D74C" w14:textId="7D2D5CF1" w:rsidR="0049296E" w:rsidRDefault="0049296E" w:rsidP="003D5F5C"/>
    <w:p w14:paraId="50537DB0" w14:textId="5E523204" w:rsidR="0049296E" w:rsidRPr="00FF6E8C" w:rsidRDefault="0049296E" w:rsidP="003D5F5C">
      <w:pPr>
        <w:rPr>
          <w:b/>
          <w:bCs/>
        </w:rPr>
      </w:pPr>
      <w:r w:rsidRPr="00FF6E8C">
        <w:rPr>
          <w:rFonts w:hint="eastAsia"/>
          <w:b/>
          <w:bCs/>
        </w:rPr>
        <w:t>Q</w:t>
      </w:r>
      <w:r w:rsidRPr="00FF6E8C">
        <w:rPr>
          <w:b/>
          <w:bCs/>
        </w:rPr>
        <w:t xml:space="preserve">21 </w:t>
      </w:r>
      <w:r w:rsidR="00B93E67">
        <w:rPr>
          <w:b/>
          <w:bCs/>
        </w:rPr>
        <w:t>Please report on the progress in</w:t>
      </w:r>
      <w:r w:rsidRPr="00FF6E8C">
        <w:rPr>
          <w:b/>
          <w:bCs/>
        </w:rPr>
        <w:t xml:space="preserve"> creating conditions </w:t>
      </w:r>
      <w:r w:rsidR="00FD0CA9" w:rsidRPr="00FF6E8C">
        <w:rPr>
          <w:b/>
          <w:bCs/>
        </w:rPr>
        <w:t>for both men and women to continue working while taking care of their child</w:t>
      </w:r>
      <w:r w:rsidR="00B93E67">
        <w:rPr>
          <w:b/>
          <w:bCs/>
        </w:rPr>
        <w:t>ren</w:t>
      </w:r>
      <w:r w:rsidR="00FD0CA9" w:rsidRPr="00FF6E8C">
        <w:rPr>
          <w:b/>
          <w:bCs/>
        </w:rPr>
        <w:t xml:space="preserve"> or other family members. Also, please report on any court cases on transfers or reassignment to fixed-term or part-time work after returning from childcare leave, or on refusals to reinstate employees to their former positions after </w:t>
      </w:r>
      <w:r w:rsidR="00FF6E8C" w:rsidRPr="00FF6E8C">
        <w:rPr>
          <w:b/>
          <w:bCs/>
        </w:rPr>
        <w:t xml:space="preserve">taking </w:t>
      </w:r>
      <w:r w:rsidR="00FD0CA9" w:rsidRPr="00FF6E8C">
        <w:rPr>
          <w:b/>
          <w:bCs/>
        </w:rPr>
        <w:t xml:space="preserve">childcare leave. </w:t>
      </w:r>
    </w:p>
    <w:p w14:paraId="25FD7147" w14:textId="79522E3A" w:rsidR="00FD0CA9" w:rsidRDefault="00FD0CA9" w:rsidP="003D5F5C">
      <w:r>
        <w:rPr>
          <w:rFonts w:hint="eastAsia"/>
        </w:rPr>
        <w:t>B</w:t>
      </w:r>
      <w:r>
        <w:t>ackground: Cases of termination and non-renewal of contracts of non-regular workers after they inform the</w:t>
      </w:r>
      <w:r w:rsidR="00FF6E8C">
        <w:t>ir</w:t>
      </w:r>
      <w:r>
        <w:t xml:space="preserve"> employers of their pregnancy continue. Women continue to retire from work after taking childcare leave, when they are unable to place their children in </w:t>
      </w:r>
      <w:r w:rsidR="00FF6E8C">
        <w:t>nurseries</w:t>
      </w:r>
      <w:r>
        <w:t xml:space="preserve">. In November 2019, in a case in which a woman had to change her contract to part-time fixed-term contract after taking childcare leave, and had her contract renewal refused, the Tokyo Appeals Court reversed the District Court decision </w:t>
      </w:r>
      <w:r w:rsidR="00FF6E8C">
        <w:t>which had</w:t>
      </w:r>
      <w:r>
        <w:t xml:space="preserve"> invalidate</w:t>
      </w:r>
      <w:r w:rsidR="00FF6E8C">
        <w:t>d</w:t>
      </w:r>
      <w:r>
        <w:t xml:space="preserve"> the refusal, and ordered the woman to pay compensation of 550,000 yen for defamation, for speaking about her case in a </w:t>
      </w:r>
      <w:r>
        <w:lastRenderedPageBreak/>
        <w:t>press conference. There are other cases of men being treated disadvantageously, such as being assigned to a warehouse keeping pos</w:t>
      </w:r>
      <w:r w:rsidR="00FF6E8C">
        <w:t>i</w:t>
      </w:r>
      <w:r>
        <w:t>t</w:t>
      </w:r>
      <w:r w:rsidR="00FF6E8C">
        <w:t>ion</w:t>
      </w:r>
      <w:r>
        <w:t xml:space="preserve"> after returning from childcare leave. </w:t>
      </w:r>
      <w:r w:rsidR="00BE4C52">
        <w:t>A clear prohibition of disadvantageous treatment of workers with family responsibilities is necessary.</w:t>
      </w:r>
    </w:p>
    <w:p w14:paraId="7D24D09B" w14:textId="0863D89A" w:rsidR="00BE4C52" w:rsidRDefault="00BE4C52" w:rsidP="003D5F5C"/>
    <w:p w14:paraId="79793D05" w14:textId="54F9846F" w:rsidR="00BE4C52" w:rsidRPr="00FF6E8C" w:rsidRDefault="00BE4C52" w:rsidP="003D5F5C">
      <w:pPr>
        <w:rPr>
          <w:b/>
          <w:bCs/>
        </w:rPr>
      </w:pPr>
      <w:r w:rsidRPr="00FF6E8C">
        <w:rPr>
          <w:rFonts w:hint="eastAsia"/>
          <w:b/>
          <w:bCs/>
        </w:rPr>
        <w:t>Q</w:t>
      </w:r>
      <w:r w:rsidRPr="00FF6E8C">
        <w:rPr>
          <w:b/>
          <w:bCs/>
        </w:rPr>
        <w:t>22 The maximum number of working hours was legislated in April 1, 2019 (45hours/month, 360hours/year, although</w:t>
      </w:r>
      <w:r w:rsidR="007629C4" w:rsidRPr="00FF6E8C">
        <w:rPr>
          <w:b/>
          <w:bCs/>
        </w:rPr>
        <w:t xml:space="preserve"> the maximum may be raised to 100hours/month, 960/hours/year with labor-management agreement). Please report on the decrease in the number of working hours of male workers in </w:t>
      </w:r>
      <w:proofErr w:type="gramStart"/>
      <w:r w:rsidR="007629C4" w:rsidRPr="00FF6E8C">
        <w:rPr>
          <w:b/>
          <w:bCs/>
        </w:rPr>
        <w:t>their</w:t>
      </w:r>
      <w:proofErr w:type="gramEnd"/>
      <w:r w:rsidR="007629C4" w:rsidRPr="00FF6E8C">
        <w:rPr>
          <w:b/>
          <w:bCs/>
        </w:rPr>
        <w:t xml:space="preserve"> 20s, 30s and 40s.</w:t>
      </w:r>
    </w:p>
    <w:p w14:paraId="035A7111" w14:textId="03983C87" w:rsidR="007629C4" w:rsidRDefault="00B93E67" w:rsidP="003D5F5C">
      <w:r>
        <w:t xml:space="preserve">Background: </w:t>
      </w:r>
      <w:r w:rsidR="007629C4">
        <w:rPr>
          <w:rFonts w:hint="eastAsia"/>
        </w:rPr>
        <w:t>W</w:t>
      </w:r>
      <w:r w:rsidR="007629C4">
        <w:t xml:space="preserve">ithout the decrease in working hours of male workers, equal sharing of family responsibilities including care for </w:t>
      </w:r>
      <w:r w:rsidR="00FF6E8C">
        <w:t xml:space="preserve">children and </w:t>
      </w:r>
      <w:r w:rsidR="007629C4">
        <w:t xml:space="preserve">other family members is not possible. According to the </w:t>
      </w:r>
      <w:r w:rsidR="005A2E6A">
        <w:t xml:space="preserve">2019 </w:t>
      </w:r>
      <w:r w:rsidR="007629C4">
        <w:t>White Paper</w:t>
      </w:r>
      <w:r w:rsidR="005A2E6A">
        <w:t xml:space="preserve"> on Gender Equality, in 2018, 2.4% of women reported working 60 hours or more in a week, so did 13.5% of men in their 30s, </w:t>
      </w:r>
      <w:r w:rsidR="00FF6E8C">
        <w:t xml:space="preserve">and </w:t>
      </w:r>
      <w:r w:rsidR="005A2E6A">
        <w:t>13.8% of men in their 40s, showing that more men work longer hours. As a result, women bear the brunt of family responsibility.</w:t>
      </w:r>
    </w:p>
    <w:p w14:paraId="2F4D3910" w14:textId="4092E42B" w:rsidR="005A2E6A" w:rsidRDefault="005A2E6A" w:rsidP="003D5F5C"/>
    <w:p w14:paraId="5E4818CA" w14:textId="6EE38934" w:rsidR="005A2E6A" w:rsidRPr="00FF6E8C" w:rsidRDefault="005A2E6A" w:rsidP="003D5F5C">
      <w:pPr>
        <w:rPr>
          <w:b/>
          <w:bCs/>
        </w:rPr>
      </w:pPr>
      <w:r w:rsidRPr="00FF6E8C">
        <w:rPr>
          <w:rFonts w:hint="eastAsia"/>
          <w:b/>
          <w:bCs/>
        </w:rPr>
        <w:t>Q</w:t>
      </w:r>
      <w:r w:rsidRPr="00FF6E8C">
        <w:rPr>
          <w:b/>
          <w:bCs/>
        </w:rPr>
        <w:t>23 The Japanese government supported the adoption of the ILO Convention on Violence and Harassment. Please clarify the schedule for its ratification.</w:t>
      </w:r>
    </w:p>
    <w:p w14:paraId="2A137592" w14:textId="2858CE63" w:rsidR="005A2E6A" w:rsidRDefault="005A2E6A" w:rsidP="003D5F5C">
      <w:r>
        <w:rPr>
          <w:rFonts w:hint="eastAsia"/>
        </w:rPr>
        <w:t>B</w:t>
      </w:r>
      <w:r>
        <w:t>ackground: The laws related to harassment in the workplace adopted in 2018 only provide for the employers’ responsibilities to take measures against harassment, similar to the current laws on sexual harassment in the Equal Employment Opportunity Act. Laws prohibiting harassment that punish the perpetr</w:t>
      </w:r>
      <w:r w:rsidR="00B93E67">
        <w:t>ators and protect the victims are</w:t>
      </w:r>
      <w:r>
        <w:t xml:space="preserve"> urgently needed to ensure that the victims of harassment can continue to work.</w:t>
      </w:r>
    </w:p>
    <w:p w14:paraId="2A0FE78E" w14:textId="3F32F379" w:rsidR="005A2E6A" w:rsidRDefault="005A2E6A" w:rsidP="003D5F5C"/>
    <w:p w14:paraId="20B34E56" w14:textId="2B2F8DA4" w:rsidR="005A2E6A" w:rsidRPr="00FF6E8C" w:rsidRDefault="005A2E6A" w:rsidP="003D5F5C">
      <w:pPr>
        <w:rPr>
          <w:b/>
          <w:bCs/>
        </w:rPr>
      </w:pPr>
      <w:r w:rsidRPr="00FF6E8C">
        <w:rPr>
          <w:rFonts w:hint="eastAsia"/>
          <w:b/>
          <w:bCs/>
        </w:rPr>
        <w:t>Q</w:t>
      </w:r>
      <w:r w:rsidRPr="00FF6E8C">
        <w:rPr>
          <w:b/>
          <w:bCs/>
        </w:rPr>
        <w:t xml:space="preserve">24 </w:t>
      </w:r>
      <w:r w:rsidR="001A47E0" w:rsidRPr="00FF6E8C">
        <w:rPr>
          <w:b/>
          <w:bCs/>
        </w:rPr>
        <w:t xml:space="preserve">Please </w:t>
      </w:r>
      <w:r w:rsidR="00BD2368" w:rsidRPr="00FF6E8C">
        <w:rPr>
          <w:b/>
          <w:bCs/>
        </w:rPr>
        <w:t xml:space="preserve">report on the status of discussions to ratify the ILO Conventions No. 111, No. 175, No. 183 and No. 189, as well as the schedule for </w:t>
      </w:r>
      <w:r w:rsidR="00FF6E8C" w:rsidRPr="00FF6E8C">
        <w:rPr>
          <w:b/>
          <w:bCs/>
        </w:rPr>
        <w:t xml:space="preserve">their </w:t>
      </w:r>
      <w:r w:rsidR="00BD2368" w:rsidRPr="00FF6E8C">
        <w:rPr>
          <w:b/>
          <w:bCs/>
        </w:rPr>
        <w:t>ratification.</w:t>
      </w:r>
    </w:p>
    <w:p w14:paraId="2CC2C1E1" w14:textId="15B6392A" w:rsidR="00C1219A" w:rsidRDefault="00BD2368" w:rsidP="003D5F5C">
      <w:r>
        <w:lastRenderedPageBreak/>
        <w:t>Background: Since Japan ratified the ILO Convention No. 181 on</w:t>
      </w:r>
      <w:r w:rsidRPr="00BD2368">
        <w:t xml:space="preserve"> Private Employment Agencies</w:t>
      </w:r>
      <w:r>
        <w:rPr>
          <w:rFonts w:hint="eastAsia"/>
        </w:rPr>
        <w:t xml:space="preserve"> </w:t>
      </w:r>
      <w:r w:rsidR="00767725">
        <w:t>in 1999 covering ‘dispatched’ or agency workers, it has not ratified</w:t>
      </w:r>
      <w:r w:rsidR="00C1219A">
        <w:t xml:space="preserve"> ILO Convention </w:t>
      </w:r>
      <w:r w:rsidR="00767725">
        <w:t xml:space="preserve">No. 111, which is one of the core labor standards, or other Conventions that would have an impact on women. The Committee has also recommended </w:t>
      </w:r>
      <w:r w:rsidR="00872AC7">
        <w:t xml:space="preserve">considering ratification of ILO Conventions No. 111 and No. 189. </w:t>
      </w:r>
    </w:p>
    <w:p w14:paraId="4F2B6A42" w14:textId="77777777" w:rsidR="00C1219A" w:rsidRDefault="00C1219A" w:rsidP="003D5F5C"/>
    <w:p w14:paraId="3D78C227" w14:textId="77777777" w:rsidR="00C1219A" w:rsidRPr="00872AC7" w:rsidRDefault="00C1219A" w:rsidP="003D5F5C">
      <w:pPr>
        <w:rPr>
          <w:b/>
          <w:bCs/>
          <w:color w:val="17365D" w:themeColor="text2" w:themeShade="BF"/>
        </w:rPr>
      </w:pPr>
      <w:r w:rsidRPr="00872AC7">
        <w:rPr>
          <w:b/>
          <w:bCs/>
          <w:color w:val="17365D" w:themeColor="text2" w:themeShade="BF"/>
        </w:rPr>
        <w:t>12. Prevention of violence against women</w:t>
      </w:r>
    </w:p>
    <w:p w14:paraId="2E801D5E" w14:textId="77777777" w:rsidR="00C1219A" w:rsidRPr="00872AC7" w:rsidRDefault="00C1219A" w:rsidP="003D5F5C">
      <w:pPr>
        <w:rPr>
          <w:b/>
          <w:bCs/>
          <w:color w:val="17365D" w:themeColor="text2" w:themeShade="BF"/>
        </w:rPr>
      </w:pPr>
      <w:r w:rsidRPr="00872AC7">
        <w:rPr>
          <w:b/>
          <w:bCs/>
          <w:color w:val="17365D" w:themeColor="text2" w:themeShade="BF"/>
        </w:rPr>
        <w:t xml:space="preserve">1) </w:t>
      </w:r>
      <w:proofErr w:type="gramStart"/>
      <w:r w:rsidRPr="00872AC7">
        <w:rPr>
          <w:b/>
          <w:bCs/>
          <w:color w:val="17365D" w:themeColor="text2" w:themeShade="BF"/>
        </w:rPr>
        <w:t>amendment</w:t>
      </w:r>
      <w:proofErr w:type="gramEnd"/>
      <w:r w:rsidRPr="00872AC7">
        <w:rPr>
          <w:b/>
          <w:bCs/>
          <w:color w:val="17365D" w:themeColor="text2" w:themeShade="BF"/>
        </w:rPr>
        <w:t xml:space="preserve"> of the provisions on rape in the Penal Code (paragraphs 23a, b, c, f)</w:t>
      </w:r>
    </w:p>
    <w:p w14:paraId="3700A7C6" w14:textId="42A45D9A" w:rsidR="00C1219A" w:rsidRPr="00E16C4E" w:rsidRDefault="00C1219A" w:rsidP="003D5F5C">
      <w:pPr>
        <w:rPr>
          <w:b/>
          <w:bCs/>
        </w:rPr>
      </w:pPr>
      <w:r w:rsidRPr="00E16C4E">
        <w:rPr>
          <w:b/>
          <w:bCs/>
        </w:rPr>
        <w:t>Q2</w:t>
      </w:r>
      <w:r w:rsidR="00E16C4E">
        <w:rPr>
          <w:b/>
          <w:bCs/>
        </w:rPr>
        <w:t>5</w:t>
      </w:r>
      <w:r w:rsidRPr="00E16C4E">
        <w:rPr>
          <w:b/>
          <w:bCs/>
        </w:rPr>
        <w:t xml:space="preserve"> Has the definition of rape been expanded with the amendment of the Penal Code in 2017? What are the remaining problems?</w:t>
      </w:r>
    </w:p>
    <w:p w14:paraId="064BFCCC" w14:textId="320306B2" w:rsidR="0005252D" w:rsidRDefault="00C1219A" w:rsidP="003D5F5C">
      <w:r>
        <w:t>Background: The definition of rape was expanded to include anal and oral intercourse, removing the gender disparities in the provision. A new crime of indecency and forced sexual intercourse by those who have custody of or care over the victim</w:t>
      </w:r>
      <w:r w:rsidR="00872AC7">
        <w:t xml:space="preserve"> has been created</w:t>
      </w:r>
      <w:r>
        <w:t xml:space="preserve">. Also, the requirement of formal complaints from the victims was removed, so that prosecutors can charge the perpetrators </w:t>
      </w:r>
      <w:r w:rsidRPr="00C1219A">
        <w:rPr>
          <w:i/>
          <w:iCs/>
        </w:rPr>
        <w:t>ex officio</w:t>
      </w:r>
      <w:r>
        <w:t>. However, the requirement of ‘</w:t>
      </w:r>
      <w:r w:rsidR="0005252D">
        <w:t>assault and threat’ was not eliminated, and the investigation practice of the police and prosecution ha</w:t>
      </w:r>
      <w:r w:rsidR="00E16C4E">
        <w:t>s</w:t>
      </w:r>
      <w:r w:rsidR="0005252D">
        <w:t xml:space="preserve"> not changed, </w:t>
      </w:r>
      <w:r w:rsidR="00E16C4E">
        <w:t>therefore,</w:t>
      </w:r>
      <w:r w:rsidR="0005252D">
        <w:t xml:space="preserve"> there are many incidents that are not officially recognized. Secondary victimization continues to happen. It is necessary to remove the requirements of ‘assault and threat’ and the victims’ ‘inability to resist’ as well as to establish a new crime for ‘sexual intercourse without consent.’ Also needed </w:t>
      </w:r>
      <w:proofErr w:type="gramStart"/>
      <w:r w:rsidR="0005252D">
        <w:t>are an explicit criminalization</w:t>
      </w:r>
      <w:proofErr w:type="gramEnd"/>
      <w:r w:rsidR="0005252D">
        <w:t xml:space="preserve"> of marital rape, establishment of sexual crimes using positions of superiority or power, lowering of the age of consent to sexual intercourse (currently 13), and raising the minimum level for punishments.</w:t>
      </w:r>
    </w:p>
    <w:p w14:paraId="74ABBAB7" w14:textId="77777777" w:rsidR="0005252D" w:rsidRDefault="0005252D" w:rsidP="003D5F5C"/>
    <w:p w14:paraId="4CA2AD18" w14:textId="77777777" w:rsidR="0005252D" w:rsidRPr="00E16C4E" w:rsidRDefault="0005252D" w:rsidP="003D5F5C">
      <w:pPr>
        <w:rPr>
          <w:b/>
          <w:bCs/>
        </w:rPr>
      </w:pPr>
      <w:r w:rsidRPr="00E16C4E">
        <w:rPr>
          <w:b/>
          <w:bCs/>
        </w:rPr>
        <w:t xml:space="preserve">Q26 Please explain how training is provided and the contents of the training for civil service personnel, including those of the judiciary and investigative authorities in order to prosecute cases </w:t>
      </w:r>
      <w:r w:rsidRPr="00E16C4E">
        <w:rPr>
          <w:b/>
          <w:bCs/>
        </w:rPr>
        <w:lastRenderedPageBreak/>
        <w:t>of violence against women and girls and to punish those responsible.</w:t>
      </w:r>
    </w:p>
    <w:p w14:paraId="7B576A70" w14:textId="71DD03D5" w:rsidR="00BD2368" w:rsidRDefault="0005252D" w:rsidP="003D5F5C">
      <w:r>
        <w:t xml:space="preserve">Background: </w:t>
      </w:r>
      <w:r w:rsidR="00747CB2">
        <w:t xml:space="preserve">In 2019, the court acquitted the defendants in three cases of serious sexual violence. </w:t>
      </w:r>
      <w:r w:rsidR="00872AC7">
        <w:t>In the case in which a</w:t>
      </w:r>
      <w:r w:rsidR="00747CB2">
        <w:t xml:space="preserve"> father continued to have sexual intercourse wi</w:t>
      </w:r>
      <w:r w:rsidR="00872AC7">
        <w:t xml:space="preserve">th his </w:t>
      </w:r>
      <w:proofErr w:type="gramStart"/>
      <w:r w:rsidR="00872AC7">
        <w:t>19 year old</w:t>
      </w:r>
      <w:proofErr w:type="gramEnd"/>
      <w:r w:rsidR="00872AC7">
        <w:t xml:space="preserve"> daughter,</w:t>
      </w:r>
      <w:r w:rsidR="00747CB2">
        <w:t xml:space="preserve"> the court found that she did not consent, but held that she was not ‘unable to resist.’</w:t>
      </w:r>
      <w:r w:rsidR="00BD2368">
        <w:t xml:space="preserve"> </w:t>
      </w:r>
      <w:r w:rsidR="00747CB2">
        <w:t xml:space="preserve">The court failed to consider the psychological state of the victim, making it difficult for her to resist after suffering continued sexual violence from an early age. In another case, a </w:t>
      </w:r>
      <w:proofErr w:type="gramStart"/>
      <w:r w:rsidR="00747CB2">
        <w:t>twelve year old</w:t>
      </w:r>
      <w:proofErr w:type="gramEnd"/>
      <w:r w:rsidR="00747CB2">
        <w:t xml:space="preserve"> child suffered sexual violence from her father, but he was acquitted, because the court did not find the child’s statements credible. These are the result of the ignorance of the judiciary regarding the harms and victims of sexual violence, and training is necessary for the police, public prosecutors</w:t>
      </w:r>
      <w:r w:rsidR="00BD2368">
        <w:t xml:space="preserve"> </w:t>
      </w:r>
      <w:r w:rsidR="00747CB2">
        <w:t>and judges.</w:t>
      </w:r>
    </w:p>
    <w:p w14:paraId="62536766" w14:textId="34B2A679" w:rsidR="00747CB2" w:rsidRDefault="00747CB2" w:rsidP="003D5F5C"/>
    <w:p w14:paraId="44A93172" w14:textId="68AAF4F5" w:rsidR="00747CB2" w:rsidRPr="00872AC7" w:rsidRDefault="00747CB2" w:rsidP="003D5F5C">
      <w:pPr>
        <w:rPr>
          <w:b/>
          <w:bCs/>
          <w:color w:val="17365D" w:themeColor="text2" w:themeShade="BF"/>
        </w:rPr>
      </w:pPr>
      <w:r w:rsidRPr="00872AC7">
        <w:rPr>
          <w:rFonts w:hint="eastAsia"/>
          <w:b/>
          <w:bCs/>
          <w:color w:val="17365D" w:themeColor="text2" w:themeShade="BF"/>
        </w:rPr>
        <w:t>2</w:t>
      </w:r>
      <w:r w:rsidRPr="00872AC7">
        <w:rPr>
          <w:b/>
          <w:bCs/>
          <w:color w:val="17365D" w:themeColor="text2" w:themeShade="BF"/>
        </w:rPr>
        <w:t>) Prevention of domestic violence (paragraphs 23 d, g)</w:t>
      </w:r>
    </w:p>
    <w:p w14:paraId="0184499A" w14:textId="6D481E9A" w:rsidR="00747CB2" w:rsidRPr="00E16C4E" w:rsidRDefault="00747CB2" w:rsidP="003D5F5C">
      <w:pPr>
        <w:rPr>
          <w:b/>
          <w:bCs/>
        </w:rPr>
      </w:pPr>
      <w:r w:rsidRPr="00E16C4E">
        <w:rPr>
          <w:rFonts w:hint="eastAsia"/>
          <w:b/>
          <w:bCs/>
        </w:rPr>
        <w:t>Q</w:t>
      </w:r>
      <w:r w:rsidRPr="00E16C4E">
        <w:rPr>
          <w:b/>
          <w:bCs/>
        </w:rPr>
        <w:t>27 Please explain what measures were taken to apply the Spousal Violence Prevention Act to all forms of families, and to expedite the judicial procedures for issuing protection orders.</w:t>
      </w:r>
    </w:p>
    <w:p w14:paraId="02CAE0AD" w14:textId="1C1C74B3" w:rsidR="00747CB2" w:rsidRDefault="00747CB2" w:rsidP="003D5F5C">
      <w:r>
        <w:rPr>
          <w:rFonts w:hint="eastAsia"/>
        </w:rPr>
        <w:t>B</w:t>
      </w:r>
      <w:r>
        <w:t>ackground: The current Spousal Violence Prevention Act covers spouses, former spouses, common law spouses and de facto spouses, and is limited</w:t>
      </w:r>
      <w:r w:rsidR="00E16C4E">
        <w:t xml:space="preserve"> in its scope</w:t>
      </w:r>
      <w:r>
        <w:t xml:space="preserve">. Also, the number of protection orders </w:t>
      </w:r>
      <w:r w:rsidR="00E16C4E">
        <w:t>is</w:t>
      </w:r>
      <w:r>
        <w:t xml:space="preserve"> decreasing. Not only is it less likely that protection orders are issued, but it also takes around two weeks for the order to be issued, so that it </w:t>
      </w:r>
      <w:r w:rsidR="002248A9">
        <w:t>cannot respond to emergency situations. A new emergency protection order to protect the safety of the victims must be created.</w:t>
      </w:r>
    </w:p>
    <w:p w14:paraId="47ABB146" w14:textId="20BCAFAA" w:rsidR="002248A9" w:rsidRDefault="002248A9" w:rsidP="003D5F5C"/>
    <w:p w14:paraId="01ABC016" w14:textId="34161D51" w:rsidR="002248A9" w:rsidRPr="00872AC7" w:rsidRDefault="002248A9" w:rsidP="003D5F5C">
      <w:pPr>
        <w:rPr>
          <w:b/>
          <w:bCs/>
          <w:color w:val="17365D" w:themeColor="text2" w:themeShade="BF"/>
        </w:rPr>
      </w:pPr>
      <w:r w:rsidRPr="00872AC7">
        <w:rPr>
          <w:rFonts w:hint="eastAsia"/>
          <w:b/>
          <w:bCs/>
          <w:color w:val="17365D" w:themeColor="text2" w:themeShade="BF"/>
        </w:rPr>
        <w:t>3</w:t>
      </w:r>
      <w:r w:rsidRPr="00872AC7">
        <w:rPr>
          <w:b/>
          <w:bCs/>
          <w:color w:val="17365D" w:themeColor="text2" w:themeShade="BF"/>
        </w:rPr>
        <w:t>) Restriction of pornography, videogames and animations (paragraph 21 b)</w:t>
      </w:r>
    </w:p>
    <w:p w14:paraId="282B06FE" w14:textId="19927B2F" w:rsidR="002248A9" w:rsidRPr="00E16C4E" w:rsidRDefault="002248A9" w:rsidP="003D5F5C">
      <w:pPr>
        <w:rPr>
          <w:b/>
          <w:bCs/>
        </w:rPr>
      </w:pPr>
      <w:r w:rsidRPr="00E16C4E">
        <w:rPr>
          <w:rFonts w:hint="eastAsia"/>
          <w:b/>
          <w:bCs/>
        </w:rPr>
        <w:t>Q</w:t>
      </w:r>
      <w:r w:rsidRPr="00E16C4E">
        <w:rPr>
          <w:b/>
          <w:bCs/>
        </w:rPr>
        <w:t xml:space="preserve">28 Please </w:t>
      </w:r>
      <w:proofErr w:type="gramStart"/>
      <w:r w:rsidRPr="00E16C4E">
        <w:rPr>
          <w:b/>
          <w:bCs/>
        </w:rPr>
        <w:t>explain</w:t>
      </w:r>
      <w:proofErr w:type="gramEnd"/>
      <w:r w:rsidRPr="00E16C4E">
        <w:rPr>
          <w:b/>
          <w:bCs/>
        </w:rPr>
        <w:t xml:space="preserve"> what measures are being taken to restrict the production and distribution of pornography, videogames and animations that lead to sexual violence.</w:t>
      </w:r>
    </w:p>
    <w:p w14:paraId="238C86BA" w14:textId="79307F47" w:rsidR="002248A9" w:rsidRDefault="002248A9" w:rsidP="003D5F5C">
      <w:r>
        <w:rPr>
          <w:rFonts w:hint="eastAsia"/>
        </w:rPr>
        <w:t>B</w:t>
      </w:r>
      <w:r>
        <w:t xml:space="preserve">ackground: The government has </w:t>
      </w:r>
      <w:r w:rsidR="00215293">
        <w:t xml:space="preserve">taken measures to address the victims </w:t>
      </w:r>
      <w:r w:rsidR="00215293">
        <w:lastRenderedPageBreak/>
        <w:t xml:space="preserve">and to strengthen monitoring of harmful information, but prevention of harm, self-regulation by the industry and monitoring </w:t>
      </w:r>
      <w:r w:rsidR="00E16C4E">
        <w:t xml:space="preserve">of </w:t>
      </w:r>
      <w:r w:rsidR="00215293">
        <w:t xml:space="preserve">the web is not enough. These materials are distributed and consumed globally on a massive scale, and </w:t>
      </w:r>
      <w:proofErr w:type="gramStart"/>
      <w:r w:rsidR="00215293">
        <w:t>measures to address consumption as well as to regulate production is</w:t>
      </w:r>
      <w:proofErr w:type="gramEnd"/>
      <w:r w:rsidR="00215293">
        <w:t xml:space="preserve"> necessary. Restriction of possession and consumption of pornographic videos, not just of children, </w:t>
      </w:r>
      <w:proofErr w:type="gramStart"/>
      <w:r w:rsidR="00215293">
        <w:t>but</w:t>
      </w:r>
      <w:proofErr w:type="gramEnd"/>
      <w:r w:rsidR="00215293">
        <w:t xml:space="preserve"> of adult women showing them as victims of sexual violence must be introduced. </w:t>
      </w:r>
    </w:p>
    <w:p w14:paraId="5E3B45A6" w14:textId="22EBDCE7" w:rsidR="00215293" w:rsidRDefault="00215293" w:rsidP="003D5F5C"/>
    <w:p w14:paraId="4D865D76" w14:textId="71A39C68" w:rsidR="00215293" w:rsidRPr="00872AC7" w:rsidRDefault="00215293" w:rsidP="003D5F5C">
      <w:pPr>
        <w:rPr>
          <w:b/>
          <w:bCs/>
          <w:color w:val="17365D" w:themeColor="text2" w:themeShade="BF"/>
        </w:rPr>
      </w:pPr>
      <w:r w:rsidRPr="00872AC7">
        <w:rPr>
          <w:rFonts w:hint="eastAsia"/>
          <w:b/>
          <w:bCs/>
          <w:color w:val="17365D" w:themeColor="text2" w:themeShade="BF"/>
        </w:rPr>
        <w:t>1</w:t>
      </w:r>
      <w:r w:rsidRPr="00872AC7">
        <w:rPr>
          <w:b/>
          <w:bCs/>
          <w:color w:val="17365D" w:themeColor="text2" w:themeShade="BF"/>
        </w:rPr>
        <w:t>3. Rural and self-employed women</w:t>
      </w:r>
    </w:p>
    <w:p w14:paraId="2CB44522" w14:textId="096F467C" w:rsidR="00215293" w:rsidRPr="00E16C4E" w:rsidRDefault="00215293" w:rsidP="003D5F5C">
      <w:pPr>
        <w:rPr>
          <w:b/>
          <w:bCs/>
        </w:rPr>
      </w:pPr>
      <w:r w:rsidRPr="00E16C4E">
        <w:rPr>
          <w:rFonts w:hint="eastAsia"/>
          <w:b/>
          <w:bCs/>
        </w:rPr>
        <w:t>Q</w:t>
      </w:r>
      <w:r w:rsidRPr="00E16C4E">
        <w:rPr>
          <w:b/>
          <w:bCs/>
        </w:rPr>
        <w:t>29 Did the government conduct a detailed survey on rural women, to study and analyze obstacles for rural women in participating in decision-making process in order to remove those obstacles? What are the obstacles, and what measures are being taken to remove them?</w:t>
      </w:r>
    </w:p>
    <w:p w14:paraId="0CEFBA92" w14:textId="7DBF0724" w:rsidR="00215293" w:rsidRDefault="00215293" w:rsidP="003D5F5C">
      <w:r>
        <w:rPr>
          <w:rFonts w:hint="eastAsia"/>
        </w:rPr>
        <w:t>B</w:t>
      </w:r>
      <w:r>
        <w:t>ackground:</w:t>
      </w:r>
      <w:r w:rsidR="00E51A49">
        <w:t xml:space="preserve"> The proportion of women in agricultural committees was 11.8% and in the leadership of agricultural cooperatives was 8% in 2018. Although the rate is increasing, </w:t>
      </w:r>
      <w:proofErr w:type="gramStart"/>
      <w:r w:rsidR="00E51A49">
        <w:t>it is still far from the 30% target put forward by the government</w:t>
      </w:r>
      <w:proofErr w:type="gramEnd"/>
      <w:r w:rsidR="00E51A49">
        <w:t xml:space="preserve">. The government states that it is conducting training to enhance the participation of women, but it is necessary to survey and analyze the various obstacles making it difficult for rural women to participate and remove those obstacles. Many women may have the will to participate, but they have their hands full with balancing their work in agriculture and their work at home including childcare and care for other members of the family. A detailed survey on rural women, including women </w:t>
      </w:r>
      <w:r w:rsidR="00872AC7">
        <w:t xml:space="preserve">working </w:t>
      </w:r>
      <w:r w:rsidR="00E51A49">
        <w:t xml:space="preserve">in </w:t>
      </w:r>
      <w:proofErr w:type="gramStart"/>
      <w:r w:rsidR="00E51A49">
        <w:t>small scale</w:t>
      </w:r>
      <w:proofErr w:type="gramEnd"/>
      <w:r w:rsidR="00E51A49">
        <w:t xml:space="preserve"> farms is necessary.</w:t>
      </w:r>
    </w:p>
    <w:p w14:paraId="048CB49A" w14:textId="24F93B4F" w:rsidR="00E51A49" w:rsidRDefault="00E51A49" w:rsidP="003D5F5C"/>
    <w:p w14:paraId="0865047E" w14:textId="5BCBF1AF" w:rsidR="00E51A49" w:rsidRPr="00E16C4E" w:rsidRDefault="00E51A49" w:rsidP="003D5F5C">
      <w:pPr>
        <w:rPr>
          <w:b/>
          <w:bCs/>
        </w:rPr>
      </w:pPr>
      <w:r w:rsidRPr="00E16C4E">
        <w:rPr>
          <w:rFonts w:hint="eastAsia"/>
          <w:b/>
          <w:bCs/>
        </w:rPr>
        <w:t>Q</w:t>
      </w:r>
      <w:r w:rsidRPr="00E16C4E">
        <w:rPr>
          <w:b/>
          <w:bCs/>
        </w:rPr>
        <w:t>30 The 4</w:t>
      </w:r>
      <w:r w:rsidRPr="00E16C4E">
        <w:rPr>
          <w:b/>
          <w:bCs/>
          <w:vertAlign w:val="superscript"/>
        </w:rPr>
        <w:t>th</w:t>
      </w:r>
      <w:r w:rsidRPr="00E16C4E">
        <w:rPr>
          <w:b/>
          <w:bCs/>
        </w:rPr>
        <w:t xml:space="preserve"> Basic Plan for Gender Equality</w:t>
      </w:r>
      <w:r w:rsidR="00E43AC8" w:rsidRPr="00E16C4E">
        <w:rPr>
          <w:b/>
          <w:bCs/>
        </w:rPr>
        <w:t xml:space="preserve"> states that discussions will be conducted to consider a tax system in which the roles of women as </w:t>
      </w:r>
      <w:r w:rsidR="00713B5F" w:rsidRPr="00E16C4E">
        <w:rPr>
          <w:b/>
          <w:bCs/>
        </w:rPr>
        <w:t>family employees</w:t>
      </w:r>
      <w:r w:rsidR="00E43AC8" w:rsidRPr="00E16C4E">
        <w:rPr>
          <w:b/>
          <w:bCs/>
        </w:rPr>
        <w:t xml:space="preserve"> in family business</w:t>
      </w:r>
      <w:r w:rsidR="00E16C4E" w:rsidRPr="00E16C4E">
        <w:rPr>
          <w:b/>
          <w:bCs/>
        </w:rPr>
        <w:t>es</w:t>
      </w:r>
      <w:r w:rsidR="00E43AC8" w:rsidRPr="00E16C4E">
        <w:rPr>
          <w:b/>
          <w:bCs/>
        </w:rPr>
        <w:t xml:space="preserve"> will be appropriately evaluated. Was the Income Tax Act reviewed according to the </w:t>
      </w:r>
      <w:r w:rsidR="00E16C4E" w:rsidRPr="00E16C4E">
        <w:rPr>
          <w:b/>
          <w:bCs/>
        </w:rPr>
        <w:t>P</w:t>
      </w:r>
      <w:r w:rsidR="00E43AC8" w:rsidRPr="00E16C4E">
        <w:rPr>
          <w:b/>
          <w:bCs/>
        </w:rPr>
        <w:t>lan? Please report on the results of the review.</w:t>
      </w:r>
    </w:p>
    <w:p w14:paraId="40F36BE7" w14:textId="02DA1523" w:rsidR="00713B5F" w:rsidRDefault="00E43AC8" w:rsidP="003D5F5C">
      <w:r>
        <w:rPr>
          <w:rFonts w:hint="eastAsia"/>
        </w:rPr>
        <w:t>B</w:t>
      </w:r>
      <w:r>
        <w:t xml:space="preserve">ackground: In Japan, in self-employed businesses in agriculture and trade, </w:t>
      </w:r>
      <w:r>
        <w:lastRenderedPageBreak/>
        <w:t xml:space="preserve">the income for work of family members </w:t>
      </w:r>
      <w:proofErr w:type="gramStart"/>
      <w:r>
        <w:t>are</w:t>
      </w:r>
      <w:proofErr w:type="gramEnd"/>
      <w:r>
        <w:t xml:space="preserve"> calculated as income of the </w:t>
      </w:r>
      <w:r w:rsidR="00713B5F">
        <w:t>business owners under Article 56 of the Income Tax Act. Their remuneration is not recognized as expense, and under the tax system, they are doing unpaid work. Article 56, which fails to give fair recognition to the actual work done, is a discriminatory provision that violates the human rights of family employees and hampers their economic independence. Many of the family employees are women, and it is clear that Article 56 places women at a disadvantage.</w:t>
      </w:r>
    </w:p>
    <w:p w14:paraId="11416160" w14:textId="77777777" w:rsidR="00713B5F" w:rsidRDefault="00713B5F" w:rsidP="003D5F5C"/>
    <w:p w14:paraId="14D44670" w14:textId="77777777" w:rsidR="00713B5F" w:rsidRPr="008126AC" w:rsidRDefault="00713B5F" w:rsidP="003D5F5C">
      <w:pPr>
        <w:rPr>
          <w:color w:val="17365D" w:themeColor="text2" w:themeShade="BF"/>
        </w:rPr>
      </w:pPr>
      <w:r w:rsidRPr="008126AC">
        <w:rPr>
          <w:color w:val="17365D" w:themeColor="text2" w:themeShade="BF"/>
        </w:rPr>
        <w:t>14. Women in poverty and pension reform (paragraph 41)</w:t>
      </w:r>
    </w:p>
    <w:p w14:paraId="1440C85B" w14:textId="43590F85" w:rsidR="00713B5F" w:rsidRPr="008126AC" w:rsidRDefault="00713B5F" w:rsidP="003D5F5C">
      <w:pPr>
        <w:rPr>
          <w:b/>
        </w:rPr>
      </w:pPr>
      <w:r w:rsidRPr="008126AC">
        <w:rPr>
          <w:b/>
        </w:rPr>
        <w:t>Q31 Please explain whether the government is exploring the possibility to reform the pension sch</w:t>
      </w:r>
      <w:r w:rsidR="008126AC">
        <w:rPr>
          <w:b/>
        </w:rPr>
        <w:t xml:space="preserve">eme in order to guarantee the </w:t>
      </w:r>
      <w:r w:rsidRPr="008126AC">
        <w:rPr>
          <w:b/>
        </w:rPr>
        <w:t>minimum standard of living</w:t>
      </w:r>
      <w:r w:rsidR="00E16C4E" w:rsidRPr="008126AC">
        <w:rPr>
          <w:b/>
        </w:rPr>
        <w:t>,</w:t>
      </w:r>
      <w:r w:rsidRPr="008126AC">
        <w:rPr>
          <w:b/>
        </w:rPr>
        <w:t xml:space="preserve"> paying special attention to the needs of women heads of households, widows, women with disabilities and older women.</w:t>
      </w:r>
    </w:p>
    <w:p w14:paraId="7746D3A4" w14:textId="2726AE22" w:rsidR="00E43AC8" w:rsidRDefault="00713B5F" w:rsidP="003D5F5C">
      <w:r>
        <w:t xml:space="preserve">Background: The average monthly expenditure of a single-person household aged 65 or older </w:t>
      </w:r>
      <w:r w:rsidR="00E71C90">
        <w:t>was</w:t>
      </w:r>
      <w:r>
        <w:t xml:space="preserve"> 160,532yen (</w:t>
      </w:r>
      <w:r w:rsidR="00E71C90">
        <w:t xml:space="preserve">Annual Report of the </w:t>
      </w:r>
      <w:r w:rsidRPr="00713B5F">
        <w:t>Family Income and Expenditure Survey</w:t>
      </w:r>
      <w:r w:rsidR="00E71C90">
        <w:t>,</w:t>
      </w:r>
      <w:r w:rsidRPr="00713B5F">
        <w:t xml:space="preserve"> the Statistics Bureau, Ministry of Internal Affairs and Communications</w:t>
      </w:r>
      <w:r w:rsidR="00E71C90">
        <w:t xml:space="preserve">, 2018). The average monthly payment from the Employees’ Pension is 143,761 yen, men receive 163,840 yen while women receive 102,558 yen.50.8% of women receive less than 100,000 yen per month. When a person receives pension only from the National Pension, their monthly payment is approximately 50,000 yen </w:t>
      </w:r>
      <w:r w:rsidR="00C16F7F">
        <w:t>(</w:t>
      </w:r>
      <w:r w:rsidR="00C16F7F" w:rsidRPr="00C16F7F">
        <w:t>Annual Report on the Public Pension System in Japan</w:t>
      </w:r>
      <w:r w:rsidR="00C16F7F">
        <w:t xml:space="preserve"> </w:t>
      </w:r>
      <w:r w:rsidR="00C16F7F" w:rsidRPr="00C16F7F">
        <w:t>Fiscal Year 201</w:t>
      </w:r>
      <w:r w:rsidR="00C16F7F">
        <w:t>8, published in December 2019).</w:t>
      </w:r>
      <w:r>
        <w:t xml:space="preserve"> </w:t>
      </w:r>
      <w:r w:rsidR="00C16F7F">
        <w:t>It is not possible to live on pension income alone</w:t>
      </w:r>
      <w:r w:rsidR="008126AC">
        <w:t>, and the lower pension benefit</w:t>
      </w:r>
      <w:r w:rsidR="00C16F7F">
        <w:t xml:space="preserve"> is one of the major factors leading to women’s poverty.</w:t>
      </w:r>
    </w:p>
    <w:p w14:paraId="7D237CB5" w14:textId="5574279C" w:rsidR="00C16F7F" w:rsidRDefault="00C16F7F" w:rsidP="003D5F5C"/>
    <w:p w14:paraId="64206F40" w14:textId="733C458F" w:rsidR="00C16F7F" w:rsidRPr="008126AC" w:rsidRDefault="00C16F7F" w:rsidP="003D5F5C">
      <w:pPr>
        <w:rPr>
          <w:b/>
          <w:bCs/>
          <w:color w:val="17365D" w:themeColor="text2" w:themeShade="BF"/>
        </w:rPr>
      </w:pPr>
      <w:r w:rsidRPr="008126AC">
        <w:rPr>
          <w:rFonts w:hint="eastAsia"/>
          <w:b/>
          <w:bCs/>
          <w:color w:val="17365D" w:themeColor="text2" w:themeShade="BF"/>
        </w:rPr>
        <w:t>1</w:t>
      </w:r>
      <w:r w:rsidRPr="008126AC">
        <w:rPr>
          <w:b/>
          <w:bCs/>
          <w:color w:val="17365D" w:themeColor="text2" w:themeShade="BF"/>
        </w:rPr>
        <w:t>5. Addressing the effects of the Fukushima Nuclear Power Plant accident (paragraph 37)</w:t>
      </w:r>
    </w:p>
    <w:p w14:paraId="5741F429" w14:textId="4A11638A" w:rsidR="00C16F7F" w:rsidRPr="00B5055E" w:rsidRDefault="00C16F7F" w:rsidP="003D5F5C">
      <w:pPr>
        <w:rPr>
          <w:b/>
          <w:bCs/>
        </w:rPr>
      </w:pPr>
      <w:r w:rsidRPr="00B5055E">
        <w:rPr>
          <w:rFonts w:hint="eastAsia"/>
          <w:b/>
          <w:bCs/>
        </w:rPr>
        <w:t>Q</w:t>
      </w:r>
      <w:r w:rsidRPr="00B5055E">
        <w:rPr>
          <w:b/>
          <w:bCs/>
        </w:rPr>
        <w:t xml:space="preserve">32 Please report on measures to remove the effects of radiation on women and girls in Fukushima Prefecture, who suffered from the accident of the nuclear power plant, as well as on provisions </w:t>
      </w:r>
      <w:r w:rsidR="008126AC">
        <w:rPr>
          <w:b/>
          <w:bCs/>
        </w:rPr>
        <w:t xml:space="preserve">of </w:t>
      </w:r>
      <w:r w:rsidR="008126AC">
        <w:rPr>
          <w:b/>
          <w:bCs/>
        </w:rPr>
        <w:lastRenderedPageBreak/>
        <w:t>medical and other services for</w:t>
      </w:r>
      <w:r w:rsidRPr="00B5055E">
        <w:rPr>
          <w:b/>
          <w:bCs/>
        </w:rPr>
        <w:t xml:space="preserve"> these women and girls.</w:t>
      </w:r>
    </w:p>
    <w:p w14:paraId="122B9305" w14:textId="6AF53754" w:rsidR="00C16F7F" w:rsidRDefault="00C16F7F" w:rsidP="003D5F5C">
      <w:r>
        <w:rPr>
          <w:rFonts w:hint="eastAsia"/>
        </w:rPr>
        <w:t>B</w:t>
      </w:r>
      <w:r>
        <w:t xml:space="preserve">ackground: Although there seems </w:t>
      </w:r>
      <w:r w:rsidR="008126AC">
        <w:t xml:space="preserve">to be </w:t>
      </w:r>
      <w:r>
        <w:t xml:space="preserve">no end to the accident of the Fukushima Nuclear Power Plant, the evacuation order was lifted </w:t>
      </w:r>
      <w:r w:rsidRPr="00C16F7F">
        <w:t>with the annual cumulative dose of 20mSv based on the Declaration of a Nuclear Emergency Situation</w:t>
      </w:r>
      <w:r>
        <w:t>. With the lifting of the orders, compensation payments and provisions of housing will end</w:t>
      </w:r>
      <w:r w:rsidR="00B5055E">
        <w:t>.</w:t>
      </w:r>
      <w:r>
        <w:t xml:space="preserve"> </w:t>
      </w:r>
      <w:r w:rsidR="00B5055E">
        <w:t>E</w:t>
      </w:r>
      <w:r w:rsidRPr="00C16F7F">
        <w:t xml:space="preserve">xemption measures for health </w:t>
      </w:r>
      <w:r>
        <w:t xml:space="preserve">and other </w:t>
      </w:r>
      <w:r w:rsidRPr="00C16F7F">
        <w:t>insurance payments will also be terminated by 2021.</w:t>
      </w:r>
    </w:p>
    <w:p w14:paraId="21C5E45B" w14:textId="73C23FE4" w:rsidR="00C16F7F" w:rsidRDefault="00D84768" w:rsidP="003D5F5C">
      <w:r>
        <w:rPr>
          <w:rFonts w:hint="eastAsia"/>
        </w:rPr>
        <w:t>T</w:t>
      </w:r>
      <w:r>
        <w:t>he annual cumulative dose of 20mSv is the dose limit for researchers and experts who are occupational radiation workers, and the international dose limit for the general public is 1mSv/year. A review of the standards for lifting evacuation orders and a system of compensation for harms to the health by the state (including issuing certificates for those affected) is necessary.</w:t>
      </w:r>
    </w:p>
    <w:p w14:paraId="0FDE4A00" w14:textId="77777777" w:rsidR="00275E98" w:rsidRDefault="00275E98"/>
    <w:sectPr w:rsidR="00275E98" w:rsidSect="00032603">
      <w:headerReference w:type="default" r:id="rId8"/>
      <w:pgSz w:w="11900" w:h="16840"/>
      <w:pgMar w:top="1985" w:right="1701" w:bottom="1701" w:left="1701" w:header="851" w:footer="992" w:gutter="0"/>
      <w:cols w:space="425"/>
      <w:docGrid w:type="lines" w:linePitch="40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9E65B7E" w14:textId="77777777" w:rsidR="00872AC7" w:rsidRDefault="00872AC7" w:rsidP="001F6842">
      <w:r>
        <w:separator/>
      </w:r>
    </w:p>
  </w:endnote>
  <w:endnote w:type="continuationSeparator" w:id="0">
    <w:p w14:paraId="36B8E1E2" w14:textId="77777777" w:rsidR="00872AC7" w:rsidRDefault="00872AC7" w:rsidP="001F68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entury">
    <w:panose1 w:val="02040604050505020304"/>
    <w:charset w:val="00"/>
    <w:family w:val="auto"/>
    <w:pitch w:val="variable"/>
    <w:sig w:usb0="00000287" w:usb1="00000000" w:usb2="00000000" w:usb3="00000000" w:csb0="0000009F" w:csb1="00000000"/>
  </w:font>
  <w:font w:name="ＭＳ 明朝">
    <w:panose1 w:val="02020609040205080304"/>
    <w:charset w:val="4E"/>
    <w:family w:val="auto"/>
    <w:pitch w:val="variable"/>
    <w:sig w:usb0="E00002FF" w:usb1="6AC7FDFB" w:usb2="00000012" w:usb3="00000000" w:csb0="0002009F" w:csb1="00000000"/>
  </w:font>
  <w:font w:name="ヒラギノ角ゴ ProN W3">
    <w:panose1 w:val="020B0300000000000000"/>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20B0609070205080204"/>
    <w:charset w:val="4E"/>
    <w:family w:val="auto"/>
    <w:pitch w:val="variable"/>
    <w:sig w:usb0="E00002FF" w:usb1="6AC7FDFB" w:usb2="00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53CEDA2" w14:textId="77777777" w:rsidR="00872AC7" w:rsidRDefault="00872AC7" w:rsidP="001F6842">
      <w:r>
        <w:separator/>
      </w:r>
    </w:p>
  </w:footnote>
  <w:footnote w:type="continuationSeparator" w:id="0">
    <w:p w14:paraId="6CD4BF14" w14:textId="77777777" w:rsidR="00872AC7" w:rsidRDefault="00872AC7" w:rsidP="001F6842">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5B9DC2" w14:textId="017EF221" w:rsidR="00872AC7" w:rsidRDefault="00872AC7">
    <w:pPr>
      <w:pStyle w:val="a4"/>
    </w:pPr>
    <w:r>
      <w:rPr>
        <w:noProof/>
      </w:rPr>
      <w:drawing>
        <wp:inline distT="0" distB="0" distL="0" distR="0" wp14:anchorId="7E1B7BD4" wp14:editId="7F6A7BC9">
          <wp:extent cx="835932" cy="822871"/>
          <wp:effectExtent l="0" t="0" r="2540" b="0"/>
          <wp:docPr id="2"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srcRect/>
                  <a:stretch>
                    <a:fillRect/>
                  </a:stretch>
                </pic:blipFill>
                <pic:spPr bwMode="auto">
                  <a:xfrm>
                    <a:off x="0" y="0"/>
                    <a:ext cx="835932" cy="822871"/>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84154"/>
    <w:multiLevelType w:val="hybridMultilevel"/>
    <w:tmpl w:val="8B4C7F84"/>
    <w:lvl w:ilvl="0" w:tplc="8F66D1A6">
      <w:start w:val="1"/>
      <w:numFmt w:val="decimal"/>
      <w:lvlText w:val="%1."/>
      <w:lvlJc w:val="left"/>
      <w:pPr>
        <w:ind w:left="360" w:hanging="360"/>
      </w:pPr>
      <w:rPr>
        <w:rFonts w:hint="default"/>
      </w:rPr>
    </w:lvl>
    <w:lvl w:ilvl="1" w:tplc="04090017" w:tentative="1">
      <w:start w:val="1"/>
      <w:numFmt w:val="aiueoFullWidth"/>
      <w:lvlText w:val="(%2)"/>
      <w:lvlJc w:val="left"/>
      <w:pPr>
        <w:ind w:left="960" w:hanging="480"/>
      </w:pPr>
    </w:lvl>
    <w:lvl w:ilvl="2" w:tplc="04090011" w:tentative="1">
      <w:start w:val="1"/>
      <w:numFmt w:val="decimalEnclosedCircle"/>
      <w:lvlText w:val="%3"/>
      <w:lvlJc w:val="left"/>
      <w:pPr>
        <w:ind w:left="1440" w:hanging="480"/>
      </w:pPr>
    </w:lvl>
    <w:lvl w:ilvl="3" w:tplc="0409000F" w:tentative="1">
      <w:start w:val="1"/>
      <w:numFmt w:val="decimal"/>
      <w:lvlText w:val="%4."/>
      <w:lvlJc w:val="left"/>
      <w:pPr>
        <w:ind w:left="1920" w:hanging="480"/>
      </w:pPr>
    </w:lvl>
    <w:lvl w:ilvl="4" w:tplc="04090017" w:tentative="1">
      <w:start w:val="1"/>
      <w:numFmt w:val="aiueoFullWidth"/>
      <w:lvlText w:val="(%5)"/>
      <w:lvlJc w:val="left"/>
      <w:pPr>
        <w:ind w:left="2400" w:hanging="480"/>
      </w:pPr>
    </w:lvl>
    <w:lvl w:ilvl="5" w:tplc="04090011" w:tentative="1">
      <w:start w:val="1"/>
      <w:numFmt w:val="decimalEnclosedCircle"/>
      <w:lvlText w:val="%6"/>
      <w:lvlJc w:val="left"/>
      <w:pPr>
        <w:ind w:left="2880" w:hanging="480"/>
      </w:pPr>
    </w:lvl>
    <w:lvl w:ilvl="6" w:tplc="0409000F" w:tentative="1">
      <w:start w:val="1"/>
      <w:numFmt w:val="decimal"/>
      <w:lvlText w:val="%7."/>
      <w:lvlJc w:val="left"/>
      <w:pPr>
        <w:ind w:left="3360" w:hanging="480"/>
      </w:pPr>
    </w:lvl>
    <w:lvl w:ilvl="7" w:tplc="04090017" w:tentative="1">
      <w:start w:val="1"/>
      <w:numFmt w:val="aiueoFullWidth"/>
      <w:lvlText w:val="(%8)"/>
      <w:lvlJc w:val="left"/>
      <w:pPr>
        <w:ind w:left="3840" w:hanging="480"/>
      </w:pPr>
    </w:lvl>
    <w:lvl w:ilvl="8" w:tplc="04090011" w:tentative="1">
      <w:start w:val="1"/>
      <w:numFmt w:val="decimalEnclosedCircle"/>
      <w:lvlText w:val="%9"/>
      <w:lvlJc w:val="left"/>
      <w:pPr>
        <w:ind w:left="4320" w:hanging="480"/>
      </w:pPr>
    </w:lvl>
  </w:abstractNum>
  <w:abstractNum w:abstractNumId="1">
    <w:nsid w:val="5FC72861"/>
    <w:multiLevelType w:val="hybridMultilevel"/>
    <w:tmpl w:val="D64CACA2"/>
    <w:lvl w:ilvl="0" w:tplc="8B5491AC">
      <w:start w:val="1"/>
      <w:numFmt w:val="decimal"/>
      <w:lvlText w:val="%1."/>
      <w:lvlJc w:val="left"/>
      <w:pPr>
        <w:ind w:left="360" w:hanging="360"/>
      </w:pPr>
      <w:rPr>
        <w:rFonts w:hint="default"/>
      </w:rPr>
    </w:lvl>
    <w:lvl w:ilvl="1" w:tplc="04090017" w:tentative="1">
      <w:start w:val="1"/>
      <w:numFmt w:val="aiueoFullWidth"/>
      <w:lvlText w:val="(%2)"/>
      <w:lvlJc w:val="left"/>
      <w:pPr>
        <w:ind w:left="960" w:hanging="480"/>
      </w:pPr>
    </w:lvl>
    <w:lvl w:ilvl="2" w:tplc="04090011" w:tentative="1">
      <w:start w:val="1"/>
      <w:numFmt w:val="decimalEnclosedCircle"/>
      <w:lvlText w:val="%3"/>
      <w:lvlJc w:val="left"/>
      <w:pPr>
        <w:ind w:left="1440" w:hanging="480"/>
      </w:pPr>
    </w:lvl>
    <w:lvl w:ilvl="3" w:tplc="0409000F" w:tentative="1">
      <w:start w:val="1"/>
      <w:numFmt w:val="decimal"/>
      <w:lvlText w:val="%4."/>
      <w:lvlJc w:val="left"/>
      <w:pPr>
        <w:ind w:left="1920" w:hanging="480"/>
      </w:pPr>
    </w:lvl>
    <w:lvl w:ilvl="4" w:tplc="04090017" w:tentative="1">
      <w:start w:val="1"/>
      <w:numFmt w:val="aiueoFullWidth"/>
      <w:lvlText w:val="(%5)"/>
      <w:lvlJc w:val="left"/>
      <w:pPr>
        <w:ind w:left="2400" w:hanging="480"/>
      </w:pPr>
    </w:lvl>
    <w:lvl w:ilvl="5" w:tplc="04090011" w:tentative="1">
      <w:start w:val="1"/>
      <w:numFmt w:val="decimalEnclosedCircle"/>
      <w:lvlText w:val="%6"/>
      <w:lvlJc w:val="left"/>
      <w:pPr>
        <w:ind w:left="2880" w:hanging="480"/>
      </w:pPr>
    </w:lvl>
    <w:lvl w:ilvl="6" w:tplc="0409000F" w:tentative="1">
      <w:start w:val="1"/>
      <w:numFmt w:val="decimal"/>
      <w:lvlText w:val="%7."/>
      <w:lvlJc w:val="left"/>
      <w:pPr>
        <w:ind w:left="3360" w:hanging="480"/>
      </w:pPr>
    </w:lvl>
    <w:lvl w:ilvl="7" w:tplc="04090017" w:tentative="1">
      <w:start w:val="1"/>
      <w:numFmt w:val="aiueoFullWidth"/>
      <w:lvlText w:val="(%8)"/>
      <w:lvlJc w:val="left"/>
      <w:pPr>
        <w:ind w:left="3840" w:hanging="480"/>
      </w:pPr>
    </w:lvl>
    <w:lvl w:ilvl="8" w:tplc="04090011" w:tentative="1">
      <w:start w:val="1"/>
      <w:numFmt w:val="decimalEnclosedCircle"/>
      <w:lvlText w:val="%9"/>
      <w:lvlJc w:val="left"/>
      <w:pPr>
        <w:ind w:left="4320" w:hanging="480"/>
      </w:pPr>
    </w:lvl>
  </w:abstractNum>
  <w:abstractNum w:abstractNumId="2">
    <w:nsid w:val="6A370994"/>
    <w:multiLevelType w:val="hybridMultilevel"/>
    <w:tmpl w:val="757A2C92"/>
    <w:lvl w:ilvl="0" w:tplc="2068B8F8">
      <w:start w:val="1"/>
      <w:numFmt w:val="decimal"/>
      <w:lvlText w:val="%1."/>
      <w:lvlJc w:val="left"/>
      <w:pPr>
        <w:ind w:left="360" w:hanging="360"/>
      </w:pPr>
      <w:rPr>
        <w:rFonts w:hint="default"/>
      </w:rPr>
    </w:lvl>
    <w:lvl w:ilvl="1" w:tplc="04090017" w:tentative="1">
      <w:start w:val="1"/>
      <w:numFmt w:val="aiueoFullWidth"/>
      <w:lvlText w:val="(%2)"/>
      <w:lvlJc w:val="left"/>
      <w:pPr>
        <w:ind w:left="960" w:hanging="480"/>
      </w:pPr>
    </w:lvl>
    <w:lvl w:ilvl="2" w:tplc="04090011" w:tentative="1">
      <w:start w:val="1"/>
      <w:numFmt w:val="decimalEnclosedCircle"/>
      <w:lvlText w:val="%3"/>
      <w:lvlJc w:val="left"/>
      <w:pPr>
        <w:ind w:left="1440" w:hanging="480"/>
      </w:pPr>
    </w:lvl>
    <w:lvl w:ilvl="3" w:tplc="0409000F" w:tentative="1">
      <w:start w:val="1"/>
      <w:numFmt w:val="decimal"/>
      <w:lvlText w:val="%4."/>
      <w:lvlJc w:val="left"/>
      <w:pPr>
        <w:ind w:left="1920" w:hanging="480"/>
      </w:pPr>
    </w:lvl>
    <w:lvl w:ilvl="4" w:tplc="04090017" w:tentative="1">
      <w:start w:val="1"/>
      <w:numFmt w:val="aiueoFullWidth"/>
      <w:lvlText w:val="(%5)"/>
      <w:lvlJc w:val="left"/>
      <w:pPr>
        <w:ind w:left="2400" w:hanging="480"/>
      </w:pPr>
    </w:lvl>
    <w:lvl w:ilvl="5" w:tplc="04090011" w:tentative="1">
      <w:start w:val="1"/>
      <w:numFmt w:val="decimalEnclosedCircle"/>
      <w:lvlText w:val="%6"/>
      <w:lvlJc w:val="left"/>
      <w:pPr>
        <w:ind w:left="2880" w:hanging="480"/>
      </w:pPr>
    </w:lvl>
    <w:lvl w:ilvl="6" w:tplc="0409000F" w:tentative="1">
      <w:start w:val="1"/>
      <w:numFmt w:val="decimal"/>
      <w:lvlText w:val="%7."/>
      <w:lvlJc w:val="left"/>
      <w:pPr>
        <w:ind w:left="3360" w:hanging="480"/>
      </w:pPr>
    </w:lvl>
    <w:lvl w:ilvl="7" w:tplc="04090017" w:tentative="1">
      <w:start w:val="1"/>
      <w:numFmt w:val="aiueoFullWidth"/>
      <w:lvlText w:val="(%8)"/>
      <w:lvlJc w:val="left"/>
      <w:pPr>
        <w:ind w:left="3840" w:hanging="480"/>
      </w:pPr>
    </w:lvl>
    <w:lvl w:ilvl="8" w:tplc="04090011" w:tentative="1">
      <w:start w:val="1"/>
      <w:numFmt w:val="decimalEnclosedCircle"/>
      <w:lvlText w:val="%9"/>
      <w:lvlJc w:val="left"/>
      <w:pPr>
        <w:ind w:left="4320" w:hanging="4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960"/>
  <w:drawingGridVerticalSpacing w:val="20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5E98"/>
    <w:rsid w:val="00004984"/>
    <w:rsid w:val="00032603"/>
    <w:rsid w:val="0005252D"/>
    <w:rsid w:val="00076879"/>
    <w:rsid w:val="001310FC"/>
    <w:rsid w:val="001854BA"/>
    <w:rsid w:val="001A47E0"/>
    <w:rsid w:val="001E525A"/>
    <w:rsid w:val="001F6842"/>
    <w:rsid w:val="00215293"/>
    <w:rsid w:val="002248A9"/>
    <w:rsid w:val="00231D1B"/>
    <w:rsid w:val="00275E98"/>
    <w:rsid w:val="002878B4"/>
    <w:rsid w:val="002C193A"/>
    <w:rsid w:val="002C2D7B"/>
    <w:rsid w:val="002E0349"/>
    <w:rsid w:val="00304DEB"/>
    <w:rsid w:val="003B4205"/>
    <w:rsid w:val="003D5F5C"/>
    <w:rsid w:val="003E17DE"/>
    <w:rsid w:val="003F3537"/>
    <w:rsid w:val="004126EE"/>
    <w:rsid w:val="00464722"/>
    <w:rsid w:val="0049296E"/>
    <w:rsid w:val="005A2E6A"/>
    <w:rsid w:val="005F355C"/>
    <w:rsid w:val="006B0637"/>
    <w:rsid w:val="00713B5F"/>
    <w:rsid w:val="00720A27"/>
    <w:rsid w:val="00747CB2"/>
    <w:rsid w:val="007629C4"/>
    <w:rsid w:val="00767725"/>
    <w:rsid w:val="008126AC"/>
    <w:rsid w:val="00863F82"/>
    <w:rsid w:val="00872AC7"/>
    <w:rsid w:val="008C135D"/>
    <w:rsid w:val="008D25C4"/>
    <w:rsid w:val="00926A2B"/>
    <w:rsid w:val="00967993"/>
    <w:rsid w:val="009E1161"/>
    <w:rsid w:val="009E232B"/>
    <w:rsid w:val="009E4428"/>
    <w:rsid w:val="009F4C80"/>
    <w:rsid w:val="00A00A73"/>
    <w:rsid w:val="00B5055E"/>
    <w:rsid w:val="00B93E67"/>
    <w:rsid w:val="00BB302A"/>
    <w:rsid w:val="00BD2368"/>
    <w:rsid w:val="00BE4C52"/>
    <w:rsid w:val="00C1219A"/>
    <w:rsid w:val="00C16F7F"/>
    <w:rsid w:val="00CA4729"/>
    <w:rsid w:val="00CC1D99"/>
    <w:rsid w:val="00D06430"/>
    <w:rsid w:val="00D26867"/>
    <w:rsid w:val="00D76AAB"/>
    <w:rsid w:val="00D84768"/>
    <w:rsid w:val="00D92245"/>
    <w:rsid w:val="00D940E8"/>
    <w:rsid w:val="00E16C4E"/>
    <w:rsid w:val="00E24ECE"/>
    <w:rsid w:val="00E31299"/>
    <w:rsid w:val="00E43AC8"/>
    <w:rsid w:val="00E51A49"/>
    <w:rsid w:val="00E71C90"/>
    <w:rsid w:val="00F767C8"/>
    <w:rsid w:val="00FA6358"/>
    <w:rsid w:val="00FD0CA9"/>
    <w:rsid w:val="00FF39DB"/>
    <w:rsid w:val="00FF6E8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v:textbox inset="5.85pt,.7pt,5.85pt,.7pt"/>
    </o:shapedefaults>
    <o:shapelayout v:ext="edit">
      <o:idmap v:ext="edit" data="1"/>
    </o:shapelayout>
  </w:shapeDefaults>
  <w:decimalSymbol w:val="."/>
  <w:listSeparator w:val=","/>
  <w14:docId w14:val="17D76DB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D5F5C"/>
    <w:pPr>
      <w:ind w:leftChars="400" w:left="960"/>
    </w:pPr>
  </w:style>
  <w:style w:type="paragraph" w:styleId="a4">
    <w:name w:val="header"/>
    <w:basedOn w:val="a"/>
    <w:link w:val="a5"/>
    <w:uiPriority w:val="99"/>
    <w:unhideWhenUsed/>
    <w:rsid w:val="001F6842"/>
    <w:pPr>
      <w:tabs>
        <w:tab w:val="center" w:pos="4252"/>
        <w:tab w:val="right" w:pos="8504"/>
      </w:tabs>
      <w:snapToGrid w:val="0"/>
    </w:pPr>
  </w:style>
  <w:style w:type="character" w:customStyle="1" w:styleId="a5">
    <w:name w:val="ヘッダー (文字)"/>
    <w:basedOn w:val="a0"/>
    <w:link w:val="a4"/>
    <w:uiPriority w:val="99"/>
    <w:rsid w:val="001F6842"/>
  </w:style>
  <w:style w:type="paragraph" w:styleId="a6">
    <w:name w:val="footer"/>
    <w:basedOn w:val="a"/>
    <w:link w:val="a7"/>
    <w:uiPriority w:val="99"/>
    <w:unhideWhenUsed/>
    <w:rsid w:val="001F6842"/>
    <w:pPr>
      <w:tabs>
        <w:tab w:val="center" w:pos="4252"/>
        <w:tab w:val="right" w:pos="8504"/>
      </w:tabs>
      <w:snapToGrid w:val="0"/>
    </w:pPr>
  </w:style>
  <w:style w:type="character" w:customStyle="1" w:styleId="a7">
    <w:name w:val="フッター (文字)"/>
    <w:basedOn w:val="a0"/>
    <w:link w:val="a6"/>
    <w:uiPriority w:val="99"/>
    <w:rsid w:val="001F6842"/>
  </w:style>
  <w:style w:type="paragraph" w:styleId="a8">
    <w:name w:val="Balloon Text"/>
    <w:basedOn w:val="a"/>
    <w:link w:val="a9"/>
    <w:uiPriority w:val="99"/>
    <w:semiHidden/>
    <w:unhideWhenUsed/>
    <w:rsid w:val="00E31299"/>
    <w:rPr>
      <w:rFonts w:ascii="ヒラギノ角ゴ ProN W3" w:eastAsia="ヒラギノ角ゴ ProN W3"/>
      <w:sz w:val="18"/>
      <w:szCs w:val="18"/>
    </w:rPr>
  </w:style>
  <w:style w:type="character" w:customStyle="1" w:styleId="a9">
    <w:name w:val="吹き出し (文字)"/>
    <w:basedOn w:val="a0"/>
    <w:link w:val="a8"/>
    <w:uiPriority w:val="99"/>
    <w:semiHidden/>
    <w:rsid w:val="00E31299"/>
    <w:rPr>
      <w:rFonts w:ascii="ヒラギノ角ゴ ProN W3" w:eastAsia="ヒラギノ角ゴ ProN W3"/>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D5F5C"/>
    <w:pPr>
      <w:ind w:leftChars="400" w:left="960"/>
    </w:pPr>
  </w:style>
  <w:style w:type="paragraph" w:styleId="a4">
    <w:name w:val="header"/>
    <w:basedOn w:val="a"/>
    <w:link w:val="a5"/>
    <w:uiPriority w:val="99"/>
    <w:unhideWhenUsed/>
    <w:rsid w:val="001F6842"/>
    <w:pPr>
      <w:tabs>
        <w:tab w:val="center" w:pos="4252"/>
        <w:tab w:val="right" w:pos="8504"/>
      </w:tabs>
      <w:snapToGrid w:val="0"/>
    </w:pPr>
  </w:style>
  <w:style w:type="character" w:customStyle="1" w:styleId="a5">
    <w:name w:val="ヘッダー (文字)"/>
    <w:basedOn w:val="a0"/>
    <w:link w:val="a4"/>
    <w:uiPriority w:val="99"/>
    <w:rsid w:val="001F6842"/>
  </w:style>
  <w:style w:type="paragraph" w:styleId="a6">
    <w:name w:val="footer"/>
    <w:basedOn w:val="a"/>
    <w:link w:val="a7"/>
    <w:uiPriority w:val="99"/>
    <w:unhideWhenUsed/>
    <w:rsid w:val="001F6842"/>
    <w:pPr>
      <w:tabs>
        <w:tab w:val="center" w:pos="4252"/>
        <w:tab w:val="right" w:pos="8504"/>
      </w:tabs>
      <w:snapToGrid w:val="0"/>
    </w:pPr>
  </w:style>
  <w:style w:type="character" w:customStyle="1" w:styleId="a7">
    <w:name w:val="フッター (文字)"/>
    <w:basedOn w:val="a0"/>
    <w:link w:val="a6"/>
    <w:uiPriority w:val="99"/>
    <w:rsid w:val="001F6842"/>
  </w:style>
  <w:style w:type="paragraph" w:styleId="a8">
    <w:name w:val="Balloon Text"/>
    <w:basedOn w:val="a"/>
    <w:link w:val="a9"/>
    <w:uiPriority w:val="99"/>
    <w:semiHidden/>
    <w:unhideWhenUsed/>
    <w:rsid w:val="00E31299"/>
    <w:rPr>
      <w:rFonts w:ascii="ヒラギノ角ゴ ProN W3" w:eastAsia="ヒラギノ角ゴ ProN W3"/>
      <w:sz w:val="18"/>
      <w:szCs w:val="18"/>
    </w:rPr>
  </w:style>
  <w:style w:type="character" w:customStyle="1" w:styleId="a9">
    <w:name w:val="吹き出し (文字)"/>
    <w:basedOn w:val="a0"/>
    <w:link w:val="a8"/>
    <w:uiPriority w:val="99"/>
    <w:semiHidden/>
    <w:rsid w:val="00E31299"/>
    <w:rPr>
      <w:rFonts w:ascii="ヒラギノ角ゴ ProN W3" w:eastAsia="ヒラギノ角ゴ ProN W3"/>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styles" Target="styles.xml"/><Relationship Id="rId6" Type="http://schemas.openxmlformats.org/officeDocument/2006/relationships/footnotes" Target="footnotes.xml"/><Relationship Id="rId1" Type="http://schemas.openxmlformats.org/officeDocument/2006/relationships/numbering" Target="numbering.xml"/><Relationship Id="rId11" Type="http://schemas.openxmlformats.org/officeDocument/2006/relationships/customXml" Target="../customXml/item1.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ホワイ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0B1DA4D-5DFE-428E-8942-FD620CA4E17C}"/>
</file>

<file path=customXml/itemProps2.xml><?xml version="1.0" encoding="utf-8"?>
<ds:datastoreItem xmlns:ds="http://schemas.openxmlformats.org/officeDocument/2006/customXml" ds:itemID="{9840A6C9-BD78-4C1B-A11F-80F7A1C15B54}"/>
</file>

<file path=customXml/itemProps3.xml><?xml version="1.0" encoding="utf-8"?>
<ds:datastoreItem xmlns:ds="http://schemas.openxmlformats.org/officeDocument/2006/customXml" ds:itemID="{648D0AEB-F4DE-4ED3-B97E-F1B10E000604}"/>
</file>

<file path=docProps/app.xml><?xml version="1.0" encoding="utf-8"?>
<Properties xmlns="http://schemas.openxmlformats.org/officeDocument/2006/extended-properties" xmlns:vt="http://schemas.openxmlformats.org/officeDocument/2006/docPropsVTypes">
  <Template>Normal.dotm</Template>
  <TotalTime>404</TotalTime>
  <Pages>15</Pages>
  <Words>4002</Words>
  <Characters>22817</Characters>
  <Application>Microsoft Macintosh Word</Application>
  <DocSecurity>0</DocSecurity>
  <Lines>190</Lines>
  <Paragraphs>53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26766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okada kimiko</dc:creator>
  <cp:keywords/>
  <dc:description/>
  <cp:lastModifiedBy>okada kimiko</cp:lastModifiedBy>
  <cp:revision>21</cp:revision>
  <dcterms:created xsi:type="dcterms:W3CDTF">2020-01-27T02:19:00Z</dcterms:created>
  <dcterms:modified xsi:type="dcterms:W3CDTF">2020-01-31T12:59:00Z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