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5464" w:rsidRDefault="006F2300">
      <w:pPr>
        <w:rPr>
          <w:rFonts w:ascii="Arial" w:hAnsi="Arial" w:cs="Arial"/>
          <w:sz w:val="28"/>
          <w:szCs w:val="28"/>
          <w:lang w:val="es-ES"/>
        </w:rPr>
      </w:pPr>
      <w:r>
        <w:rPr>
          <w:rFonts w:ascii="Arial" w:hAnsi="Arial" w:cs="Arial"/>
          <w:sz w:val="28"/>
          <w:szCs w:val="28"/>
          <w:lang w:val="es-ES"/>
        </w:rPr>
        <w:t>Buenos días a todos y todas las y los integrantes de este comit</w:t>
      </w:r>
      <w:r w:rsidR="00211B12">
        <w:rPr>
          <w:rFonts w:ascii="Arial" w:hAnsi="Arial" w:cs="Arial"/>
          <w:sz w:val="28"/>
          <w:szCs w:val="28"/>
          <w:lang w:val="es-ES"/>
        </w:rPr>
        <w:t xml:space="preserve">é. </w:t>
      </w:r>
      <w:r>
        <w:rPr>
          <w:rFonts w:ascii="Arial" w:hAnsi="Arial" w:cs="Arial"/>
          <w:sz w:val="28"/>
          <w:szCs w:val="28"/>
          <w:lang w:val="es-ES"/>
        </w:rPr>
        <w:t>Uruguay viene hoy a explicar avances logrados y, también desafíos pendientes en su política pública en materia de género.</w:t>
      </w:r>
    </w:p>
    <w:p w:rsidR="006F2300" w:rsidRDefault="006F2300">
      <w:pPr>
        <w:rPr>
          <w:rFonts w:ascii="Arial" w:hAnsi="Arial" w:cs="Arial"/>
          <w:sz w:val="28"/>
          <w:szCs w:val="28"/>
          <w:lang w:val="es-ES"/>
        </w:rPr>
      </w:pPr>
      <w:r>
        <w:rPr>
          <w:rFonts w:ascii="Arial" w:hAnsi="Arial" w:cs="Arial"/>
          <w:sz w:val="28"/>
          <w:szCs w:val="28"/>
          <w:lang w:val="es-ES"/>
        </w:rPr>
        <w:t>Como uds sabrán, el período por el cual rendimos en esta oportunidad, es 2016-2023, que en Uruguay abarca a dos gobiernos de diferente signo pol</w:t>
      </w:r>
      <w:r w:rsidR="00211B12">
        <w:rPr>
          <w:rFonts w:ascii="Arial" w:hAnsi="Arial" w:cs="Arial"/>
          <w:sz w:val="28"/>
          <w:szCs w:val="28"/>
          <w:lang w:val="es-ES"/>
        </w:rPr>
        <w:t>ítico. Esto</w:t>
      </w:r>
      <w:r>
        <w:rPr>
          <w:rFonts w:ascii="Arial" w:hAnsi="Arial" w:cs="Arial"/>
          <w:sz w:val="28"/>
          <w:szCs w:val="28"/>
          <w:lang w:val="es-ES"/>
        </w:rPr>
        <w:t xml:space="preserve"> nos parece pertinente</w:t>
      </w:r>
      <w:r w:rsidR="00DE4986">
        <w:rPr>
          <w:rFonts w:ascii="Arial" w:hAnsi="Arial" w:cs="Arial"/>
          <w:sz w:val="28"/>
          <w:szCs w:val="28"/>
          <w:lang w:val="es-ES"/>
        </w:rPr>
        <w:t xml:space="preserve"> señalarlo</w:t>
      </w:r>
      <w:r>
        <w:rPr>
          <w:rFonts w:ascii="Arial" w:hAnsi="Arial" w:cs="Arial"/>
          <w:sz w:val="28"/>
          <w:szCs w:val="28"/>
          <w:lang w:val="es-ES"/>
        </w:rPr>
        <w:t xml:space="preserve"> en un contexto de polarización política, con embates de sectores que cuestionan y combaten conceptos e instrumentos de política pública en materia de género sobre los cuales ya existe amplio consenso, </w:t>
      </w:r>
      <w:r w:rsidR="00DE4986">
        <w:rPr>
          <w:rFonts w:ascii="Arial" w:hAnsi="Arial" w:cs="Arial"/>
          <w:sz w:val="28"/>
          <w:szCs w:val="28"/>
          <w:lang w:val="es-ES"/>
        </w:rPr>
        <w:t>y por otro, una radicalización de otros, que más que aportar, terminan por dar excusas a la otra parte.</w:t>
      </w:r>
    </w:p>
    <w:p w:rsidR="00B63A05" w:rsidRDefault="00DE4986">
      <w:pPr>
        <w:rPr>
          <w:rFonts w:ascii="Arial" w:hAnsi="Arial" w:cs="Arial"/>
          <w:sz w:val="28"/>
          <w:szCs w:val="28"/>
          <w:lang w:val="es-ES"/>
        </w:rPr>
      </w:pPr>
      <w:r>
        <w:rPr>
          <w:rFonts w:ascii="Arial" w:hAnsi="Arial" w:cs="Arial"/>
          <w:sz w:val="28"/>
          <w:szCs w:val="28"/>
          <w:lang w:val="es-ES"/>
        </w:rPr>
        <w:t>En ese contexto, decía, quienes desde 2020 tenemos a cargo la política pública en materia de género, hemos optado por seguir una lógica de Estado</w:t>
      </w:r>
      <w:r w:rsidR="00B63A05">
        <w:rPr>
          <w:rFonts w:ascii="Arial" w:hAnsi="Arial" w:cs="Arial"/>
          <w:sz w:val="28"/>
          <w:szCs w:val="28"/>
          <w:lang w:val="es-ES"/>
        </w:rPr>
        <w:t>, para la cual, como decía un gran estadista francés, requiere de particular coraje, ante la tentación de demostrar las ideas y los perfiles propios y denostar a quien estuvo antes.</w:t>
      </w:r>
    </w:p>
    <w:p w:rsidR="004E2E8F" w:rsidRDefault="004E2E8F">
      <w:pPr>
        <w:rPr>
          <w:rFonts w:ascii="Arial" w:hAnsi="Arial" w:cs="Arial"/>
          <w:sz w:val="28"/>
          <w:szCs w:val="28"/>
          <w:lang w:val="es-ES"/>
        </w:rPr>
      </w:pPr>
      <w:r>
        <w:rPr>
          <w:rFonts w:ascii="Arial" w:hAnsi="Arial" w:cs="Arial"/>
          <w:sz w:val="28"/>
          <w:szCs w:val="28"/>
          <w:lang w:val="es-ES"/>
        </w:rPr>
        <w:t>Uruguay viene haciendo grandes esfuerzos desde su recuperación democrática, en 1985, en materia de género, con énfasis creciente. Se ha tomado muy en serio la suscripción de los acuerdos de Nairobi, Beijing, Belem do Pará, y los que siguieron viniendo. En ningún período se dejaron solo en el papel.</w:t>
      </w:r>
    </w:p>
    <w:p w:rsidR="00B472DD" w:rsidRDefault="004E2E8F">
      <w:pPr>
        <w:rPr>
          <w:rFonts w:ascii="Arial" w:hAnsi="Arial" w:cs="Arial"/>
          <w:sz w:val="28"/>
          <w:szCs w:val="28"/>
          <w:lang w:val="es-ES"/>
        </w:rPr>
      </w:pPr>
      <w:r>
        <w:rPr>
          <w:rFonts w:ascii="Arial" w:hAnsi="Arial" w:cs="Arial"/>
          <w:sz w:val="28"/>
          <w:szCs w:val="28"/>
          <w:lang w:val="es-ES"/>
        </w:rPr>
        <w:t>Desde 2016, el país tomó las recomendaciones de este Comité y logró aprobar la ley integral de violencia de género, la despenalización de la interrupción voluntaria del embarazo, la ley trans, la del matrimonio igualitario, la que llamamos de igualdad, que en realidad consagra como ley esta misma convención y otras obligaciones asumidas por el país, la número 19846, la de trata y la de acoso sexual y laboral. También la que crea el sistema nacional integrado de cuidados.</w:t>
      </w:r>
    </w:p>
    <w:p w:rsidR="00B472DD" w:rsidRDefault="00B472DD">
      <w:pPr>
        <w:rPr>
          <w:rFonts w:ascii="Arial" w:hAnsi="Arial" w:cs="Arial"/>
          <w:sz w:val="28"/>
          <w:szCs w:val="28"/>
          <w:lang w:val="es-ES"/>
        </w:rPr>
      </w:pPr>
      <w:r>
        <w:rPr>
          <w:rFonts w:ascii="Arial" w:hAnsi="Arial" w:cs="Arial"/>
          <w:sz w:val="28"/>
          <w:szCs w:val="28"/>
          <w:lang w:val="es-ES"/>
        </w:rPr>
        <w:t>Pero, sres y sras integrantes del Comité, este tipo de textos, por sí mismos, no cambian una cultura por sí mismos, aunque pueden reflejar esos cambios y mostrar un rumbo y un orden ideal.</w:t>
      </w:r>
    </w:p>
    <w:p w:rsidR="00B63A05" w:rsidRDefault="00B472DD">
      <w:pPr>
        <w:rPr>
          <w:rFonts w:ascii="Arial" w:hAnsi="Arial" w:cs="Arial"/>
          <w:sz w:val="28"/>
          <w:szCs w:val="28"/>
          <w:lang w:val="es-ES"/>
        </w:rPr>
      </w:pPr>
      <w:r>
        <w:rPr>
          <w:rFonts w:ascii="Arial" w:hAnsi="Arial" w:cs="Arial"/>
          <w:sz w:val="28"/>
          <w:szCs w:val="28"/>
          <w:lang w:val="es-ES"/>
        </w:rPr>
        <w:t xml:space="preserve">Asimismo, como se suele decir, en política el cariño se demuestra con presupuesto, y si no se destina dinero y recursos humanos a traducir esos derroteros en acciones que impacten concreta y positivamente en la vida de las personas, </w:t>
      </w:r>
      <w:r w:rsidR="00F036C7">
        <w:rPr>
          <w:rFonts w:ascii="Arial" w:hAnsi="Arial" w:cs="Arial"/>
          <w:sz w:val="28"/>
          <w:szCs w:val="28"/>
          <w:lang w:val="es-ES"/>
        </w:rPr>
        <w:t>las leyes y planes solo tendrán sentido en un mundo de teorías.</w:t>
      </w:r>
    </w:p>
    <w:p w:rsidR="00F036C7" w:rsidRDefault="009B3271">
      <w:pPr>
        <w:rPr>
          <w:rFonts w:ascii="Arial" w:hAnsi="Arial" w:cs="Arial"/>
          <w:sz w:val="28"/>
          <w:szCs w:val="28"/>
          <w:lang w:val="es-ES"/>
        </w:rPr>
      </w:pPr>
      <w:r>
        <w:rPr>
          <w:rFonts w:ascii="Arial" w:hAnsi="Arial" w:cs="Arial"/>
          <w:sz w:val="28"/>
          <w:szCs w:val="28"/>
          <w:lang w:val="es-ES"/>
        </w:rPr>
        <w:t xml:space="preserve">Los esfuerzos de los tres últimos años, atravesados en más de la mitad de ese período por una pandemia declarada 12 días después de iniciarse el gobierno, fueron muchos y pretendieron construir sobre lo construido, corregir lo que se consideró que necesitaba una mejora y generar nuevas propuestas para responder a </w:t>
      </w:r>
      <w:r>
        <w:rPr>
          <w:rFonts w:ascii="Arial" w:hAnsi="Arial" w:cs="Arial"/>
          <w:sz w:val="28"/>
          <w:szCs w:val="28"/>
          <w:lang w:val="es-ES"/>
        </w:rPr>
        <w:lastRenderedPageBreak/>
        <w:t>necesidades sobre las cuales no había habido tiempo o interés de atender en períodos previos.</w:t>
      </w:r>
    </w:p>
    <w:p w:rsidR="006D6D3D" w:rsidRDefault="006D6D3D">
      <w:pPr>
        <w:rPr>
          <w:rFonts w:ascii="Arial" w:hAnsi="Arial" w:cs="Arial"/>
          <w:sz w:val="28"/>
          <w:szCs w:val="28"/>
          <w:lang w:val="es-ES"/>
        </w:rPr>
      </w:pPr>
      <w:r>
        <w:rPr>
          <w:rFonts w:ascii="Arial" w:hAnsi="Arial" w:cs="Arial"/>
          <w:sz w:val="28"/>
          <w:szCs w:val="28"/>
          <w:lang w:val="es-ES"/>
        </w:rPr>
        <w:t>En primer lugar, se determinaron 4 líneas estratégicas, que coinciden también con los señalamientos de este Comité: 1. Mejorar, aumentar y profundizar la prevención y respuesta en violencia basada en género; 2. Promover la autonomía económica de las mujeres, con especial ateniòn en los cuidados y el reconocimiento del trabajo no remunerado; 3. Promover la participación de las mujeres en las instancias de decisión política, y 4. Territorializar las tres líneas anteriores.</w:t>
      </w:r>
    </w:p>
    <w:p w:rsidR="006D6D3D" w:rsidRDefault="006D6D3D">
      <w:pPr>
        <w:rPr>
          <w:rFonts w:ascii="Arial" w:hAnsi="Arial" w:cs="Arial"/>
          <w:sz w:val="28"/>
          <w:szCs w:val="28"/>
          <w:lang w:val="es-ES"/>
        </w:rPr>
      </w:pPr>
      <w:r>
        <w:rPr>
          <w:rFonts w:ascii="Arial" w:hAnsi="Arial" w:cs="Arial"/>
          <w:sz w:val="28"/>
          <w:szCs w:val="28"/>
          <w:lang w:val="es-ES"/>
        </w:rPr>
        <w:t xml:space="preserve">Para ello se trabajó en profundizar la interinstitucionalidad, a través del Consejo Nacional de Género, en el que participan activamente 30 instituciones del Estado y de diferentes sectores de la sociedad civil. Un indicador del éxito </w:t>
      </w:r>
      <w:r w:rsidR="0013741F">
        <w:rPr>
          <w:rFonts w:ascii="Arial" w:hAnsi="Arial" w:cs="Arial"/>
          <w:sz w:val="28"/>
          <w:szCs w:val="28"/>
          <w:lang w:val="es-ES"/>
        </w:rPr>
        <w:t>de este ejercicio es la presencia en la nuestra numerosa delegación hoy aquí de dos subsecretarios ministeriales y tres directoras generales de ministerios (números 2 y tres respectivamente de sus carteras), y autoridades de máximo rango de los tres poderes del Estado.</w:t>
      </w:r>
    </w:p>
    <w:p w:rsidR="0013741F" w:rsidRDefault="0013741F">
      <w:pPr>
        <w:rPr>
          <w:rFonts w:ascii="Arial" w:hAnsi="Arial" w:cs="Arial"/>
          <w:sz w:val="28"/>
          <w:szCs w:val="28"/>
          <w:lang w:val="es-ES"/>
        </w:rPr>
      </w:pPr>
      <w:r>
        <w:rPr>
          <w:rFonts w:ascii="Arial" w:hAnsi="Arial" w:cs="Arial"/>
          <w:sz w:val="28"/>
          <w:szCs w:val="28"/>
          <w:lang w:val="es-ES"/>
        </w:rPr>
        <w:t>Se logró constituir el 80 por ciento de las Unidades Especializadas en Género del Consejo, 56% de las cuales tienen asignado presupuesto y recursos propios. Por otro lado, a través de un convenio con el InMujeres, se logró capacitar respecto a esta ley y a la política pública en género a la totalidad del funcionariado que integra estas unidades.</w:t>
      </w:r>
    </w:p>
    <w:p w:rsidR="0013741F" w:rsidRDefault="0013741F">
      <w:pPr>
        <w:rPr>
          <w:rFonts w:ascii="Arial" w:hAnsi="Arial" w:cs="Arial"/>
          <w:sz w:val="28"/>
          <w:szCs w:val="28"/>
          <w:lang w:val="es-ES"/>
        </w:rPr>
      </w:pPr>
      <w:r>
        <w:rPr>
          <w:rFonts w:ascii="Arial" w:hAnsi="Arial" w:cs="Arial"/>
          <w:sz w:val="28"/>
          <w:szCs w:val="28"/>
          <w:lang w:val="es-ES"/>
        </w:rPr>
        <w:t xml:space="preserve">Se logró asimismo, incrementar el presupuesto y la implementación de varias herramientas creadas en la ley integral de violencia; se creó una división especial del InMujeres centrado en Autonomía Económica, además de una comisión especial del Consejo destinada a generar respuestas con ese objetivo. </w:t>
      </w:r>
    </w:p>
    <w:p w:rsidR="0013741F" w:rsidRDefault="0013741F">
      <w:pPr>
        <w:rPr>
          <w:rFonts w:ascii="Arial" w:hAnsi="Arial" w:cs="Arial"/>
          <w:sz w:val="28"/>
          <w:szCs w:val="28"/>
          <w:lang w:val="es-ES"/>
        </w:rPr>
      </w:pPr>
      <w:r>
        <w:rPr>
          <w:rFonts w:ascii="Arial" w:hAnsi="Arial" w:cs="Arial"/>
          <w:sz w:val="28"/>
          <w:szCs w:val="28"/>
          <w:lang w:val="es-ES"/>
        </w:rPr>
        <w:t>Se creó, asimismo, un programa de Fortalecimiento para Líderes Políticas luego de haber encargado un diagnóstico específico a la facultad de Ciencias Sociales de la Universidad de la República.</w:t>
      </w:r>
    </w:p>
    <w:p w:rsidR="0013741F" w:rsidRDefault="0013741F">
      <w:pPr>
        <w:rPr>
          <w:rFonts w:ascii="Arial" w:hAnsi="Arial" w:cs="Arial"/>
          <w:sz w:val="28"/>
          <w:szCs w:val="28"/>
          <w:lang w:val="es-ES"/>
        </w:rPr>
      </w:pPr>
      <w:r>
        <w:rPr>
          <w:rFonts w:ascii="Arial" w:hAnsi="Arial" w:cs="Arial"/>
          <w:sz w:val="28"/>
          <w:szCs w:val="28"/>
          <w:lang w:val="es-ES"/>
        </w:rPr>
        <w:t>Como Uds saben, ni la igualdad sustantiva ni la violencia de género (una expresión extrema de esa desigualdad)</w:t>
      </w:r>
      <w:r w:rsidR="00EF5953">
        <w:rPr>
          <w:rFonts w:ascii="Arial" w:hAnsi="Arial" w:cs="Arial"/>
          <w:sz w:val="28"/>
          <w:szCs w:val="28"/>
          <w:lang w:val="es-ES"/>
        </w:rPr>
        <w:t>, se han logrado, lamentablemente en ninguna parte del mundo</w:t>
      </w:r>
      <w:r w:rsidR="00C17AF7">
        <w:rPr>
          <w:rFonts w:ascii="Arial" w:hAnsi="Arial" w:cs="Arial"/>
          <w:sz w:val="28"/>
          <w:szCs w:val="28"/>
          <w:lang w:val="es-ES"/>
        </w:rPr>
        <w:t>. Los avances han sido, sin embargo, muy grandes y acelerados en las últimas décadas. Uruguay trató de acompañar esos ritmos, siempre logrando algo más, nunca retrocediendo.</w:t>
      </w:r>
      <w:r w:rsidR="00763CF7">
        <w:rPr>
          <w:rFonts w:ascii="Arial" w:hAnsi="Arial" w:cs="Arial"/>
          <w:sz w:val="28"/>
          <w:szCs w:val="28"/>
          <w:lang w:val="es-ES"/>
        </w:rPr>
        <w:t xml:space="preserve"> Pero sabemos que hay desafíos, y que esos desafíos están en lograr una jerarquía mayor para el mecanismo de género, que le permita la independiencia que promueve para las mujeres y un nivel de diálogo en estos ámbitos que la sujeción a un ministerio no facilita. </w:t>
      </w:r>
    </w:p>
    <w:p w:rsidR="00E844FC" w:rsidRDefault="00E844FC">
      <w:pPr>
        <w:rPr>
          <w:rFonts w:ascii="Arial" w:hAnsi="Arial" w:cs="Arial"/>
          <w:sz w:val="28"/>
          <w:szCs w:val="28"/>
          <w:lang w:val="es-ES"/>
        </w:rPr>
      </w:pPr>
      <w:r>
        <w:rPr>
          <w:rFonts w:ascii="Arial" w:hAnsi="Arial" w:cs="Arial"/>
          <w:sz w:val="28"/>
          <w:szCs w:val="28"/>
          <w:lang w:val="es-ES"/>
        </w:rPr>
        <w:lastRenderedPageBreak/>
        <w:t>Asimismo, a pesar de los esfuerzos de estos últimos dos períodos de gobierno, no hubo un consenso en el ámbito político que permitiera aprobar una medida afirmativa de paridad en los cargos electivos, aunque está ya avanzada la consideración en el Senado de un proyecto en ese sentido, con resultado incierto. No obstante, la ausencia o subrepresentación evidente de las mujeres en las listas de los partidos, incluso en las fórmulas presidenciales, ya no es aceptada por el electorado, que en las encuestas específicas al respecto se ha mostrado ampliamente proclive a elegir más mujeres. Tampoco ha pasado desapercibido que en esta última elección, las dos fórmulas principales fueron, por primera vez, paritarias y de allí surgió la primera vicepresidenta electa que tiene Uruguay, además de la primera ministra de Economía y la primera senadora afrodescendiente del país, quien, además, es autora del proyecto de ley de paridad.</w:t>
      </w:r>
    </w:p>
    <w:p w:rsidR="00FE46D9" w:rsidRDefault="00FE46D9">
      <w:pPr>
        <w:rPr>
          <w:rFonts w:ascii="Arial" w:hAnsi="Arial" w:cs="Arial"/>
          <w:sz w:val="28"/>
          <w:szCs w:val="28"/>
          <w:lang w:val="es-ES"/>
        </w:rPr>
      </w:pPr>
      <w:r>
        <w:rPr>
          <w:rFonts w:ascii="Arial" w:hAnsi="Arial" w:cs="Arial"/>
          <w:sz w:val="28"/>
          <w:szCs w:val="28"/>
          <w:lang w:val="es-ES"/>
        </w:rPr>
        <w:t xml:space="preserve">Por otro lado, la implementación de la ley de violencia de género exige mayores </w:t>
      </w:r>
      <w:r w:rsidR="00E844FC">
        <w:rPr>
          <w:rFonts w:ascii="Arial" w:hAnsi="Arial" w:cs="Arial"/>
          <w:sz w:val="28"/>
          <w:szCs w:val="28"/>
          <w:lang w:val="es-ES"/>
        </w:rPr>
        <w:t>esfuerzos</w:t>
      </w:r>
      <w:r w:rsidR="008B7C9A">
        <w:rPr>
          <w:rFonts w:ascii="Arial" w:hAnsi="Arial" w:cs="Arial"/>
          <w:sz w:val="28"/>
          <w:szCs w:val="28"/>
          <w:lang w:val="es-ES"/>
        </w:rPr>
        <w:t xml:space="preserve"> presupuestales que, si bien se han obtenido </w:t>
      </w:r>
      <w:r w:rsidR="00A30D44">
        <w:rPr>
          <w:rFonts w:ascii="Arial" w:hAnsi="Arial" w:cs="Arial"/>
          <w:sz w:val="28"/>
          <w:szCs w:val="28"/>
          <w:lang w:val="es-ES"/>
        </w:rPr>
        <w:t>en parte en el primer período desde su aprobación y luego en el actual, plantea aún desafíos en ese sentido.</w:t>
      </w:r>
      <w:r w:rsidR="00031E7E">
        <w:rPr>
          <w:rFonts w:ascii="Arial" w:hAnsi="Arial" w:cs="Arial"/>
          <w:sz w:val="28"/>
          <w:szCs w:val="28"/>
          <w:lang w:val="es-ES"/>
        </w:rPr>
        <w:t xml:space="preserve"> Uruguay muestra cifras crecientes de demanda de respuesta en violencia de género en sus diversas formas y esto, como Uds. saben, lejos de indicar un aumento de la violencia o un mal funcionamiento de las respuestas que ya existen, implica una creciente desnaturalización de la violencia de género y un mayor conocimiento y confianza en las respuestas existentes desde el Estado.</w:t>
      </w:r>
    </w:p>
    <w:p w:rsidR="00031E7E" w:rsidRDefault="00031E7E">
      <w:pPr>
        <w:rPr>
          <w:rFonts w:ascii="Arial" w:hAnsi="Arial" w:cs="Arial"/>
          <w:sz w:val="28"/>
          <w:szCs w:val="28"/>
          <w:lang w:val="es-ES"/>
        </w:rPr>
      </w:pPr>
      <w:r>
        <w:rPr>
          <w:rFonts w:ascii="Arial" w:hAnsi="Arial" w:cs="Arial"/>
          <w:sz w:val="28"/>
          <w:szCs w:val="28"/>
          <w:lang w:val="es-ES"/>
        </w:rPr>
        <w:t>Venimos hoy, ante Uds., a responder y explicar qué hemos hecho y cómo es considerado construir una política pública en materia de género sobre la que podemos decir que existe amplio consenso en el país en sus herramientas generales y sobre la cual se entiende que es transversal a todas las instituciones que lo integran.</w:t>
      </w:r>
    </w:p>
    <w:p w:rsidR="00031E7E" w:rsidRDefault="00031E7E">
      <w:pPr>
        <w:rPr>
          <w:rFonts w:ascii="Arial" w:hAnsi="Arial" w:cs="Arial"/>
          <w:sz w:val="28"/>
          <w:szCs w:val="28"/>
          <w:lang w:val="es-ES"/>
        </w:rPr>
      </w:pPr>
      <w:r>
        <w:rPr>
          <w:rFonts w:ascii="Arial" w:hAnsi="Arial" w:cs="Arial"/>
          <w:sz w:val="28"/>
          <w:szCs w:val="28"/>
          <w:lang w:val="es-ES"/>
        </w:rPr>
        <w:t>Quedamos a su disposición para responder las preguntas que deseen formularnos.</w:t>
      </w:r>
      <w:bookmarkStart w:id="0" w:name="_GoBack"/>
      <w:bookmarkEnd w:id="0"/>
    </w:p>
    <w:p w:rsidR="0013741F" w:rsidRDefault="0013741F">
      <w:pPr>
        <w:rPr>
          <w:rFonts w:ascii="Arial" w:hAnsi="Arial" w:cs="Arial"/>
          <w:sz w:val="28"/>
          <w:szCs w:val="28"/>
          <w:lang w:val="es-ES"/>
        </w:rPr>
      </w:pPr>
    </w:p>
    <w:p w:rsidR="00F036C7" w:rsidRDefault="00F036C7">
      <w:pPr>
        <w:rPr>
          <w:rFonts w:ascii="Arial" w:hAnsi="Arial" w:cs="Arial"/>
          <w:sz w:val="28"/>
          <w:szCs w:val="28"/>
          <w:lang w:val="es-ES"/>
        </w:rPr>
      </w:pPr>
    </w:p>
    <w:p w:rsidR="00F036C7" w:rsidRPr="006F2300" w:rsidRDefault="00F036C7">
      <w:pPr>
        <w:rPr>
          <w:rFonts w:ascii="Arial" w:hAnsi="Arial" w:cs="Arial"/>
          <w:sz w:val="28"/>
          <w:szCs w:val="28"/>
          <w:lang w:val="es-ES"/>
        </w:rPr>
      </w:pPr>
    </w:p>
    <w:sectPr w:rsidR="00F036C7" w:rsidRPr="006F2300" w:rsidSect="00EA4158">
      <w:pgSz w:w="11900" w:h="16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3"/>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300"/>
    <w:rsid w:val="00016B42"/>
    <w:rsid w:val="00031E7E"/>
    <w:rsid w:val="00060982"/>
    <w:rsid w:val="000809D2"/>
    <w:rsid w:val="0009226C"/>
    <w:rsid w:val="000C6CA7"/>
    <w:rsid w:val="000F744D"/>
    <w:rsid w:val="0013741F"/>
    <w:rsid w:val="00153695"/>
    <w:rsid w:val="00180697"/>
    <w:rsid w:val="001976D4"/>
    <w:rsid w:val="001A17DE"/>
    <w:rsid w:val="001A7940"/>
    <w:rsid w:val="001A7C25"/>
    <w:rsid w:val="001C00E6"/>
    <w:rsid w:val="001C3425"/>
    <w:rsid w:val="001D1944"/>
    <w:rsid w:val="001D6631"/>
    <w:rsid w:val="001E579E"/>
    <w:rsid w:val="001F60ED"/>
    <w:rsid w:val="00204CAA"/>
    <w:rsid w:val="00206AC9"/>
    <w:rsid w:val="00211B12"/>
    <w:rsid w:val="00224BB9"/>
    <w:rsid w:val="00226F88"/>
    <w:rsid w:val="00247AD4"/>
    <w:rsid w:val="002607FB"/>
    <w:rsid w:val="00294059"/>
    <w:rsid w:val="00296DB4"/>
    <w:rsid w:val="002A1FAF"/>
    <w:rsid w:val="002C1987"/>
    <w:rsid w:val="002D627D"/>
    <w:rsid w:val="002E6592"/>
    <w:rsid w:val="00324676"/>
    <w:rsid w:val="003259ED"/>
    <w:rsid w:val="00327B1C"/>
    <w:rsid w:val="003A7A15"/>
    <w:rsid w:val="003B2C94"/>
    <w:rsid w:val="003D686C"/>
    <w:rsid w:val="003E0584"/>
    <w:rsid w:val="003E2912"/>
    <w:rsid w:val="0041092A"/>
    <w:rsid w:val="00461E9C"/>
    <w:rsid w:val="004B43C0"/>
    <w:rsid w:val="004D56A3"/>
    <w:rsid w:val="004E2E8F"/>
    <w:rsid w:val="004F05DC"/>
    <w:rsid w:val="00502F24"/>
    <w:rsid w:val="00505CB9"/>
    <w:rsid w:val="00525207"/>
    <w:rsid w:val="005374CD"/>
    <w:rsid w:val="005A7620"/>
    <w:rsid w:val="005F2BF1"/>
    <w:rsid w:val="005F6C8B"/>
    <w:rsid w:val="006A0B50"/>
    <w:rsid w:val="006D6D3D"/>
    <w:rsid w:val="006F2300"/>
    <w:rsid w:val="00763CF7"/>
    <w:rsid w:val="00766142"/>
    <w:rsid w:val="007927F5"/>
    <w:rsid w:val="007D4AC2"/>
    <w:rsid w:val="007F3598"/>
    <w:rsid w:val="008220A1"/>
    <w:rsid w:val="00853C0B"/>
    <w:rsid w:val="00853E89"/>
    <w:rsid w:val="00864847"/>
    <w:rsid w:val="00885714"/>
    <w:rsid w:val="008B1DE5"/>
    <w:rsid w:val="008B7C9A"/>
    <w:rsid w:val="008E2D03"/>
    <w:rsid w:val="008E2FDC"/>
    <w:rsid w:val="008F25A7"/>
    <w:rsid w:val="00906A36"/>
    <w:rsid w:val="00915D09"/>
    <w:rsid w:val="00943CA1"/>
    <w:rsid w:val="009A6F54"/>
    <w:rsid w:val="009B2394"/>
    <w:rsid w:val="009B3271"/>
    <w:rsid w:val="009C3EE3"/>
    <w:rsid w:val="009E091A"/>
    <w:rsid w:val="00A02CF5"/>
    <w:rsid w:val="00A11B71"/>
    <w:rsid w:val="00A30D44"/>
    <w:rsid w:val="00A61E77"/>
    <w:rsid w:val="00A7377C"/>
    <w:rsid w:val="00A97D0C"/>
    <w:rsid w:val="00AA5077"/>
    <w:rsid w:val="00AD5D05"/>
    <w:rsid w:val="00B35E14"/>
    <w:rsid w:val="00B472DD"/>
    <w:rsid w:val="00B63A05"/>
    <w:rsid w:val="00B82F06"/>
    <w:rsid w:val="00BB2F38"/>
    <w:rsid w:val="00C140FD"/>
    <w:rsid w:val="00C17AF7"/>
    <w:rsid w:val="00C21F7F"/>
    <w:rsid w:val="00C66A11"/>
    <w:rsid w:val="00C83838"/>
    <w:rsid w:val="00C90CF8"/>
    <w:rsid w:val="00C95FB8"/>
    <w:rsid w:val="00CA66EC"/>
    <w:rsid w:val="00CB7E2D"/>
    <w:rsid w:val="00CC3C14"/>
    <w:rsid w:val="00CD0A8B"/>
    <w:rsid w:val="00CE683C"/>
    <w:rsid w:val="00CE746A"/>
    <w:rsid w:val="00D2138C"/>
    <w:rsid w:val="00D3395D"/>
    <w:rsid w:val="00D900B5"/>
    <w:rsid w:val="00DC28B2"/>
    <w:rsid w:val="00DE397E"/>
    <w:rsid w:val="00DE4986"/>
    <w:rsid w:val="00DF236E"/>
    <w:rsid w:val="00E52BA2"/>
    <w:rsid w:val="00E72831"/>
    <w:rsid w:val="00E844FC"/>
    <w:rsid w:val="00EA4158"/>
    <w:rsid w:val="00EC5464"/>
    <w:rsid w:val="00ED5818"/>
    <w:rsid w:val="00EF5953"/>
    <w:rsid w:val="00EF792B"/>
    <w:rsid w:val="00F036C7"/>
    <w:rsid w:val="00F444CC"/>
    <w:rsid w:val="00F44C30"/>
    <w:rsid w:val="00F56B9A"/>
    <w:rsid w:val="00F730D3"/>
    <w:rsid w:val="00F76225"/>
    <w:rsid w:val="00F76F15"/>
    <w:rsid w:val="00FC1BD6"/>
    <w:rsid w:val="00FE46D9"/>
  </w:rsids>
  <m:mathPr>
    <m:mathFont m:val="Cambria Math"/>
    <m:brkBin m:val="before"/>
    <m:brkBinSub m:val="--"/>
    <m:smallFrac m:val="0"/>
    <m:dispDef/>
    <m:lMargin m:val="0"/>
    <m:rMargin m:val="0"/>
    <m:defJc m:val="centerGroup"/>
    <m:wrapIndent m:val="1440"/>
    <m:intLim m:val="subSup"/>
    <m:naryLim m:val="undOvr"/>
  </m:mathPr>
  <w:themeFontLang w:val="es-UY"/>
  <w:clrSchemeMapping w:bg1="light1" w:t1="dark1" w:bg2="light2" w:t2="dark2" w:accent1="accent1" w:accent2="accent2" w:accent3="accent3" w:accent4="accent4" w:accent5="accent5" w:accent6="accent6" w:hyperlink="hyperlink" w:followedHyperlink="followedHyperlink"/>
  <w:decimalSymbol w:val=","/>
  <w:listSeparator w:val=","/>
  <w14:docId w14:val="61A799AC"/>
  <w15:chartTrackingRefBased/>
  <w15:docId w15:val="{6402B460-5DBF-504D-BE06-882D47F5C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UY"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TotalTime>
  <Pages>3</Pages>
  <Words>1087</Words>
  <Characters>5983</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13</cp:revision>
  <dcterms:created xsi:type="dcterms:W3CDTF">2023-10-19T12:24:00Z</dcterms:created>
  <dcterms:modified xsi:type="dcterms:W3CDTF">2023-10-19T13:33:00Z</dcterms:modified>
</cp:coreProperties>
</file>