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CCBE93" w14:textId="77777777" w:rsidR="000B6978" w:rsidRDefault="000B6978" w:rsidP="00A27D08">
      <w:pPr>
        <w:jc w:val="center"/>
        <w:rPr>
          <w:rFonts w:cs="Arial"/>
          <w:b/>
        </w:rPr>
      </w:pPr>
      <w:r>
        <w:rPr>
          <w:rFonts w:ascii="Calibri" w:hAnsi="Calibri"/>
          <w:noProof/>
          <w:lang w:val="fr-FR" w:eastAsia="fr-FR"/>
        </w:rPr>
        <w:drawing>
          <wp:inline distT="0" distB="0" distL="0" distR="0" wp14:anchorId="0471EBE4" wp14:editId="21733AFC">
            <wp:extent cx="1056640" cy="1056640"/>
            <wp:effectExtent l="0" t="0" r="10160" b="10160"/>
            <wp:docPr id="1" name="Image 1" descr="LOGO_CNDDHH_HR_2011 -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CNDDHH_HR_2011 - cop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6640" cy="1056640"/>
                    </a:xfrm>
                    <a:prstGeom prst="rect">
                      <a:avLst/>
                    </a:prstGeom>
                    <a:noFill/>
                    <a:ln>
                      <a:noFill/>
                    </a:ln>
                  </pic:spPr>
                </pic:pic>
              </a:graphicData>
            </a:graphic>
          </wp:inline>
        </w:drawing>
      </w:r>
    </w:p>
    <w:p w14:paraId="06B7F45C" w14:textId="77777777" w:rsidR="000B6978" w:rsidRDefault="000B6978" w:rsidP="00A27D08">
      <w:pPr>
        <w:jc w:val="center"/>
        <w:rPr>
          <w:rFonts w:cs="Arial"/>
          <w:b/>
        </w:rPr>
      </w:pPr>
    </w:p>
    <w:p w14:paraId="5A261090" w14:textId="77777777" w:rsidR="00A27D08" w:rsidRPr="005E00AA" w:rsidRDefault="00A27D08" w:rsidP="00A27D08">
      <w:pPr>
        <w:jc w:val="center"/>
        <w:rPr>
          <w:rFonts w:cs="Arial"/>
          <w:b/>
          <w:sz w:val="24"/>
          <w:szCs w:val="24"/>
        </w:rPr>
      </w:pPr>
      <w:r w:rsidRPr="005E00AA">
        <w:rPr>
          <w:rFonts w:cs="Arial"/>
          <w:b/>
          <w:sz w:val="24"/>
          <w:szCs w:val="24"/>
        </w:rPr>
        <w:t>PERÚ:</w:t>
      </w:r>
    </w:p>
    <w:p w14:paraId="0156456C" w14:textId="77777777" w:rsidR="00A87A02" w:rsidRPr="005E00AA" w:rsidRDefault="00446824" w:rsidP="000B05F1">
      <w:pPr>
        <w:jc w:val="center"/>
        <w:rPr>
          <w:rFonts w:cs="Arial"/>
          <w:b/>
          <w:sz w:val="24"/>
          <w:szCs w:val="24"/>
        </w:rPr>
      </w:pPr>
      <w:r w:rsidRPr="005E00AA">
        <w:rPr>
          <w:rFonts w:cs="Arial"/>
          <w:b/>
          <w:sz w:val="24"/>
          <w:szCs w:val="24"/>
        </w:rPr>
        <w:t xml:space="preserve">Informe intermediario de la sociedad civil sobre el seguimiento de las Observaciones Finales del Comité de Derechos Humanos </w:t>
      </w:r>
    </w:p>
    <w:p w14:paraId="65B2034B" w14:textId="77777777" w:rsidR="009F61DB" w:rsidRPr="00A27D08" w:rsidRDefault="009F61DB" w:rsidP="009F61DB">
      <w:pPr>
        <w:jc w:val="right"/>
        <w:rPr>
          <w:rFonts w:cs="Arial"/>
        </w:rPr>
      </w:pPr>
      <w:r w:rsidRPr="00A27D08">
        <w:rPr>
          <w:rFonts w:cs="Arial"/>
        </w:rPr>
        <w:t>Julio de 2014</w:t>
      </w:r>
    </w:p>
    <w:p w14:paraId="75FE3E4C" w14:textId="77777777" w:rsidR="00BB19A5" w:rsidRDefault="00BB19A5">
      <w:pPr>
        <w:rPr>
          <w:rFonts w:cs="Arial"/>
          <w:b/>
        </w:rPr>
      </w:pPr>
    </w:p>
    <w:p w14:paraId="793543E3" w14:textId="0D0E6088" w:rsidR="009F61DB" w:rsidRDefault="008B0032">
      <w:pPr>
        <w:rPr>
          <w:rFonts w:cs="Arial"/>
          <w:b/>
        </w:rPr>
      </w:pPr>
      <w:r>
        <w:rPr>
          <w:rFonts w:cs="Arial"/>
          <w:b/>
        </w:rPr>
        <w:t xml:space="preserve">I. </w:t>
      </w:r>
      <w:r w:rsidR="007F18C0" w:rsidRPr="00363CA8">
        <w:rPr>
          <w:rFonts w:cs="Arial"/>
          <w:b/>
        </w:rPr>
        <w:t>INTRODUCCIÓN</w:t>
      </w:r>
    </w:p>
    <w:p w14:paraId="0B7A597F" w14:textId="77777777" w:rsidR="009F61DB" w:rsidRPr="009F61DB" w:rsidRDefault="009F61DB" w:rsidP="009F61DB">
      <w:pPr>
        <w:jc w:val="both"/>
        <w:rPr>
          <w:rFonts w:cs="Arial"/>
        </w:rPr>
      </w:pPr>
      <w:r w:rsidRPr="009F61DB">
        <w:rPr>
          <w:rFonts w:cs="Arial"/>
        </w:rPr>
        <w:t xml:space="preserve">El quinto informe periódico de Perú sobre el cumplimiento del Pacto Internacional de Derechos Civiles y Políticos fue examinado por el Comité de Derechos Humanos de Naciones Unidas en su sesión 107° (11-28 marzo de 2013). El párrafo 26 de las Observaciones Finales emitidas por el Comité (CCPR/C/PER/CO/5), establece que “De conformidad con el artículo 71, párrafo 5, del reglamento del Comité, el Estado parte debe facilitar, en el plazo de un año, información pertinente sobre su aplicación de las recomendaciones del Comité que figuran en los párrafos 11, 16 y 20 </w:t>
      </w:r>
      <w:r w:rsidRPr="009F61DB">
        <w:rPr>
          <w:rFonts w:cs="Arial"/>
          <w:i/>
        </w:rPr>
        <w:t>supra</w:t>
      </w:r>
      <w:r w:rsidRPr="009F61DB">
        <w:rPr>
          <w:rFonts w:cs="Arial"/>
        </w:rPr>
        <w:t>.”</w:t>
      </w:r>
    </w:p>
    <w:p w14:paraId="6201F372" w14:textId="3069B096" w:rsidR="008B0032" w:rsidRDefault="009F61DB" w:rsidP="008B0032">
      <w:pPr>
        <w:jc w:val="both"/>
        <w:rPr>
          <w:rFonts w:cs="Arial"/>
        </w:rPr>
      </w:pPr>
      <w:r w:rsidRPr="009F61DB">
        <w:rPr>
          <w:rFonts w:cs="Arial"/>
        </w:rPr>
        <w:t>A la fecha de presentación de este informe</w:t>
      </w:r>
      <w:r>
        <w:rPr>
          <w:rFonts w:cs="Arial"/>
        </w:rPr>
        <w:t xml:space="preserve"> intermediario</w:t>
      </w:r>
      <w:r w:rsidRPr="009F61DB">
        <w:rPr>
          <w:rFonts w:cs="Arial"/>
        </w:rPr>
        <w:t>, el Estado peruano no ha enviado la información requerida por el Comité de Derechos Humanos</w:t>
      </w:r>
      <w:r>
        <w:rPr>
          <w:rFonts w:cs="Arial"/>
        </w:rPr>
        <w:t xml:space="preserve"> con respecto a los párrafos 11, 16 y 20</w:t>
      </w:r>
      <w:r w:rsidRPr="009F61DB">
        <w:rPr>
          <w:rFonts w:cs="Arial"/>
        </w:rPr>
        <w:t xml:space="preserve">. </w:t>
      </w:r>
      <w:r>
        <w:rPr>
          <w:rFonts w:cs="Arial"/>
        </w:rPr>
        <w:t>C</w:t>
      </w:r>
      <w:r w:rsidRPr="009F61DB">
        <w:rPr>
          <w:rFonts w:cs="Arial"/>
        </w:rPr>
        <w:t>on el fin de contribuir al proceso de seguimiento de las recomendaciones del Comité de Derechos Humanos</w:t>
      </w:r>
      <w:r>
        <w:rPr>
          <w:rFonts w:cs="Arial"/>
        </w:rPr>
        <w:t xml:space="preserve">, </w:t>
      </w:r>
      <w:r w:rsidRPr="009F61DB">
        <w:rPr>
          <w:rFonts w:cs="Arial"/>
        </w:rPr>
        <w:t>la Coordinadora de Derechos Humanos, con el apoyo del Centro para los Derechos Civiles y Políticos, presenta información sobre los párrafos 11 y 16 de las Observaciones Finales.</w:t>
      </w:r>
    </w:p>
    <w:p w14:paraId="624887EF" w14:textId="77777777" w:rsidR="008B0032" w:rsidRDefault="008B0032" w:rsidP="008B0032">
      <w:pPr>
        <w:jc w:val="both"/>
        <w:rPr>
          <w:rFonts w:cs="Arial"/>
        </w:rPr>
      </w:pPr>
    </w:p>
    <w:p w14:paraId="7309C82A" w14:textId="4AF6347D" w:rsidR="008B0032" w:rsidRPr="000B6978" w:rsidRDefault="008B0032" w:rsidP="008B0032">
      <w:pPr>
        <w:rPr>
          <w:rFonts w:cs="Arial"/>
          <w:b/>
        </w:rPr>
      </w:pPr>
      <w:r>
        <w:rPr>
          <w:rFonts w:cs="Arial"/>
          <w:b/>
        </w:rPr>
        <w:t xml:space="preserve">II. </w:t>
      </w:r>
      <w:r w:rsidRPr="000B6978">
        <w:rPr>
          <w:rFonts w:cs="Arial"/>
          <w:b/>
        </w:rPr>
        <w:t>CONTACTO:</w:t>
      </w:r>
    </w:p>
    <w:p w14:paraId="5950DD94" w14:textId="77777777" w:rsidR="008B0032" w:rsidRPr="000B6978" w:rsidRDefault="008B0032" w:rsidP="008B0032">
      <w:pPr>
        <w:rPr>
          <w:rFonts w:cs="Arial"/>
        </w:rPr>
      </w:pPr>
      <w:r w:rsidRPr="000B6978">
        <w:rPr>
          <w:rFonts w:cs="Arial"/>
        </w:rPr>
        <w:t>Miguel Jugo</w:t>
      </w:r>
    </w:p>
    <w:p w14:paraId="0E516D61" w14:textId="77777777" w:rsidR="008B0032" w:rsidRPr="000B6978" w:rsidRDefault="008B0032" w:rsidP="008B0032">
      <w:pPr>
        <w:rPr>
          <w:rFonts w:cs="Arial"/>
        </w:rPr>
      </w:pPr>
      <w:r w:rsidRPr="000B6978">
        <w:rPr>
          <w:rFonts w:cs="Arial"/>
        </w:rPr>
        <w:t xml:space="preserve">Coordinadora Nacional de Derechos Humanos </w:t>
      </w:r>
    </w:p>
    <w:p w14:paraId="64DDEA51" w14:textId="77777777" w:rsidR="008B0032" w:rsidRPr="000B6978" w:rsidRDefault="00BB19A5" w:rsidP="008B0032">
      <w:pPr>
        <w:spacing w:after="0" w:line="240" w:lineRule="auto"/>
        <w:rPr>
          <w:rFonts w:eastAsia="Times New Roman" w:cs="Times New Roman"/>
          <w:lang w:val="fr-FR" w:eastAsia="fr-FR"/>
        </w:rPr>
      </w:pPr>
      <w:hyperlink r:id="rId10" w:history="1">
        <w:r w:rsidR="008B0032" w:rsidRPr="00E84A48">
          <w:rPr>
            <w:rStyle w:val="Lienhypertexte"/>
            <w:rFonts w:eastAsia="Times New Roman" w:cs="Arial"/>
            <w:shd w:val="clear" w:color="auto" w:fill="FFFFFF"/>
            <w:lang w:val="fr-FR" w:eastAsia="fr-FR"/>
          </w:rPr>
          <w:t>miguel@derechoshumanos.pe</w:t>
        </w:r>
      </w:hyperlink>
      <w:r w:rsidR="008B0032">
        <w:rPr>
          <w:rFonts w:eastAsia="Times New Roman" w:cs="Arial"/>
          <w:color w:val="555555"/>
          <w:shd w:val="clear" w:color="auto" w:fill="FFFFFF"/>
          <w:lang w:val="fr-FR" w:eastAsia="fr-FR"/>
        </w:rPr>
        <w:t xml:space="preserve"> </w:t>
      </w:r>
    </w:p>
    <w:p w14:paraId="1AEE2167" w14:textId="77777777" w:rsidR="008B0032" w:rsidRDefault="008B0032" w:rsidP="008B0032">
      <w:pPr>
        <w:jc w:val="both"/>
        <w:rPr>
          <w:rFonts w:cs="Arial"/>
        </w:rPr>
      </w:pPr>
    </w:p>
    <w:p w14:paraId="3C843A58" w14:textId="77777777" w:rsidR="008B0032" w:rsidRDefault="008B0032" w:rsidP="008B0032">
      <w:pPr>
        <w:jc w:val="both"/>
        <w:rPr>
          <w:rFonts w:cs="Arial"/>
        </w:rPr>
      </w:pPr>
    </w:p>
    <w:p w14:paraId="37BF1836" w14:textId="77777777" w:rsidR="008B0032" w:rsidRDefault="008B0032" w:rsidP="008B0032">
      <w:pPr>
        <w:jc w:val="both"/>
        <w:rPr>
          <w:rFonts w:cs="Arial"/>
        </w:rPr>
      </w:pPr>
    </w:p>
    <w:p w14:paraId="3910AC14" w14:textId="77777777" w:rsidR="008B0032" w:rsidRDefault="008B0032" w:rsidP="008B0032">
      <w:pPr>
        <w:jc w:val="both"/>
        <w:rPr>
          <w:rFonts w:cs="Arial"/>
        </w:rPr>
      </w:pPr>
    </w:p>
    <w:p w14:paraId="7FE5599E" w14:textId="1393C494" w:rsidR="008B0032" w:rsidRPr="002043F7" w:rsidRDefault="008B0032" w:rsidP="008B0032">
      <w:pPr>
        <w:rPr>
          <w:rFonts w:cs="Arial"/>
          <w:b/>
        </w:rPr>
      </w:pPr>
      <w:bookmarkStart w:id="0" w:name="_GoBack"/>
      <w:bookmarkEnd w:id="0"/>
      <w:r>
        <w:rPr>
          <w:rFonts w:cs="Arial"/>
          <w:b/>
        </w:rPr>
        <w:t>III. RESUMEN</w:t>
      </w:r>
    </w:p>
    <w:tbl>
      <w:tblPr>
        <w:tblW w:w="892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1242"/>
        <w:gridCol w:w="715"/>
        <w:gridCol w:w="1299"/>
        <w:gridCol w:w="1247"/>
        <w:gridCol w:w="4109"/>
        <w:gridCol w:w="314"/>
      </w:tblGrid>
      <w:tr w:rsidR="008B0032" w:rsidRPr="002043F7" w14:paraId="5903AAB6"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1CABF03F" w14:textId="77777777" w:rsidR="008B0032" w:rsidRPr="002043F7" w:rsidRDefault="008B0032" w:rsidP="00F32E7D">
            <w:pPr>
              <w:rPr>
                <w:rFonts w:cs="Arial"/>
                <w:b/>
                <w:sz w:val="18"/>
                <w:szCs w:val="18"/>
                <w:lang w:val="es-ES_tradnl"/>
              </w:rPr>
            </w:pPr>
            <w:r w:rsidRPr="002043F7">
              <w:rPr>
                <w:rFonts w:cs="Arial"/>
                <w:b/>
                <w:sz w:val="18"/>
                <w:szCs w:val="18"/>
                <w:lang w:val="es-ES_tradnl"/>
              </w:rPr>
              <w:t>Recomendación 11</w:t>
            </w:r>
          </w:p>
        </w:tc>
        <w:tc>
          <w:tcPr>
            <w:tcW w:w="1247"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0B2C5F75" w14:textId="71DC3237" w:rsidR="008B0032" w:rsidRPr="002043F7" w:rsidRDefault="008B0032" w:rsidP="00F32E7D">
            <w:pPr>
              <w:rPr>
                <w:rFonts w:cs="Arial"/>
                <w:b/>
                <w:sz w:val="18"/>
                <w:szCs w:val="18"/>
                <w:lang w:val="es-ES_tradnl"/>
              </w:rPr>
            </w:pPr>
            <w:bookmarkStart w:id="1" w:name="__UnoMark__151_1993286424"/>
            <w:bookmarkStart w:id="2" w:name="__UnoMark__152_1993286424"/>
            <w:bookmarkEnd w:id="1"/>
            <w:bookmarkEnd w:id="2"/>
            <w:r w:rsidRPr="002043F7">
              <w:rPr>
                <w:rFonts w:cs="Arial"/>
                <w:b/>
                <w:sz w:val="18"/>
                <w:szCs w:val="18"/>
                <w:lang w:val="es-ES_tradnl"/>
              </w:rPr>
              <w:t>Calificación</w:t>
            </w:r>
            <w:r>
              <w:rPr>
                <w:rStyle w:val="Marquenotebasdepage"/>
                <w:rFonts w:cs="Arial"/>
                <w:b/>
                <w:sz w:val="18"/>
                <w:szCs w:val="18"/>
                <w:lang w:val="es-ES_tradnl"/>
              </w:rPr>
              <w:footnoteReference w:id="1"/>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4056B251" w14:textId="77777777" w:rsidR="008B0032" w:rsidRPr="002043F7" w:rsidRDefault="008B0032" w:rsidP="00F32E7D">
            <w:pPr>
              <w:rPr>
                <w:rFonts w:cs="Arial"/>
                <w:b/>
                <w:sz w:val="18"/>
                <w:szCs w:val="18"/>
                <w:lang w:val="es-ES_tradnl"/>
              </w:rPr>
            </w:pPr>
            <w:bookmarkStart w:id="3" w:name="__UnoMark__153_1993286424"/>
            <w:bookmarkStart w:id="4" w:name="__UnoMark__154_1993286424"/>
            <w:bookmarkEnd w:id="3"/>
            <w:bookmarkEnd w:id="4"/>
            <w:r w:rsidRPr="002043F7">
              <w:rPr>
                <w:rFonts w:cs="Arial"/>
                <w:b/>
                <w:sz w:val="18"/>
                <w:szCs w:val="18"/>
                <w:lang w:val="es-ES_tradnl"/>
              </w:rPr>
              <w:t>Resumen</w:t>
            </w:r>
          </w:p>
        </w:tc>
      </w:tr>
      <w:tr w:rsidR="008B0032" w:rsidRPr="002043F7" w14:paraId="6005CC0E" w14:textId="77777777" w:rsidTr="008B0032">
        <w:trPr>
          <w:trHeight w:val="751"/>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7CB8E76C" w14:textId="77777777" w:rsidR="008B0032" w:rsidRPr="002043F7" w:rsidRDefault="008B0032" w:rsidP="00F32E7D">
            <w:pPr>
              <w:jc w:val="both"/>
              <w:rPr>
                <w:rFonts w:cs="Arial"/>
                <w:bCs/>
                <w:i/>
                <w:sz w:val="18"/>
                <w:szCs w:val="18"/>
                <w:lang w:val="es-ES_tradnl"/>
              </w:rPr>
            </w:pPr>
            <w:r w:rsidRPr="002043F7">
              <w:rPr>
                <w:rFonts w:cs="Arial"/>
                <w:sz w:val="18"/>
                <w:szCs w:val="18"/>
                <w:lang w:val="es-ES_tradnl"/>
              </w:rPr>
              <w:t>El Estado parte debe redoblar sus esfuerzos para garantizar que las violaciones graves de los derechos humanos perpetradas durante el conflicto armado de 1980 a 2000, incluidas las que entrañaron violencia sexual, no queden impunes.</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C931C3C" w14:textId="6D881E90" w:rsidR="008B0032" w:rsidRPr="002043F7" w:rsidRDefault="008B0032" w:rsidP="00F32E7D">
            <w:pPr>
              <w:rPr>
                <w:rFonts w:cs="Arial"/>
                <w:sz w:val="18"/>
                <w:szCs w:val="18"/>
                <w:lang w:val="es-ES_tradnl"/>
              </w:rPr>
            </w:pPr>
            <w:bookmarkStart w:id="5" w:name="__UnoMark__158_1993286424"/>
            <w:bookmarkStart w:id="6" w:name="__UnoMark__157_1993286424"/>
            <w:bookmarkEnd w:id="5"/>
            <w:bookmarkEnd w:id="6"/>
            <w:r>
              <w:rPr>
                <w:rFonts w:cs="Arial"/>
                <w:sz w:val="18"/>
                <w:szCs w:val="18"/>
                <w:lang w:val="es-ES_tradnl"/>
              </w:rPr>
              <w:t>D</w:t>
            </w:r>
            <w:r w:rsidR="005E00AA">
              <w:rPr>
                <w:rFonts w:cs="Arial"/>
                <w:sz w:val="18"/>
                <w:szCs w:val="18"/>
                <w:lang w:val="es-ES_tradnl"/>
              </w:rPr>
              <w:t>2</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2AF0955" w14:textId="77777777" w:rsidR="008B0032" w:rsidRPr="002043F7" w:rsidRDefault="008B0032" w:rsidP="00F32E7D">
            <w:pPr>
              <w:jc w:val="both"/>
              <w:rPr>
                <w:rFonts w:cs="Arial"/>
                <w:sz w:val="18"/>
                <w:szCs w:val="18"/>
                <w:lang w:val="es-ES_tradnl"/>
              </w:rPr>
            </w:pPr>
            <w:bookmarkStart w:id="7" w:name="__UnoMark__160_1993286424"/>
            <w:bookmarkStart w:id="8" w:name="__UnoMark__159_1993286424"/>
            <w:bookmarkEnd w:id="7"/>
            <w:bookmarkEnd w:id="8"/>
            <w:r w:rsidRPr="002043F7">
              <w:rPr>
                <w:rFonts w:cs="Arial"/>
                <w:sz w:val="18"/>
                <w:szCs w:val="18"/>
                <w:lang w:val="es-ES_tradnl"/>
              </w:rPr>
              <w:t>No existe</w:t>
            </w:r>
            <w:r>
              <w:rPr>
                <w:rFonts w:cs="Arial"/>
                <w:sz w:val="18"/>
                <w:szCs w:val="18"/>
                <w:lang w:val="es-ES_tradnl"/>
              </w:rPr>
              <w:t>n</w:t>
            </w:r>
            <w:r w:rsidRPr="002043F7">
              <w:rPr>
                <w:rFonts w:cs="Arial"/>
                <w:sz w:val="18"/>
                <w:szCs w:val="18"/>
                <w:lang w:val="es-ES_tradnl"/>
              </w:rPr>
              <w:t xml:space="preserve"> avances en esta materia</w:t>
            </w:r>
            <w:r>
              <w:rPr>
                <w:rFonts w:cs="Arial"/>
                <w:sz w:val="18"/>
                <w:szCs w:val="18"/>
                <w:lang w:val="es-ES_tradnl"/>
              </w:rPr>
              <w:t>,</w:t>
            </w:r>
            <w:r w:rsidRPr="002043F7">
              <w:rPr>
                <w:rFonts w:cs="Arial"/>
                <w:sz w:val="18"/>
                <w:szCs w:val="18"/>
                <w:lang w:val="es-ES_tradnl"/>
              </w:rPr>
              <w:t xml:space="preserve"> por el contrario las situaciones de impunidad se han incr</w:t>
            </w:r>
            <w:r>
              <w:rPr>
                <w:rFonts w:cs="Arial"/>
                <w:sz w:val="18"/>
                <w:szCs w:val="18"/>
                <w:lang w:val="es-ES_tradnl"/>
              </w:rPr>
              <w:t xml:space="preserve">ementado, ya que recientemente se ha aceptado </w:t>
            </w:r>
            <w:r w:rsidRPr="002043F7">
              <w:rPr>
                <w:rFonts w:cs="Arial"/>
                <w:sz w:val="18"/>
                <w:szCs w:val="18"/>
                <w:lang w:val="es-ES_tradnl"/>
              </w:rPr>
              <w:t>que los delitos de graves violaciones a los derech</w:t>
            </w:r>
            <w:r>
              <w:rPr>
                <w:rFonts w:cs="Arial"/>
                <w:sz w:val="18"/>
                <w:szCs w:val="18"/>
                <w:lang w:val="es-ES_tradnl"/>
              </w:rPr>
              <w:t xml:space="preserve">os humanos prescriban. Además </w:t>
            </w:r>
            <w:r w:rsidRPr="002043F7">
              <w:rPr>
                <w:rFonts w:cs="Arial"/>
                <w:sz w:val="18"/>
                <w:szCs w:val="18"/>
                <w:lang w:val="es-ES_tradnl"/>
              </w:rPr>
              <w:t>se ha otorgado revisión de casos que ya estaban con carácter de cosa juzgada, con la presentación de pericias de parte.</w:t>
            </w:r>
          </w:p>
        </w:tc>
      </w:tr>
      <w:tr w:rsidR="008B0032" w:rsidRPr="002043F7" w14:paraId="03B6DEE8"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9722E8B" w14:textId="77777777" w:rsidR="008B0032" w:rsidRPr="002043F7" w:rsidRDefault="008B0032" w:rsidP="00F32E7D">
            <w:pPr>
              <w:jc w:val="both"/>
              <w:rPr>
                <w:rFonts w:cs="Arial"/>
                <w:sz w:val="18"/>
                <w:szCs w:val="18"/>
                <w:lang w:val="es-ES_tradnl"/>
              </w:rPr>
            </w:pPr>
            <w:r w:rsidRPr="002043F7">
              <w:rPr>
                <w:rFonts w:cs="Arial"/>
                <w:sz w:val="18"/>
                <w:szCs w:val="18"/>
                <w:lang w:val="es-ES_tradnl"/>
              </w:rPr>
              <w:t>El Estado parte debe adoptar las medidas adecuadas para acelerar las investigaciones judiciales y el proceso de exhumación, identificación y devolución de los restos a los familiares de las víctimas.</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C707533" w14:textId="73F6A204" w:rsidR="008B0032" w:rsidRPr="002043F7" w:rsidRDefault="008B0032" w:rsidP="00F32E7D">
            <w:pPr>
              <w:rPr>
                <w:rFonts w:cs="Arial"/>
                <w:sz w:val="18"/>
                <w:szCs w:val="18"/>
                <w:lang w:val="es-ES_tradnl"/>
              </w:rPr>
            </w:pPr>
            <w:bookmarkStart w:id="9" w:name="__UnoMark__164_1993286424"/>
            <w:bookmarkStart w:id="10" w:name="__UnoMark__163_1993286424"/>
            <w:bookmarkEnd w:id="9"/>
            <w:bookmarkEnd w:id="10"/>
            <w:r>
              <w:rPr>
                <w:rFonts w:cs="Arial"/>
                <w:sz w:val="18"/>
                <w:szCs w:val="18"/>
                <w:lang w:val="es-ES_tradnl"/>
              </w:rPr>
              <w:t>D</w:t>
            </w:r>
            <w:r w:rsidR="005E00AA">
              <w:rPr>
                <w:rFonts w:cs="Arial"/>
                <w:sz w:val="18"/>
                <w:szCs w:val="18"/>
                <w:lang w:val="es-ES_tradnl"/>
              </w:rPr>
              <w:t>2</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14CCBD1" w14:textId="77777777" w:rsidR="008B0032" w:rsidRDefault="008B0032" w:rsidP="00F32E7D">
            <w:pPr>
              <w:jc w:val="both"/>
              <w:rPr>
                <w:rFonts w:cs="Arial"/>
                <w:sz w:val="18"/>
                <w:szCs w:val="18"/>
                <w:lang w:val="es-ES_tradnl"/>
              </w:rPr>
            </w:pPr>
            <w:bookmarkStart w:id="11" w:name="__UnoMark__166_1993286424"/>
            <w:bookmarkStart w:id="12" w:name="__UnoMark__165_1993286424"/>
            <w:bookmarkEnd w:id="11"/>
            <w:bookmarkEnd w:id="12"/>
            <w:r w:rsidRPr="002043F7">
              <w:rPr>
                <w:rFonts w:cs="Arial"/>
                <w:sz w:val="18"/>
                <w:szCs w:val="18"/>
                <w:lang w:val="es-ES_tradnl"/>
              </w:rPr>
              <w:t xml:space="preserve">El proceso de exhumación continúa muy lento, así como la identificación de los cuerpos que son exhumados, según el Instituto de Medicina legal por falta de reactivos para la realización de los exámenes de ADN. </w:t>
            </w:r>
          </w:p>
          <w:p w14:paraId="0A33E3CD" w14:textId="77777777" w:rsidR="008B0032" w:rsidRPr="002043F7" w:rsidRDefault="008B0032" w:rsidP="00F32E7D">
            <w:pPr>
              <w:jc w:val="both"/>
              <w:rPr>
                <w:rFonts w:cs="Arial"/>
                <w:sz w:val="18"/>
                <w:szCs w:val="18"/>
                <w:lang w:val="es-ES_tradnl"/>
              </w:rPr>
            </w:pPr>
            <w:r>
              <w:rPr>
                <w:rFonts w:cs="Arial"/>
                <w:sz w:val="18"/>
                <w:szCs w:val="18"/>
                <w:lang w:val="es-ES_tradnl"/>
              </w:rPr>
              <w:t xml:space="preserve">No se ha aprobado la </w:t>
            </w:r>
            <w:r>
              <w:rPr>
                <w:rFonts w:cs="Arial"/>
                <w:sz w:val="18"/>
                <w:szCs w:val="18"/>
              </w:rPr>
              <w:t>L</w:t>
            </w:r>
            <w:r w:rsidRPr="00AE61FD">
              <w:rPr>
                <w:rFonts w:cs="Arial"/>
                <w:sz w:val="18"/>
                <w:szCs w:val="18"/>
              </w:rPr>
              <w:t>ey de búsqueda de personas desaparecidas y que incluye un Plan de Exhumaciones Antropológicas forenses</w:t>
            </w:r>
            <w:r>
              <w:rPr>
                <w:rFonts w:cs="Arial"/>
                <w:sz w:val="18"/>
                <w:szCs w:val="18"/>
              </w:rPr>
              <w:t>.</w:t>
            </w:r>
          </w:p>
        </w:tc>
      </w:tr>
      <w:tr w:rsidR="008B0032" w:rsidRPr="002043F7" w14:paraId="77E5EE28"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9921CEF" w14:textId="77777777" w:rsidR="008B0032" w:rsidRPr="002043F7" w:rsidRDefault="008B0032" w:rsidP="00F32E7D">
            <w:pPr>
              <w:jc w:val="both"/>
              <w:rPr>
                <w:rFonts w:cs="Arial"/>
                <w:sz w:val="18"/>
                <w:szCs w:val="18"/>
                <w:lang w:val="es-ES_tradnl"/>
              </w:rPr>
            </w:pPr>
            <w:r w:rsidRPr="002043F7">
              <w:rPr>
                <w:rFonts w:cs="Arial"/>
                <w:sz w:val="18"/>
                <w:szCs w:val="18"/>
                <w:lang w:val="es-ES_tradnl"/>
              </w:rPr>
              <w:t>El Comité invita al Estado parte a revisar los criterios que deben aplicarse respecto de las pruebas de las violaciones e insta al Estado parte a velar por que el Ministerio de la Defensa y las Fuerzas Armadas cooperen plenamente en las investigaciones y proporcionen sin dilación toda la información de que dispongan a las autoridades que la soliciten.</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56CCE93" w14:textId="6FF2950E" w:rsidR="008B0032" w:rsidRPr="002043F7" w:rsidRDefault="008B0032" w:rsidP="00F32E7D">
            <w:pPr>
              <w:rPr>
                <w:rFonts w:cs="Arial"/>
                <w:sz w:val="18"/>
                <w:szCs w:val="18"/>
                <w:lang w:val="es-ES_tradnl"/>
              </w:rPr>
            </w:pPr>
            <w:bookmarkStart w:id="13" w:name="__UnoMark__170_1993286424"/>
            <w:bookmarkStart w:id="14" w:name="__UnoMark__169_1993286424"/>
            <w:bookmarkEnd w:id="13"/>
            <w:bookmarkEnd w:id="14"/>
            <w:r>
              <w:rPr>
                <w:rFonts w:cs="Arial"/>
                <w:sz w:val="18"/>
                <w:szCs w:val="18"/>
                <w:lang w:val="es-ES_tradnl"/>
              </w:rPr>
              <w:t>D</w:t>
            </w:r>
            <w:r w:rsidR="005E00AA">
              <w:rPr>
                <w:rFonts w:cs="Arial"/>
                <w:sz w:val="18"/>
                <w:szCs w:val="18"/>
                <w:lang w:val="es-ES_tradnl"/>
              </w:rPr>
              <w:t>2</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A3D9767" w14:textId="77777777" w:rsidR="008B0032" w:rsidRPr="002043F7" w:rsidRDefault="008B0032" w:rsidP="00F32E7D">
            <w:pPr>
              <w:jc w:val="both"/>
              <w:rPr>
                <w:rFonts w:cs="Arial"/>
                <w:sz w:val="18"/>
                <w:szCs w:val="18"/>
                <w:lang w:val="es-ES_tradnl"/>
              </w:rPr>
            </w:pPr>
            <w:bookmarkStart w:id="15" w:name="__UnoMark__172_1993286424"/>
            <w:bookmarkStart w:id="16" w:name="__UnoMark__171_1993286424"/>
            <w:bookmarkEnd w:id="15"/>
            <w:bookmarkEnd w:id="16"/>
            <w:r>
              <w:rPr>
                <w:rFonts w:cs="Arial"/>
                <w:sz w:val="18"/>
                <w:szCs w:val="18"/>
                <w:lang w:val="es-ES_tradnl"/>
              </w:rPr>
              <w:t xml:space="preserve">No existe colaboración por parte del Ministerio de Defensa y Fuerzas Armadas, por ejemplo, no se ha entregado </w:t>
            </w:r>
            <w:r w:rsidRPr="002043F7">
              <w:rPr>
                <w:rFonts w:cs="Arial"/>
                <w:sz w:val="18"/>
                <w:szCs w:val="18"/>
                <w:lang w:val="es-ES_tradnl"/>
              </w:rPr>
              <w:t>a los militares que tiene ordenes judiciales de captura</w:t>
            </w:r>
            <w:r>
              <w:rPr>
                <w:rFonts w:cs="Arial"/>
                <w:sz w:val="18"/>
                <w:szCs w:val="18"/>
                <w:lang w:val="es-ES_tradnl"/>
              </w:rPr>
              <w:t>.</w:t>
            </w:r>
          </w:p>
        </w:tc>
      </w:tr>
      <w:tr w:rsidR="008B0032" w:rsidRPr="002043F7" w14:paraId="436F0E2A"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4AEE6705" w14:textId="77777777" w:rsidR="008B0032" w:rsidRPr="002043F7" w:rsidRDefault="008B0032" w:rsidP="00F32E7D">
            <w:pPr>
              <w:jc w:val="both"/>
              <w:rPr>
                <w:rFonts w:cs="Arial"/>
                <w:sz w:val="18"/>
                <w:szCs w:val="18"/>
                <w:lang w:val="es-ES_tradnl"/>
              </w:rPr>
            </w:pPr>
            <w:r w:rsidRPr="002043F7">
              <w:rPr>
                <w:rFonts w:cs="Arial"/>
                <w:sz w:val="18"/>
                <w:szCs w:val="18"/>
                <w:lang w:val="es-ES_tradnl"/>
              </w:rPr>
              <w:t>El Estado parte debe establecer la responsabilidad legal por la práctica de no presentar informes durante el conflicto.</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36F319A3" w14:textId="533B37CD" w:rsidR="008B0032" w:rsidRPr="002043F7" w:rsidRDefault="008B0032" w:rsidP="00F32E7D">
            <w:pPr>
              <w:rPr>
                <w:rFonts w:cs="Arial"/>
                <w:sz w:val="18"/>
                <w:szCs w:val="18"/>
                <w:lang w:val="es-ES_tradnl"/>
              </w:rPr>
            </w:pPr>
            <w:r>
              <w:rPr>
                <w:rFonts w:cs="Arial"/>
                <w:sz w:val="18"/>
                <w:szCs w:val="18"/>
                <w:lang w:val="es-ES_tradnl"/>
              </w:rPr>
              <w:t>D</w:t>
            </w:r>
            <w:r w:rsidR="005E00AA">
              <w:rPr>
                <w:rFonts w:cs="Arial"/>
                <w:sz w:val="18"/>
                <w:szCs w:val="18"/>
                <w:lang w:val="es-ES_tradnl"/>
              </w:rPr>
              <w:t>2</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72B4E7E" w14:textId="77777777" w:rsidR="008B0032" w:rsidRPr="002043F7" w:rsidRDefault="008B0032" w:rsidP="00F32E7D">
            <w:pPr>
              <w:jc w:val="both"/>
              <w:rPr>
                <w:rFonts w:cs="Arial"/>
                <w:sz w:val="18"/>
                <w:szCs w:val="18"/>
                <w:lang w:val="es-ES_tradnl"/>
              </w:rPr>
            </w:pPr>
            <w:r>
              <w:rPr>
                <w:rFonts w:cs="Arial"/>
                <w:sz w:val="18"/>
                <w:szCs w:val="18"/>
                <w:lang w:val="es-ES_tradnl"/>
              </w:rPr>
              <w:t>No hay ningún avance</w:t>
            </w:r>
            <w:r w:rsidRPr="002043F7">
              <w:rPr>
                <w:rFonts w:cs="Arial"/>
                <w:sz w:val="18"/>
                <w:szCs w:val="18"/>
                <w:lang w:val="es-ES_tradnl"/>
              </w:rPr>
              <w:t xml:space="preserve"> en ese sentido</w:t>
            </w:r>
          </w:p>
        </w:tc>
      </w:tr>
      <w:tr w:rsidR="008B0032" w:rsidRPr="002043F7" w14:paraId="675127E6"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167F4BA9" w14:textId="77777777" w:rsidR="008B0032" w:rsidRPr="002043F7" w:rsidRDefault="008B0032" w:rsidP="00F32E7D">
            <w:pPr>
              <w:rPr>
                <w:rFonts w:cs="Arial"/>
                <w:b/>
                <w:sz w:val="18"/>
                <w:szCs w:val="18"/>
                <w:lang w:val="es-ES_tradnl"/>
              </w:rPr>
            </w:pPr>
            <w:r w:rsidRPr="002043F7">
              <w:rPr>
                <w:rFonts w:cs="Arial"/>
                <w:b/>
                <w:sz w:val="18"/>
                <w:szCs w:val="18"/>
                <w:lang w:val="es-ES_tradnl"/>
              </w:rPr>
              <w:lastRenderedPageBreak/>
              <w:t>Recomendación 16</w:t>
            </w:r>
          </w:p>
        </w:tc>
        <w:tc>
          <w:tcPr>
            <w:tcW w:w="1247" w:type="dxa"/>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2C86432D" w14:textId="77777777" w:rsidR="008B0032" w:rsidRPr="002043F7" w:rsidRDefault="008B0032" w:rsidP="00F32E7D">
            <w:pPr>
              <w:rPr>
                <w:rFonts w:cs="Arial"/>
                <w:b/>
                <w:sz w:val="18"/>
                <w:szCs w:val="18"/>
                <w:lang w:val="es-ES_tradnl"/>
              </w:rPr>
            </w:pPr>
            <w:bookmarkStart w:id="17" w:name="__UnoMark__175_1993286424"/>
            <w:bookmarkStart w:id="18" w:name="__UnoMark__176_1993286424"/>
            <w:bookmarkEnd w:id="17"/>
            <w:bookmarkEnd w:id="18"/>
            <w:r w:rsidRPr="002043F7">
              <w:rPr>
                <w:rFonts w:cs="Arial"/>
                <w:b/>
                <w:sz w:val="18"/>
                <w:szCs w:val="18"/>
                <w:lang w:val="es-ES_tradnl"/>
              </w:rPr>
              <w:t>Calificación</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E0E0E0"/>
            <w:tcMar>
              <w:left w:w="108" w:type="dxa"/>
            </w:tcMar>
          </w:tcPr>
          <w:p w14:paraId="35CBD257" w14:textId="77777777" w:rsidR="008B0032" w:rsidRPr="002043F7" w:rsidRDefault="008B0032" w:rsidP="00F32E7D">
            <w:pPr>
              <w:rPr>
                <w:rFonts w:cs="Arial"/>
                <w:b/>
                <w:sz w:val="18"/>
                <w:szCs w:val="18"/>
                <w:lang w:val="es-ES_tradnl"/>
              </w:rPr>
            </w:pPr>
            <w:bookmarkStart w:id="19" w:name="__UnoMark__177_1993286424"/>
            <w:bookmarkStart w:id="20" w:name="__UnoMark__178_1993286424"/>
            <w:bookmarkEnd w:id="19"/>
            <w:bookmarkEnd w:id="20"/>
            <w:r w:rsidRPr="002043F7">
              <w:rPr>
                <w:rFonts w:cs="Arial"/>
                <w:b/>
                <w:sz w:val="18"/>
                <w:szCs w:val="18"/>
                <w:lang w:val="es-ES_tradnl"/>
              </w:rPr>
              <w:t>Resumen</w:t>
            </w:r>
          </w:p>
        </w:tc>
      </w:tr>
      <w:tr w:rsidR="008B0032" w:rsidRPr="002043F7" w14:paraId="4FA50576"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F7489A8" w14:textId="77777777" w:rsidR="008B0032" w:rsidRPr="002043F7" w:rsidRDefault="008B0032" w:rsidP="00F32E7D">
            <w:pPr>
              <w:jc w:val="both"/>
              <w:rPr>
                <w:rFonts w:cs="Arial"/>
                <w:sz w:val="18"/>
                <w:szCs w:val="18"/>
                <w:lang w:val="es-ES_tradnl"/>
              </w:rPr>
            </w:pPr>
            <w:r w:rsidRPr="002043F7">
              <w:rPr>
                <w:rFonts w:cs="Arial"/>
                <w:sz w:val="18"/>
                <w:szCs w:val="18"/>
                <w:lang w:val="es-ES_tradnl"/>
              </w:rPr>
              <w:t>El Estado parte debe seguir adoptando medidas para prevenir y eliminar efectivamente el uso excesivo de la fuerza por los miembros de las fuerzas del orden y de seguridad, entre otras cosas reforzando y ofreciendo periódicamente capacitación en materia de derechos humanos, con especial hincapié en las alternativas al uso de la fuerza y las armas de fuego.</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4D1C979" w14:textId="77777777" w:rsidR="008B0032" w:rsidRPr="002043F7" w:rsidRDefault="008B0032" w:rsidP="00F32E7D">
            <w:pPr>
              <w:jc w:val="both"/>
              <w:rPr>
                <w:rFonts w:cs="Arial"/>
                <w:sz w:val="18"/>
                <w:szCs w:val="18"/>
                <w:lang w:val="es-ES_tradnl"/>
              </w:rPr>
            </w:pPr>
            <w:bookmarkStart w:id="21" w:name="__UnoMark__182_1993286424"/>
            <w:bookmarkStart w:id="22" w:name="__UnoMark__181_1993286424"/>
            <w:bookmarkEnd w:id="21"/>
            <w:bookmarkEnd w:id="22"/>
            <w:r>
              <w:rPr>
                <w:rFonts w:cs="Arial"/>
                <w:sz w:val="18"/>
                <w:szCs w:val="18"/>
                <w:lang w:val="es-ES_tradnl"/>
              </w:rPr>
              <w:t>E</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F2AFFD3" w14:textId="77777777" w:rsidR="008B0032" w:rsidRPr="002043F7" w:rsidRDefault="008B0032" w:rsidP="00F32E7D">
            <w:pPr>
              <w:jc w:val="both"/>
              <w:rPr>
                <w:rFonts w:cs="Arial"/>
                <w:sz w:val="18"/>
                <w:szCs w:val="18"/>
                <w:lang w:val="es-ES_tradnl"/>
              </w:rPr>
            </w:pPr>
            <w:bookmarkStart w:id="23" w:name="__UnoMark__184_1993286424"/>
            <w:bookmarkStart w:id="24" w:name="__UnoMark__183_1993286424"/>
            <w:bookmarkEnd w:id="23"/>
            <w:bookmarkEnd w:id="24"/>
            <w:r w:rsidRPr="002043F7">
              <w:rPr>
                <w:rFonts w:cs="Arial"/>
                <w:sz w:val="18"/>
                <w:szCs w:val="18"/>
                <w:lang w:val="es-ES_tradnl"/>
              </w:rPr>
              <w:t xml:space="preserve">La promulgación de la Ley 30151, </w:t>
            </w:r>
            <w:r>
              <w:rPr>
                <w:rFonts w:cs="Arial"/>
                <w:sz w:val="18"/>
                <w:szCs w:val="18"/>
                <w:lang w:val="es-ES_tradnl"/>
              </w:rPr>
              <w:t xml:space="preserve">en enero de 2014, </w:t>
            </w:r>
            <w:r w:rsidRPr="002043F7">
              <w:rPr>
                <w:rFonts w:cs="Arial"/>
                <w:sz w:val="18"/>
                <w:szCs w:val="18"/>
                <w:lang w:val="es-ES_tradnl"/>
              </w:rPr>
              <w:t>que señala como causal de inimputabilidad el uso de armas de los Policías y</w:t>
            </w:r>
            <w:r>
              <w:rPr>
                <w:rFonts w:cs="Arial"/>
                <w:sz w:val="18"/>
                <w:szCs w:val="18"/>
                <w:lang w:val="es-ES_tradnl"/>
              </w:rPr>
              <w:t xml:space="preserve"> Militares, representa un </w:t>
            </w:r>
            <w:r w:rsidRPr="002043F7">
              <w:rPr>
                <w:rFonts w:cs="Arial"/>
                <w:sz w:val="18"/>
                <w:szCs w:val="18"/>
                <w:lang w:val="es-ES_tradnl"/>
              </w:rPr>
              <w:t xml:space="preserve">retroceso </w:t>
            </w:r>
            <w:r>
              <w:rPr>
                <w:rFonts w:cs="Arial"/>
                <w:sz w:val="18"/>
                <w:szCs w:val="18"/>
                <w:lang w:val="es-ES_tradnl"/>
              </w:rPr>
              <w:t>para</w:t>
            </w:r>
            <w:r w:rsidRPr="002043F7">
              <w:rPr>
                <w:rFonts w:cs="Arial"/>
                <w:sz w:val="18"/>
                <w:szCs w:val="18"/>
                <w:lang w:val="es-ES_tradnl"/>
              </w:rPr>
              <w:t xml:space="preserve"> prevenir el uso excesivo de la fuerza</w:t>
            </w:r>
            <w:r>
              <w:rPr>
                <w:rFonts w:cs="Arial"/>
                <w:sz w:val="18"/>
                <w:szCs w:val="18"/>
                <w:lang w:val="es-ES_tradnl"/>
              </w:rPr>
              <w:t>.</w:t>
            </w:r>
          </w:p>
        </w:tc>
      </w:tr>
      <w:tr w:rsidR="008B0032" w:rsidRPr="002043F7" w14:paraId="619A1A28" w14:textId="77777777" w:rsidTr="008B0032">
        <w:trPr>
          <w:trHeight w:val="20"/>
        </w:trPr>
        <w:tc>
          <w:tcPr>
            <w:tcW w:w="3256"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08CF6879" w14:textId="77777777" w:rsidR="008B0032" w:rsidRPr="002043F7" w:rsidRDefault="008B0032" w:rsidP="00F32E7D">
            <w:pPr>
              <w:jc w:val="both"/>
              <w:rPr>
                <w:rFonts w:cs="Arial"/>
                <w:sz w:val="18"/>
                <w:szCs w:val="18"/>
                <w:lang w:val="es-ES_tradnl"/>
              </w:rPr>
            </w:pPr>
            <w:r w:rsidRPr="002043F7">
              <w:rPr>
                <w:rFonts w:cs="Arial"/>
                <w:sz w:val="18"/>
                <w:szCs w:val="18"/>
                <w:lang w:val="es-ES_tradnl"/>
              </w:rPr>
              <w:t>Además, el Estado parte debe velar por que todas las denuncias de uso excesivo de la fuerza se investiguen efectivamente, con prontitud y de manera imparcial, y por que los responsables comparezcan ante la justicia.</w:t>
            </w:r>
          </w:p>
        </w:tc>
        <w:tc>
          <w:tcPr>
            <w:tcW w:w="12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17E78CF4" w14:textId="0EB18535" w:rsidR="008B0032" w:rsidRPr="002043F7" w:rsidRDefault="008B0032" w:rsidP="00F32E7D">
            <w:pPr>
              <w:jc w:val="both"/>
              <w:rPr>
                <w:rFonts w:cs="Arial"/>
                <w:sz w:val="18"/>
                <w:szCs w:val="18"/>
                <w:lang w:val="es-ES_tradnl"/>
              </w:rPr>
            </w:pPr>
            <w:bookmarkStart w:id="25" w:name="__UnoMark__188_1993286424"/>
            <w:bookmarkStart w:id="26" w:name="__UnoMark__187_1993286424"/>
            <w:bookmarkEnd w:id="25"/>
            <w:bookmarkEnd w:id="26"/>
            <w:r>
              <w:rPr>
                <w:rFonts w:cs="Arial"/>
                <w:sz w:val="18"/>
                <w:szCs w:val="18"/>
                <w:lang w:val="es-ES_tradnl"/>
              </w:rPr>
              <w:t>D</w:t>
            </w:r>
            <w:r w:rsidR="005E00AA">
              <w:rPr>
                <w:rFonts w:cs="Arial"/>
                <w:sz w:val="18"/>
                <w:szCs w:val="18"/>
                <w:lang w:val="es-ES_tradnl"/>
              </w:rPr>
              <w:t>2</w:t>
            </w:r>
          </w:p>
        </w:tc>
        <w:tc>
          <w:tcPr>
            <w:tcW w:w="442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9171973" w14:textId="77777777" w:rsidR="008B0032" w:rsidRDefault="008B0032" w:rsidP="00F32E7D">
            <w:pPr>
              <w:jc w:val="both"/>
              <w:rPr>
                <w:rFonts w:cs="Arial"/>
                <w:sz w:val="18"/>
                <w:szCs w:val="18"/>
                <w:lang w:val="es-ES_tradnl"/>
              </w:rPr>
            </w:pPr>
            <w:bookmarkStart w:id="27" w:name="__UnoMark__190_1993286424"/>
            <w:bookmarkStart w:id="28" w:name="__UnoMark__189_1993286424"/>
            <w:bookmarkEnd w:id="27"/>
            <w:bookmarkEnd w:id="28"/>
            <w:r w:rsidRPr="002043F7">
              <w:rPr>
                <w:rFonts w:cs="Arial"/>
                <w:sz w:val="18"/>
                <w:szCs w:val="18"/>
                <w:lang w:val="es-ES_tradnl"/>
              </w:rPr>
              <w:t xml:space="preserve">En lo que va del año no hay ningún policía militar condenado en los 40 casos de personas </w:t>
            </w:r>
            <w:r>
              <w:rPr>
                <w:rFonts w:cs="Arial"/>
                <w:sz w:val="18"/>
                <w:szCs w:val="18"/>
                <w:lang w:val="es-ES_tradnl"/>
              </w:rPr>
              <w:t xml:space="preserve">muertas en conflictos sociales </w:t>
            </w:r>
            <w:r w:rsidRPr="002043F7">
              <w:rPr>
                <w:rFonts w:cs="Arial"/>
                <w:sz w:val="18"/>
                <w:szCs w:val="18"/>
                <w:lang w:val="es-ES_tradnl"/>
              </w:rPr>
              <w:t>durante el gobierno del presidente Ollanta Humala</w:t>
            </w:r>
            <w:r>
              <w:rPr>
                <w:rFonts w:cs="Arial"/>
                <w:sz w:val="18"/>
                <w:szCs w:val="18"/>
                <w:lang w:val="es-ES_tradnl"/>
              </w:rPr>
              <w:t>.</w:t>
            </w:r>
          </w:p>
          <w:p w14:paraId="76381C14" w14:textId="77777777" w:rsidR="008B0032" w:rsidRPr="002043F7" w:rsidRDefault="008B0032" w:rsidP="00F32E7D">
            <w:pPr>
              <w:jc w:val="both"/>
              <w:rPr>
                <w:rFonts w:cs="Arial"/>
                <w:sz w:val="18"/>
                <w:szCs w:val="18"/>
                <w:lang w:val="es-ES_tradnl"/>
              </w:rPr>
            </w:pPr>
            <w:r>
              <w:rPr>
                <w:rFonts w:cs="Arial"/>
                <w:sz w:val="18"/>
                <w:szCs w:val="18"/>
                <w:lang w:val="es-ES_tradnl"/>
              </w:rPr>
              <w:t>Además se absolvió a</w:t>
            </w:r>
            <w:r w:rsidRPr="009C7D95">
              <w:rPr>
                <w:rFonts w:cs="Arial"/>
                <w:sz w:val="18"/>
                <w:szCs w:val="18"/>
              </w:rPr>
              <w:t xml:space="preserve"> tres policías procesados por homicidio en el marco de las protestas sociales del año 2011 en Huancavelica</w:t>
            </w:r>
            <w:r>
              <w:rPr>
                <w:rFonts w:cs="Arial"/>
                <w:sz w:val="18"/>
                <w:szCs w:val="18"/>
              </w:rPr>
              <w:t>.</w:t>
            </w:r>
          </w:p>
        </w:tc>
      </w:tr>
      <w:tr w:rsidR="008B0032" w:rsidRPr="008B0032" w14:paraId="2A317642"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0EF6B95A" w14:textId="291963FD" w:rsidR="008B0032" w:rsidRPr="008B0032" w:rsidRDefault="008B0032" w:rsidP="008B0032">
            <w:pPr>
              <w:spacing w:before="40" w:after="0" w:line="240" w:lineRule="auto"/>
              <w:rPr>
                <w:rFonts w:cs="Arial"/>
                <w:color w:val="222222"/>
                <w:lang w:val="fr-FR" w:eastAsia="fr-FR"/>
              </w:rPr>
            </w:pPr>
          </w:p>
        </w:tc>
      </w:tr>
      <w:tr w:rsidR="008B0032" w:rsidRPr="008B0032" w14:paraId="236A03B1"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46927D2B" w14:textId="6062252B"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7CD8C77D" w14:textId="4E1D9822" w:rsidR="008B0032" w:rsidRPr="008B0032" w:rsidRDefault="008B0032" w:rsidP="008B0032">
            <w:pPr>
              <w:spacing w:before="40" w:after="0" w:line="240" w:lineRule="auto"/>
              <w:rPr>
                <w:rFonts w:cs="Arial"/>
                <w:color w:val="222222"/>
                <w:lang w:val="fr-FR" w:eastAsia="fr-FR"/>
              </w:rPr>
            </w:pPr>
          </w:p>
        </w:tc>
      </w:tr>
      <w:tr w:rsidR="008B0032" w:rsidRPr="008B0032" w14:paraId="1E5E8569"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351C6BC0" w14:textId="3038D424" w:rsidR="008B0032" w:rsidRPr="008B0032" w:rsidRDefault="008B0032" w:rsidP="008B0032">
            <w:pPr>
              <w:spacing w:before="40" w:after="0" w:line="240" w:lineRule="auto"/>
              <w:rPr>
                <w:rFonts w:cs="Arial"/>
                <w:color w:val="222222"/>
                <w:lang w:val="fr-FR" w:eastAsia="fr-FR"/>
              </w:rPr>
            </w:pPr>
          </w:p>
        </w:tc>
      </w:tr>
      <w:tr w:rsidR="008B0032" w:rsidRPr="008B0032" w14:paraId="57812F00"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2B30CCC3" w14:textId="1E7858F9"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0A2C107D" w14:textId="0F2F23AD" w:rsidR="008B0032" w:rsidRPr="008B0032" w:rsidRDefault="008B0032" w:rsidP="008B0032">
            <w:pPr>
              <w:spacing w:before="40" w:after="0" w:line="240" w:lineRule="auto"/>
              <w:rPr>
                <w:rFonts w:cs="Arial"/>
                <w:color w:val="222222"/>
                <w:lang w:val="fr-FR" w:eastAsia="fr-FR"/>
              </w:rPr>
            </w:pPr>
          </w:p>
        </w:tc>
      </w:tr>
      <w:tr w:rsidR="008B0032" w:rsidRPr="008B0032" w14:paraId="42BB630C"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11F4F78F" w14:textId="5AC37DA3"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7DC9D348" w14:textId="09FA19FC" w:rsidR="008B0032" w:rsidRPr="008B0032" w:rsidRDefault="008B0032" w:rsidP="008B0032">
            <w:pPr>
              <w:spacing w:before="40" w:after="0" w:line="240" w:lineRule="auto"/>
              <w:rPr>
                <w:rFonts w:cs="Arial"/>
                <w:color w:val="222222"/>
                <w:lang w:val="fr-FR" w:eastAsia="fr-FR"/>
              </w:rPr>
            </w:pPr>
          </w:p>
        </w:tc>
      </w:tr>
      <w:tr w:rsidR="008B0032" w:rsidRPr="008B0032" w14:paraId="36CC78FE"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29D3A0CC" w14:textId="18B7ACAF" w:rsidR="008B0032" w:rsidRPr="008B0032" w:rsidRDefault="008B0032" w:rsidP="008B0032">
            <w:pPr>
              <w:spacing w:before="40" w:after="0" w:line="240" w:lineRule="auto"/>
              <w:rPr>
                <w:rFonts w:cs="Arial"/>
                <w:color w:val="222222"/>
                <w:lang w:val="fr-FR" w:eastAsia="fr-FR"/>
              </w:rPr>
            </w:pPr>
          </w:p>
        </w:tc>
      </w:tr>
      <w:tr w:rsidR="008B0032" w:rsidRPr="008B0032" w14:paraId="305F8C0C"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5D4A7BAB" w14:textId="191980CA"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0D772F55" w14:textId="59688094" w:rsidR="008B0032" w:rsidRPr="008B0032" w:rsidRDefault="008B0032" w:rsidP="008B0032">
            <w:pPr>
              <w:spacing w:before="40" w:after="0" w:line="240" w:lineRule="auto"/>
              <w:rPr>
                <w:rFonts w:cs="Arial"/>
                <w:color w:val="222222"/>
                <w:lang w:val="fr-FR" w:eastAsia="fr-FR"/>
              </w:rPr>
            </w:pPr>
          </w:p>
        </w:tc>
      </w:tr>
      <w:tr w:rsidR="008B0032" w:rsidRPr="008B0032" w14:paraId="6D3F3BE5"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5C8C7CBA" w14:textId="649AD085"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1499D9A5" w14:textId="026E82C1" w:rsidR="008B0032" w:rsidRPr="008B0032" w:rsidRDefault="008B0032" w:rsidP="008B0032">
            <w:pPr>
              <w:spacing w:before="40" w:after="0" w:line="240" w:lineRule="auto"/>
              <w:rPr>
                <w:rFonts w:cs="Arial"/>
                <w:color w:val="222222"/>
                <w:lang w:val="fr-FR" w:eastAsia="fr-FR"/>
              </w:rPr>
            </w:pPr>
          </w:p>
        </w:tc>
      </w:tr>
      <w:tr w:rsidR="008B0032" w:rsidRPr="008B0032" w14:paraId="7B6FB578"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2DE9BFCC" w14:textId="223E772E" w:rsidR="008B0032" w:rsidRPr="008B0032" w:rsidRDefault="008B0032" w:rsidP="008B0032">
            <w:pPr>
              <w:spacing w:before="40" w:after="0" w:line="240" w:lineRule="auto"/>
              <w:rPr>
                <w:rFonts w:cs="Arial"/>
                <w:color w:val="222222"/>
                <w:lang w:val="fr-FR" w:eastAsia="fr-FR"/>
              </w:rPr>
            </w:pPr>
          </w:p>
        </w:tc>
      </w:tr>
      <w:tr w:rsidR="008B0032" w:rsidRPr="008B0032" w14:paraId="2DFE5926"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0791BDEC" w14:textId="27070350"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7D2FCDFD" w14:textId="516EE9AA" w:rsidR="008B0032" w:rsidRPr="008B0032" w:rsidRDefault="008B0032" w:rsidP="008B0032">
            <w:pPr>
              <w:spacing w:before="40" w:after="0" w:line="240" w:lineRule="auto"/>
              <w:rPr>
                <w:rFonts w:cs="Arial"/>
                <w:color w:val="222222"/>
                <w:lang w:val="fr-FR" w:eastAsia="fr-FR"/>
              </w:rPr>
            </w:pPr>
          </w:p>
        </w:tc>
      </w:tr>
      <w:tr w:rsidR="008B0032" w:rsidRPr="008B0032" w14:paraId="2C61FBFB"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15" w:type="dxa"/>
            <w:tcBorders>
              <w:top w:val="nil"/>
              <w:left w:val="nil"/>
              <w:bottom w:val="nil"/>
              <w:right w:val="nil"/>
            </w:tcBorders>
            <w:shd w:val="clear" w:color="auto" w:fill="FFFFFF"/>
            <w:tcMar>
              <w:top w:w="0" w:type="dxa"/>
              <w:left w:w="0" w:type="dxa"/>
              <w:bottom w:w="0" w:type="dxa"/>
              <w:right w:w="113" w:type="dxa"/>
            </w:tcMar>
          </w:tcPr>
          <w:p w14:paraId="11AED28F" w14:textId="3052D85E" w:rsidR="008B0032" w:rsidRPr="008B0032" w:rsidRDefault="008B0032" w:rsidP="008B0032">
            <w:pPr>
              <w:spacing w:before="40" w:after="0" w:line="240" w:lineRule="auto"/>
              <w:rPr>
                <w:rFonts w:cs="Arial"/>
                <w:color w:val="222222"/>
                <w:lang w:val="fr-FR" w:eastAsia="fr-FR"/>
              </w:rPr>
            </w:pPr>
          </w:p>
        </w:tc>
        <w:tc>
          <w:tcPr>
            <w:tcW w:w="6655" w:type="dxa"/>
            <w:gridSpan w:val="3"/>
            <w:tcBorders>
              <w:top w:val="nil"/>
              <w:left w:val="nil"/>
              <w:bottom w:val="nil"/>
              <w:right w:val="nil"/>
            </w:tcBorders>
            <w:shd w:val="clear" w:color="auto" w:fill="FFFFFF"/>
            <w:tcMar>
              <w:top w:w="0" w:type="dxa"/>
              <w:left w:w="0" w:type="dxa"/>
              <w:bottom w:w="0" w:type="dxa"/>
              <w:right w:w="113" w:type="dxa"/>
            </w:tcMar>
          </w:tcPr>
          <w:p w14:paraId="7AD083EC" w14:textId="5316E4C2" w:rsidR="008B0032" w:rsidRPr="008B0032" w:rsidRDefault="008B0032" w:rsidP="008B0032">
            <w:pPr>
              <w:spacing w:before="40" w:after="0" w:line="240" w:lineRule="auto"/>
              <w:rPr>
                <w:rFonts w:cs="Arial"/>
                <w:color w:val="222222"/>
                <w:lang w:val="fr-FR" w:eastAsia="fr-FR"/>
              </w:rPr>
            </w:pPr>
          </w:p>
        </w:tc>
      </w:tr>
      <w:tr w:rsidR="008B0032" w:rsidRPr="008B0032" w14:paraId="6D80CEE7" w14:textId="77777777" w:rsidTr="008B0032">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FFFFF"/>
          <w:tblCellMar>
            <w:left w:w="0" w:type="dxa"/>
            <w:right w:w="0" w:type="dxa"/>
          </w:tblCellMar>
        </w:tblPrEx>
        <w:trPr>
          <w:gridBefore w:val="1"/>
          <w:gridAfter w:val="1"/>
          <w:wBefore w:w="1242" w:type="dxa"/>
          <w:wAfter w:w="314" w:type="dxa"/>
          <w:trHeight w:val="240"/>
        </w:trPr>
        <w:tc>
          <w:tcPr>
            <w:tcW w:w="7370" w:type="dxa"/>
            <w:gridSpan w:val="4"/>
            <w:tcBorders>
              <w:top w:val="nil"/>
              <w:left w:val="nil"/>
              <w:bottom w:val="nil"/>
              <w:right w:val="nil"/>
            </w:tcBorders>
            <w:shd w:val="clear" w:color="auto" w:fill="FFFFFF"/>
            <w:tcMar>
              <w:top w:w="0" w:type="dxa"/>
              <w:left w:w="0" w:type="dxa"/>
              <w:bottom w:w="0" w:type="dxa"/>
              <w:right w:w="113" w:type="dxa"/>
            </w:tcMar>
          </w:tcPr>
          <w:p w14:paraId="460CA0C7" w14:textId="75436B95" w:rsidR="008B0032" w:rsidRPr="008B0032" w:rsidRDefault="008B0032" w:rsidP="008B0032">
            <w:pPr>
              <w:spacing w:before="40" w:after="0" w:line="240" w:lineRule="auto"/>
              <w:rPr>
                <w:rFonts w:cs="Arial"/>
                <w:color w:val="222222"/>
                <w:lang w:val="fr-FR" w:eastAsia="fr-FR"/>
              </w:rPr>
            </w:pPr>
          </w:p>
        </w:tc>
      </w:tr>
    </w:tbl>
    <w:p w14:paraId="2847FE22" w14:textId="77777777" w:rsidR="008B0032" w:rsidRDefault="008B0032" w:rsidP="009F61DB">
      <w:pPr>
        <w:jc w:val="both"/>
        <w:rPr>
          <w:rFonts w:cs="Arial"/>
        </w:rPr>
      </w:pPr>
    </w:p>
    <w:p w14:paraId="6CED2DC6" w14:textId="691BDBB4" w:rsidR="008B0032" w:rsidRDefault="008B0032">
      <w:pPr>
        <w:rPr>
          <w:rFonts w:cs="Arial"/>
        </w:rPr>
      </w:pPr>
      <w:r>
        <w:rPr>
          <w:rFonts w:cs="Arial"/>
        </w:rPr>
        <w:br w:type="page"/>
      </w:r>
    </w:p>
    <w:p w14:paraId="6CC881EC" w14:textId="724CF60C" w:rsidR="008B0032" w:rsidRPr="008B0032" w:rsidRDefault="008B0032" w:rsidP="009F61DB">
      <w:pPr>
        <w:jc w:val="both"/>
        <w:rPr>
          <w:rFonts w:cs="Arial"/>
          <w:b/>
        </w:rPr>
      </w:pPr>
      <w:r w:rsidRPr="008B0032">
        <w:rPr>
          <w:rFonts w:cs="Arial"/>
          <w:b/>
        </w:rPr>
        <w:lastRenderedPageBreak/>
        <w:t>IV.  IMPLEMENTACION DE RECOMENDACIONES</w:t>
      </w:r>
    </w:p>
    <w:p w14:paraId="6C34860C" w14:textId="77777777" w:rsidR="00A46062" w:rsidRPr="00363CA8" w:rsidRDefault="00A27D08" w:rsidP="00E407FA">
      <w:pPr>
        <w:pStyle w:val="Paragraphedeliste"/>
        <w:numPr>
          <w:ilvl w:val="0"/>
          <w:numId w:val="1"/>
        </w:numPr>
        <w:rPr>
          <w:rFonts w:cs="Arial"/>
          <w:b/>
        </w:rPr>
      </w:pPr>
      <w:r>
        <w:rPr>
          <w:rFonts w:cs="Arial"/>
          <w:b/>
        </w:rPr>
        <w:t xml:space="preserve">RECOMENDACIÓN </w:t>
      </w:r>
      <w:r w:rsidR="007F6EB6" w:rsidRPr="00363CA8">
        <w:rPr>
          <w:rFonts w:cs="Arial"/>
          <w:b/>
        </w:rPr>
        <w:t>11</w:t>
      </w:r>
      <w:r w:rsidR="000B6978">
        <w:rPr>
          <w:rFonts w:cs="Arial"/>
          <w:b/>
        </w:rPr>
        <w:t>:</w:t>
      </w:r>
    </w:p>
    <w:p w14:paraId="36075BFE" w14:textId="77777777" w:rsidR="00B213B5" w:rsidRPr="00786215" w:rsidRDefault="00487998" w:rsidP="00B213B5">
      <w:pPr>
        <w:jc w:val="both"/>
        <w:rPr>
          <w:b/>
          <w:i/>
        </w:rPr>
      </w:pPr>
      <w:r w:rsidRPr="00171787">
        <w:rPr>
          <w:b/>
          <w:i/>
          <w:lang w:val="es-ES_tradnl"/>
        </w:rPr>
        <w:t>El Estado parte debe redoblar sus esfuerzos para garantizar que las violaciones graves de los derechos humanos perpetradas durante el conflicto armado de 1980 a 2000, incluidas las que entrañaron violencia sexual, no queden impunes.</w:t>
      </w:r>
      <w:r w:rsidR="00B213B5" w:rsidRPr="00B213B5">
        <w:rPr>
          <w:b/>
          <w:i/>
          <w:lang w:val="es-ES_tradnl"/>
        </w:rPr>
        <w:t xml:space="preserve"> </w:t>
      </w:r>
      <w:r w:rsidR="00B213B5" w:rsidRPr="00171787">
        <w:rPr>
          <w:b/>
          <w:i/>
          <w:lang w:val="es-ES_tradnl"/>
        </w:rPr>
        <w:t>El Estado parte debe adoptar las medidas adecuadas para acelerar las investigaciones judiciales y el proceso de exhumación, identificación y devolución de los restos a los familiares de las víctimas.</w:t>
      </w:r>
      <w:r w:rsidR="00B213B5" w:rsidRPr="00B213B5">
        <w:rPr>
          <w:b/>
          <w:i/>
        </w:rPr>
        <w:t xml:space="preserve"> </w:t>
      </w:r>
      <w:r w:rsidR="00B213B5" w:rsidRPr="00786215">
        <w:rPr>
          <w:b/>
          <w:i/>
        </w:rPr>
        <w:t>Además, el Comité invita al Estado parte a revisar los criterios que deben aplicarse respecto de las pruebas de las violaciones e insta al Estado parte a velar por que el Ministerio de la Defensa y las Fuerzas Armadas cooperen plenamente en las investigaciones y proporcionen sin dilación toda la información de que dispongan a las autoridades que la soliciten.</w:t>
      </w:r>
    </w:p>
    <w:p w14:paraId="5360ECD3" w14:textId="77777777" w:rsidR="00C85D7B" w:rsidRDefault="00A27D08" w:rsidP="00C85D7B">
      <w:pPr>
        <w:pStyle w:val="SingleTxtG"/>
        <w:spacing w:after="0"/>
        <w:ind w:left="0" w:right="-13"/>
        <w:rPr>
          <w:rFonts w:asciiTheme="minorHAnsi" w:hAnsiTheme="minorHAnsi"/>
          <w:sz w:val="22"/>
          <w:szCs w:val="22"/>
        </w:rPr>
      </w:pPr>
      <w:r>
        <w:rPr>
          <w:rFonts w:asciiTheme="minorHAnsi" w:hAnsiTheme="minorHAnsi"/>
          <w:sz w:val="22"/>
          <w:szCs w:val="22"/>
        </w:rPr>
        <w:t>Durante el último año se ha visto</w:t>
      </w:r>
      <w:r w:rsidR="003245A0" w:rsidRPr="00C85D7B">
        <w:rPr>
          <w:rFonts w:asciiTheme="minorHAnsi" w:hAnsiTheme="minorHAnsi"/>
          <w:sz w:val="22"/>
          <w:szCs w:val="22"/>
        </w:rPr>
        <w:t xml:space="preserve"> </w:t>
      </w:r>
      <w:r w:rsidR="00487998" w:rsidRPr="00C85D7B">
        <w:rPr>
          <w:rFonts w:asciiTheme="minorHAnsi" w:hAnsiTheme="minorHAnsi"/>
          <w:sz w:val="22"/>
          <w:szCs w:val="22"/>
        </w:rPr>
        <w:t>un evidente retroceso en la judicialización de graves vio</w:t>
      </w:r>
      <w:r w:rsidR="00045B77" w:rsidRPr="00C85D7B">
        <w:rPr>
          <w:rFonts w:asciiTheme="minorHAnsi" w:hAnsiTheme="minorHAnsi"/>
          <w:sz w:val="22"/>
          <w:szCs w:val="22"/>
        </w:rPr>
        <w:t>laciones a los derechos humanos</w:t>
      </w:r>
      <w:r>
        <w:rPr>
          <w:rFonts w:asciiTheme="minorHAnsi" w:hAnsiTheme="minorHAnsi"/>
          <w:sz w:val="22"/>
          <w:szCs w:val="22"/>
        </w:rPr>
        <w:t xml:space="preserve"> en Perú</w:t>
      </w:r>
      <w:r w:rsidR="003245A0" w:rsidRPr="00C85D7B">
        <w:rPr>
          <w:rFonts w:asciiTheme="minorHAnsi" w:hAnsiTheme="minorHAnsi"/>
          <w:sz w:val="22"/>
          <w:szCs w:val="22"/>
        </w:rPr>
        <w:t>. Por ejemplo, se ha</w:t>
      </w:r>
      <w:r w:rsidR="00487998" w:rsidRPr="00C85D7B">
        <w:rPr>
          <w:rFonts w:asciiTheme="minorHAnsi" w:hAnsiTheme="minorHAnsi"/>
          <w:sz w:val="22"/>
          <w:szCs w:val="22"/>
        </w:rPr>
        <w:t xml:space="preserve"> aplicado la </w:t>
      </w:r>
      <w:r w:rsidR="00A46062" w:rsidRPr="00C85D7B">
        <w:rPr>
          <w:rFonts w:asciiTheme="minorHAnsi" w:hAnsiTheme="minorHAnsi"/>
          <w:sz w:val="22"/>
          <w:szCs w:val="22"/>
        </w:rPr>
        <w:t>prescripción</w:t>
      </w:r>
      <w:r w:rsidR="00045B77" w:rsidRPr="00C85D7B">
        <w:rPr>
          <w:rFonts w:asciiTheme="minorHAnsi" w:hAnsiTheme="minorHAnsi"/>
          <w:sz w:val="22"/>
          <w:szCs w:val="22"/>
        </w:rPr>
        <w:t xml:space="preserve"> a</w:t>
      </w:r>
      <w:r w:rsidR="00A46062" w:rsidRPr="00C85D7B">
        <w:rPr>
          <w:rFonts w:asciiTheme="minorHAnsi" w:hAnsiTheme="minorHAnsi"/>
          <w:sz w:val="22"/>
          <w:szCs w:val="22"/>
        </w:rPr>
        <w:t xml:space="preserve"> </w:t>
      </w:r>
      <w:r w:rsidR="009F61DB" w:rsidRPr="00C85D7B">
        <w:rPr>
          <w:rFonts w:asciiTheme="minorHAnsi" w:hAnsiTheme="minorHAnsi"/>
          <w:sz w:val="22"/>
          <w:szCs w:val="22"/>
        </w:rPr>
        <w:t xml:space="preserve">casos de violaciones a </w:t>
      </w:r>
      <w:r w:rsidR="00A46062" w:rsidRPr="00C85D7B">
        <w:rPr>
          <w:rFonts w:asciiTheme="minorHAnsi" w:hAnsiTheme="minorHAnsi"/>
          <w:sz w:val="22"/>
          <w:szCs w:val="22"/>
        </w:rPr>
        <w:t>los derechos humanos que constituyen delitos de lesa humanidad</w:t>
      </w:r>
      <w:r w:rsidR="003245A0" w:rsidRPr="00C85D7B">
        <w:rPr>
          <w:rFonts w:asciiTheme="minorHAnsi" w:hAnsiTheme="minorHAnsi"/>
          <w:sz w:val="22"/>
          <w:szCs w:val="22"/>
        </w:rPr>
        <w:t>, como ocurrió en el caso Curgos</w:t>
      </w:r>
      <w:r w:rsidR="00171787" w:rsidRPr="00C85D7B">
        <w:rPr>
          <w:rFonts w:asciiTheme="minorHAnsi" w:hAnsiTheme="minorHAnsi"/>
          <w:sz w:val="22"/>
          <w:szCs w:val="22"/>
        </w:rPr>
        <w:t>.</w:t>
      </w:r>
      <w:r w:rsidR="00487998" w:rsidRPr="00C85D7B">
        <w:rPr>
          <w:rStyle w:val="Marquenotebasdepage"/>
          <w:rFonts w:asciiTheme="minorHAnsi" w:hAnsiTheme="minorHAnsi"/>
          <w:sz w:val="22"/>
          <w:szCs w:val="22"/>
        </w:rPr>
        <w:footnoteReference w:id="2"/>
      </w:r>
      <w:r w:rsidR="00A46062" w:rsidRPr="00C85D7B">
        <w:rPr>
          <w:rFonts w:asciiTheme="minorHAnsi" w:hAnsiTheme="minorHAnsi"/>
          <w:sz w:val="22"/>
          <w:szCs w:val="22"/>
        </w:rPr>
        <w:t xml:space="preserve"> </w:t>
      </w:r>
      <w:r w:rsidR="00045B77" w:rsidRPr="00C85D7B">
        <w:rPr>
          <w:rFonts w:asciiTheme="minorHAnsi" w:hAnsiTheme="minorHAnsi"/>
          <w:sz w:val="22"/>
          <w:szCs w:val="22"/>
        </w:rPr>
        <w:t>Igualmente se ha hecho un uso abusivo de los</w:t>
      </w:r>
      <w:r w:rsidR="00A46062" w:rsidRPr="00C85D7B">
        <w:rPr>
          <w:rFonts w:asciiTheme="minorHAnsi" w:hAnsiTheme="minorHAnsi"/>
          <w:sz w:val="22"/>
          <w:szCs w:val="22"/>
        </w:rPr>
        <w:t xml:space="preserve"> recursos procesales</w:t>
      </w:r>
      <w:r w:rsidR="00B213B5">
        <w:rPr>
          <w:rFonts w:asciiTheme="minorHAnsi" w:hAnsiTheme="minorHAnsi"/>
          <w:sz w:val="22"/>
          <w:szCs w:val="22"/>
        </w:rPr>
        <w:t xml:space="preserve">, </w:t>
      </w:r>
      <w:r w:rsidR="00171787" w:rsidRPr="00C85D7B">
        <w:rPr>
          <w:rFonts w:asciiTheme="minorHAnsi" w:hAnsiTheme="minorHAnsi"/>
          <w:sz w:val="22"/>
          <w:szCs w:val="22"/>
        </w:rPr>
        <w:t xml:space="preserve">como ocurrió en el Caso </w:t>
      </w:r>
      <w:proofErr w:type="spellStart"/>
      <w:r w:rsidR="00171787" w:rsidRPr="00C85D7B">
        <w:rPr>
          <w:rFonts w:asciiTheme="minorHAnsi" w:hAnsiTheme="minorHAnsi"/>
          <w:sz w:val="22"/>
          <w:szCs w:val="22"/>
        </w:rPr>
        <w:t>Chilliutira</w:t>
      </w:r>
      <w:proofErr w:type="spellEnd"/>
      <w:r w:rsidR="005C69D4" w:rsidRPr="00C85D7B">
        <w:rPr>
          <w:rStyle w:val="Marquenotebasdepage"/>
          <w:rFonts w:asciiTheme="minorHAnsi" w:hAnsiTheme="minorHAnsi"/>
          <w:sz w:val="22"/>
          <w:szCs w:val="22"/>
        </w:rPr>
        <w:footnoteReference w:id="3"/>
      </w:r>
      <w:r w:rsidR="00B213B5">
        <w:rPr>
          <w:rFonts w:asciiTheme="minorHAnsi" w:hAnsiTheme="minorHAnsi"/>
          <w:sz w:val="22"/>
          <w:szCs w:val="22"/>
        </w:rPr>
        <w:t>,</w:t>
      </w:r>
      <w:r w:rsidR="00A46062" w:rsidRPr="00C85D7B">
        <w:rPr>
          <w:rFonts w:asciiTheme="minorHAnsi" w:hAnsiTheme="minorHAnsi"/>
          <w:sz w:val="22"/>
          <w:szCs w:val="22"/>
        </w:rPr>
        <w:t xml:space="preserve"> </w:t>
      </w:r>
      <w:r w:rsidR="00B213B5" w:rsidRPr="00C85D7B">
        <w:rPr>
          <w:rFonts w:asciiTheme="minorHAnsi" w:hAnsiTheme="minorHAnsi"/>
          <w:sz w:val="22"/>
          <w:szCs w:val="22"/>
        </w:rPr>
        <w:t xml:space="preserve">siendo </w:t>
      </w:r>
      <w:r w:rsidR="00B213B5">
        <w:rPr>
          <w:rFonts w:asciiTheme="minorHAnsi" w:hAnsiTheme="minorHAnsi"/>
          <w:sz w:val="22"/>
          <w:szCs w:val="22"/>
        </w:rPr>
        <w:t xml:space="preserve">éste </w:t>
      </w:r>
      <w:r w:rsidR="00B213B5" w:rsidRPr="00C85D7B">
        <w:rPr>
          <w:rFonts w:asciiTheme="minorHAnsi" w:hAnsiTheme="minorHAnsi"/>
          <w:sz w:val="22"/>
          <w:szCs w:val="22"/>
        </w:rPr>
        <w:t>el primer caso en el que a través de un recurso extraordinario destinado a elimi</w:t>
      </w:r>
      <w:r w:rsidR="00B213B5">
        <w:rPr>
          <w:rFonts w:asciiTheme="minorHAnsi" w:hAnsiTheme="minorHAnsi"/>
          <w:sz w:val="22"/>
          <w:szCs w:val="22"/>
        </w:rPr>
        <w:t>nar errores judiciales, se buscó</w:t>
      </w:r>
      <w:r w:rsidR="00B213B5" w:rsidRPr="00C85D7B">
        <w:rPr>
          <w:rFonts w:asciiTheme="minorHAnsi" w:hAnsiTheme="minorHAnsi"/>
          <w:sz w:val="22"/>
          <w:szCs w:val="22"/>
        </w:rPr>
        <w:t xml:space="preserve"> una revalorización de los medios de prueba actuados en juicio. </w:t>
      </w:r>
    </w:p>
    <w:p w14:paraId="486A346B" w14:textId="77777777" w:rsidR="00B213B5" w:rsidRDefault="00B213B5" w:rsidP="00C85D7B">
      <w:pPr>
        <w:pStyle w:val="SingleTxtG"/>
        <w:spacing w:after="0"/>
        <w:ind w:left="0" w:right="-13"/>
        <w:rPr>
          <w:rFonts w:asciiTheme="minorHAnsi" w:hAnsiTheme="minorHAnsi"/>
          <w:sz w:val="22"/>
          <w:szCs w:val="22"/>
        </w:rPr>
      </w:pPr>
    </w:p>
    <w:p w14:paraId="2D69B793" w14:textId="77777777" w:rsidR="00C85D7B" w:rsidRPr="00C85D7B" w:rsidRDefault="00B213B5" w:rsidP="00C85D7B">
      <w:pPr>
        <w:pStyle w:val="SingleTxtG"/>
        <w:spacing w:after="0"/>
        <w:ind w:left="0" w:right="-13"/>
        <w:rPr>
          <w:rFonts w:asciiTheme="minorHAnsi" w:hAnsiTheme="minorHAnsi"/>
          <w:sz w:val="22"/>
          <w:szCs w:val="22"/>
        </w:rPr>
      </w:pPr>
      <w:r>
        <w:rPr>
          <w:rFonts w:asciiTheme="minorHAnsi" w:hAnsiTheme="minorHAnsi"/>
          <w:sz w:val="22"/>
          <w:szCs w:val="22"/>
        </w:rPr>
        <w:t>Como resultado de los retrocesos judiciales, e</w:t>
      </w:r>
      <w:r w:rsidR="00C85D7B" w:rsidRPr="00C85D7B">
        <w:rPr>
          <w:rFonts w:asciiTheme="minorHAnsi" w:hAnsiTheme="minorHAnsi"/>
          <w:sz w:val="22"/>
          <w:szCs w:val="22"/>
        </w:rPr>
        <w:t>l número de condenas sigue siendo reducido mientras que el número de absoluciones continúa elevándose. De las tres sentencias condenatorias recientes que se han producido, una ya ha sido declarada nula</w:t>
      </w:r>
      <w:r w:rsidR="00C85D7B" w:rsidRPr="00C85D7B">
        <w:rPr>
          <w:rStyle w:val="Marquenotebasdepage"/>
          <w:rFonts w:asciiTheme="minorHAnsi" w:hAnsiTheme="minorHAnsi"/>
          <w:sz w:val="22"/>
          <w:szCs w:val="22"/>
        </w:rPr>
        <w:footnoteReference w:id="4"/>
      </w:r>
      <w:r w:rsidR="00C85D7B" w:rsidRPr="00C85D7B">
        <w:rPr>
          <w:rFonts w:asciiTheme="minorHAnsi" w:hAnsiTheme="minorHAnsi"/>
          <w:sz w:val="22"/>
          <w:szCs w:val="22"/>
        </w:rPr>
        <w:t xml:space="preserve"> y las otras dos se encuentran con recurso de nulidad.</w:t>
      </w:r>
      <w:r w:rsidR="00C85D7B" w:rsidRPr="00C85D7B">
        <w:rPr>
          <w:rStyle w:val="Marquenotebasdepage"/>
          <w:rFonts w:asciiTheme="minorHAnsi" w:hAnsiTheme="minorHAnsi"/>
          <w:sz w:val="22"/>
          <w:szCs w:val="22"/>
        </w:rPr>
        <w:footnoteReference w:id="5"/>
      </w:r>
    </w:p>
    <w:p w14:paraId="4BB45FEA" w14:textId="77777777" w:rsidR="00786215" w:rsidRPr="00363CA8" w:rsidRDefault="00786215" w:rsidP="00786215">
      <w:pPr>
        <w:pStyle w:val="SingleTxtG"/>
        <w:spacing w:after="0"/>
        <w:ind w:left="0" w:right="-13"/>
        <w:rPr>
          <w:rFonts w:asciiTheme="minorHAnsi" w:hAnsiTheme="minorHAnsi"/>
          <w:sz w:val="22"/>
          <w:szCs w:val="22"/>
        </w:rPr>
      </w:pPr>
    </w:p>
    <w:p w14:paraId="61D061DB" w14:textId="77777777" w:rsidR="000B5070" w:rsidRDefault="000B5070" w:rsidP="000B5070">
      <w:pPr>
        <w:spacing w:after="200" w:line="276" w:lineRule="auto"/>
        <w:jc w:val="both"/>
      </w:pPr>
      <w:r w:rsidRPr="00363CA8">
        <w:t>En el caso de las torturas perpetradas en la época de conflicto, persiste el criterio por parte de los magistrados del Poder Judicial de hacer depender la prueba de la tortura únicamente de los resultados de los certificado</w:t>
      </w:r>
      <w:r w:rsidR="003245A0">
        <w:t>s médicos, de forma tal que si é</w:t>
      </w:r>
      <w:r w:rsidRPr="00363CA8">
        <w:t>stos señalan daños leves son tratados como delito de lesiones, sin valorarse el contexto en el que ocurrieron.</w:t>
      </w:r>
      <w:r w:rsidR="00B213B5">
        <w:rPr>
          <w:rStyle w:val="Marquenotebasdepage"/>
        </w:rPr>
        <w:footnoteReference w:id="6"/>
      </w:r>
      <w:r w:rsidRPr="00363CA8">
        <w:t xml:space="preserve"> </w:t>
      </w:r>
    </w:p>
    <w:p w14:paraId="12470433" w14:textId="77777777" w:rsidR="00C85D7B" w:rsidRDefault="00C85D7B" w:rsidP="00C85D7B">
      <w:pPr>
        <w:jc w:val="both"/>
      </w:pPr>
      <w:r w:rsidRPr="00363CA8">
        <w:t xml:space="preserve">La exigencia de prueba documental y la negativa de </w:t>
      </w:r>
      <w:r>
        <w:t xml:space="preserve">otorgar valor probatorio a los </w:t>
      </w:r>
      <w:r w:rsidRPr="00363CA8">
        <w:t>indicios y a las declaraciones de los familiares de las víctimas</w:t>
      </w:r>
      <w:r>
        <w:t xml:space="preserve"> resulta en la</w:t>
      </w:r>
      <w:r w:rsidRPr="00363CA8">
        <w:t xml:space="preserve"> emisión de sentencias condenatorias con penas debajo del mínimo legal y en algunas veces suspendidas en su ejecución.</w:t>
      </w:r>
      <w:r w:rsidR="00B213B5">
        <w:rPr>
          <w:rStyle w:val="Marquenotebasdepage"/>
        </w:rPr>
        <w:footnoteReference w:id="7"/>
      </w:r>
      <w:r w:rsidRPr="00363CA8">
        <w:t xml:space="preserve"> </w:t>
      </w:r>
    </w:p>
    <w:p w14:paraId="4978D2BF" w14:textId="77777777" w:rsidR="000B5070" w:rsidRPr="00363CA8" w:rsidRDefault="00C85D7B" w:rsidP="000B5070">
      <w:pPr>
        <w:jc w:val="both"/>
      </w:pPr>
      <w:r>
        <w:t>Además, l</w:t>
      </w:r>
      <w:r w:rsidR="000B5070">
        <w:t>a</w:t>
      </w:r>
      <w:r w:rsidR="000B5070" w:rsidRPr="00363CA8">
        <w:t xml:space="preserve"> legislación peruana qu</w:t>
      </w:r>
      <w:r w:rsidR="0066793A">
        <w:t xml:space="preserve">e regula la tortura no tiene </w:t>
      </w:r>
      <w:r w:rsidR="000B5070" w:rsidRPr="00363CA8">
        <w:t>perspectiva de género y no incluye la violencia sexual como una modalidad de éste delito. Hasta la fecha, no se ha implementado en nuestra legislación penal el Estatuto de Roma de la Corte Penal Internacional, que incluye a la violación sexual como delito de lesa humanidad en el contexto de un plan sistemático o generalizado, a pesar de haber sido ratificado el 10 de noviembre de 2001.</w:t>
      </w:r>
      <w:r w:rsidR="000B5070">
        <w:t xml:space="preserve"> En este sentido, l</w:t>
      </w:r>
      <w:r w:rsidR="000B5070" w:rsidRPr="00363CA8">
        <w:t xml:space="preserve">as mujeres víctimas de violencia sexual durante el conflicto </w:t>
      </w:r>
      <w:r w:rsidR="000B5070" w:rsidRPr="00786215">
        <w:t>contin</w:t>
      </w:r>
      <w:r w:rsidR="000B5070">
        <w:t xml:space="preserve">úan enfrentando obstáculos para denunciar sus </w:t>
      </w:r>
      <w:r w:rsidR="000B5070" w:rsidRPr="00363CA8">
        <w:t xml:space="preserve">casos, </w:t>
      </w:r>
      <w:r w:rsidR="000B5070">
        <w:t>y no ha habido sentencias en este respecto.</w:t>
      </w:r>
    </w:p>
    <w:p w14:paraId="3B39C865" w14:textId="77777777" w:rsidR="0081033F" w:rsidRPr="00363CA8" w:rsidRDefault="0066793A" w:rsidP="0081033F">
      <w:pPr>
        <w:jc w:val="both"/>
        <w:rPr>
          <w:color w:val="000000" w:themeColor="text1"/>
        </w:rPr>
      </w:pPr>
      <w:r>
        <w:rPr>
          <w:color w:val="000000" w:themeColor="text1"/>
        </w:rPr>
        <w:t>Por otro lado, l</w:t>
      </w:r>
      <w:r w:rsidR="0081033F" w:rsidRPr="00363CA8">
        <w:rPr>
          <w:color w:val="000000" w:themeColor="text1"/>
        </w:rPr>
        <w:t xml:space="preserve">a ley de búsqueda de personas desaparecidas y que incluye un Plan </w:t>
      </w:r>
      <w:r w:rsidR="00AE61FD">
        <w:rPr>
          <w:color w:val="000000" w:themeColor="text1"/>
        </w:rPr>
        <w:t>de Exhumaciones Antropológicas F</w:t>
      </w:r>
      <w:r w:rsidR="0081033F" w:rsidRPr="00363CA8">
        <w:rPr>
          <w:color w:val="000000" w:themeColor="text1"/>
        </w:rPr>
        <w:t>orenses aún no se ha aprobado</w:t>
      </w:r>
      <w:r>
        <w:rPr>
          <w:color w:val="000000" w:themeColor="text1"/>
        </w:rPr>
        <w:t>.</w:t>
      </w:r>
      <w:r w:rsidR="00171787" w:rsidRPr="00171787">
        <w:rPr>
          <w:color w:val="000000" w:themeColor="text1"/>
        </w:rPr>
        <w:t xml:space="preserve"> </w:t>
      </w:r>
      <w:r w:rsidR="00171787" w:rsidRPr="00363CA8">
        <w:rPr>
          <w:color w:val="000000" w:themeColor="text1"/>
        </w:rPr>
        <w:t>“A este ritmo, exhumar e identificar a los desaparecidos que faltan tomará más de cinco décadas”</w:t>
      </w:r>
      <w:r w:rsidR="00171787">
        <w:rPr>
          <w:color w:val="000000" w:themeColor="text1"/>
        </w:rPr>
        <w:t>.</w:t>
      </w:r>
      <w:r w:rsidR="00171787" w:rsidRPr="00363CA8">
        <w:rPr>
          <w:rStyle w:val="Marquenotebasdepage"/>
          <w:color w:val="000000" w:themeColor="text1"/>
        </w:rPr>
        <w:footnoteReference w:id="8"/>
      </w:r>
    </w:p>
    <w:p w14:paraId="32C9B0D2" w14:textId="77777777" w:rsidR="000B05F1" w:rsidRPr="00786215" w:rsidRDefault="00786215" w:rsidP="00786215">
      <w:pPr>
        <w:pBdr>
          <w:top w:val="nil"/>
          <w:left w:val="nil"/>
          <w:bottom w:val="nil"/>
          <w:right w:val="nil"/>
        </w:pBdr>
        <w:jc w:val="both"/>
        <w:rPr>
          <w:lang w:val="es-ES_tradnl"/>
        </w:rPr>
      </w:pPr>
      <w:r w:rsidRPr="00363CA8">
        <w:rPr>
          <w:lang w:val="es-ES_tradnl"/>
        </w:rPr>
        <w:t xml:space="preserve">En los pocos casos que se han identificado y entregado los restos (caso </w:t>
      </w:r>
      <w:proofErr w:type="spellStart"/>
      <w:r w:rsidRPr="00363CA8">
        <w:rPr>
          <w:lang w:val="es-ES_tradnl"/>
        </w:rPr>
        <w:t>Parcco</w:t>
      </w:r>
      <w:proofErr w:type="spellEnd"/>
      <w:r w:rsidRPr="00363CA8">
        <w:rPr>
          <w:lang w:val="es-ES_tradnl"/>
        </w:rPr>
        <w:t xml:space="preserve">- </w:t>
      </w:r>
      <w:proofErr w:type="spellStart"/>
      <w:r w:rsidRPr="00363CA8">
        <w:rPr>
          <w:lang w:val="es-ES_tradnl"/>
        </w:rPr>
        <w:t>Pomatambo</w:t>
      </w:r>
      <w:proofErr w:type="spellEnd"/>
      <w:r w:rsidRPr="00363CA8">
        <w:rPr>
          <w:lang w:val="es-ES_tradnl"/>
        </w:rPr>
        <w:t>), a los familiares que no estaban inscritos en el Registro Único de Vic</w:t>
      </w:r>
      <w:r>
        <w:rPr>
          <w:lang w:val="es-ES_tradnl"/>
        </w:rPr>
        <w:t>timas, no se les entregaron</w:t>
      </w:r>
      <w:r w:rsidRPr="00363CA8">
        <w:rPr>
          <w:lang w:val="es-ES_tradnl"/>
        </w:rPr>
        <w:t xml:space="preserve"> osarios para enterrarlos.</w:t>
      </w:r>
      <w:r>
        <w:rPr>
          <w:lang w:val="es-ES_tradnl"/>
        </w:rPr>
        <w:t xml:space="preserve"> </w:t>
      </w:r>
    </w:p>
    <w:p w14:paraId="7E9131DD" w14:textId="77777777" w:rsidR="001623C7" w:rsidRDefault="000B5070" w:rsidP="000B5070">
      <w:pPr>
        <w:pStyle w:val="SingleTxtG"/>
        <w:spacing w:after="0"/>
        <w:ind w:left="0" w:right="-13"/>
        <w:rPr>
          <w:rFonts w:asciiTheme="minorHAnsi" w:hAnsiTheme="minorHAnsi"/>
          <w:sz w:val="22"/>
          <w:szCs w:val="22"/>
        </w:rPr>
      </w:pPr>
      <w:r>
        <w:rPr>
          <w:rFonts w:asciiTheme="minorHAnsi" w:hAnsiTheme="minorHAnsi"/>
          <w:sz w:val="22"/>
          <w:szCs w:val="22"/>
        </w:rPr>
        <w:t>La falta de cooperación por parte del</w:t>
      </w:r>
      <w:r w:rsidR="001623C7" w:rsidRPr="00363CA8">
        <w:rPr>
          <w:rFonts w:asciiTheme="minorHAnsi" w:hAnsiTheme="minorHAnsi"/>
          <w:sz w:val="22"/>
          <w:szCs w:val="22"/>
        </w:rPr>
        <w:t xml:space="preserve"> Ministerio de Defensa y </w:t>
      </w:r>
      <w:r>
        <w:rPr>
          <w:rFonts w:asciiTheme="minorHAnsi" w:hAnsiTheme="minorHAnsi"/>
          <w:sz w:val="22"/>
          <w:szCs w:val="22"/>
        </w:rPr>
        <w:t xml:space="preserve">las Fuerzas Armadas no ha cambiado. </w:t>
      </w:r>
      <w:r w:rsidR="0066793A">
        <w:rPr>
          <w:rFonts w:asciiTheme="minorHAnsi" w:hAnsiTheme="minorHAnsi"/>
          <w:sz w:val="22"/>
          <w:szCs w:val="22"/>
        </w:rPr>
        <w:t>El gobierno mantiene la posición</w:t>
      </w:r>
      <w:r>
        <w:rPr>
          <w:rFonts w:asciiTheme="minorHAnsi" w:hAnsiTheme="minorHAnsi"/>
          <w:sz w:val="22"/>
          <w:szCs w:val="22"/>
        </w:rPr>
        <w:t xml:space="preserve"> según la cual en el momento del conflicto</w:t>
      </w:r>
      <w:r w:rsidR="001623C7" w:rsidRPr="000B5070">
        <w:rPr>
          <w:rFonts w:asciiTheme="minorHAnsi" w:hAnsiTheme="minorHAnsi"/>
          <w:sz w:val="22"/>
          <w:szCs w:val="22"/>
        </w:rPr>
        <w:t xml:space="preserve"> las unidades de las fuerzas de seguridad que participaban en acciones armadas no estaban obligadas a informar del modo en que se llevaban a cabo estas acciones</w:t>
      </w:r>
      <w:r w:rsidR="0066793A">
        <w:rPr>
          <w:rFonts w:asciiTheme="minorHAnsi" w:hAnsiTheme="minorHAnsi"/>
          <w:sz w:val="22"/>
          <w:szCs w:val="22"/>
        </w:rPr>
        <w:t>.</w:t>
      </w:r>
    </w:p>
    <w:p w14:paraId="2332F9BA" w14:textId="77777777" w:rsidR="000B5070" w:rsidRPr="000B5070" w:rsidRDefault="000B5070" w:rsidP="000B5070">
      <w:pPr>
        <w:pStyle w:val="SingleTxtG"/>
        <w:spacing w:after="0"/>
        <w:ind w:left="0" w:right="-13"/>
        <w:rPr>
          <w:rFonts w:asciiTheme="minorHAnsi" w:hAnsiTheme="minorHAnsi"/>
          <w:sz w:val="22"/>
          <w:szCs w:val="22"/>
        </w:rPr>
      </w:pPr>
    </w:p>
    <w:p w14:paraId="75A31395" w14:textId="77777777" w:rsidR="007F6EB6" w:rsidRPr="00363CA8" w:rsidRDefault="006B14FD" w:rsidP="006B14FD">
      <w:pPr>
        <w:jc w:val="both"/>
        <w:rPr>
          <w:rFonts w:cs="Arial"/>
        </w:rPr>
      </w:pPr>
      <w:r>
        <w:rPr>
          <w:rFonts w:cs="Arial"/>
        </w:rPr>
        <w:t>Adicionalmente</w:t>
      </w:r>
      <w:r w:rsidR="00B213B5">
        <w:rPr>
          <w:rFonts w:cs="Arial"/>
        </w:rPr>
        <w:t>, queremos señalar</w:t>
      </w:r>
      <w:r>
        <w:rPr>
          <w:rFonts w:cs="Arial"/>
        </w:rPr>
        <w:t xml:space="preserve"> que e</w:t>
      </w:r>
      <w:r w:rsidR="00A071E8" w:rsidRPr="00363CA8">
        <w:rPr>
          <w:rFonts w:cs="Arial"/>
        </w:rPr>
        <w:t>l Informe Final de la Comisión de la Verdad y Reconciliación (CVR)</w:t>
      </w:r>
      <w:r w:rsidR="006215FD" w:rsidRPr="00363CA8">
        <w:rPr>
          <w:rFonts w:cs="Arial"/>
        </w:rPr>
        <w:t xml:space="preserve"> consignó 10 casos </w:t>
      </w:r>
      <w:r w:rsidR="0094559B" w:rsidRPr="00363CA8">
        <w:rPr>
          <w:rFonts w:cs="Arial"/>
        </w:rPr>
        <w:t>de amenazas, persecución, tortura y/o muerte</w:t>
      </w:r>
      <w:r w:rsidR="002076B9" w:rsidRPr="00363CA8">
        <w:rPr>
          <w:rFonts w:cs="Arial"/>
        </w:rPr>
        <w:t xml:space="preserve"> de personas LTGBI por su orientación sexual o identidad de género</w:t>
      </w:r>
      <w:r w:rsidR="00DE62CC" w:rsidRPr="00363CA8">
        <w:rPr>
          <w:rFonts w:cs="Arial"/>
        </w:rPr>
        <w:t xml:space="preserve"> </w:t>
      </w:r>
      <w:r w:rsidR="002076B9" w:rsidRPr="00363CA8">
        <w:rPr>
          <w:rFonts w:cs="Arial"/>
        </w:rPr>
        <w:t xml:space="preserve">durante el conflicto armado interno </w:t>
      </w:r>
      <w:r w:rsidR="0016425F" w:rsidRPr="00363CA8">
        <w:rPr>
          <w:rFonts w:cs="Arial"/>
        </w:rPr>
        <w:t xml:space="preserve">como parte de una política de profilaxis social </w:t>
      </w:r>
      <w:r w:rsidR="002076B9" w:rsidRPr="00363CA8">
        <w:rPr>
          <w:rFonts w:cs="Arial"/>
        </w:rPr>
        <w:t>por parte de Sendero Luminoso, el MRTA y las Fuerzas Armadas.</w:t>
      </w:r>
      <w:r w:rsidR="006A57D1" w:rsidRPr="00363CA8">
        <w:rPr>
          <w:rFonts w:cs="Arial"/>
        </w:rPr>
        <w:t xml:space="preserve"> Estos casos no han sido investigados ni sancionados, ni estos patrones de violencia han sido incorporados en el discurso oficial de memoria del Estado sobre este periodo.</w:t>
      </w:r>
    </w:p>
    <w:p w14:paraId="0C33321E" w14:textId="77777777" w:rsidR="000D20E0" w:rsidRPr="009F61DB" w:rsidRDefault="000B6978" w:rsidP="009F61DB">
      <w:pPr>
        <w:pStyle w:val="Paragraphedeliste"/>
        <w:numPr>
          <w:ilvl w:val="0"/>
          <w:numId w:val="1"/>
        </w:numPr>
        <w:rPr>
          <w:rFonts w:cs="Arial"/>
          <w:b/>
        </w:rPr>
      </w:pPr>
      <w:r>
        <w:rPr>
          <w:rFonts w:cs="Arial"/>
          <w:b/>
        </w:rPr>
        <w:lastRenderedPageBreak/>
        <w:t xml:space="preserve">RECOMENDACIÓN </w:t>
      </w:r>
      <w:r w:rsidR="000D20E0" w:rsidRPr="009F61DB">
        <w:rPr>
          <w:rFonts w:cs="Arial"/>
          <w:b/>
        </w:rPr>
        <w:t xml:space="preserve">16: </w:t>
      </w:r>
    </w:p>
    <w:p w14:paraId="23166D76" w14:textId="77777777" w:rsidR="00CE14F0" w:rsidRPr="00CE14F0" w:rsidRDefault="009F61DB" w:rsidP="000D20E0">
      <w:pPr>
        <w:jc w:val="both"/>
        <w:rPr>
          <w:b/>
          <w:i/>
          <w:lang w:val="es-ES_tradnl"/>
        </w:rPr>
      </w:pPr>
      <w:r w:rsidRPr="00CE14F0">
        <w:rPr>
          <w:b/>
          <w:i/>
          <w:lang w:val="es-ES_tradnl"/>
        </w:rPr>
        <w:t xml:space="preserve">El Estado parte debe seguir adoptando medidas para prevenir y eliminar efectivamente el uso excesivo de la fuerza por los miembros de las fuerzas del orden y de seguridad, entre otras cosas reforzando y ofreciendo periódicamente capacitación en materia de derechos humanos, con especial hincapié en las alternativas al uso de la fuerza y las armas de fuego. </w:t>
      </w:r>
      <w:r w:rsidR="0066793A" w:rsidRPr="00CE14F0">
        <w:rPr>
          <w:b/>
          <w:i/>
          <w:lang w:val="es-ES_tradnl"/>
        </w:rPr>
        <w:t>Además, el Estado parte debe velar por que todas las denuncias de uso excesivo de la fuerza se investiguen efectivamente, con prontitud y de manera imparcial, y por que los responsable</w:t>
      </w:r>
      <w:r w:rsidR="0066793A">
        <w:rPr>
          <w:b/>
          <w:i/>
          <w:lang w:val="es-ES_tradnl"/>
        </w:rPr>
        <w:t>s comparezcan ante la justicia.</w:t>
      </w:r>
    </w:p>
    <w:p w14:paraId="2E720310" w14:textId="77777777" w:rsidR="00CE14F0" w:rsidRDefault="00CE14F0" w:rsidP="000D20E0">
      <w:pPr>
        <w:jc w:val="both"/>
      </w:pPr>
      <w:r w:rsidRPr="00CE14F0">
        <w:t>El 12 de enero de 2014, el Congreso de la República aprobó la Ley N° 30151, que modifica el numeral 11 del artículo 20° del C</w:t>
      </w:r>
      <w:r w:rsidR="0066793A">
        <w:t xml:space="preserve">ódigo Penal, disponiendo que </w:t>
      </w:r>
      <w:r w:rsidRPr="00CE14F0">
        <w:t>“</w:t>
      </w:r>
      <w:r w:rsidR="0066793A">
        <w:t xml:space="preserve">se </w:t>
      </w:r>
      <w:r w:rsidRPr="0066793A">
        <w:rPr>
          <w:i/>
        </w:rPr>
        <w:t>encuentra exento de responsabilidad penal: el personal de las Fuerzas Armadas y de la Policía Nacional del Perú que, en el cumplimiento de su deber y en uso de sus armas u otro medio de defensa, cause lesiones o muerte</w:t>
      </w:r>
      <w:r w:rsidRPr="00CE14F0">
        <w:t xml:space="preserve">”. </w:t>
      </w:r>
    </w:p>
    <w:p w14:paraId="66EC4351" w14:textId="77777777" w:rsidR="000D20E0" w:rsidRPr="00CE14F0" w:rsidRDefault="0066793A" w:rsidP="000D20E0">
      <w:pPr>
        <w:pStyle w:val="Sansinterligne"/>
        <w:jc w:val="both"/>
        <w:rPr>
          <w:rFonts w:ascii="Calibri" w:hAnsi="Calibri"/>
          <w:sz w:val="22"/>
          <w:szCs w:val="22"/>
        </w:rPr>
      </w:pPr>
      <w:r>
        <w:rPr>
          <w:rFonts w:ascii="Calibri" w:hAnsi="Calibri"/>
          <w:sz w:val="22"/>
          <w:szCs w:val="22"/>
        </w:rPr>
        <w:t>Esta</w:t>
      </w:r>
      <w:r w:rsidR="000D20E0" w:rsidRPr="00AA43C1">
        <w:rPr>
          <w:rFonts w:ascii="Calibri" w:hAnsi="Calibri"/>
          <w:sz w:val="22"/>
          <w:szCs w:val="22"/>
        </w:rPr>
        <w:t xml:space="preserve"> modificación elimina la condición de que el uso de armas sea “en forma reglamentaria” y amplía a cualquier “otro medio” la acción letal por parte de militares y policías. </w:t>
      </w:r>
      <w:r w:rsidR="000D20E0" w:rsidRPr="00AA43C1">
        <w:rPr>
          <w:rFonts w:ascii="Calibri" w:eastAsia="Times New Roman" w:hAnsi="Calibri"/>
          <w:sz w:val="22"/>
          <w:szCs w:val="22"/>
        </w:rPr>
        <w:t>Es decir, dicha modificación elimina el enunciado de la norma anterior que obligaba al personal policial y militar a usar las armas de acuerdo con sus reglamentos, y adiciona la posibilidad de que se utilice no solo las armas reglamentarias sino cualquier otro medio para tal fin.</w:t>
      </w:r>
    </w:p>
    <w:p w14:paraId="10DF77B6" w14:textId="77777777" w:rsidR="00B41194" w:rsidRDefault="00B41194" w:rsidP="00B41194">
      <w:pPr>
        <w:pStyle w:val="Sansinterligne"/>
        <w:jc w:val="both"/>
        <w:rPr>
          <w:rFonts w:ascii="Calibri" w:eastAsia="Times New Roman" w:hAnsi="Calibri"/>
          <w:sz w:val="22"/>
          <w:szCs w:val="22"/>
        </w:rPr>
      </w:pPr>
    </w:p>
    <w:p w14:paraId="68002934" w14:textId="77777777" w:rsidR="00B41194" w:rsidRDefault="00B41194" w:rsidP="00B41194">
      <w:pPr>
        <w:pStyle w:val="Sansinterligne"/>
        <w:jc w:val="both"/>
        <w:rPr>
          <w:rFonts w:ascii="Calibri" w:eastAsia="Times New Roman" w:hAnsi="Calibri"/>
          <w:sz w:val="22"/>
          <w:szCs w:val="22"/>
        </w:rPr>
      </w:pPr>
      <w:r w:rsidRPr="00AA43C1">
        <w:rPr>
          <w:rFonts w:ascii="Calibri" w:eastAsia="Times New Roman" w:hAnsi="Calibri"/>
          <w:sz w:val="22"/>
          <w:szCs w:val="22"/>
        </w:rPr>
        <w:t>C</w:t>
      </w:r>
      <w:r w:rsidR="0066793A">
        <w:rPr>
          <w:rFonts w:ascii="Calibri" w:eastAsia="Times New Roman" w:hAnsi="Calibri"/>
          <w:sz w:val="22"/>
          <w:szCs w:val="22"/>
        </w:rPr>
        <w:t xml:space="preserve">onsideramos que la Ley Nº 30151 </w:t>
      </w:r>
      <w:r w:rsidRPr="00AA43C1">
        <w:rPr>
          <w:rFonts w:ascii="Calibri" w:eastAsia="Times New Roman" w:hAnsi="Calibri"/>
          <w:sz w:val="22"/>
          <w:szCs w:val="22"/>
        </w:rPr>
        <w:t>posibilita supuestos de impunidad en casos de graves violaciones de derechos humanos. Por esa razón, recomendamos la inmediata derogación de esta norma retomándose la vigencia de su redacción inmediata anterior.</w:t>
      </w:r>
    </w:p>
    <w:p w14:paraId="6939908C" w14:textId="77777777" w:rsidR="00CE14F0" w:rsidRPr="00AA43C1" w:rsidRDefault="00CE14F0" w:rsidP="00B41194">
      <w:pPr>
        <w:pStyle w:val="Sansinterligne"/>
        <w:jc w:val="both"/>
        <w:rPr>
          <w:rFonts w:ascii="Calibri" w:hAnsi="Calibri"/>
          <w:sz w:val="22"/>
          <w:szCs w:val="22"/>
        </w:rPr>
      </w:pPr>
    </w:p>
    <w:p w14:paraId="606B30D6" w14:textId="77777777" w:rsidR="00CE14F0" w:rsidRDefault="00CE14F0" w:rsidP="00CE14F0">
      <w:pPr>
        <w:pStyle w:val="Sansinterligne"/>
        <w:jc w:val="both"/>
        <w:rPr>
          <w:rFonts w:ascii="Calibri" w:eastAsia="Times New Roman" w:hAnsi="Calibri"/>
          <w:sz w:val="22"/>
          <w:szCs w:val="22"/>
        </w:rPr>
      </w:pPr>
      <w:r w:rsidRPr="00CE14F0">
        <w:rPr>
          <w:rFonts w:ascii="Calibri" w:eastAsia="Times New Roman" w:hAnsi="Calibri"/>
          <w:sz w:val="22"/>
          <w:szCs w:val="22"/>
        </w:rPr>
        <w:t xml:space="preserve">El primer caso de indebida aplicación de </w:t>
      </w:r>
      <w:r w:rsidRPr="00AA43C1">
        <w:rPr>
          <w:rFonts w:ascii="Calibri" w:eastAsia="Times New Roman" w:hAnsi="Calibri"/>
          <w:sz w:val="22"/>
          <w:szCs w:val="22"/>
        </w:rPr>
        <w:t xml:space="preserve">la Ley Nº 30151 </w:t>
      </w:r>
      <w:r w:rsidRPr="00CE14F0">
        <w:rPr>
          <w:rFonts w:ascii="Calibri" w:eastAsia="Times New Roman" w:hAnsi="Calibri"/>
          <w:sz w:val="22"/>
          <w:szCs w:val="22"/>
        </w:rPr>
        <w:t>se dio a un mes de su promulgación, en el que se absolvió a tres policías procesados por homicidio en el marco de las protestas sociales del año 2011 en Huancavelica.</w:t>
      </w:r>
      <w:r w:rsidRPr="009C7D95">
        <w:rPr>
          <w:rFonts w:ascii="Calibri" w:eastAsia="Times New Roman" w:hAnsi="Calibri"/>
          <w:sz w:val="22"/>
          <w:szCs w:val="22"/>
          <w:vertAlign w:val="superscript"/>
        </w:rPr>
        <w:footnoteReference w:id="9"/>
      </w:r>
      <w:r w:rsidRPr="00CE14F0">
        <w:rPr>
          <w:rFonts w:ascii="Calibri" w:eastAsia="Times New Roman" w:hAnsi="Calibri"/>
          <w:sz w:val="22"/>
          <w:szCs w:val="22"/>
        </w:rPr>
        <w:t xml:space="preserve"> Uno de ellos disparó 148 perdigones de plomo a un manifestante de 22 años, otro arrebató la vida de un menor de 14 años con una pistola calibre 9mm y el último disparó una AKM contra un vigilante de la  Oficina de Proyectos de Inversión del Gobierno Regional que se encontraba laborando y no participaba de las protestas. </w:t>
      </w:r>
    </w:p>
    <w:p w14:paraId="0B3D63C0" w14:textId="77777777" w:rsidR="00CE14F0" w:rsidRPr="00CE14F0" w:rsidRDefault="00CE14F0" w:rsidP="00CE14F0">
      <w:pPr>
        <w:pStyle w:val="Sansinterligne"/>
        <w:jc w:val="both"/>
        <w:rPr>
          <w:rFonts w:ascii="Calibri" w:eastAsia="Times New Roman" w:hAnsi="Calibri"/>
          <w:sz w:val="22"/>
          <w:szCs w:val="22"/>
        </w:rPr>
      </w:pPr>
    </w:p>
    <w:p w14:paraId="4D2886B4" w14:textId="77777777" w:rsidR="00B41194" w:rsidRPr="00CE14F0" w:rsidRDefault="00CE14F0" w:rsidP="002043F7">
      <w:pPr>
        <w:pStyle w:val="Sansinterligne"/>
        <w:jc w:val="both"/>
        <w:rPr>
          <w:rFonts w:ascii="Calibri" w:eastAsia="Times New Roman" w:hAnsi="Calibri"/>
          <w:sz w:val="22"/>
          <w:szCs w:val="22"/>
        </w:rPr>
      </w:pPr>
      <w:r w:rsidRPr="00CE14F0">
        <w:rPr>
          <w:rFonts w:ascii="Calibri" w:eastAsia="Times New Roman" w:hAnsi="Calibri"/>
          <w:sz w:val="22"/>
          <w:szCs w:val="22"/>
        </w:rPr>
        <w:t>Por otra parte, en lo que va del año no hay ningún policía militar condenado en los 40 casos de personas muertas en conflictos sociales, durante el gobierno del presidente Ollanta Humala.</w:t>
      </w:r>
    </w:p>
    <w:p w14:paraId="570D3406" w14:textId="77777777" w:rsidR="008B0032" w:rsidRDefault="008B0032" w:rsidP="009F61DB">
      <w:pPr>
        <w:rPr>
          <w:rFonts w:cs="Arial"/>
          <w:b/>
        </w:rPr>
      </w:pPr>
    </w:p>
    <w:p w14:paraId="15A20A4D" w14:textId="77777777" w:rsidR="000B6978" w:rsidRPr="000D20E0" w:rsidRDefault="000B6978" w:rsidP="009F61DB">
      <w:pPr>
        <w:rPr>
          <w:rFonts w:cs="Arial"/>
        </w:rPr>
      </w:pPr>
    </w:p>
    <w:sectPr w:rsidR="000B6978" w:rsidRPr="000D20E0" w:rsidSect="002043F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B2E41E" w14:textId="77777777" w:rsidR="00A27D08" w:rsidRDefault="00A27D08" w:rsidP="00EB5A36">
      <w:pPr>
        <w:spacing w:after="0" w:line="240" w:lineRule="auto"/>
      </w:pPr>
      <w:r>
        <w:separator/>
      </w:r>
    </w:p>
  </w:endnote>
  <w:endnote w:type="continuationSeparator" w:id="0">
    <w:p w14:paraId="36695630" w14:textId="77777777" w:rsidR="00A27D08" w:rsidRDefault="00A27D08" w:rsidP="00EB5A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Lucida Grande">
    <w:altName w:val="Arial"/>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AA8F04" w14:textId="77777777" w:rsidR="00A27D08" w:rsidRDefault="00A27D08" w:rsidP="00EB5A36">
      <w:pPr>
        <w:spacing w:after="0" w:line="240" w:lineRule="auto"/>
      </w:pPr>
      <w:r>
        <w:separator/>
      </w:r>
    </w:p>
  </w:footnote>
  <w:footnote w:type="continuationSeparator" w:id="0">
    <w:p w14:paraId="4E5EA7D6" w14:textId="77777777" w:rsidR="00A27D08" w:rsidRDefault="00A27D08" w:rsidP="00EB5A36">
      <w:pPr>
        <w:spacing w:after="0" w:line="240" w:lineRule="auto"/>
      </w:pPr>
      <w:r>
        <w:continuationSeparator/>
      </w:r>
    </w:p>
  </w:footnote>
  <w:footnote w:id="1">
    <w:p w14:paraId="5CF6D767" w14:textId="77777777" w:rsidR="008B0032" w:rsidRPr="008B0032" w:rsidRDefault="008B0032">
      <w:pPr>
        <w:pStyle w:val="Notedebasdepage"/>
        <w:rPr>
          <w:sz w:val="18"/>
          <w:szCs w:val="18"/>
          <w:lang w:val="fr-FR"/>
        </w:rPr>
      </w:pPr>
      <w:r w:rsidRPr="008B0032">
        <w:rPr>
          <w:rStyle w:val="Marquenotebasdepage"/>
          <w:sz w:val="18"/>
          <w:szCs w:val="18"/>
        </w:rPr>
        <w:footnoteRef/>
      </w:r>
      <w:r w:rsidRPr="008B0032">
        <w:rPr>
          <w:sz w:val="18"/>
          <w:szCs w:val="18"/>
        </w:rPr>
        <w:t xml:space="preserve"> </w:t>
      </w:r>
    </w:p>
    <w:tbl>
      <w:tblPr>
        <w:tblW w:w="9003" w:type="dxa"/>
        <w:shd w:val="clear" w:color="auto" w:fill="FFFFFF"/>
        <w:tblLayout w:type="fixed"/>
        <w:tblCellMar>
          <w:left w:w="0" w:type="dxa"/>
          <w:right w:w="0" w:type="dxa"/>
        </w:tblCellMar>
        <w:tblLook w:val="04A0" w:firstRow="1" w:lastRow="0" w:firstColumn="1" w:lastColumn="0" w:noHBand="0" w:noVBand="1"/>
      </w:tblPr>
      <w:tblGrid>
        <w:gridCol w:w="873"/>
        <w:gridCol w:w="8130"/>
      </w:tblGrid>
      <w:tr w:rsidR="008B0032" w:rsidRPr="008B0032" w14:paraId="472915F2" w14:textId="77777777" w:rsidTr="008B0032">
        <w:trPr>
          <w:trHeight w:val="242"/>
        </w:trPr>
        <w:tc>
          <w:tcPr>
            <w:tcW w:w="9003" w:type="dxa"/>
            <w:gridSpan w:val="2"/>
            <w:tcBorders>
              <w:top w:val="nil"/>
              <w:left w:val="nil"/>
              <w:bottom w:val="nil"/>
              <w:right w:val="nil"/>
            </w:tcBorders>
            <w:shd w:val="clear" w:color="auto" w:fill="FFFFFF"/>
            <w:tcMar>
              <w:top w:w="0" w:type="dxa"/>
              <w:left w:w="0" w:type="dxa"/>
              <w:bottom w:w="0" w:type="dxa"/>
              <w:right w:w="113" w:type="dxa"/>
            </w:tcMar>
            <w:hideMark/>
          </w:tcPr>
          <w:p w14:paraId="4BA2FF4D"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b/>
                <w:bCs/>
                <w:color w:val="222222"/>
                <w:sz w:val="18"/>
                <w:szCs w:val="18"/>
                <w:lang w:val="es-ES" w:eastAsia="fr-FR"/>
              </w:rPr>
              <w:t>Respuesta/medida satisfactoria</w:t>
            </w:r>
          </w:p>
        </w:tc>
      </w:tr>
      <w:tr w:rsidR="008B0032" w:rsidRPr="008B0032" w14:paraId="3EF4269F"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0E3BD11D"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A</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27D2041A"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Respuesta ampliamente satisfactoria</w:t>
            </w:r>
          </w:p>
        </w:tc>
      </w:tr>
      <w:tr w:rsidR="008B0032" w:rsidRPr="008B0032" w14:paraId="7168CEAA" w14:textId="77777777" w:rsidTr="008B0032">
        <w:trPr>
          <w:trHeight w:val="242"/>
        </w:trPr>
        <w:tc>
          <w:tcPr>
            <w:tcW w:w="9003" w:type="dxa"/>
            <w:gridSpan w:val="2"/>
            <w:tcBorders>
              <w:top w:val="nil"/>
              <w:left w:val="nil"/>
              <w:bottom w:val="nil"/>
              <w:right w:val="nil"/>
            </w:tcBorders>
            <w:shd w:val="clear" w:color="auto" w:fill="FFFFFF"/>
            <w:tcMar>
              <w:top w:w="0" w:type="dxa"/>
              <w:left w:w="0" w:type="dxa"/>
              <w:bottom w:w="0" w:type="dxa"/>
              <w:right w:w="113" w:type="dxa"/>
            </w:tcMar>
            <w:hideMark/>
          </w:tcPr>
          <w:p w14:paraId="377A7F0C"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b/>
                <w:bCs/>
                <w:color w:val="222222"/>
                <w:sz w:val="18"/>
                <w:szCs w:val="18"/>
                <w:lang w:val="es-ES" w:eastAsia="fr-FR"/>
              </w:rPr>
              <w:t>Respuesta/medida parcialmente satisfactoria</w:t>
            </w:r>
          </w:p>
        </w:tc>
      </w:tr>
      <w:tr w:rsidR="008B0032" w:rsidRPr="008B0032" w14:paraId="1437C046"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5CCD51C2"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B1</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4BC65F02"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Se ha adoptado una medida sustantiva pero se requiere información adicional</w:t>
            </w:r>
          </w:p>
        </w:tc>
      </w:tr>
      <w:tr w:rsidR="008B0032" w:rsidRPr="008B0032" w14:paraId="2D92C0DF"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39D7EA2A"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B2</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2B3F1198"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Se ha adoptado una medida inicial pero se requiere información adicional</w:t>
            </w:r>
          </w:p>
        </w:tc>
      </w:tr>
      <w:tr w:rsidR="008B0032" w:rsidRPr="008B0032" w14:paraId="38019CE5" w14:textId="77777777" w:rsidTr="008B0032">
        <w:trPr>
          <w:trHeight w:val="242"/>
        </w:trPr>
        <w:tc>
          <w:tcPr>
            <w:tcW w:w="9003" w:type="dxa"/>
            <w:gridSpan w:val="2"/>
            <w:tcBorders>
              <w:top w:val="nil"/>
              <w:left w:val="nil"/>
              <w:bottom w:val="nil"/>
              <w:right w:val="nil"/>
            </w:tcBorders>
            <w:shd w:val="clear" w:color="auto" w:fill="FFFFFF"/>
            <w:tcMar>
              <w:top w:w="0" w:type="dxa"/>
              <w:left w:w="0" w:type="dxa"/>
              <w:bottom w:w="0" w:type="dxa"/>
              <w:right w:w="113" w:type="dxa"/>
            </w:tcMar>
            <w:hideMark/>
          </w:tcPr>
          <w:p w14:paraId="71FDFDE1"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b/>
                <w:bCs/>
                <w:color w:val="222222"/>
                <w:sz w:val="18"/>
                <w:szCs w:val="18"/>
                <w:lang w:val="es-ES" w:eastAsia="fr-FR"/>
              </w:rPr>
              <w:t>Respuesta/medida no satisfactoria</w:t>
            </w:r>
          </w:p>
        </w:tc>
      </w:tr>
      <w:tr w:rsidR="008B0032" w:rsidRPr="008B0032" w14:paraId="62C2273F"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30ECD648"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C1</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08E560E0"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Se ha recibido una respuesta pero las medidas adoptadas no llevan a la práctica la recomendación</w:t>
            </w:r>
          </w:p>
        </w:tc>
      </w:tr>
      <w:tr w:rsidR="008B0032" w:rsidRPr="008B0032" w14:paraId="71FA4A58"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4D688CBA"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C2</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3EEBAA8A"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Se ha recibido una respuesta pero no es pertinente a la recomendación</w:t>
            </w:r>
          </w:p>
        </w:tc>
      </w:tr>
      <w:tr w:rsidR="008B0032" w:rsidRPr="008B0032" w14:paraId="511C87E8" w14:textId="77777777" w:rsidTr="008B0032">
        <w:trPr>
          <w:trHeight w:val="242"/>
        </w:trPr>
        <w:tc>
          <w:tcPr>
            <w:tcW w:w="9003" w:type="dxa"/>
            <w:gridSpan w:val="2"/>
            <w:tcBorders>
              <w:top w:val="nil"/>
              <w:left w:val="nil"/>
              <w:bottom w:val="nil"/>
              <w:right w:val="nil"/>
            </w:tcBorders>
            <w:shd w:val="clear" w:color="auto" w:fill="FFFFFF"/>
            <w:tcMar>
              <w:top w:w="0" w:type="dxa"/>
              <w:left w:w="0" w:type="dxa"/>
              <w:bottom w:w="0" w:type="dxa"/>
              <w:right w:w="113" w:type="dxa"/>
            </w:tcMar>
            <w:hideMark/>
          </w:tcPr>
          <w:p w14:paraId="2A03067C"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b/>
                <w:bCs/>
                <w:color w:val="222222"/>
                <w:sz w:val="18"/>
                <w:szCs w:val="18"/>
                <w:lang w:val="es-ES" w:eastAsia="fr-FR"/>
              </w:rPr>
              <w:t>Ausencia de cooperación con el Comité</w:t>
            </w:r>
          </w:p>
        </w:tc>
      </w:tr>
      <w:tr w:rsidR="008B0032" w:rsidRPr="008B0032" w14:paraId="1DEEEB43"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4E96A659"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D1</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047880B9"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No se ha recibido respuesta a una o más de las recomendaciones de seguimiento o a parte de una recomendación de seguimiento</w:t>
            </w:r>
          </w:p>
        </w:tc>
      </w:tr>
      <w:tr w:rsidR="008B0032" w:rsidRPr="008B0032" w14:paraId="1E539F51" w14:textId="77777777" w:rsidTr="008B0032">
        <w:trPr>
          <w:trHeight w:val="242"/>
        </w:trPr>
        <w:tc>
          <w:tcPr>
            <w:tcW w:w="873" w:type="dxa"/>
            <w:tcBorders>
              <w:top w:val="nil"/>
              <w:left w:val="nil"/>
              <w:bottom w:val="nil"/>
              <w:right w:val="nil"/>
            </w:tcBorders>
            <w:shd w:val="clear" w:color="auto" w:fill="FFFFFF"/>
            <w:tcMar>
              <w:top w:w="0" w:type="dxa"/>
              <w:left w:w="0" w:type="dxa"/>
              <w:bottom w:w="0" w:type="dxa"/>
              <w:right w:w="113" w:type="dxa"/>
            </w:tcMar>
            <w:hideMark/>
          </w:tcPr>
          <w:p w14:paraId="71C429B3"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D2</w:t>
            </w:r>
          </w:p>
        </w:tc>
        <w:tc>
          <w:tcPr>
            <w:tcW w:w="8129" w:type="dxa"/>
            <w:tcBorders>
              <w:top w:val="nil"/>
              <w:left w:val="nil"/>
              <w:bottom w:val="nil"/>
              <w:right w:val="nil"/>
            </w:tcBorders>
            <w:shd w:val="clear" w:color="auto" w:fill="FFFFFF"/>
            <w:tcMar>
              <w:top w:w="0" w:type="dxa"/>
              <w:left w:w="0" w:type="dxa"/>
              <w:bottom w:w="0" w:type="dxa"/>
              <w:right w:w="113" w:type="dxa"/>
            </w:tcMar>
            <w:hideMark/>
          </w:tcPr>
          <w:p w14:paraId="0D80B95B"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No se ha recibido respuesta tras el envío de recordatorio(s)</w:t>
            </w:r>
          </w:p>
        </w:tc>
      </w:tr>
      <w:tr w:rsidR="008B0032" w:rsidRPr="008B0032" w14:paraId="54457393" w14:textId="77777777" w:rsidTr="008B0032">
        <w:trPr>
          <w:trHeight w:val="242"/>
        </w:trPr>
        <w:tc>
          <w:tcPr>
            <w:tcW w:w="9003" w:type="dxa"/>
            <w:gridSpan w:val="2"/>
            <w:tcBorders>
              <w:top w:val="nil"/>
              <w:left w:val="nil"/>
              <w:bottom w:val="nil"/>
              <w:right w:val="nil"/>
            </w:tcBorders>
            <w:shd w:val="clear" w:color="auto" w:fill="FFFFFF"/>
            <w:tcMar>
              <w:top w:w="0" w:type="dxa"/>
              <w:left w:w="0" w:type="dxa"/>
              <w:bottom w:w="0" w:type="dxa"/>
              <w:right w:w="113" w:type="dxa"/>
            </w:tcMar>
            <w:hideMark/>
          </w:tcPr>
          <w:p w14:paraId="0913B64E"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b/>
                <w:bCs/>
                <w:color w:val="222222"/>
                <w:sz w:val="18"/>
                <w:szCs w:val="18"/>
                <w:lang w:val="es-ES" w:eastAsia="fr-FR"/>
              </w:rPr>
              <w:t>Las medidas adoptadas son contrarias a las recomendaciones del Comité</w:t>
            </w:r>
          </w:p>
        </w:tc>
      </w:tr>
      <w:tr w:rsidR="008B0032" w:rsidRPr="008B0032" w14:paraId="14BFBE24" w14:textId="77777777" w:rsidTr="008B0032">
        <w:trPr>
          <w:trHeight w:val="242"/>
        </w:trPr>
        <w:tc>
          <w:tcPr>
            <w:tcW w:w="873" w:type="dxa"/>
            <w:tcBorders>
              <w:top w:val="nil"/>
              <w:left w:val="nil"/>
              <w:bottom w:val="single" w:sz="12" w:space="0" w:color="auto"/>
              <w:right w:val="nil"/>
            </w:tcBorders>
            <w:shd w:val="clear" w:color="auto" w:fill="FFFFFF"/>
            <w:tcMar>
              <w:top w:w="0" w:type="dxa"/>
              <w:left w:w="0" w:type="dxa"/>
              <w:bottom w:w="0" w:type="dxa"/>
              <w:right w:w="113" w:type="dxa"/>
            </w:tcMar>
            <w:hideMark/>
          </w:tcPr>
          <w:p w14:paraId="076FB2CF"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E</w:t>
            </w:r>
          </w:p>
        </w:tc>
        <w:tc>
          <w:tcPr>
            <w:tcW w:w="8129" w:type="dxa"/>
            <w:tcBorders>
              <w:top w:val="nil"/>
              <w:left w:val="nil"/>
              <w:bottom w:val="single" w:sz="12" w:space="0" w:color="auto"/>
              <w:right w:val="nil"/>
            </w:tcBorders>
            <w:shd w:val="clear" w:color="auto" w:fill="FFFFFF"/>
            <w:tcMar>
              <w:top w:w="0" w:type="dxa"/>
              <w:left w:w="0" w:type="dxa"/>
              <w:bottom w:w="0" w:type="dxa"/>
              <w:right w:w="113" w:type="dxa"/>
            </w:tcMar>
            <w:hideMark/>
          </w:tcPr>
          <w:p w14:paraId="632B71F5" w14:textId="77777777" w:rsidR="008B0032" w:rsidRPr="008B0032" w:rsidRDefault="008B0032" w:rsidP="00F32E7D">
            <w:pPr>
              <w:spacing w:before="40" w:after="0" w:line="240" w:lineRule="auto"/>
              <w:rPr>
                <w:rFonts w:cs="Arial"/>
                <w:color w:val="222222"/>
                <w:sz w:val="18"/>
                <w:szCs w:val="18"/>
                <w:lang w:val="fr-FR" w:eastAsia="fr-FR"/>
              </w:rPr>
            </w:pPr>
            <w:r w:rsidRPr="008B0032">
              <w:rPr>
                <w:rFonts w:cs="Arial"/>
                <w:color w:val="222222"/>
                <w:sz w:val="18"/>
                <w:szCs w:val="18"/>
                <w:lang w:val="es-ES" w:eastAsia="fr-FR"/>
              </w:rPr>
              <w:t>La respuesta indica que las medidas adoptadas van en contra de las recomendaciones del Comité</w:t>
            </w:r>
          </w:p>
        </w:tc>
      </w:tr>
    </w:tbl>
    <w:p w14:paraId="277F55FA" w14:textId="165BDB40" w:rsidR="008B0032" w:rsidRPr="008B0032" w:rsidRDefault="008B0032">
      <w:pPr>
        <w:pStyle w:val="Notedebasdepage"/>
        <w:rPr>
          <w:lang w:val="fr-FR"/>
        </w:rPr>
      </w:pPr>
    </w:p>
  </w:footnote>
  <w:footnote w:id="2">
    <w:p w14:paraId="6130B2A4" w14:textId="77777777" w:rsidR="00A27D08" w:rsidRPr="0066793A" w:rsidRDefault="00A27D08" w:rsidP="0066793A">
      <w:pPr>
        <w:pStyle w:val="Notedebasdepage"/>
        <w:jc w:val="both"/>
        <w:rPr>
          <w:sz w:val="18"/>
          <w:szCs w:val="18"/>
        </w:rPr>
      </w:pPr>
      <w:r w:rsidRPr="0066793A">
        <w:rPr>
          <w:rStyle w:val="Marquenotebasdepage"/>
          <w:sz w:val="18"/>
          <w:szCs w:val="18"/>
        </w:rPr>
        <w:footnoteRef/>
      </w:r>
      <w:r w:rsidRPr="0066793A">
        <w:rPr>
          <w:sz w:val="18"/>
          <w:szCs w:val="18"/>
        </w:rPr>
        <w:t xml:space="preserve"> El 16 de enero de 2014, la Sala Penal Transitoria de la Corte Suprema de Justicia declaró fundada la excepción de prescripción interpuesta por los condenados y nula la sentencia que condenaba a Segundo Aureliano Alvarado Guerrero a doce años de pena privativa de libertad y a Juan Antonio Ríos Campos, José Alberto Reyes Mendo y Carlos Estanislao Reyna Peláez a ocho años, por el asesinato de Lester Joaquín Vera Luján, Elizabeth Sandoval Araujo y otras cuatro personas en el denominado Caso Curgos.</w:t>
      </w:r>
    </w:p>
  </w:footnote>
  <w:footnote w:id="3">
    <w:p w14:paraId="244217CB" w14:textId="77777777" w:rsidR="00A27D08" w:rsidRPr="0066793A" w:rsidRDefault="00A27D08" w:rsidP="0066793A">
      <w:pPr>
        <w:pStyle w:val="Notedebasdepage"/>
        <w:jc w:val="both"/>
        <w:rPr>
          <w:color w:val="FF0000"/>
          <w:sz w:val="18"/>
          <w:szCs w:val="18"/>
        </w:rPr>
      </w:pPr>
      <w:r w:rsidRPr="0066793A">
        <w:rPr>
          <w:rStyle w:val="Marquenotebasdepage"/>
          <w:sz w:val="18"/>
          <w:szCs w:val="18"/>
        </w:rPr>
        <w:footnoteRef/>
      </w:r>
      <w:r w:rsidRPr="0066793A">
        <w:rPr>
          <w:sz w:val="18"/>
          <w:szCs w:val="18"/>
        </w:rPr>
        <w:t xml:space="preserve"> Caso Chilliutira: el 23 de diciembre de 2013, la Sala Penal Permanente de la Corte Suprema de Justicia declaró fundado un recurso de revisión, declarando nula la sentencia que condenaba a nueve años de pena privativa de libertad a los oficiales del Ejército José Hildebrando Loayza Gutiérrez y Manuel Giovani Delgado Contreras por el asesinato de Juan Hualla Choquehuanca, Feliciano Turpo Valeriano, Roberto Quispe Mamani y Francisco Atamari Mamani el 31 de mayo de 1991, y disponiendo la realización de un nuevo juicio oral. Este caso cuenta con Informe de fondo por parte de la Comisión Interamericana de Derechos Humanos, habiéndose el Estado comprometido a investigar y sancionar a los responsables del asesinato de las víctimas: Informe Nº 101/01 del 11 de octubre de 2001. Juan Hualla Choquehuanca, Francisco Atamari Mamani, Feliciano Turpo Valeriano y Roberto Quispe Mamani (Caso 10.913).</w:t>
      </w:r>
      <w:r w:rsidRPr="0066793A">
        <w:rPr>
          <w:sz w:val="18"/>
          <w:szCs w:val="18"/>
          <w:shd w:val="clear" w:color="auto" w:fill="FFFFFF"/>
        </w:rPr>
        <w:t xml:space="preserve"> </w:t>
      </w:r>
    </w:p>
  </w:footnote>
  <w:footnote w:id="4">
    <w:p w14:paraId="169794E6" w14:textId="77777777" w:rsidR="00A27D08" w:rsidRPr="0066793A" w:rsidRDefault="00A27D08" w:rsidP="0066793A">
      <w:pPr>
        <w:pStyle w:val="SingleTxtG"/>
        <w:spacing w:after="0" w:line="240" w:lineRule="auto"/>
        <w:ind w:left="0" w:right="-13"/>
        <w:rPr>
          <w:rFonts w:asciiTheme="minorHAnsi" w:hAnsiTheme="minorHAnsi"/>
          <w:sz w:val="18"/>
          <w:szCs w:val="18"/>
        </w:rPr>
      </w:pPr>
      <w:r w:rsidRPr="0066793A">
        <w:rPr>
          <w:rFonts w:asciiTheme="minorHAnsi" w:hAnsiTheme="minorHAnsi"/>
          <w:sz w:val="18"/>
          <w:szCs w:val="18"/>
          <w:vertAlign w:val="superscript"/>
        </w:rPr>
        <w:footnoteRef/>
      </w:r>
      <w:r w:rsidRPr="0066793A">
        <w:rPr>
          <w:rFonts w:asciiTheme="minorHAnsi" w:hAnsiTheme="minorHAnsi"/>
          <w:sz w:val="18"/>
          <w:szCs w:val="18"/>
          <w:vertAlign w:val="superscript"/>
        </w:rPr>
        <w:t xml:space="preserve"> </w:t>
      </w:r>
      <w:r w:rsidRPr="0066793A">
        <w:rPr>
          <w:rFonts w:asciiTheme="minorHAnsi" w:hAnsiTheme="minorHAnsi"/>
          <w:sz w:val="18"/>
          <w:szCs w:val="18"/>
        </w:rPr>
        <w:t xml:space="preserve">La sentencia que condenó al </w:t>
      </w:r>
      <w:proofErr w:type="spellStart"/>
      <w:r w:rsidRPr="0066793A">
        <w:rPr>
          <w:rFonts w:asciiTheme="minorHAnsi" w:hAnsiTheme="minorHAnsi"/>
          <w:sz w:val="18"/>
          <w:szCs w:val="18"/>
        </w:rPr>
        <w:t>Capitan</w:t>
      </w:r>
      <w:proofErr w:type="spellEnd"/>
      <w:r w:rsidRPr="0066793A">
        <w:rPr>
          <w:rFonts w:asciiTheme="minorHAnsi" w:hAnsiTheme="minorHAnsi"/>
          <w:sz w:val="18"/>
          <w:szCs w:val="18"/>
        </w:rPr>
        <w:t xml:space="preserve"> </w:t>
      </w:r>
      <w:proofErr w:type="spellStart"/>
      <w:r w:rsidRPr="0066793A">
        <w:rPr>
          <w:rFonts w:asciiTheme="minorHAnsi" w:hAnsiTheme="minorHAnsi"/>
          <w:sz w:val="18"/>
          <w:szCs w:val="18"/>
        </w:rPr>
        <w:t>Cronwel</w:t>
      </w:r>
      <w:proofErr w:type="spellEnd"/>
      <w:r w:rsidRPr="0066793A">
        <w:rPr>
          <w:rFonts w:asciiTheme="minorHAnsi" w:hAnsiTheme="minorHAnsi"/>
          <w:sz w:val="18"/>
          <w:szCs w:val="18"/>
        </w:rPr>
        <w:t xml:space="preserve"> Espinoza, alias “Motosierra”, acusado de la detención desaparición de Marcos Torres Aquino, el 12 de julio de 1992, cuando fue detenido  por efectivos militares de la Base Militar de </w:t>
      </w:r>
      <w:proofErr w:type="spellStart"/>
      <w:r w:rsidRPr="0066793A">
        <w:rPr>
          <w:rFonts w:asciiTheme="minorHAnsi" w:hAnsiTheme="minorHAnsi"/>
          <w:sz w:val="18"/>
          <w:szCs w:val="18"/>
        </w:rPr>
        <w:t>Aucayacu</w:t>
      </w:r>
      <w:proofErr w:type="spellEnd"/>
      <w:r w:rsidRPr="0066793A">
        <w:rPr>
          <w:rFonts w:asciiTheme="minorHAnsi" w:hAnsiTheme="minorHAnsi"/>
          <w:sz w:val="18"/>
          <w:szCs w:val="18"/>
        </w:rPr>
        <w:t xml:space="preserve"> (en la provincia de Leoncio Prado, departamento de Huánuco) fue declarada nula por la Corte Suprema. </w:t>
      </w:r>
    </w:p>
  </w:footnote>
  <w:footnote w:id="5">
    <w:p w14:paraId="50380057" w14:textId="77777777" w:rsidR="00A27D08" w:rsidRPr="0066793A" w:rsidRDefault="00A27D08" w:rsidP="0066793A">
      <w:pPr>
        <w:pStyle w:val="SingleTxtG"/>
        <w:spacing w:after="0" w:line="240" w:lineRule="auto"/>
        <w:ind w:left="0" w:right="-13"/>
        <w:rPr>
          <w:rFonts w:asciiTheme="minorHAnsi" w:hAnsiTheme="minorHAnsi"/>
          <w:sz w:val="18"/>
          <w:szCs w:val="18"/>
          <w:shd w:val="clear" w:color="auto" w:fill="FFFFFF"/>
        </w:rPr>
      </w:pPr>
      <w:r w:rsidRPr="0066793A">
        <w:rPr>
          <w:rStyle w:val="Marquenotebasdepage"/>
          <w:rFonts w:asciiTheme="minorHAnsi" w:hAnsiTheme="minorHAnsi"/>
          <w:sz w:val="18"/>
          <w:szCs w:val="18"/>
        </w:rPr>
        <w:footnoteRef/>
      </w:r>
      <w:r w:rsidRPr="0066793A">
        <w:rPr>
          <w:rFonts w:asciiTheme="minorHAnsi" w:hAnsiTheme="minorHAnsi"/>
          <w:sz w:val="18"/>
          <w:szCs w:val="18"/>
        </w:rPr>
        <w:t xml:space="preserve"> </w:t>
      </w:r>
      <w:r w:rsidRPr="0066793A">
        <w:rPr>
          <w:rFonts w:asciiTheme="minorHAnsi" w:hAnsiTheme="minorHAnsi"/>
          <w:sz w:val="18"/>
          <w:szCs w:val="18"/>
          <w:shd w:val="clear" w:color="auto" w:fill="FFFFFF"/>
        </w:rPr>
        <w:t xml:space="preserve">La Sala Penal Nacional condenó a los militares  Manuel Jesús Delgado Rojas  jefe político militar del Frente Mantaro año 1989 y a Elías Fernando Espinoza del Valle Jefe del Estado mayor Operativo  del Frente Mantaro año 1989 por  el secuestro y desaparición de los estudiantes de la Universidad nacional del Centro: Juan Francisco  Fernández Gálvez y  Alcides </w:t>
      </w:r>
      <w:proofErr w:type="spellStart"/>
      <w:r w:rsidRPr="0066793A">
        <w:rPr>
          <w:rFonts w:asciiTheme="minorHAnsi" w:hAnsiTheme="minorHAnsi"/>
          <w:sz w:val="18"/>
          <w:szCs w:val="18"/>
          <w:shd w:val="clear" w:color="auto" w:fill="FFFFFF"/>
        </w:rPr>
        <w:t>Ccopa</w:t>
      </w:r>
      <w:proofErr w:type="spellEnd"/>
      <w:r w:rsidRPr="0066793A">
        <w:rPr>
          <w:rFonts w:asciiTheme="minorHAnsi" w:hAnsiTheme="minorHAnsi"/>
          <w:sz w:val="18"/>
          <w:szCs w:val="18"/>
          <w:shd w:val="clear" w:color="auto" w:fill="FFFFFF"/>
        </w:rPr>
        <w:t xml:space="preserve"> Taype a 15 años de pena privativa de la libertad</w:t>
      </w:r>
    </w:p>
    <w:p w14:paraId="0F71D9B5" w14:textId="77777777" w:rsidR="00A27D08" w:rsidRPr="0066793A" w:rsidRDefault="00A27D08" w:rsidP="0066793A">
      <w:pPr>
        <w:pStyle w:val="NormalWeb"/>
        <w:shd w:val="clear" w:color="auto" w:fill="FFFFFF"/>
        <w:spacing w:before="0" w:beforeAutospacing="0" w:after="0" w:afterAutospacing="0"/>
        <w:jc w:val="both"/>
        <w:textAlignment w:val="baseline"/>
        <w:rPr>
          <w:rFonts w:asciiTheme="minorHAnsi" w:hAnsiTheme="minorHAnsi"/>
          <w:color w:val="FF0000"/>
          <w:sz w:val="18"/>
          <w:szCs w:val="18"/>
        </w:rPr>
      </w:pPr>
      <w:r w:rsidRPr="0066793A">
        <w:rPr>
          <w:rFonts w:asciiTheme="minorHAnsi" w:hAnsiTheme="minorHAnsi"/>
          <w:sz w:val="18"/>
          <w:szCs w:val="18"/>
        </w:rPr>
        <w:t>El </w:t>
      </w:r>
      <w:r w:rsidRPr="0066793A">
        <w:rPr>
          <w:rStyle w:val="lev"/>
          <w:rFonts w:asciiTheme="minorHAnsi" w:hAnsiTheme="minorHAnsi"/>
          <w:b w:val="0"/>
          <w:sz w:val="18"/>
          <w:szCs w:val="18"/>
        </w:rPr>
        <w:t>general de Brigada, Carlos Alberto Paz Figueroa</w:t>
      </w:r>
      <w:r w:rsidRPr="0066793A">
        <w:rPr>
          <w:rFonts w:asciiTheme="minorHAnsi" w:hAnsiTheme="minorHAnsi"/>
          <w:b/>
          <w:sz w:val="18"/>
          <w:szCs w:val="18"/>
        </w:rPr>
        <w:t>,</w:t>
      </w:r>
      <w:r w:rsidRPr="0066793A">
        <w:rPr>
          <w:rFonts w:asciiTheme="minorHAnsi" w:hAnsiTheme="minorHAnsi"/>
          <w:sz w:val="18"/>
          <w:szCs w:val="18"/>
        </w:rPr>
        <w:t xml:space="preserve"> jefe del Comando de Reservas y Movilizaciones del </w:t>
      </w:r>
      <w:r w:rsidRPr="0066793A">
        <w:fldChar w:fldCharType="begin"/>
      </w:r>
      <w:r w:rsidRPr="0066793A">
        <w:rPr>
          <w:rFonts w:asciiTheme="minorHAnsi" w:hAnsiTheme="minorHAnsi"/>
          <w:sz w:val="18"/>
          <w:szCs w:val="18"/>
        </w:rPr>
        <w:instrText xml:space="preserve"> HYPERLINK "http://www.larepublica.pe/tag/ejercito-del-peru" \t "_blank" </w:instrText>
      </w:r>
      <w:r w:rsidRPr="0066793A">
        <w:fldChar w:fldCharType="separate"/>
      </w:r>
      <w:r w:rsidRPr="0066793A">
        <w:rPr>
          <w:rStyle w:val="Lienhypertexte"/>
          <w:rFonts w:asciiTheme="minorHAnsi" w:hAnsiTheme="minorHAnsi"/>
          <w:color w:val="auto"/>
          <w:sz w:val="18"/>
          <w:szCs w:val="18"/>
          <w:u w:val="none"/>
          <w:bdr w:val="none" w:sz="0" w:space="0" w:color="auto" w:frame="1"/>
        </w:rPr>
        <w:t>Ejército peruano</w:t>
      </w:r>
      <w:r w:rsidRPr="0066793A">
        <w:rPr>
          <w:rStyle w:val="Lienhypertexte"/>
          <w:rFonts w:asciiTheme="minorHAnsi" w:hAnsiTheme="minorHAnsi"/>
          <w:color w:val="auto"/>
          <w:sz w:val="18"/>
          <w:szCs w:val="18"/>
          <w:u w:val="none"/>
          <w:bdr w:val="none" w:sz="0" w:space="0" w:color="auto" w:frame="1"/>
        </w:rPr>
        <w:fldChar w:fldCharType="end"/>
      </w:r>
      <w:r w:rsidRPr="0066793A">
        <w:rPr>
          <w:rFonts w:asciiTheme="minorHAnsi" w:hAnsiTheme="minorHAnsi"/>
          <w:sz w:val="18"/>
          <w:szCs w:val="18"/>
        </w:rPr>
        <w:t>, fue condenado ayer a </w:t>
      </w:r>
      <w:r w:rsidRPr="0066793A">
        <w:rPr>
          <w:rStyle w:val="lev"/>
          <w:rFonts w:asciiTheme="minorHAnsi" w:hAnsiTheme="minorHAnsi"/>
          <w:b w:val="0"/>
          <w:sz w:val="18"/>
          <w:szCs w:val="18"/>
        </w:rPr>
        <w:t>15 años de prisión</w:t>
      </w:r>
      <w:r w:rsidRPr="0066793A">
        <w:rPr>
          <w:rFonts w:asciiTheme="minorHAnsi" w:hAnsiTheme="minorHAnsi"/>
          <w:b/>
          <w:sz w:val="18"/>
          <w:szCs w:val="18"/>
        </w:rPr>
        <w:t> </w:t>
      </w:r>
      <w:r w:rsidRPr="0066793A">
        <w:rPr>
          <w:rFonts w:asciiTheme="minorHAnsi" w:hAnsiTheme="minorHAnsi"/>
          <w:sz w:val="18"/>
          <w:szCs w:val="18"/>
        </w:rPr>
        <w:t>por el colegiado "A" la Sala Penal Nacional, por la </w:t>
      </w:r>
      <w:r w:rsidRPr="0066793A">
        <w:rPr>
          <w:rStyle w:val="lev"/>
          <w:rFonts w:asciiTheme="minorHAnsi" w:hAnsiTheme="minorHAnsi"/>
          <w:b w:val="0"/>
          <w:sz w:val="18"/>
          <w:szCs w:val="18"/>
        </w:rPr>
        <w:t>desaparición forzada del profesor Rubén Villanueva Toro</w:t>
      </w:r>
      <w:r w:rsidRPr="0066793A">
        <w:rPr>
          <w:rFonts w:asciiTheme="minorHAnsi" w:hAnsiTheme="minorHAnsi"/>
          <w:b/>
          <w:sz w:val="18"/>
          <w:szCs w:val="18"/>
        </w:rPr>
        <w:t>,</w:t>
      </w:r>
      <w:r w:rsidRPr="0066793A">
        <w:rPr>
          <w:rFonts w:asciiTheme="minorHAnsi" w:hAnsiTheme="minorHAnsi"/>
          <w:sz w:val="18"/>
          <w:szCs w:val="18"/>
        </w:rPr>
        <w:t xml:space="preserve"> en Huancavelica, en </w:t>
      </w:r>
      <w:r w:rsidRPr="0066793A">
        <w:rPr>
          <w:rStyle w:val="lev"/>
          <w:rFonts w:asciiTheme="minorHAnsi" w:hAnsiTheme="minorHAnsi"/>
          <w:b w:val="0"/>
          <w:sz w:val="18"/>
          <w:szCs w:val="18"/>
        </w:rPr>
        <w:t>marzo de 1990</w:t>
      </w:r>
      <w:r w:rsidRPr="0066793A">
        <w:rPr>
          <w:rFonts w:asciiTheme="minorHAnsi" w:hAnsiTheme="minorHAnsi"/>
          <w:b/>
          <w:sz w:val="18"/>
          <w:szCs w:val="18"/>
        </w:rPr>
        <w:t>.</w:t>
      </w:r>
      <w:r w:rsidRPr="0066793A">
        <w:rPr>
          <w:rFonts w:asciiTheme="minorHAnsi" w:hAnsiTheme="minorHAnsi"/>
          <w:sz w:val="18"/>
          <w:szCs w:val="18"/>
        </w:rPr>
        <w:t xml:space="preserve"> Junto a él también fue condenado a la misma pena de cárcel, el teniente coronel EP Yorvil Távara Olea. Adicionalmente, a ambos se les</w:t>
      </w:r>
      <w:r w:rsidRPr="0066793A">
        <w:rPr>
          <w:rStyle w:val="lev"/>
          <w:rFonts w:asciiTheme="minorHAnsi" w:hAnsiTheme="minorHAnsi"/>
          <w:sz w:val="18"/>
          <w:szCs w:val="18"/>
        </w:rPr>
        <w:t> </w:t>
      </w:r>
      <w:r w:rsidRPr="0066793A">
        <w:rPr>
          <w:rStyle w:val="lev"/>
          <w:rFonts w:asciiTheme="minorHAnsi" w:hAnsiTheme="minorHAnsi"/>
          <w:b w:val="0"/>
          <w:sz w:val="18"/>
          <w:szCs w:val="18"/>
        </w:rPr>
        <w:t>impuso inhabilitación para ejercer cargo público</w:t>
      </w:r>
      <w:r w:rsidRPr="0066793A">
        <w:rPr>
          <w:rFonts w:asciiTheme="minorHAnsi" w:hAnsiTheme="minorHAnsi"/>
          <w:b/>
          <w:sz w:val="18"/>
          <w:szCs w:val="18"/>
        </w:rPr>
        <w:t> </w:t>
      </w:r>
      <w:r w:rsidRPr="0066793A">
        <w:rPr>
          <w:rFonts w:asciiTheme="minorHAnsi" w:hAnsiTheme="minorHAnsi"/>
          <w:sz w:val="18"/>
          <w:szCs w:val="18"/>
        </w:rPr>
        <w:t>y el pago de 100 mil soles de reparación civil. Los hechos se produjeron el </w:t>
      </w:r>
      <w:r w:rsidRPr="0066793A">
        <w:rPr>
          <w:rStyle w:val="lev"/>
          <w:rFonts w:asciiTheme="minorHAnsi" w:hAnsiTheme="minorHAnsi"/>
          <w:b w:val="0"/>
          <w:sz w:val="18"/>
          <w:szCs w:val="18"/>
        </w:rPr>
        <w:t>25 de marzo de 1990</w:t>
      </w:r>
      <w:r w:rsidRPr="0066793A">
        <w:rPr>
          <w:rFonts w:asciiTheme="minorHAnsi" w:hAnsiTheme="minorHAnsi"/>
          <w:b/>
          <w:sz w:val="18"/>
          <w:szCs w:val="18"/>
        </w:rPr>
        <w:t>.</w:t>
      </w:r>
      <w:r w:rsidRPr="0066793A">
        <w:rPr>
          <w:rFonts w:asciiTheme="minorHAnsi" w:hAnsiTheme="minorHAnsi"/>
          <w:sz w:val="18"/>
          <w:szCs w:val="18"/>
        </w:rPr>
        <w:t xml:space="preserve">  </w:t>
      </w:r>
    </w:p>
    <w:p w14:paraId="1DB9AEE7" w14:textId="77777777" w:rsidR="00A27D08" w:rsidRPr="0066793A" w:rsidRDefault="00A27D08" w:rsidP="0066793A">
      <w:pPr>
        <w:pStyle w:val="NormalWeb"/>
        <w:shd w:val="clear" w:color="auto" w:fill="FFFFFF"/>
        <w:spacing w:before="0" w:beforeAutospacing="0" w:after="0" w:afterAutospacing="0"/>
        <w:jc w:val="both"/>
        <w:textAlignment w:val="baseline"/>
        <w:rPr>
          <w:rFonts w:asciiTheme="minorHAnsi" w:hAnsiTheme="minorHAnsi"/>
          <w:sz w:val="18"/>
          <w:szCs w:val="18"/>
        </w:rPr>
      </w:pPr>
      <w:r w:rsidRPr="0066793A">
        <w:rPr>
          <w:rFonts w:asciiTheme="minorHAnsi" w:hAnsiTheme="minorHAnsi"/>
          <w:sz w:val="18"/>
          <w:szCs w:val="18"/>
        </w:rPr>
        <w:t>Ambas sentencias se encuentran actualmente con recurso de nulidad.</w:t>
      </w:r>
    </w:p>
  </w:footnote>
  <w:footnote w:id="6">
    <w:p w14:paraId="77778598" w14:textId="77777777" w:rsidR="00A27D08" w:rsidRPr="0066793A" w:rsidRDefault="00A27D08" w:rsidP="0066793A">
      <w:pPr>
        <w:spacing w:after="0" w:line="240" w:lineRule="auto"/>
        <w:jc w:val="both"/>
        <w:rPr>
          <w:sz w:val="18"/>
          <w:szCs w:val="18"/>
        </w:rPr>
      </w:pPr>
      <w:r w:rsidRPr="0066793A">
        <w:rPr>
          <w:rStyle w:val="Marquenotebasdepage"/>
          <w:sz w:val="18"/>
          <w:szCs w:val="18"/>
        </w:rPr>
        <w:footnoteRef/>
      </w:r>
      <w:r w:rsidRPr="0066793A">
        <w:rPr>
          <w:sz w:val="18"/>
          <w:szCs w:val="18"/>
        </w:rPr>
        <w:t xml:space="preserve"> </w:t>
      </w:r>
      <w:proofErr w:type="spellStart"/>
      <w:r w:rsidRPr="0066793A">
        <w:rPr>
          <w:sz w:val="18"/>
          <w:szCs w:val="18"/>
          <w:lang w:val="fr-FR"/>
        </w:rPr>
        <w:t>Por</w:t>
      </w:r>
      <w:proofErr w:type="spellEnd"/>
      <w:r w:rsidRPr="0066793A">
        <w:rPr>
          <w:sz w:val="18"/>
          <w:szCs w:val="18"/>
          <w:lang w:val="fr-FR"/>
        </w:rPr>
        <w:t xml:space="preserve"> </w:t>
      </w:r>
      <w:proofErr w:type="spellStart"/>
      <w:r w:rsidRPr="0066793A">
        <w:rPr>
          <w:sz w:val="18"/>
          <w:szCs w:val="18"/>
          <w:lang w:val="fr-FR"/>
        </w:rPr>
        <w:t>ejemplo</w:t>
      </w:r>
      <w:proofErr w:type="spellEnd"/>
      <w:r w:rsidRPr="0066793A">
        <w:rPr>
          <w:sz w:val="18"/>
          <w:szCs w:val="18"/>
          <w:lang w:val="fr-FR"/>
        </w:rPr>
        <w:t xml:space="preserve">, </w:t>
      </w:r>
      <w:r w:rsidRPr="0066793A">
        <w:rPr>
          <w:sz w:val="18"/>
          <w:szCs w:val="18"/>
        </w:rPr>
        <w:t xml:space="preserve">en el caso de José Navarrete y Celestino Yaranga, en marzo de 2013, la Sala Penal Nacional absolvió al marino Alberto Gustavo Silva Santiesteban Larco de las torturas que sufrieron José Navarrete y Celestino Yaranga, pese a que los magistrados reconocieron que las víctimas habían sido detenidas, llevadas al Estadio de Huanta -que servía en ese momento como base militar de la Marina- y sometidos a crueles torturas, reconociendo incluso que no fue un episodio aislado, sino una práctica sistemática y que por tanto se constituye en crimen de lesa humanidad. Sin embargo, los magistrados consideraron que “al no haber signos visibles de lesiones graves en las víctimas ahora” (29 años después de los hechos) </w:t>
      </w:r>
      <w:r>
        <w:rPr>
          <w:sz w:val="18"/>
          <w:szCs w:val="18"/>
        </w:rPr>
        <w:t>tenían que absolver al imputado.</w:t>
      </w:r>
    </w:p>
  </w:footnote>
  <w:footnote w:id="7">
    <w:p w14:paraId="3F4D0278" w14:textId="77777777" w:rsidR="00A27D08" w:rsidRPr="0066793A" w:rsidRDefault="00A27D08" w:rsidP="0066793A">
      <w:pPr>
        <w:pStyle w:val="Notedebasdepage"/>
        <w:jc w:val="both"/>
        <w:rPr>
          <w:sz w:val="18"/>
          <w:szCs w:val="18"/>
          <w:lang w:val="fr-FR"/>
        </w:rPr>
      </w:pPr>
      <w:r w:rsidRPr="0066793A">
        <w:rPr>
          <w:rStyle w:val="Marquenotebasdepage"/>
          <w:sz w:val="18"/>
          <w:szCs w:val="18"/>
        </w:rPr>
        <w:footnoteRef/>
      </w:r>
      <w:r w:rsidRPr="0066793A">
        <w:rPr>
          <w:sz w:val="18"/>
          <w:szCs w:val="18"/>
        </w:rPr>
        <w:t xml:space="preserve"> Por ejemplo, en octubre de 2013 la Sala Penal Nacional condenó a 4 años de pena privativa de libertad suspendida y al pago de cinco mil nuevos soles de reparación civil al ex teniente del Ejército peruano José Ricardo Urbina Carrasco, por las torturas a las que fueron sometidos Fernando Baldeó Flores, Jacinto Peralta Palacios y Benigno Urquizo Rivera entre el 24 y 25 de setiembre de 1990 en Accomarca (Ayacucho).</w:t>
      </w:r>
    </w:p>
  </w:footnote>
  <w:footnote w:id="8">
    <w:p w14:paraId="08647EF4" w14:textId="77777777" w:rsidR="00A27D08" w:rsidRPr="0066793A" w:rsidRDefault="00A27D08" w:rsidP="0066793A">
      <w:pPr>
        <w:pStyle w:val="Notedebasdepage"/>
        <w:jc w:val="both"/>
        <w:rPr>
          <w:sz w:val="18"/>
          <w:szCs w:val="18"/>
        </w:rPr>
      </w:pPr>
      <w:r w:rsidRPr="0066793A">
        <w:rPr>
          <w:rStyle w:val="Marquenotebasdepage"/>
          <w:sz w:val="18"/>
          <w:szCs w:val="18"/>
        </w:rPr>
        <w:footnoteRef/>
      </w:r>
      <w:r w:rsidRPr="0066793A">
        <w:rPr>
          <w:sz w:val="18"/>
          <w:szCs w:val="18"/>
        </w:rPr>
        <w:t xml:space="preserve"> Informe Anual de la CNDH- 2012 -2013 “A diez años de la CVR”</w:t>
      </w:r>
    </w:p>
  </w:footnote>
  <w:footnote w:id="9">
    <w:p w14:paraId="12670373" w14:textId="77777777" w:rsidR="00A27D08" w:rsidRPr="0066793A" w:rsidRDefault="00A27D08" w:rsidP="0066793A">
      <w:pPr>
        <w:pStyle w:val="Notedebasdepage"/>
        <w:jc w:val="both"/>
        <w:rPr>
          <w:sz w:val="18"/>
          <w:szCs w:val="18"/>
        </w:rPr>
      </w:pPr>
      <w:r w:rsidRPr="0066793A">
        <w:rPr>
          <w:rStyle w:val="Marquenotebasdepage"/>
          <w:sz w:val="18"/>
          <w:szCs w:val="18"/>
        </w:rPr>
        <w:footnoteRef/>
      </w:r>
      <w:r w:rsidRPr="0066793A">
        <w:rPr>
          <w:sz w:val="18"/>
          <w:szCs w:val="18"/>
        </w:rPr>
        <w:t xml:space="preserve"> </w:t>
      </w:r>
      <w:hyperlink r:id="rId1" w:history="1">
        <w:r w:rsidRPr="0066793A">
          <w:rPr>
            <w:rStyle w:val="Lienhypertexte"/>
            <w:color w:val="auto"/>
            <w:sz w:val="18"/>
            <w:szCs w:val="18"/>
          </w:rPr>
          <w:t>http://www.larepublica.pe/20-02-2014/juzgado-absuelve-a-4-policias-aplicando-cuestionada-ley-n-30151</w:t>
        </w:r>
      </w:hyperlink>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C43B7"/>
    <w:multiLevelType w:val="hybridMultilevel"/>
    <w:tmpl w:val="0F7C690E"/>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
    <w:nsid w:val="49F15CAF"/>
    <w:multiLevelType w:val="hybridMultilevel"/>
    <w:tmpl w:val="E14E000E"/>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824"/>
    <w:rsid w:val="000265C3"/>
    <w:rsid w:val="00045B77"/>
    <w:rsid w:val="00092357"/>
    <w:rsid w:val="000B05F1"/>
    <w:rsid w:val="000B5070"/>
    <w:rsid w:val="000B6978"/>
    <w:rsid w:val="000D20E0"/>
    <w:rsid w:val="000E7465"/>
    <w:rsid w:val="001202B8"/>
    <w:rsid w:val="001623C7"/>
    <w:rsid w:val="0016425F"/>
    <w:rsid w:val="00171787"/>
    <w:rsid w:val="00176D00"/>
    <w:rsid w:val="001A36A3"/>
    <w:rsid w:val="001B0E76"/>
    <w:rsid w:val="001C68CE"/>
    <w:rsid w:val="001D0D30"/>
    <w:rsid w:val="002043F7"/>
    <w:rsid w:val="002076B9"/>
    <w:rsid w:val="00257DE7"/>
    <w:rsid w:val="002879E2"/>
    <w:rsid w:val="00290280"/>
    <w:rsid w:val="00311002"/>
    <w:rsid w:val="003230E6"/>
    <w:rsid w:val="003245A0"/>
    <w:rsid w:val="00343E50"/>
    <w:rsid w:val="00353A39"/>
    <w:rsid w:val="00363CA8"/>
    <w:rsid w:val="003D662D"/>
    <w:rsid w:val="0042363D"/>
    <w:rsid w:val="00445822"/>
    <w:rsid w:val="00446824"/>
    <w:rsid w:val="00472CCB"/>
    <w:rsid w:val="00487998"/>
    <w:rsid w:val="004C4E70"/>
    <w:rsid w:val="00522902"/>
    <w:rsid w:val="00555169"/>
    <w:rsid w:val="005C69D4"/>
    <w:rsid w:val="005D1C7B"/>
    <w:rsid w:val="005E00AA"/>
    <w:rsid w:val="006179AF"/>
    <w:rsid w:val="00617C57"/>
    <w:rsid w:val="006215FD"/>
    <w:rsid w:val="00621A2E"/>
    <w:rsid w:val="00624A12"/>
    <w:rsid w:val="00665109"/>
    <w:rsid w:val="00665AFF"/>
    <w:rsid w:val="0066793A"/>
    <w:rsid w:val="00685BCF"/>
    <w:rsid w:val="006A57D1"/>
    <w:rsid w:val="006B0504"/>
    <w:rsid w:val="006B14FD"/>
    <w:rsid w:val="006E2C9F"/>
    <w:rsid w:val="007078E2"/>
    <w:rsid w:val="007607C2"/>
    <w:rsid w:val="00786215"/>
    <w:rsid w:val="007F18C0"/>
    <w:rsid w:val="007F66D2"/>
    <w:rsid w:val="007F6EB6"/>
    <w:rsid w:val="0081033F"/>
    <w:rsid w:val="008162F4"/>
    <w:rsid w:val="00822A84"/>
    <w:rsid w:val="00831748"/>
    <w:rsid w:val="00840EBA"/>
    <w:rsid w:val="008B0032"/>
    <w:rsid w:val="008E1E3D"/>
    <w:rsid w:val="008E700A"/>
    <w:rsid w:val="008E774E"/>
    <w:rsid w:val="00916627"/>
    <w:rsid w:val="009206A5"/>
    <w:rsid w:val="0094559B"/>
    <w:rsid w:val="00997C4C"/>
    <w:rsid w:val="009C7D95"/>
    <w:rsid w:val="009D65B9"/>
    <w:rsid w:val="009E473D"/>
    <w:rsid w:val="009F0F52"/>
    <w:rsid w:val="009F61DB"/>
    <w:rsid w:val="00A00B51"/>
    <w:rsid w:val="00A071E8"/>
    <w:rsid w:val="00A27D08"/>
    <w:rsid w:val="00A46062"/>
    <w:rsid w:val="00A87A02"/>
    <w:rsid w:val="00AE61FD"/>
    <w:rsid w:val="00B213B5"/>
    <w:rsid w:val="00B41194"/>
    <w:rsid w:val="00BB19A5"/>
    <w:rsid w:val="00BF7D98"/>
    <w:rsid w:val="00C3466F"/>
    <w:rsid w:val="00C36CB4"/>
    <w:rsid w:val="00C532A5"/>
    <w:rsid w:val="00C561B2"/>
    <w:rsid w:val="00C85D7B"/>
    <w:rsid w:val="00CE14F0"/>
    <w:rsid w:val="00CE6EBA"/>
    <w:rsid w:val="00D66368"/>
    <w:rsid w:val="00D80FA3"/>
    <w:rsid w:val="00D960E7"/>
    <w:rsid w:val="00DB4656"/>
    <w:rsid w:val="00DE62CC"/>
    <w:rsid w:val="00DF0B5E"/>
    <w:rsid w:val="00DF0FFF"/>
    <w:rsid w:val="00E1545D"/>
    <w:rsid w:val="00E407FA"/>
    <w:rsid w:val="00E414E9"/>
    <w:rsid w:val="00E54491"/>
    <w:rsid w:val="00EB5A36"/>
    <w:rsid w:val="00F02031"/>
    <w:rsid w:val="00F91D79"/>
    <w:rsid w:val="00F97CB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49F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CC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65109"/>
    <w:pPr>
      <w:ind w:left="720"/>
      <w:contextualSpacing/>
    </w:pPr>
  </w:style>
  <w:style w:type="paragraph" w:styleId="Notedebasdepage">
    <w:name w:val="footnote text"/>
    <w:basedOn w:val="Normal"/>
    <w:link w:val="NotedebasdepageCar"/>
    <w:uiPriority w:val="99"/>
    <w:unhideWhenUsed/>
    <w:rsid w:val="00EB5A36"/>
    <w:pPr>
      <w:spacing w:after="0" w:line="240" w:lineRule="auto"/>
    </w:pPr>
    <w:rPr>
      <w:sz w:val="20"/>
      <w:szCs w:val="20"/>
    </w:rPr>
  </w:style>
  <w:style w:type="character" w:customStyle="1" w:styleId="NotedebasdepageCar">
    <w:name w:val="Note de bas de page Car"/>
    <w:basedOn w:val="Policepardfaut"/>
    <w:link w:val="Notedebasdepage"/>
    <w:uiPriority w:val="99"/>
    <w:rsid w:val="00EB5A36"/>
    <w:rPr>
      <w:sz w:val="20"/>
      <w:szCs w:val="20"/>
    </w:rPr>
  </w:style>
  <w:style w:type="character" w:styleId="Marquenotebasdepage">
    <w:name w:val="footnote reference"/>
    <w:basedOn w:val="Policepardfaut"/>
    <w:uiPriority w:val="99"/>
    <w:unhideWhenUsed/>
    <w:rsid w:val="00EB5A36"/>
    <w:rPr>
      <w:vertAlign w:val="superscript"/>
    </w:rPr>
  </w:style>
  <w:style w:type="character" w:styleId="Lienhypertexte">
    <w:name w:val="Hyperlink"/>
    <w:basedOn w:val="Policepardfaut"/>
    <w:uiPriority w:val="99"/>
    <w:unhideWhenUsed/>
    <w:rsid w:val="00A46062"/>
    <w:rPr>
      <w:color w:val="0563C1" w:themeColor="hyperlink"/>
      <w:u w:val="single"/>
    </w:rPr>
  </w:style>
  <w:style w:type="paragraph" w:customStyle="1" w:styleId="SingleTxtG">
    <w:name w:val="_ Single Txt_G"/>
    <w:basedOn w:val="Normal"/>
    <w:rsid w:val="00522902"/>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522902"/>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lev">
    <w:name w:val="Strong"/>
    <w:basedOn w:val="Policepardfaut"/>
    <w:uiPriority w:val="22"/>
    <w:qFormat/>
    <w:rsid w:val="00522902"/>
    <w:rPr>
      <w:b/>
      <w:bCs/>
    </w:rPr>
  </w:style>
  <w:style w:type="character" w:customStyle="1" w:styleId="apple-converted-space">
    <w:name w:val="apple-converted-space"/>
    <w:basedOn w:val="Policepardfaut"/>
    <w:rsid w:val="00E407FA"/>
  </w:style>
  <w:style w:type="character" w:styleId="Accentuation">
    <w:name w:val="Emphasis"/>
    <w:basedOn w:val="Policepardfaut"/>
    <w:uiPriority w:val="20"/>
    <w:qFormat/>
    <w:rsid w:val="00E407FA"/>
    <w:rPr>
      <w:i/>
      <w:iCs/>
    </w:rPr>
  </w:style>
  <w:style w:type="paragraph" w:styleId="Sansinterligne">
    <w:name w:val="No Spacing"/>
    <w:uiPriority w:val="1"/>
    <w:qFormat/>
    <w:rsid w:val="000D20E0"/>
    <w:pPr>
      <w:spacing w:after="0" w:line="240" w:lineRule="auto"/>
    </w:pPr>
    <w:rPr>
      <w:rFonts w:ascii="Times New Roman" w:eastAsia="Calibri" w:hAnsi="Times New Roman" w:cs="Times New Roman"/>
      <w:sz w:val="24"/>
      <w:szCs w:val="24"/>
      <w:lang w:eastAsia="es-PE"/>
    </w:rPr>
  </w:style>
  <w:style w:type="character" w:customStyle="1" w:styleId="NotedebasdepageCar1">
    <w:name w:val="Note de bas de page Car1"/>
    <w:basedOn w:val="Policepardfaut"/>
    <w:uiPriority w:val="99"/>
    <w:rsid w:val="00CE14F0"/>
    <w:rPr>
      <w:rFonts w:ascii="Calibri" w:eastAsia="Calibri" w:hAnsi="Calibri" w:cs="Times New Roman"/>
      <w:lang w:val="fr-FR" w:eastAsia="en-US"/>
    </w:rPr>
  </w:style>
  <w:style w:type="paragraph" w:styleId="Textedebulles">
    <w:name w:val="Balloon Text"/>
    <w:basedOn w:val="Normal"/>
    <w:link w:val="TextedebullesCar"/>
    <w:uiPriority w:val="99"/>
    <w:semiHidden/>
    <w:unhideWhenUsed/>
    <w:rsid w:val="000B6978"/>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B697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2CCB"/>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65109"/>
    <w:pPr>
      <w:ind w:left="720"/>
      <w:contextualSpacing/>
    </w:pPr>
  </w:style>
  <w:style w:type="paragraph" w:styleId="Notedebasdepage">
    <w:name w:val="footnote text"/>
    <w:basedOn w:val="Normal"/>
    <w:link w:val="NotedebasdepageCar"/>
    <w:uiPriority w:val="99"/>
    <w:unhideWhenUsed/>
    <w:rsid w:val="00EB5A36"/>
    <w:pPr>
      <w:spacing w:after="0" w:line="240" w:lineRule="auto"/>
    </w:pPr>
    <w:rPr>
      <w:sz w:val="20"/>
      <w:szCs w:val="20"/>
    </w:rPr>
  </w:style>
  <w:style w:type="character" w:customStyle="1" w:styleId="NotedebasdepageCar">
    <w:name w:val="Note de bas de page Car"/>
    <w:basedOn w:val="Policepardfaut"/>
    <w:link w:val="Notedebasdepage"/>
    <w:uiPriority w:val="99"/>
    <w:rsid w:val="00EB5A36"/>
    <w:rPr>
      <w:sz w:val="20"/>
      <w:szCs w:val="20"/>
    </w:rPr>
  </w:style>
  <w:style w:type="character" w:styleId="Marquenotebasdepage">
    <w:name w:val="footnote reference"/>
    <w:basedOn w:val="Policepardfaut"/>
    <w:uiPriority w:val="99"/>
    <w:unhideWhenUsed/>
    <w:rsid w:val="00EB5A36"/>
    <w:rPr>
      <w:vertAlign w:val="superscript"/>
    </w:rPr>
  </w:style>
  <w:style w:type="character" w:styleId="Lienhypertexte">
    <w:name w:val="Hyperlink"/>
    <w:basedOn w:val="Policepardfaut"/>
    <w:uiPriority w:val="99"/>
    <w:unhideWhenUsed/>
    <w:rsid w:val="00A46062"/>
    <w:rPr>
      <w:color w:val="0563C1" w:themeColor="hyperlink"/>
      <w:u w:val="single"/>
    </w:rPr>
  </w:style>
  <w:style w:type="paragraph" w:customStyle="1" w:styleId="SingleTxtG">
    <w:name w:val="_ Single Txt_G"/>
    <w:basedOn w:val="Normal"/>
    <w:rsid w:val="00522902"/>
    <w:pPr>
      <w:spacing w:after="120" w:line="240" w:lineRule="atLeast"/>
      <w:ind w:left="1134" w:right="1134"/>
      <w:jc w:val="both"/>
    </w:pPr>
    <w:rPr>
      <w:rFonts w:ascii="Times New Roman" w:eastAsia="Times New Roman" w:hAnsi="Times New Roman" w:cs="Times New Roman"/>
      <w:sz w:val="20"/>
      <w:szCs w:val="20"/>
      <w:lang w:val="es-ES" w:eastAsia="es-ES"/>
    </w:rPr>
  </w:style>
  <w:style w:type="paragraph" w:styleId="NormalWeb">
    <w:name w:val="Normal (Web)"/>
    <w:basedOn w:val="Normal"/>
    <w:uiPriority w:val="99"/>
    <w:unhideWhenUsed/>
    <w:rsid w:val="00522902"/>
    <w:pPr>
      <w:spacing w:before="100" w:beforeAutospacing="1" w:after="100" w:afterAutospacing="1" w:line="240" w:lineRule="auto"/>
    </w:pPr>
    <w:rPr>
      <w:rFonts w:ascii="Times New Roman" w:eastAsia="Times New Roman" w:hAnsi="Times New Roman" w:cs="Times New Roman"/>
      <w:sz w:val="24"/>
      <w:szCs w:val="24"/>
      <w:lang w:eastAsia="es-PE"/>
    </w:rPr>
  </w:style>
  <w:style w:type="character" w:styleId="lev">
    <w:name w:val="Strong"/>
    <w:basedOn w:val="Policepardfaut"/>
    <w:uiPriority w:val="22"/>
    <w:qFormat/>
    <w:rsid w:val="00522902"/>
    <w:rPr>
      <w:b/>
      <w:bCs/>
    </w:rPr>
  </w:style>
  <w:style w:type="character" w:customStyle="1" w:styleId="apple-converted-space">
    <w:name w:val="apple-converted-space"/>
    <w:basedOn w:val="Policepardfaut"/>
    <w:rsid w:val="00E407FA"/>
  </w:style>
  <w:style w:type="character" w:styleId="Accentuation">
    <w:name w:val="Emphasis"/>
    <w:basedOn w:val="Policepardfaut"/>
    <w:uiPriority w:val="20"/>
    <w:qFormat/>
    <w:rsid w:val="00E407FA"/>
    <w:rPr>
      <w:i/>
      <w:iCs/>
    </w:rPr>
  </w:style>
  <w:style w:type="paragraph" w:styleId="Sansinterligne">
    <w:name w:val="No Spacing"/>
    <w:uiPriority w:val="1"/>
    <w:qFormat/>
    <w:rsid w:val="000D20E0"/>
    <w:pPr>
      <w:spacing w:after="0" w:line="240" w:lineRule="auto"/>
    </w:pPr>
    <w:rPr>
      <w:rFonts w:ascii="Times New Roman" w:eastAsia="Calibri" w:hAnsi="Times New Roman" w:cs="Times New Roman"/>
      <w:sz w:val="24"/>
      <w:szCs w:val="24"/>
      <w:lang w:eastAsia="es-PE"/>
    </w:rPr>
  </w:style>
  <w:style w:type="character" w:customStyle="1" w:styleId="NotedebasdepageCar1">
    <w:name w:val="Note de bas de page Car1"/>
    <w:basedOn w:val="Policepardfaut"/>
    <w:uiPriority w:val="99"/>
    <w:rsid w:val="00CE14F0"/>
    <w:rPr>
      <w:rFonts w:ascii="Calibri" w:eastAsia="Calibri" w:hAnsi="Calibri" w:cs="Times New Roman"/>
      <w:lang w:val="fr-FR" w:eastAsia="en-US"/>
    </w:rPr>
  </w:style>
  <w:style w:type="paragraph" w:styleId="Textedebulles">
    <w:name w:val="Balloon Text"/>
    <w:basedOn w:val="Normal"/>
    <w:link w:val="TextedebullesCar"/>
    <w:uiPriority w:val="99"/>
    <w:semiHidden/>
    <w:unhideWhenUsed/>
    <w:rsid w:val="000B6978"/>
    <w:pPr>
      <w:spacing w:after="0" w:line="240" w:lineRule="auto"/>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B69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5463191">
      <w:bodyDiv w:val="1"/>
      <w:marLeft w:val="0"/>
      <w:marRight w:val="0"/>
      <w:marTop w:val="0"/>
      <w:marBottom w:val="0"/>
      <w:divBdr>
        <w:top w:val="none" w:sz="0" w:space="0" w:color="auto"/>
        <w:left w:val="none" w:sz="0" w:space="0" w:color="auto"/>
        <w:bottom w:val="none" w:sz="0" w:space="0" w:color="auto"/>
        <w:right w:val="none" w:sz="0" w:space="0" w:color="auto"/>
      </w:divBdr>
    </w:div>
    <w:div w:id="1586109400">
      <w:bodyDiv w:val="1"/>
      <w:marLeft w:val="0"/>
      <w:marRight w:val="0"/>
      <w:marTop w:val="0"/>
      <w:marBottom w:val="0"/>
      <w:divBdr>
        <w:top w:val="none" w:sz="0" w:space="0" w:color="auto"/>
        <w:left w:val="none" w:sz="0" w:space="0" w:color="auto"/>
        <w:bottom w:val="none" w:sz="0" w:space="0" w:color="auto"/>
        <w:right w:val="none" w:sz="0" w:space="0" w:color="auto"/>
      </w:divBdr>
    </w:div>
    <w:div w:id="1829011262">
      <w:bodyDiv w:val="1"/>
      <w:marLeft w:val="0"/>
      <w:marRight w:val="0"/>
      <w:marTop w:val="0"/>
      <w:marBottom w:val="0"/>
      <w:divBdr>
        <w:top w:val="none" w:sz="0" w:space="0" w:color="auto"/>
        <w:left w:val="none" w:sz="0" w:space="0" w:color="auto"/>
        <w:bottom w:val="none" w:sz="0" w:space="0" w:color="auto"/>
        <w:right w:val="none" w:sz="0" w:space="0" w:color="auto"/>
      </w:divBdr>
    </w:div>
    <w:div w:id="1869368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hyperlink" Target="mailto:miguel@derechoshumanos.pe"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www.larepublica.pe/20-02-2014/juzgado-absuelve-a-4-policias-aplicando-cuestionada-ley-n-3015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7E6D04-0A95-4715-868E-73EB405EDA1C}"/>
</file>

<file path=customXml/itemProps2.xml><?xml version="1.0" encoding="utf-8"?>
<ds:datastoreItem xmlns:ds="http://schemas.openxmlformats.org/officeDocument/2006/customXml" ds:itemID="{B9FC4911-C913-1546-8CD7-FD32B6921F87}"/>
</file>

<file path=customXml/itemProps3.xml><?xml version="1.0" encoding="utf-8"?>
<ds:datastoreItem xmlns:ds="http://schemas.openxmlformats.org/officeDocument/2006/customXml" ds:itemID="{71DC1281-4B8F-402C-A4BC-33B90093B140}"/>
</file>

<file path=customXml/itemProps4.xml><?xml version="1.0" encoding="utf-8"?>
<ds:datastoreItem xmlns:ds="http://schemas.openxmlformats.org/officeDocument/2006/customXml" ds:itemID="{FEAB668F-03E1-4478-843A-15A7EC261F31}"/>
</file>

<file path=docProps/app.xml><?xml version="1.0" encoding="utf-8"?>
<Properties xmlns="http://schemas.openxmlformats.org/officeDocument/2006/extended-properties" xmlns:vt="http://schemas.openxmlformats.org/officeDocument/2006/docPropsVTypes">
  <Template>Normal.dotm</Template>
  <TotalTime>10</TotalTime>
  <Pages>6</Pages>
  <Words>1718</Words>
  <Characters>9453</Characters>
  <Application>Microsoft Macintosh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 Infante</dc:creator>
  <cp:lastModifiedBy>Vincent Ploton</cp:lastModifiedBy>
  <cp:revision>4</cp:revision>
  <cp:lastPrinted>2014-07-25T09:09:00Z</cp:lastPrinted>
  <dcterms:created xsi:type="dcterms:W3CDTF">2014-07-23T15:44:00Z</dcterms:created>
  <dcterms:modified xsi:type="dcterms:W3CDTF">2014-07-25T09:10:00Z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