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93434" w14:textId="77777777" w:rsidR="00C45659" w:rsidRPr="00362724" w:rsidRDefault="00C45659" w:rsidP="00C45659">
      <w:pPr>
        <w:pStyle w:val="Body"/>
        <w:jc w:val="center"/>
        <w:rPr>
          <w:rFonts w:ascii="MetaPro-Norm" w:eastAsia="MetaPro-Norm" w:hAnsi="MetaPro-Norm" w:cs="MetaPro-Norm"/>
          <w:sz w:val="22"/>
          <w:szCs w:val="22"/>
        </w:rPr>
      </w:pPr>
      <w:bookmarkStart w:id="0" w:name="_GoBack"/>
      <w:bookmarkEnd w:id="0"/>
      <w:r w:rsidRPr="00362724">
        <w:rPr>
          <w:rFonts w:ascii="MetaPro-Norm" w:hAnsi="MetaPro-Norm"/>
          <w:noProof/>
          <w:sz w:val="22"/>
          <w:szCs w:val="22"/>
          <w:lang w:val="en-GB" w:eastAsia="en-GB"/>
        </w:rPr>
        <w:drawing>
          <wp:inline distT="0" distB="0" distL="0" distR="0" wp14:anchorId="40E27239" wp14:editId="4A44CC86">
            <wp:extent cx="1013460" cy="1013460"/>
            <wp:effectExtent l="0" t="0" r="0" b="0"/>
            <wp:docPr id="1073741825" name="officeArt object" descr="HRW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RWLogo" descr="HRWLogo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10134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49345EEB" w14:textId="77777777" w:rsidR="00C45659" w:rsidRPr="00362724" w:rsidRDefault="00C45659" w:rsidP="00C45659">
      <w:pPr>
        <w:pStyle w:val="Body"/>
        <w:jc w:val="center"/>
        <w:rPr>
          <w:rFonts w:ascii="MetaPro-Norm" w:eastAsia="MetaPro-Norm" w:hAnsi="MetaPro-Norm" w:cs="MetaPro-Norm"/>
          <w:sz w:val="22"/>
          <w:szCs w:val="22"/>
        </w:rPr>
      </w:pPr>
    </w:p>
    <w:p w14:paraId="792A47C4" w14:textId="46E7EFEF" w:rsidR="00C45659" w:rsidRPr="00362724" w:rsidRDefault="00C45659" w:rsidP="00C45659">
      <w:pPr>
        <w:pStyle w:val="NoSpacing"/>
        <w:jc w:val="center"/>
        <w:rPr>
          <w:rFonts w:ascii="MetaPro-Norm" w:eastAsia="MetaPro-Norm" w:hAnsi="MetaPro-Norm" w:cs="MetaPro-Norm"/>
          <w:b/>
          <w:bCs/>
        </w:rPr>
      </w:pPr>
      <w:r w:rsidRPr="00362724">
        <w:rPr>
          <w:rFonts w:ascii="MetaPro-Norm" w:eastAsia="MetaPro-Norm" w:hAnsi="MetaPro-Norm" w:cs="MetaPro-Norm"/>
          <w:b/>
          <w:bCs/>
        </w:rPr>
        <w:t xml:space="preserve">Submission to the </w:t>
      </w:r>
      <w:bookmarkStart w:id="1" w:name="_Hlk534376786"/>
      <w:r w:rsidRPr="00362724">
        <w:rPr>
          <w:rFonts w:ascii="MetaPro-Norm" w:eastAsia="MetaPro-Norm" w:hAnsi="MetaPro-Norm" w:cs="MetaPro-Norm"/>
          <w:b/>
          <w:bCs/>
        </w:rPr>
        <w:t xml:space="preserve">Committee </w:t>
      </w:r>
      <w:bookmarkEnd w:id="1"/>
      <w:r w:rsidRPr="00362724">
        <w:rPr>
          <w:rFonts w:ascii="MetaPro-Norm" w:eastAsia="MetaPro-Norm" w:hAnsi="MetaPro-Norm" w:cs="MetaPro-Norm"/>
          <w:b/>
          <w:bCs/>
        </w:rPr>
        <w:t>on Economic, Social and Cultural Rights Review of Azerbaijan</w:t>
      </w:r>
    </w:p>
    <w:p w14:paraId="661027B5" w14:textId="344CC26D" w:rsidR="00C45659" w:rsidRPr="00362724" w:rsidRDefault="00C45659" w:rsidP="00C45659">
      <w:pPr>
        <w:pStyle w:val="NoSpacing"/>
        <w:jc w:val="center"/>
        <w:rPr>
          <w:rFonts w:ascii="MetaPro-Norm" w:eastAsia="MetaPro-Norm" w:hAnsi="MetaPro-Norm" w:cs="MetaPro-Norm"/>
          <w:b/>
          <w:bCs/>
        </w:rPr>
      </w:pPr>
      <w:r w:rsidRPr="00362724">
        <w:rPr>
          <w:rFonts w:ascii="MetaPro-Norm" w:eastAsia="MetaPro-Norm" w:hAnsi="MetaPro-Norm" w:cs="MetaPro-Norm"/>
          <w:b/>
          <w:bCs/>
        </w:rPr>
        <w:t>70</w:t>
      </w:r>
      <w:r w:rsidRPr="00362724">
        <w:rPr>
          <w:rFonts w:ascii="MetaPro-Norm" w:eastAsia="MetaPro-Norm" w:hAnsi="MetaPro-Norm" w:cs="MetaPro-Norm"/>
          <w:b/>
          <w:bCs/>
          <w:vertAlign w:val="superscript"/>
        </w:rPr>
        <w:t>th</w:t>
      </w:r>
      <w:r w:rsidRPr="00362724">
        <w:rPr>
          <w:rFonts w:ascii="MetaPro-Norm" w:eastAsia="MetaPro-Norm" w:hAnsi="MetaPro-Norm" w:cs="MetaPro-Norm"/>
          <w:b/>
          <w:bCs/>
        </w:rPr>
        <w:t xml:space="preserve"> Session </w:t>
      </w:r>
    </w:p>
    <w:p w14:paraId="14D02E30" w14:textId="77777777" w:rsidR="00C45659" w:rsidRPr="00362724" w:rsidRDefault="00C45659" w:rsidP="00C45659">
      <w:pPr>
        <w:pStyle w:val="NoSpacing"/>
        <w:jc w:val="center"/>
        <w:rPr>
          <w:rFonts w:ascii="MetaPro-Norm" w:eastAsia="MetaPro-Norm" w:hAnsi="MetaPro-Norm" w:cs="MetaPro-Norm"/>
          <w:i/>
          <w:iCs/>
        </w:rPr>
      </w:pPr>
      <w:r w:rsidRPr="00362724">
        <w:rPr>
          <w:rFonts w:ascii="MetaPro-Norm" w:eastAsia="MetaPro-Norm" w:hAnsi="MetaPro-Norm" w:cs="MetaPro-Norm"/>
          <w:b/>
          <w:bCs/>
          <w:i/>
          <w:iCs/>
        </w:rPr>
        <w:t>August 2021</w:t>
      </w:r>
      <w:r w:rsidRPr="00362724">
        <w:rPr>
          <w:rFonts w:ascii="MetaPro-Norm" w:eastAsia="MetaPro-Norm" w:hAnsi="MetaPro-Norm" w:cs="MetaPro-Norm"/>
          <w:i/>
          <w:iCs/>
        </w:rPr>
        <w:br/>
      </w:r>
    </w:p>
    <w:p w14:paraId="11889C57" w14:textId="4CB5348F" w:rsidR="00C45659" w:rsidRPr="00362724" w:rsidRDefault="00C45659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  <w:r w:rsidRPr="00362724">
        <w:rPr>
          <w:rFonts w:ascii="MetaPro-Norm" w:eastAsia="MetaPro-Norm" w:hAnsi="MetaPro-Norm" w:cs="MetaPro-Norm"/>
          <w:sz w:val="22"/>
          <w:szCs w:val="22"/>
        </w:rPr>
        <w:t>We write in advance of the 70</w:t>
      </w:r>
      <w:r w:rsidRPr="00362724">
        <w:rPr>
          <w:rFonts w:ascii="MetaPro-Norm" w:eastAsia="MetaPro-Norm" w:hAnsi="MetaPro-Norm" w:cs="MetaPro-Norm"/>
          <w:sz w:val="22"/>
          <w:szCs w:val="22"/>
          <w:vertAlign w:val="superscript"/>
        </w:rPr>
        <w:t xml:space="preserve">th </w:t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pre-session of the Committee on Economic, Social and Cultural Rights regarding </w:t>
      </w:r>
      <w:r w:rsidR="00CB6BC2">
        <w:rPr>
          <w:rFonts w:ascii="MetaPro-Norm" w:eastAsia="MetaPro-Norm" w:hAnsi="MetaPro-Norm" w:cs="MetaPro-Norm"/>
          <w:sz w:val="22"/>
          <w:szCs w:val="22"/>
        </w:rPr>
        <w:t>Azerbaijan</w:t>
      </w:r>
      <w:r w:rsidRPr="00362724">
        <w:rPr>
          <w:rFonts w:ascii="MetaPro-Norm" w:eastAsia="MetaPro-Norm" w:hAnsi="MetaPro-Norm" w:cs="MetaPro-Norm"/>
          <w:sz w:val="22"/>
          <w:szCs w:val="22"/>
        </w:rPr>
        <w:t>’s compliance with the International Covenant on Economic, Social and Cultural Rights. This submission includes information on the protection of education from attack during armed conflict.</w:t>
      </w:r>
    </w:p>
    <w:p w14:paraId="6A58E5A0" w14:textId="6F6E21A9" w:rsidR="00C45659" w:rsidRPr="00362724" w:rsidRDefault="00C45659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</w:p>
    <w:p w14:paraId="00B6FF7C" w14:textId="77777777" w:rsidR="00C45659" w:rsidRPr="00362724" w:rsidRDefault="00C45659" w:rsidP="00C45659">
      <w:pPr>
        <w:pStyle w:val="Body"/>
        <w:rPr>
          <w:rFonts w:ascii="MetaPro-Norm" w:eastAsia="MetaPro-Norm" w:hAnsi="MetaPro-Norm" w:cs="MetaPro-Norm"/>
          <w:b/>
          <w:bCs/>
          <w:sz w:val="22"/>
          <w:szCs w:val="22"/>
        </w:rPr>
      </w:pPr>
      <w:r w:rsidRPr="00362724">
        <w:rPr>
          <w:rFonts w:ascii="MetaPro-Norm" w:eastAsia="MetaPro-Norm" w:hAnsi="MetaPro-Norm" w:cs="MetaPro-Norm"/>
          <w:b/>
          <w:bCs/>
          <w:sz w:val="22"/>
          <w:szCs w:val="22"/>
        </w:rPr>
        <w:t xml:space="preserve">Protection of Education from Attack (Article 13) </w:t>
      </w:r>
    </w:p>
    <w:p w14:paraId="0773F052" w14:textId="77777777" w:rsidR="00C45659" w:rsidRPr="00362724" w:rsidRDefault="00C45659" w:rsidP="00C45659">
      <w:pPr>
        <w:pStyle w:val="NoSpacing"/>
        <w:rPr>
          <w:rFonts w:ascii="MetaPro-Norm" w:eastAsia="MetaPro-Norm" w:hAnsi="MetaPro-Norm" w:cs="MetaPro-Norm"/>
          <w:b/>
          <w:bCs/>
        </w:rPr>
      </w:pPr>
    </w:p>
    <w:p w14:paraId="05D73D14" w14:textId="27214D3D" w:rsidR="00C45659" w:rsidRPr="00362724" w:rsidRDefault="00C45659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  <w:r w:rsidRPr="00362724">
        <w:rPr>
          <w:rFonts w:ascii="MetaPro-Norm" w:eastAsia="MetaPro-Norm" w:hAnsi="MetaPro-Norm" w:cs="MetaPro-Norm"/>
          <w:sz w:val="22"/>
          <w:szCs w:val="22"/>
        </w:rPr>
        <w:t>During military hostilities in and around Nagorno-Karabakh from September to November 2020, more than 150 civilians were killed</w:t>
      </w:r>
      <w:r w:rsidR="00C7128C">
        <w:rPr>
          <w:rFonts w:ascii="MetaPro-Norm" w:eastAsia="MetaPro-Norm" w:hAnsi="MetaPro-Norm" w:cs="MetaPro-Norm"/>
          <w:sz w:val="22"/>
          <w:szCs w:val="22"/>
        </w:rPr>
        <w:t xml:space="preserve"> on both sides</w:t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, according to government and non-governmental reports. Human Rights Watch investigated whether the armed forces were following their obligations under international humanitarian law and documented </w:t>
      </w:r>
      <w:r w:rsidR="00151FC3">
        <w:rPr>
          <w:rFonts w:ascii="MetaPro-Norm" w:eastAsia="MetaPro-Norm" w:hAnsi="MetaPro-Norm" w:cs="MetaPro-Norm"/>
          <w:sz w:val="22"/>
          <w:szCs w:val="22"/>
        </w:rPr>
        <w:t xml:space="preserve">numerous </w:t>
      </w:r>
      <w:r w:rsidRPr="00362724">
        <w:rPr>
          <w:rFonts w:ascii="MetaPro-Norm" w:eastAsia="MetaPro-Norm" w:hAnsi="MetaPro-Norm" w:cs="MetaPro-Norm"/>
          <w:sz w:val="22"/>
          <w:szCs w:val="22"/>
        </w:rPr>
        <w:t>violations by all parties to the conflict.</w:t>
      </w:r>
      <w:r w:rsidRPr="00362724">
        <w:rPr>
          <w:rFonts w:ascii="MetaPro-Norm" w:eastAsia="MetaPro-Norm" w:hAnsi="MetaPro-Norm" w:cs="MetaPro-Norm"/>
          <w:sz w:val="22"/>
          <w:szCs w:val="22"/>
          <w:vertAlign w:val="superscript"/>
        </w:rPr>
        <w:footnoteReference w:id="1"/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 We also examined the consequences of the conflict for school children. </w:t>
      </w:r>
    </w:p>
    <w:p w14:paraId="2D4EEB97" w14:textId="77777777" w:rsidR="00C45659" w:rsidRPr="00362724" w:rsidRDefault="00C45659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</w:p>
    <w:p w14:paraId="64E8D6ED" w14:textId="1F46FF7F" w:rsidR="00C45659" w:rsidRDefault="00C45659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  <w:r w:rsidRPr="00362724">
        <w:rPr>
          <w:rFonts w:ascii="MetaPro-Norm" w:eastAsia="MetaPro-Norm" w:hAnsi="MetaPro-Norm" w:cs="MetaPro-Norm"/>
          <w:sz w:val="22"/>
          <w:szCs w:val="22"/>
        </w:rPr>
        <w:t xml:space="preserve">According to official data, at least </w:t>
      </w:r>
      <w:hyperlink r:id="rId8" w:history="1">
        <w:r w:rsidRPr="00362724">
          <w:rPr>
            <w:rStyle w:val="Hyperlink2"/>
          </w:rPr>
          <w:t>71 schools</w:t>
        </w:r>
      </w:hyperlink>
      <w:r w:rsidRPr="00362724">
        <w:rPr>
          <w:rFonts w:ascii="MetaPro-Norm" w:eastAsia="MetaPro-Norm" w:hAnsi="MetaPro-Norm" w:cs="MetaPro-Norm"/>
          <w:sz w:val="22"/>
          <w:szCs w:val="22"/>
        </w:rPr>
        <w:t xml:space="preserve"> on the Armenian side, including 2 in the Republic of Armenia, and </w:t>
      </w:r>
      <w:hyperlink r:id="rId9" w:history="1">
        <w:r w:rsidRPr="00362724">
          <w:rPr>
            <w:rStyle w:val="Hyperlink2"/>
          </w:rPr>
          <w:t xml:space="preserve">54 Azerbaijani </w:t>
        </w:r>
      </w:hyperlink>
      <w:hyperlink r:id="rId10" w:history="1">
        <w:r w:rsidRPr="00362724">
          <w:rPr>
            <w:rStyle w:val="Hyperlink2"/>
          </w:rPr>
          <w:t>schools</w:t>
        </w:r>
      </w:hyperlink>
      <w:r w:rsidRPr="00362724">
        <w:rPr>
          <w:rFonts w:ascii="MetaPro-Norm" w:eastAsia="MetaPro-Norm" w:hAnsi="MetaPro-Norm" w:cs="MetaPro-Norm"/>
          <w:sz w:val="22"/>
          <w:szCs w:val="22"/>
        </w:rPr>
        <w:t xml:space="preserve"> were damaged or destroyed.  Dozens of other establishments that helped children flourish and fueled their personal development and growth were also damaged or destroyed, including kindergartens, art schools and spor</w:t>
      </w:r>
      <w:r w:rsidR="00151FC3">
        <w:rPr>
          <w:rFonts w:ascii="MetaPro-Norm" w:eastAsia="MetaPro-Norm" w:hAnsi="MetaPro-Norm" w:cs="MetaPro-Norm"/>
          <w:sz w:val="22"/>
          <w:szCs w:val="22"/>
        </w:rPr>
        <w:t>t</w:t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 schools, and vocational schools.</w:t>
      </w:r>
    </w:p>
    <w:p w14:paraId="3AF39E2D" w14:textId="77777777" w:rsidR="008B29BE" w:rsidRPr="00362724" w:rsidRDefault="008B29BE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</w:p>
    <w:p w14:paraId="6AC803A5" w14:textId="3FE3CD37" w:rsidR="00C7128C" w:rsidRPr="00C7128C" w:rsidRDefault="00C45659" w:rsidP="005A402A">
      <w:pPr>
        <w:pStyle w:val="BodyA"/>
        <w:rPr>
          <w:rFonts w:ascii="MetaPro-Norm" w:eastAsia="Times New Roman" w:hAnsi="MetaPro-Norm" w:cs="Calibri"/>
          <w:sz w:val="22"/>
          <w:szCs w:val="22"/>
        </w:rPr>
      </w:pPr>
      <w:r w:rsidRPr="00362724">
        <w:rPr>
          <w:rFonts w:ascii="MetaPro-Norm" w:eastAsia="MetaPro-Norm" w:hAnsi="MetaPro-Norm" w:cs="MetaPro-Norm"/>
          <w:sz w:val="22"/>
          <w:szCs w:val="22"/>
        </w:rPr>
        <w:t>Schools on both sides had closed in March 2020 due to the Covid-19 pandemic and had just reopened in mid-September. They closed again after the fighting began on September 27. Many schools</w:t>
      </w:r>
      <w:r w:rsidR="004B5E84">
        <w:rPr>
          <w:rFonts w:ascii="MetaPro-Norm" w:eastAsia="MetaPro-Norm" w:hAnsi="MetaPro-Norm" w:cs="MetaPro-Norm"/>
          <w:sz w:val="22"/>
          <w:szCs w:val="22"/>
        </w:rPr>
        <w:t xml:space="preserve"> under Azerbaijan control</w:t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 were repurposed as shelters for the displaced. </w:t>
      </w:r>
      <w:r w:rsidR="005A402A" w:rsidRPr="00362724">
        <w:rPr>
          <w:rStyle w:val="None"/>
          <w:rFonts w:ascii="MetaPro-Norm" w:hAnsi="MetaPro-Norm"/>
          <w:sz w:val="22"/>
          <w:szCs w:val="22"/>
        </w:rPr>
        <w:t xml:space="preserve">In some cases, </w:t>
      </w:r>
      <w:r w:rsidR="004B5E84">
        <w:rPr>
          <w:rFonts w:ascii="MetaPro-Norm" w:eastAsia="MetaPro-Norm" w:hAnsi="MetaPro-Norm" w:cs="MetaPro-Norm"/>
          <w:sz w:val="22"/>
          <w:szCs w:val="22"/>
        </w:rPr>
        <w:t>Azerbaijan</w:t>
      </w:r>
      <w:r w:rsidR="004B5E84" w:rsidRPr="00362724">
        <w:rPr>
          <w:rStyle w:val="None"/>
          <w:rFonts w:ascii="MetaPro-Norm" w:hAnsi="MetaPro-Norm"/>
          <w:sz w:val="22"/>
          <w:szCs w:val="22"/>
        </w:rPr>
        <w:t xml:space="preserve"> </w:t>
      </w:r>
      <w:r w:rsidR="005A402A" w:rsidRPr="00362724">
        <w:rPr>
          <w:rStyle w:val="None"/>
          <w:rFonts w:ascii="MetaPro-Norm" w:hAnsi="MetaPro-Norm"/>
          <w:sz w:val="22"/>
          <w:szCs w:val="22"/>
        </w:rPr>
        <w:t>military forces were positioned near schools during the fighting</w:t>
      </w:r>
      <w:r w:rsidR="00151FC3">
        <w:rPr>
          <w:rStyle w:val="None"/>
          <w:rFonts w:ascii="MetaPro-Norm" w:hAnsi="MetaPro-Norm"/>
          <w:sz w:val="22"/>
          <w:szCs w:val="22"/>
        </w:rPr>
        <w:t>, putting them at risk</w:t>
      </w:r>
      <w:r w:rsidR="005A402A" w:rsidRPr="00362724">
        <w:rPr>
          <w:rStyle w:val="None"/>
          <w:rFonts w:ascii="MetaPro-Norm" w:hAnsi="MetaPro-Norm"/>
          <w:sz w:val="22"/>
          <w:szCs w:val="22"/>
        </w:rPr>
        <w:t xml:space="preserve">. We identified </w:t>
      </w:r>
      <w:r w:rsidR="00040F46" w:rsidRPr="00362724">
        <w:rPr>
          <w:rFonts w:ascii="MetaPro-Norm" w:eastAsia="Times New Roman" w:hAnsi="MetaPro-Norm" w:cs="Calibri"/>
          <w:sz w:val="22"/>
          <w:szCs w:val="22"/>
        </w:rPr>
        <w:t xml:space="preserve">damage and destruction to scores of schools with mortars, heavy artillery shells, artillery rockets, and ballistic missiles, </w:t>
      </w:r>
      <w:r w:rsidR="00E0673A">
        <w:rPr>
          <w:rFonts w:ascii="MetaPro-Norm" w:eastAsia="Times New Roman" w:hAnsi="MetaPro-Norm" w:cs="Calibri"/>
          <w:sz w:val="22"/>
          <w:szCs w:val="22"/>
        </w:rPr>
        <w:t xml:space="preserve">from both sides, </w:t>
      </w:r>
      <w:r w:rsidR="00040F46" w:rsidRPr="00362724">
        <w:rPr>
          <w:rFonts w:ascii="MetaPro-Norm" w:eastAsia="Times New Roman" w:hAnsi="MetaPro-Norm" w:cs="Calibri"/>
          <w:sz w:val="22"/>
          <w:szCs w:val="22"/>
        </w:rPr>
        <w:t>underlining the need to limit the use of explosive weapons with wide-area effects</w:t>
      </w:r>
      <w:r w:rsidR="00151FC3">
        <w:rPr>
          <w:rFonts w:ascii="MetaPro-Norm" w:eastAsia="Times New Roman" w:hAnsi="MetaPro-Norm" w:cs="Calibri"/>
          <w:sz w:val="22"/>
          <w:szCs w:val="22"/>
        </w:rPr>
        <w:t xml:space="preserve"> in populated areas</w:t>
      </w:r>
      <w:r w:rsidR="00040F46" w:rsidRPr="00362724">
        <w:rPr>
          <w:rFonts w:ascii="MetaPro-Norm" w:eastAsia="Times New Roman" w:hAnsi="MetaPro-Norm" w:cs="Calibri"/>
          <w:sz w:val="22"/>
          <w:szCs w:val="22"/>
        </w:rPr>
        <w:t xml:space="preserve">. </w:t>
      </w:r>
    </w:p>
    <w:p w14:paraId="78C2854A" w14:textId="77777777" w:rsidR="00C45659" w:rsidRPr="00362724" w:rsidRDefault="00C45659" w:rsidP="00C45659">
      <w:pPr>
        <w:pStyle w:val="Body"/>
        <w:rPr>
          <w:rFonts w:ascii="MetaPro-Norm" w:eastAsia="MetaPro-Norm" w:hAnsi="MetaPro-Norm" w:cs="MetaPro-Norm"/>
          <w:sz w:val="22"/>
          <w:szCs w:val="22"/>
        </w:rPr>
      </w:pPr>
    </w:p>
    <w:p w14:paraId="2E11C692" w14:textId="56A90D53" w:rsidR="00C45659" w:rsidRDefault="00C45659" w:rsidP="00151FC3">
      <w:pPr>
        <w:pStyle w:val="Body"/>
        <w:rPr>
          <w:rFonts w:ascii="MetaPro-Norm" w:eastAsia="MetaPro-Norm" w:hAnsi="MetaPro-Norm" w:cs="MetaPro-Norm"/>
          <w:sz w:val="22"/>
          <w:szCs w:val="22"/>
        </w:rPr>
      </w:pPr>
      <w:r w:rsidRPr="00362724">
        <w:rPr>
          <w:rFonts w:ascii="MetaPro-Norm" w:eastAsia="MetaPro-Norm" w:hAnsi="MetaPro-Norm" w:cs="MetaPro-Norm"/>
          <w:sz w:val="22"/>
          <w:szCs w:val="22"/>
        </w:rPr>
        <w:t>The Safe Schools Declaration is an inter-governmental political commitment that provides countries the opportunity to express political support for the protection of students, teachers, and schools during times of armed conflict;</w:t>
      </w:r>
      <w:r w:rsidRPr="00362724">
        <w:rPr>
          <w:rFonts w:ascii="MetaPro-Norm" w:eastAsia="MetaPro-Norm" w:hAnsi="MetaPro-Norm" w:cs="MetaPro-Norm"/>
          <w:sz w:val="22"/>
          <w:szCs w:val="22"/>
          <w:vertAlign w:val="superscript"/>
        </w:rPr>
        <w:footnoteReference w:id="2"/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 the importance of the continuation of education during armed conflict; and the implementation of the </w:t>
      </w:r>
      <w:r w:rsidRPr="00362724">
        <w:rPr>
          <w:rFonts w:ascii="MetaPro-Norm" w:eastAsia="MetaPro-Norm" w:hAnsi="MetaPro-Norm" w:cs="MetaPro-Norm"/>
          <w:i/>
          <w:iCs/>
          <w:sz w:val="22"/>
          <w:szCs w:val="22"/>
        </w:rPr>
        <w:t>Guidelines for Protecting Schools and Universities from Military Use during Armed Conflict.</w:t>
      </w:r>
      <w:r w:rsidRPr="00362724">
        <w:rPr>
          <w:rFonts w:ascii="MetaPro-Norm" w:eastAsia="MetaPro-Norm" w:hAnsi="MetaPro-Norm" w:cs="MetaPro-Norm"/>
          <w:sz w:val="22"/>
          <w:szCs w:val="22"/>
          <w:vertAlign w:val="superscript"/>
        </w:rPr>
        <w:footnoteReference w:id="3"/>
      </w:r>
      <w:r w:rsidRPr="00362724">
        <w:rPr>
          <w:rFonts w:ascii="MetaPro-Norm" w:eastAsia="MetaPro-Norm" w:hAnsi="MetaPro-Norm" w:cs="MetaPro-Norm"/>
          <w:sz w:val="22"/>
          <w:szCs w:val="22"/>
        </w:rPr>
        <w:t xml:space="preserve"> </w:t>
      </w:r>
      <w:r w:rsidR="008063B0">
        <w:rPr>
          <w:rFonts w:ascii="MetaPro-Norm" w:eastAsia="MetaPro-Norm" w:hAnsi="MetaPro-Norm" w:cs="MetaPro-Norm"/>
          <w:sz w:val="22"/>
          <w:szCs w:val="22"/>
        </w:rPr>
        <w:t xml:space="preserve"> Azerbaijan has not endorsed the Safe Schools Declaration</w:t>
      </w:r>
    </w:p>
    <w:p w14:paraId="2E7111FA" w14:textId="77777777" w:rsidR="00151FC3" w:rsidRPr="00362724" w:rsidRDefault="00151FC3" w:rsidP="00151FC3">
      <w:pPr>
        <w:pStyle w:val="Body"/>
        <w:rPr>
          <w:rFonts w:ascii="MetaPro-Norm" w:eastAsia="MetaPro-Norm" w:hAnsi="MetaPro-Norm" w:cs="MetaPro-Norm"/>
          <w:sz w:val="22"/>
          <w:szCs w:val="22"/>
        </w:rPr>
      </w:pPr>
    </w:p>
    <w:p w14:paraId="7AFB9EE9" w14:textId="77777777" w:rsidR="00C45659" w:rsidRPr="00362724" w:rsidRDefault="00C45659" w:rsidP="00C45659">
      <w:pPr>
        <w:pStyle w:val="Body"/>
        <w:rPr>
          <w:rFonts w:ascii="MetaPro-Norm" w:eastAsia="MetaPro-Norm" w:hAnsi="MetaPro-Norm" w:cs="MetaPro-Norm"/>
          <w:i/>
          <w:iCs/>
          <w:sz w:val="22"/>
          <w:szCs w:val="22"/>
        </w:rPr>
      </w:pPr>
      <w:r w:rsidRPr="00362724">
        <w:rPr>
          <w:rFonts w:ascii="MetaPro-Norm" w:eastAsia="MetaPro-Norm" w:hAnsi="MetaPro-Norm" w:cs="MetaPro-Norm"/>
          <w:i/>
          <w:iCs/>
          <w:sz w:val="22"/>
          <w:szCs w:val="22"/>
        </w:rPr>
        <w:t>Human Rights Watch recommends that the Committee ask the government:</w:t>
      </w:r>
    </w:p>
    <w:p w14:paraId="220C429D" w14:textId="77777777" w:rsidR="00C45659" w:rsidRPr="00362724" w:rsidRDefault="00C45659" w:rsidP="00C45659">
      <w:pPr>
        <w:pStyle w:val="Body"/>
        <w:rPr>
          <w:rFonts w:ascii="MetaPro-Norm" w:eastAsia="MetaPro-Norm" w:hAnsi="MetaPro-Norm" w:cs="MetaPro-Norm"/>
          <w:i/>
          <w:iCs/>
          <w:sz w:val="22"/>
          <w:szCs w:val="22"/>
        </w:rPr>
      </w:pPr>
    </w:p>
    <w:p w14:paraId="4B643F26" w14:textId="4A8B2220" w:rsidR="00C45659" w:rsidRPr="00362724" w:rsidRDefault="008063B0" w:rsidP="00C45659">
      <w:pPr>
        <w:pStyle w:val="ListParagraph"/>
        <w:numPr>
          <w:ilvl w:val="0"/>
          <w:numId w:val="2"/>
        </w:numPr>
        <w:spacing w:after="0" w:line="240" w:lineRule="auto"/>
        <w:rPr>
          <w:rFonts w:ascii="MetaPro-Norm" w:eastAsia="MetaPro-Norm" w:hAnsi="MetaPro-Norm" w:cs="MetaPro-Norm"/>
        </w:rPr>
      </w:pPr>
      <w:r>
        <w:rPr>
          <w:rFonts w:ascii="MetaPro-Norm" w:eastAsia="MetaPro-Norm" w:hAnsi="MetaPro-Norm" w:cs="MetaPro-Norm"/>
        </w:rPr>
        <w:t xml:space="preserve">Is Azerbaijan considering endorsing </w:t>
      </w:r>
      <w:r w:rsidR="00C45659" w:rsidRPr="00362724">
        <w:rPr>
          <w:rFonts w:ascii="MetaPro-Norm" w:eastAsia="MetaPro-Norm" w:hAnsi="MetaPro-Norm" w:cs="MetaPro-Norm"/>
        </w:rPr>
        <w:t>the Safe Schools Declaration?</w:t>
      </w:r>
    </w:p>
    <w:p w14:paraId="5FD784E5" w14:textId="418EBBF2" w:rsidR="00C45659" w:rsidRPr="00362724" w:rsidRDefault="00C45659" w:rsidP="00C45659">
      <w:pPr>
        <w:pStyle w:val="ListParagraph"/>
        <w:numPr>
          <w:ilvl w:val="0"/>
          <w:numId w:val="2"/>
        </w:numPr>
        <w:rPr>
          <w:rFonts w:ascii="MetaPro-Norm" w:eastAsia="MetaPro-Norm" w:hAnsi="MetaPro-Norm" w:cs="MetaPro-Norm"/>
        </w:rPr>
      </w:pPr>
      <w:r w:rsidRPr="00362724">
        <w:rPr>
          <w:rFonts w:ascii="MetaPro-Norm" w:eastAsia="MetaPro-Norm" w:hAnsi="MetaPro-Norm" w:cs="MetaPro-Norm"/>
        </w:rPr>
        <w:t>Are explicit protections for schools or universities from military use included in any policies, rules, or trainings for A</w:t>
      </w:r>
      <w:r w:rsidR="00776FF2" w:rsidRPr="00362724">
        <w:rPr>
          <w:rFonts w:ascii="MetaPro-Norm" w:eastAsia="MetaPro-Norm" w:hAnsi="MetaPro-Norm" w:cs="MetaPro-Norm"/>
        </w:rPr>
        <w:t>zerbaijan</w:t>
      </w:r>
      <w:r w:rsidRPr="00362724">
        <w:rPr>
          <w:rFonts w:ascii="MetaPro-Norm" w:eastAsia="MetaPro-Norm" w:hAnsi="MetaPro-Norm" w:cs="MetaPro-Norm"/>
        </w:rPr>
        <w:t>’s armed forces?</w:t>
      </w:r>
    </w:p>
    <w:p w14:paraId="6A123B34" w14:textId="77777777" w:rsidR="00C45659" w:rsidRPr="00362724" w:rsidRDefault="00C45659" w:rsidP="00C45659">
      <w:pPr>
        <w:pStyle w:val="Default"/>
        <w:rPr>
          <w:rFonts w:ascii="MetaPro-Norm" w:eastAsia="MetaPro-Norm" w:hAnsi="MetaPro-Norm" w:cs="MetaPro-Norm"/>
          <w:i/>
          <w:iCs/>
          <w14:textOutline w14:w="0" w14:cap="flat" w14:cmpd="sng" w14:algn="ctr">
            <w14:noFill/>
            <w14:prstDash w14:val="solid"/>
            <w14:bevel/>
          </w14:textOutline>
        </w:rPr>
      </w:pPr>
      <w:r w:rsidRPr="00362724">
        <w:rPr>
          <w:rFonts w:ascii="MetaPro-Norm" w:eastAsia="MetaPro-Norm" w:hAnsi="MetaPro-Norm" w:cs="MetaPro-Norm"/>
          <w:i/>
          <w:iCs/>
          <w14:textOutline w14:w="0" w14:cap="flat" w14:cmpd="sng" w14:algn="ctr">
            <w14:noFill/>
            <w14:prstDash w14:val="solid"/>
            <w14:bevel/>
          </w14:textOutline>
        </w:rPr>
        <w:t>Human Rights Watch recommends that the Committee asks the government to:</w:t>
      </w:r>
    </w:p>
    <w:p w14:paraId="587616F3" w14:textId="77777777" w:rsidR="00C45659" w:rsidRPr="00362724" w:rsidRDefault="00C45659" w:rsidP="00C45659">
      <w:pPr>
        <w:pStyle w:val="Default"/>
        <w:ind w:left="720"/>
        <w:rPr>
          <w:rFonts w:ascii="MetaPro-Norm" w:eastAsia="MetaPro-Norm" w:hAnsi="MetaPro-Norm" w:cs="MetaPro-Norm"/>
        </w:rPr>
      </w:pPr>
    </w:p>
    <w:p w14:paraId="7672E791" w14:textId="67F2A057" w:rsidR="00776FF2" w:rsidRPr="00362724" w:rsidRDefault="00776FF2" w:rsidP="00776FF2">
      <w:pPr>
        <w:pStyle w:val="Body"/>
        <w:numPr>
          <w:ilvl w:val="0"/>
          <w:numId w:val="3"/>
        </w:numPr>
        <w:rPr>
          <w:rFonts w:ascii="MetaPro-Norm" w:eastAsia="MetaPro-Norm" w:hAnsi="MetaPro-Norm" w:cs="MetaPro-Norm"/>
          <w:sz w:val="22"/>
          <w:szCs w:val="22"/>
        </w:rPr>
      </w:pPr>
      <w:r w:rsidRPr="00362724">
        <w:rPr>
          <w:rFonts w:ascii="MetaPro-Norm" w:eastAsia="Times New Roman" w:hAnsi="MetaPro-Norm" w:cs="Calibri"/>
          <w:sz w:val="22"/>
          <w:szCs w:val="22"/>
        </w:rPr>
        <w:t>Investigate all instances where its forces positioned military targets near schools</w:t>
      </w:r>
      <w:r w:rsidR="00151FC3">
        <w:rPr>
          <w:rFonts w:ascii="MetaPro-Norm" w:eastAsia="Times New Roman" w:hAnsi="MetaPro-Norm" w:cs="Calibri"/>
          <w:sz w:val="22"/>
          <w:szCs w:val="22"/>
        </w:rPr>
        <w:t xml:space="preserve"> during the conflict in late 2020</w:t>
      </w:r>
      <w:r w:rsidRPr="00362724">
        <w:rPr>
          <w:rFonts w:ascii="MetaPro-Norm" w:eastAsia="Times New Roman" w:hAnsi="MetaPro-Norm" w:cs="Calibri"/>
          <w:sz w:val="22"/>
          <w:szCs w:val="22"/>
        </w:rPr>
        <w:t xml:space="preserve">. </w:t>
      </w:r>
    </w:p>
    <w:p w14:paraId="6F0819BB" w14:textId="77777777" w:rsidR="00AB77C0" w:rsidRPr="00AB77C0" w:rsidRDefault="00776FF2" w:rsidP="00AB77C0">
      <w:pPr>
        <w:pStyle w:val="Body"/>
        <w:numPr>
          <w:ilvl w:val="0"/>
          <w:numId w:val="3"/>
        </w:numPr>
        <w:rPr>
          <w:rFonts w:ascii="MetaPro-Norm" w:hAnsi="MetaPro-Norm"/>
        </w:rPr>
      </w:pPr>
      <w:r w:rsidRPr="00362724">
        <w:rPr>
          <w:rFonts w:ascii="MetaPro-Norm" w:eastAsia="Times New Roman" w:hAnsi="MetaPro-Norm"/>
          <w:sz w:val="22"/>
          <w:szCs w:val="22"/>
        </w:rPr>
        <w:t xml:space="preserve">Endorse the Safe Schools Declaration. </w:t>
      </w:r>
    </w:p>
    <w:p w14:paraId="4D0418D3" w14:textId="71B44977" w:rsidR="006906FC" w:rsidRPr="00AB77C0" w:rsidRDefault="00666627" w:rsidP="00AB77C0">
      <w:pPr>
        <w:pStyle w:val="Body"/>
        <w:numPr>
          <w:ilvl w:val="0"/>
          <w:numId w:val="3"/>
        </w:numPr>
        <w:rPr>
          <w:rFonts w:ascii="MetaPro-Norm" w:hAnsi="MetaPro-Norm"/>
        </w:rPr>
      </w:pPr>
      <w:r w:rsidRPr="00AB77C0">
        <w:rPr>
          <w:rFonts w:ascii="MetaPro-Norm" w:hAnsi="MetaPro-Norm"/>
          <w:sz w:val="22"/>
          <w:szCs w:val="22"/>
        </w:rPr>
        <w:t xml:space="preserve">Ensure that pupils deprived of </w:t>
      </w:r>
      <w:r w:rsidR="004B5E84">
        <w:rPr>
          <w:rFonts w:ascii="MetaPro-Norm" w:hAnsi="MetaPro-Norm"/>
          <w:sz w:val="22"/>
          <w:szCs w:val="22"/>
        </w:rPr>
        <w:t xml:space="preserve">access to </w:t>
      </w:r>
      <w:r w:rsidRPr="00AB77C0">
        <w:rPr>
          <w:rFonts w:ascii="MetaPro-Norm" w:hAnsi="MetaPro-Norm"/>
          <w:sz w:val="22"/>
          <w:szCs w:val="22"/>
        </w:rPr>
        <w:t xml:space="preserve">education facilities </w:t>
      </w:r>
      <w:proofErr w:type="gramStart"/>
      <w:r w:rsidRPr="00AB77C0">
        <w:rPr>
          <w:rFonts w:ascii="MetaPro-Norm" w:hAnsi="MetaPro-Norm"/>
          <w:sz w:val="22"/>
          <w:szCs w:val="22"/>
        </w:rPr>
        <w:t>as a result</w:t>
      </w:r>
      <w:proofErr w:type="gramEnd"/>
      <w:r w:rsidRPr="00AB77C0">
        <w:rPr>
          <w:rFonts w:ascii="MetaPro-Norm" w:hAnsi="MetaPro-Norm"/>
          <w:sz w:val="22"/>
          <w:szCs w:val="22"/>
        </w:rPr>
        <w:t xml:space="preserve"> of attacks, and </w:t>
      </w:r>
      <w:r w:rsidR="004B5E84">
        <w:rPr>
          <w:rFonts w:ascii="MetaPro-Norm" w:hAnsi="MetaPro-Norm"/>
          <w:sz w:val="22"/>
          <w:szCs w:val="22"/>
        </w:rPr>
        <w:t>because</w:t>
      </w:r>
      <w:r w:rsidRPr="00AB77C0">
        <w:rPr>
          <w:rFonts w:ascii="MetaPro-Norm" w:hAnsi="MetaPro-Norm"/>
          <w:sz w:val="22"/>
          <w:szCs w:val="22"/>
        </w:rPr>
        <w:t xml:space="preserve"> schools </w:t>
      </w:r>
      <w:r w:rsidR="004B5E84">
        <w:rPr>
          <w:rFonts w:ascii="MetaPro-Norm" w:hAnsi="MetaPro-Norm"/>
          <w:sz w:val="22"/>
          <w:szCs w:val="22"/>
        </w:rPr>
        <w:t xml:space="preserve">need </w:t>
      </w:r>
      <w:r w:rsidRPr="00AB77C0">
        <w:rPr>
          <w:rFonts w:ascii="MetaPro-Norm" w:hAnsi="MetaPro-Norm"/>
          <w:sz w:val="22"/>
          <w:szCs w:val="22"/>
        </w:rPr>
        <w:t>to be repaired, are promptly provided access to nearby alternative schools.</w:t>
      </w:r>
    </w:p>
    <w:p w14:paraId="7FB82881" w14:textId="77777777" w:rsidR="00EB0FEC" w:rsidRPr="00666627" w:rsidRDefault="00EB0FEC">
      <w:pPr>
        <w:rPr>
          <w:rFonts w:ascii="MetaPro-Norm" w:hAnsi="MetaPro-Norm"/>
          <w:lang w:val="en-GB"/>
        </w:rPr>
      </w:pPr>
    </w:p>
    <w:sectPr w:rsidR="00EB0FEC" w:rsidRPr="00666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AF968" w14:textId="77777777" w:rsidR="00A2139F" w:rsidRDefault="00A2139F" w:rsidP="00C45659">
      <w:r>
        <w:separator/>
      </w:r>
    </w:p>
  </w:endnote>
  <w:endnote w:type="continuationSeparator" w:id="0">
    <w:p w14:paraId="47D2F4D6" w14:textId="77777777" w:rsidR="00A2139F" w:rsidRDefault="00A2139F" w:rsidP="00C4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MetaPro-Norm">
    <w:altName w:val="Arial"/>
    <w:panose1 w:val="00000000000000000000"/>
    <w:charset w:val="00"/>
    <w:family w:val="swiss"/>
    <w:notTrueType/>
    <w:pitch w:val="variable"/>
    <w:sig w:usb0="00000001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C08EC" w14:textId="77777777" w:rsidR="00A2139F" w:rsidRDefault="00A2139F" w:rsidP="00C45659">
      <w:r>
        <w:separator/>
      </w:r>
    </w:p>
  </w:footnote>
  <w:footnote w:type="continuationSeparator" w:id="0">
    <w:p w14:paraId="322AB494" w14:textId="77777777" w:rsidR="00A2139F" w:rsidRDefault="00A2139F" w:rsidP="00C45659">
      <w:r>
        <w:continuationSeparator/>
      </w:r>
    </w:p>
  </w:footnote>
  <w:footnote w:id="1">
    <w:p w14:paraId="5C73E2FF" w14:textId="25EA2B1F" w:rsidR="00C45659" w:rsidRPr="00362724" w:rsidRDefault="00C45659" w:rsidP="00C45659">
      <w:pPr>
        <w:pStyle w:val="FootnoteText"/>
        <w:rPr>
          <w:rFonts w:ascii="MetaPro-Norm" w:eastAsia="MetaPro-Norm" w:hAnsi="MetaPro-Norm" w:cs="MetaPro-Norm"/>
          <w:sz w:val="16"/>
          <w:szCs w:val="16"/>
        </w:rPr>
      </w:pPr>
      <w:r w:rsidRPr="00362724">
        <w:rPr>
          <w:rFonts w:ascii="MetaPro-Norm" w:eastAsia="MetaPro-Norm" w:hAnsi="MetaPro-Norm" w:cs="MetaPro-Norm"/>
          <w:sz w:val="16"/>
          <w:szCs w:val="16"/>
          <w:vertAlign w:val="superscript"/>
        </w:rPr>
        <w:footnoteRef/>
      </w:r>
      <w:r w:rsidRPr="00362724">
        <w:rPr>
          <w:rFonts w:ascii="MetaPro-Norm" w:eastAsia="MetaPro-Norm" w:hAnsi="MetaPro-Norm" w:cs="MetaPro-Norm"/>
          <w:sz w:val="16"/>
          <w:szCs w:val="16"/>
        </w:rPr>
        <w:t xml:space="preserve"> </w:t>
      </w:r>
      <w:bookmarkStart w:id="2" w:name="_Hlk79422621"/>
      <w:r w:rsidR="00151FC3">
        <w:rPr>
          <w:rFonts w:ascii="MetaPro-Norm" w:eastAsia="MetaPro-Norm" w:hAnsi="MetaPro-Norm" w:cs="MetaPro-Norm"/>
          <w:sz w:val="16"/>
          <w:szCs w:val="16"/>
        </w:rPr>
        <w:t>Human Rights Watch, “Azerbaijan,”</w:t>
      </w:r>
      <w:r w:rsidRPr="00362724">
        <w:rPr>
          <w:rFonts w:ascii="MetaPro-Norm" w:eastAsia="MetaPro-Norm" w:hAnsi="MetaPro-Norm" w:cs="MetaPro-Norm"/>
          <w:sz w:val="16"/>
          <w:szCs w:val="16"/>
        </w:rPr>
        <w:t xml:space="preserve"> </w:t>
      </w:r>
      <w:hyperlink r:id="rId1" w:history="1">
        <w:r w:rsidRPr="00362724">
          <w:rPr>
            <w:rStyle w:val="Hyperlink1"/>
          </w:rPr>
          <w:t>https://www.hrw.org/europe/central-asia/azerbaijan</w:t>
        </w:r>
      </w:hyperlink>
      <w:r w:rsidRPr="00362724">
        <w:rPr>
          <w:rFonts w:ascii="MetaPro-Norm" w:eastAsia="MetaPro-Norm" w:hAnsi="MetaPro-Norm" w:cs="MetaPro-Norm"/>
          <w:sz w:val="16"/>
          <w:szCs w:val="16"/>
        </w:rPr>
        <w:t xml:space="preserve"> </w:t>
      </w:r>
    </w:p>
    <w:p w14:paraId="64D82EF8" w14:textId="55FB4AEF" w:rsidR="00C45659" w:rsidRPr="00362724" w:rsidRDefault="00151FC3" w:rsidP="00C45659">
      <w:pPr>
        <w:pStyle w:val="FootnoteText"/>
        <w:rPr>
          <w:rFonts w:ascii="MetaPro-Norm" w:hAnsi="MetaPro-Norm"/>
          <w:sz w:val="16"/>
          <w:szCs w:val="16"/>
        </w:rPr>
      </w:pPr>
      <w:r>
        <w:rPr>
          <w:rFonts w:ascii="MetaPro-Norm" w:eastAsia="MetaPro-Norm" w:hAnsi="MetaPro-Norm" w:cs="MetaPro-Norm"/>
          <w:sz w:val="16"/>
          <w:szCs w:val="16"/>
        </w:rPr>
        <w:t>Human Rights Watch, “Armenia,”</w:t>
      </w:r>
      <w:r w:rsidRPr="00362724">
        <w:rPr>
          <w:rFonts w:ascii="MetaPro-Norm" w:eastAsia="MetaPro-Norm" w:hAnsi="MetaPro-Norm" w:cs="MetaPro-Norm"/>
          <w:sz w:val="16"/>
          <w:szCs w:val="16"/>
        </w:rPr>
        <w:t xml:space="preserve"> </w:t>
      </w:r>
      <w:hyperlink r:id="rId2" w:history="1">
        <w:r w:rsidR="00C45659" w:rsidRPr="00362724">
          <w:rPr>
            <w:rStyle w:val="Hyperlink1"/>
          </w:rPr>
          <w:t>https://www.hrw.org/europe/central-asia/armenia</w:t>
        </w:r>
      </w:hyperlink>
      <w:bookmarkEnd w:id="2"/>
    </w:p>
  </w:footnote>
  <w:footnote w:id="2">
    <w:p w14:paraId="548ED43B" w14:textId="77777777" w:rsidR="00C45659" w:rsidRPr="00362724" w:rsidRDefault="00C45659" w:rsidP="00C45659">
      <w:pPr>
        <w:pStyle w:val="NoSpacing"/>
        <w:rPr>
          <w:rFonts w:ascii="MetaPro-Norm" w:hAnsi="MetaPro-Norm"/>
          <w:sz w:val="16"/>
          <w:szCs w:val="16"/>
        </w:rPr>
      </w:pPr>
      <w:r w:rsidRPr="00362724">
        <w:rPr>
          <w:rFonts w:ascii="MetaPro-Norm" w:eastAsia="MetaPro-Norm" w:hAnsi="MetaPro-Norm" w:cs="MetaPro-Norm"/>
          <w:sz w:val="16"/>
          <w:szCs w:val="16"/>
          <w:vertAlign w:val="superscript"/>
        </w:rPr>
        <w:footnoteRef/>
      </w:r>
      <w:r w:rsidRPr="00362724">
        <w:rPr>
          <w:rFonts w:ascii="MetaPro-Norm" w:eastAsia="MetaPro-Norm" w:hAnsi="MetaPro-Norm" w:cs="MetaPro-Norm"/>
          <w:sz w:val="16"/>
          <w:szCs w:val="16"/>
        </w:rPr>
        <w:t xml:space="preserve"> Safe Schools Declaration, May 28, 2015, </w:t>
      </w:r>
      <w:hyperlink r:id="rId3" w:history="1">
        <w:r w:rsidRPr="00362724">
          <w:rPr>
            <w:rStyle w:val="Hyperlink3"/>
          </w:rPr>
          <w:t>https://www.regjeringen.no/globalassets/departementene/ud/vedlegg/utvikling/safe_schools_declaration.pdf</w:t>
        </w:r>
      </w:hyperlink>
      <w:r w:rsidRPr="00362724">
        <w:rPr>
          <w:rFonts w:ascii="MetaPro-Norm" w:eastAsia="MetaPro-Norm" w:hAnsi="MetaPro-Norm" w:cs="MetaPro-Norm"/>
          <w:sz w:val="16"/>
          <w:szCs w:val="16"/>
        </w:rPr>
        <w:t xml:space="preserve"> (accessed January 23, 2020).</w:t>
      </w:r>
    </w:p>
  </w:footnote>
  <w:footnote w:id="3">
    <w:p w14:paraId="0670CA1B" w14:textId="77777777" w:rsidR="00C45659" w:rsidRPr="00362724" w:rsidRDefault="00C45659" w:rsidP="00C45659">
      <w:pPr>
        <w:pStyle w:val="NoSpacing"/>
        <w:rPr>
          <w:rFonts w:ascii="MetaPro-Norm" w:hAnsi="MetaPro-Norm"/>
          <w:sz w:val="16"/>
          <w:szCs w:val="16"/>
        </w:rPr>
      </w:pPr>
      <w:r w:rsidRPr="00362724">
        <w:rPr>
          <w:rFonts w:ascii="MetaPro-Norm" w:eastAsia="MetaPro-Norm" w:hAnsi="MetaPro-Norm" w:cs="MetaPro-Norm"/>
          <w:sz w:val="16"/>
          <w:szCs w:val="16"/>
          <w:vertAlign w:val="superscript"/>
        </w:rPr>
        <w:footnoteRef/>
      </w:r>
      <w:r w:rsidRPr="00362724">
        <w:rPr>
          <w:rFonts w:ascii="MetaPro-Norm" w:eastAsia="MetaPro-Norm" w:hAnsi="MetaPro-Norm" w:cs="MetaPro-Norm"/>
          <w:sz w:val="16"/>
          <w:szCs w:val="16"/>
        </w:rPr>
        <w:t xml:space="preserve"> Guidelines for Protecting Schools and Universities from Military Use during Armed Conflict, March 18, 2014, </w:t>
      </w:r>
      <w:hyperlink r:id="rId4" w:history="1">
        <w:r w:rsidRPr="00362724">
          <w:rPr>
            <w:rStyle w:val="Hyperlink3"/>
          </w:rPr>
          <w:t>http://protectingeducation.org/sites/default/files/documents/guidelines_en.pdf</w:t>
        </w:r>
      </w:hyperlink>
      <w:r w:rsidRPr="00362724">
        <w:rPr>
          <w:rFonts w:ascii="MetaPro-Norm" w:eastAsia="MetaPro-Norm" w:hAnsi="MetaPro-Norm" w:cs="MetaPro-Norm"/>
          <w:sz w:val="16"/>
          <w:szCs w:val="16"/>
        </w:rPr>
        <w:t xml:space="preserve"> (accessed January 23, 2020).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4FAB"/>
    <w:multiLevelType w:val="hybridMultilevel"/>
    <w:tmpl w:val="E6EA4542"/>
    <w:numStyleLink w:val="ImportedStyle4"/>
  </w:abstractNum>
  <w:abstractNum w:abstractNumId="1" w15:restartNumberingAfterBreak="0">
    <w:nsid w:val="35E26839"/>
    <w:multiLevelType w:val="hybridMultilevel"/>
    <w:tmpl w:val="D3E47180"/>
    <w:lvl w:ilvl="0" w:tplc="8F44B6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E37A2"/>
    <w:multiLevelType w:val="hybridMultilevel"/>
    <w:tmpl w:val="E6EA4542"/>
    <w:styleLink w:val="ImportedStyle4"/>
    <w:lvl w:ilvl="0" w:tplc="736C61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C4B9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9FAAB5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4EE47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0AAE8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702AA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4284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A837D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F6C06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B8F207F"/>
    <w:multiLevelType w:val="multilevel"/>
    <w:tmpl w:val="A5D8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659"/>
    <w:rsid w:val="00040F46"/>
    <w:rsid w:val="000D0ADD"/>
    <w:rsid w:val="00151FC3"/>
    <w:rsid w:val="001960EE"/>
    <w:rsid w:val="002E2C0B"/>
    <w:rsid w:val="00362724"/>
    <w:rsid w:val="003E0790"/>
    <w:rsid w:val="00446E99"/>
    <w:rsid w:val="00455236"/>
    <w:rsid w:val="00456FB7"/>
    <w:rsid w:val="0046073C"/>
    <w:rsid w:val="004B5E84"/>
    <w:rsid w:val="005900F3"/>
    <w:rsid w:val="005A402A"/>
    <w:rsid w:val="00666627"/>
    <w:rsid w:val="006906FC"/>
    <w:rsid w:val="00737F26"/>
    <w:rsid w:val="00764C77"/>
    <w:rsid w:val="00773433"/>
    <w:rsid w:val="00776FF2"/>
    <w:rsid w:val="008063B0"/>
    <w:rsid w:val="008B29BE"/>
    <w:rsid w:val="009D333F"/>
    <w:rsid w:val="00A2139F"/>
    <w:rsid w:val="00AA5006"/>
    <w:rsid w:val="00AB77C0"/>
    <w:rsid w:val="00BA1687"/>
    <w:rsid w:val="00C45659"/>
    <w:rsid w:val="00C7128C"/>
    <w:rsid w:val="00CB6BC2"/>
    <w:rsid w:val="00CF1705"/>
    <w:rsid w:val="00E0673A"/>
    <w:rsid w:val="00EB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A741A"/>
  <w15:chartTrackingRefBased/>
  <w15:docId w15:val="{F49F591F-538D-47B8-8D4F-6DCC55DC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C456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NoSpacing">
    <w:name w:val="No Spacing"/>
    <w:rsid w:val="00C45659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customStyle="1" w:styleId="Default">
    <w:name w:val="Default"/>
    <w:rsid w:val="00C456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FootnoteText">
    <w:name w:val="footnote text"/>
    <w:link w:val="FootnoteTextChar"/>
    <w:rsid w:val="00C456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45659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Hyperlink1">
    <w:name w:val="Hyperlink.1"/>
    <w:basedOn w:val="DefaultParagraphFont"/>
    <w:rsid w:val="00C45659"/>
    <w:rPr>
      <w:rFonts w:ascii="MetaPro-Norm" w:eastAsia="MetaPro-Norm" w:hAnsi="MetaPro-Norm" w:cs="MetaPro-Norm"/>
      <w:outline w:val="0"/>
      <w:color w:val="0000FF"/>
      <w:sz w:val="16"/>
      <w:szCs w:val="16"/>
      <w:u w:val="single" w:color="0000FF"/>
    </w:rPr>
  </w:style>
  <w:style w:type="paragraph" w:styleId="ListParagraph">
    <w:name w:val="List Paragraph"/>
    <w:rsid w:val="00C45659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Hyperlink2">
    <w:name w:val="Hyperlink.2"/>
    <w:basedOn w:val="DefaultParagraphFont"/>
    <w:rsid w:val="00C45659"/>
    <w:rPr>
      <w:rFonts w:ascii="MetaPro-Norm" w:eastAsia="MetaPro-Norm" w:hAnsi="MetaPro-Norm" w:cs="MetaPro-Norm"/>
      <w:outline w:val="0"/>
      <w:color w:val="0000FF"/>
      <w:sz w:val="22"/>
      <w:szCs w:val="22"/>
      <w:u w:val="single" w:color="0000FF"/>
    </w:rPr>
  </w:style>
  <w:style w:type="character" w:customStyle="1" w:styleId="Hyperlink3">
    <w:name w:val="Hyperlink.3"/>
    <w:basedOn w:val="DefaultParagraphFont"/>
    <w:rsid w:val="00C45659"/>
    <w:rPr>
      <w:rFonts w:ascii="MetaPro-Norm" w:eastAsia="MetaPro-Norm" w:hAnsi="MetaPro-Norm" w:cs="MetaPro-Norm"/>
      <w:outline w:val="0"/>
      <w:color w:val="000000"/>
      <w:sz w:val="16"/>
      <w:szCs w:val="16"/>
      <w:u w:val="single" w:color="000000"/>
    </w:rPr>
  </w:style>
  <w:style w:type="numbering" w:customStyle="1" w:styleId="ImportedStyle4">
    <w:name w:val="Imported Style 4"/>
    <w:rsid w:val="00C45659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FB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FB7"/>
    <w:rPr>
      <w:rFonts w:ascii="Times New Roman" w:hAnsi="Times New Roman" w:cs="Times New Roman"/>
      <w:sz w:val="18"/>
      <w:szCs w:val="18"/>
    </w:rPr>
  </w:style>
  <w:style w:type="paragraph" w:customStyle="1" w:styleId="BodyA">
    <w:name w:val="Body A"/>
    <w:rsid w:val="00040F4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040F46"/>
  </w:style>
  <w:style w:type="paragraph" w:customStyle="1" w:styleId="pf0">
    <w:name w:val="pf0"/>
    <w:basedOn w:val="Normal"/>
    <w:rsid w:val="008B29BE"/>
    <w:pPr>
      <w:spacing w:before="100" w:beforeAutospacing="1" w:after="100" w:afterAutospacing="1"/>
    </w:pPr>
  </w:style>
  <w:style w:type="character" w:customStyle="1" w:styleId="cf01">
    <w:name w:val="cf01"/>
    <w:basedOn w:val="DefaultParagraphFont"/>
    <w:rsid w:val="008B29B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8B29BE"/>
    <w:rPr>
      <w:rFonts w:ascii="Segoe UI" w:hAnsi="Segoe UI" w:cs="Segoe UI" w:hint="default"/>
      <w:color w:val="0000FF"/>
      <w:sz w:val="18"/>
      <w:szCs w:val="18"/>
      <w:u w:val="single"/>
    </w:rPr>
  </w:style>
  <w:style w:type="character" w:customStyle="1" w:styleId="cf21">
    <w:name w:val="cf21"/>
    <w:basedOn w:val="DefaultParagraphFont"/>
    <w:rsid w:val="008B29BE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6906F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906F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906F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906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06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06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6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6FC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960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sakhombuds.am/en/document/766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azernews.az/nation/17538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zernews.az/nation/175381.html" TargetMode="Externa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egjeringen.no/globalassets/departementene/ud/vedlegg/utvikling/safe_schools_declaration.pdf" TargetMode="External"/><Relationship Id="rId2" Type="http://schemas.openxmlformats.org/officeDocument/2006/relationships/hyperlink" Target="https://www.hrw.org/europe/central-asia/armenia" TargetMode="External"/><Relationship Id="rId1" Type="http://schemas.openxmlformats.org/officeDocument/2006/relationships/hyperlink" Target="https://www.hrw.org/europe/central-asia/azerbaijan" TargetMode="External"/><Relationship Id="rId4" Type="http://schemas.openxmlformats.org/officeDocument/2006/relationships/hyperlink" Target="http://protectingeducation.org/sites/default/files/documents/guidelines_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6E1733-A089-4FF4-90D1-08E4ED45EDE9}"/>
</file>

<file path=customXml/itemProps2.xml><?xml version="1.0" encoding="utf-8"?>
<ds:datastoreItem xmlns:ds="http://schemas.openxmlformats.org/officeDocument/2006/customXml" ds:itemID="{2DB94129-FBDB-4E2A-B834-88287328B25E}"/>
</file>

<file path=customXml/itemProps3.xml><?xml version="1.0" encoding="utf-8"?>
<ds:datastoreItem xmlns:ds="http://schemas.openxmlformats.org/officeDocument/2006/customXml" ds:itemID="{70E13D84-2A68-441E-A57D-C9AC1EBED2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Firth</dc:creator>
  <cp:keywords/>
  <dc:description/>
  <cp:lastModifiedBy>REYNAUD Céline</cp:lastModifiedBy>
  <cp:revision>2</cp:revision>
  <dcterms:created xsi:type="dcterms:W3CDTF">2021-08-25T09:57:00Z</dcterms:created>
  <dcterms:modified xsi:type="dcterms:W3CDTF">2021-08-25T09:57:00Z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