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674C3" w14:textId="77777777" w:rsidR="0040574B" w:rsidRPr="0040574B" w:rsidRDefault="0040574B" w:rsidP="563BF23E">
      <w:pPr>
        <w:spacing w:line="240" w:lineRule="auto"/>
        <w:jc w:val="center"/>
        <w:rPr>
          <w:rFonts w:ascii="Arial" w:eastAsia="Arial" w:hAnsi="Arial" w:cs="Arial"/>
          <w:sz w:val="26"/>
          <w:szCs w:val="26"/>
          <w:lang w:eastAsia="es-ES"/>
        </w:rPr>
      </w:pPr>
      <w:r w:rsidRPr="563BF23E">
        <w:rPr>
          <w:rFonts w:ascii="Arial" w:eastAsia="Arial" w:hAnsi="Arial" w:cs="Arial"/>
          <w:b/>
          <w:bCs/>
          <w:color w:val="000000"/>
          <w:sz w:val="26"/>
          <w:szCs w:val="26"/>
          <w:shd w:val="clear" w:color="auto" w:fill="FFFFFF"/>
          <w:lang w:eastAsia="es-ES"/>
        </w:rPr>
        <w:t>Presentación conjunta al Comité de los Derechos del Niño</w:t>
      </w:r>
    </w:p>
    <w:p w14:paraId="526B436A" w14:textId="77777777" w:rsidR="0040574B" w:rsidRPr="0040574B" w:rsidRDefault="0040574B" w:rsidP="563BF23E">
      <w:pPr>
        <w:spacing w:line="240" w:lineRule="auto"/>
        <w:jc w:val="center"/>
        <w:rPr>
          <w:rFonts w:ascii="Arial" w:eastAsia="Arial" w:hAnsi="Arial" w:cs="Arial"/>
          <w:sz w:val="26"/>
          <w:szCs w:val="26"/>
          <w:lang w:eastAsia="es-ES"/>
        </w:rPr>
      </w:pPr>
      <w:r w:rsidRPr="563BF23E">
        <w:rPr>
          <w:rFonts w:ascii="Arial" w:eastAsia="Arial" w:hAnsi="Arial" w:cs="Arial"/>
          <w:b/>
          <w:bCs/>
          <w:color w:val="000000"/>
          <w:sz w:val="26"/>
          <w:szCs w:val="26"/>
          <w:shd w:val="clear" w:color="auto" w:fill="FFFFFF"/>
          <w:lang w:eastAsia="es-ES"/>
        </w:rPr>
        <w:t>en el 99º Grupo de Trabajo previo al período de sesiones</w:t>
      </w:r>
    </w:p>
    <w:p w14:paraId="02C57EC4" w14:textId="252AC6CB" w:rsidR="563BF23E" w:rsidRDefault="563BF23E" w:rsidP="563BF23E">
      <w:pPr>
        <w:spacing w:line="240" w:lineRule="auto"/>
        <w:jc w:val="center"/>
        <w:rPr>
          <w:rFonts w:ascii="Arial" w:eastAsia="Arial" w:hAnsi="Arial" w:cs="Arial"/>
          <w:b/>
          <w:bCs/>
          <w:color w:val="000000" w:themeColor="text1"/>
          <w:sz w:val="26"/>
          <w:szCs w:val="26"/>
        </w:rPr>
      </w:pPr>
    </w:p>
    <w:p w14:paraId="5BF56026" w14:textId="77777777" w:rsidR="0040574B" w:rsidRPr="0040574B" w:rsidRDefault="0040574B" w:rsidP="563BF23E">
      <w:pPr>
        <w:spacing w:line="240" w:lineRule="auto"/>
        <w:jc w:val="both"/>
        <w:rPr>
          <w:rFonts w:ascii="Arial" w:eastAsia="Arial" w:hAnsi="Arial" w:cs="Arial"/>
          <w:lang w:eastAsia="es-ES"/>
        </w:rPr>
      </w:pPr>
      <w:r w:rsidRPr="563BF23E">
        <w:rPr>
          <w:rFonts w:ascii="Arial" w:eastAsia="Arial" w:hAnsi="Arial" w:cs="Arial"/>
          <w:color w:val="000000"/>
          <w:shd w:val="clear" w:color="auto" w:fill="FFFFFF"/>
          <w:lang w:eastAsia="es-ES"/>
        </w:rPr>
        <w:t>Alegaciones de la sociedad civil sobre el derecho de todos los niños y las niñas a ser inscritos inmediatamente después de su nacimiento, así como a adquirir una nacionalidad en virtud del artículo 7 de la Convención sobre los Derechos del Niño y la Niña de conformidad con los Principios Rectores de la Convención.</w:t>
      </w:r>
    </w:p>
    <w:p w14:paraId="329D26AC" w14:textId="77777777" w:rsidR="0040574B" w:rsidRPr="0040574B" w:rsidRDefault="0040574B" w:rsidP="563BF23E">
      <w:pPr>
        <w:spacing w:line="240" w:lineRule="auto"/>
        <w:jc w:val="right"/>
        <w:rPr>
          <w:rFonts w:ascii="Arial" w:eastAsia="Arial" w:hAnsi="Arial" w:cs="Arial"/>
          <w:lang w:eastAsia="es-ES"/>
        </w:rPr>
      </w:pPr>
      <w:r w:rsidRPr="563BF23E">
        <w:rPr>
          <w:rFonts w:ascii="Arial" w:eastAsia="Arial" w:hAnsi="Arial" w:cs="Arial"/>
          <w:b/>
          <w:bCs/>
          <w:color w:val="000000"/>
          <w:shd w:val="clear" w:color="auto" w:fill="FFFFFF"/>
          <w:lang w:eastAsia="es-ES"/>
        </w:rPr>
        <w:t>España</w:t>
      </w:r>
    </w:p>
    <w:p w14:paraId="218C1D73" w14:textId="77777777" w:rsidR="0040574B" w:rsidRPr="0040574B" w:rsidRDefault="0040574B" w:rsidP="563BF23E">
      <w:pPr>
        <w:spacing w:line="240" w:lineRule="auto"/>
        <w:jc w:val="both"/>
        <w:rPr>
          <w:rFonts w:ascii="Arial" w:eastAsia="Arial" w:hAnsi="Arial" w:cs="Arial"/>
          <w:lang w:eastAsia="es-ES"/>
        </w:rPr>
      </w:pPr>
      <w:r w:rsidRPr="563BF23E">
        <w:rPr>
          <w:rFonts w:ascii="Arial" w:eastAsia="Arial" w:hAnsi="Arial" w:cs="Arial"/>
          <w:b/>
          <w:bCs/>
          <w:color w:val="000000"/>
          <w:shd w:val="clear" w:color="auto" w:fill="FFFFFF"/>
          <w:lang w:eastAsia="es-ES"/>
        </w:rPr>
        <w:t>Introducción</w:t>
      </w:r>
    </w:p>
    <w:p w14:paraId="3A7A91C3" w14:textId="5AC34CBB" w:rsidR="0040574B" w:rsidRPr="0040574B" w:rsidRDefault="001E2373" w:rsidP="563BF23E">
      <w:pPr>
        <w:spacing w:line="240" w:lineRule="auto"/>
        <w:jc w:val="both"/>
        <w:rPr>
          <w:rFonts w:ascii="Arial" w:eastAsia="Arial" w:hAnsi="Arial" w:cs="Arial"/>
          <w:lang w:eastAsia="es-ES"/>
        </w:rPr>
      </w:pPr>
      <w:r>
        <w:rPr>
          <w:rFonts w:ascii="Arial" w:eastAsia="Arial" w:hAnsi="Arial" w:cs="Arial"/>
          <w:color w:val="000000"/>
          <w:shd w:val="clear" w:color="auto" w:fill="FFFFFF"/>
          <w:lang w:eastAsia="es-ES"/>
        </w:rPr>
        <w:t xml:space="preserve">Convive Fundación </w:t>
      </w:r>
      <w:proofErr w:type="spellStart"/>
      <w:r>
        <w:rPr>
          <w:rFonts w:ascii="Arial" w:eastAsia="Arial" w:hAnsi="Arial" w:cs="Arial"/>
          <w:color w:val="000000"/>
          <w:shd w:val="clear" w:color="auto" w:fill="FFFFFF"/>
          <w:lang w:eastAsia="es-ES"/>
        </w:rPr>
        <w:t>Cepaim</w:t>
      </w:r>
      <w:proofErr w:type="spellEnd"/>
      <w:r>
        <w:rPr>
          <w:rFonts w:ascii="Arial" w:eastAsia="Arial" w:hAnsi="Arial" w:cs="Arial"/>
          <w:color w:val="000000"/>
          <w:shd w:val="clear" w:color="auto" w:fill="FFFFFF"/>
          <w:lang w:eastAsia="es-ES"/>
        </w:rPr>
        <w:t xml:space="preserve">, la </w:t>
      </w:r>
      <w:proofErr w:type="spellStart"/>
      <w:r>
        <w:rPr>
          <w:rFonts w:ascii="Arial" w:eastAsia="Arial" w:hAnsi="Arial" w:cs="Arial"/>
          <w:color w:val="000000"/>
          <w:shd w:val="clear" w:color="auto" w:fill="FFFFFF"/>
          <w:lang w:eastAsia="es-ES"/>
        </w:rPr>
        <w:t>European</w:t>
      </w:r>
      <w:proofErr w:type="spellEnd"/>
      <w:r>
        <w:rPr>
          <w:rFonts w:ascii="Arial" w:eastAsia="Arial" w:hAnsi="Arial" w:cs="Arial"/>
          <w:color w:val="000000"/>
          <w:shd w:val="clear" w:color="auto" w:fill="FFFFFF"/>
          <w:lang w:eastAsia="es-ES"/>
        </w:rPr>
        <w:t xml:space="preserve"> Network </w:t>
      </w:r>
      <w:proofErr w:type="spellStart"/>
      <w:r>
        <w:rPr>
          <w:rFonts w:ascii="Arial" w:eastAsia="Arial" w:hAnsi="Arial" w:cs="Arial"/>
          <w:color w:val="000000"/>
          <w:shd w:val="clear" w:color="auto" w:fill="FFFFFF"/>
          <w:lang w:eastAsia="es-ES"/>
        </w:rPr>
        <w:t>on</w:t>
      </w:r>
      <w:proofErr w:type="spellEnd"/>
      <w:r>
        <w:rPr>
          <w:rFonts w:ascii="Arial" w:eastAsia="Arial" w:hAnsi="Arial" w:cs="Arial"/>
          <w:color w:val="000000"/>
          <w:shd w:val="clear" w:color="auto" w:fill="FFFFFF"/>
          <w:lang w:eastAsia="es-ES"/>
        </w:rPr>
        <w:t xml:space="preserve"> </w:t>
      </w:r>
      <w:proofErr w:type="spellStart"/>
      <w:r>
        <w:rPr>
          <w:rFonts w:ascii="Arial" w:eastAsia="Arial" w:hAnsi="Arial" w:cs="Arial"/>
          <w:color w:val="000000"/>
          <w:shd w:val="clear" w:color="auto" w:fill="FFFFFF"/>
          <w:lang w:eastAsia="es-ES"/>
        </w:rPr>
        <w:t>Statelessness</w:t>
      </w:r>
      <w:proofErr w:type="spellEnd"/>
      <w:r>
        <w:rPr>
          <w:rFonts w:ascii="Arial" w:eastAsia="Arial" w:hAnsi="Arial" w:cs="Arial"/>
          <w:color w:val="000000"/>
          <w:shd w:val="clear" w:color="auto" w:fill="FFFFFF"/>
          <w:lang w:eastAsia="es-ES"/>
        </w:rPr>
        <w:t xml:space="preserve"> y Red Acoge a</w:t>
      </w:r>
      <w:r w:rsidR="0040574B" w:rsidRPr="563BF23E">
        <w:rPr>
          <w:rFonts w:ascii="Arial" w:eastAsia="Arial" w:hAnsi="Arial" w:cs="Arial"/>
          <w:color w:val="000000"/>
          <w:shd w:val="clear" w:color="auto" w:fill="FFFFFF"/>
          <w:lang w:eastAsia="es-ES"/>
        </w:rPr>
        <w:t>gradecen la oportunidad de presentar esta comunicación al Comité de los Derechos del Niño (en adelante, el Comité) en relación con el cumplimiento por España del derecho de todo niño a ser inscrito inmediatamente después de su nacimiento así como a adquirir una nacionalidad en virtud del artículo 7 de la Convención sobre los Derechos del Niño (en adelante, la CDN), todo ello en relación con los principios de no discriminación (artículo 2) y en el interés superior del menor (artículo 3).</w:t>
      </w:r>
    </w:p>
    <w:p w14:paraId="462165D6" w14:textId="4B0B2B78" w:rsidR="0040574B" w:rsidRPr="0040574B" w:rsidRDefault="0040574B" w:rsidP="563BF23E">
      <w:pPr>
        <w:spacing w:line="240" w:lineRule="auto"/>
        <w:jc w:val="both"/>
        <w:rPr>
          <w:rFonts w:ascii="Arial" w:eastAsia="Arial" w:hAnsi="Arial" w:cs="Arial"/>
          <w:lang w:eastAsia="es-ES"/>
        </w:rPr>
      </w:pPr>
      <w:r w:rsidRPr="563BF23E">
        <w:rPr>
          <w:rFonts w:ascii="Arial" w:eastAsia="Arial" w:hAnsi="Arial" w:cs="Arial"/>
          <w:color w:val="000000"/>
          <w:shd w:val="clear" w:color="auto" w:fill="FFFFFF"/>
          <w:lang w:eastAsia="es-ES"/>
        </w:rPr>
        <w:t>Esta alegación  temática se basa en la experiencia y los considerables esfuerzos de las organizaciones aquí firmante</w:t>
      </w:r>
      <w:r w:rsidR="006B3C82">
        <w:rPr>
          <w:rFonts w:ascii="Arial" w:eastAsia="Arial" w:hAnsi="Arial" w:cs="Arial"/>
          <w:color w:val="000000"/>
          <w:shd w:val="clear" w:color="auto" w:fill="FFFFFF"/>
          <w:lang w:eastAsia="es-ES"/>
        </w:rPr>
        <w:t>s</w:t>
      </w:r>
      <w:r w:rsidRPr="563BF23E">
        <w:rPr>
          <w:rFonts w:ascii="Arial" w:eastAsia="Arial" w:hAnsi="Arial" w:cs="Arial"/>
          <w:color w:val="000000"/>
          <w:shd w:val="clear" w:color="auto" w:fill="FFFFFF"/>
          <w:lang w:eastAsia="es-ES"/>
        </w:rPr>
        <w:t xml:space="preserve"> para abordar la cuestión de la apatridia y el efectivo derecho de todos los niños y niñas a adquirir una nacionalidad en España.</w:t>
      </w:r>
    </w:p>
    <w:p w14:paraId="01CDAC5D" w14:textId="77777777" w:rsidR="0040574B" w:rsidRPr="0040574B" w:rsidRDefault="0040574B" w:rsidP="563BF23E">
      <w:pPr>
        <w:spacing w:line="240" w:lineRule="auto"/>
        <w:jc w:val="both"/>
        <w:rPr>
          <w:rFonts w:ascii="Arial" w:eastAsia="Arial" w:hAnsi="Arial" w:cs="Arial"/>
          <w:lang w:eastAsia="es-ES"/>
        </w:rPr>
      </w:pPr>
      <w:r w:rsidRPr="563BF23E">
        <w:rPr>
          <w:rFonts w:ascii="Arial" w:eastAsia="Arial" w:hAnsi="Arial" w:cs="Arial"/>
          <w:color w:val="000000"/>
          <w:shd w:val="clear" w:color="auto" w:fill="FFFFFF"/>
          <w:lang w:eastAsia="es-ES"/>
        </w:rPr>
        <w:t>La presentación se centra en:</w:t>
      </w:r>
    </w:p>
    <w:p w14:paraId="32B27903" w14:textId="391DFF94" w:rsidR="0040574B" w:rsidRPr="0040574B" w:rsidRDefault="0040574B" w:rsidP="563BF23E">
      <w:pPr>
        <w:pStyle w:val="ListParagraph"/>
        <w:numPr>
          <w:ilvl w:val="0"/>
          <w:numId w:val="11"/>
        </w:numPr>
        <w:spacing w:line="240" w:lineRule="auto"/>
        <w:jc w:val="both"/>
        <w:rPr>
          <w:rFonts w:ascii="Arial" w:eastAsia="Arial" w:hAnsi="Arial" w:cs="Arial"/>
        </w:rPr>
      </w:pPr>
      <w:r w:rsidRPr="563BF23E">
        <w:rPr>
          <w:rFonts w:ascii="Arial" w:eastAsia="Arial" w:hAnsi="Arial" w:cs="Arial"/>
          <w:color w:val="000000"/>
          <w:shd w:val="clear" w:color="auto" w:fill="FFFFFF"/>
          <w:lang w:eastAsia="es-ES"/>
        </w:rPr>
        <w:t>Inexistencia un procedimiento facilitado para la naturalización de menores apátridas no nacidos en España.</w:t>
      </w:r>
    </w:p>
    <w:p w14:paraId="775B6F2C" w14:textId="29E4ED06" w:rsidR="0040574B" w:rsidRPr="0040574B" w:rsidRDefault="0040574B" w:rsidP="563BF23E">
      <w:pPr>
        <w:pStyle w:val="ListParagraph"/>
        <w:spacing w:line="240" w:lineRule="auto"/>
        <w:jc w:val="both"/>
        <w:rPr>
          <w:rFonts w:ascii="Arial" w:eastAsia="Arial" w:hAnsi="Arial" w:cs="Arial"/>
        </w:rPr>
      </w:pPr>
    </w:p>
    <w:p w14:paraId="1ECF3C3F" w14:textId="5E7333D5" w:rsidR="0040574B" w:rsidRPr="0040574B" w:rsidRDefault="0040574B" w:rsidP="563BF23E">
      <w:pPr>
        <w:pStyle w:val="ListParagraph"/>
        <w:numPr>
          <w:ilvl w:val="0"/>
          <w:numId w:val="11"/>
        </w:numPr>
        <w:spacing w:line="240" w:lineRule="auto"/>
        <w:jc w:val="both"/>
        <w:rPr>
          <w:rFonts w:ascii="Arial" w:eastAsia="Arial" w:hAnsi="Arial" w:cs="Arial"/>
        </w:rPr>
      </w:pPr>
      <w:r w:rsidRPr="563BF23E">
        <w:rPr>
          <w:rFonts w:ascii="Arial" w:eastAsia="Arial" w:hAnsi="Arial" w:cs="Arial"/>
          <w:color w:val="000000"/>
          <w:shd w:val="clear" w:color="auto" w:fill="FFFFFF"/>
          <w:lang w:eastAsia="es-ES"/>
        </w:rPr>
        <w:t>Reforma de la Ley del Registro Civil de España: mejora del reconocimiento jurídico y la protección de la inscripción de nacimientos de menores nacidos en tránsito</w:t>
      </w:r>
      <w:r w:rsidR="43E86730" w:rsidRPr="563BF23E">
        <w:rPr>
          <w:rFonts w:ascii="Arial" w:eastAsia="Arial" w:hAnsi="Arial" w:cs="Arial"/>
          <w:color w:val="000000"/>
          <w:shd w:val="clear" w:color="auto" w:fill="FFFFFF"/>
          <w:lang w:eastAsia="es-ES"/>
        </w:rPr>
        <w:t>.</w:t>
      </w:r>
    </w:p>
    <w:p w14:paraId="190C1439" w14:textId="44076180" w:rsidR="0040574B" w:rsidRPr="0040574B" w:rsidRDefault="0040574B" w:rsidP="563BF23E">
      <w:pPr>
        <w:pStyle w:val="ListParagraph"/>
        <w:spacing w:line="240" w:lineRule="auto"/>
        <w:jc w:val="both"/>
        <w:rPr>
          <w:rFonts w:ascii="Arial" w:eastAsia="Arial" w:hAnsi="Arial" w:cs="Arial"/>
        </w:rPr>
      </w:pPr>
    </w:p>
    <w:p w14:paraId="6C007FD7" w14:textId="77777777" w:rsidR="0040574B" w:rsidRPr="0040574B" w:rsidRDefault="0040574B" w:rsidP="563BF23E">
      <w:pPr>
        <w:pStyle w:val="ListParagraph"/>
        <w:numPr>
          <w:ilvl w:val="0"/>
          <w:numId w:val="11"/>
        </w:numPr>
        <w:spacing w:line="240" w:lineRule="auto"/>
        <w:jc w:val="both"/>
        <w:rPr>
          <w:rFonts w:ascii="Arial" w:eastAsia="Arial" w:hAnsi="Arial" w:cs="Arial"/>
        </w:rPr>
      </w:pPr>
      <w:r w:rsidRPr="563BF23E">
        <w:rPr>
          <w:rFonts w:ascii="Arial" w:eastAsia="Arial" w:hAnsi="Arial" w:cs="Arial"/>
          <w:color w:val="000000"/>
          <w:shd w:val="clear" w:color="auto" w:fill="FFFFFF"/>
          <w:lang w:eastAsia="es-ES"/>
        </w:rPr>
        <w:t>Adaptación del procedimiento de determinación de apatridia en el caso de solicitantes menores de edad.</w:t>
      </w:r>
    </w:p>
    <w:p w14:paraId="162015EF" w14:textId="44AEDB21" w:rsidR="0040574B" w:rsidRPr="0040574B" w:rsidRDefault="0040574B" w:rsidP="563BF23E">
      <w:pPr>
        <w:pStyle w:val="ListParagraph"/>
        <w:spacing w:line="240" w:lineRule="auto"/>
        <w:jc w:val="both"/>
        <w:rPr>
          <w:rFonts w:ascii="Arial" w:eastAsia="Arial" w:hAnsi="Arial" w:cs="Arial"/>
        </w:rPr>
      </w:pPr>
    </w:p>
    <w:p w14:paraId="30F58A67" w14:textId="77777777" w:rsidR="0040574B" w:rsidRPr="0040574B" w:rsidRDefault="0040574B" w:rsidP="563BF23E">
      <w:pPr>
        <w:pStyle w:val="ListParagraph"/>
        <w:numPr>
          <w:ilvl w:val="0"/>
          <w:numId w:val="11"/>
        </w:numPr>
        <w:spacing w:line="240" w:lineRule="auto"/>
        <w:jc w:val="both"/>
        <w:rPr>
          <w:rFonts w:ascii="Arial" w:eastAsia="Arial" w:hAnsi="Arial" w:cs="Arial"/>
          <w:lang w:eastAsia="es-ES"/>
        </w:rPr>
      </w:pPr>
      <w:r w:rsidRPr="563BF23E">
        <w:rPr>
          <w:rFonts w:ascii="Arial" w:eastAsia="Arial" w:hAnsi="Arial" w:cs="Arial"/>
          <w:color w:val="000000"/>
          <w:shd w:val="clear" w:color="auto" w:fill="FFFFFF"/>
          <w:lang w:eastAsia="es-ES"/>
        </w:rPr>
        <w:t>Falta de transparencia y de datos fiables sobre la apatridia infantil.</w:t>
      </w:r>
    </w:p>
    <w:p w14:paraId="0932F660" w14:textId="61CF5C4D" w:rsidR="0040574B" w:rsidRPr="0040574B" w:rsidRDefault="0040574B" w:rsidP="563BF23E">
      <w:pPr>
        <w:spacing w:line="240" w:lineRule="auto"/>
        <w:jc w:val="both"/>
        <w:rPr>
          <w:rFonts w:ascii="Arial" w:eastAsia="Arial" w:hAnsi="Arial" w:cs="Arial"/>
          <w:lang w:eastAsia="es-ES"/>
        </w:rPr>
      </w:pPr>
      <w:r w:rsidRPr="563BF23E">
        <w:rPr>
          <w:rFonts w:ascii="Arial" w:eastAsia="Arial" w:hAnsi="Arial" w:cs="Arial"/>
          <w:color w:val="000000"/>
          <w:shd w:val="clear" w:color="auto" w:fill="FFFFFF"/>
          <w:lang w:eastAsia="es-ES"/>
        </w:rPr>
        <w:t>En el anexo I de la presente comunicación figuran las recomendaciones anteriores a España sobre el derecho del niño a una nacionalidad, para facilitar la consulta del</w:t>
      </w:r>
      <w:r w:rsidR="21C27372" w:rsidRPr="563BF23E">
        <w:rPr>
          <w:rFonts w:ascii="Arial" w:eastAsia="Arial" w:hAnsi="Arial" w:cs="Arial"/>
          <w:color w:val="000000"/>
          <w:shd w:val="clear" w:color="auto" w:fill="FFFFFF"/>
          <w:lang w:eastAsia="es-ES"/>
        </w:rPr>
        <w:t xml:space="preserve"> </w:t>
      </w:r>
      <w:r w:rsidRPr="563BF23E">
        <w:rPr>
          <w:rFonts w:ascii="Arial" w:eastAsia="Arial" w:hAnsi="Arial" w:cs="Arial"/>
          <w:color w:val="000000"/>
          <w:shd w:val="clear" w:color="auto" w:fill="FFFFFF"/>
          <w:lang w:eastAsia="es-ES"/>
        </w:rPr>
        <w:t>Comité. En el anexo II se destaca la información relacionada con la nacionalidad y la apatridia que figura en la LOIPR. El anexo III incluye información sobre las organizaciones coautoras.</w:t>
      </w:r>
    </w:p>
    <w:p w14:paraId="7C0424D1" w14:textId="44B961FC" w:rsidR="0040574B" w:rsidRPr="0040574B" w:rsidRDefault="0040574B" w:rsidP="563BF23E">
      <w:pPr>
        <w:spacing w:line="240" w:lineRule="auto"/>
        <w:jc w:val="both"/>
        <w:rPr>
          <w:rFonts w:ascii="Arial" w:eastAsia="Arial" w:hAnsi="Arial" w:cs="Arial"/>
          <w:lang w:eastAsia="es-ES"/>
        </w:rPr>
      </w:pPr>
      <w:r w:rsidRPr="563BF23E">
        <w:rPr>
          <w:rFonts w:ascii="Arial" w:eastAsia="Arial" w:hAnsi="Arial" w:cs="Arial"/>
          <w:color w:val="000000"/>
          <w:shd w:val="clear" w:color="auto" w:fill="FFFFFF"/>
          <w:lang w:eastAsia="es-ES"/>
        </w:rPr>
        <w:t xml:space="preserve">Las organizaciones aquí firmantes expresan su deseo de que estas alegaciones sirvan al mejor desarrollo del proceso de diálogo interactivo con el Estado parte y así como de la redacción de sus Observaciones Finales al Gobierno de España por este Comité en lo referente de la realización del derecho de todos los niños y las niñas a adquirir una nacionalidad, lo que incluye </w:t>
      </w:r>
      <w:r w:rsidR="006B3C82">
        <w:rPr>
          <w:rFonts w:ascii="Arial" w:eastAsia="Arial" w:hAnsi="Arial" w:cs="Arial"/>
          <w:color w:val="000000"/>
          <w:shd w:val="clear" w:color="auto" w:fill="FFFFFF"/>
          <w:lang w:eastAsia="es-ES"/>
        </w:rPr>
        <w:t>l</w:t>
      </w:r>
      <w:r w:rsidRPr="563BF23E">
        <w:rPr>
          <w:rFonts w:ascii="Arial" w:eastAsia="Arial" w:hAnsi="Arial" w:cs="Arial"/>
          <w:color w:val="000000"/>
          <w:shd w:val="clear" w:color="auto" w:fill="FFFFFF"/>
          <w:lang w:eastAsia="es-ES"/>
        </w:rPr>
        <w:t xml:space="preserve">a propuesta de recomendaciones, que pueden ser utilizadas por el Comité </w:t>
      </w:r>
      <w:r w:rsidR="006B3C82">
        <w:rPr>
          <w:rFonts w:ascii="Arial" w:eastAsia="Arial" w:hAnsi="Arial" w:cs="Arial"/>
          <w:color w:val="000000"/>
          <w:shd w:val="clear" w:color="auto" w:fill="FFFFFF"/>
          <w:lang w:eastAsia="es-ES"/>
        </w:rPr>
        <w:t xml:space="preserve">para </w:t>
      </w:r>
      <w:r w:rsidRPr="563BF23E">
        <w:rPr>
          <w:rFonts w:ascii="Arial" w:eastAsia="Arial" w:hAnsi="Arial" w:cs="Arial"/>
          <w:color w:val="000000"/>
          <w:shd w:val="clear" w:color="auto" w:fill="FFFFFF"/>
          <w:lang w:eastAsia="es-ES"/>
        </w:rPr>
        <w:t>formula</w:t>
      </w:r>
      <w:r w:rsidR="006B3C82">
        <w:rPr>
          <w:rFonts w:ascii="Arial" w:eastAsia="Arial" w:hAnsi="Arial" w:cs="Arial"/>
          <w:color w:val="000000"/>
          <w:shd w:val="clear" w:color="auto" w:fill="FFFFFF"/>
          <w:lang w:eastAsia="es-ES"/>
        </w:rPr>
        <w:t>r</w:t>
      </w:r>
      <w:r w:rsidRPr="563BF23E">
        <w:rPr>
          <w:rFonts w:ascii="Arial" w:eastAsia="Arial" w:hAnsi="Arial" w:cs="Arial"/>
          <w:color w:val="000000"/>
          <w:shd w:val="clear" w:color="auto" w:fill="FFFFFF"/>
          <w:lang w:eastAsia="es-ES"/>
        </w:rPr>
        <w:t xml:space="preserve"> de sus Observaciones Finales.</w:t>
      </w:r>
    </w:p>
    <w:p w14:paraId="7B47C143" w14:textId="77777777" w:rsidR="0040574B" w:rsidRPr="0040574B" w:rsidRDefault="0040574B" w:rsidP="563BF23E">
      <w:pPr>
        <w:spacing w:line="240" w:lineRule="auto"/>
        <w:jc w:val="both"/>
        <w:rPr>
          <w:rFonts w:ascii="Arial" w:eastAsia="Arial" w:hAnsi="Arial" w:cs="Arial"/>
          <w:lang w:eastAsia="es-ES"/>
        </w:rPr>
      </w:pPr>
      <w:r w:rsidRPr="563BF23E">
        <w:rPr>
          <w:rFonts w:ascii="Arial" w:eastAsia="Arial" w:hAnsi="Arial" w:cs="Arial"/>
          <w:b/>
          <w:bCs/>
          <w:color w:val="000000"/>
          <w:shd w:val="clear" w:color="auto" w:fill="FFFFFF"/>
          <w:lang w:eastAsia="es-ES"/>
        </w:rPr>
        <w:t>Panorama de la apatridia infantil en España</w:t>
      </w:r>
    </w:p>
    <w:p w14:paraId="5E1C1920" w14:textId="392663AA" w:rsidR="0040574B" w:rsidRPr="0040574B" w:rsidRDefault="0040574B" w:rsidP="563BF23E">
      <w:pPr>
        <w:spacing w:line="240" w:lineRule="auto"/>
        <w:jc w:val="both"/>
        <w:rPr>
          <w:rFonts w:ascii="Arial" w:eastAsia="Arial" w:hAnsi="Arial" w:cs="Arial"/>
        </w:rPr>
      </w:pPr>
      <w:r w:rsidRPr="563BF23E">
        <w:rPr>
          <w:rFonts w:ascii="Arial" w:eastAsia="Arial" w:hAnsi="Arial" w:cs="Arial"/>
          <w:color w:val="000000"/>
          <w:shd w:val="clear" w:color="auto" w:fill="FFFFFF"/>
          <w:lang w:eastAsia="es-ES"/>
        </w:rPr>
        <w:t xml:space="preserve">España es parte de las principales convenciones en materia de apatridia, habiendo accedido a la Convención sobre el Estatuto de los </w:t>
      </w:r>
      <w:r w:rsidR="006B3C82">
        <w:rPr>
          <w:rFonts w:ascii="Arial" w:eastAsia="Arial" w:hAnsi="Arial" w:cs="Arial"/>
          <w:color w:val="000000"/>
          <w:shd w:val="clear" w:color="auto" w:fill="FFFFFF"/>
          <w:lang w:eastAsia="es-ES"/>
        </w:rPr>
        <w:t>A</w:t>
      </w:r>
      <w:r w:rsidRPr="563BF23E">
        <w:rPr>
          <w:rFonts w:ascii="Arial" w:eastAsia="Arial" w:hAnsi="Arial" w:cs="Arial"/>
          <w:color w:val="000000"/>
          <w:shd w:val="clear" w:color="auto" w:fill="FFFFFF"/>
          <w:lang w:eastAsia="es-ES"/>
        </w:rPr>
        <w:t xml:space="preserve">pátridas de 1954 y más recientemente a la Convención para reducir los casos de apatridia de 1961 (septiembre </w:t>
      </w:r>
      <w:r w:rsidRPr="563BF23E">
        <w:rPr>
          <w:rFonts w:ascii="Arial" w:eastAsia="Arial" w:hAnsi="Arial" w:cs="Arial"/>
          <w:color w:val="000000"/>
          <w:shd w:val="clear" w:color="auto" w:fill="FFFFFF"/>
          <w:lang w:eastAsia="es-ES"/>
        </w:rPr>
        <w:lastRenderedPageBreak/>
        <w:t>de 2018)</w:t>
      </w:r>
      <w:r w:rsidR="00BB4CA0">
        <w:rPr>
          <w:rStyle w:val="FootnoteReference"/>
          <w:rFonts w:ascii="Arial" w:eastAsia="Arial" w:hAnsi="Arial" w:cs="Arial"/>
          <w:color w:val="000000"/>
          <w:shd w:val="clear" w:color="auto" w:fill="FFFFFF"/>
          <w:lang w:eastAsia="es-ES"/>
        </w:rPr>
        <w:footnoteReference w:id="1"/>
      </w:r>
      <w:r w:rsidRPr="563BF23E">
        <w:rPr>
          <w:rFonts w:ascii="Arial" w:eastAsia="Arial" w:hAnsi="Arial" w:cs="Arial"/>
          <w:color w:val="000000"/>
          <w:shd w:val="clear" w:color="auto" w:fill="FFFFFF"/>
          <w:lang w:eastAsia="es-ES"/>
        </w:rPr>
        <w:t xml:space="preserve">, así como de las principales Convenciones en materia de Derechos Humanos, </w:t>
      </w:r>
      <w:r w:rsidR="60A06E94" w:rsidRPr="563BF23E">
        <w:rPr>
          <w:rFonts w:ascii="Arial" w:eastAsia="Arial" w:hAnsi="Arial" w:cs="Arial"/>
          <w:color w:val="000000" w:themeColor="text1"/>
        </w:rPr>
        <w:t>exceptuando</w:t>
      </w:r>
      <w:r w:rsidRPr="563BF23E">
        <w:rPr>
          <w:rFonts w:ascii="Arial" w:eastAsia="Arial" w:hAnsi="Arial" w:cs="Arial"/>
          <w:color w:val="000000"/>
          <w:shd w:val="clear" w:color="auto" w:fill="FFFFFF"/>
          <w:lang w:eastAsia="es-ES"/>
        </w:rPr>
        <w:t xml:space="preserve"> la Convención Internacional sobre la protección de los derechos de todos los trabajadores migratorios y de sus familiares</w:t>
      </w:r>
      <w:r w:rsidR="40985035" w:rsidRPr="563BF23E">
        <w:rPr>
          <w:rFonts w:ascii="Arial" w:eastAsia="Arial" w:hAnsi="Arial" w:cs="Arial"/>
          <w:color w:val="000000" w:themeColor="text1"/>
        </w:rPr>
        <w:t>,</w:t>
      </w:r>
      <w:r w:rsidRPr="563BF23E">
        <w:rPr>
          <w:rFonts w:ascii="Arial" w:eastAsia="Arial" w:hAnsi="Arial" w:cs="Arial"/>
          <w:color w:val="000000"/>
          <w:shd w:val="clear" w:color="auto" w:fill="FFFFFF"/>
          <w:lang w:eastAsia="es-ES"/>
        </w:rPr>
        <w:t xml:space="preserve"> la Convención Europea de Nacionalidad </w:t>
      </w:r>
      <w:r w:rsidR="71A14B6A" w:rsidRPr="563BF23E">
        <w:rPr>
          <w:rFonts w:ascii="Arial" w:eastAsia="Arial" w:hAnsi="Arial" w:cs="Arial"/>
          <w:color w:val="000000" w:themeColor="text1"/>
        </w:rPr>
        <w:t>y el</w:t>
      </w:r>
      <w:r w:rsidRPr="563BF23E">
        <w:rPr>
          <w:rFonts w:ascii="Arial" w:eastAsia="Arial" w:hAnsi="Arial" w:cs="Arial"/>
          <w:color w:val="000000"/>
          <w:shd w:val="clear" w:color="auto" w:fill="FFFFFF"/>
          <w:lang w:eastAsia="es-ES"/>
        </w:rPr>
        <w:t xml:space="preserve"> Convenio del Consejo de Europa sobre la prevención de los casos de apatridia en relación con la sucesión de Estados.</w:t>
      </w:r>
    </w:p>
    <w:p w14:paraId="016A365F" w14:textId="30E2A445" w:rsidR="00441AFB" w:rsidRPr="0040574B" w:rsidRDefault="0040574B" w:rsidP="563BF23E">
      <w:pPr>
        <w:spacing w:line="240" w:lineRule="auto"/>
        <w:jc w:val="both"/>
        <w:rPr>
          <w:rFonts w:ascii="Arial" w:eastAsia="Arial" w:hAnsi="Arial" w:cs="Arial"/>
          <w:lang w:eastAsia="es-ES"/>
        </w:rPr>
      </w:pPr>
      <w:r w:rsidRPr="563BF23E">
        <w:rPr>
          <w:rFonts w:ascii="Arial" w:eastAsia="Arial" w:hAnsi="Arial" w:cs="Arial"/>
          <w:color w:val="000000"/>
          <w:shd w:val="clear" w:color="auto" w:fill="FFFFFF"/>
          <w:lang w:eastAsia="es-ES"/>
        </w:rPr>
        <w:t>En cuanto a la legislación nacional, la apatridia aparece regulada únicamente en el artículo 34 de la Ley Orgánica 4/2000, de 11 de enero, sobre derechos y libertades de los extranjeros en España y su integración social</w:t>
      </w:r>
      <w:r w:rsidR="00BB4CA0">
        <w:rPr>
          <w:rStyle w:val="FootnoteReference"/>
          <w:rFonts w:ascii="Arial" w:eastAsia="Arial" w:hAnsi="Arial" w:cs="Arial"/>
          <w:color w:val="000000"/>
          <w:shd w:val="clear" w:color="auto" w:fill="FFFFFF"/>
          <w:lang w:eastAsia="es-ES"/>
        </w:rPr>
        <w:footnoteReference w:id="2"/>
      </w:r>
      <w:r w:rsidRPr="563BF23E">
        <w:rPr>
          <w:rFonts w:ascii="Arial" w:eastAsia="Arial" w:hAnsi="Arial" w:cs="Arial"/>
          <w:color w:val="000000"/>
          <w:shd w:val="clear" w:color="auto" w:fill="FFFFFF"/>
          <w:lang w:eastAsia="es-ES"/>
        </w:rPr>
        <w:t xml:space="preserve">, habiéndose desarrollado a su amparo, </w:t>
      </w:r>
      <w:r w:rsidR="006B3C82">
        <w:rPr>
          <w:rFonts w:ascii="Arial" w:eastAsia="Arial" w:hAnsi="Arial" w:cs="Arial"/>
          <w:color w:val="000000"/>
          <w:shd w:val="clear" w:color="auto" w:fill="FFFFFF"/>
          <w:lang w:eastAsia="es-ES"/>
        </w:rPr>
        <w:t>reglamentariamente</w:t>
      </w:r>
      <w:r w:rsidRPr="563BF23E">
        <w:rPr>
          <w:rFonts w:ascii="Arial" w:eastAsia="Arial" w:hAnsi="Arial" w:cs="Arial"/>
          <w:color w:val="000000"/>
          <w:shd w:val="clear" w:color="auto" w:fill="FFFFFF"/>
          <w:lang w:eastAsia="es-ES"/>
        </w:rPr>
        <w:t xml:space="preserve"> un procedimiento de reconocimiento del estatuto de apátrida (Real Decreto 865/2001)</w:t>
      </w:r>
      <w:r w:rsidR="00BB4CA0">
        <w:rPr>
          <w:rStyle w:val="FootnoteReference"/>
          <w:rFonts w:ascii="Arial" w:eastAsia="Arial" w:hAnsi="Arial" w:cs="Arial"/>
          <w:color w:val="000000"/>
          <w:shd w:val="clear" w:color="auto" w:fill="FFFFFF"/>
          <w:lang w:eastAsia="es-ES"/>
        </w:rPr>
        <w:footnoteReference w:id="3"/>
      </w:r>
      <w:r w:rsidRPr="563BF23E">
        <w:rPr>
          <w:rFonts w:ascii="Arial" w:eastAsia="Arial" w:hAnsi="Arial" w:cs="Arial"/>
          <w:color w:val="000000"/>
          <w:shd w:val="clear" w:color="auto" w:fill="FFFFFF"/>
          <w:lang w:eastAsia="es-ES"/>
        </w:rPr>
        <w:t>, tras el cual las personas apátridas reconocidas tendrán derecho a residir en España y a desarrollar actividades laborales, profesionales y mercantiles. El Real Decreto 220/2022 por el que se aprueba el Reglamento que regula el sistema de acogida en materia de protección</w:t>
      </w:r>
      <w:r w:rsidR="006B3C82">
        <w:rPr>
          <w:rFonts w:ascii="Arial" w:eastAsia="Arial" w:hAnsi="Arial" w:cs="Arial"/>
          <w:color w:val="000000"/>
          <w:shd w:val="clear" w:color="auto" w:fill="FFFFFF"/>
          <w:lang w:eastAsia="es-ES"/>
        </w:rPr>
        <w:t xml:space="preserve"> </w:t>
      </w:r>
      <w:r w:rsidRPr="563BF23E">
        <w:rPr>
          <w:rFonts w:ascii="Arial" w:eastAsia="Arial" w:hAnsi="Arial" w:cs="Arial"/>
          <w:color w:val="000000"/>
          <w:shd w:val="clear" w:color="auto" w:fill="FFFFFF"/>
          <w:lang w:eastAsia="es-ES"/>
        </w:rPr>
        <w:t>internacional</w:t>
      </w:r>
      <w:r w:rsidR="00BB4CA0">
        <w:rPr>
          <w:rStyle w:val="FootnoteReference"/>
          <w:rFonts w:ascii="Arial" w:eastAsia="Arial" w:hAnsi="Arial" w:cs="Arial"/>
          <w:color w:val="000000"/>
          <w:shd w:val="clear" w:color="auto" w:fill="FFFFFF"/>
          <w:lang w:eastAsia="es-ES"/>
        </w:rPr>
        <w:footnoteReference w:id="4"/>
      </w:r>
      <w:r w:rsidRPr="563BF23E">
        <w:rPr>
          <w:rFonts w:ascii="Arial" w:eastAsia="Arial" w:hAnsi="Arial" w:cs="Arial"/>
          <w:color w:val="000000"/>
          <w:shd w:val="clear" w:color="auto" w:fill="FFFFFF"/>
          <w:lang w:eastAsia="es-ES"/>
        </w:rPr>
        <w:t>, las personas apátridas tienen garantizada su participación en</w:t>
      </w:r>
      <w:r w:rsidR="006B3C82">
        <w:rPr>
          <w:rFonts w:ascii="Arial" w:eastAsia="Arial" w:hAnsi="Arial" w:cs="Arial"/>
          <w:color w:val="000000"/>
          <w:shd w:val="clear" w:color="auto" w:fill="FFFFFF"/>
          <w:lang w:eastAsia="es-ES"/>
        </w:rPr>
        <w:t xml:space="preserve"> las</w:t>
      </w:r>
      <w:r w:rsidRPr="563BF23E">
        <w:rPr>
          <w:rFonts w:ascii="Arial" w:eastAsia="Arial" w:hAnsi="Arial" w:cs="Arial"/>
          <w:color w:val="000000"/>
          <w:shd w:val="clear" w:color="auto" w:fill="FFFFFF"/>
          <w:lang w:eastAsia="es-ES"/>
        </w:rPr>
        <w:t xml:space="preserve"> diferentes fases del sistema</w:t>
      </w:r>
      <w:r w:rsidR="001930D7">
        <w:rPr>
          <w:rFonts w:ascii="Arial" w:eastAsia="Arial" w:hAnsi="Arial" w:cs="Arial"/>
          <w:color w:val="000000"/>
          <w:shd w:val="clear" w:color="auto" w:fill="FFFFFF"/>
          <w:lang w:eastAsia="es-ES"/>
        </w:rPr>
        <w:t xml:space="preserve"> nacional de acogida</w:t>
      </w:r>
      <w:r w:rsidR="00441AFB">
        <w:rPr>
          <w:rFonts w:ascii="Arial" w:eastAsia="Arial" w:hAnsi="Arial" w:cs="Arial"/>
          <w:color w:val="000000"/>
          <w:shd w:val="clear" w:color="auto" w:fill="FFFFFF"/>
          <w:lang w:eastAsia="es-ES"/>
        </w:rPr>
        <w:t>, si bien l</w:t>
      </w:r>
      <w:r w:rsidR="00441AFB" w:rsidRPr="00441AFB">
        <w:rPr>
          <w:rFonts w:ascii="Arial" w:eastAsia="Arial" w:hAnsi="Arial" w:cs="Arial"/>
          <w:color w:val="000000"/>
          <w:shd w:val="clear" w:color="auto" w:fill="FFFFFF"/>
          <w:lang w:eastAsia="es-ES"/>
        </w:rPr>
        <w:t>os solicitantes y beneficiarios del Estatuto de Apátrida quedan excluidos la ayuda de Alojamiento y Manutención de la fase previa de evaluación y derivación</w:t>
      </w:r>
      <w:r w:rsidR="00441AFB">
        <w:rPr>
          <w:rFonts w:ascii="Arial" w:eastAsia="Arial" w:hAnsi="Arial" w:cs="Arial"/>
          <w:lang w:eastAsia="es-ES"/>
        </w:rPr>
        <w:t>.</w:t>
      </w:r>
    </w:p>
    <w:p w14:paraId="6AA8CDD5" w14:textId="2E78BCF4" w:rsidR="0040574B" w:rsidRPr="0040574B" w:rsidRDefault="0040574B" w:rsidP="563BF23E">
      <w:pPr>
        <w:spacing w:line="240" w:lineRule="auto"/>
        <w:jc w:val="both"/>
        <w:rPr>
          <w:rFonts w:ascii="Arial" w:eastAsia="Arial" w:hAnsi="Arial" w:cs="Arial"/>
          <w:color w:val="000000" w:themeColor="text1"/>
          <w:lang w:eastAsia="es-ES"/>
        </w:rPr>
      </w:pPr>
      <w:r w:rsidRPr="563BF23E">
        <w:rPr>
          <w:rFonts w:ascii="Arial" w:eastAsia="Arial" w:hAnsi="Arial" w:cs="Arial"/>
          <w:color w:val="000000"/>
          <w:shd w:val="clear" w:color="auto" w:fill="FFFFFF"/>
          <w:lang w:eastAsia="es-ES"/>
        </w:rPr>
        <w:t xml:space="preserve">España posee garantías muy eficaces para la prevención de la apatridia originaria de los niños y niñas nacidas en su territorio, al adquirir éstas la nacionalidad como españoles de origen si ambos padres fueran apátridas o si la legislación de ninguno de ellos atribuye al hijo una nacionalidad, mediante un sencillo procedimiento de solicitud ante el Registro Civil, esta garantía se hace extensiva a los menores expósitos (art. 17 </w:t>
      </w:r>
      <w:r w:rsidR="7C4A81BD" w:rsidRPr="563BF23E">
        <w:rPr>
          <w:rFonts w:ascii="Arial" w:eastAsia="Arial" w:hAnsi="Arial" w:cs="Arial"/>
          <w:color w:val="000000"/>
          <w:shd w:val="clear" w:color="auto" w:fill="FFFFFF"/>
          <w:lang w:eastAsia="es-ES"/>
        </w:rPr>
        <w:t>C</w:t>
      </w:r>
      <w:r w:rsidR="00BB4CA0">
        <w:rPr>
          <w:rFonts w:ascii="Arial" w:eastAsia="Arial" w:hAnsi="Arial" w:cs="Arial"/>
          <w:color w:val="000000"/>
          <w:shd w:val="clear" w:color="auto" w:fill="FFFFFF"/>
          <w:lang w:eastAsia="es-ES"/>
        </w:rPr>
        <w:t>ódigo Civil</w:t>
      </w:r>
      <w:r w:rsidR="00BB4CA0">
        <w:rPr>
          <w:rStyle w:val="FootnoteReference"/>
          <w:rFonts w:ascii="Arial" w:eastAsia="Arial" w:hAnsi="Arial" w:cs="Arial"/>
          <w:color w:val="000000"/>
          <w:shd w:val="clear" w:color="auto" w:fill="FFFFFF"/>
          <w:lang w:eastAsia="es-ES"/>
        </w:rPr>
        <w:footnoteReference w:id="5"/>
      </w:r>
      <w:r w:rsidRPr="563BF23E">
        <w:rPr>
          <w:rFonts w:ascii="Arial" w:eastAsia="Arial" w:hAnsi="Arial" w:cs="Arial"/>
          <w:color w:val="000000"/>
          <w:shd w:val="clear" w:color="auto" w:fill="FFFFFF"/>
          <w:lang w:eastAsia="es-ES"/>
        </w:rPr>
        <w:t xml:space="preserve">. La aplicación de esta norma </w:t>
      </w:r>
      <w:r w:rsidR="006B3C82">
        <w:rPr>
          <w:rFonts w:ascii="Arial" w:eastAsia="Arial" w:hAnsi="Arial" w:cs="Arial"/>
          <w:color w:val="000000"/>
          <w:shd w:val="clear" w:color="auto" w:fill="FFFFFF"/>
          <w:lang w:eastAsia="es-ES"/>
        </w:rPr>
        <w:t>está</w:t>
      </w:r>
      <w:r w:rsidRPr="563BF23E">
        <w:rPr>
          <w:rFonts w:ascii="Arial" w:eastAsia="Arial" w:hAnsi="Arial" w:cs="Arial"/>
          <w:color w:val="000000"/>
          <w:shd w:val="clear" w:color="auto" w:fill="FFFFFF"/>
          <w:lang w:eastAsia="es-ES"/>
        </w:rPr>
        <w:t xml:space="preserve"> reforzada por la Instrucción de 28 de marzo de 2007, de la Dirección General de los Registros y del Notariado</w:t>
      </w:r>
      <w:r w:rsidR="00BB4CA0">
        <w:rPr>
          <w:rStyle w:val="FootnoteReference"/>
          <w:rFonts w:ascii="Arial" w:eastAsia="Arial" w:hAnsi="Arial" w:cs="Arial"/>
          <w:color w:val="000000"/>
          <w:shd w:val="clear" w:color="auto" w:fill="FFFFFF"/>
          <w:lang w:eastAsia="es-ES"/>
        </w:rPr>
        <w:footnoteReference w:id="6"/>
      </w:r>
      <w:r w:rsidRPr="563BF23E">
        <w:rPr>
          <w:rFonts w:ascii="Arial" w:eastAsia="Arial" w:hAnsi="Arial" w:cs="Arial"/>
          <w:color w:val="000000"/>
          <w:shd w:val="clear" w:color="auto" w:fill="FFFFFF"/>
          <w:lang w:eastAsia="es-ES"/>
        </w:rPr>
        <w:t xml:space="preserve">, que recopila con ánimo de dar publicidad a los criterios de la Administración para la aplicación de esta salvaguarda. Sin embargo, esta afirmación no es extensible al acceso de la nacionalidad </w:t>
      </w:r>
      <w:r w:rsidR="00441AFB">
        <w:rPr>
          <w:rFonts w:ascii="Arial" w:eastAsia="Arial" w:hAnsi="Arial" w:cs="Arial"/>
          <w:color w:val="000000"/>
          <w:shd w:val="clear" w:color="auto" w:fill="FFFFFF"/>
          <w:lang w:eastAsia="es-ES"/>
        </w:rPr>
        <w:t xml:space="preserve">por residencia </w:t>
      </w:r>
      <w:r w:rsidRPr="563BF23E">
        <w:rPr>
          <w:rFonts w:ascii="Arial" w:eastAsia="Arial" w:hAnsi="Arial" w:cs="Arial"/>
          <w:color w:val="000000"/>
          <w:shd w:val="clear" w:color="auto" w:fill="FFFFFF"/>
          <w:lang w:eastAsia="es-ES"/>
        </w:rPr>
        <w:t>para las personas apátridas no nacidas en España, ya que el Código Civil, a diferencia del caso de las personas refugiadas, no recoge ningún plazo reducido para la concesión de la nacionalidad española, por lo que se ha de estar al general de 10 años (a</w:t>
      </w:r>
      <w:r w:rsidR="52C9D345" w:rsidRPr="563BF23E">
        <w:rPr>
          <w:rFonts w:ascii="Arial" w:eastAsia="Arial" w:hAnsi="Arial" w:cs="Arial"/>
          <w:color w:val="000000"/>
          <w:shd w:val="clear" w:color="auto" w:fill="FFFFFF"/>
          <w:lang w:eastAsia="es-ES"/>
        </w:rPr>
        <w:t xml:space="preserve">rt. </w:t>
      </w:r>
      <w:r w:rsidRPr="563BF23E">
        <w:rPr>
          <w:rFonts w:ascii="Arial" w:eastAsia="Arial" w:hAnsi="Arial" w:cs="Arial"/>
          <w:color w:val="000000"/>
          <w:shd w:val="clear" w:color="auto" w:fill="FFFFFF"/>
          <w:lang w:eastAsia="es-ES"/>
        </w:rPr>
        <w:t>22 C</w:t>
      </w:r>
      <w:r w:rsidR="26387C16" w:rsidRPr="563BF23E">
        <w:rPr>
          <w:rFonts w:ascii="Arial" w:eastAsia="Arial" w:hAnsi="Arial" w:cs="Arial"/>
          <w:color w:val="000000"/>
          <w:shd w:val="clear" w:color="auto" w:fill="FFFFFF"/>
          <w:lang w:eastAsia="es-ES"/>
        </w:rPr>
        <w:t>C)</w:t>
      </w:r>
      <w:r w:rsidRPr="563BF23E">
        <w:rPr>
          <w:rFonts w:ascii="Arial" w:eastAsia="Arial" w:hAnsi="Arial" w:cs="Arial"/>
          <w:color w:val="000000"/>
          <w:shd w:val="clear" w:color="auto" w:fill="FFFFFF"/>
          <w:lang w:eastAsia="es-ES"/>
        </w:rPr>
        <w:t>.</w:t>
      </w:r>
    </w:p>
    <w:p w14:paraId="672A6659" w14:textId="315E87B7" w:rsidR="0040574B" w:rsidRPr="0040574B" w:rsidRDefault="0040574B" w:rsidP="563BF23E">
      <w:pPr>
        <w:spacing w:line="240" w:lineRule="auto"/>
        <w:jc w:val="both"/>
        <w:rPr>
          <w:rFonts w:ascii="Arial" w:eastAsia="Arial" w:hAnsi="Arial" w:cs="Arial"/>
          <w:color w:val="000000" w:themeColor="text1"/>
          <w:lang w:eastAsia="es-ES"/>
        </w:rPr>
      </w:pPr>
      <w:r w:rsidRPr="563BF23E">
        <w:rPr>
          <w:rFonts w:ascii="Arial" w:eastAsia="Arial" w:hAnsi="Arial" w:cs="Arial"/>
          <w:color w:val="000000"/>
          <w:shd w:val="clear" w:color="auto" w:fill="FFFFFF"/>
          <w:lang w:eastAsia="es-ES"/>
        </w:rPr>
        <w:t>Las estadísticas sobre personas apátridas difieren de manera muy notable según las fuentes, variando entre 3.112</w:t>
      </w:r>
      <w:r w:rsidR="00ED7111">
        <w:rPr>
          <w:rStyle w:val="FootnoteReference"/>
          <w:rFonts w:ascii="Arial" w:eastAsia="Arial" w:hAnsi="Arial" w:cs="Arial"/>
          <w:color w:val="000000"/>
          <w:shd w:val="clear" w:color="auto" w:fill="FFFFFF"/>
          <w:lang w:eastAsia="es-ES"/>
        </w:rPr>
        <w:footnoteReference w:id="7"/>
      </w:r>
      <w:r w:rsidRPr="563BF23E">
        <w:rPr>
          <w:rFonts w:ascii="Arial" w:eastAsia="Arial" w:hAnsi="Arial" w:cs="Arial"/>
          <w:color w:val="000000"/>
          <w:shd w:val="clear" w:color="auto" w:fill="FFFFFF"/>
          <w:lang w:eastAsia="es-ES"/>
        </w:rPr>
        <w:t xml:space="preserve"> y 10.407</w:t>
      </w:r>
      <w:r w:rsidR="00ED7111">
        <w:rPr>
          <w:rStyle w:val="FootnoteReference"/>
          <w:rFonts w:ascii="Arial" w:eastAsia="Arial" w:hAnsi="Arial" w:cs="Arial"/>
          <w:color w:val="000000"/>
          <w:shd w:val="clear" w:color="auto" w:fill="FFFFFF"/>
          <w:lang w:eastAsia="es-ES"/>
        </w:rPr>
        <w:footnoteReference w:id="8"/>
      </w:r>
      <w:r w:rsidRPr="563BF23E">
        <w:rPr>
          <w:rFonts w:ascii="Arial" w:eastAsia="Arial" w:hAnsi="Arial" w:cs="Arial"/>
          <w:color w:val="000000"/>
          <w:shd w:val="clear" w:color="auto" w:fill="FFFFFF"/>
          <w:lang w:eastAsia="es-ES"/>
        </w:rPr>
        <w:t xml:space="preserve"> personas apátridas. </w:t>
      </w:r>
      <w:r w:rsidR="00441AFB">
        <w:rPr>
          <w:rFonts w:ascii="Arial" w:eastAsia="Arial" w:hAnsi="Arial" w:cs="Arial"/>
          <w:color w:val="000000"/>
          <w:shd w:val="clear" w:color="auto" w:fill="FFFFFF"/>
          <w:lang w:eastAsia="es-ES"/>
        </w:rPr>
        <w:t>Así</w:t>
      </w:r>
      <w:r w:rsidRPr="563BF23E">
        <w:rPr>
          <w:rFonts w:ascii="Arial" w:eastAsia="Arial" w:hAnsi="Arial" w:cs="Arial"/>
          <w:color w:val="000000"/>
          <w:shd w:val="clear" w:color="auto" w:fill="FFFFFF"/>
          <w:lang w:eastAsia="es-ES"/>
        </w:rPr>
        <w:t xml:space="preserve">, la Oficina de Asilo y Refugio, actualmente </w:t>
      </w:r>
      <w:r w:rsidR="00441AFB">
        <w:rPr>
          <w:rFonts w:ascii="Arial" w:eastAsia="Arial" w:hAnsi="Arial" w:cs="Arial"/>
          <w:color w:val="000000"/>
          <w:shd w:val="clear" w:color="auto" w:fill="FFFFFF"/>
          <w:lang w:eastAsia="es-ES"/>
        </w:rPr>
        <w:t>c</w:t>
      </w:r>
      <w:r w:rsidRPr="563BF23E">
        <w:rPr>
          <w:rFonts w:ascii="Arial" w:eastAsia="Arial" w:hAnsi="Arial" w:cs="Arial"/>
          <w:color w:val="000000"/>
          <w:shd w:val="clear" w:color="auto" w:fill="FFFFFF"/>
          <w:lang w:eastAsia="es-ES"/>
        </w:rPr>
        <w:t>on una gran sobrecarga de trabajo, no establece la apatridia de los solicitantes de Asilo</w:t>
      </w:r>
      <w:r w:rsidR="00ED7111">
        <w:rPr>
          <w:rStyle w:val="FootnoteReference"/>
          <w:rFonts w:ascii="Arial" w:eastAsia="Arial" w:hAnsi="Arial" w:cs="Arial"/>
          <w:color w:val="000000"/>
          <w:shd w:val="clear" w:color="auto" w:fill="FFFFFF"/>
          <w:lang w:eastAsia="es-ES"/>
        </w:rPr>
        <w:footnoteReference w:id="9"/>
      </w:r>
      <w:r w:rsidRPr="563BF23E">
        <w:rPr>
          <w:rFonts w:ascii="Arial" w:eastAsia="Arial" w:hAnsi="Arial" w:cs="Arial"/>
          <w:color w:val="000000"/>
          <w:shd w:val="clear" w:color="auto" w:fill="FFFFFF"/>
          <w:lang w:eastAsia="es-ES"/>
        </w:rPr>
        <w:t xml:space="preserve">, cuando en éstos concurre esta condición, pese a que el Reglamento que regula el procedimiento permite instarlo de oficio (art. 2.2 R.D. </w:t>
      </w:r>
      <w:r w:rsidR="00BB4CA0">
        <w:rPr>
          <w:rFonts w:ascii="Arial" w:eastAsia="Arial" w:hAnsi="Arial" w:cs="Arial"/>
          <w:color w:val="000000"/>
          <w:shd w:val="clear" w:color="auto" w:fill="FFFFFF"/>
          <w:lang w:eastAsia="es-ES"/>
        </w:rPr>
        <w:t>865</w:t>
      </w:r>
      <w:r w:rsidRPr="563BF23E">
        <w:rPr>
          <w:rFonts w:ascii="Arial" w:eastAsia="Arial" w:hAnsi="Arial" w:cs="Arial"/>
          <w:color w:val="000000"/>
          <w:shd w:val="clear" w:color="auto" w:fill="FFFFFF"/>
          <w:lang w:eastAsia="es-ES"/>
        </w:rPr>
        <w:t xml:space="preserve">/2001). Por </w:t>
      </w:r>
      <w:r w:rsidR="006B3C82">
        <w:rPr>
          <w:rFonts w:ascii="Arial" w:eastAsia="Arial" w:hAnsi="Arial" w:cs="Arial"/>
          <w:color w:val="000000"/>
          <w:shd w:val="clear" w:color="auto" w:fill="FFFFFF"/>
          <w:lang w:eastAsia="es-ES"/>
        </w:rPr>
        <w:t>ello</w:t>
      </w:r>
      <w:r w:rsidRPr="563BF23E">
        <w:rPr>
          <w:rFonts w:ascii="Arial" w:eastAsia="Arial" w:hAnsi="Arial" w:cs="Arial"/>
          <w:color w:val="000000"/>
          <w:shd w:val="clear" w:color="auto" w:fill="FFFFFF"/>
          <w:lang w:eastAsia="es-ES"/>
        </w:rPr>
        <w:t xml:space="preserve"> no es posible conocer con datos fiables la población total de personas apátridas residentes en España, ni c</w:t>
      </w:r>
      <w:r w:rsidR="3EFEDC3C" w:rsidRPr="563BF23E">
        <w:rPr>
          <w:rFonts w:ascii="Arial" w:eastAsia="Arial" w:hAnsi="Arial" w:cs="Arial"/>
          <w:color w:val="000000"/>
          <w:shd w:val="clear" w:color="auto" w:fill="FFFFFF"/>
          <w:lang w:eastAsia="es-ES"/>
        </w:rPr>
        <w:t>uántas</w:t>
      </w:r>
      <w:r w:rsidRPr="563BF23E">
        <w:rPr>
          <w:rFonts w:ascii="Arial" w:eastAsia="Arial" w:hAnsi="Arial" w:cs="Arial"/>
          <w:color w:val="000000"/>
          <w:shd w:val="clear" w:color="auto" w:fill="FFFFFF"/>
          <w:lang w:eastAsia="es-ES"/>
        </w:rPr>
        <w:t xml:space="preserve"> son menores.</w:t>
      </w:r>
    </w:p>
    <w:p w14:paraId="2E298B66" w14:textId="77777777" w:rsidR="0040574B" w:rsidRPr="0040574B" w:rsidRDefault="0040574B" w:rsidP="563BF23E">
      <w:pPr>
        <w:spacing w:line="240" w:lineRule="auto"/>
        <w:jc w:val="both"/>
        <w:rPr>
          <w:rFonts w:ascii="Arial" w:eastAsia="Arial" w:hAnsi="Arial" w:cs="Arial"/>
          <w:lang w:eastAsia="es-ES"/>
        </w:rPr>
      </w:pPr>
      <w:r w:rsidRPr="563BF23E">
        <w:rPr>
          <w:rFonts w:ascii="Arial" w:eastAsia="Arial" w:hAnsi="Arial" w:cs="Arial"/>
          <w:b/>
          <w:bCs/>
          <w:color w:val="000000"/>
          <w:shd w:val="clear" w:color="auto" w:fill="FFFFFF"/>
          <w:lang w:eastAsia="es-ES"/>
        </w:rPr>
        <w:t>Primero.- Inexistencia un procedimiento facilitado para la naturalización de menores apátridas no nacidos en España</w:t>
      </w:r>
      <w:r w:rsidRPr="563BF23E">
        <w:rPr>
          <w:rFonts w:ascii="Arial" w:eastAsia="Arial" w:hAnsi="Arial" w:cs="Arial"/>
          <w:color w:val="000000"/>
          <w:shd w:val="clear" w:color="auto" w:fill="FFFFFF"/>
          <w:lang w:eastAsia="es-ES"/>
        </w:rPr>
        <w:t>.</w:t>
      </w:r>
    </w:p>
    <w:p w14:paraId="4CF6B426" w14:textId="382D5269" w:rsidR="438E9370" w:rsidRDefault="438E9370" w:rsidP="563BF23E">
      <w:pPr>
        <w:spacing w:before="240" w:after="240"/>
        <w:jc w:val="both"/>
        <w:rPr>
          <w:rFonts w:ascii="Arial" w:eastAsia="Arial" w:hAnsi="Arial" w:cs="Arial"/>
          <w:color w:val="000000" w:themeColor="text1"/>
        </w:rPr>
      </w:pPr>
      <w:r w:rsidRPr="563BF23E">
        <w:rPr>
          <w:rFonts w:ascii="Arial" w:eastAsia="Arial" w:hAnsi="Arial" w:cs="Arial"/>
          <w:color w:val="000000" w:themeColor="text1"/>
        </w:rPr>
        <w:lastRenderedPageBreak/>
        <w:t>La Convención sobre el Estatuto de los Apátridas de 1954</w:t>
      </w:r>
      <w:r w:rsidR="00ED7111">
        <w:rPr>
          <w:rStyle w:val="FootnoteReference"/>
          <w:rFonts w:ascii="Arial" w:eastAsia="Arial" w:hAnsi="Arial" w:cs="Arial"/>
          <w:color w:val="000000" w:themeColor="text1"/>
        </w:rPr>
        <w:footnoteReference w:id="10"/>
      </w:r>
      <w:r w:rsidRPr="563BF23E">
        <w:rPr>
          <w:rFonts w:ascii="Arial" w:eastAsia="Arial" w:hAnsi="Arial" w:cs="Arial"/>
          <w:color w:val="000000" w:themeColor="text1"/>
        </w:rPr>
        <w:t xml:space="preserve">, en su artículo 32, establece la obligación </w:t>
      </w:r>
      <w:r w:rsidR="0045781B">
        <w:rPr>
          <w:rFonts w:ascii="Arial" w:eastAsia="Arial" w:hAnsi="Arial" w:cs="Arial"/>
          <w:color w:val="000000" w:themeColor="text1"/>
        </w:rPr>
        <w:t>de</w:t>
      </w:r>
      <w:r w:rsidRPr="563BF23E">
        <w:rPr>
          <w:rFonts w:ascii="Arial" w:eastAsia="Arial" w:hAnsi="Arial" w:cs="Arial"/>
          <w:color w:val="000000" w:themeColor="text1"/>
        </w:rPr>
        <w:t xml:space="preserve"> los Estados parte de facilitar la naturalización de las personas apátridas, incluyendo la aceleración de los trámites y la reducción de </w:t>
      </w:r>
      <w:r w:rsidR="00667F16">
        <w:rPr>
          <w:rFonts w:ascii="Arial" w:eastAsia="Arial" w:hAnsi="Arial" w:cs="Arial"/>
          <w:color w:val="000000" w:themeColor="text1"/>
        </w:rPr>
        <w:t>gastos</w:t>
      </w:r>
      <w:r w:rsidRPr="563BF23E">
        <w:rPr>
          <w:rFonts w:ascii="Arial" w:eastAsia="Arial" w:hAnsi="Arial" w:cs="Arial"/>
          <w:color w:val="000000" w:themeColor="text1"/>
        </w:rPr>
        <w:t xml:space="preserve">. No obstante, la normativa española no prioriza los casos de </w:t>
      </w:r>
      <w:r w:rsidR="001E2373">
        <w:rPr>
          <w:rFonts w:ascii="Arial" w:eastAsia="Arial" w:hAnsi="Arial" w:cs="Arial"/>
          <w:color w:val="000000" w:themeColor="text1"/>
        </w:rPr>
        <w:t>las personas apátridas en general ni de los menores apátridas en particular</w:t>
      </w:r>
      <w:r w:rsidR="006B3C82">
        <w:rPr>
          <w:rFonts w:ascii="Arial" w:eastAsia="Arial" w:hAnsi="Arial" w:cs="Arial"/>
          <w:color w:val="000000" w:themeColor="text1"/>
        </w:rPr>
        <w:t>,</w:t>
      </w:r>
      <w:r w:rsidRPr="563BF23E">
        <w:rPr>
          <w:rFonts w:ascii="Arial" w:eastAsia="Arial" w:hAnsi="Arial" w:cs="Arial"/>
          <w:color w:val="000000" w:themeColor="text1"/>
        </w:rPr>
        <w:t xml:space="preserve"> sujetándolos al </w:t>
      </w:r>
      <w:r w:rsidR="006B3C82">
        <w:rPr>
          <w:rFonts w:ascii="Arial" w:eastAsia="Arial" w:hAnsi="Arial" w:cs="Arial"/>
          <w:color w:val="000000" w:themeColor="text1"/>
        </w:rPr>
        <w:t>plazo</w:t>
      </w:r>
      <w:r w:rsidRPr="563BF23E">
        <w:rPr>
          <w:rFonts w:ascii="Arial" w:eastAsia="Arial" w:hAnsi="Arial" w:cs="Arial"/>
          <w:color w:val="000000" w:themeColor="text1"/>
        </w:rPr>
        <w:t xml:space="preserve"> general de residencia </w:t>
      </w:r>
      <w:r w:rsidR="001930D7">
        <w:rPr>
          <w:rFonts w:ascii="Arial" w:eastAsia="Arial" w:hAnsi="Arial" w:cs="Arial"/>
          <w:color w:val="000000" w:themeColor="text1"/>
        </w:rPr>
        <w:t xml:space="preserve">de 10 años </w:t>
      </w:r>
      <w:r w:rsidRPr="563BF23E">
        <w:rPr>
          <w:rFonts w:ascii="Arial" w:eastAsia="Arial" w:hAnsi="Arial" w:cs="Arial"/>
          <w:color w:val="000000" w:themeColor="text1"/>
        </w:rPr>
        <w:t>(ex. art. 22 CC).</w:t>
      </w:r>
    </w:p>
    <w:p w14:paraId="219237DF" w14:textId="41952ECB" w:rsidR="625C84C2" w:rsidRDefault="625C84C2" w:rsidP="563BF23E">
      <w:pPr>
        <w:spacing w:before="240" w:after="240"/>
        <w:jc w:val="both"/>
        <w:rPr>
          <w:rFonts w:ascii="Arial" w:eastAsia="Arial" w:hAnsi="Arial" w:cs="Arial"/>
        </w:rPr>
      </w:pPr>
      <w:r w:rsidRPr="563BF23E">
        <w:rPr>
          <w:rFonts w:ascii="Arial" w:eastAsia="Arial" w:hAnsi="Arial" w:cs="Arial"/>
        </w:rPr>
        <w:t>Esto hace que los menores apátridas que llegan a España como consecuencia de un proceso migratorio</w:t>
      </w:r>
      <w:r w:rsidR="006B3C82">
        <w:rPr>
          <w:rFonts w:ascii="Arial" w:eastAsia="Arial" w:hAnsi="Arial" w:cs="Arial"/>
        </w:rPr>
        <w:t xml:space="preserve"> </w:t>
      </w:r>
      <w:r w:rsidRPr="563BF23E">
        <w:rPr>
          <w:rFonts w:ascii="Arial" w:eastAsia="Arial" w:hAnsi="Arial" w:cs="Arial"/>
        </w:rPr>
        <w:t xml:space="preserve">no </w:t>
      </w:r>
      <w:r w:rsidR="7041D0BF" w:rsidRPr="563BF23E">
        <w:rPr>
          <w:rFonts w:ascii="Arial" w:eastAsia="Arial" w:hAnsi="Arial" w:cs="Arial"/>
        </w:rPr>
        <w:t>puedan</w:t>
      </w:r>
      <w:r w:rsidRPr="563BF23E">
        <w:rPr>
          <w:rFonts w:ascii="Arial" w:eastAsia="Arial" w:hAnsi="Arial" w:cs="Arial"/>
        </w:rPr>
        <w:t xml:space="preserve"> adquir</w:t>
      </w:r>
      <w:r w:rsidR="74E01F2C" w:rsidRPr="563BF23E">
        <w:rPr>
          <w:rFonts w:ascii="Arial" w:eastAsia="Arial" w:hAnsi="Arial" w:cs="Arial"/>
        </w:rPr>
        <w:t>ir</w:t>
      </w:r>
      <w:r w:rsidRPr="563BF23E">
        <w:rPr>
          <w:rFonts w:ascii="Arial" w:eastAsia="Arial" w:hAnsi="Arial" w:cs="Arial"/>
        </w:rPr>
        <w:t xml:space="preserve"> una nacionalidad hasta bien entrada la adolescencia o incluso</w:t>
      </w:r>
      <w:r w:rsidR="6EF1979E" w:rsidRPr="563BF23E">
        <w:rPr>
          <w:rFonts w:ascii="Arial" w:eastAsia="Arial" w:hAnsi="Arial" w:cs="Arial"/>
        </w:rPr>
        <w:t xml:space="preserve"> la edad adulta, dejando a los niños </w:t>
      </w:r>
      <w:r w:rsidR="43F51E4C" w:rsidRPr="563BF23E">
        <w:rPr>
          <w:rFonts w:ascii="Arial" w:eastAsia="Arial" w:hAnsi="Arial" w:cs="Arial"/>
        </w:rPr>
        <w:t xml:space="preserve">y niñas </w:t>
      </w:r>
      <w:r w:rsidR="6EF1979E" w:rsidRPr="563BF23E">
        <w:rPr>
          <w:rFonts w:ascii="Arial" w:eastAsia="Arial" w:hAnsi="Arial" w:cs="Arial"/>
        </w:rPr>
        <w:t xml:space="preserve">apátridas en un limbo legal, viendo limitado </w:t>
      </w:r>
      <w:r w:rsidR="75725597" w:rsidRPr="563BF23E">
        <w:rPr>
          <w:rFonts w:ascii="Arial" w:eastAsia="Arial" w:hAnsi="Arial" w:cs="Arial"/>
        </w:rPr>
        <w:t>su</w:t>
      </w:r>
      <w:r w:rsidR="6EF1979E" w:rsidRPr="563BF23E">
        <w:rPr>
          <w:rFonts w:ascii="Arial" w:eastAsia="Arial" w:hAnsi="Arial" w:cs="Arial"/>
        </w:rPr>
        <w:t xml:space="preserve"> acceso a derechos y servicios esenciales</w:t>
      </w:r>
      <w:r w:rsidR="0BFA0900" w:rsidRPr="563BF23E">
        <w:rPr>
          <w:rFonts w:ascii="Arial" w:eastAsia="Arial" w:hAnsi="Arial" w:cs="Arial"/>
        </w:rPr>
        <w:t>, y especialmente al derecho a una nacionalidad</w:t>
      </w:r>
      <w:r w:rsidR="6EF1979E" w:rsidRPr="563BF23E">
        <w:rPr>
          <w:rFonts w:ascii="Arial" w:eastAsia="Arial" w:hAnsi="Arial" w:cs="Arial"/>
        </w:rPr>
        <w:t xml:space="preserve">. Este requisito </w:t>
      </w:r>
      <w:r w:rsidR="317FC025" w:rsidRPr="563BF23E">
        <w:rPr>
          <w:rFonts w:ascii="Arial" w:eastAsia="Arial" w:hAnsi="Arial" w:cs="Arial"/>
        </w:rPr>
        <w:t>claramente</w:t>
      </w:r>
      <w:r w:rsidR="6EF1979E" w:rsidRPr="563BF23E">
        <w:rPr>
          <w:rFonts w:ascii="Arial" w:eastAsia="Arial" w:hAnsi="Arial" w:cs="Arial"/>
        </w:rPr>
        <w:t xml:space="preserve"> contradice</w:t>
      </w:r>
      <w:r w:rsidR="006B3C82">
        <w:rPr>
          <w:rFonts w:ascii="Arial" w:eastAsia="Arial" w:hAnsi="Arial" w:cs="Arial"/>
        </w:rPr>
        <w:t>, además,</w:t>
      </w:r>
      <w:r w:rsidR="2210E7B5" w:rsidRPr="563BF23E">
        <w:rPr>
          <w:rFonts w:ascii="Arial" w:eastAsia="Arial" w:hAnsi="Arial" w:cs="Arial"/>
        </w:rPr>
        <w:t xml:space="preserve"> </w:t>
      </w:r>
      <w:r w:rsidR="6EF1979E" w:rsidRPr="563BF23E">
        <w:rPr>
          <w:rFonts w:ascii="Arial" w:eastAsia="Arial" w:hAnsi="Arial" w:cs="Arial"/>
        </w:rPr>
        <w:t xml:space="preserve">el principio de que el interés superior del niño debe ser </w:t>
      </w:r>
      <w:r w:rsidR="006B3C82">
        <w:rPr>
          <w:rFonts w:ascii="Arial" w:eastAsia="Arial" w:hAnsi="Arial" w:cs="Arial"/>
        </w:rPr>
        <w:t>de primordial</w:t>
      </w:r>
      <w:r w:rsidR="6EF1979E" w:rsidRPr="563BF23E">
        <w:rPr>
          <w:rFonts w:ascii="Arial" w:eastAsia="Arial" w:hAnsi="Arial" w:cs="Arial"/>
        </w:rPr>
        <w:t xml:space="preserve"> consideración (art. 3 CDN).</w:t>
      </w:r>
    </w:p>
    <w:p w14:paraId="46029140" w14:textId="5B4BF326" w:rsidR="505518DF" w:rsidRDefault="505518DF" w:rsidP="563BF23E">
      <w:pPr>
        <w:spacing w:before="240" w:after="240"/>
        <w:jc w:val="both"/>
        <w:rPr>
          <w:rFonts w:ascii="Arial" w:eastAsia="Arial" w:hAnsi="Arial" w:cs="Arial"/>
        </w:rPr>
      </w:pPr>
      <w:r w:rsidRPr="563BF23E">
        <w:rPr>
          <w:rFonts w:ascii="Arial" w:eastAsia="Arial" w:hAnsi="Arial" w:cs="Arial"/>
        </w:rPr>
        <w:t>La legislación española no contempla ninguna reducción o exención de tasas en el caso de la adquisición de la nacionalidad por residencia para las personas apátridas, lo que</w:t>
      </w:r>
      <w:r w:rsidR="7313CFA1" w:rsidRPr="563BF23E">
        <w:rPr>
          <w:rFonts w:ascii="Arial" w:eastAsia="Arial" w:hAnsi="Arial" w:cs="Arial"/>
        </w:rPr>
        <w:t>,</w:t>
      </w:r>
      <w:r w:rsidRPr="563BF23E">
        <w:rPr>
          <w:rFonts w:ascii="Arial" w:eastAsia="Arial" w:hAnsi="Arial" w:cs="Arial"/>
        </w:rPr>
        <w:t xml:space="preserve"> en determinadas circunst</w:t>
      </w:r>
      <w:r w:rsidR="5E101309" w:rsidRPr="563BF23E">
        <w:rPr>
          <w:rFonts w:ascii="Arial" w:eastAsia="Arial" w:hAnsi="Arial" w:cs="Arial"/>
        </w:rPr>
        <w:t>ancias de experiencia de pobreza o exclusión social, los</w:t>
      </w:r>
      <w:r w:rsidR="1332F1DF" w:rsidRPr="563BF23E">
        <w:rPr>
          <w:rFonts w:ascii="Arial" w:eastAsia="Arial" w:hAnsi="Arial" w:cs="Arial"/>
        </w:rPr>
        <w:t xml:space="preserve"> y las </w:t>
      </w:r>
      <w:r w:rsidR="5E101309" w:rsidRPr="563BF23E">
        <w:rPr>
          <w:rFonts w:ascii="Arial" w:eastAsia="Arial" w:hAnsi="Arial" w:cs="Arial"/>
        </w:rPr>
        <w:t>solicitantes pueden encontrarse ante un obstáculo casi insalvable para materializar su derecho</w:t>
      </w:r>
      <w:r w:rsidR="00ED7111">
        <w:rPr>
          <w:rStyle w:val="FootnoteReference"/>
          <w:rFonts w:ascii="Arial" w:eastAsia="Arial" w:hAnsi="Arial" w:cs="Arial"/>
        </w:rPr>
        <w:footnoteReference w:id="11"/>
      </w:r>
      <w:r w:rsidR="5E101309" w:rsidRPr="563BF23E">
        <w:rPr>
          <w:rFonts w:ascii="Arial" w:eastAsia="Arial" w:hAnsi="Arial" w:cs="Arial"/>
        </w:rPr>
        <w:t xml:space="preserve">. </w:t>
      </w:r>
    </w:p>
    <w:p w14:paraId="5EA07267" w14:textId="5FB2EE26" w:rsidR="6F0F4748" w:rsidRDefault="6F0F4748" w:rsidP="563BF23E">
      <w:pPr>
        <w:spacing w:before="240" w:after="240"/>
        <w:jc w:val="both"/>
        <w:rPr>
          <w:rFonts w:ascii="Arial" w:eastAsia="Arial" w:hAnsi="Arial" w:cs="Arial"/>
          <w:b/>
          <w:bCs/>
        </w:rPr>
      </w:pPr>
      <w:r w:rsidRPr="563BF23E">
        <w:rPr>
          <w:rFonts w:ascii="Arial" w:eastAsia="Arial" w:hAnsi="Arial" w:cs="Arial"/>
          <w:b/>
          <w:bCs/>
        </w:rPr>
        <w:t>Preguntas</w:t>
      </w:r>
    </w:p>
    <w:p w14:paraId="04271BB4" w14:textId="2B3738EA" w:rsidR="6F0F4748" w:rsidRDefault="6F0F4748" w:rsidP="563BF23E">
      <w:pPr>
        <w:pStyle w:val="ListParagraph"/>
        <w:numPr>
          <w:ilvl w:val="0"/>
          <w:numId w:val="6"/>
        </w:numPr>
        <w:spacing w:after="0"/>
        <w:jc w:val="both"/>
        <w:rPr>
          <w:rFonts w:ascii="Arial" w:eastAsia="Arial" w:hAnsi="Arial" w:cs="Arial"/>
        </w:rPr>
      </w:pPr>
      <w:r w:rsidRPr="563BF23E">
        <w:rPr>
          <w:rFonts w:ascii="Arial" w:eastAsia="Arial" w:hAnsi="Arial" w:cs="Arial"/>
        </w:rPr>
        <w:t>¿Qué medidas está tomando España para reducir el requisito de residencia para las personas apátridas de diez años a un período que esté en línea con sus obligaciones internacionales?</w:t>
      </w:r>
    </w:p>
    <w:p w14:paraId="410B619C" w14:textId="7BE22E0E" w:rsidR="6F0F4748" w:rsidRDefault="6F0F4748" w:rsidP="563BF23E">
      <w:pPr>
        <w:pStyle w:val="ListParagraph"/>
        <w:numPr>
          <w:ilvl w:val="0"/>
          <w:numId w:val="6"/>
        </w:numPr>
        <w:spacing w:after="0"/>
        <w:jc w:val="both"/>
        <w:rPr>
          <w:rFonts w:ascii="Arial" w:eastAsia="Arial" w:hAnsi="Arial" w:cs="Arial"/>
        </w:rPr>
      </w:pPr>
      <w:r w:rsidRPr="563BF23E">
        <w:rPr>
          <w:rFonts w:ascii="Arial" w:eastAsia="Arial" w:hAnsi="Arial" w:cs="Arial"/>
        </w:rPr>
        <w:t xml:space="preserve">¿Existen planes para introducir reducciones de </w:t>
      </w:r>
      <w:r w:rsidR="3BA1D924" w:rsidRPr="563BF23E">
        <w:rPr>
          <w:rFonts w:ascii="Arial" w:eastAsia="Arial" w:hAnsi="Arial" w:cs="Arial"/>
        </w:rPr>
        <w:t>tasas</w:t>
      </w:r>
      <w:r w:rsidRPr="563BF23E">
        <w:rPr>
          <w:rFonts w:ascii="Arial" w:eastAsia="Arial" w:hAnsi="Arial" w:cs="Arial"/>
        </w:rPr>
        <w:t xml:space="preserve"> o exenciones para las personas apátridas que solicitan la naturalización</w:t>
      </w:r>
      <w:r w:rsidR="25C10D24" w:rsidRPr="563BF23E">
        <w:rPr>
          <w:rFonts w:ascii="Arial" w:eastAsia="Arial" w:hAnsi="Arial" w:cs="Arial"/>
        </w:rPr>
        <w:t xml:space="preserve"> por residencia</w:t>
      </w:r>
      <w:r w:rsidRPr="563BF23E">
        <w:rPr>
          <w:rFonts w:ascii="Arial" w:eastAsia="Arial" w:hAnsi="Arial" w:cs="Arial"/>
        </w:rPr>
        <w:t>?</w:t>
      </w:r>
    </w:p>
    <w:p w14:paraId="3F68E2ED" w14:textId="583012D6" w:rsidR="6F0F4748" w:rsidRDefault="6F0F4748" w:rsidP="563BF23E">
      <w:pPr>
        <w:pStyle w:val="ListParagraph"/>
        <w:numPr>
          <w:ilvl w:val="0"/>
          <w:numId w:val="6"/>
        </w:numPr>
        <w:spacing w:after="0"/>
        <w:jc w:val="both"/>
        <w:rPr>
          <w:rFonts w:ascii="Arial" w:eastAsia="Arial" w:hAnsi="Arial" w:cs="Arial"/>
        </w:rPr>
      </w:pPr>
      <w:r w:rsidRPr="563BF23E">
        <w:rPr>
          <w:rFonts w:ascii="Arial" w:eastAsia="Arial" w:hAnsi="Arial" w:cs="Arial"/>
        </w:rPr>
        <w:t>¿Cómo asegura el gobierno que los niños</w:t>
      </w:r>
      <w:r w:rsidR="0E49F308" w:rsidRPr="563BF23E">
        <w:rPr>
          <w:rFonts w:ascii="Arial" w:eastAsia="Arial" w:hAnsi="Arial" w:cs="Arial"/>
        </w:rPr>
        <w:t xml:space="preserve"> y las niñ</w:t>
      </w:r>
      <w:r w:rsidR="2556645E" w:rsidRPr="563BF23E">
        <w:rPr>
          <w:rFonts w:ascii="Arial" w:eastAsia="Arial" w:hAnsi="Arial" w:cs="Arial"/>
        </w:rPr>
        <w:t>a</w:t>
      </w:r>
      <w:r w:rsidR="0E49F308" w:rsidRPr="563BF23E">
        <w:rPr>
          <w:rFonts w:ascii="Arial" w:eastAsia="Arial" w:hAnsi="Arial" w:cs="Arial"/>
        </w:rPr>
        <w:t>s</w:t>
      </w:r>
      <w:r w:rsidRPr="563BF23E">
        <w:rPr>
          <w:rFonts w:ascii="Arial" w:eastAsia="Arial" w:hAnsi="Arial" w:cs="Arial"/>
        </w:rPr>
        <w:t xml:space="preserve"> apátridas </w:t>
      </w:r>
      <w:r w:rsidR="1C7339C8" w:rsidRPr="563BF23E">
        <w:rPr>
          <w:rFonts w:ascii="Arial" w:eastAsia="Arial" w:hAnsi="Arial" w:cs="Arial"/>
        </w:rPr>
        <w:t>lleg</w:t>
      </w:r>
      <w:r w:rsidR="33E93C20" w:rsidRPr="563BF23E">
        <w:rPr>
          <w:rFonts w:ascii="Arial" w:eastAsia="Arial" w:hAnsi="Arial" w:cs="Arial"/>
        </w:rPr>
        <w:t>ad</w:t>
      </w:r>
      <w:r w:rsidR="1C7339C8" w:rsidRPr="563BF23E">
        <w:rPr>
          <w:rFonts w:ascii="Arial" w:eastAsia="Arial" w:hAnsi="Arial" w:cs="Arial"/>
        </w:rPr>
        <w:t xml:space="preserve">as a España como consecuencia de un proceso migratorio </w:t>
      </w:r>
      <w:r w:rsidRPr="563BF23E">
        <w:rPr>
          <w:rFonts w:ascii="Arial" w:eastAsia="Arial" w:hAnsi="Arial" w:cs="Arial"/>
        </w:rPr>
        <w:t>tengan acceso a su derecho a una nacionalidad, según lo estipulado en el artículo 7 de la CDN?</w:t>
      </w:r>
    </w:p>
    <w:p w14:paraId="3A49B6BC" w14:textId="39D770D1" w:rsidR="6F0F4748" w:rsidRDefault="6F0F4748" w:rsidP="563BF23E">
      <w:pPr>
        <w:spacing w:before="240" w:after="240"/>
        <w:jc w:val="both"/>
        <w:rPr>
          <w:rFonts w:ascii="Arial" w:eastAsia="Arial" w:hAnsi="Arial" w:cs="Arial"/>
          <w:b/>
          <w:bCs/>
        </w:rPr>
      </w:pPr>
      <w:r w:rsidRPr="563BF23E">
        <w:rPr>
          <w:rFonts w:ascii="Arial" w:eastAsia="Arial" w:hAnsi="Arial" w:cs="Arial"/>
          <w:b/>
          <w:bCs/>
        </w:rPr>
        <w:t>Recomendaciones</w:t>
      </w:r>
    </w:p>
    <w:p w14:paraId="5F2C6724" w14:textId="15CB1F6C" w:rsidR="0DF04C52" w:rsidRDefault="0DF04C52" w:rsidP="563BF23E">
      <w:pPr>
        <w:pStyle w:val="ListParagraph"/>
        <w:numPr>
          <w:ilvl w:val="0"/>
          <w:numId w:val="3"/>
        </w:numPr>
        <w:spacing w:after="0"/>
        <w:jc w:val="both"/>
        <w:rPr>
          <w:rFonts w:ascii="Arial" w:eastAsia="Arial" w:hAnsi="Arial" w:cs="Arial"/>
        </w:rPr>
      </w:pPr>
      <w:r w:rsidRPr="563BF23E">
        <w:rPr>
          <w:rFonts w:ascii="Arial" w:eastAsia="Arial" w:hAnsi="Arial" w:cs="Arial"/>
        </w:rPr>
        <w:t>Modificar</w:t>
      </w:r>
      <w:r w:rsidR="6F0F4748" w:rsidRPr="563BF23E">
        <w:rPr>
          <w:rFonts w:ascii="Arial" w:eastAsia="Arial" w:hAnsi="Arial" w:cs="Arial"/>
        </w:rPr>
        <w:t xml:space="preserve"> el Código Civil español para reducir el </w:t>
      </w:r>
      <w:r w:rsidR="06F5A05E" w:rsidRPr="563BF23E">
        <w:rPr>
          <w:rFonts w:ascii="Arial" w:eastAsia="Arial" w:hAnsi="Arial" w:cs="Arial"/>
        </w:rPr>
        <w:t>periodo de</w:t>
      </w:r>
      <w:r w:rsidR="6F0F4748" w:rsidRPr="563BF23E">
        <w:rPr>
          <w:rFonts w:ascii="Arial" w:eastAsia="Arial" w:hAnsi="Arial" w:cs="Arial"/>
        </w:rPr>
        <w:t xml:space="preserve"> residencia </w:t>
      </w:r>
      <w:r w:rsidR="0F0F7BFC" w:rsidRPr="563BF23E">
        <w:rPr>
          <w:rFonts w:ascii="Arial" w:eastAsia="Arial" w:hAnsi="Arial" w:cs="Arial"/>
        </w:rPr>
        <w:t xml:space="preserve">requerido </w:t>
      </w:r>
      <w:r w:rsidR="6F0F4748" w:rsidRPr="563BF23E">
        <w:rPr>
          <w:rFonts w:ascii="Arial" w:eastAsia="Arial" w:hAnsi="Arial" w:cs="Arial"/>
        </w:rPr>
        <w:t>para</w:t>
      </w:r>
      <w:r w:rsidR="19A685DE" w:rsidRPr="563BF23E">
        <w:rPr>
          <w:rFonts w:ascii="Arial" w:eastAsia="Arial" w:hAnsi="Arial" w:cs="Arial"/>
        </w:rPr>
        <w:t xml:space="preserve"> </w:t>
      </w:r>
      <w:r w:rsidR="6F0F4748" w:rsidRPr="563BF23E">
        <w:rPr>
          <w:rFonts w:ascii="Arial" w:eastAsia="Arial" w:hAnsi="Arial" w:cs="Arial"/>
        </w:rPr>
        <w:t xml:space="preserve">las personas apátridas a un período </w:t>
      </w:r>
      <w:r w:rsidR="358344CC" w:rsidRPr="563BF23E">
        <w:rPr>
          <w:rFonts w:ascii="Arial" w:eastAsia="Arial" w:hAnsi="Arial" w:cs="Arial"/>
        </w:rPr>
        <w:t xml:space="preserve">de dos años </w:t>
      </w:r>
      <w:r w:rsidR="44CFFAA0" w:rsidRPr="563BF23E">
        <w:rPr>
          <w:rFonts w:ascii="Arial" w:eastAsia="Arial" w:hAnsi="Arial" w:cs="Arial"/>
        </w:rPr>
        <w:t xml:space="preserve">a fin de materializar el derecho a una nacionalidad de los niños y niñas apátridas no nacidas en el </w:t>
      </w:r>
      <w:r w:rsidR="61CDEF57" w:rsidRPr="563BF23E">
        <w:rPr>
          <w:rFonts w:ascii="Arial" w:eastAsia="Arial" w:hAnsi="Arial" w:cs="Arial"/>
        </w:rPr>
        <w:t>país</w:t>
      </w:r>
      <w:r w:rsidR="44CFFAA0" w:rsidRPr="563BF23E">
        <w:rPr>
          <w:rFonts w:ascii="Arial" w:eastAsia="Arial" w:hAnsi="Arial" w:cs="Arial"/>
        </w:rPr>
        <w:t xml:space="preserve"> tan pronto como sea posible tras su </w:t>
      </w:r>
      <w:r w:rsidR="2A4C0CEA" w:rsidRPr="563BF23E">
        <w:rPr>
          <w:rFonts w:ascii="Arial" w:eastAsia="Arial" w:hAnsi="Arial" w:cs="Arial"/>
        </w:rPr>
        <w:t>nacimiento.</w:t>
      </w:r>
    </w:p>
    <w:p w14:paraId="004E38A4" w14:textId="70C520B0" w:rsidR="6F0F4748" w:rsidRDefault="6F0F4748" w:rsidP="563BF23E">
      <w:pPr>
        <w:pStyle w:val="ListParagraph"/>
        <w:numPr>
          <w:ilvl w:val="0"/>
          <w:numId w:val="3"/>
        </w:numPr>
        <w:spacing w:after="0"/>
        <w:jc w:val="both"/>
        <w:rPr>
          <w:rFonts w:ascii="Arial" w:eastAsia="Arial" w:hAnsi="Arial" w:cs="Arial"/>
        </w:rPr>
      </w:pPr>
      <w:r w:rsidRPr="563BF23E">
        <w:rPr>
          <w:rFonts w:ascii="Arial" w:eastAsia="Arial" w:hAnsi="Arial" w:cs="Arial"/>
        </w:rPr>
        <w:t xml:space="preserve">Implementar exenciones o reducciones de </w:t>
      </w:r>
      <w:r w:rsidR="4F943408" w:rsidRPr="563BF23E">
        <w:rPr>
          <w:rFonts w:ascii="Arial" w:eastAsia="Arial" w:hAnsi="Arial" w:cs="Arial"/>
        </w:rPr>
        <w:t xml:space="preserve">tasas </w:t>
      </w:r>
      <w:r w:rsidRPr="563BF23E">
        <w:rPr>
          <w:rFonts w:ascii="Arial" w:eastAsia="Arial" w:hAnsi="Arial" w:cs="Arial"/>
        </w:rPr>
        <w:t>para las personas apátridas, especialmente para los</w:t>
      </w:r>
      <w:r w:rsidR="00667F16">
        <w:rPr>
          <w:rFonts w:ascii="Arial" w:eastAsia="Arial" w:hAnsi="Arial" w:cs="Arial"/>
        </w:rPr>
        <w:t xml:space="preserve"> menores</w:t>
      </w:r>
      <w:r w:rsidRPr="563BF23E">
        <w:rPr>
          <w:rFonts w:ascii="Arial" w:eastAsia="Arial" w:hAnsi="Arial" w:cs="Arial"/>
        </w:rPr>
        <w:t xml:space="preserve">, </w:t>
      </w:r>
      <w:r w:rsidR="00667F16">
        <w:rPr>
          <w:rFonts w:ascii="Arial" w:eastAsia="Arial" w:hAnsi="Arial" w:cs="Arial"/>
        </w:rPr>
        <w:t>aliviando</w:t>
      </w:r>
      <w:r w:rsidRPr="563BF23E">
        <w:rPr>
          <w:rFonts w:ascii="Arial" w:eastAsia="Arial" w:hAnsi="Arial" w:cs="Arial"/>
        </w:rPr>
        <w:t xml:space="preserve"> la carga financiera del proceso de naturalización.</w:t>
      </w:r>
    </w:p>
    <w:p w14:paraId="552B1B13" w14:textId="03D0A38B" w:rsidR="563BF23E" w:rsidRDefault="563BF23E" w:rsidP="563BF23E">
      <w:pPr>
        <w:spacing w:after="0"/>
        <w:jc w:val="both"/>
        <w:rPr>
          <w:rFonts w:ascii="Arial" w:eastAsia="Arial" w:hAnsi="Arial" w:cs="Arial"/>
        </w:rPr>
      </w:pPr>
    </w:p>
    <w:p w14:paraId="076B8A34" w14:textId="0C610551" w:rsidR="0040574B" w:rsidRPr="0040574B" w:rsidRDefault="53CD9C32" w:rsidP="563BF23E">
      <w:pPr>
        <w:spacing w:line="240" w:lineRule="auto"/>
        <w:jc w:val="both"/>
        <w:rPr>
          <w:rFonts w:ascii="Arial" w:eastAsia="Arial" w:hAnsi="Arial" w:cs="Arial"/>
          <w:lang w:eastAsia="es-ES"/>
        </w:rPr>
      </w:pPr>
      <w:r w:rsidRPr="563BF23E">
        <w:rPr>
          <w:rFonts w:ascii="Arial" w:eastAsia="Arial" w:hAnsi="Arial" w:cs="Arial"/>
          <w:b/>
          <w:bCs/>
          <w:color w:val="000000"/>
          <w:shd w:val="clear" w:color="auto" w:fill="FFFFFF"/>
          <w:lang w:eastAsia="es-ES"/>
        </w:rPr>
        <w:t>Segundo</w:t>
      </w:r>
      <w:r w:rsidR="0040574B" w:rsidRPr="563BF23E">
        <w:rPr>
          <w:rFonts w:ascii="Arial" w:eastAsia="Arial" w:hAnsi="Arial" w:cs="Arial"/>
          <w:b/>
          <w:bCs/>
          <w:color w:val="000000"/>
          <w:shd w:val="clear" w:color="auto" w:fill="FFFFFF"/>
          <w:lang w:eastAsia="es-ES"/>
        </w:rPr>
        <w:t>.</w:t>
      </w:r>
      <w:r w:rsidR="01C86345" w:rsidRPr="563BF23E">
        <w:rPr>
          <w:rFonts w:ascii="Arial" w:eastAsia="Arial" w:hAnsi="Arial" w:cs="Arial"/>
          <w:b/>
          <w:bCs/>
          <w:color w:val="000000"/>
          <w:shd w:val="clear" w:color="auto" w:fill="FFFFFF"/>
          <w:lang w:eastAsia="es-ES"/>
        </w:rPr>
        <w:t>-</w:t>
      </w:r>
      <w:r w:rsidR="0040574B" w:rsidRPr="563BF23E">
        <w:rPr>
          <w:rFonts w:ascii="Arial" w:eastAsia="Arial" w:hAnsi="Arial" w:cs="Arial"/>
          <w:b/>
          <w:bCs/>
          <w:color w:val="000000"/>
          <w:shd w:val="clear" w:color="auto" w:fill="FFFFFF"/>
          <w:lang w:eastAsia="es-ES"/>
        </w:rPr>
        <w:t xml:space="preserve"> Reforma de la Ley del Registro Civil de España: mejora del reconocimiento jurídico y la protección de la inscripción de nacimientos de menores nacidos en tránsito.  </w:t>
      </w:r>
    </w:p>
    <w:p w14:paraId="3A646492" w14:textId="71D50C97" w:rsidR="55424DBD" w:rsidRDefault="55424DBD" w:rsidP="563BF23E">
      <w:pPr>
        <w:spacing w:before="240" w:after="240"/>
        <w:jc w:val="both"/>
        <w:rPr>
          <w:rFonts w:ascii="Arial" w:eastAsia="Arial" w:hAnsi="Arial" w:cs="Arial"/>
        </w:rPr>
      </w:pPr>
      <w:r w:rsidRPr="563BF23E">
        <w:rPr>
          <w:rFonts w:ascii="Arial" w:eastAsia="Arial" w:hAnsi="Arial" w:cs="Arial"/>
        </w:rPr>
        <w:t>España se ha convertido en un destino para</w:t>
      </w:r>
      <w:r w:rsidR="0095725C">
        <w:rPr>
          <w:rFonts w:ascii="Arial" w:eastAsia="Arial" w:hAnsi="Arial" w:cs="Arial"/>
        </w:rPr>
        <w:t xml:space="preserve"> las personas migrantes</w:t>
      </w:r>
      <w:r w:rsidRPr="563BF23E">
        <w:rPr>
          <w:rFonts w:ascii="Arial" w:eastAsia="Arial" w:hAnsi="Arial" w:cs="Arial"/>
        </w:rPr>
        <w:t>, incluyendo menores nacidos en tránsito</w:t>
      </w:r>
      <w:r w:rsidR="00441AFB">
        <w:rPr>
          <w:rFonts w:ascii="Arial" w:eastAsia="Arial" w:hAnsi="Arial" w:cs="Arial"/>
        </w:rPr>
        <w:t>,</w:t>
      </w:r>
      <w:r w:rsidRPr="563BF23E">
        <w:rPr>
          <w:rFonts w:ascii="Arial" w:eastAsia="Arial" w:hAnsi="Arial" w:cs="Arial"/>
        </w:rPr>
        <w:t xml:space="preserve"> cuyo nacimiento no ha sido registrado. Los migrantes en </w:t>
      </w:r>
      <w:r w:rsidRPr="563BF23E">
        <w:rPr>
          <w:rFonts w:ascii="Arial" w:eastAsia="Arial" w:hAnsi="Arial" w:cs="Arial"/>
        </w:rPr>
        <w:lastRenderedPageBreak/>
        <w:t xml:space="preserve">situación irregular enfrentan dificultades para inscribir a sus hijos en los países </w:t>
      </w:r>
      <w:r w:rsidR="00B63551">
        <w:rPr>
          <w:rFonts w:ascii="Arial" w:eastAsia="Arial" w:hAnsi="Arial" w:cs="Arial"/>
        </w:rPr>
        <w:t>de tránsito</w:t>
      </w:r>
      <w:r w:rsidRPr="563BF23E">
        <w:rPr>
          <w:rFonts w:ascii="Arial" w:eastAsia="Arial" w:hAnsi="Arial" w:cs="Arial"/>
        </w:rPr>
        <w:t xml:space="preserve"> y a menudo evitan acercarse a las autoridades debido a su </w:t>
      </w:r>
      <w:r w:rsidR="00BB1773">
        <w:rPr>
          <w:rFonts w:ascii="Arial" w:eastAsia="Arial" w:hAnsi="Arial" w:cs="Arial"/>
        </w:rPr>
        <w:t xml:space="preserve">falta de </w:t>
      </w:r>
      <w:r w:rsidR="00B63551">
        <w:rPr>
          <w:rFonts w:ascii="Arial" w:eastAsia="Arial" w:hAnsi="Arial" w:cs="Arial"/>
        </w:rPr>
        <w:t>estatuto de residencia legal</w:t>
      </w:r>
      <w:r w:rsidRPr="563BF23E">
        <w:rPr>
          <w:rFonts w:ascii="Arial" w:eastAsia="Arial" w:hAnsi="Arial" w:cs="Arial"/>
        </w:rPr>
        <w:t>.</w:t>
      </w:r>
    </w:p>
    <w:p w14:paraId="36CACC67" w14:textId="01DF08F0" w:rsidR="55424DBD" w:rsidRDefault="55424DBD" w:rsidP="563BF23E">
      <w:pPr>
        <w:spacing w:before="240" w:after="240"/>
        <w:jc w:val="both"/>
        <w:rPr>
          <w:rFonts w:ascii="Arial" w:eastAsia="Arial" w:hAnsi="Arial" w:cs="Arial"/>
        </w:rPr>
      </w:pPr>
      <w:r w:rsidRPr="563BF23E">
        <w:rPr>
          <w:rFonts w:ascii="Arial" w:eastAsia="Arial" w:hAnsi="Arial" w:cs="Arial"/>
        </w:rPr>
        <w:t>Estos menores tienen derecho a ser registrados inmediatamente después de nacer</w:t>
      </w:r>
      <w:r w:rsidR="27573645" w:rsidRPr="563BF23E">
        <w:rPr>
          <w:rFonts w:ascii="Arial" w:eastAsia="Arial" w:hAnsi="Arial" w:cs="Arial"/>
        </w:rPr>
        <w:t xml:space="preserve"> y adquirir</w:t>
      </w:r>
      <w:r w:rsidRPr="563BF23E">
        <w:rPr>
          <w:rFonts w:ascii="Arial" w:eastAsia="Arial" w:hAnsi="Arial" w:cs="Arial"/>
        </w:rPr>
        <w:t xml:space="preserve"> una nacionalidad (art</w:t>
      </w:r>
      <w:r w:rsidR="16659B82" w:rsidRPr="563BF23E">
        <w:rPr>
          <w:rFonts w:ascii="Arial" w:eastAsia="Arial" w:hAnsi="Arial" w:cs="Arial"/>
        </w:rPr>
        <w:t xml:space="preserve">. </w:t>
      </w:r>
      <w:r w:rsidRPr="563BF23E">
        <w:rPr>
          <w:rFonts w:ascii="Arial" w:eastAsia="Arial" w:hAnsi="Arial" w:cs="Arial"/>
        </w:rPr>
        <w:t>7</w:t>
      </w:r>
      <w:r w:rsidR="1B96C331" w:rsidRPr="563BF23E">
        <w:rPr>
          <w:rFonts w:ascii="Arial" w:eastAsia="Arial" w:hAnsi="Arial" w:cs="Arial"/>
        </w:rPr>
        <w:t xml:space="preserve"> CDN</w:t>
      </w:r>
      <w:r w:rsidRPr="563BF23E">
        <w:rPr>
          <w:rFonts w:ascii="Arial" w:eastAsia="Arial" w:hAnsi="Arial" w:cs="Arial"/>
        </w:rPr>
        <w:t xml:space="preserve">). La falta de registro oportuno compromete estos derechos, </w:t>
      </w:r>
      <w:r w:rsidR="6C43B9D9" w:rsidRPr="563BF23E">
        <w:rPr>
          <w:rFonts w:ascii="Arial" w:eastAsia="Arial" w:hAnsi="Arial" w:cs="Arial"/>
        </w:rPr>
        <w:t>e</w:t>
      </w:r>
      <w:r w:rsidRPr="563BF23E">
        <w:rPr>
          <w:rFonts w:ascii="Arial" w:eastAsia="Arial" w:hAnsi="Arial" w:cs="Arial"/>
        </w:rPr>
        <w:t xml:space="preserve"> </w:t>
      </w:r>
      <w:r w:rsidR="6C43B9D9" w:rsidRPr="563BF23E">
        <w:rPr>
          <w:rFonts w:ascii="Arial" w:eastAsia="Arial" w:hAnsi="Arial" w:cs="Arial"/>
        </w:rPr>
        <w:t xml:space="preserve">impide </w:t>
      </w:r>
      <w:r w:rsidRPr="563BF23E">
        <w:rPr>
          <w:rFonts w:ascii="Arial" w:eastAsia="Arial" w:hAnsi="Arial" w:cs="Arial"/>
        </w:rPr>
        <w:t xml:space="preserve">el acceso de los niños a la atención sanitaria, la educación y los servicios sociales. A este respecto, Naciones Unidas subraya la importancia del registro de nacimientos para proteger los derechos de los </w:t>
      </w:r>
      <w:r w:rsidR="00667F16">
        <w:rPr>
          <w:rFonts w:ascii="Arial" w:eastAsia="Arial" w:hAnsi="Arial" w:cs="Arial"/>
        </w:rPr>
        <w:t>menores</w:t>
      </w:r>
      <w:r w:rsidRPr="563BF23E">
        <w:rPr>
          <w:rFonts w:ascii="Arial" w:eastAsia="Arial" w:hAnsi="Arial" w:cs="Arial"/>
        </w:rPr>
        <w:t>, recomendando sistemas de registro civil inclusivos que garanticen el registro de todos los niños</w:t>
      </w:r>
      <w:r w:rsidR="00667F16">
        <w:rPr>
          <w:rFonts w:ascii="Arial" w:eastAsia="Arial" w:hAnsi="Arial" w:cs="Arial"/>
        </w:rPr>
        <w:t xml:space="preserve"> y niñas</w:t>
      </w:r>
      <w:r w:rsidRPr="563BF23E">
        <w:rPr>
          <w:rFonts w:ascii="Arial" w:eastAsia="Arial" w:hAnsi="Arial" w:cs="Arial"/>
        </w:rPr>
        <w:t>, independientemente de sus circunstancias al nacer.</w:t>
      </w:r>
    </w:p>
    <w:p w14:paraId="03BF4A05" w14:textId="67B3E2D1" w:rsidR="30366F98" w:rsidRDefault="30366F98" w:rsidP="563BF23E">
      <w:pPr>
        <w:jc w:val="both"/>
        <w:rPr>
          <w:rFonts w:ascii="Arial" w:eastAsia="Arial" w:hAnsi="Arial" w:cs="Arial"/>
        </w:rPr>
      </w:pPr>
      <w:r w:rsidRPr="563BF23E">
        <w:rPr>
          <w:rFonts w:ascii="Arial" w:eastAsia="Arial" w:hAnsi="Arial" w:cs="Arial"/>
        </w:rPr>
        <w:t xml:space="preserve">La Ley del </w:t>
      </w:r>
      <w:r w:rsidR="3E4AF7BC" w:rsidRPr="563BF23E">
        <w:rPr>
          <w:rFonts w:ascii="Arial" w:eastAsia="Arial" w:hAnsi="Arial" w:cs="Arial"/>
        </w:rPr>
        <w:t>Registro Civil</w:t>
      </w:r>
      <w:r w:rsidR="00ED7111">
        <w:rPr>
          <w:rStyle w:val="FootnoteReference"/>
          <w:rFonts w:ascii="Arial" w:eastAsia="Arial" w:hAnsi="Arial" w:cs="Arial"/>
        </w:rPr>
        <w:footnoteReference w:id="12"/>
      </w:r>
      <w:r w:rsidR="3E4AF7BC" w:rsidRPr="563BF23E">
        <w:rPr>
          <w:rFonts w:ascii="Arial" w:eastAsia="Arial" w:hAnsi="Arial" w:cs="Arial"/>
        </w:rPr>
        <w:t xml:space="preserve"> </w:t>
      </w:r>
      <w:r w:rsidR="518AB635" w:rsidRPr="563BF23E">
        <w:rPr>
          <w:rFonts w:ascii="Arial" w:eastAsia="Arial" w:hAnsi="Arial" w:cs="Arial"/>
        </w:rPr>
        <w:t>no contempla la posibilidad de inscribir nacimientos de extranjeros cuanto estos tengan lugar fuera de España y no haya sido registrado por ningún otro Estado</w:t>
      </w:r>
      <w:r w:rsidR="3E4AF7BC" w:rsidRPr="563BF23E">
        <w:rPr>
          <w:rFonts w:ascii="Arial" w:eastAsia="Arial" w:hAnsi="Arial" w:cs="Arial"/>
        </w:rPr>
        <w:t xml:space="preserve">. </w:t>
      </w:r>
      <w:r w:rsidR="7D640C43" w:rsidRPr="563BF23E">
        <w:rPr>
          <w:rFonts w:ascii="Arial" w:eastAsia="Arial" w:hAnsi="Arial" w:cs="Arial"/>
        </w:rPr>
        <w:t xml:space="preserve">Concretamente, </w:t>
      </w:r>
      <w:r w:rsidR="6C5ADDBE" w:rsidRPr="563BF23E">
        <w:rPr>
          <w:rFonts w:ascii="Arial" w:eastAsia="Arial" w:hAnsi="Arial" w:cs="Arial"/>
        </w:rPr>
        <w:t xml:space="preserve">esta </w:t>
      </w:r>
      <w:r w:rsidR="16FE6123" w:rsidRPr="563BF23E">
        <w:rPr>
          <w:rFonts w:ascii="Arial" w:eastAsia="Arial" w:hAnsi="Arial" w:cs="Arial"/>
        </w:rPr>
        <w:t>ley</w:t>
      </w:r>
      <w:r w:rsidR="3E4AF7BC" w:rsidRPr="563BF23E">
        <w:rPr>
          <w:rFonts w:ascii="Arial" w:eastAsia="Arial" w:hAnsi="Arial" w:cs="Arial"/>
        </w:rPr>
        <w:t xml:space="preserve"> establece que en él constarán “</w:t>
      </w:r>
      <w:r w:rsidR="3E4AF7BC" w:rsidRPr="563BF23E">
        <w:rPr>
          <w:rFonts w:ascii="Arial" w:eastAsia="Arial" w:hAnsi="Arial" w:cs="Arial"/>
          <w:i/>
          <w:iCs/>
        </w:rPr>
        <w:t>los hechos y actos inscribibles que afectan a los españoles y los referidos a extranjeros, acaecidos en territorio español. Igualmente, se inscribirán los hechos y actos que hayan tenido lugar fuera de España, cuando las correspondientes inscripciones sean exigidas por el Derecho español</w:t>
      </w:r>
      <w:r w:rsidR="3E4AF7BC" w:rsidRPr="563BF23E">
        <w:rPr>
          <w:rFonts w:ascii="Arial" w:eastAsia="Arial" w:hAnsi="Arial" w:cs="Arial"/>
        </w:rPr>
        <w:t>“(</w:t>
      </w:r>
      <w:r w:rsidR="07AD69EC" w:rsidRPr="563BF23E">
        <w:rPr>
          <w:rFonts w:ascii="Arial" w:eastAsia="Arial" w:hAnsi="Arial" w:cs="Arial"/>
        </w:rPr>
        <w:t>a</w:t>
      </w:r>
      <w:r w:rsidR="3E4AF7BC" w:rsidRPr="563BF23E">
        <w:rPr>
          <w:rFonts w:ascii="Arial" w:eastAsia="Arial" w:hAnsi="Arial" w:cs="Arial"/>
        </w:rPr>
        <w:t>rt. 9). Esta laguna legal ha sido salvada por las resoluciones de algunos Juzgados y Tribunales que han acordado la inscripción de esos nacimientos (</w:t>
      </w:r>
      <w:r w:rsidR="5B8C855D" w:rsidRPr="563BF23E">
        <w:rPr>
          <w:rFonts w:ascii="Arial" w:eastAsia="Arial" w:hAnsi="Arial" w:cs="Arial"/>
        </w:rPr>
        <w:t xml:space="preserve">con base en los </w:t>
      </w:r>
      <w:r w:rsidR="3E4AF7BC" w:rsidRPr="563BF23E">
        <w:rPr>
          <w:rFonts w:ascii="Arial" w:eastAsia="Arial" w:hAnsi="Arial" w:cs="Arial"/>
        </w:rPr>
        <w:t>art</w:t>
      </w:r>
      <w:r w:rsidR="7983848D" w:rsidRPr="563BF23E">
        <w:rPr>
          <w:rFonts w:ascii="Arial" w:eastAsia="Arial" w:hAnsi="Arial" w:cs="Arial"/>
        </w:rPr>
        <w:t>s</w:t>
      </w:r>
      <w:r w:rsidR="3E4AF7BC" w:rsidRPr="563BF23E">
        <w:rPr>
          <w:rFonts w:ascii="Arial" w:eastAsia="Arial" w:hAnsi="Arial" w:cs="Arial"/>
        </w:rPr>
        <w:t>. 3, 6 y 7</w:t>
      </w:r>
      <w:r w:rsidR="568DE106" w:rsidRPr="563BF23E">
        <w:rPr>
          <w:rFonts w:ascii="Arial" w:eastAsia="Arial" w:hAnsi="Arial" w:cs="Arial"/>
        </w:rPr>
        <w:t xml:space="preserve"> CDN</w:t>
      </w:r>
      <w:r w:rsidR="3E4AF7BC" w:rsidRPr="563BF23E">
        <w:rPr>
          <w:rFonts w:ascii="Arial" w:eastAsia="Arial" w:hAnsi="Arial" w:cs="Arial"/>
        </w:rPr>
        <w:t>)</w:t>
      </w:r>
      <w:r w:rsidR="00ED7111">
        <w:rPr>
          <w:rStyle w:val="FootnoteReference"/>
          <w:rFonts w:ascii="Arial" w:eastAsia="Arial" w:hAnsi="Arial" w:cs="Arial"/>
        </w:rPr>
        <w:footnoteReference w:id="13"/>
      </w:r>
      <w:r w:rsidR="00ED7111">
        <w:rPr>
          <w:rStyle w:val="FootnoteReference"/>
          <w:rFonts w:ascii="Arial" w:eastAsia="Arial" w:hAnsi="Arial" w:cs="Arial"/>
        </w:rPr>
        <w:footnoteReference w:id="14"/>
      </w:r>
      <w:r w:rsidR="06742C05" w:rsidRPr="563BF23E">
        <w:rPr>
          <w:rFonts w:ascii="Arial" w:eastAsia="Arial" w:hAnsi="Arial" w:cs="Arial"/>
        </w:rPr>
        <w:t xml:space="preserve">. </w:t>
      </w:r>
      <w:r w:rsidR="7CD41C08" w:rsidRPr="563BF23E">
        <w:rPr>
          <w:rFonts w:ascii="Arial" w:eastAsia="Arial" w:hAnsi="Arial" w:cs="Arial"/>
        </w:rPr>
        <w:t>Esta buena práctica precisa de trasladarse a la legislación mediante una reforma de la Ley del Registro Civil para dar esa protección a niños y niñas nacidas en tránsito sin necesidad de un procedimiento judicial.</w:t>
      </w:r>
    </w:p>
    <w:p w14:paraId="58AB29B9" w14:textId="42D36492" w:rsidR="55424DBD" w:rsidRDefault="55424DBD" w:rsidP="563BF23E">
      <w:pPr>
        <w:jc w:val="both"/>
        <w:rPr>
          <w:rFonts w:ascii="Arial" w:eastAsia="Arial" w:hAnsi="Arial" w:cs="Arial"/>
          <w:b/>
          <w:bCs/>
        </w:rPr>
      </w:pPr>
      <w:r w:rsidRPr="563BF23E">
        <w:rPr>
          <w:rFonts w:ascii="Arial" w:eastAsia="Arial" w:hAnsi="Arial" w:cs="Arial"/>
          <w:b/>
          <w:bCs/>
        </w:rPr>
        <w:t>Preguntas</w:t>
      </w:r>
    </w:p>
    <w:p w14:paraId="059CED8F" w14:textId="6EFCF4C6" w:rsidR="55424DBD" w:rsidRDefault="55424DBD" w:rsidP="563BF23E">
      <w:pPr>
        <w:pStyle w:val="ListParagraph"/>
        <w:numPr>
          <w:ilvl w:val="0"/>
          <w:numId w:val="5"/>
        </w:numPr>
        <w:spacing w:after="0"/>
        <w:jc w:val="both"/>
        <w:rPr>
          <w:rFonts w:ascii="Arial" w:eastAsia="Arial" w:hAnsi="Arial" w:cs="Arial"/>
        </w:rPr>
      </w:pPr>
      <w:r w:rsidRPr="563BF23E">
        <w:rPr>
          <w:rFonts w:ascii="Arial" w:eastAsia="Arial" w:hAnsi="Arial" w:cs="Arial"/>
        </w:rPr>
        <w:t xml:space="preserve">¿Qué medidas planea tomar el gobierno para </w:t>
      </w:r>
      <w:r w:rsidR="18389B59" w:rsidRPr="563BF23E">
        <w:rPr>
          <w:rFonts w:ascii="Arial" w:eastAsia="Arial" w:hAnsi="Arial" w:cs="Arial"/>
        </w:rPr>
        <w:t xml:space="preserve">establecer en la ley un procedimiento que </w:t>
      </w:r>
      <w:r w:rsidRPr="563BF23E">
        <w:rPr>
          <w:rFonts w:ascii="Arial" w:eastAsia="Arial" w:hAnsi="Arial" w:cs="Arial"/>
        </w:rPr>
        <w:t xml:space="preserve">asegurar </w:t>
      </w:r>
      <w:r w:rsidR="197AC497" w:rsidRPr="563BF23E">
        <w:rPr>
          <w:rFonts w:ascii="Arial" w:eastAsia="Arial" w:hAnsi="Arial" w:cs="Arial"/>
        </w:rPr>
        <w:t>el</w:t>
      </w:r>
      <w:r w:rsidRPr="563BF23E">
        <w:rPr>
          <w:rFonts w:ascii="Arial" w:eastAsia="Arial" w:hAnsi="Arial" w:cs="Arial"/>
        </w:rPr>
        <w:t xml:space="preserve"> registro de nacimientos rápido e inclusivo para menores nacidos en tránsito</w:t>
      </w:r>
      <w:r w:rsidR="61205FEB" w:rsidRPr="563BF23E">
        <w:rPr>
          <w:rFonts w:ascii="Arial" w:eastAsia="Arial" w:hAnsi="Arial" w:cs="Arial"/>
        </w:rPr>
        <w:t xml:space="preserve">, que llegan a España careciendo de un </w:t>
      </w:r>
      <w:r w:rsidR="00F96320">
        <w:rPr>
          <w:rFonts w:ascii="Arial" w:eastAsia="Arial" w:hAnsi="Arial" w:cs="Arial"/>
        </w:rPr>
        <w:t xml:space="preserve">registro </w:t>
      </w:r>
      <w:r w:rsidR="61205FEB" w:rsidRPr="563BF23E">
        <w:rPr>
          <w:rFonts w:ascii="Arial" w:eastAsia="Arial" w:hAnsi="Arial" w:cs="Arial"/>
        </w:rPr>
        <w:t>de nacimiento</w:t>
      </w:r>
      <w:r w:rsidRPr="563BF23E">
        <w:rPr>
          <w:rFonts w:ascii="Arial" w:eastAsia="Arial" w:hAnsi="Arial" w:cs="Arial"/>
        </w:rPr>
        <w:t>?</w:t>
      </w:r>
    </w:p>
    <w:p w14:paraId="48353E9A" w14:textId="78988975" w:rsidR="55424DBD" w:rsidRDefault="55424DBD" w:rsidP="563BF23E">
      <w:pPr>
        <w:pStyle w:val="ListParagraph"/>
        <w:numPr>
          <w:ilvl w:val="0"/>
          <w:numId w:val="5"/>
        </w:numPr>
        <w:spacing w:after="0"/>
        <w:jc w:val="both"/>
        <w:rPr>
          <w:rFonts w:ascii="Arial" w:eastAsia="Arial" w:hAnsi="Arial" w:cs="Arial"/>
        </w:rPr>
      </w:pPr>
      <w:r w:rsidRPr="563BF23E">
        <w:rPr>
          <w:rFonts w:ascii="Arial" w:eastAsia="Arial" w:hAnsi="Arial" w:cs="Arial"/>
        </w:rPr>
        <w:t>¿Cómo planea España mejorar los procedimientos administrativos y l</w:t>
      </w:r>
      <w:r w:rsidR="00C96517">
        <w:rPr>
          <w:rFonts w:ascii="Arial" w:eastAsia="Arial" w:hAnsi="Arial" w:cs="Arial"/>
        </w:rPr>
        <w:t xml:space="preserve">a legislación </w:t>
      </w:r>
      <w:r w:rsidRPr="563BF23E">
        <w:rPr>
          <w:rFonts w:ascii="Arial" w:eastAsia="Arial" w:hAnsi="Arial" w:cs="Arial"/>
        </w:rPr>
        <w:t>para proteger los derechos de los niños</w:t>
      </w:r>
      <w:r w:rsidR="00C96517">
        <w:rPr>
          <w:rFonts w:ascii="Arial" w:eastAsia="Arial" w:hAnsi="Arial" w:cs="Arial"/>
        </w:rPr>
        <w:t xml:space="preserve"> y niñas</w:t>
      </w:r>
      <w:r w:rsidRPr="563BF23E">
        <w:rPr>
          <w:rFonts w:ascii="Arial" w:eastAsia="Arial" w:hAnsi="Arial" w:cs="Arial"/>
        </w:rPr>
        <w:t xml:space="preserve"> apátridas, particularmente a la luz de sus obligaciones internacionales bajo la C</w:t>
      </w:r>
      <w:r w:rsidR="00C96517">
        <w:rPr>
          <w:rFonts w:ascii="Arial" w:eastAsia="Arial" w:hAnsi="Arial" w:cs="Arial"/>
        </w:rPr>
        <w:t>DN</w:t>
      </w:r>
      <w:r w:rsidRPr="563BF23E">
        <w:rPr>
          <w:rFonts w:ascii="Arial" w:eastAsia="Arial" w:hAnsi="Arial" w:cs="Arial"/>
        </w:rPr>
        <w:t>?</w:t>
      </w:r>
    </w:p>
    <w:p w14:paraId="022F6AEA" w14:textId="53F5C8A2" w:rsidR="55424DBD" w:rsidRDefault="55424DBD" w:rsidP="563BF23E">
      <w:pPr>
        <w:pStyle w:val="ListParagraph"/>
        <w:numPr>
          <w:ilvl w:val="0"/>
          <w:numId w:val="5"/>
        </w:numPr>
        <w:spacing w:after="0"/>
        <w:jc w:val="both"/>
        <w:rPr>
          <w:rFonts w:ascii="Arial" w:eastAsia="Arial" w:hAnsi="Arial" w:cs="Arial"/>
        </w:rPr>
      </w:pPr>
      <w:r w:rsidRPr="563BF23E">
        <w:rPr>
          <w:rFonts w:ascii="Arial" w:eastAsia="Arial" w:hAnsi="Arial" w:cs="Arial"/>
        </w:rPr>
        <w:t>¿Qué medidas están en vigor o se implementarán para mejorar el acceso a servicios esenciales, como la atención médica y la educación, para menores nacidos en tránsito que actualmente carecen de reconocimiento legal?</w:t>
      </w:r>
    </w:p>
    <w:p w14:paraId="236F7FA1" w14:textId="0372FA33" w:rsidR="55424DBD" w:rsidRDefault="55424DBD" w:rsidP="563BF23E">
      <w:pPr>
        <w:spacing w:before="240" w:after="240"/>
        <w:jc w:val="both"/>
        <w:rPr>
          <w:rFonts w:ascii="Arial" w:eastAsia="Arial" w:hAnsi="Arial" w:cs="Arial"/>
          <w:b/>
          <w:bCs/>
        </w:rPr>
      </w:pPr>
      <w:r w:rsidRPr="563BF23E">
        <w:rPr>
          <w:rFonts w:ascii="Arial" w:eastAsia="Arial" w:hAnsi="Arial" w:cs="Arial"/>
          <w:b/>
          <w:bCs/>
        </w:rPr>
        <w:t>Recomendaciones</w:t>
      </w:r>
    </w:p>
    <w:p w14:paraId="0CB74E78" w14:textId="02B0DAFC" w:rsidR="2813F0EF" w:rsidRDefault="2813F0EF" w:rsidP="563BF23E">
      <w:pPr>
        <w:pStyle w:val="ListParagraph"/>
        <w:spacing w:after="0"/>
        <w:jc w:val="both"/>
        <w:rPr>
          <w:rFonts w:ascii="Arial" w:eastAsia="Arial" w:hAnsi="Arial" w:cs="Arial"/>
        </w:rPr>
      </w:pPr>
      <w:r w:rsidRPr="563BF23E">
        <w:rPr>
          <w:rFonts w:ascii="Arial" w:eastAsia="Arial" w:hAnsi="Arial" w:cs="Arial"/>
        </w:rPr>
        <w:t xml:space="preserve">Modificar </w:t>
      </w:r>
      <w:r w:rsidR="55424DBD" w:rsidRPr="563BF23E">
        <w:rPr>
          <w:rFonts w:ascii="Arial" w:eastAsia="Arial" w:hAnsi="Arial" w:cs="Arial"/>
        </w:rPr>
        <w:t xml:space="preserve">la Ley del Registro Civil para </w:t>
      </w:r>
      <w:r w:rsidR="7511761E" w:rsidRPr="563BF23E">
        <w:rPr>
          <w:rFonts w:ascii="Arial" w:eastAsia="Arial" w:hAnsi="Arial" w:cs="Arial"/>
        </w:rPr>
        <w:t xml:space="preserve">posibilitar </w:t>
      </w:r>
      <w:r w:rsidR="55424DBD" w:rsidRPr="563BF23E">
        <w:rPr>
          <w:rFonts w:ascii="Arial" w:eastAsia="Arial" w:hAnsi="Arial" w:cs="Arial"/>
        </w:rPr>
        <w:t>el registro de nacimiento de menores nacidos en tránsito</w:t>
      </w:r>
      <w:r w:rsidR="197E5E0D" w:rsidRPr="563BF23E">
        <w:rPr>
          <w:rFonts w:ascii="Arial" w:eastAsia="Arial" w:hAnsi="Arial" w:cs="Arial"/>
        </w:rPr>
        <w:t xml:space="preserve"> que carezcan de previo registro de nacimiento</w:t>
      </w:r>
      <w:r w:rsidR="232F0DBC" w:rsidRPr="563BF23E">
        <w:rPr>
          <w:rFonts w:ascii="Arial" w:eastAsia="Arial" w:hAnsi="Arial" w:cs="Arial"/>
        </w:rPr>
        <w:t xml:space="preserve"> a su llegada a España</w:t>
      </w:r>
      <w:r w:rsidR="55424DBD" w:rsidRPr="563BF23E">
        <w:rPr>
          <w:rFonts w:ascii="Arial" w:eastAsia="Arial" w:hAnsi="Arial" w:cs="Arial"/>
        </w:rPr>
        <w:t>, alineándose con los estándares internacionales y asegurando la protección de los derechos de los niños.</w:t>
      </w:r>
    </w:p>
    <w:p w14:paraId="7305D435" w14:textId="1986589D" w:rsidR="563BF23E" w:rsidRDefault="563BF23E" w:rsidP="563BF23E">
      <w:pPr>
        <w:pStyle w:val="ListParagraph"/>
        <w:spacing w:after="0"/>
        <w:jc w:val="both"/>
        <w:rPr>
          <w:rFonts w:ascii="Arial" w:eastAsia="Arial" w:hAnsi="Arial" w:cs="Arial"/>
        </w:rPr>
      </w:pPr>
    </w:p>
    <w:p w14:paraId="326E854F" w14:textId="151573EB" w:rsidR="0040574B" w:rsidRPr="0040574B" w:rsidRDefault="051EB5AE" w:rsidP="563BF23E">
      <w:pPr>
        <w:spacing w:line="240" w:lineRule="auto"/>
        <w:jc w:val="both"/>
        <w:rPr>
          <w:rFonts w:ascii="Arial" w:eastAsia="Arial" w:hAnsi="Arial" w:cs="Arial"/>
        </w:rPr>
      </w:pPr>
      <w:r w:rsidRPr="563BF23E">
        <w:rPr>
          <w:rFonts w:ascii="Arial" w:eastAsia="Arial" w:hAnsi="Arial" w:cs="Arial"/>
          <w:b/>
          <w:bCs/>
          <w:shd w:val="clear" w:color="auto" w:fill="FFFFFF"/>
          <w:lang w:eastAsia="es-ES"/>
        </w:rPr>
        <w:lastRenderedPageBreak/>
        <w:t>Tercero.- A</w:t>
      </w:r>
      <w:r w:rsidR="0040574B" w:rsidRPr="563BF23E">
        <w:rPr>
          <w:rFonts w:ascii="Arial" w:eastAsia="Arial" w:hAnsi="Arial" w:cs="Arial"/>
          <w:b/>
          <w:bCs/>
          <w:color w:val="000000"/>
          <w:shd w:val="clear" w:color="auto" w:fill="FFFFFF"/>
          <w:lang w:eastAsia="es-ES"/>
        </w:rPr>
        <w:t>daptación del procedimiento de determinación de apatridia en el caso de solicitantes menores de edad.</w:t>
      </w:r>
    </w:p>
    <w:p w14:paraId="571881BD" w14:textId="51C0A308" w:rsidR="0040574B" w:rsidRPr="0040574B" w:rsidRDefault="4BAD482B" w:rsidP="563BF23E">
      <w:pPr>
        <w:pStyle w:val="ListParagraph"/>
        <w:spacing w:after="0" w:line="240" w:lineRule="auto"/>
      </w:pPr>
      <w:r w:rsidRPr="563BF23E">
        <w:rPr>
          <w:rFonts w:ascii="Times New Roman" w:eastAsia="Times New Roman" w:hAnsi="Times New Roman" w:cs="Times New Roman"/>
        </w:rPr>
        <w:t xml:space="preserve"> </w:t>
      </w:r>
    </w:p>
    <w:p w14:paraId="0BC07586" w14:textId="122D9BA5" w:rsidR="0040574B" w:rsidRPr="0040574B" w:rsidRDefault="4BAD482B" w:rsidP="563BF23E">
      <w:pPr>
        <w:spacing w:after="0" w:line="240" w:lineRule="auto"/>
        <w:jc w:val="both"/>
      </w:pPr>
      <w:r w:rsidRPr="563BF23E">
        <w:rPr>
          <w:rFonts w:ascii="Arial" w:eastAsia="Arial" w:hAnsi="Arial" w:cs="Arial"/>
          <w:color w:val="000000" w:themeColor="text1"/>
        </w:rPr>
        <w:t xml:space="preserve">El procedimiento de determinación de </w:t>
      </w:r>
      <w:r w:rsidR="0045781B">
        <w:rPr>
          <w:rFonts w:ascii="Arial" w:eastAsia="Arial" w:hAnsi="Arial" w:cs="Arial"/>
          <w:color w:val="000000" w:themeColor="text1"/>
        </w:rPr>
        <w:t xml:space="preserve">la </w:t>
      </w:r>
      <w:r w:rsidRPr="563BF23E">
        <w:rPr>
          <w:rFonts w:ascii="Arial" w:eastAsia="Arial" w:hAnsi="Arial" w:cs="Arial"/>
          <w:color w:val="000000" w:themeColor="text1"/>
        </w:rPr>
        <w:t>apatridia es crucial para garantizar los derechos fundamentales de quienes carecen de nacionalidad. Sin embargo, la normativa vigente no asegura un desarrollo completo para adaptarse a las necesidades específicas de los solicita</w:t>
      </w:r>
      <w:r w:rsidR="0045781B">
        <w:rPr>
          <w:rFonts w:ascii="Arial" w:eastAsia="Arial" w:hAnsi="Arial" w:cs="Arial"/>
          <w:color w:val="000000" w:themeColor="text1"/>
        </w:rPr>
        <w:t>nte</w:t>
      </w:r>
      <w:r w:rsidRPr="563BF23E">
        <w:rPr>
          <w:rFonts w:ascii="Arial" w:eastAsia="Arial" w:hAnsi="Arial" w:cs="Arial"/>
          <w:color w:val="000000" w:themeColor="text1"/>
        </w:rPr>
        <w:t>s menores de edad. Estos procedimientos deben estar adaptados a</w:t>
      </w:r>
      <w:r w:rsidR="00ED0FBD">
        <w:rPr>
          <w:rFonts w:ascii="Arial" w:eastAsia="Arial" w:hAnsi="Arial" w:cs="Arial"/>
          <w:color w:val="000000" w:themeColor="text1"/>
        </w:rPr>
        <w:t xml:space="preserve"> </w:t>
      </w:r>
      <w:r w:rsidRPr="563BF23E">
        <w:rPr>
          <w:rFonts w:ascii="Arial" w:eastAsia="Arial" w:hAnsi="Arial" w:cs="Arial"/>
          <w:color w:val="000000" w:themeColor="text1"/>
        </w:rPr>
        <w:t xml:space="preserve">la edad y desarrollo de los menores, y </w:t>
      </w:r>
      <w:r w:rsidR="00301CF0">
        <w:rPr>
          <w:rFonts w:ascii="Arial" w:eastAsia="Arial" w:hAnsi="Arial" w:cs="Arial"/>
          <w:color w:val="000000" w:themeColor="text1"/>
        </w:rPr>
        <w:t>a</w:t>
      </w:r>
      <w:r w:rsidRPr="563BF23E">
        <w:rPr>
          <w:rFonts w:ascii="Arial" w:eastAsia="Arial" w:hAnsi="Arial" w:cs="Arial"/>
          <w:color w:val="000000" w:themeColor="text1"/>
        </w:rPr>
        <w:t>demás deben atender a los derechos y protección adicionales que les garantiza la CDN, como el derecho a participar en las decisiones que les atañen y el derecho a que se tenga en cuenta su interés superior. Según el informe de la EMN de 202</w:t>
      </w:r>
      <w:r w:rsidR="00C568D5">
        <w:rPr>
          <w:rFonts w:ascii="Arial" w:eastAsia="Arial" w:hAnsi="Arial" w:cs="Arial"/>
          <w:color w:val="000000" w:themeColor="text1"/>
        </w:rPr>
        <w:t>3</w:t>
      </w:r>
      <w:r w:rsidR="00C568D5">
        <w:rPr>
          <w:rStyle w:val="FootnoteReference"/>
          <w:rFonts w:ascii="Arial" w:eastAsia="Arial" w:hAnsi="Arial" w:cs="Arial"/>
          <w:color w:val="000000" w:themeColor="text1"/>
        </w:rPr>
        <w:footnoteReference w:id="15"/>
      </w:r>
      <w:r w:rsidRPr="563BF23E">
        <w:rPr>
          <w:rFonts w:ascii="Arial" w:eastAsia="Arial" w:hAnsi="Arial" w:cs="Arial"/>
          <w:color w:val="000000" w:themeColor="text1"/>
        </w:rPr>
        <w:t>, ningún Estado miembro de la UE cuenta con procedimientos específicos de determinación de la apatridia adaptados para los niños</w:t>
      </w:r>
      <w:r w:rsidR="0045781B">
        <w:rPr>
          <w:rFonts w:ascii="Arial" w:eastAsia="Arial" w:hAnsi="Arial" w:cs="Arial"/>
          <w:color w:val="000000" w:themeColor="text1"/>
        </w:rPr>
        <w:t xml:space="preserve"> y niñas</w:t>
      </w:r>
      <w:r w:rsidRPr="563BF23E">
        <w:rPr>
          <w:rFonts w:ascii="Arial" w:eastAsia="Arial" w:hAnsi="Arial" w:cs="Arial"/>
          <w:color w:val="000000" w:themeColor="text1"/>
        </w:rPr>
        <w:t xml:space="preserve">, en particular los </w:t>
      </w:r>
      <w:r w:rsidR="0045781B">
        <w:rPr>
          <w:rFonts w:ascii="Arial" w:eastAsia="Arial" w:hAnsi="Arial" w:cs="Arial"/>
          <w:color w:val="000000" w:themeColor="text1"/>
        </w:rPr>
        <w:t xml:space="preserve">menores de edad </w:t>
      </w:r>
      <w:r w:rsidRPr="563BF23E">
        <w:rPr>
          <w:rFonts w:ascii="Arial" w:eastAsia="Arial" w:hAnsi="Arial" w:cs="Arial"/>
          <w:color w:val="000000" w:themeColor="text1"/>
        </w:rPr>
        <w:t xml:space="preserve">nacidos en el exilio o los </w:t>
      </w:r>
      <w:r w:rsidR="0045781B">
        <w:rPr>
          <w:rFonts w:ascii="Arial" w:eastAsia="Arial" w:hAnsi="Arial" w:cs="Arial"/>
          <w:color w:val="000000" w:themeColor="text1"/>
        </w:rPr>
        <w:t xml:space="preserve">y las </w:t>
      </w:r>
      <w:r w:rsidRPr="563BF23E">
        <w:rPr>
          <w:rFonts w:ascii="Arial" w:eastAsia="Arial" w:hAnsi="Arial" w:cs="Arial"/>
          <w:color w:val="000000" w:themeColor="text1"/>
        </w:rPr>
        <w:t>niñ</w:t>
      </w:r>
      <w:r w:rsidR="0045781B">
        <w:rPr>
          <w:rFonts w:ascii="Arial" w:eastAsia="Arial" w:hAnsi="Arial" w:cs="Arial"/>
          <w:color w:val="000000" w:themeColor="text1"/>
        </w:rPr>
        <w:t>a</w:t>
      </w:r>
      <w:r w:rsidRPr="563BF23E">
        <w:rPr>
          <w:rFonts w:ascii="Arial" w:eastAsia="Arial" w:hAnsi="Arial" w:cs="Arial"/>
          <w:color w:val="000000" w:themeColor="text1"/>
        </w:rPr>
        <w:t xml:space="preserve">s apátridas que llegan al territorio de los Estados miembros de la UE y </w:t>
      </w:r>
      <w:r w:rsidR="0045781B">
        <w:rPr>
          <w:rFonts w:ascii="Arial" w:eastAsia="Arial" w:hAnsi="Arial" w:cs="Arial"/>
          <w:color w:val="000000" w:themeColor="text1"/>
        </w:rPr>
        <w:t>aquellos que lo hacen</w:t>
      </w:r>
      <w:r w:rsidRPr="563BF23E">
        <w:rPr>
          <w:rFonts w:ascii="Arial" w:eastAsia="Arial" w:hAnsi="Arial" w:cs="Arial"/>
          <w:color w:val="000000" w:themeColor="text1"/>
        </w:rPr>
        <w:t xml:space="preserve"> no acompañados. En la mayoría de los casos, la carga de la prueba recae en el solicitante. En este contexto, es de gran importancia un procedimiento adaptado a las necesidades de los niños y niñas y, especialmente, de la necesidad de evitar retrasos indebidos. </w:t>
      </w:r>
    </w:p>
    <w:p w14:paraId="0E3CF00F" w14:textId="62D434B1" w:rsidR="0040574B" w:rsidRPr="0040574B" w:rsidRDefault="4BAD482B" w:rsidP="563BF23E">
      <w:pPr>
        <w:spacing w:after="0" w:line="240" w:lineRule="auto"/>
      </w:pPr>
      <w:r w:rsidRPr="563BF23E">
        <w:rPr>
          <w:rFonts w:ascii="Times New Roman" w:eastAsia="Times New Roman" w:hAnsi="Times New Roman" w:cs="Times New Roman"/>
        </w:rPr>
        <w:t xml:space="preserve"> </w:t>
      </w:r>
    </w:p>
    <w:p w14:paraId="69F31E12" w14:textId="720C8463" w:rsidR="0040574B" w:rsidRPr="0040574B" w:rsidRDefault="7DDBD543" w:rsidP="563BF23E">
      <w:pPr>
        <w:spacing w:after="0" w:line="240" w:lineRule="auto"/>
        <w:jc w:val="both"/>
      </w:pPr>
      <w:r w:rsidRPr="563BF23E">
        <w:rPr>
          <w:rFonts w:ascii="Arial" w:eastAsia="Arial" w:hAnsi="Arial" w:cs="Arial"/>
          <w:color w:val="000000" w:themeColor="text1"/>
        </w:rPr>
        <w:t>Actualmente, la normativa española que regula el procedimiento de determinación no contempla un enfoque diferenciado ni prioriza los casos de menores, más allá de algunas garantías contempladas si éstos no están acompañados (art. 6).</w:t>
      </w:r>
      <w:r w:rsidR="4BAD482B" w:rsidRPr="563BF23E">
        <w:rPr>
          <w:rFonts w:ascii="Arial" w:eastAsia="Arial" w:hAnsi="Arial" w:cs="Arial"/>
          <w:color w:val="000000" w:themeColor="text1"/>
        </w:rPr>
        <w:t xml:space="preserve"> Esto resulta problemático, ya que la ausencia de un procedimiento adecuado que presente excesivas dilaciones puede vulnerar los derechos de </w:t>
      </w:r>
      <w:r w:rsidR="0045781B">
        <w:rPr>
          <w:rFonts w:ascii="Arial" w:eastAsia="Arial" w:hAnsi="Arial" w:cs="Arial"/>
          <w:color w:val="000000" w:themeColor="text1"/>
        </w:rPr>
        <w:t xml:space="preserve">los menores de edad </w:t>
      </w:r>
      <w:r w:rsidR="4BAD482B" w:rsidRPr="563BF23E">
        <w:rPr>
          <w:rFonts w:ascii="Arial" w:eastAsia="Arial" w:hAnsi="Arial" w:cs="Arial"/>
          <w:color w:val="000000" w:themeColor="text1"/>
        </w:rPr>
        <w:t>y prolongar innecesariamente su estado de apatridia, que en muchos casos suponen una tramitación de dos años, excediendo notablemente el plazo de tres meses que contempla la norma</w:t>
      </w:r>
      <w:r w:rsidR="0054680A">
        <w:rPr>
          <w:rFonts w:ascii="Arial" w:eastAsia="Arial" w:hAnsi="Arial" w:cs="Arial"/>
          <w:color w:val="000000" w:themeColor="text1"/>
        </w:rPr>
        <w:t xml:space="preserve">.                                                    </w:t>
      </w:r>
      <w:r w:rsidR="0054680A" w:rsidRPr="563BF23E">
        <w:rPr>
          <w:rFonts w:ascii="Arial" w:eastAsia="Arial" w:hAnsi="Arial" w:cs="Arial"/>
          <w:color w:val="000000" w:themeColor="text1"/>
        </w:rPr>
        <w:t xml:space="preserve"> </w:t>
      </w:r>
    </w:p>
    <w:p w14:paraId="0B688694" w14:textId="66631EAC" w:rsidR="0040574B" w:rsidRPr="0040574B" w:rsidRDefault="4BAD482B" w:rsidP="563BF23E">
      <w:pPr>
        <w:spacing w:after="0" w:line="240" w:lineRule="auto"/>
      </w:pPr>
      <w:r w:rsidRPr="563BF23E">
        <w:rPr>
          <w:rFonts w:ascii="Times New Roman" w:eastAsia="Times New Roman" w:hAnsi="Times New Roman" w:cs="Times New Roman"/>
        </w:rPr>
        <w:t xml:space="preserve"> </w:t>
      </w:r>
    </w:p>
    <w:p w14:paraId="5A7286E1" w14:textId="3E1A2B24" w:rsidR="0040574B" w:rsidRPr="0040574B" w:rsidRDefault="4BAD482B" w:rsidP="563BF23E">
      <w:pPr>
        <w:spacing w:after="0" w:line="240" w:lineRule="auto"/>
        <w:jc w:val="both"/>
      </w:pPr>
      <w:r w:rsidRPr="563BF23E">
        <w:rPr>
          <w:rFonts w:ascii="Arial" w:eastAsia="Arial" w:hAnsi="Arial" w:cs="Arial"/>
          <w:color w:val="000000" w:themeColor="text1"/>
        </w:rPr>
        <w:t>Para mejorar la protección de los derechos de los menores de edad en este contexto, es fundamental implementar un procedimiento adaptado y acelerado que garantice un trato justo y humano para todos los niños</w:t>
      </w:r>
      <w:r w:rsidR="0045781B">
        <w:rPr>
          <w:rFonts w:ascii="Arial" w:eastAsia="Arial" w:hAnsi="Arial" w:cs="Arial"/>
          <w:color w:val="000000" w:themeColor="text1"/>
        </w:rPr>
        <w:t xml:space="preserve"> y niñas</w:t>
      </w:r>
      <w:r w:rsidRPr="563BF23E">
        <w:rPr>
          <w:rFonts w:ascii="Arial" w:eastAsia="Arial" w:hAnsi="Arial" w:cs="Arial"/>
          <w:color w:val="000000" w:themeColor="text1"/>
        </w:rPr>
        <w:t xml:space="preserve"> solicitantes. Esto permitirá minimizar el tiempo en que los menores, no solo aquellos no acompañados, permanezcan sin una nacionalidad reconocida. El Manual de Protección de personas apátridas de</w:t>
      </w:r>
      <w:r w:rsidR="0045781B">
        <w:rPr>
          <w:rFonts w:ascii="Arial" w:eastAsia="Arial" w:hAnsi="Arial" w:cs="Arial"/>
          <w:color w:val="000000" w:themeColor="text1"/>
        </w:rPr>
        <w:t>l</w:t>
      </w:r>
      <w:r w:rsidRPr="563BF23E">
        <w:rPr>
          <w:rFonts w:ascii="Arial" w:eastAsia="Arial" w:hAnsi="Arial" w:cs="Arial"/>
          <w:color w:val="000000" w:themeColor="text1"/>
        </w:rPr>
        <w:t xml:space="preserve"> ACNUR</w:t>
      </w:r>
      <w:r w:rsidR="00C568D5">
        <w:rPr>
          <w:rStyle w:val="FootnoteReference"/>
          <w:rFonts w:ascii="Arial" w:eastAsia="Arial" w:hAnsi="Arial" w:cs="Arial"/>
          <w:color w:val="000000" w:themeColor="text1"/>
        </w:rPr>
        <w:footnoteReference w:id="16"/>
      </w:r>
      <w:r w:rsidRPr="563BF23E">
        <w:rPr>
          <w:rFonts w:ascii="Arial" w:eastAsia="Arial" w:hAnsi="Arial" w:cs="Arial"/>
          <w:color w:val="000000" w:themeColor="text1"/>
        </w:rPr>
        <w:t xml:space="preserve"> establece </w:t>
      </w:r>
      <w:r w:rsidR="0045781B">
        <w:rPr>
          <w:rFonts w:ascii="Arial" w:eastAsia="Arial" w:hAnsi="Arial" w:cs="Arial"/>
          <w:color w:val="000000" w:themeColor="text1"/>
        </w:rPr>
        <w:t>la</w:t>
      </w:r>
      <w:r w:rsidR="0045781B" w:rsidRPr="563BF23E">
        <w:rPr>
          <w:rFonts w:ascii="Arial" w:eastAsia="Arial" w:hAnsi="Arial" w:cs="Arial"/>
          <w:color w:val="000000" w:themeColor="text1"/>
        </w:rPr>
        <w:t xml:space="preserve"> </w:t>
      </w:r>
      <w:r w:rsidRPr="563BF23E">
        <w:rPr>
          <w:rFonts w:ascii="Arial" w:eastAsia="Arial" w:hAnsi="Arial" w:cs="Arial"/>
          <w:color w:val="000000" w:themeColor="text1"/>
        </w:rPr>
        <w:t xml:space="preserve">necesidad de garantías adicionales de naturaleza probatoria y procesal para los niños y las niñas solicitantes, que incluyen la prioridad en el proceso de sus solicitudes, la provisión de representantes legales, entrevistadores e intérpretes apropiadamente capacitados, así como la suposición de una mayor proporción de la carga de la prueba por el Estado (para.119). </w:t>
      </w:r>
    </w:p>
    <w:p w14:paraId="2C235077" w14:textId="7EF1F0AD" w:rsidR="0040574B" w:rsidRPr="0040574B" w:rsidRDefault="4BAD482B" w:rsidP="563BF23E">
      <w:pPr>
        <w:spacing w:after="0" w:line="240" w:lineRule="auto"/>
      </w:pPr>
      <w:r w:rsidRPr="563BF23E">
        <w:rPr>
          <w:rFonts w:ascii="Times New Roman" w:eastAsia="Times New Roman" w:hAnsi="Times New Roman" w:cs="Times New Roman"/>
        </w:rPr>
        <w:t xml:space="preserve"> </w:t>
      </w:r>
    </w:p>
    <w:p w14:paraId="0F931728" w14:textId="2E144424" w:rsidR="0040574B" w:rsidRPr="0040574B" w:rsidRDefault="62002122" w:rsidP="563BF23E">
      <w:pPr>
        <w:spacing w:after="0"/>
        <w:jc w:val="both"/>
        <w:rPr>
          <w:rFonts w:ascii="Arial" w:eastAsia="Arial" w:hAnsi="Arial" w:cs="Arial"/>
          <w:b/>
          <w:bCs/>
          <w:color w:val="000000" w:themeColor="text1"/>
        </w:rPr>
      </w:pPr>
      <w:r w:rsidRPr="563BF23E">
        <w:rPr>
          <w:rFonts w:ascii="Arial" w:eastAsia="Arial" w:hAnsi="Arial" w:cs="Arial"/>
          <w:b/>
          <w:bCs/>
          <w:color w:val="000000" w:themeColor="text1"/>
        </w:rPr>
        <w:t>Preguntas:</w:t>
      </w:r>
    </w:p>
    <w:p w14:paraId="0CE07153" w14:textId="6EB97B18" w:rsidR="0040574B" w:rsidRPr="0040574B" w:rsidRDefault="4BAD482B" w:rsidP="563BF23E">
      <w:pPr>
        <w:spacing w:after="0" w:line="240" w:lineRule="auto"/>
      </w:pPr>
      <w:r w:rsidRPr="563BF23E">
        <w:rPr>
          <w:rFonts w:ascii="Times New Roman" w:eastAsia="Times New Roman" w:hAnsi="Times New Roman" w:cs="Times New Roman"/>
        </w:rPr>
        <w:t xml:space="preserve"> </w:t>
      </w:r>
    </w:p>
    <w:p w14:paraId="2D40EF32" w14:textId="55CDB3BD" w:rsidR="0040574B" w:rsidRPr="0040574B" w:rsidRDefault="4BAD482B" w:rsidP="563BF23E">
      <w:pPr>
        <w:pStyle w:val="ListParagraph"/>
        <w:numPr>
          <w:ilvl w:val="0"/>
          <w:numId w:val="2"/>
        </w:numPr>
        <w:spacing w:after="0" w:line="240" w:lineRule="auto"/>
        <w:jc w:val="both"/>
      </w:pPr>
      <w:r w:rsidRPr="563BF23E">
        <w:rPr>
          <w:rFonts w:ascii="Arial" w:eastAsia="Arial" w:hAnsi="Arial" w:cs="Arial"/>
          <w:color w:val="000000" w:themeColor="text1"/>
        </w:rPr>
        <w:t>¿Qué medidas planea tomar el gobierno para adaptar el procedimiento de determinación de apatridia a las necesidades específicas de los menores de edad?</w:t>
      </w:r>
    </w:p>
    <w:p w14:paraId="6E0BB4CB" w14:textId="248FACE1" w:rsidR="0040574B" w:rsidRPr="0040574B" w:rsidRDefault="4BAD482B" w:rsidP="563BF23E">
      <w:pPr>
        <w:pStyle w:val="ListParagraph"/>
        <w:numPr>
          <w:ilvl w:val="0"/>
          <w:numId w:val="2"/>
        </w:numPr>
        <w:spacing w:after="0" w:line="240" w:lineRule="auto"/>
        <w:jc w:val="both"/>
      </w:pPr>
      <w:r w:rsidRPr="563BF23E">
        <w:rPr>
          <w:rFonts w:ascii="Arial" w:eastAsia="Arial" w:hAnsi="Arial" w:cs="Arial"/>
          <w:color w:val="000000" w:themeColor="text1"/>
        </w:rPr>
        <w:t>¿Cómo pretende España asegurar que los casos de menores sean priorizados en el proceso de determinación de apatridia, garantizando una resolución rápida y eficaz?</w:t>
      </w:r>
    </w:p>
    <w:p w14:paraId="2FF7C18E" w14:textId="7757AE6D" w:rsidR="0040574B" w:rsidRPr="0040574B" w:rsidRDefault="4BAD482B" w:rsidP="563BF23E">
      <w:pPr>
        <w:pStyle w:val="ListParagraph"/>
        <w:numPr>
          <w:ilvl w:val="0"/>
          <w:numId w:val="2"/>
        </w:numPr>
        <w:spacing w:after="0" w:line="240" w:lineRule="auto"/>
        <w:jc w:val="both"/>
      </w:pPr>
      <w:r w:rsidRPr="563BF23E">
        <w:rPr>
          <w:rFonts w:ascii="Arial" w:eastAsia="Arial" w:hAnsi="Arial" w:cs="Arial"/>
          <w:color w:val="000000" w:themeColor="text1"/>
        </w:rPr>
        <w:t>¿Qué formación y recursos se han proporcionado a los representantes legales, entrevistadores e intérpretes para asegurar que sean adecuadamente capacitados en el manejo de casos de menores?</w:t>
      </w:r>
    </w:p>
    <w:p w14:paraId="455664C9" w14:textId="2C7B9900" w:rsidR="0040574B" w:rsidRPr="0040574B" w:rsidRDefault="4BAD482B" w:rsidP="563BF23E">
      <w:pPr>
        <w:spacing w:after="0" w:line="240" w:lineRule="auto"/>
      </w:pPr>
      <w:r w:rsidRPr="563BF23E">
        <w:rPr>
          <w:rFonts w:ascii="Times New Roman" w:eastAsia="Times New Roman" w:hAnsi="Times New Roman" w:cs="Times New Roman"/>
        </w:rPr>
        <w:t xml:space="preserve"> </w:t>
      </w:r>
    </w:p>
    <w:p w14:paraId="30FBBB91" w14:textId="533E9941" w:rsidR="0040574B" w:rsidRPr="0040574B" w:rsidRDefault="4BAD482B" w:rsidP="563BF23E">
      <w:pPr>
        <w:spacing w:after="0" w:line="240" w:lineRule="auto"/>
        <w:jc w:val="both"/>
        <w:rPr>
          <w:rFonts w:ascii="Arial" w:eastAsia="Arial" w:hAnsi="Arial" w:cs="Arial"/>
          <w:b/>
          <w:bCs/>
          <w:color w:val="000000" w:themeColor="text1"/>
        </w:rPr>
      </w:pPr>
      <w:r w:rsidRPr="563BF23E">
        <w:rPr>
          <w:rFonts w:ascii="Arial" w:eastAsia="Arial" w:hAnsi="Arial" w:cs="Arial"/>
          <w:b/>
          <w:bCs/>
          <w:color w:val="000000" w:themeColor="text1"/>
        </w:rPr>
        <w:lastRenderedPageBreak/>
        <w:t>Recomendaciones</w:t>
      </w:r>
    </w:p>
    <w:p w14:paraId="5F6DE65D" w14:textId="7BCD0318" w:rsidR="0040574B" w:rsidRPr="0040574B" w:rsidRDefault="4BAD482B" w:rsidP="563BF23E">
      <w:pPr>
        <w:spacing w:after="0" w:line="240" w:lineRule="auto"/>
      </w:pPr>
      <w:r w:rsidRPr="563BF23E">
        <w:rPr>
          <w:rFonts w:ascii="Times New Roman" w:eastAsia="Times New Roman" w:hAnsi="Times New Roman" w:cs="Times New Roman"/>
        </w:rPr>
        <w:t xml:space="preserve"> </w:t>
      </w:r>
    </w:p>
    <w:p w14:paraId="076E9873" w14:textId="2104C8A0" w:rsidR="0040574B" w:rsidRPr="0040574B" w:rsidRDefault="4BAD482B" w:rsidP="563BF23E">
      <w:pPr>
        <w:pStyle w:val="ListParagraph"/>
        <w:numPr>
          <w:ilvl w:val="0"/>
          <w:numId w:val="1"/>
        </w:numPr>
        <w:spacing w:after="0" w:line="240" w:lineRule="auto"/>
        <w:jc w:val="both"/>
      </w:pPr>
      <w:r w:rsidRPr="563BF23E">
        <w:rPr>
          <w:rFonts w:ascii="Arial" w:eastAsia="Arial" w:hAnsi="Arial" w:cs="Arial"/>
          <w:color w:val="000000" w:themeColor="text1"/>
        </w:rPr>
        <w:t>Adaptar el procedimiento de determinación de</w:t>
      </w:r>
      <w:r w:rsidR="0045781B">
        <w:rPr>
          <w:rFonts w:ascii="Arial" w:eastAsia="Arial" w:hAnsi="Arial" w:cs="Arial"/>
          <w:color w:val="000000" w:themeColor="text1"/>
        </w:rPr>
        <w:t xml:space="preserve"> la</w:t>
      </w:r>
      <w:r w:rsidRPr="563BF23E">
        <w:rPr>
          <w:rFonts w:ascii="Arial" w:eastAsia="Arial" w:hAnsi="Arial" w:cs="Arial"/>
          <w:color w:val="000000" w:themeColor="text1"/>
        </w:rPr>
        <w:t xml:space="preserve"> apatridia para que sea amigable para los niños, asegurando que se dé prioridad a los casos de menores y se protejan sus derechos conforme a las normas internacionales.</w:t>
      </w:r>
    </w:p>
    <w:p w14:paraId="2E08FD38" w14:textId="6A5134C6" w:rsidR="0040574B" w:rsidRPr="0040574B" w:rsidRDefault="4BAD482B" w:rsidP="563BF23E">
      <w:pPr>
        <w:pStyle w:val="ListParagraph"/>
        <w:numPr>
          <w:ilvl w:val="0"/>
          <w:numId w:val="1"/>
        </w:numPr>
        <w:spacing w:after="0" w:line="240" w:lineRule="auto"/>
        <w:jc w:val="both"/>
      </w:pPr>
      <w:r w:rsidRPr="563BF23E">
        <w:rPr>
          <w:rFonts w:ascii="Arial" w:eastAsia="Arial" w:hAnsi="Arial" w:cs="Arial"/>
          <w:color w:val="000000" w:themeColor="text1"/>
        </w:rPr>
        <w:t>Implementar medidas adicionales de garantía probatoria y procesal, incluyendo la provisión de representantes legales y la capacitación adecuada de entrevistadores e intérpretes para trabajar con menores.</w:t>
      </w:r>
    </w:p>
    <w:p w14:paraId="077A4AA6" w14:textId="2CCB78F9" w:rsidR="0040574B" w:rsidRPr="0040574B" w:rsidRDefault="4BAD482B" w:rsidP="563BF23E">
      <w:pPr>
        <w:pStyle w:val="ListParagraph"/>
        <w:numPr>
          <w:ilvl w:val="0"/>
          <w:numId w:val="1"/>
        </w:numPr>
        <w:spacing w:after="0" w:line="240" w:lineRule="auto"/>
        <w:jc w:val="both"/>
      </w:pPr>
      <w:r w:rsidRPr="563BF23E">
        <w:rPr>
          <w:rFonts w:ascii="Arial" w:eastAsia="Arial" w:hAnsi="Arial" w:cs="Arial"/>
          <w:color w:val="000000" w:themeColor="text1"/>
        </w:rPr>
        <w:t>Asumir una mayor proporción de la carga de la prueba por parte del Estado en los casos de menores solicitantes, reconociendo las dificultades que estos enfrentan para comunicar hechos básicos sobre su nacionalidad.</w:t>
      </w:r>
    </w:p>
    <w:p w14:paraId="4998E785" w14:textId="77ADA122" w:rsidR="0040574B" w:rsidRPr="0040574B" w:rsidRDefault="4BAD482B" w:rsidP="563BF23E">
      <w:pPr>
        <w:pStyle w:val="ListParagraph"/>
        <w:numPr>
          <w:ilvl w:val="0"/>
          <w:numId w:val="1"/>
        </w:numPr>
        <w:spacing w:after="0" w:line="240" w:lineRule="auto"/>
        <w:jc w:val="both"/>
      </w:pPr>
      <w:r w:rsidRPr="563BF23E">
        <w:rPr>
          <w:rFonts w:ascii="Arial" w:eastAsia="Arial" w:hAnsi="Arial" w:cs="Arial"/>
          <w:color w:val="000000" w:themeColor="text1"/>
        </w:rPr>
        <w:t>Desarrollar campañas educativas y programas de divulgación para informar a las comunidades afectadas sobre sus derechos y procedimientos relacionados con la determinación de apatridia, enfatizando la importancia de la protección de los menores y la prevención de la apatridia.</w:t>
      </w:r>
    </w:p>
    <w:p w14:paraId="18DF07F0" w14:textId="0CB31761" w:rsidR="0040574B" w:rsidRPr="0040574B" w:rsidRDefault="0040574B" w:rsidP="563BF23E">
      <w:pPr>
        <w:pStyle w:val="ListParagraph"/>
        <w:spacing w:after="0" w:line="240" w:lineRule="auto"/>
        <w:jc w:val="both"/>
        <w:rPr>
          <w:rFonts w:ascii="Arial" w:eastAsia="Arial" w:hAnsi="Arial" w:cs="Arial"/>
          <w:color w:val="000000" w:themeColor="text1"/>
        </w:rPr>
      </w:pPr>
    </w:p>
    <w:p w14:paraId="1E0623B8" w14:textId="78803E8E" w:rsidR="563BF23E" w:rsidRDefault="563BF23E" w:rsidP="563BF23E">
      <w:pPr>
        <w:pStyle w:val="ListParagraph"/>
        <w:spacing w:after="0"/>
        <w:jc w:val="both"/>
        <w:rPr>
          <w:rFonts w:ascii="Arial" w:eastAsia="Arial" w:hAnsi="Arial" w:cs="Arial"/>
          <w:color w:val="000000" w:themeColor="text1"/>
          <w:sz w:val="20"/>
          <w:szCs w:val="20"/>
        </w:rPr>
      </w:pPr>
    </w:p>
    <w:p w14:paraId="50FAC275" w14:textId="77777777" w:rsidR="0040574B" w:rsidRPr="0040574B" w:rsidRDefault="159DC989" w:rsidP="563BF23E">
      <w:pPr>
        <w:spacing w:line="240" w:lineRule="auto"/>
        <w:jc w:val="both"/>
        <w:rPr>
          <w:rFonts w:ascii="Arial" w:eastAsia="Arial" w:hAnsi="Arial" w:cs="Arial"/>
          <w:lang w:eastAsia="es-ES"/>
        </w:rPr>
      </w:pPr>
      <w:r w:rsidRPr="563BF23E">
        <w:rPr>
          <w:rFonts w:ascii="Arial" w:eastAsia="Arial" w:hAnsi="Arial" w:cs="Arial"/>
          <w:b/>
          <w:bCs/>
          <w:color w:val="000000"/>
          <w:shd w:val="clear" w:color="auto" w:fill="FFFFFF"/>
          <w:lang w:eastAsia="es-ES"/>
        </w:rPr>
        <w:t>Cuarto.</w:t>
      </w:r>
      <w:r w:rsidR="0040574B" w:rsidRPr="563BF23E">
        <w:rPr>
          <w:rFonts w:ascii="Arial" w:eastAsia="Arial" w:hAnsi="Arial" w:cs="Arial"/>
          <w:b/>
          <w:bCs/>
          <w:color w:val="000000"/>
          <w:shd w:val="clear" w:color="auto" w:fill="FFFFFF"/>
          <w:lang w:eastAsia="es-ES"/>
        </w:rPr>
        <w:t>- Falta de transparencia y de datos fiables sobre la apatridia infantil.</w:t>
      </w:r>
    </w:p>
    <w:p w14:paraId="49F9574E" w14:textId="1C1B01AD" w:rsidR="0040574B" w:rsidRPr="0040574B" w:rsidRDefault="0040574B" w:rsidP="563BF23E">
      <w:pPr>
        <w:spacing w:line="240" w:lineRule="auto"/>
        <w:jc w:val="both"/>
        <w:rPr>
          <w:rFonts w:ascii="Arial" w:eastAsia="Arial" w:hAnsi="Arial" w:cs="Arial"/>
          <w:lang w:eastAsia="es-ES"/>
        </w:rPr>
      </w:pPr>
      <w:r w:rsidRPr="563BF23E">
        <w:rPr>
          <w:rFonts w:ascii="Arial" w:eastAsia="Arial" w:hAnsi="Arial" w:cs="Arial"/>
          <w:color w:val="000000"/>
          <w:shd w:val="clear" w:color="auto" w:fill="FFFFFF"/>
          <w:lang w:eastAsia="es-ES"/>
        </w:rPr>
        <w:t>Varios compromisos internacionales, como la Agenda 2030 para el Desarrollo Sostenible y su compromiso de no dejar a nadie atrás</w:t>
      </w:r>
      <w:r w:rsidR="0022638B">
        <w:rPr>
          <w:rStyle w:val="FootnoteReference"/>
          <w:rFonts w:ascii="Arial" w:eastAsia="Arial" w:hAnsi="Arial" w:cs="Arial"/>
          <w:color w:val="000000"/>
          <w:shd w:val="clear" w:color="auto" w:fill="FFFFFF"/>
          <w:lang w:eastAsia="es-ES"/>
        </w:rPr>
        <w:footnoteReference w:id="17"/>
      </w:r>
      <w:r w:rsidRPr="563BF23E">
        <w:rPr>
          <w:rFonts w:ascii="Arial" w:eastAsia="Arial" w:hAnsi="Arial" w:cs="Arial"/>
          <w:color w:val="000000"/>
          <w:shd w:val="clear" w:color="auto" w:fill="FFFFFF"/>
          <w:lang w:eastAsia="es-ES"/>
        </w:rPr>
        <w:t xml:space="preserve"> y el Plan de Acción Mundial para Poner Fin a la Apatridia del Alto Comisionado de las Naciones Unidas para los Refugiados (ACNUR) (en particular la Acción 10: Mejorar los datos cuantitativos y cualitativos sobre las poblaciones apátridas)</w:t>
      </w:r>
      <w:r w:rsidR="00C568D5">
        <w:rPr>
          <w:rStyle w:val="FootnoteReference"/>
          <w:rFonts w:ascii="Arial" w:eastAsia="Arial" w:hAnsi="Arial" w:cs="Arial"/>
          <w:color w:val="000000"/>
          <w:shd w:val="clear" w:color="auto" w:fill="FFFFFF"/>
          <w:lang w:eastAsia="es-ES"/>
        </w:rPr>
        <w:footnoteReference w:id="18"/>
      </w:r>
      <w:r w:rsidRPr="563BF23E">
        <w:rPr>
          <w:rFonts w:ascii="Arial" w:eastAsia="Arial" w:hAnsi="Arial" w:cs="Arial"/>
          <w:color w:val="000000"/>
          <w:shd w:val="clear" w:color="auto" w:fill="FFFFFF"/>
          <w:lang w:eastAsia="es-ES"/>
        </w:rPr>
        <w:t>, y la Agenda de Identidad Legal de las Naciones Unidas</w:t>
      </w:r>
      <w:r w:rsidR="0022638B">
        <w:rPr>
          <w:rStyle w:val="FootnoteReference"/>
          <w:rFonts w:ascii="Arial" w:eastAsia="Arial" w:hAnsi="Arial" w:cs="Arial"/>
          <w:color w:val="000000"/>
          <w:shd w:val="clear" w:color="auto" w:fill="FFFFFF"/>
          <w:lang w:eastAsia="es-ES"/>
        </w:rPr>
        <w:footnoteReference w:id="19"/>
      </w:r>
      <w:r w:rsidRPr="563BF23E">
        <w:rPr>
          <w:rFonts w:ascii="Arial" w:eastAsia="Arial" w:hAnsi="Arial" w:cs="Arial"/>
          <w:color w:val="000000"/>
          <w:shd w:val="clear" w:color="auto" w:fill="FFFFFF"/>
          <w:lang w:eastAsia="es-ES"/>
        </w:rPr>
        <w:t xml:space="preserve"> demandan mejores estadísticas en materia de apatridia, y así lo ha entendido este Comité en varias de sus recomendaciones a los Estados para mejorar la recopilación y el análisis de datos sobre los niños y las niñas apátridas o en riesgo de apatridia. En tanto que recopilar datos cuantitativos y cualitativos fiables sobre la apatridia es el primer paso para su protección, además de permitir evaluar adecuadamente si están cumpliendo sus obligaciones con respecto a la protección de los derechos de las personas apátridas y la realización del derecho a una nacionalidad.</w:t>
      </w:r>
    </w:p>
    <w:p w14:paraId="6DC4D5A7" w14:textId="687A50E6" w:rsidR="0040574B" w:rsidRPr="0040574B" w:rsidRDefault="0040574B" w:rsidP="563BF23E">
      <w:pPr>
        <w:spacing w:line="240" w:lineRule="auto"/>
        <w:jc w:val="both"/>
        <w:rPr>
          <w:rFonts w:ascii="Arial" w:eastAsia="Arial" w:hAnsi="Arial" w:cs="Arial"/>
          <w:lang w:eastAsia="es-ES"/>
        </w:rPr>
      </w:pPr>
      <w:r w:rsidRPr="563BF23E">
        <w:rPr>
          <w:rFonts w:ascii="Arial" w:eastAsia="Arial" w:hAnsi="Arial" w:cs="Arial"/>
          <w:color w:val="000000"/>
          <w:shd w:val="clear" w:color="auto" w:fill="FFFFFF"/>
          <w:lang w:eastAsia="es-ES"/>
        </w:rPr>
        <w:t xml:space="preserve">En el caso de España, los datos obtenidos de fuentes en materia de datos sobre población apátrida son muy </w:t>
      </w:r>
      <w:r w:rsidR="0045781B">
        <w:rPr>
          <w:rFonts w:ascii="Arial" w:eastAsia="Arial" w:hAnsi="Arial" w:cs="Arial"/>
          <w:color w:val="000000"/>
          <w:shd w:val="clear" w:color="auto" w:fill="FFFFFF"/>
          <w:lang w:eastAsia="es-ES"/>
        </w:rPr>
        <w:t>dispares</w:t>
      </w:r>
      <w:r w:rsidRPr="563BF23E">
        <w:rPr>
          <w:rFonts w:ascii="Arial" w:eastAsia="Arial" w:hAnsi="Arial" w:cs="Arial"/>
          <w:color w:val="000000"/>
          <w:shd w:val="clear" w:color="auto" w:fill="FFFFFF"/>
          <w:lang w:eastAsia="es-ES"/>
        </w:rPr>
        <w:t xml:space="preserve"> y por tanto no son fiables, y en algunos casos no está desglosada de manera que se pueda identificar a los menores. España ha aportado a este Comité los datos facilitados por el Instituto Nacional de Estadística en el documento Anexo de información estadística, en el que se indica que la población apátrida total en España era de 3.112 personas a 1 de enero de 2021. Sin embargo, estos datos son muy inferiores a los que proporcionan otras entidades:</w:t>
      </w:r>
    </w:p>
    <w:p w14:paraId="5BB4BBB8" w14:textId="38CA5DBE" w:rsidR="0040574B" w:rsidRPr="0040574B" w:rsidRDefault="0040574B" w:rsidP="563BF23E">
      <w:pPr>
        <w:numPr>
          <w:ilvl w:val="0"/>
          <w:numId w:val="33"/>
        </w:numPr>
        <w:spacing w:line="240" w:lineRule="auto"/>
        <w:jc w:val="both"/>
        <w:textAlignment w:val="baseline"/>
        <w:rPr>
          <w:rFonts w:ascii="Arial" w:eastAsia="Arial" w:hAnsi="Arial" w:cs="Arial"/>
          <w:color w:val="000000"/>
          <w:lang w:eastAsia="es-ES"/>
        </w:rPr>
      </w:pPr>
      <w:r w:rsidRPr="563BF23E">
        <w:rPr>
          <w:rFonts w:ascii="Arial" w:eastAsia="Arial" w:hAnsi="Arial" w:cs="Arial"/>
          <w:color w:val="000000"/>
          <w:shd w:val="clear" w:color="auto" w:fill="FFFFFF"/>
          <w:lang w:eastAsia="es-ES"/>
        </w:rPr>
        <w:t xml:space="preserve">ACNUR en el Global </w:t>
      </w:r>
      <w:proofErr w:type="spellStart"/>
      <w:r w:rsidRPr="563BF23E">
        <w:rPr>
          <w:rFonts w:ascii="Arial" w:eastAsia="Arial" w:hAnsi="Arial" w:cs="Arial"/>
          <w:color w:val="000000"/>
          <w:shd w:val="clear" w:color="auto" w:fill="FFFFFF"/>
          <w:lang w:eastAsia="es-ES"/>
        </w:rPr>
        <w:t>Trends</w:t>
      </w:r>
      <w:proofErr w:type="spellEnd"/>
      <w:r w:rsidRPr="563BF23E">
        <w:rPr>
          <w:rFonts w:ascii="Arial" w:eastAsia="Arial" w:hAnsi="Arial" w:cs="Arial"/>
          <w:color w:val="000000"/>
          <w:shd w:val="clear" w:color="auto" w:fill="FFFFFF"/>
          <w:lang w:eastAsia="es-ES"/>
        </w:rPr>
        <w:t xml:space="preserve"> </w:t>
      </w:r>
      <w:proofErr w:type="spellStart"/>
      <w:r w:rsidRPr="563BF23E">
        <w:rPr>
          <w:rFonts w:ascii="Arial" w:eastAsia="Arial" w:hAnsi="Arial" w:cs="Arial"/>
          <w:color w:val="000000"/>
          <w:shd w:val="clear" w:color="auto" w:fill="FFFFFF"/>
          <w:lang w:eastAsia="es-ES"/>
        </w:rPr>
        <w:t>Report</w:t>
      </w:r>
      <w:proofErr w:type="spellEnd"/>
      <w:r w:rsidRPr="563BF23E">
        <w:rPr>
          <w:rFonts w:ascii="Arial" w:eastAsia="Arial" w:hAnsi="Arial" w:cs="Arial"/>
          <w:color w:val="000000"/>
          <w:shd w:val="clear" w:color="auto" w:fill="FFFFFF"/>
          <w:lang w:eastAsia="es-ES"/>
        </w:rPr>
        <w:t xml:space="preserve"> de 2022 recoge el dato 6.858 personas apátridas a finales de 2022 sin que se haga desglose por edad</w:t>
      </w:r>
      <w:r w:rsidR="0022638B">
        <w:rPr>
          <w:rStyle w:val="FootnoteReference"/>
          <w:rFonts w:ascii="Arial" w:eastAsia="Arial" w:hAnsi="Arial" w:cs="Arial"/>
          <w:color w:val="000000"/>
          <w:shd w:val="clear" w:color="auto" w:fill="FFFFFF"/>
          <w:lang w:eastAsia="es-ES"/>
        </w:rPr>
        <w:footnoteReference w:id="20"/>
      </w:r>
      <w:r w:rsidRPr="563BF23E">
        <w:rPr>
          <w:rFonts w:ascii="Arial" w:eastAsia="Arial" w:hAnsi="Arial" w:cs="Arial"/>
          <w:color w:val="000000"/>
          <w:shd w:val="clear" w:color="auto" w:fill="FFFFFF"/>
          <w:lang w:eastAsia="es-ES"/>
        </w:rPr>
        <w:t>.</w:t>
      </w:r>
    </w:p>
    <w:p w14:paraId="73CE0734" w14:textId="29C6C8C4" w:rsidR="0040574B" w:rsidRPr="0040574B" w:rsidRDefault="0040574B" w:rsidP="563BF23E">
      <w:pPr>
        <w:numPr>
          <w:ilvl w:val="0"/>
          <w:numId w:val="33"/>
        </w:numPr>
        <w:spacing w:line="240" w:lineRule="auto"/>
        <w:jc w:val="both"/>
        <w:textAlignment w:val="baseline"/>
        <w:rPr>
          <w:rFonts w:ascii="Arial" w:eastAsia="Arial" w:hAnsi="Arial" w:cs="Arial"/>
          <w:lang w:eastAsia="es-ES"/>
        </w:rPr>
      </w:pPr>
      <w:r w:rsidRPr="563BF23E">
        <w:rPr>
          <w:rFonts w:ascii="Arial" w:eastAsia="Arial" w:hAnsi="Arial" w:cs="Arial"/>
          <w:color w:val="000000"/>
          <w:shd w:val="clear" w:color="auto" w:fill="FFFFFF"/>
          <w:lang w:eastAsia="es-ES"/>
        </w:rPr>
        <w:t>Las Estadísticas del Observatorio Permanente de la Inmigración del Ministerio de Inclusión, Seguridad Social y Migraciones</w:t>
      </w:r>
      <w:r w:rsidR="0022638B">
        <w:rPr>
          <w:rStyle w:val="FootnoteReference"/>
          <w:rFonts w:ascii="Arial" w:eastAsia="Arial" w:hAnsi="Arial" w:cs="Arial"/>
          <w:color w:val="000000"/>
          <w:shd w:val="clear" w:color="auto" w:fill="FFFFFF"/>
          <w:lang w:eastAsia="es-ES"/>
        </w:rPr>
        <w:footnoteReference w:id="21"/>
      </w:r>
      <w:r w:rsidRPr="563BF23E">
        <w:rPr>
          <w:rFonts w:ascii="Arial" w:eastAsia="Arial" w:hAnsi="Arial" w:cs="Arial"/>
          <w:color w:val="000000"/>
          <w:shd w:val="clear" w:color="auto" w:fill="FFFFFF"/>
          <w:lang w:eastAsia="es-ES"/>
        </w:rPr>
        <w:t> presenta los siguientes datos de personas apátridas con tarjeta de residencia en vigor</w:t>
      </w:r>
      <w:r w:rsidR="1AEBD2BD" w:rsidRPr="563BF23E">
        <w:rPr>
          <w:rFonts w:ascii="Arial" w:eastAsia="Arial" w:hAnsi="Arial" w:cs="Arial"/>
          <w:color w:val="000000"/>
          <w:shd w:val="clear" w:color="auto" w:fill="FFFFFF"/>
          <w:lang w:eastAsia="es-ES"/>
        </w:rPr>
        <w:t>.</w:t>
      </w:r>
    </w:p>
    <w:p w14:paraId="1F72F646" w14:textId="35718DD9" w:rsidR="0040574B" w:rsidRPr="0040574B" w:rsidRDefault="0040574B" w:rsidP="563BF23E">
      <w:pPr>
        <w:spacing w:line="240" w:lineRule="auto"/>
        <w:jc w:val="both"/>
        <w:textAlignment w:val="baseline"/>
        <w:rPr>
          <w:rFonts w:ascii="Arial" w:eastAsia="Arial" w:hAnsi="Arial" w:cs="Arial"/>
          <w:lang w:eastAsia="es-ES"/>
        </w:rPr>
      </w:pPr>
      <w:r>
        <w:rPr>
          <w:noProof/>
        </w:rPr>
        <w:lastRenderedPageBreak/>
        <w:drawing>
          <wp:inline distT="0" distB="0" distL="0" distR="0" wp14:anchorId="707281B2" wp14:editId="7063A995">
            <wp:extent cx="5734052" cy="1838325"/>
            <wp:effectExtent l="0" t="0" r="0" b="9525"/>
            <wp:docPr id="2" name="Imagen 2" descr="https://lh7-us.googleusercontent.com/docsz/AD_4nXdqoYJ5fQNU_bmvMRIU8AaYRpQpXTZcIwF8Lx3QX2PgsfnEFyl5H1VXgSSYXUv-CGa5XVIQCWw4bO4nFioQWyPJFCvd6z3jgViAmYNzHT3WBRgtS7QG6McxHGB3IVjXjW3BC30RewtdZ8YhcLp89zVEzxA?key=i68NsQufGfLZa03Ajd1vU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0">
                      <a:extLst>
                        <a:ext uri="{28A0092B-C50C-407E-A947-70E740481C1C}">
                          <a14:useLocalDpi xmlns:a14="http://schemas.microsoft.com/office/drawing/2010/main" val="0"/>
                        </a:ext>
                      </a:extLst>
                    </a:blip>
                    <a:stretch>
                      <a:fillRect/>
                    </a:stretch>
                  </pic:blipFill>
                  <pic:spPr>
                    <a:xfrm>
                      <a:off x="0" y="0"/>
                      <a:ext cx="5734052" cy="1838325"/>
                    </a:xfrm>
                    <a:prstGeom prst="rect">
                      <a:avLst/>
                    </a:prstGeom>
                  </pic:spPr>
                </pic:pic>
              </a:graphicData>
            </a:graphic>
          </wp:inline>
        </w:drawing>
      </w:r>
    </w:p>
    <w:p w14:paraId="3B3ECD43" w14:textId="45AD03F0" w:rsidR="0040574B" w:rsidRPr="0040574B" w:rsidRDefault="0040574B" w:rsidP="563BF23E">
      <w:pPr>
        <w:numPr>
          <w:ilvl w:val="0"/>
          <w:numId w:val="34"/>
        </w:numPr>
        <w:spacing w:line="240" w:lineRule="auto"/>
        <w:jc w:val="both"/>
        <w:textAlignment w:val="baseline"/>
        <w:rPr>
          <w:rFonts w:ascii="Arial" w:eastAsia="Arial" w:hAnsi="Arial" w:cs="Arial"/>
          <w:color w:val="000000"/>
          <w:lang w:eastAsia="es-ES"/>
        </w:rPr>
      </w:pPr>
      <w:r w:rsidRPr="563BF23E">
        <w:rPr>
          <w:rFonts w:ascii="Arial" w:eastAsia="Arial" w:hAnsi="Arial" w:cs="Arial"/>
          <w:color w:val="000000"/>
          <w:shd w:val="clear" w:color="auto" w:fill="FFFFFF"/>
          <w:lang w:eastAsia="es-ES"/>
        </w:rPr>
        <w:t>Finalmente, los datos que publica anualmente la Oficina de Asilo y Refugio, sumados los datos publicados entre 2013 a 2023 arrojan 10.407 resoluciones favorables reconociendo el estatuto de apátrida, de ellos, entre los años 2017 a 2022 (únicos años con información desglosada por edad disponible)</w:t>
      </w:r>
      <w:r w:rsidR="0022638B">
        <w:rPr>
          <w:rStyle w:val="FootnoteReference"/>
          <w:rFonts w:ascii="Arial" w:eastAsia="Arial" w:hAnsi="Arial" w:cs="Arial"/>
          <w:color w:val="000000"/>
          <w:shd w:val="clear" w:color="auto" w:fill="FFFFFF"/>
          <w:lang w:eastAsia="es-ES"/>
        </w:rPr>
        <w:footnoteReference w:id="22"/>
      </w:r>
      <w:r w:rsidRPr="563BF23E">
        <w:rPr>
          <w:rFonts w:ascii="Arial" w:eastAsia="Arial" w:hAnsi="Arial" w:cs="Arial"/>
          <w:color w:val="000000"/>
          <w:shd w:val="clear" w:color="auto" w:fill="FFFFFF"/>
          <w:lang w:eastAsia="es-ES"/>
        </w:rPr>
        <w:t xml:space="preserve"> fueron un total de 605 menores los que obtuvieron una resolución positiva.</w:t>
      </w:r>
    </w:p>
    <w:p w14:paraId="094E184D" w14:textId="526332FA" w:rsidR="0040574B" w:rsidRPr="0040574B" w:rsidRDefault="0040574B" w:rsidP="563BF23E">
      <w:pPr>
        <w:spacing w:line="240" w:lineRule="auto"/>
        <w:jc w:val="both"/>
        <w:rPr>
          <w:rFonts w:ascii="Arial" w:eastAsia="Arial" w:hAnsi="Arial" w:cs="Arial"/>
          <w:lang w:eastAsia="es-ES"/>
        </w:rPr>
      </w:pPr>
      <w:r w:rsidRPr="563BF23E">
        <w:rPr>
          <w:rFonts w:ascii="Arial" w:eastAsia="Arial" w:hAnsi="Arial" w:cs="Arial"/>
          <w:color w:val="000000"/>
          <w:shd w:val="clear" w:color="auto" w:fill="FFFFFF"/>
          <w:lang w:eastAsia="es-ES"/>
        </w:rPr>
        <w:t>Como vemos datos muy dispares, que no terminan de reflejar la realidad de la apatridia, y especialmente la infantil en España, y a lo anterior hay que añadir que durante la tramitación de los expedientes de asilo no se identifica a solicitantes apátridas (En 2022 de 119.240 solicitudes de asilo sólo se registraron 4 como personas apátridas), recurriendo la Administración a fórmulas como Estado no reconocido o Estado Observador de Naciones  Unidas, para registrar solicitantes con altas tasas de reconocimiento del Estatuto de Apátrida.</w:t>
      </w:r>
      <w:r w:rsidR="0022638B">
        <w:rPr>
          <w:rStyle w:val="FootnoteReference"/>
          <w:rFonts w:ascii="Arial" w:eastAsia="Arial" w:hAnsi="Arial" w:cs="Arial"/>
          <w:color w:val="000000"/>
          <w:shd w:val="clear" w:color="auto" w:fill="FFFFFF"/>
          <w:lang w:eastAsia="es-ES"/>
        </w:rPr>
        <w:footnoteReference w:id="23"/>
      </w:r>
    </w:p>
    <w:p w14:paraId="61B81BFF" w14:textId="730B13F5" w:rsidR="0040574B" w:rsidRPr="0040574B" w:rsidRDefault="0040574B" w:rsidP="563BF23E">
      <w:pPr>
        <w:spacing w:line="240" w:lineRule="auto"/>
        <w:jc w:val="both"/>
        <w:rPr>
          <w:rFonts w:ascii="Arial" w:eastAsia="Arial" w:hAnsi="Arial" w:cs="Arial"/>
        </w:rPr>
      </w:pPr>
      <w:r w:rsidRPr="563BF23E">
        <w:rPr>
          <w:rFonts w:ascii="Arial" w:eastAsia="Arial" w:hAnsi="Arial" w:cs="Arial"/>
          <w:color w:val="000000"/>
          <w:shd w:val="clear" w:color="auto" w:fill="FFFFFF"/>
          <w:lang w:eastAsia="es-ES"/>
        </w:rPr>
        <w:t>Lo expuesto refuerza la necesidad de que las autoridades españolas lleven a cabo un estudio analítico sobre la población apatridia en España, con especial atención a la que afecta a los niños y las niñas residentes en el país</w:t>
      </w:r>
      <w:r w:rsidR="009539BE">
        <w:rPr>
          <w:rFonts w:ascii="Arial" w:eastAsia="Arial" w:hAnsi="Arial" w:cs="Arial"/>
          <w:color w:val="000000"/>
          <w:shd w:val="clear" w:color="auto" w:fill="FFFFFF"/>
          <w:lang w:eastAsia="es-ES"/>
        </w:rPr>
        <w:t>.</w:t>
      </w:r>
    </w:p>
    <w:p w14:paraId="4DE310EC" w14:textId="41D9A33E" w:rsidR="0040574B" w:rsidRPr="0040574B" w:rsidRDefault="4E1D1136" w:rsidP="563BF23E">
      <w:pPr>
        <w:spacing w:line="240" w:lineRule="auto"/>
        <w:jc w:val="both"/>
        <w:rPr>
          <w:rFonts w:ascii="Arial" w:eastAsia="Arial" w:hAnsi="Arial" w:cs="Arial"/>
          <w:lang w:eastAsia="es-ES"/>
        </w:rPr>
      </w:pPr>
      <w:r w:rsidRPr="563BF23E">
        <w:rPr>
          <w:rFonts w:ascii="Arial" w:eastAsia="Arial" w:hAnsi="Arial" w:cs="Arial"/>
          <w:b/>
          <w:bCs/>
          <w:color w:val="000000"/>
          <w:shd w:val="clear" w:color="auto" w:fill="FFFFFF"/>
          <w:lang w:eastAsia="es-ES"/>
        </w:rPr>
        <w:t>Preguntas:</w:t>
      </w:r>
      <w:r w:rsidR="7E113345" w:rsidRPr="563BF23E">
        <w:rPr>
          <w:rFonts w:ascii="Arial" w:eastAsia="Arial" w:hAnsi="Arial" w:cs="Arial"/>
          <w:b/>
          <w:bCs/>
          <w:color w:val="000000"/>
          <w:shd w:val="clear" w:color="auto" w:fill="FFFFFF"/>
          <w:lang w:eastAsia="es-ES"/>
        </w:rPr>
        <w:t xml:space="preserve"> </w:t>
      </w:r>
      <w:r w:rsidR="4EA27029" w:rsidRPr="563BF23E">
        <w:rPr>
          <w:rFonts w:ascii="Arial" w:eastAsia="Arial" w:hAnsi="Arial" w:cs="Arial"/>
          <w:color w:val="000000"/>
          <w:shd w:val="clear" w:color="auto" w:fill="FFFFFF"/>
          <w:lang w:eastAsia="es-ES"/>
        </w:rPr>
        <w:t>L</w:t>
      </w:r>
      <w:r w:rsidR="0040574B" w:rsidRPr="563BF23E">
        <w:rPr>
          <w:rFonts w:ascii="Arial" w:eastAsia="Arial" w:hAnsi="Arial" w:cs="Arial"/>
          <w:color w:val="000000"/>
          <w:shd w:val="clear" w:color="auto" w:fill="FFFFFF"/>
          <w:lang w:eastAsia="es-ES"/>
        </w:rPr>
        <w:t>a autoridad competente para estudiar y analizar las características de la población apátrida, y especialmente la infantil, así como de recopilar datos cuantitativos y cualitativos sobre la apatridia infantil en España.</w:t>
      </w:r>
    </w:p>
    <w:p w14:paraId="4C9B7CFE" w14:textId="17BC09F8" w:rsidR="0040574B" w:rsidRDefault="0040574B" w:rsidP="563BF23E">
      <w:pPr>
        <w:spacing w:line="240" w:lineRule="auto"/>
        <w:jc w:val="both"/>
        <w:rPr>
          <w:rFonts w:ascii="Arial" w:eastAsia="Arial" w:hAnsi="Arial" w:cs="Arial"/>
          <w:color w:val="000000"/>
          <w:shd w:val="clear" w:color="auto" w:fill="FFFFFF"/>
          <w:lang w:eastAsia="es-ES"/>
        </w:rPr>
      </w:pPr>
      <w:r w:rsidRPr="563BF23E">
        <w:rPr>
          <w:rFonts w:ascii="Arial" w:eastAsia="Arial" w:hAnsi="Arial" w:cs="Arial"/>
          <w:b/>
          <w:bCs/>
          <w:color w:val="000000"/>
          <w:shd w:val="clear" w:color="auto" w:fill="FFFFFF"/>
          <w:lang w:eastAsia="es-ES"/>
        </w:rPr>
        <w:t>Recomendación:</w:t>
      </w:r>
      <w:r w:rsidRPr="563BF23E">
        <w:rPr>
          <w:rFonts w:ascii="Arial" w:eastAsia="Arial" w:hAnsi="Arial" w:cs="Arial"/>
          <w:color w:val="000000"/>
          <w:shd w:val="clear" w:color="auto" w:fill="FFFFFF"/>
          <w:lang w:eastAsia="es-ES"/>
        </w:rPr>
        <w:t xml:space="preserve"> Mejorar y publicar los datos cualitativos y cuantitativos recopilados sobre la apatridia infantil en España, siguiendo para ello las recomendaciones Internacionales para la Generación de Estadísticas sobre Apatridia</w:t>
      </w:r>
      <w:r w:rsidR="00C568D5">
        <w:rPr>
          <w:rStyle w:val="FootnoteReference"/>
          <w:rFonts w:ascii="Arial" w:eastAsia="Arial" w:hAnsi="Arial" w:cs="Arial"/>
          <w:color w:val="000000"/>
          <w:shd w:val="clear" w:color="auto" w:fill="FFFFFF"/>
          <w:lang w:eastAsia="es-ES"/>
        </w:rPr>
        <w:footnoteReference w:id="24"/>
      </w:r>
      <w:r w:rsidRPr="563BF23E">
        <w:rPr>
          <w:rFonts w:ascii="Arial" w:eastAsia="Arial" w:hAnsi="Arial" w:cs="Arial"/>
          <w:color w:val="000000"/>
          <w:shd w:val="clear" w:color="auto" w:fill="FFFFFF"/>
          <w:lang w:eastAsia="es-ES"/>
        </w:rPr>
        <w:t>.</w:t>
      </w:r>
    </w:p>
    <w:p w14:paraId="4246E4CC" w14:textId="34C448F1" w:rsidR="00484001" w:rsidRDefault="00484001">
      <w:pPr>
        <w:rPr>
          <w:rFonts w:ascii="Arial" w:eastAsia="Arial" w:hAnsi="Arial" w:cs="Arial"/>
          <w:lang w:eastAsia="es-ES"/>
        </w:rPr>
      </w:pPr>
      <w:r>
        <w:rPr>
          <w:rFonts w:ascii="Arial" w:eastAsia="Arial" w:hAnsi="Arial" w:cs="Arial"/>
          <w:lang w:eastAsia="es-ES"/>
        </w:rPr>
        <w:br w:type="page"/>
      </w:r>
    </w:p>
    <w:sectPr w:rsidR="00484001">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DAFEE" w14:textId="77777777" w:rsidR="00FF31EA" w:rsidRDefault="00FF31EA" w:rsidP="006B3C82">
      <w:pPr>
        <w:spacing w:after="0" w:line="240" w:lineRule="auto"/>
      </w:pPr>
      <w:r>
        <w:separator/>
      </w:r>
    </w:p>
  </w:endnote>
  <w:endnote w:type="continuationSeparator" w:id="0">
    <w:p w14:paraId="788EED7A" w14:textId="77777777" w:rsidR="00FF31EA" w:rsidRDefault="00FF31EA" w:rsidP="006B3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8996012"/>
      <w:docPartObj>
        <w:docPartGallery w:val="Page Numbers (Bottom of Page)"/>
        <w:docPartUnique/>
      </w:docPartObj>
    </w:sdtPr>
    <w:sdtEndPr>
      <w:rPr>
        <w:noProof/>
      </w:rPr>
    </w:sdtEndPr>
    <w:sdtContent>
      <w:p w14:paraId="2ABCEC16" w14:textId="6DF4C9C5" w:rsidR="006B3C82" w:rsidRDefault="006B3C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52A5D2" w14:textId="77777777" w:rsidR="006B3C82" w:rsidRDefault="006B3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73AE5" w14:textId="77777777" w:rsidR="00FF31EA" w:rsidRDefault="00FF31EA" w:rsidP="006B3C82">
      <w:pPr>
        <w:spacing w:after="0" w:line="240" w:lineRule="auto"/>
      </w:pPr>
      <w:r>
        <w:separator/>
      </w:r>
    </w:p>
  </w:footnote>
  <w:footnote w:type="continuationSeparator" w:id="0">
    <w:p w14:paraId="1D32D461" w14:textId="77777777" w:rsidR="00FF31EA" w:rsidRDefault="00FF31EA" w:rsidP="006B3C82">
      <w:pPr>
        <w:spacing w:after="0" w:line="240" w:lineRule="auto"/>
      </w:pPr>
      <w:r>
        <w:continuationSeparator/>
      </w:r>
    </w:p>
  </w:footnote>
  <w:footnote w:id="1">
    <w:p w14:paraId="10CA486D" w14:textId="542E7A33" w:rsidR="00BB4CA0" w:rsidRDefault="00BB4CA0" w:rsidP="00C568D5">
      <w:pPr>
        <w:pStyle w:val="FootnoteText"/>
        <w:jc w:val="both"/>
      </w:pPr>
      <w:r>
        <w:rPr>
          <w:rStyle w:val="FootnoteReference"/>
        </w:rPr>
        <w:footnoteRef/>
      </w:r>
      <w:r>
        <w:t xml:space="preserve"> https://www.boe.es/eli/es/ai/1961/08/30/(1)</w:t>
      </w:r>
    </w:p>
  </w:footnote>
  <w:footnote w:id="2">
    <w:p w14:paraId="6C62E5B6" w14:textId="61907809" w:rsidR="00BB4CA0" w:rsidRDefault="00BB4CA0" w:rsidP="00C568D5">
      <w:pPr>
        <w:pStyle w:val="FootnoteText"/>
        <w:jc w:val="both"/>
      </w:pPr>
      <w:r>
        <w:rPr>
          <w:rStyle w:val="FootnoteReference"/>
        </w:rPr>
        <w:footnoteRef/>
      </w:r>
      <w:r>
        <w:t xml:space="preserve"> https://www.boe.es/eli/es/lo/2000/01/11/4/con</w:t>
      </w:r>
    </w:p>
  </w:footnote>
  <w:footnote w:id="3">
    <w:p w14:paraId="57784FD5" w14:textId="249CDD4D" w:rsidR="00BB4CA0" w:rsidRDefault="00BB4CA0" w:rsidP="00C568D5">
      <w:pPr>
        <w:pStyle w:val="FootnoteText"/>
        <w:jc w:val="both"/>
      </w:pPr>
      <w:r>
        <w:rPr>
          <w:rStyle w:val="FootnoteReference"/>
        </w:rPr>
        <w:footnoteRef/>
      </w:r>
      <w:r>
        <w:t xml:space="preserve"> https://www.boe.es/eli/es/rd/2001/07/20/865</w:t>
      </w:r>
    </w:p>
  </w:footnote>
  <w:footnote w:id="4">
    <w:p w14:paraId="01C4C7FB" w14:textId="63BC313C" w:rsidR="00BB4CA0" w:rsidRDefault="00BB4CA0" w:rsidP="00C568D5">
      <w:pPr>
        <w:pStyle w:val="FootnoteText"/>
        <w:jc w:val="both"/>
      </w:pPr>
      <w:r>
        <w:rPr>
          <w:rStyle w:val="FootnoteReference"/>
        </w:rPr>
        <w:footnoteRef/>
      </w:r>
      <w:r>
        <w:t xml:space="preserve"> https://www.boe.es/eli/es/rd/2022/03/29/220/con</w:t>
      </w:r>
    </w:p>
  </w:footnote>
  <w:footnote w:id="5">
    <w:p w14:paraId="50856205" w14:textId="344DF9E6" w:rsidR="00BB4CA0" w:rsidRDefault="00BB4CA0" w:rsidP="00C568D5">
      <w:pPr>
        <w:pStyle w:val="FootnoteText"/>
        <w:jc w:val="both"/>
      </w:pPr>
      <w:r>
        <w:rPr>
          <w:rStyle w:val="FootnoteReference"/>
        </w:rPr>
        <w:footnoteRef/>
      </w:r>
      <w:r>
        <w:t xml:space="preserve"> https://www.boe.es/eli/es/rd/1889/07/24/(1)/con</w:t>
      </w:r>
    </w:p>
  </w:footnote>
  <w:footnote w:id="6">
    <w:p w14:paraId="68F5B2A8" w14:textId="3044D3B3" w:rsidR="00BB4CA0" w:rsidRDefault="00BB4CA0" w:rsidP="00C568D5">
      <w:pPr>
        <w:pStyle w:val="FootnoteText"/>
        <w:jc w:val="both"/>
      </w:pPr>
      <w:r>
        <w:rPr>
          <w:rStyle w:val="FootnoteReference"/>
        </w:rPr>
        <w:footnoteRef/>
      </w:r>
      <w:r>
        <w:t xml:space="preserve"> </w:t>
      </w:r>
      <w:r w:rsidRPr="00BB4CA0">
        <w:t>https://www.boe.es/eli/es/ins/2007/03/28/(1)</w:t>
      </w:r>
    </w:p>
  </w:footnote>
  <w:footnote w:id="7">
    <w:p w14:paraId="46C37605" w14:textId="55657C4D" w:rsidR="00ED7111" w:rsidRDefault="00ED7111" w:rsidP="00C568D5">
      <w:pPr>
        <w:pStyle w:val="FootnoteText"/>
        <w:jc w:val="both"/>
      </w:pPr>
      <w:r>
        <w:rPr>
          <w:rStyle w:val="FootnoteReference"/>
        </w:rPr>
        <w:footnoteRef/>
      </w:r>
      <w:r>
        <w:t xml:space="preserve"> Anexo Estadístico facilitado por el Gobierno de España al Comité en respuesta a la </w:t>
      </w:r>
      <w:r>
        <w:t>LoIPR</w:t>
      </w:r>
    </w:p>
  </w:footnote>
  <w:footnote w:id="8">
    <w:p w14:paraId="128946FC" w14:textId="3EFAD795" w:rsidR="00ED7111" w:rsidRDefault="00ED7111" w:rsidP="00C568D5">
      <w:pPr>
        <w:pStyle w:val="FootnoteText"/>
        <w:jc w:val="both"/>
      </w:pPr>
      <w:r>
        <w:rPr>
          <w:rStyle w:val="FootnoteReference"/>
        </w:rPr>
        <w:footnoteRef/>
      </w:r>
      <w:r>
        <w:t xml:space="preserve"> Véase la explicación a esta cifra en el punto apartado de este escrito.</w:t>
      </w:r>
    </w:p>
  </w:footnote>
  <w:footnote w:id="9">
    <w:p w14:paraId="2FD3FF3A" w14:textId="2F634E0A" w:rsidR="00ED7111" w:rsidRDefault="00ED7111" w:rsidP="00C568D5">
      <w:pPr>
        <w:pStyle w:val="FootnoteText"/>
        <w:jc w:val="both"/>
      </w:pPr>
      <w:r>
        <w:rPr>
          <w:rStyle w:val="FootnoteReference"/>
        </w:rPr>
        <w:footnoteRef/>
      </w:r>
      <w:r>
        <w:t xml:space="preserve"> Véase al respecto las publicaciones de la Oficina de Asilo y Refugio del Ministerio del Interior, disponible en  </w:t>
      </w:r>
      <w:r w:rsidRPr="00ED7111">
        <w:t>https://proteccion-asilo.interior.gob.es/es/datos-e-informacion-estadistica/publicaciones/</w:t>
      </w:r>
    </w:p>
  </w:footnote>
  <w:footnote w:id="10">
    <w:p w14:paraId="3DBF5379" w14:textId="02D5B34B" w:rsidR="00ED7111" w:rsidRPr="00ED7111" w:rsidRDefault="00ED7111" w:rsidP="00C568D5">
      <w:pPr>
        <w:pStyle w:val="FootnoteText"/>
        <w:jc w:val="both"/>
        <w:rPr>
          <w:rFonts w:cstheme="minorHAnsi"/>
        </w:rPr>
      </w:pPr>
      <w:r>
        <w:rPr>
          <w:rStyle w:val="FootnoteReference"/>
        </w:rPr>
        <w:footnoteRef/>
      </w:r>
      <w:r>
        <w:t xml:space="preserve"> </w:t>
      </w:r>
      <w:r w:rsidRPr="00ED7111">
        <w:rPr>
          <w:rFonts w:cstheme="minorHAnsi"/>
          <w:color w:val="000000"/>
          <w:shd w:val="clear" w:color="auto" w:fill="FFFFFF"/>
        </w:rPr>
        <w:t>https://www.refworld.org/es/ref/infortem/acnur/2014/es/97410</w:t>
      </w:r>
    </w:p>
  </w:footnote>
  <w:footnote w:id="11">
    <w:p w14:paraId="0BBBEDC6" w14:textId="24F61F8E" w:rsidR="00ED7111" w:rsidRDefault="00ED7111" w:rsidP="00C568D5">
      <w:pPr>
        <w:pStyle w:val="FootnoteText"/>
        <w:jc w:val="both"/>
      </w:pPr>
      <w:r>
        <w:rPr>
          <w:rStyle w:val="FootnoteReference"/>
        </w:rPr>
        <w:footnoteRef/>
      </w:r>
      <w:r>
        <w:t xml:space="preserve"> </w:t>
      </w:r>
      <w:r w:rsidRPr="00ED7111">
        <w:t xml:space="preserve">El 29 de diciembre de 2021, el Boletín Oficial del Estado </w:t>
      </w:r>
      <w:r>
        <w:t>publicó</w:t>
      </w:r>
      <w:r w:rsidRPr="00ED7111">
        <w:t xml:space="preserve"> la ley 22/2021 de Presupuestos Generales del Estado para el año 2022</w:t>
      </w:r>
      <w:r>
        <w:t xml:space="preserve"> en la que figura una única tasa de 104,05 Euros para la adquisición de nacionalidad española por residencia.</w:t>
      </w:r>
    </w:p>
  </w:footnote>
  <w:footnote w:id="12">
    <w:p w14:paraId="5CD35D18" w14:textId="741605E1" w:rsidR="00ED7111" w:rsidRDefault="00ED7111" w:rsidP="00C568D5">
      <w:pPr>
        <w:pStyle w:val="FootnoteText"/>
        <w:jc w:val="both"/>
      </w:pPr>
      <w:r>
        <w:rPr>
          <w:rStyle w:val="FootnoteReference"/>
        </w:rPr>
        <w:footnoteRef/>
      </w:r>
      <w:r>
        <w:t xml:space="preserve"> https://www.boe.es/eli/es/l/2011/07/21/20/con</w:t>
      </w:r>
    </w:p>
  </w:footnote>
  <w:footnote w:id="13">
    <w:p w14:paraId="0C627678" w14:textId="4F788541" w:rsidR="00ED7111" w:rsidRDefault="00ED7111" w:rsidP="00C568D5">
      <w:pPr>
        <w:pStyle w:val="FootnoteText"/>
        <w:jc w:val="both"/>
      </w:pPr>
      <w:r>
        <w:rPr>
          <w:rStyle w:val="FootnoteReference"/>
        </w:rPr>
        <w:footnoteRef/>
      </w:r>
      <w:r>
        <w:t xml:space="preserve"> Fuente, Consejo General del Poder Judicial </w:t>
      </w:r>
      <w:r w:rsidR="00C568D5" w:rsidRPr="00C568D5">
        <w:t>https://www.poderjudicial.es/cgpj/es/Poder-Judicial/Noticias-Judiciales/Un-juez-acuerda-inscribir-en-el-Registro-Civil-de-Montilla--Cordoba--el-nacimiento-de-una-menor-extranjera-de-19-meses-que-no-fue-inscrita-al-nacer-en-su-pais-de-origen</w:t>
      </w:r>
    </w:p>
  </w:footnote>
  <w:footnote w:id="14">
    <w:p w14:paraId="7B11484F" w14:textId="5F9D6441" w:rsidR="00ED7111" w:rsidRDefault="00ED7111" w:rsidP="00C568D5">
      <w:pPr>
        <w:pStyle w:val="FootnoteText"/>
        <w:jc w:val="both"/>
      </w:pPr>
      <w:r>
        <w:rPr>
          <w:rStyle w:val="FootnoteReference"/>
        </w:rPr>
        <w:footnoteRef/>
      </w:r>
      <w:r w:rsidR="00C568D5">
        <w:t xml:space="preserve"> </w:t>
      </w:r>
      <w:r w:rsidR="00C568D5" w:rsidRPr="00C568D5">
        <w:rPr>
          <w:i/>
        </w:rPr>
        <w:t>Ibid.</w:t>
      </w:r>
      <w:r w:rsidR="00C568D5">
        <w:t xml:space="preserve"> </w:t>
      </w:r>
      <w:r>
        <w:t xml:space="preserve"> </w:t>
      </w:r>
      <w:r w:rsidR="00C568D5" w:rsidRPr="00C568D5">
        <w:t>https://www.poderjudicial.es/cgpj/es/Poder-Judicial/Tribunales-Superiores-de-Justicia/TSJ-Pais-Vasco/Noticias-Judiciales-TSJ-Pais-Vasco/La-Audiencia-Provincial-de-Guipuzcoa-reconoce-por-primera-vez-la-nacionalidad-espanola-a-una-nina-nacida-en-patera-cuando-se-dirigia-a-la-costa-gaditana</w:t>
      </w:r>
    </w:p>
  </w:footnote>
  <w:footnote w:id="15">
    <w:p w14:paraId="51D045FF" w14:textId="77777777" w:rsidR="00C568D5" w:rsidRDefault="00C568D5">
      <w:pPr>
        <w:pStyle w:val="FootnoteText"/>
      </w:pPr>
      <w:r>
        <w:rPr>
          <w:rStyle w:val="FootnoteReference"/>
        </w:rPr>
        <w:footnoteRef/>
      </w:r>
      <w:r>
        <w:t xml:space="preserve"> Fuente: </w:t>
      </w:r>
      <w:r>
        <w:t xml:space="preserve">European Migration Network Abril de 2023. </w:t>
      </w:r>
    </w:p>
    <w:p w14:paraId="7AB8C04F" w14:textId="558B0875" w:rsidR="00C568D5" w:rsidRDefault="00C568D5">
      <w:pPr>
        <w:pStyle w:val="FootnoteText"/>
      </w:pPr>
      <w:r>
        <w:t xml:space="preserve"> </w:t>
      </w:r>
      <w:r w:rsidRPr="00C568D5">
        <w:t>https://emn.ie/wp-</w:t>
      </w:r>
      <w:r>
        <w:t>c</w:t>
      </w:r>
      <w:r w:rsidRPr="00C568D5">
        <w:t>ontent/uploads/2023/05/EMN_INFORM_Statelessness_FINAL.2023.pdf</w:t>
      </w:r>
    </w:p>
  </w:footnote>
  <w:footnote w:id="16">
    <w:p w14:paraId="0CF5E650" w14:textId="09A24ADD" w:rsidR="00C568D5" w:rsidRDefault="00C568D5">
      <w:pPr>
        <w:pStyle w:val="FootnoteText"/>
      </w:pPr>
      <w:r>
        <w:rPr>
          <w:rStyle w:val="FootnoteReference"/>
        </w:rPr>
        <w:footnoteRef/>
      </w:r>
      <w:r>
        <w:t xml:space="preserve"> </w:t>
      </w:r>
      <w:r w:rsidRPr="00C568D5">
        <w:t>https://www.refworld.org/es/pol/posicion/acnur/2014/es/122573</w:t>
      </w:r>
    </w:p>
  </w:footnote>
  <w:footnote w:id="17">
    <w:p w14:paraId="7A9D88DC" w14:textId="1231D091" w:rsidR="0022638B" w:rsidRPr="0022638B" w:rsidRDefault="0022638B" w:rsidP="0022638B">
      <w:pPr>
        <w:pStyle w:val="FootnoteText"/>
        <w:rPr>
          <w:lang w:val="en-GB"/>
        </w:rPr>
      </w:pPr>
      <w:r>
        <w:rPr>
          <w:rStyle w:val="FootnoteReference"/>
        </w:rPr>
        <w:footnoteRef/>
      </w:r>
      <w:r w:rsidRPr="0022638B">
        <w:rPr>
          <w:lang w:val="en-GB"/>
        </w:rPr>
        <w:t xml:space="preserve">  </w:t>
      </w:r>
      <w:r>
        <w:rPr>
          <w:lang w:val="en-GB"/>
        </w:rPr>
        <w:t>Naciones Unidas,</w:t>
      </w:r>
      <w:r w:rsidRPr="0022638B">
        <w:rPr>
          <w:lang w:val="en-GB"/>
        </w:rPr>
        <w:t xml:space="preserve"> Leaving No One Behind: Equality and Non-Discrimination at the Heart of Sustainable Development, 2017</w:t>
      </w:r>
      <w:r>
        <w:rPr>
          <w:lang w:val="en-GB"/>
        </w:rPr>
        <w:t xml:space="preserve"> </w:t>
      </w:r>
      <w:r w:rsidRPr="0022638B">
        <w:rPr>
          <w:lang w:val="en-GB"/>
        </w:rPr>
        <w:t>New York (available at:</w:t>
      </w:r>
      <w:r>
        <w:rPr>
          <w:lang w:val="en-GB"/>
        </w:rPr>
        <w:t xml:space="preserve"> </w:t>
      </w:r>
      <w:r w:rsidRPr="0022638B">
        <w:rPr>
          <w:lang w:val="en-GB"/>
        </w:rPr>
        <w:t>https://unsceb.org/sites/default/files/imported_files/CEB%20equality%20framework-A4-web-rev3.pdf.</w:t>
      </w:r>
    </w:p>
  </w:footnote>
  <w:footnote w:id="18">
    <w:p w14:paraId="5D1CE5F2" w14:textId="2192CC80" w:rsidR="00C568D5" w:rsidRDefault="00C568D5">
      <w:pPr>
        <w:pStyle w:val="FootnoteText"/>
      </w:pPr>
      <w:r>
        <w:rPr>
          <w:rStyle w:val="FootnoteReference"/>
        </w:rPr>
        <w:footnoteRef/>
      </w:r>
      <w:r>
        <w:t xml:space="preserve"> </w:t>
      </w:r>
      <w:r w:rsidRPr="00C568D5">
        <w:t>https://www.acnur.org/sites/default/files/legacy-pdf/5b75c3ba4.pdf</w:t>
      </w:r>
    </w:p>
  </w:footnote>
  <w:footnote w:id="19">
    <w:p w14:paraId="531C09C3" w14:textId="793D1E8F" w:rsidR="0022638B" w:rsidRDefault="0022638B">
      <w:pPr>
        <w:pStyle w:val="FootnoteText"/>
      </w:pPr>
      <w:r>
        <w:rPr>
          <w:rStyle w:val="FootnoteReference"/>
        </w:rPr>
        <w:footnoteRef/>
      </w:r>
      <w:r>
        <w:t xml:space="preserve"> </w:t>
      </w:r>
      <w:r w:rsidRPr="0022638B">
        <w:t>https://unstats.un.org/legal-identity-agenda/</w:t>
      </w:r>
    </w:p>
  </w:footnote>
  <w:footnote w:id="20">
    <w:p w14:paraId="467B1D5C" w14:textId="1AFE531A" w:rsidR="0022638B" w:rsidRDefault="0022638B">
      <w:pPr>
        <w:pStyle w:val="FootnoteText"/>
      </w:pPr>
      <w:r>
        <w:rPr>
          <w:rStyle w:val="FootnoteReference"/>
        </w:rPr>
        <w:footnoteRef/>
      </w:r>
      <w:r>
        <w:t xml:space="preserve"> En ACNUR Global </w:t>
      </w:r>
      <w:r>
        <w:t xml:space="preserve">Trends Report 2022, </w:t>
      </w:r>
      <w:r w:rsidRPr="0022638B">
        <w:t>https://www.unhcr.org/statistics/2022GTannextableSTA.xlsx</w:t>
      </w:r>
    </w:p>
  </w:footnote>
  <w:footnote w:id="21">
    <w:p w14:paraId="4A10C325" w14:textId="46B5C0AA" w:rsidR="0022638B" w:rsidRDefault="0022638B">
      <w:pPr>
        <w:pStyle w:val="FootnoteText"/>
      </w:pPr>
      <w:r>
        <w:rPr>
          <w:rStyle w:val="FootnoteReference"/>
        </w:rPr>
        <w:footnoteRef/>
      </w:r>
      <w:r>
        <w:t>h</w:t>
      </w:r>
      <w:r w:rsidRPr="0022638B">
        <w:t>ttps://www.inclusion.gob.es/web/opi/estadisticas/catalogo/extranjeros_con_certificado?tab=ultimos-datos</w:t>
      </w:r>
    </w:p>
  </w:footnote>
  <w:footnote w:id="22">
    <w:p w14:paraId="197CE149" w14:textId="4AA90CF7" w:rsidR="0022638B" w:rsidRDefault="0022638B">
      <w:pPr>
        <w:pStyle w:val="FootnoteText"/>
      </w:pPr>
      <w:r>
        <w:rPr>
          <w:rStyle w:val="FootnoteReference"/>
        </w:rPr>
        <w:footnoteRef/>
      </w:r>
      <w:r>
        <w:t xml:space="preserve"> Datos extraídos de Ministerio del Interior, Oficina de asilo y refugio, Asilo en cifras. </w:t>
      </w:r>
      <w:r w:rsidRPr="0022638B">
        <w:t>https://proteccion-asilo.interior.gob.es/es/datos-e-informacion-estadistica/publicaciones/</w:t>
      </w:r>
    </w:p>
  </w:footnote>
  <w:footnote w:id="23">
    <w:p w14:paraId="42A77317" w14:textId="48D82B09" w:rsidR="0022638B" w:rsidRDefault="0022638B">
      <w:pPr>
        <w:pStyle w:val="FootnoteText"/>
      </w:pPr>
      <w:r>
        <w:rPr>
          <w:rStyle w:val="FootnoteReference"/>
        </w:rPr>
        <w:footnoteRef/>
      </w:r>
      <w:r>
        <w:t xml:space="preserve"> </w:t>
      </w:r>
      <w:r w:rsidRPr="0022638B">
        <w:rPr>
          <w:i/>
        </w:rPr>
        <w:t>Ibid.</w:t>
      </w:r>
    </w:p>
  </w:footnote>
  <w:footnote w:id="24">
    <w:p w14:paraId="23D71CCD" w14:textId="70BBCF0F" w:rsidR="00C568D5" w:rsidRDefault="00C568D5">
      <w:pPr>
        <w:pStyle w:val="FootnoteText"/>
      </w:pPr>
      <w:r>
        <w:rPr>
          <w:rStyle w:val="FootnoteReference"/>
        </w:rPr>
        <w:footnoteRef/>
      </w:r>
      <w:r>
        <w:t xml:space="preserve"> </w:t>
      </w:r>
      <w:r w:rsidRPr="00C568D5">
        <w:t>https://egrisstats.org/recommendations/international-recommendations-on-statelessness-statistics-iross/</w:t>
      </w:r>
    </w:p>
  </w:footnote>
</w:footnotes>
</file>

<file path=word/intelligence2.xml><?xml version="1.0" encoding="utf-8"?>
<int2:intelligence xmlns:int2="http://schemas.microsoft.com/office/intelligence/2020/intelligence" xmlns:oel="http://schemas.microsoft.com/office/2019/extlst">
  <int2:observations>
    <int2:textHash int2:hashCode="x5dnlC4hVUBDFj" int2:id="pIuA3YqD">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C5BF"/>
    <w:multiLevelType w:val="hybridMultilevel"/>
    <w:tmpl w:val="A346433A"/>
    <w:lvl w:ilvl="0" w:tplc="71DC7C40">
      <w:start w:val="1"/>
      <w:numFmt w:val="decimal"/>
      <w:lvlText w:val="%1."/>
      <w:lvlJc w:val="left"/>
      <w:pPr>
        <w:ind w:left="720" w:hanging="360"/>
      </w:pPr>
    </w:lvl>
    <w:lvl w:ilvl="1" w:tplc="0FDCC1C2">
      <w:start w:val="1"/>
      <w:numFmt w:val="lowerLetter"/>
      <w:lvlText w:val="%2."/>
      <w:lvlJc w:val="left"/>
      <w:pPr>
        <w:ind w:left="1440" w:hanging="360"/>
      </w:pPr>
    </w:lvl>
    <w:lvl w:ilvl="2" w:tplc="BA8288E6">
      <w:start w:val="1"/>
      <w:numFmt w:val="lowerRoman"/>
      <w:lvlText w:val="%3."/>
      <w:lvlJc w:val="right"/>
      <w:pPr>
        <w:ind w:left="2160" w:hanging="180"/>
      </w:pPr>
    </w:lvl>
    <w:lvl w:ilvl="3" w:tplc="629438DE">
      <w:start w:val="1"/>
      <w:numFmt w:val="decimal"/>
      <w:lvlText w:val="%4."/>
      <w:lvlJc w:val="left"/>
      <w:pPr>
        <w:ind w:left="2880" w:hanging="360"/>
      </w:pPr>
    </w:lvl>
    <w:lvl w:ilvl="4" w:tplc="29E0D788">
      <w:start w:val="1"/>
      <w:numFmt w:val="lowerLetter"/>
      <w:lvlText w:val="%5."/>
      <w:lvlJc w:val="left"/>
      <w:pPr>
        <w:ind w:left="3600" w:hanging="360"/>
      </w:pPr>
    </w:lvl>
    <w:lvl w:ilvl="5" w:tplc="067AB710">
      <w:start w:val="1"/>
      <w:numFmt w:val="lowerRoman"/>
      <w:lvlText w:val="%6."/>
      <w:lvlJc w:val="right"/>
      <w:pPr>
        <w:ind w:left="4320" w:hanging="180"/>
      </w:pPr>
    </w:lvl>
    <w:lvl w:ilvl="6" w:tplc="5A1ECA60">
      <w:start w:val="1"/>
      <w:numFmt w:val="decimal"/>
      <w:lvlText w:val="%7."/>
      <w:lvlJc w:val="left"/>
      <w:pPr>
        <w:ind w:left="5040" w:hanging="360"/>
      </w:pPr>
    </w:lvl>
    <w:lvl w:ilvl="7" w:tplc="4DDE973E">
      <w:start w:val="1"/>
      <w:numFmt w:val="lowerLetter"/>
      <w:lvlText w:val="%8."/>
      <w:lvlJc w:val="left"/>
      <w:pPr>
        <w:ind w:left="5760" w:hanging="360"/>
      </w:pPr>
    </w:lvl>
    <w:lvl w:ilvl="8" w:tplc="CF02FE5C">
      <w:start w:val="1"/>
      <w:numFmt w:val="lowerRoman"/>
      <w:lvlText w:val="%9."/>
      <w:lvlJc w:val="right"/>
      <w:pPr>
        <w:ind w:left="6480" w:hanging="180"/>
      </w:pPr>
    </w:lvl>
  </w:abstractNum>
  <w:abstractNum w:abstractNumId="1" w15:restartNumberingAfterBreak="0">
    <w:nsid w:val="03087C3F"/>
    <w:multiLevelType w:val="multilevel"/>
    <w:tmpl w:val="7F6C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4CA1"/>
    <w:multiLevelType w:val="multilevel"/>
    <w:tmpl w:val="0D840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8BDE51"/>
    <w:multiLevelType w:val="hybridMultilevel"/>
    <w:tmpl w:val="A85A28A8"/>
    <w:lvl w:ilvl="0" w:tplc="194A9BC6">
      <w:start w:val="1"/>
      <w:numFmt w:val="decimal"/>
      <w:lvlText w:val="%1."/>
      <w:lvlJc w:val="left"/>
      <w:pPr>
        <w:ind w:left="720" w:hanging="360"/>
      </w:pPr>
    </w:lvl>
    <w:lvl w:ilvl="1" w:tplc="9B161744">
      <w:start w:val="1"/>
      <w:numFmt w:val="lowerLetter"/>
      <w:lvlText w:val="%2."/>
      <w:lvlJc w:val="left"/>
      <w:pPr>
        <w:ind w:left="1440" w:hanging="360"/>
      </w:pPr>
    </w:lvl>
    <w:lvl w:ilvl="2" w:tplc="F38009F6">
      <w:start w:val="1"/>
      <w:numFmt w:val="lowerRoman"/>
      <w:lvlText w:val="%3."/>
      <w:lvlJc w:val="right"/>
      <w:pPr>
        <w:ind w:left="2160" w:hanging="180"/>
      </w:pPr>
    </w:lvl>
    <w:lvl w:ilvl="3" w:tplc="6694C62C">
      <w:start w:val="1"/>
      <w:numFmt w:val="decimal"/>
      <w:lvlText w:val="%4."/>
      <w:lvlJc w:val="left"/>
      <w:pPr>
        <w:ind w:left="2880" w:hanging="360"/>
      </w:pPr>
    </w:lvl>
    <w:lvl w:ilvl="4" w:tplc="0E147F5E">
      <w:start w:val="1"/>
      <w:numFmt w:val="lowerLetter"/>
      <w:lvlText w:val="%5."/>
      <w:lvlJc w:val="left"/>
      <w:pPr>
        <w:ind w:left="3600" w:hanging="360"/>
      </w:pPr>
    </w:lvl>
    <w:lvl w:ilvl="5" w:tplc="D884BAB6">
      <w:start w:val="1"/>
      <w:numFmt w:val="lowerRoman"/>
      <w:lvlText w:val="%6."/>
      <w:lvlJc w:val="right"/>
      <w:pPr>
        <w:ind w:left="4320" w:hanging="180"/>
      </w:pPr>
    </w:lvl>
    <w:lvl w:ilvl="6" w:tplc="5B82E312">
      <w:start w:val="1"/>
      <w:numFmt w:val="decimal"/>
      <w:lvlText w:val="%7."/>
      <w:lvlJc w:val="left"/>
      <w:pPr>
        <w:ind w:left="5040" w:hanging="360"/>
      </w:pPr>
    </w:lvl>
    <w:lvl w:ilvl="7" w:tplc="B0ECEFDC">
      <w:start w:val="1"/>
      <w:numFmt w:val="lowerLetter"/>
      <w:lvlText w:val="%8."/>
      <w:lvlJc w:val="left"/>
      <w:pPr>
        <w:ind w:left="5760" w:hanging="360"/>
      </w:pPr>
    </w:lvl>
    <w:lvl w:ilvl="8" w:tplc="5B60F428">
      <w:start w:val="1"/>
      <w:numFmt w:val="lowerRoman"/>
      <w:lvlText w:val="%9."/>
      <w:lvlJc w:val="right"/>
      <w:pPr>
        <w:ind w:left="6480" w:hanging="180"/>
      </w:pPr>
    </w:lvl>
  </w:abstractNum>
  <w:abstractNum w:abstractNumId="4" w15:restartNumberingAfterBreak="0">
    <w:nsid w:val="086D6569"/>
    <w:multiLevelType w:val="multilevel"/>
    <w:tmpl w:val="7630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489CF"/>
    <w:multiLevelType w:val="hybridMultilevel"/>
    <w:tmpl w:val="3A842754"/>
    <w:lvl w:ilvl="0" w:tplc="1C1CC832">
      <w:start w:val="1"/>
      <w:numFmt w:val="decimal"/>
      <w:lvlText w:val="%1."/>
      <w:lvlJc w:val="left"/>
      <w:pPr>
        <w:ind w:left="720" w:hanging="360"/>
      </w:pPr>
    </w:lvl>
    <w:lvl w:ilvl="1" w:tplc="AE660F52">
      <w:start w:val="1"/>
      <w:numFmt w:val="lowerLetter"/>
      <w:lvlText w:val="%2."/>
      <w:lvlJc w:val="left"/>
      <w:pPr>
        <w:ind w:left="1440" w:hanging="360"/>
      </w:pPr>
    </w:lvl>
    <w:lvl w:ilvl="2" w:tplc="28442E1C">
      <w:start w:val="1"/>
      <w:numFmt w:val="lowerRoman"/>
      <w:lvlText w:val="%3."/>
      <w:lvlJc w:val="right"/>
      <w:pPr>
        <w:ind w:left="2160" w:hanging="180"/>
      </w:pPr>
    </w:lvl>
    <w:lvl w:ilvl="3" w:tplc="3FEE0F90">
      <w:start w:val="1"/>
      <w:numFmt w:val="decimal"/>
      <w:lvlText w:val="%4."/>
      <w:lvlJc w:val="left"/>
      <w:pPr>
        <w:ind w:left="2880" w:hanging="360"/>
      </w:pPr>
    </w:lvl>
    <w:lvl w:ilvl="4" w:tplc="559A87F8">
      <w:start w:val="1"/>
      <w:numFmt w:val="lowerLetter"/>
      <w:lvlText w:val="%5."/>
      <w:lvlJc w:val="left"/>
      <w:pPr>
        <w:ind w:left="3600" w:hanging="360"/>
      </w:pPr>
    </w:lvl>
    <w:lvl w:ilvl="5" w:tplc="98881AAA">
      <w:start w:val="1"/>
      <w:numFmt w:val="lowerRoman"/>
      <w:lvlText w:val="%6."/>
      <w:lvlJc w:val="right"/>
      <w:pPr>
        <w:ind w:left="4320" w:hanging="180"/>
      </w:pPr>
    </w:lvl>
    <w:lvl w:ilvl="6" w:tplc="46047EB8">
      <w:start w:val="1"/>
      <w:numFmt w:val="decimal"/>
      <w:lvlText w:val="%7."/>
      <w:lvlJc w:val="left"/>
      <w:pPr>
        <w:ind w:left="5040" w:hanging="360"/>
      </w:pPr>
    </w:lvl>
    <w:lvl w:ilvl="7" w:tplc="014C1484">
      <w:start w:val="1"/>
      <w:numFmt w:val="lowerLetter"/>
      <w:lvlText w:val="%8."/>
      <w:lvlJc w:val="left"/>
      <w:pPr>
        <w:ind w:left="5760" w:hanging="360"/>
      </w:pPr>
    </w:lvl>
    <w:lvl w:ilvl="8" w:tplc="6C2AECCC">
      <w:start w:val="1"/>
      <w:numFmt w:val="lowerRoman"/>
      <w:lvlText w:val="%9."/>
      <w:lvlJc w:val="right"/>
      <w:pPr>
        <w:ind w:left="6480" w:hanging="180"/>
      </w:pPr>
    </w:lvl>
  </w:abstractNum>
  <w:abstractNum w:abstractNumId="6" w15:restartNumberingAfterBreak="0">
    <w:nsid w:val="20CFD1F4"/>
    <w:multiLevelType w:val="multilevel"/>
    <w:tmpl w:val="7E8090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2B41515"/>
    <w:multiLevelType w:val="multilevel"/>
    <w:tmpl w:val="F4AAC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23D334"/>
    <w:multiLevelType w:val="hybridMultilevel"/>
    <w:tmpl w:val="2D4AFBAA"/>
    <w:lvl w:ilvl="0" w:tplc="4E8CBF52">
      <w:start w:val="1"/>
      <w:numFmt w:val="bullet"/>
      <w:lvlText w:val="-"/>
      <w:lvlJc w:val="left"/>
      <w:pPr>
        <w:ind w:left="720" w:hanging="360"/>
      </w:pPr>
      <w:rPr>
        <w:rFonts w:ascii="Aptos" w:hAnsi="Aptos" w:hint="default"/>
      </w:rPr>
    </w:lvl>
    <w:lvl w:ilvl="1" w:tplc="440837A8">
      <w:start w:val="1"/>
      <w:numFmt w:val="bullet"/>
      <w:lvlText w:val="o"/>
      <w:lvlJc w:val="left"/>
      <w:pPr>
        <w:ind w:left="1440" w:hanging="360"/>
      </w:pPr>
      <w:rPr>
        <w:rFonts w:ascii="Courier New" w:hAnsi="Courier New" w:hint="default"/>
      </w:rPr>
    </w:lvl>
    <w:lvl w:ilvl="2" w:tplc="A04E404C">
      <w:start w:val="1"/>
      <w:numFmt w:val="bullet"/>
      <w:lvlText w:val=""/>
      <w:lvlJc w:val="left"/>
      <w:pPr>
        <w:ind w:left="2160" w:hanging="360"/>
      </w:pPr>
      <w:rPr>
        <w:rFonts w:ascii="Wingdings" w:hAnsi="Wingdings" w:hint="default"/>
      </w:rPr>
    </w:lvl>
    <w:lvl w:ilvl="3" w:tplc="13B43058">
      <w:start w:val="1"/>
      <w:numFmt w:val="bullet"/>
      <w:lvlText w:val=""/>
      <w:lvlJc w:val="left"/>
      <w:pPr>
        <w:ind w:left="2880" w:hanging="360"/>
      </w:pPr>
      <w:rPr>
        <w:rFonts w:ascii="Symbol" w:hAnsi="Symbol" w:hint="default"/>
      </w:rPr>
    </w:lvl>
    <w:lvl w:ilvl="4" w:tplc="F06271F2">
      <w:start w:val="1"/>
      <w:numFmt w:val="bullet"/>
      <w:lvlText w:val="o"/>
      <w:lvlJc w:val="left"/>
      <w:pPr>
        <w:ind w:left="3600" w:hanging="360"/>
      </w:pPr>
      <w:rPr>
        <w:rFonts w:ascii="Courier New" w:hAnsi="Courier New" w:hint="default"/>
      </w:rPr>
    </w:lvl>
    <w:lvl w:ilvl="5" w:tplc="AE2EA972">
      <w:start w:val="1"/>
      <w:numFmt w:val="bullet"/>
      <w:lvlText w:val=""/>
      <w:lvlJc w:val="left"/>
      <w:pPr>
        <w:ind w:left="4320" w:hanging="360"/>
      </w:pPr>
      <w:rPr>
        <w:rFonts w:ascii="Wingdings" w:hAnsi="Wingdings" w:hint="default"/>
      </w:rPr>
    </w:lvl>
    <w:lvl w:ilvl="6" w:tplc="F9BA1E46">
      <w:start w:val="1"/>
      <w:numFmt w:val="bullet"/>
      <w:lvlText w:val=""/>
      <w:lvlJc w:val="left"/>
      <w:pPr>
        <w:ind w:left="5040" w:hanging="360"/>
      </w:pPr>
      <w:rPr>
        <w:rFonts w:ascii="Symbol" w:hAnsi="Symbol" w:hint="default"/>
      </w:rPr>
    </w:lvl>
    <w:lvl w:ilvl="7" w:tplc="BF247DBE">
      <w:start w:val="1"/>
      <w:numFmt w:val="bullet"/>
      <w:lvlText w:val="o"/>
      <w:lvlJc w:val="left"/>
      <w:pPr>
        <w:ind w:left="5760" w:hanging="360"/>
      </w:pPr>
      <w:rPr>
        <w:rFonts w:ascii="Courier New" w:hAnsi="Courier New" w:hint="default"/>
      </w:rPr>
    </w:lvl>
    <w:lvl w:ilvl="8" w:tplc="55A29B86">
      <w:start w:val="1"/>
      <w:numFmt w:val="bullet"/>
      <w:lvlText w:val=""/>
      <w:lvlJc w:val="left"/>
      <w:pPr>
        <w:ind w:left="6480" w:hanging="360"/>
      </w:pPr>
      <w:rPr>
        <w:rFonts w:ascii="Wingdings" w:hAnsi="Wingdings" w:hint="default"/>
      </w:rPr>
    </w:lvl>
  </w:abstractNum>
  <w:abstractNum w:abstractNumId="9" w15:restartNumberingAfterBreak="0">
    <w:nsid w:val="26345BFB"/>
    <w:multiLevelType w:val="multilevel"/>
    <w:tmpl w:val="E1703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7D5175"/>
    <w:multiLevelType w:val="multilevel"/>
    <w:tmpl w:val="734A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BA64C2"/>
    <w:multiLevelType w:val="multilevel"/>
    <w:tmpl w:val="64269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CF72AD"/>
    <w:multiLevelType w:val="hybridMultilevel"/>
    <w:tmpl w:val="1524662C"/>
    <w:lvl w:ilvl="0" w:tplc="1928976E">
      <w:start w:val="1"/>
      <w:numFmt w:val="decimal"/>
      <w:lvlText w:val="%1."/>
      <w:lvlJc w:val="left"/>
      <w:pPr>
        <w:ind w:left="720" w:hanging="360"/>
      </w:pPr>
    </w:lvl>
    <w:lvl w:ilvl="1" w:tplc="F71A4ADA">
      <w:start w:val="1"/>
      <w:numFmt w:val="lowerLetter"/>
      <w:lvlText w:val="%2."/>
      <w:lvlJc w:val="left"/>
      <w:pPr>
        <w:ind w:left="1440" w:hanging="360"/>
      </w:pPr>
    </w:lvl>
    <w:lvl w:ilvl="2" w:tplc="E4D2F2E6">
      <w:start w:val="1"/>
      <w:numFmt w:val="lowerRoman"/>
      <w:lvlText w:val="%3."/>
      <w:lvlJc w:val="right"/>
      <w:pPr>
        <w:ind w:left="2160" w:hanging="180"/>
      </w:pPr>
    </w:lvl>
    <w:lvl w:ilvl="3" w:tplc="2480C632">
      <w:start w:val="1"/>
      <w:numFmt w:val="decimal"/>
      <w:lvlText w:val="%4."/>
      <w:lvlJc w:val="left"/>
      <w:pPr>
        <w:ind w:left="2880" w:hanging="360"/>
      </w:pPr>
    </w:lvl>
    <w:lvl w:ilvl="4" w:tplc="F87E8350">
      <w:start w:val="1"/>
      <w:numFmt w:val="lowerLetter"/>
      <w:lvlText w:val="%5."/>
      <w:lvlJc w:val="left"/>
      <w:pPr>
        <w:ind w:left="3600" w:hanging="360"/>
      </w:pPr>
    </w:lvl>
    <w:lvl w:ilvl="5" w:tplc="F4645F3A">
      <w:start w:val="1"/>
      <w:numFmt w:val="lowerRoman"/>
      <w:lvlText w:val="%6."/>
      <w:lvlJc w:val="right"/>
      <w:pPr>
        <w:ind w:left="4320" w:hanging="180"/>
      </w:pPr>
    </w:lvl>
    <w:lvl w:ilvl="6" w:tplc="A6128078">
      <w:start w:val="1"/>
      <w:numFmt w:val="decimal"/>
      <w:lvlText w:val="%7."/>
      <w:lvlJc w:val="left"/>
      <w:pPr>
        <w:ind w:left="5040" w:hanging="360"/>
      </w:pPr>
    </w:lvl>
    <w:lvl w:ilvl="7" w:tplc="EAEAAC72">
      <w:start w:val="1"/>
      <w:numFmt w:val="lowerLetter"/>
      <w:lvlText w:val="%8."/>
      <w:lvlJc w:val="left"/>
      <w:pPr>
        <w:ind w:left="5760" w:hanging="360"/>
      </w:pPr>
    </w:lvl>
    <w:lvl w:ilvl="8" w:tplc="0F848AF6">
      <w:start w:val="1"/>
      <w:numFmt w:val="lowerRoman"/>
      <w:lvlText w:val="%9."/>
      <w:lvlJc w:val="right"/>
      <w:pPr>
        <w:ind w:left="6480" w:hanging="180"/>
      </w:pPr>
    </w:lvl>
  </w:abstractNum>
  <w:abstractNum w:abstractNumId="13" w15:restartNumberingAfterBreak="0">
    <w:nsid w:val="350C3309"/>
    <w:multiLevelType w:val="hybridMultilevel"/>
    <w:tmpl w:val="9C12FA48"/>
    <w:lvl w:ilvl="0" w:tplc="53902B56">
      <w:start w:val="1"/>
      <w:numFmt w:val="bullet"/>
      <w:lvlText w:val="-"/>
      <w:lvlJc w:val="left"/>
      <w:pPr>
        <w:ind w:left="720" w:hanging="360"/>
      </w:pPr>
      <w:rPr>
        <w:rFonts w:ascii="Aptos" w:hAnsi="Aptos" w:hint="default"/>
      </w:rPr>
    </w:lvl>
    <w:lvl w:ilvl="1" w:tplc="CA781440">
      <w:start w:val="1"/>
      <w:numFmt w:val="bullet"/>
      <w:lvlText w:val="o"/>
      <w:lvlJc w:val="left"/>
      <w:pPr>
        <w:ind w:left="1440" w:hanging="360"/>
      </w:pPr>
      <w:rPr>
        <w:rFonts w:ascii="Courier New" w:hAnsi="Courier New" w:hint="default"/>
      </w:rPr>
    </w:lvl>
    <w:lvl w:ilvl="2" w:tplc="60E25986">
      <w:start w:val="1"/>
      <w:numFmt w:val="bullet"/>
      <w:lvlText w:val=""/>
      <w:lvlJc w:val="left"/>
      <w:pPr>
        <w:ind w:left="2160" w:hanging="360"/>
      </w:pPr>
      <w:rPr>
        <w:rFonts w:ascii="Wingdings" w:hAnsi="Wingdings" w:hint="default"/>
      </w:rPr>
    </w:lvl>
    <w:lvl w:ilvl="3" w:tplc="F2568F26">
      <w:start w:val="1"/>
      <w:numFmt w:val="bullet"/>
      <w:lvlText w:val=""/>
      <w:lvlJc w:val="left"/>
      <w:pPr>
        <w:ind w:left="2880" w:hanging="360"/>
      </w:pPr>
      <w:rPr>
        <w:rFonts w:ascii="Symbol" w:hAnsi="Symbol" w:hint="default"/>
      </w:rPr>
    </w:lvl>
    <w:lvl w:ilvl="4" w:tplc="27A663F8">
      <w:start w:val="1"/>
      <w:numFmt w:val="bullet"/>
      <w:lvlText w:val="o"/>
      <w:lvlJc w:val="left"/>
      <w:pPr>
        <w:ind w:left="3600" w:hanging="360"/>
      </w:pPr>
      <w:rPr>
        <w:rFonts w:ascii="Courier New" w:hAnsi="Courier New" w:hint="default"/>
      </w:rPr>
    </w:lvl>
    <w:lvl w:ilvl="5" w:tplc="AE22E2B8">
      <w:start w:val="1"/>
      <w:numFmt w:val="bullet"/>
      <w:lvlText w:val=""/>
      <w:lvlJc w:val="left"/>
      <w:pPr>
        <w:ind w:left="4320" w:hanging="360"/>
      </w:pPr>
      <w:rPr>
        <w:rFonts w:ascii="Wingdings" w:hAnsi="Wingdings" w:hint="default"/>
      </w:rPr>
    </w:lvl>
    <w:lvl w:ilvl="6" w:tplc="3896519C">
      <w:start w:val="1"/>
      <w:numFmt w:val="bullet"/>
      <w:lvlText w:val=""/>
      <w:lvlJc w:val="left"/>
      <w:pPr>
        <w:ind w:left="5040" w:hanging="360"/>
      </w:pPr>
      <w:rPr>
        <w:rFonts w:ascii="Symbol" w:hAnsi="Symbol" w:hint="default"/>
      </w:rPr>
    </w:lvl>
    <w:lvl w:ilvl="7" w:tplc="45BEF7DC">
      <w:start w:val="1"/>
      <w:numFmt w:val="bullet"/>
      <w:lvlText w:val="o"/>
      <w:lvlJc w:val="left"/>
      <w:pPr>
        <w:ind w:left="5760" w:hanging="360"/>
      </w:pPr>
      <w:rPr>
        <w:rFonts w:ascii="Courier New" w:hAnsi="Courier New" w:hint="default"/>
      </w:rPr>
    </w:lvl>
    <w:lvl w:ilvl="8" w:tplc="56B23F14">
      <w:start w:val="1"/>
      <w:numFmt w:val="bullet"/>
      <w:lvlText w:val=""/>
      <w:lvlJc w:val="left"/>
      <w:pPr>
        <w:ind w:left="6480" w:hanging="360"/>
      </w:pPr>
      <w:rPr>
        <w:rFonts w:ascii="Wingdings" w:hAnsi="Wingdings" w:hint="default"/>
      </w:rPr>
    </w:lvl>
  </w:abstractNum>
  <w:abstractNum w:abstractNumId="14" w15:restartNumberingAfterBreak="0">
    <w:nsid w:val="3B7411FD"/>
    <w:multiLevelType w:val="multilevel"/>
    <w:tmpl w:val="7C24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ED67F2"/>
    <w:multiLevelType w:val="multilevel"/>
    <w:tmpl w:val="ED404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1A37E"/>
    <w:multiLevelType w:val="hybridMultilevel"/>
    <w:tmpl w:val="97924A92"/>
    <w:lvl w:ilvl="0" w:tplc="5542515A">
      <w:start w:val="1"/>
      <w:numFmt w:val="decimal"/>
      <w:lvlText w:val="%1."/>
      <w:lvlJc w:val="left"/>
      <w:pPr>
        <w:ind w:left="720" w:hanging="360"/>
      </w:pPr>
    </w:lvl>
    <w:lvl w:ilvl="1" w:tplc="565C9174">
      <w:start w:val="1"/>
      <w:numFmt w:val="lowerLetter"/>
      <w:lvlText w:val="%2."/>
      <w:lvlJc w:val="left"/>
      <w:pPr>
        <w:ind w:left="1440" w:hanging="360"/>
      </w:pPr>
    </w:lvl>
    <w:lvl w:ilvl="2" w:tplc="AE9AF31E">
      <w:start w:val="1"/>
      <w:numFmt w:val="lowerRoman"/>
      <w:lvlText w:val="%3."/>
      <w:lvlJc w:val="right"/>
      <w:pPr>
        <w:ind w:left="2160" w:hanging="180"/>
      </w:pPr>
    </w:lvl>
    <w:lvl w:ilvl="3" w:tplc="48D228D6">
      <w:start w:val="1"/>
      <w:numFmt w:val="decimal"/>
      <w:lvlText w:val="%4."/>
      <w:lvlJc w:val="left"/>
      <w:pPr>
        <w:ind w:left="2880" w:hanging="360"/>
      </w:pPr>
    </w:lvl>
    <w:lvl w:ilvl="4" w:tplc="F9C46984">
      <w:start w:val="1"/>
      <w:numFmt w:val="lowerLetter"/>
      <w:lvlText w:val="%5."/>
      <w:lvlJc w:val="left"/>
      <w:pPr>
        <w:ind w:left="3600" w:hanging="360"/>
      </w:pPr>
    </w:lvl>
    <w:lvl w:ilvl="5" w:tplc="8ED88930">
      <w:start w:val="1"/>
      <w:numFmt w:val="lowerRoman"/>
      <w:lvlText w:val="%6."/>
      <w:lvlJc w:val="right"/>
      <w:pPr>
        <w:ind w:left="4320" w:hanging="180"/>
      </w:pPr>
    </w:lvl>
    <w:lvl w:ilvl="6" w:tplc="86D4F042">
      <w:start w:val="1"/>
      <w:numFmt w:val="decimal"/>
      <w:lvlText w:val="%7."/>
      <w:lvlJc w:val="left"/>
      <w:pPr>
        <w:ind w:left="5040" w:hanging="360"/>
      </w:pPr>
    </w:lvl>
    <w:lvl w:ilvl="7" w:tplc="CB4E122E">
      <w:start w:val="1"/>
      <w:numFmt w:val="lowerLetter"/>
      <w:lvlText w:val="%8."/>
      <w:lvlJc w:val="left"/>
      <w:pPr>
        <w:ind w:left="5760" w:hanging="360"/>
      </w:pPr>
    </w:lvl>
    <w:lvl w:ilvl="8" w:tplc="B654516A">
      <w:start w:val="1"/>
      <w:numFmt w:val="lowerRoman"/>
      <w:lvlText w:val="%9."/>
      <w:lvlJc w:val="right"/>
      <w:pPr>
        <w:ind w:left="6480" w:hanging="180"/>
      </w:pPr>
    </w:lvl>
  </w:abstractNum>
  <w:abstractNum w:abstractNumId="17" w15:restartNumberingAfterBreak="0">
    <w:nsid w:val="4CBD1196"/>
    <w:multiLevelType w:val="hybridMultilevel"/>
    <w:tmpl w:val="D8B8BA8C"/>
    <w:lvl w:ilvl="0" w:tplc="06D44D1E">
      <w:start w:val="1"/>
      <w:numFmt w:val="decimal"/>
      <w:lvlText w:val="%1."/>
      <w:lvlJc w:val="left"/>
      <w:pPr>
        <w:ind w:left="720" w:hanging="360"/>
      </w:pPr>
    </w:lvl>
    <w:lvl w:ilvl="1" w:tplc="00FAF876">
      <w:start w:val="1"/>
      <w:numFmt w:val="lowerLetter"/>
      <w:lvlText w:val="%2."/>
      <w:lvlJc w:val="left"/>
      <w:pPr>
        <w:ind w:left="1440" w:hanging="360"/>
      </w:pPr>
    </w:lvl>
    <w:lvl w:ilvl="2" w:tplc="8C367F64">
      <w:start w:val="1"/>
      <w:numFmt w:val="lowerRoman"/>
      <w:lvlText w:val="%3."/>
      <w:lvlJc w:val="right"/>
      <w:pPr>
        <w:ind w:left="2160" w:hanging="180"/>
      </w:pPr>
    </w:lvl>
    <w:lvl w:ilvl="3" w:tplc="AA56367E">
      <w:start w:val="1"/>
      <w:numFmt w:val="decimal"/>
      <w:lvlText w:val="%4."/>
      <w:lvlJc w:val="left"/>
      <w:pPr>
        <w:ind w:left="2880" w:hanging="360"/>
      </w:pPr>
    </w:lvl>
    <w:lvl w:ilvl="4" w:tplc="F4CCE00C">
      <w:start w:val="1"/>
      <w:numFmt w:val="lowerLetter"/>
      <w:lvlText w:val="%5."/>
      <w:lvlJc w:val="left"/>
      <w:pPr>
        <w:ind w:left="3600" w:hanging="360"/>
      </w:pPr>
    </w:lvl>
    <w:lvl w:ilvl="5" w:tplc="AC8CEF3C">
      <w:start w:val="1"/>
      <w:numFmt w:val="lowerRoman"/>
      <w:lvlText w:val="%6."/>
      <w:lvlJc w:val="right"/>
      <w:pPr>
        <w:ind w:left="4320" w:hanging="180"/>
      </w:pPr>
    </w:lvl>
    <w:lvl w:ilvl="6" w:tplc="67745584">
      <w:start w:val="1"/>
      <w:numFmt w:val="decimal"/>
      <w:lvlText w:val="%7."/>
      <w:lvlJc w:val="left"/>
      <w:pPr>
        <w:ind w:left="5040" w:hanging="360"/>
      </w:pPr>
    </w:lvl>
    <w:lvl w:ilvl="7" w:tplc="3072D476">
      <w:start w:val="1"/>
      <w:numFmt w:val="lowerLetter"/>
      <w:lvlText w:val="%8."/>
      <w:lvlJc w:val="left"/>
      <w:pPr>
        <w:ind w:left="5760" w:hanging="360"/>
      </w:pPr>
    </w:lvl>
    <w:lvl w:ilvl="8" w:tplc="496E8AAA">
      <w:start w:val="1"/>
      <w:numFmt w:val="lowerRoman"/>
      <w:lvlText w:val="%9."/>
      <w:lvlJc w:val="right"/>
      <w:pPr>
        <w:ind w:left="6480" w:hanging="180"/>
      </w:pPr>
    </w:lvl>
  </w:abstractNum>
  <w:abstractNum w:abstractNumId="18" w15:restartNumberingAfterBreak="0">
    <w:nsid w:val="4CEEA1D6"/>
    <w:multiLevelType w:val="hybridMultilevel"/>
    <w:tmpl w:val="6BA8A446"/>
    <w:lvl w:ilvl="0" w:tplc="C2BACA3A">
      <w:start w:val="1"/>
      <w:numFmt w:val="decimal"/>
      <w:lvlText w:val="%1."/>
      <w:lvlJc w:val="left"/>
      <w:pPr>
        <w:ind w:left="720" w:hanging="360"/>
      </w:pPr>
    </w:lvl>
    <w:lvl w:ilvl="1" w:tplc="9BAC9BE8">
      <w:start w:val="1"/>
      <w:numFmt w:val="lowerLetter"/>
      <w:lvlText w:val="%2."/>
      <w:lvlJc w:val="left"/>
      <w:pPr>
        <w:ind w:left="1440" w:hanging="360"/>
      </w:pPr>
    </w:lvl>
    <w:lvl w:ilvl="2" w:tplc="999456EA">
      <w:start w:val="1"/>
      <w:numFmt w:val="lowerRoman"/>
      <w:lvlText w:val="%3."/>
      <w:lvlJc w:val="right"/>
      <w:pPr>
        <w:ind w:left="2160" w:hanging="180"/>
      </w:pPr>
    </w:lvl>
    <w:lvl w:ilvl="3" w:tplc="B760667A">
      <w:start w:val="1"/>
      <w:numFmt w:val="decimal"/>
      <w:lvlText w:val="%4."/>
      <w:lvlJc w:val="left"/>
      <w:pPr>
        <w:ind w:left="2880" w:hanging="360"/>
      </w:pPr>
    </w:lvl>
    <w:lvl w:ilvl="4" w:tplc="D5885EBE">
      <w:start w:val="1"/>
      <w:numFmt w:val="lowerLetter"/>
      <w:lvlText w:val="%5."/>
      <w:lvlJc w:val="left"/>
      <w:pPr>
        <w:ind w:left="3600" w:hanging="360"/>
      </w:pPr>
    </w:lvl>
    <w:lvl w:ilvl="5" w:tplc="F78E8C3E">
      <w:start w:val="1"/>
      <w:numFmt w:val="lowerRoman"/>
      <w:lvlText w:val="%6."/>
      <w:lvlJc w:val="right"/>
      <w:pPr>
        <w:ind w:left="4320" w:hanging="180"/>
      </w:pPr>
    </w:lvl>
    <w:lvl w:ilvl="6" w:tplc="97D666DA">
      <w:start w:val="1"/>
      <w:numFmt w:val="decimal"/>
      <w:lvlText w:val="%7."/>
      <w:lvlJc w:val="left"/>
      <w:pPr>
        <w:ind w:left="5040" w:hanging="360"/>
      </w:pPr>
    </w:lvl>
    <w:lvl w:ilvl="7" w:tplc="29F068EE">
      <w:start w:val="1"/>
      <w:numFmt w:val="lowerLetter"/>
      <w:lvlText w:val="%8."/>
      <w:lvlJc w:val="left"/>
      <w:pPr>
        <w:ind w:left="5760" w:hanging="360"/>
      </w:pPr>
    </w:lvl>
    <w:lvl w:ilvl="8" w:tplc="FC66964C">
      <w:start w:val="1"/>
      <w:numFmt w:val="lowerRoman"/>
      <w:lvlText w:val="%9."/>
      <w:lvlJc w:val="right"/>
      <w:pPr>
        <w:ind w:left="6480" w:hanging="180"/>
      </w:pPr>
    </w:lvl>
  </w:abstractNum>
  <w:abstractNum w:abstractNumId="19" w15:restartNumberingAfterBreak="0">
    <w:nsid w:val="5235BAC1"/>
    <w:multiLevelType w:val="hybridMultilevel"/>
    <w:tmpl w:val="E9806F06"/>
    <w:lvl w:ilvl="0" w:tplc="ADCAC490">
      <w:start w:val="1"/>
      <w:numFmt w:val="decimal"/>
      <w:lvlText w:val="%1."/>
      <w:lvlJc w:val="left"/>
      <w:pPr>
        <w:ind w:left="720" w:hanging="360"/>
      </w:pPr>
    </w:lvl>
    <w:lvl w:ilvl="1" w:tplc="6A0CB938">
      <w:start w:val="1"/>
      <w:numFmt w:val="lowerLetter"/>
      <w:lvlText w:val="%2."/>
      <w:lvlJc w:val="left"/>
      <w:pPr>
        <w:ind w:left="1440" w:hanging="360"/>
      </w:pPr>
    </w:lvl>
    <w:lvl w:ilvl="2" w:tplc="26CA6660">
      <w:start w:val="1"/>
      <w:numFmt w:val="lowerRoman"/>
      <w:lvlText w:val="%3."/>
      <w:lvlJc w:val="right"/>
      <w:pPr>
        <w:ind w:left="2160" w:hanging="180"/>
      </w:pPr>
    </w:lvl>
    <w:lvl w:ilvl="3" w:tplc="E70C6594">
      <w:start w:val="1"/>
      <w:numFmt w:val="decimal"/>
      <w:lvlText w:val="%4."/>
      <w:lvlJc w:val="left"/>
      <w:pPr>
        <w:ind w:left="2880" w:hanging="360"/>
      </w:pPr>
    </w:lvl>
    <w:lvl w:ilvl="4" w:tplc="7688CAE0">
      <w:start w:val="1"/>
      <w:numFmt w:val="lowerLetter"/>
      <w:lvlText w:val="%5."/>
      <w:lvlJc w:val="left"/>
      <w:pPr>
        <w:ind w:left="3600" w:hanging="360"/>
      </w:pPr>
    </w:lvl>
    <w:lvl w:ilvl="5" w:tplc="781C2806">
      <w:start w:val="1"/>
      <w:numFmt w:val="lowerRoman"/>
      <w:lvlText w:val="%6."/>
      <w:lvlJc w:val="right"/>
      <w:pPr>
        <w:ind w:left="4320" w:hanging="180"/>
      </w:pPr>
    </w:lvl>
    <w:lvl w:ilvl="6" w:tplc="BD44879A">
      <w:start w:val="1"/>
      <w:numFmt w:val="decimal"/>
      <w:lvlText w:val="%7."/>
      <w:lvlJc w:val="left"/>
      <w:pPr>
        <w:ind w:left="5040" w:hanging="360"/>
      </w:pPr>
    </w:lvl>
    <w:lvl w:ilvl="7" w:tplc="8996CD54">
      <w:start w:val="1"/>
      <w:numFmt w:val="lowerLetter"/>
      <w:lvlText w:val="%8."/>
      <w:lvlJc w:val="left"/>
      <w:pPr>
        <w:ind w:left="5760" w:hanging="360"/>
      </w:pPr>
    </w:lvl>
    <w:lvl w:ilvl="8" w:tplc="BE1CAF78">
      <w:start w:val="1"/>
      <w:numFmt w:val="lowerRoman"/>
      <w:lvlText w:val="%9."/>
      <w:lvlJc w:val="right"/>
      <w:pPr>
        <w:ind w:left="6480" w:hanging="180"/>
      </w:pPr>
    </w:lvl>
  </w:abstractNum>
  <w:abstractNum w:abstractNumId="20" w15:restartNumberingAfterBreak="0">
    <w:nsid w:val="5CE50EAE"/>
    <w:multiLevelType w:val="multilevel"/>
    <w:tmpl w:val="AE4AF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4EA416"/>
    <w:multiLevelType w:val="hybridMultilevel"/>
    <w:tmpl w:val="140C89AC"/>
    <w:lvl w:ilvl="0" w:tplc="3006AA42">
      <w:start w:val="1"/>
      <w:numFmt w:val="decimal"/>
      <w:lvlText w:val="%1."/>
      <w:lvlJc w:val="left"/>
      <w:pPr>
        <w:ind w:left="720" w:hanging="360"/>
      </w:pPr>
    </w:lvl>
    <w:lvl w:ilvl="1" w:tplc="20A47736">
      <w:start w:val="1"/>
      <w:numFmt w:val="lowerLetter"/>
      <w:lvlText w:val="%2."/>
      <w:lvlJc w:val="left"/>
      <w:pPr>
        <w:ind w:left="1440" w:hanging="360"/>
      </w:pPr>
    </w:lvl>
    <w:lvl w:ilvl="2" w:tplc="F02A19D6">
      <w:start w:val="1"/>
      <w:numFmt w:val="lowerRoman"/>
      <w:lvlText w:val="%3."/>
      <w:lvlJc w:val="right"/>
      <w:pPr>
        <w:ind w:left="2160" w:hanging="180"/>
      </w:pPr>
    </w:lvl>
    <w:lvl w:ilvl="3" w:tplc="81F06D80">
      <w:start w:val="1"/>
      <w:numFmt w:val="decimal"/>
      <w:lvlText w:val="%4."/>
      <w:lvlJc w:val="left"/>
      <w:pPr>
        <w:ind w:left="2880" w:hanging="360"/>
      </w:pPr>
    </w:lvl>
    <w:lvl w:ilvl="4" w:tplc="52642F84">
      <w:start w:val="1"/>
      <w:numFmt w:val="lowerLetter"/>
      <w:lvlText w:val="%5."/>
      <w:lvlJc w:val="left"/>
      <w:pPr>
        <w:ind w:left="3600" w:hanging="360"/>
      </w:pPr>
    </w:lvl>
    <w:lvl w:ilvl="5" w:tplc="498C10C4">
      <w:start w:val="1"/>
      <w:numFmt w:val="lowerRoman"/>
      <w:lvlText w:val="%6."/>
      <w:lvlJc w:val="right"/>
      <w:pPr>
        <w:ind w:left="4320" w:hanging="180"/>
      </w:pPr>
    </w:lvl>
    <w:lvl w:ilvl="6" w:tplc="70A85EFE">
      <w:start w:val="1"/>
      <w:numFmt w:val="decimal"/>
      <w:lvlText w:val="%7."/>
      <w:lvlJc w:val="left"/>
      <w:pPr>
        <w:ind w:left="5040" w:hanging="360"/>
      </w:pPr>
    </w:lvl>
    <w:lvl w:ilvl="7" w:tplc="BBC86D50">
      <w:start w:val="1"/>
      <w:numFmt w:val="lowerLetter"/>
      <w:lvlText w:val="%8."/>
      <w:lvlJc w:val="left"/>
      <w:pPr>
        <w:ind w:left="5760" w:hanging="360"/>
      </w:pPr>
    </w:lvl>
    <w:lvl w:ilvl="8" w:tplc="F6E082D0">
      <w:start w:val="1"/>
      <w:numFmt w:val="lowerRoman"/>
      <w:lvlText w:val="%9."/>
      <w:lvlJc w:val="right"/>
      <w:pPr>
        <w:ind w:left="6480" w:hanging="180"/>
      </w:pPr>
    </w:lvl>
  </w:abstractNum>
  <w:abstractNum w:abstractNumId="22" w15:restartNumberingAfterBreak="0">
    <w:nsid w:val="628E742F"/>
    <w:multiLevelType w:val="hybridMultilevel"/>
    <w:tmpl w:val="ADCCF306"/>
    <w:lvl w:ilvl="0" w:tplc="ED5099A0">
      <w:start w:val="1"/>
      <w:numFmt w:val="decimal"/>
      <w:lvlText w:val="%1."/>
      <w:lvlJc w:val="left"/>
      <w:pPr>
        <w:ind w:left="720" w:hanging="360"/>
      </w:pPr>
    </w:lvl>
    <w:lvl w:ilvl="1" w:tplc="23FE4926">
      <w:start w:val="1"/>
      <w:numFmt w:val="lowerLetter"/>
      <w:lvlText w:val="%2."/>
      <w:lvlJc w:val="left"/>
      <w:pPr>
        <w:ind w:left="1440" w:hanging="360"/>
      </w:pPr>
    </w:lvl>
    <w:lvl w:ilvl="2" w:tplc="ACF60B9E">
      <w:start w:val="1"/>
      <w:numFmt w:val="lowerRoman"/>
      <w:lvlText w:val="%3."/>
      <w:lvlJc w:val="right"/>
      <w:pPr>
        <w:ind w:left="2160" w:hanging="180"/>
      </w:pPr>
    </w:lvl>
    <w:lvl w:ilvl="3" w:tplc="FFFC256E">
      <w:start w:val="1"/>
      <w:numFmt w:val="decimal"/>
      <w:lvlText w:val="%4."/>
      <w:lvlJc w:val="left"/>
      <w:pPr>
        <w:ind w:left="2880" w:hanging="360"/>
      </w:pPr>
    </w:lvl>
    <w:lvl w:ilvl="4" w:tplc="402E895C">
      <w:start w:val="1"/>
      <w:numFmt w:val="lowerLetter"/>
      <w:lvlText w:val="%5."/>
      <w:lvlJc w:val="left"/>
      <w:pPr>
        <w:ind w:left="3600" w:hanging="360"/>
      </w:pPr>
    </w:lvl>
    <w:lvl w:ilvl="5" w:tplc="26CE333E">
      <w:start w:val="1"/>
      <w:numFmt w:val="lowerRoman"/>
      <w:lvlText w:val="%6."/>
      <w:lvlJc w:val="right"/>
      <w:pPr>
        <w:ind w:left="4320" w:hanging="180"/>
      </w:pPr>
    </w:lvl>
    <w:lvl w:ilvl="6" w:tplc="570AAC72">
      <w:start w:val="1"/>
      <w:numFmt w:val="decimal"/>
      <w:lvlText w:val="%7."/>
      <w:lvlJc w:val="left"/>
      <w:pPr>
        <w:ind w:left="5040" w:hanging="360"/>
      </w:pPr>
    </w:lvl>
    <w:lvl w:ilvl="7" w:tplc="057486D0">
      <w:start w:val="1"/>
      <w:numFmt w:val="lowerLetter"/>
      <w:lvlText w:val="%8."/>
      <w:lvlJc w:val="left"/>
      <w:pPr>
        <w:ind w:left="5760" w:hanging="360"/>
      </w:pPr>
    </w:lvl>
    <w:lvl w:ilvl="8" w:tplc="5CE43522">
      <w:start w:val="1"/>
      <w:numFmt w:val="lowerRoman"/>
      <w:lvlText w:val="%9."/>
      <w:lvlJc w:val="right"/>
      <w:pPr>
        <w:ind w:left="6480" w:hanging="180"/>
      </w:pPr>
    </w:lvl>
  </w:abstractNum>
  <w:abstractNum w:abstractNumId="23" w15:restartNumberingAfterBreak="0">
    <w:nsid w:val="634F7B64"/>
    <w:multiLevelType w:val="hybridMultilevel"/>
    <w:tmpl w:val="510EFB86"/>
    <w:lvl w:ilvl="0" w:tplc="03E6105C">
      <w:start w:val="1"/>
      <w:numFmt w:val="decimal"/>
      <w:lvlText w:val="%1."/>
      <w:lvlJc w:val="left"/>
      <w:pPr>
        <w:ind w:left="720" w:hanging="360"/>
      </w:pPr>
    </w:lvl>
    <w:lvl w:ilvl="1" w:tplc="E5B0116C">
      <w:start w:val="1"/>
      <w:numFmt w:val="lowerLetter"/>
      <w:lvlText w:val="%2."/>
      <w:lvlJc w:val="left"/>
      <w:pPr>
        <w:ind w:left="1440" w:hanging="360"/>
      </w:pPr>
    </w:lvl>
    <w:lvl w:ilvl="2" w:tplc="CC4E4572">
      <w:start w:val="1"/>
      <w:numFmt w:val="lowerRoman"/>
      <w:lvlText w:val="%3."/>
      <w:lvlJc w:val="right"/>
      <w:pPr>
        <w:ind w:left="2160" w:hanging="180"/>
      </w:pPr>
    </w:lvl>
    <w:lvl w:ilvl="3" w:tplc="93C42CE0">
      <w:start w:val="1"/>
      <w:numFmt w:val="decimal"/>
      <w:lvlText w:val="%4."/>
      <w:lvlJc w:val="left"/>
      <w:pPr>
        <w:ind w:left="2880" w:hanging="360"/>
      </w:pPr>
    </w:lvl>
    <w:lvl w:ilvl="4" w:tplc="EC3C4112">
      <w:start w:val="1"/>
      <w:numFmt w:val="lowerLetter"/>
      <w:lvlText w:val="%5."/>
      <w:lvlJc w:val="left"/>
      <w:pPr>
        <w:ind w:left="3600" w:hanging="360"/>
      </w:pPr>
    </w:lvl>
    <w:lvl w:ilvl="5" w:tplc="9A4CC00E">
      <w:start w:val="1"/>
      <w:numFmt w:val="lowerRoman"/>
      <w:lvlText w:val="%6."/>
      <w:lvlJc w:val="right"/>
      <w:pPr>
        <w:ind w:left="4320" w:hanging="180"/>
      </w:pPr>
    </w:lvl>
    <w:lvl w:ilvl="6" w:tplc="7ADE24BC">
      <w:start w:val="1"/>
      <w:numFmt w:val="decimal"/>
      <w:lvlText w:val="%7."/>
      <w:lvlJc w:val="left"/>
      <w:pPr>
        <w:ind w:left="5040" w:hanging="360"/>
      </w:pPr>
    </w:lvl>
    <w:lvl w:ilvl="7" w:tplc="9BFE0722">
      <w:start w:val="1"/>
      <w:numFmt w:val="lowerLetter"/>
      <w:lvlText w:val="%8."/>
      <w:lvlJc w:val="left"/>
      <w:pPr>
        <w:ind w:left="5760" w:hanging="360"/>
      </w:pPr>
    </w:lvl>
    <w:lvl w:ilvl="8" w:tplc="04C07362">
      <w:start w:val="1"/>
      <w:numFmt w:val="lowerRoman"/>
      <w:lvlText w:val="%9."/>
      <w:lvlJc w:val="right"/>
      <w:pPr>
        <w:ind w:left="6480" w:hanging="180"/>
      </w:pPr>
    </w:lvl>
  </w:abstractNum>
  <w:abstractNum w:abstractNumId="24" w15:restartNumberingAfterBreak="0">
    <w:nsid w:val="63D60A51"/>
    <w:multiLevelType w:val="hybridMultilevel"/>
    <w:tmpl w:val="57ACDA92"/>
    <w:lvl w:ilvl="0" w:tplc="C00C22AC">
      <w:start w:val="1"/>
      <w:numFmt w:val="bullet"/>
      <w:lvlText w:val="-"/>
      <w:lvlJc w:val="left"/>
      <w:pPr>
        <w:ind w:left="720" w:hanging="360"/>
      </w:pPr>
      <w:rPr>
        <w:rFonts w:ascii="Aptos" w:hAnsi="Aptos" w:hint="default"/>
      </w:rPr>
    </w:lvl>
    <w:lvl w:ilvl="1" w:tplc="77380EB4">
      <w:start w:val="1"/>
      <w:numFmt w:val="bullet"/>
      <w:lvlText w:val="o"/>
      <w:lvlJc w:val="left"/>
      <w:pPr>
        <w:ind w:left="1440" w:hanging="360"/>
      </w:pPr>
      <w:rPr>
        <w:rFonts w:ascii="Courier New" w:hAnsi="Courier New" w:hint="default"/>
      </w:rPr>
    </w:lvl>
    <w:lvl w:ilvl="2" w:tplc="8FB23F2A">
      <w:start w:val="1"/>
      <w:numFmt w:val="bullet"/>
      <w:lvlText w:val=""/>
      <w:lvlJc w:val="left"/>
      <w:pPr>
        <w:ind w:left="2160" w:hanging="360"/>
      </w:pPr>
      <w:rPr>
        <w:rFonts w:ascii="Wingdings" w:hAnsi="Wingdings" w:hint="default"/>
      </w:rPr>
    </w:lvl>
    <w:lvl w:ilvl="3" w:tplc="93688B3A">
      <w:start w:val="1"/>
      <w:numFmt w:val="bullet"/>
      <w:lvlText w:val=""/>
      <w:lvlJc w:val="left"/>
      <w:pPr>
        <w:ind w:left="2880" w:hanging="360"/>
      </w:pPr>
      <w:rPr>
        <w:rFonts w:ascii="Symbol" w:hAnsi="Symbol" w:hint="default"/>
      </w:rPr>
    </w:lvl>
    <w:lvl w:ilvl="4" w:tplc="CA68A504">
      <w:start w:val="1"/>
      <w:numFmt w:val="bullet"/>
      <w:lvlText w:val="o"/>
      <w:lvlJc w:val="left"/>
      <w:pPr>
        <w:ind w:left="3600" w:hanging="360"/>
      </w:pPr>
      <w:rPr>
        <w:rFonts w:ascii="Courier New" w:hAnsi="Courier New" w:hint="default"/>
      </w:rPr>
    </w:lvl>
    <w:lvl w:ilvl="5" w:tplc="FD006FB0">
      <w:start w:val="1"/>
      <w:numFmt w:val="bullet"/>
      <w:lvlText w:val=""/>
      <w:lvlJc w:val="left"/>
      <w:pPr>
        <w:ind w:left="4320" w:hanging="360"/>
      </w:pPr>
      <w:rPr>
        <w:rFonts w:ascii="Wingdings" w:hAnsi="Wingdings" w:hint="default"/>
      </w:rPr>
    </w:lvl>
    <w:lvl w:ilvl="6" w:tplc="2E0605A6">
      <w:start w:val="1"/>
      <w:numFmt w:val="bullet"/>
      <w:lvlText w:val=""/>
      <w:lvlJc w:val="left"/>
      <w:pPr>
        <w:ind w:left="5040" w:hanging="360"/>
      </w:pPr>
      <w:rPr>
        <w:rFonts w:ascii="Symbol" w:hAnsi="Symbol" w:hint="default"/>
      </w:rPr>
    </w:lvl>
    <w:lvl w:ilvl="7" w:tplc="1AB4C14C">
      <w:start w:val="1"/>
      <w:numFmt w:val="bullet"/>
      <w:lvlText w:val="o"/>
      <w:lvlJc w:val="left"/>
      <w:pPr>
        <w:ind w:left="5760" w:hanging="360"/>
      </w:pPr>
      <w:rPr>
        <w:rFonts w:ascii="Courier New" w:hAnsi="Courier New" w:hint="default"/>
      </w:rPr>
    </w:lvl>
    <w:lvl w:ilvl="8" w:tplc="2AB6F33E">
      <w:start w:val="1"/>
      <w:numFmt w:val="bullet"/>
      <w:lvlText w:val=""/>
      <w:lvlJc w:val="left"/>
      <w:pPr>
        <w:ind w:left="6480" w:hanging="360"/>
      </w:pPr>
      <w:rPr>
        <w:rFonts w:ascii="Wingdings" w:hAnsi="Wingdings" w:hint="default"/>
      </w:rPr>
    </w:lvl>
  </w:abstractNum>
  <w:abstractNum w:abstractNumId="25" w15:restartNumberingAfterBreak="0">
    <w:nsid w:val="65426D3D"/>
    <w:multiLevelType w:val="multilevel"/>
    <w:tmpl w:val="1E3C60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BEB9C7"/>
    <w:multiLevelType w:val="hybridMultilevel"/>
    <w:tmpl w:val="12F6C482"/>
    <w:lvl w:ilvl="0" w:tplc="3394288A">
      <w:start w:val="1"/>
      <w:numFmt w:val="decimal"/>
      <w:lvlText w:val="%1."/>
      <w:lvlJc w:val="left"/>
      <w:pPr>
        <w:ind w:left="720" w:hanging="360"/>
      </w:pPr>
    </w:lvl>
    <w:lvl w:ilvl="1" w:tplc="BB5A0786">
      <w:start w:val="1"/>
      <w:numFmt w:val="lowerLetter"/>
      <w:lvlText w:val="%2."/>
      <w:lvlJc w:val="left"/>
      <w:pPr>
        <w:ind w:left="1440" w:hanging="360"/>
      </w:pPr>
    </w:lvl>
    <w:lvl w:ilvl="2" w:tplc="EC6694D6">
      <w:start w:val="1"/>
      <w:numFmt w:val="lowerRoman"/>
      <w:lvlText w:val="%3."/>
      <w:lvlJc w:val="right"/>
      <w:pPr>
        <w:ind w:left="2160" w:hanging="180"/>
      </w:pPr>
    </w:lvl>
    <w:lvl w:ilvl="3" w:tplc="429E11B8">
      <w:start w:val="1"/>
      <w:numFmt w:val="decimal"/>
      <w:lvlText w:val="%4."/>
      <w:lvlJc w:val="left"/>
      <w:pPr>
        <w:ind w:left="2880" w:hanging="360"/>
      </w:pPr>
    </w:lvl>
    <w:lvl w:ilvl="4" w:tplc="4182738E">
      <w:start w:val="1"/>
      <w:numFmt w:val="lowerLetter"/>
      <w:lvlText w:val="%5."/>
      <w:lvlJc w:val="left"/>
      <w:pPr>
        <w:ind w:left="3600" w:hanging="360"/>
      </w:pPr>
    </w:lvl>
    <w:lvl w:ilvl="5" w:tplc="A0A43A5A">
      <w:start w:val="1"/>
      <w:numFmt w:val="lowerRoman"/>
      <w:lvlText w:val="%6."/>
      <w:lvlJc w:val="right"/>
      <w:pPr>
        <w:ind w:left="4320" w:hanging="180"/>
      </w:pPr>
    </w:lvl>
    <w:lvl w:ilvl="6" w:tplc="04B84A28">
      <w:start w:val="1"/>
      <w:numFmt w:val="decimal"/>
      <w:lvlText w:val="%7."/>
      <w:lvlJc w:val="left"/>
      <w:pPr>
        <w:ind w:left="5040" w:hanging="360"/>
      </w:pPr>
    </w:lvl>
    <w:lvl w:ilvl="7" w:tplc="61322352">
      <w:start w:val="1"/>
      <w:numFmt w:val="lowerLetter"/>
      <w:lvlText w:val="%8."/>
      <w:lvlJc w:val="left"/>
      <w:pPr>
        <w:ind w:left="5760" w:hanging="360"/>
      </w:pPr>
    </w:lvl>
    <w:lvl w:ilvl="8" w:tplc="448046FC">
      <w:start w:val="1"/>
      <w:numFmt w:val="lowerRoman"/>
      <w:lvlText w:val="%9."/>
      <w:lvlJc w:val="right"/>
      <w:pPr>
        <w:ind w:left="6480" w:hanging="180"/>
      </w:pPr>
    </w:lvl>
  </w:abstractNum>
  <w:abstractNum w:abstractNumId="27" w15:restartNumberingAfterBreak="0">
    <w:nsid w:val="75194010"/>
    <w:multiLevelType w:val="hybridMultilevel"/>
    <w:tmpl w:val="690C5364"/>
    <w:lvl w:ilvl="0" w:tplc="A628C500">
      <w:start w:val="1"/>
      <w:numFmt w:val="bullet"/>
      <w:lvlText w:val=""/>
      <w:lvlJc w:val="left"/>
      <w:pPr>
        <w:ind w:left="720" w:hanging="360"/>
      </w:pPr>
      <w:rPr>
        <w:rFonts w:ascii="Symbol" w:hAnsi="Symbol" w:hint="default"/>
      </w:rPr>
    </w:lvl>
    <w:lvl w:ilvl="1" w:tplc="136C77BC">
      <w:start w:val="1"/>
      <w:numFmt w:val="bullet"/>
      <w:lvlText w:val="o"/>
      <w:lvlJc w:val="left"/>
      <w:pPr>
        <w:ind w:left="1440" w:hanging="360"/>
      </w:pPr>
      <w:rPr>
        <w:rFonts w:ascii="Courier New" w:hAnsi="Courier New" w:hint="default"/>
      </w:rPr>
    </w:lvl>
    <w:lvl w:ilvl="2" w:tplc="EB20E3EE">
      <w:start w:val="1"/>
      <w:numFmt w:val="bullet"/>
      <w:lvlText w:val=""/>
      <w:lvlJc w:val="left"/>
      <w:pPr>
        <w:ind w:left="2160" w:hanging="360"/>
      </w:pPr>
      <w:rPr>
        <w:rFonts w:ascii="Wingdings" w:hAnsi="Wingdings" w:hint="default"/>
      </w:rPr>
    </w:lvl>
    <w:lvl w:ilvl="3" w:tplc="ACA238F0">
      <w:start w:val="1"/>
      <w:numFmt w:val="bullet"/>
      <w:lvlText w:val=""/>
      <w:lvlJc w:val="left"/>
      <w:pPr>
        <w:ind w:left="2880" w:hanging="360"/>
      </w:pPr>
      <w:rPr>
        <w:rFonts w:ascii="Symbol" w:hAnsi="Symbol" w:hint="default"/>
      </w:rPr>
    </w:lvl>
    <w:lvl w:ilvl="4" w:tplc="C37CE070">
      <w:start w:val="1"/>
      <w:numFmt w:val="bullet"/>
      <w:lvlText w:val="o"/>
      <w:lvlJc w:val="left"/>
      <w:pPr>
        <w:ind w:left="3600" w:hanging="360"/>
      </w:pPr>
      <w:rPr>
        <w:rFonts w:ascii="Courier New" w:hAnsi="Courier New" w:hint="default"/>
      </w:rPr>
    </w:lvl>
    <w:lvl w:ilvl="5" w:tplc="E04440BE">
      <w:start w:val="1"/>
      <w:numFmt w:val="bullet"/>
      <w:lvlText w:val=""/>
      <w:lvlJc w:val="left"/>
      <w:pPr>
        <w:ind w:left="4320" w:hanging="360"/>
      </w:pPr>
      <w:rPr>
        <w:rFonts w:ascii="Wingdings" w:hAnsi="Wingdings" w:hint="default"/>
      </w:rPr>
    </w:lvl>
    <w:lvl w:ilvl="6" w:tplc="2E5E43E2">
      <w:start w:val="1"/>
      <w:numFmt w:val="bullet"/>
      <w:lvlText w:val=""/>
      <w:lvlJc w:val="left"/>
      <w:pPr>
        <w:ind w:left="5040" w:hanging="360"/>
      </w:pPr>
      <w:rPr>
        <w:rFonts w:ascii="Symbol" w:hAnsi="Symbol" w:hint="default"/>
      </w:rPr>
    </w:lvl>
    <w:lvl w:ilvl="7" w:tplc="A13AD252">
      <w:start w:val="1"/>
      <w:numFmt w:val="bullet"/>
      <w:lvlText w:val="o"/>
      <w:lvlJc w:val="left"/>
      <w:pPr>
        <w:ind w:left="5760" w:hanging="360"/>
      </w:pPr>
      <w:rPr>
        <w:rFonts w:ascii="Courier New" w:hAnsi="Courier New" w:hint="default"/>
      </w:rPr>
    </w:lvl>
    <w:lvl w:ilvl="8" w:tplc="20607150">
      <w:start w:val="1"/>
      <w:numFmt w:val="bullet"/>
      <w:lvlText w:val=""/>
      <w:lvlJc w:val="left"/>
      <w:pPr>
        <w:ind w:left="6480" w:hanging="360"/>
      </w:pPr>
      <w:rPr>
        <w:rFonts w:ascii="Wingdings" w:hAnsi="Wingdings" w:hint="default"/>
      </w:rPr>
    </w:lvl>
  </w:abstractNum>
  <w:abstractNum w:abstractNumId="28" w15:restartNumberingAfterBreak="0">
    <w:nsid w:val="7E8C695B"/>
    <w:multiLevelType w:val="hybridMultilevel"/>
    <w:tmpl w:val="1AC445FA"/>
    <w:lvl w:ilvl="0" w:tplc="FEC208EE">
      <w:start w:val="1"/>
      <w:numFmt w:val="decimal"/>
      <w:lvlText w:val="%1."/>
      <w:lvlJc w:val="left"/>
      <w:pPr>
        <w:ind w:left="720" w:hanging="360"/>
      </w:pPr>
    </w:lvl>
    <w:lvl w:ilvl="1" w:tplc="E18423BA">
      <w:start w:val="1"/>
      <w:numFmt w:val="lowerLetter"/>
      <w:lvlText w:val="%2."/>
      <w:lvlJc w:val="left"/>
      <w:pPr>
        <w:ind w:left="1440" w:hanging="360"/>
      </w:pPr>
    </w:lvl>
    <w:lvl w:ilvl="2" w:tplc="ED964550">
      <w:start w:val="1"/>
      <w:numFmt w:val="lowerRoman"/>
      <w:lvlText w:val="%3."/>
      <w:lvlJc w:val="right"/>
      <w:pPr>
        <w:ind w:left="2160" w:hanging="180"/>
      </w:pPr>
    </w:lvl>
    <w:lvl w:ilvl="3" w:tplc="7ABE32E6">
      <w:start w:val="1"/>
      <w:numFmt w:val="decimal"/>
      <w:lvlText w:val="%4."/>
      <w:lvlJc w:val="left"/>
      <w:pPr>
        <w:ind w:left="2880" w:hanging="360"/>
      </w:pPr>
    </w:lvl>
    <w:lvl w:ilvl="4" w:tplc="0C94F7F4">
      <w:start w:val="1"/>
      <w:numFmt w:val="lowerLetter"/>
      <w:lvlText w:val="%5."/>
      <w:lvlJc w:val="left"/>
      <w:pPr>
        <w:ind w:left="3600" w:hanging="360"/>
      </w:pPr>
    </w:lvl>
    <w:lvl w:ilvl="5" w:tplc="DE7A6FB4">
      <w:start w:val="1"/>
      <w:numFmt w:val="lowerRoman"/>
      <w:lvlText w:val="%6."/>
      <w:lvlJc w:val="right"/>
      <w:pPr>
        <w:ind w:left="4320" w:hanging="180"/>
      </w:pPr>
    </w:lvl>
    <w:lvl w:ilvl="6" w:tplc="C41871C8">
      <w:start w:val="1"/>
      <w:numFmt w:val="decimal"/>
      <w:lvlText w:val="%7."/>
      <w:lvlJc w:val="left"/>
      <w:pPr>
        <w:ind w:left="5040" w:hanging="360"/>
      </w:pPr>
    </w:lvl>
    <w:lvl w:ilvl="7" w:tplc="A9C44350">
      <w:start w:val="1"/>
      <w:numFmt w:val="lowerLetter"/>
      <w:lvlText w:val="%8."/>
      <w:lvlJc w:val="left"/>
      <w:pPr>
        <w:ind w:left="5760" w:hanging="360"/>
      </w:pPr>
    </w:lvl>
    <w:lvl w:ilvl="8" w:tplc="AF04C11C">
      <w:start w:val="1"/>
      <w:numFmt w:val="lowerRoman"/>
      <w:lvlText w:val="%9."/>
      <w:lvlJc w:val="right"/>
      <w:pPr>
        <w:ind w:left="6480" w:hanging="180"/>
      </w:pPr>
    </w:lvl>
  </w:abstractNum>
  <w:num w:numId="1" w16cid:durableId="2082866089">
    <w:abstractNumId w:val="16"/>
  </w:num>
  <w:num w:numId="2" w16cid:durableId="1446197753">
    <w:abstractNumId w:val="17"/>
  </w:num>
  <w:num w:numId="3" w16cid:durableId="1655641229">
    <w:abstractNumId w:val="21"/>
  </w:num>
  <w:num w:numId="4" w16cid:durableId="1646398877">
    <w:abstractNumId w:val="23"/>
  </w:num>
  <w:num w:numId="5" w16cid:durableId="1582132921">
    <w:abstractNumId w:val="18"/>
  </w:num>
  <w:num w:numId="6" w16cid:durableId="922880402">
    <w:abstractNumId w:val="28"/>
  </w:num>
  <w:num w:numId="7" w16cid:durableId="230166815">
    <w:abstractNumId w:val="19"/>
  </w:num>
  <w:num w:numId="8" w16cid:durableId="1832140255">
    <w:abstractNumId w:val="22"/>
  </w:num>
  <w:num w:numId="9" w16cid:durableId="37626394">
    <w:abstractNumId w:val="12"/>
  </w:num>
  <w:num w:numId="10" w16cid:durableId="1455249217">
    <w:abstractNumId w:val="0"/>
  </w:num>
  <w:num w:numId="11" w16cid:durableId="1102920268">
    <w:abstractNumId w:val="27"/>
  </w:num>
  <w:num w:numId="12" w16cid:durableId="538202259">
    <w:abstractNumId w:val="6"/>
  </w:num>
  <w:num w:numId="13" w16cid:durableId="1403060864">
    <w:abstractNumId w:val="8"/>
  </w:num>
  <w:num w:numId="14" w16cid:durableId="1339234108">
    <w:abstractNumId w:val="5"/>
  </w:num>
  <w:num w:numId="15" w16cid:durableId="1672020964">
    <w:abstractNumId w:val="3"/>
  </w:num>
  <w:num w:numId="16" w16cid:durableId="1268585087">
    <w:abstractNumId w:val="26"/>
  </w:num>
  <w:num w:numId="17" w16cid:durableId="362290087">
    <w:abstractNumId w:val="24"/>
  </w:num>
  <w:num w:numId="18" w16cid:durableId="1117143357">
    <w:abstractNumId w:val="13"/>
  </w:num>
  <w:num w:numId="19" w16cid:durableId="1304888744">
    <w:abstractNumId w:val="1"/>
  </w:num>
  <w:num w:numId="20" w16cid:durableId="303778991">
    <w:abstractNumId w:val="15"/>
  </w:num>
  <w:num w:numId="21" w16cid:durableId="391776092">
    <w:abstractNumId w:val="15"/>
    <w:lvlOverride w:ilvl="1">
      <w:lvl w:ilvl="1">
        <w:numFmt w:val="bullet"/>
        <w:lvlText w:val=""/>
        <w:lvlJc w:val="left"/>
        <w:pPr>
          <w:tabs>
            <w:tab w:val="num" w:pos="1440"/>
          </w:tabs>
          <w:ind w:left="1440" w:hanging="360"/>
        </w:pPr>
        <w:rPr>
          <w:rFonts w:ascii="Symbol" w:hAnsi="Symbol" w:hint="default"/>
          <w:sz w:val="20"/>
        </w:rPr>
      </w:lvl>
    </w:lvlOverride>
  </w:num>
  <w:num w:numId="22" w16cid:durableId="2091000598">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3" w16cid:durableId="1119253996">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4" w16cid:durableId="1361932100">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25" w16cid:durableId="1330989158">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lvlOverride w:ilvl="5">
      <w:lvl w:ilvl="5">
        <w:numFmt w:val="bullet"/>
        <w:lvlText w:val=""/>
        <w:lvlJc w:val="left"/>
        <w:pPr>
          <w:tabs>
            <w:tab w:val="num" w:pos="4320"/>
          </w:tabs>
          <w:ind w:left="4320" w:hanging="360"/>
        </w:pPr>
        <w:rPr>
          <w:rFonts w:ascii="Symbol" w:hAnsi="Symbol" w:hint="default"/>
          <w:sz w:val="20"/>
        </w:rPr>
      </w:lvl>
    </w:lvlOverride>
  </w:num>
  <w:num w:numId="26" w16cid:durableId="11541749">
    <w:abstractNumId w:val="2"/>
  </w:num>
  <w:num w:numId="27" w16cid:durableId="1312371668">
    <w:abstractNumId w:val="11"/>
  </w:num>
  <w:num w:numId="28" w16cid:durableId="700591180">
    <w:abstractNumId w:val="9"/>
  </w:num>
  <w:num w:numId="29" w16cid:durableId="329673569">
    <w:abstractNumId w:val="25"/>
    <w:lvlOverride w:ilvl="0">
      <w:lvl w:ilvl="0">
        <w:numFmt w:val="decimal"/>
        <w:lvlText w:val="%1."/>
        <w:lvlJc w:val="left"/>
      </w:lvl>
    </w:lvlOverride>
  </w:num>
  <w:num w:numId="30" w16cid:durableId="1874733773">
    <w:abstractNumId w:val="7"/>
    <w:lvlOverride w:ilvl="0">
      <w:lvl w:ilvl="0">
        <w:numFmt w:val="decimal"/>
        <w:lvlText w:val="%1."/>
        <w:lvlJc w:val="left"/>
      </w:lvl>
    </w:lvlOverride>
  </w:num>
  <w:num w:numId="31" w16cid:durableId="434789533">
    <w:abstractNumId w:val="14"/>
  </w:num>
  <w:num w:numId="32" w16cid:durableId="1614631141">
    <w:abstractNumId w:val="10"/>
  </w:num>
  <w:num w:numId="33" w16cid:durableId="277688288">
    <w:abstractNumId w:val="20"/>
  </w:num>
  <w:num w:numId="34" w16cid:durableId="18660917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74B"/>
    <w:rsid w:val="0006CF41"/>
    <w:rsid w:val="000F630A"/>
    <w:rsid w:val="001930D7"/>
    <w:rsid w:val="001977AF"/>
    <w:rsid w:val="001E2373"/>
    <w:rsid w:val="001E657E"/>
    <w:rsid w:val="00215FEB"/>
    <w:rsid w:val="0022638B"/>
    <w:rsid w:val="002348C1"/>
    <w:rsid w:val="00267E54"/>
    <w:rsid w:val="00301CF0"/>
    <w:rsid w:val="00313C2A"/>
    <w:rsid w:val="00373035"/>
    <w:rsid w:val="0040574B"/>
    <w:rsid w:val="00441AFB"/>
    <w:rsid w:val="0045781B"/>
    <w:rsid w:val="00484001"/>
    <w:rsid w:val="0054680A"/>
    <w:rsid w:val="00667F16"/>
    <w:rsid w:val="006B3C82"/>
    <w:rsid w:val="006F2624"/>
    <w:rsid w:val="0071511B"/>
    <w:rsid w:val="007B4574"/>
    <w:rsid w:val="007C4607"/>
    <w:rsid w:val="00835EAF"/>
    <w:rsid w:val="009539BE"/>
    <w:rsid w:val="0095725C"/>
    <w:rsid w:val="00AC74A8"/>
    <w:rsid w:val="00AE0415"/>
    <w:rsid w:val="00AF51C2"/>
    <w:rsid w:val="00B63551"/>
    <w:rsid w:val="00BB0304"/>
    <w:rsid w:val="00BB1773"/>
    <w:rsid w:val="00BB4CA0"/>
    <w:rsid w:val="00C01D50"/>
    <w:rsid w:val="00C568D5"/>
    <w:rsid w:val="00C96517"/>
    <w:rsid w:val="00CB59A7"/>
    <w:rsid w:val="00EB331D"/>
    <w:rsid w:val="00ED0FBD"/>
    <w:rsid w:val="00ED7111"/>
    <w:rsid w:val="00F42280"/>
    <w:rsid w:val="00F96320"/>
    <w:rsid w:val="00FE5845"/>
    <w:rsid w:val="00FF31EA"/>
    <w:rsid w:val="015417E1"/>
    <w:rsid w:val="01AD49C7"/>
    <w:rsid w:val="01C86345"/>
    <w:rsid w:val="01FE82B6"/>
    <w:rsid w:val="02CAA7CD"/>
    <w:rsid w:val="033458BC"/>
    <w:rsid w:val="034F60E5"/>
    <w:rsid w:val="03E7D3C4"/>
    <w:rsid w:val="041F44B6"/>
    <w:rsid w:val="04BB9AEC"/>
    <w:rsid w:val="04DF949D"/>
    <w:rsid w:val="051EB5AE"/>
    <w:rsid w:val="0596DA2D"/>
    <w:rsid w:val="05CB6B3E"/>
    <w:rsid w:val="0664B467"/>
    <w:rsid w:val="06742C05"/>
    <w:rsid w:val="068FBC27"/>
    <w:rsid w:val="06C5DA65"/>
    <w:rsid w:val="06CD8E0C"/>
    <w:rsid w:val="06F5A05E"/>
    <w:rsid w:val="071BE7DB"/>
    <w:rsid w:val="07299954"/>
    <w:rsid w:val="0759E97B"/>
    <w:rsid w:val="07AD69EC"/>
    <w:rsid w:val="08429076"/>
    <w:rsid w:val="08479AB4"/>
    <w:rsid w:val="087C075D"/>
    <w:rsid w:val="087F9C49"/>
    <w:rsid w:val="091BD017"/>
    <w:rsid w:val="099D42FB"/>
    <w:rsid w:val="09C7CC08"/>
    <w:rsid w:val="09E27003"/>
    <w:rsid w:val="0A161C2B"/>
    <w:rsid w:val="0BC06675"/>
    <w:rsid w:val="0BEAE752"/>
    <w:rsid w:val="0BFA0900"/>
    <w:rsid w:val="0C805243"/>
    <w:rsid w:val="0C973CCA"/>
    <w:rsid w:val="0CE31486"/>
    <w:rsid w:val="0D58764C"/>
    <w:rsid w:val="0DF04C52"/>
    <w:rsid w:val="0E49F308"/>
    <w:rsid w:val="0E4E26B0"/>
    <w:rsid w:val="0E70BBCB"/>
    <w:rsid w:val="0F0F7BFC"/>
    <w:rsid w:val="0F6DB41D"/>
    <w:rsid w:val="0FA3193F"/>
    <w:rsid w:val="0FB81A4B"/>
    <w:rsid w:val="104A1C01"/>
    <w:rsid w:val="11AA633D"/>
    <w:rsid w:val="11FFA00C"/>
    <w:rsid w:val="12134572"/>
    <w:rsid w:val="12C075FF"/>
    <w:rsid w:val="12CE1951"/>
    <w:rsid w:val="1303EABC"/>
    <w:rsid w:val="1332F1DF"/>
    <w:rsid w:val="133E8C40"/>
    <w:rsid w:val="148B02B4"/>
    <w:rsid w:val="14ABA07E"/>
    <w:rsid w:val="157B75A2"/>
    <w:rsid w:val="159DB5F2"/>
    <w:rsid w:val="159DC989"/>
    <w:rsid w:val="16168B51"/>
    <w:rsid w:val="16659B82"/>
    <w:rsid w:val="166E459F"/>
    <w:rsid w:val="16FE6123"/>
    <w:rsid w:val="171D1192"/>
    <w:rsid w:val="17CB4EF4"/>
    <w:rsid w:val="17E2C1DA"/>
    <w:rsid w:val="18389B59"/>
    <w:rsid w:val="18F1E826"/>
    <w:rsid w:val="197AC497"/>
    <w:rsid w:val="197E5E0D"/>
    <w:rsid w:val="19A685DE"/>
    <w:rsid w:val="19BEDEBA"/>
    <w:rsid w:val="1A44272D"/>
    <w:rsid w:val="1AE3458F"/>
    <w:rsid w:val="1AEBD2BD"/>
    <w:rsid w:val="1AF31257"/>
    <w:rsid w:val="1B96C331"/>
    <w:rsid w:val="1C664BED"/>
    <w:rsid w:val="1C7339C8"/>
    <w:rsid w:val="1CA65A1C"/>
    <w:rsid w:val="1D5254F0"/>
    <w:rsid w:val="1DB46957"/>
    <w:rsid w:val="1FC16D6A"/>
    <w:rsid w:val="1FE28254"/>
    <w:rsid w:val="20642115"/>
    <w:rsid w:val="20B2FC6A"/>
    <w:rsid w:val="21C27372"/>
    <w:rsid w:val="21C49802"/>
    <w:rsid w:val="21DFDC05"/>
    <w:rsid w:val="2210E7B5"/>
    <w:rsid w:val="22818397"/>
    <w:rsid w:val="22AD23D9"/>
    <w:rsid w:val="232F0DBC"/>
    <w:rsid w:val="24F56698"/>
    <w:rsid w:val="254DCFDA"/>
    <w:rsid w:val="2556645E"/>
    <w:rsid w:val="25C10D24"/>
    <w:rsid w:val="25EF5BF8"/>
    <w:rsid w:val="2630B766"/>
    <w:rsid w:val="263623E5"/>
    <w:rsid w:val="26387C16"/>
    <w:rsid w:val="26C75B63"/>
    <w:rsid w:val="2714269D"/>
    <w:rsid w:val="27573645"/>
    <w:rsid w:val="2813F0EF"/>
    <w:rsid w:val="282D11E6"/>
    <w:rsid w:val="28BA5A0B"/>
    <w:rsid w:val="28DA1AE1"/>
    <w:rsid w:val="28E36643"/>
    <w:rsid w:val="28E738EF"/>
    <w:rsid w:val="295E2369"/>
    <w:rsid w:val="29683356"/>
    <w:rsid w:val="296F4873"/>
    <w:rsid w:val="2A4C0CEA"/>
    <w:rsid w:val="2AC0991F"/>
    <w:rsid w:val="2B6F00B8"/>
    <w:rsid w:val="2C51DB85"/>
    <w:rsid w:val="2D7A3DF2"/>
    <w:rsid w:val="2D904B59"/>
    <w:rsid w:val="2EFFBB64"/>
    <w:rsid w:val="2F973658"/>
    <w:rsid w:val="30366F98"/>
    <w:rsid w:val="307065B1"/>
    <w:rsid w:val="30C261BF"/>
    <w:rsid w:val="317FC025"/>
    <w:rsid w:val="3260CF44"/>
    <w:rsid w:val="332A4A2F"/>
    <w:rsid w:val="33E93C20"/>
    <w:rsid w:val="343FC863"/>
    <w:rsid w:val="34C96F4D"/>
    <w:rsid w:val="357E28ED"/>
    <w:rsid w:val="358344CC"/>
    <w:rsid w:val="358D16F6"/>
    <w:rsid w:val="35E6870D"/>
    <w:rsid w:val="3606CC5C"/>
    <w:rsid w:val="366BE087"/>
    <w:rsid w:val="36ACF885"/>
    <w:rsid w:val="36C2A1FB"/>
    <w:rsid w:val="3772EC62"/>
    <w:rsid w:val="37C3A6C2"/>
    <w:rsid w:val="37D65704"/>
    <w:rsid w:val="382E3A16"/>
    <w:rsid w:val="38B8867E"/>
    <w:rsid w:val="38D7E1A0"/>
    <w:rsid w:val="393B1D81"/>
    <w:rsid w:val="395FBBC0"/>
    <w:rsid w:val="396603D4"/>
    <w:rsid w:val="39955BA6"/>
    <w:rsid w:val="3A9C7528"/>
    <w:rsid w:val="3AAB6D78"/>
    <w:rsid w:val="3BA1D924"/>
    <w:rsid w:val="3BF42D33"/>
    <w:rsid w:val="3C1332B0"/>
    <w:rsid w:val="3C7BBCD0"/>
    <w:rsid w:val="3CB5A8B5"/>
    <w:rsid w:val="3D386C8E"/>
    <w:rsid w:val="3D40EE10"/>
    <w:rsid w:val="3D5E7D63"/>
    <w:rsid w:val="3DA67BA2"/>
    <w:rsid w:val="3E4AF7BC"/>
    <w:rsid w:val="3EFEDC3C"/>
    <w:rsid w:val="3F4C694C"/>
    <w:rsid w:val="40985035"/>
    <w:rsid w:val="409B6F7E"/>
    <w:rsid w:val="40EA1377"/>
    <w:rsid w:val="411CB206"/>
    <w:rsid w:val="4263B41F"/>
    <w:rsid w:val="4280B6F3"/>
    <w:rsid w:val="429D66CE"/>
    <w:rsid w:val="42E1B038"/>
    <w:rsid w:val="42EA2032"/>
    <w:rsid w:val="431B52EB"/>
    <w:rsid w:val="43727C82"/>
    <w:rsid w:val="438BCB3E"/>
    <w:rsid w:val="438E9370"/>
    <w:rsid w:val="43925B49"/>
    <w:rsid w:val="43ABAFE6"/>
    <w:rsid w:val="43E86730"/>
    <w:rsid w:val="43F51E4C"/>
    <w:rsid w:val="4455ADB5"/>
    <w:rsid w:val="44794FE7"/>
    <w:rsid w:val="44AF41E0"/>
    <w:rsid w:val="44CFFAA0"/>
    <w:rsid w:val="45BE5F44"/>
    <w:rsid w:val="4680FD52"/>
    <w:rsid w:val="46A90EE7"/>
    <w:rsid w:val="46FAD149"/>
    <w:rsid w:val="47DBC81C"/>
    <w:rsid w:val="48371FF2"/>
    <w:rsid w:val="48BBDA6C"/>
    <w:rsid w:val="49065F6F"/>
    <w:rsid w:val="493A174F"/>
    <w:rsid w:val="495B3F40"/>
    <w:rsid w:val="4A17681E"/>
    <w:rsid w:val="4A6F640E"/>
    <w:rsid w:val="4A8A2D95"/>
    <w:rsid w:val="4AFE1B42"/>
    <w:rsid w:val="4B587D71"/>
    <w:rsid w:val="4BAD482B"/>
    <w:rsid w:val="4C0F0BFA"/>
    <w:rsid w:val="4C11C8AE"/>
    <w:rsid w:val="4C2EF51C"/>
    <w:rsid w:val="4C36A4AD"/>
    <w:rsid w:val="4CA92A96"/>
    <w:rsid w:val="4D059721"/>
    <w:rsid w:val="4D4E43EE"/>
    <w:rsid w:val="4D675BA8"/>
    <w:rsid w:val="4E1D1136"/>
    <w:rsid w:val="4E56FD96"/>
    <w:rsid w:val="4EA27029"/>
    <w:rsid w:val="4EA4CDE9"/>
    <w:rsid w:val="4EAD28E2"/>
    <w:rsid w:val="4EEFC107"/>
    <w:rsid w:val="4F7F1EDB"/>
    <w:rsid w:val="4F943408"/>
    <w:rsid w:val="4FE62287"/>
    <w:rsid w:val="505518DF"/>
    <w:rsid w:val="508091D2"/>
    <w:rsid w:val="50CACE3C"/>
    <w:rsid w:val="50F4A4F7"/>
    <w:rsid w:val="518AB635"/>
    <w:rsid w:val="519EA71F"/>
    <w:rsid w:val="529D2CC0"/>
    <w:rsid w:val="52C9D345"/>
    <w:rsid w:val="538043A2"/>
    <w:rsid w:val="53CD9C32"/>
    <w:rsid w:val="53F1E50A"/>
    <w:rsid w:val="5439BD10"/>
    <w:rsid w:val="543EDB4D"/>
    <w:rsid w:val="5452253D"/>
    <w:rsid w:val="55368DD5"/>
    <w:rsid w:val="55424DBD"/>
    <w:rsid w:val="563BF23E"/>
    <w:rsid w:val="56432DC9"/>
    <w:rsid w:val="56606547"/>
    <w:rsid w:val="568DE106"/>
    <w:rsid w:val="5703E099"/>
    <w:rsid w:val="570FFC83"/>
    <w:rsid w:val="578E0A04"/>
    <w:rsid w:val="58377C82"/>
    <w:rsid w:val="587B84E1"/>
    <w:rsid w:val="58D83051"/>
    <w:rsid w:val="59681BEC"/>
    <w:rsid w:val="5A1AD34A"/>
    <w:rsid w:val="5A356EA2"/>
    <w:rsid w:val="5A6B9C8C"/>
    <w:rsid w:val="5B8C855D"/>
    <w:rsid w:val="5C0CA275"/>
    <w:rsid w:val="5C414E38"/>
    <w:rsid w:val="5DE0DB4A"/>
    <w:rsid w:val="5DE93A4C"/>
    <w:rsid w:val="5E101309"/>
    <w:rsid w:val="5E9B1128"/>
    <w:rsid w:val="5EB3C5EC"/>
    <w:rsid w:val="5F4174AF"/>
    <w:rsid w:val="5F469825"/>
    <w:rsid w:val="5F7E6350"/>
    <w:rsid w:val="601756F1"/>
    <w:rsid w:val="602A1AF0"/>
    <w:rsid w:val="603F63A2"/>
    <w:rsid w:val="60A06E94"/>
    <w:rsid w:val="61205FEB"/>
    <w:rsid w:val="6136966A"/>
    <w:rsid w:val="61CDEF57"/>
    <w:rsid w:val="62002122"/>
    <w:rsid w:val="6207BD4F"/>
    <w:rsid w:val="621FA169"/>
    <w:rsid w:val="625C84C2"/>
    <w:rsid w:val="632254C2"/>
    <w:rsid w:val="639F40AB"/>
    <w:rsid w:val="63E60FF5"/>
    <w:rsid w:val="63FAE05A"/>
    <w:rsid w:val="64C3E6EC"/>
    <w:rsid w:val="650C15C8"/>
    <w:rsid w:val="66326636"/>
    <w:rsid w:val="6681C1EC"/>
    <w:rsid w:val="6682B57C"/>
    <w:rsid w:val="66D30C3F"/>
    <w:rsid w:val="66D6334B"/>
    <w:rsid w:val="670735C3"/>
    <w:rsid w:val="675F37DE"/>
    <w:rsid w:val="67A03580"/>
    <w:rsid w:val="68772CA1"/>
    <w:rsid w:val="68B16D78"/>
    <w:rsid w:val="68D15513"/>
    <w:rsid w:val="69AB4A77"/>
    <w:rsid w:val="6C12E230"/>
    <w:rsid w:val="6C43B9D9"/>
    <w:rsid w:val="6C5ADDBE"/>
    <w:rsid w:val="6C886B53"/>
    <w:rsid w:val="6CB5948A"/>
    <w:rsid w:val="6DC090A4"/>
    <w:rsid w:val="6EF1979E"/>
    <w:rsid w:val="6F0F4748"/>
    <w:rsid w:val="6FD4C07A"/>
    <w:rsid w:val="7041D0BF"/>
    <w:rsid w:val="704C55E7"/>
    <w:rsid w:val="70A2AE8D"/>
    <w:rsid w:val="70DC66AE"/>
    <w:rsid w:val="71A14B6A"/>
    <w:rsid w:val="71C9D0E7"/>
    <w:rsid w:val="71FBA880"/>
    <w:rsid w:val="72760112"/>
    <w:rsid w:val="729C063F"/>
    <w:rsid w:val="72BB65A4"/>
    <w:rsid w:val="72BE0C7B"/>
    <w:rsid w:val="7313CFA1"/>
    <w:rsid w:val="73B27985"/>
    <w:rsid w:val="74E01F2C"/>
    <w:rsid w:val="74E558F5"/>
    <w:rsid w:val="7511761E"/>
    <w:rsid w:val="75617012"/>
    <w:rsid w:val="75725597"/>
    <w:rsid w:val="75AC0A1D"/>
    <w:rsid w:val="7609E007"/>
    <w:rsid w:val="761697E1"/>
    <w:rsid w:val="76E2A29D"/>
    <w:rsid w:val="76E64A4C"/>
    <w:rsid w:val="7742CB28"/>
    <w:rsid w:val="77ADF88C"/>
    <w:rsid w:val="77B67A7E"/>
    <w:rsid w:val="77EC72E9"/>
    <w:rsid w:val="781A6809"/>
    <w:rsid w:val="783D9AEE"/>
    <w:rsid w:val="784A69CC"/>
    <w:rsid w:val="790AFB70"/>
    <w:rsid w:val="79372A31"/>
    <w:rsid w:val="7973D9BD"/>
    <w:rsid w:val="7983848D"/>
    <w:rsid w:val="79BE9AF4"/>
    <w:rsid w:val="79D124B1"/>
    <w:rsid w:val="79F0C216"/>
    <w:rsid w:val="7A08CF4B"/>
    <w:rsid w:val="7A2329C1"/>
    <w:rsid w:val="7A3FD135"/>
    <w:rsid w:val="7A751774"/>
    <w:rsid w:val="7AC79710"/>
    <w:rsid w:val="7B120981"/>
    <w:rsid w:val="7BEE2733"/>
    <w:rsid w:val="7C4A81BD"/>
    <w:rsid w:val="7C710E2A"/>
    <w:rsid w:val="7CA46B20"/>
    <w:rsid w:val="7CD41C08"/>
    <w:rsid w:val="7CDDDE78"/>
    <w:rsid w:val="7D494B27"/>
    <w:rsid w:val="7D533B6C"/>
    <w:rsid w:val="7D640C43"/>
    <w:rsid w:val="7DB3527A"/>
    <w:rsid w:val="7DDBD543"/>
    <w:rsid w:val="7DF3B268"/>
    <w:rsid w:val="7E113345"/>
    <w:rsid w:val="7E1C7D71"/>
    <w:rsid w:val="7E9649B1"/>
    <w:rsid w:val="7EF5DC55"/>
    <w:rsid w:val="7F550F36"/>
    <w:rsid w:val="7F8E96CD"/>
    <w:rsid w:val="7F9A4AD6"/>
    <w:rsid w:val="7FB265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3731B0"/>
  <w15:chartTrackingRefBased/>
  <w15:docId w15:val="{67F06569-B4EF-4221-A32F-4823C579F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63BF23E"/>
  </w:style>
  <w:style w:type="paragraph" w:styleId="Heading1">
    <w:name w:val="heading 1"/>
    <w:basedOn w:val="Normal"/>
    <w:next w:val="Normal"/>
    <w:uiPriority w:val="9"/>
    <w:qFormat/>
    <w:rsid w:val="563BF2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rsid w:val="563BF2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563BF23E"/>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uiPriority w:val="9"/>
    <w:unhideWhenUsed/>
    <w:qFormat/>
    <w:rsid w:val="563BF23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unhideWhenUsed/>
    <w:qFormat/>
    <w:rsid w:val="563BF23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unhideWhenUsed/>
    <w:qFormat/>
    <w:rsid w:val="563BF23E"/>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563BF23E"/>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563BF23E"/>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563BF23E"/>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563BF23E"/>
    <w:pPr>
      <w:spacing w:after="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563BF23E"/>
    <w:rPr>
      <w:rFonts w:eastAsiaTheme="minorEastAsia"/>
      <w:color w:val="5A5A5A"/>
    </w:rPr>
  </w:style>
  <w:style w:type="paragraph" w:styleId="Quote">
    <w:name w:val="Quote"/>
    <w:basedOn w:val="Normal"/>
    <w:next w:val="Normal"/>
    <w:uiPriority w:val="29"/>
    <w:qFormat/>
    <w:rsid w:val="563BF23E"/>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563BF23E"/>
    <w:pPr>
      <w:spacing w:before="360" w:after="360"/>
      <w:ind w:left="864" w:right="864"/>
      <w:jc w:val="center"/>
    </w:pPr>
    <w:rPr>
      <w:i/>
      <w:iCs/>
      <w:color w:val="4472C4" w:themeColor="accent1"/>
    </w:rPr>
  </w:style>
  <w:style w:type="paragraph" w:styleId="ListParagraph">
    <w:name w:val="List Paragraph"/>
    <w:basedOn w:val="Normal"/>
    <w:uiPriority w:val="34"/>
    <w:qFormat/>
    <w:rsid w:val="563BF23E"/>
    <w:pPr>
      <w:ind w:left="720"/>
      <w:contextualSpacing/>
    </w:pPr>
  </w:style>
  <w:style w:type="paragraph" w:styleId="TOC1">
    <w:name w:val="toc 1"/>
    <w:basedOn w:val="Normal"/>
    <w:next w:val="Normal"/>
    <w:uiPriority w:val="39"/>
    <w:unhideWhenUsed/>
    <w:rsid w:val="563BF23E"/>
    <w:pPr>
      <w:spacing w:after="100"/>
    </w:pPr>
  </w:style>
  <w:style w:type="paragraph" w:styleId="TOC2">
    <w:name w:val="toc 2"/>
    <w:basedOn w:val="Normal"/>
    <w:next w:val="Normal"/>
    <w:uiPriority w:val="39"/>
    <w:unhideWhenUsed/>
    <w:rsid w:val="563BF23E"/>
    <w:pPr>
      <w:spacing w:after="100"/>
      <w:ind w:left="220"/>
    </w:pPr>
  </w:style>
  <w:style w:type="paragraph" w:styleId="TOC3">
    <w:name w:val="toc 3"/>
    <w:basedOn w:val="Normal"/>
    <w:next w:val="Normal"/>
    <w:uiPriority w:val="39"/>
    <w:unhideWhenUsed/>
    <w:rsid w:val="563BF23E"/>
    <w:pPr>
      <w:spacing w:after="100"/>
      <w:ind w:left="440"/>
    </w:pPr>
  </w:style>
  <w:style w:type="paragraph" w:styleId="TOC4">
    <w:name w:val="toc 4"/>
    <w:basedOn w:val="Normal"/>
    <w:next w:val="Normal"/>
    <w:uiPriority w:val="39"/>
    <w:unhideWhenUsed/>
    <w:rsid w:val="563BF23E"/>
    <w:pPr>
      <w:spacing w:after="100"/>
      <w:ind w:left="660"/>
    </w:pPr>
  </w:style>
  <w:style w:type="paragraph" w:styleId="TOC5">
    <w:name w:val="toc 5"/>
    <w:basedOn w:val="Normal"/>
    <w:next w:val="Normal"/>
    <w:uiPriority w:val="39"/>
    <w:unhideWhenUsed/>
    <w:rsid w:val="563BF23E"/>
    <w:pPr>
      <w:spacing w:after="100"/>
      <w:ind w:left="880"/>
    </w:pPr>
  </w:style>
  <w:style w:type="paragraph" w:styleId="TOC6">
    <w:name w:val="toc 6"/>
    <w:basedOn w:val="Normal"/>
    <w:next w:val="Normal"/>
    <w:uiPriority w:val="39"/>
    <w:unhideWhenUsed/>
    <w:rsid w:val="563BF23E"/>
    <w:pPr>
      <w:spacing w:after="100"/>
      <w:ind w:left="1100"/>
    </w:pPr>
  </w:style>
  <w:style w:type="paragraph" w:styleId="TOC7">
    <w:name w:val="toc 7"/>
    <w:basedOn w:val="Normal"/>
    <w:next w:val="Normal"/>
    <w:uiPriority w:val="39"/>
    <w:unhideWhenUsed/>
    <w:rsid w:val="563BF23E"/>
    <w:pPr>
      <w:spacing w:after="100"/>
      <w:ind w:left="1320"/>
    </w:pPr>
  </w:style>
  <w:style w:type="paragraph" w:styleId="TOC8">
    <w:name w:val="toc 8"/>
    <w:basedOn w:val="Normal"/>
    <w:next w:val="Normal"/>
    <w:uiPriority w:val="39"/>
    <w:unhideWhenUsed/>
    <w:rsid w:val="563BF23E"/>
    <w:pPr>
      <w:spacing w:after="100"/>
      <w:ind w:left="1540"/>
    </w:pPr>
  </w:style>
  <w:style w:type="paragraph" w:styleId="TOC9">
    <w:name w:val="toc 9"/>
    <w:basedOn w:val="Normal"/>
    <w:next w:val="Normal"/>
    <w:uiPriority w:val="39"/>
    <w:unhideWhenUsed/>
    <w:rsid w:val="563BF23E"/>
    <w:pPr>
      <w:spacing w:after="100"/>
      <w:ind w:left="1760"/>
    </w:pPr>
  </w:style>
  <w:style w:type="paragraph" w:styleId="EndnoteText">
    <w:name w:val="endnote text"/>
    <w:basedOn w:val="Normal"/>
    <w:uiPriority w:val="99"/>
    <w:semiHidden/>
    <w:unhideWhenUsed/>
    <w:rsid w:val="563BF23E"/>
    <w:pPr>
      <w:spacing w:after="0" w:line="240" w:lineRule="auto"/>
    </w:pPr>
    <w:rPr>
      <w:sz w:val="20"/>
      <w:szCs w:val="20"/>
    </w:rPr>
  </w:style>
  <w:style w:type="paragraph" w:styleId="Footer">
    <w:name w:val="footer"/>
    <w:basedOn w:val="Normal"/>
    <w:link w:val="FooterChar"/>
    <w:uiPriority w:val="99"/>
    <w:unhideWhenUsed/>
    <w:rsid w:val="563BF23E"/>
    <w:pPr>
      <w:tabs>
        <w:tab w:val="center" w:pos="4680"/>
        <w:tab w:val="right" w:pos="9360"/>
      </w:tabs>
      <w:spacing w:after="0" w:line="240" w:lineRule="auto"/>
    </w:pPr>
  </w:style>
  <w:style w:type="paragraph" w:styleId="FootnoteText">
    <w:name w:val="footnote text"/>
    <w:basedOn w:val="Normal"/>
    <w:uiPriority w:val="99"/>
    <w:semiHidden/>
    <w:unhideWhenUsed/>
    <w:rsid w:val="563BF23E"/>
    <w:pPr>
      <w:spacing w:after="0" w:line="240" w:lineRule="auto"/>
    </w:pPr>
    <w:rPr>
      <w:sz w:val="20"/>
      <w:szCs w:val="20"/>
    </w:rPr>
  </w:style>
  <w:style w:type="paragraph" w:styleId="Header">
    <w:name w:val="header"/>
    <w:basedOn w:val="Normal"/>
    <w:uiPriority w:val="99"/>
    <w:unhideWhenUsed/>
    <w:rsid w:val="563BF23E"/>
    <w:pPr>
      <w:tabs>
        <w:tab w:val="center" w:pos="4680"/>
        <w:tab w:val="right" w:pos="9360"/>
      </w:tabs>
      <w:spacing w:after="0" w:line="240" w:lineRule="auto"/>
    </w:pPr>
  </w:style>
  <w:style w:type="paragraph" w:styleId="Revision">
    <w:name w:val="Revision"/>
    <w:hidden/>
    <w:uiPriority w:val="99"/>
    <w:semiHidden/>
    <w:rsid w:val="000F630A"/>
    <w:pPr>
      <w:spacing w:after="0" w:line="240" w:lineRule="auto"/>
    </w:pPr>
  </w:style>
  <w:style w:type="character" w:styleId="CommentReference">
    <w:name w:val="annotation reference"/>
    <w:basedOn w:val="DefaultParagraphFont"/>
    <w:uiPriority w:val="99"/>
    <w:semiHidden/>
    <w:unhideWhenUsed/>
    <w:rsid w:val="00EB331D"/>
    <w:rPr>
      <w:sz w:val="16"/>
      <w:szCs w:val="16"/>
    </w:rPr>
  </w:style>
  <w:style w:type="paragraph" w:styleId="CommentText">
    <w:name w:val="annotation text"/>
    <w:basedOn w:val="Normal"/>
    <w:link w:val="CommentTextChar"/>
    <w:uiPriority w:val="99"/>
    <w:unhideWhenUsed/>
    <w:rsid w:val="00EB331D"/>
    <w:pPr>
      <w:spacing w:line="240" w:lineRule="auto"/>
    </w:pPr>
    <w:rPr>
      <w:sz w:val="20"/>
      <w:szCs w:val="20"/>
    </w:rPr>
  </w:style>
  <w:style w:type="character" w:customStyle="1" w:styleId="CommentTextChar">
    <w:name w:val="Comment Text Char"/>
    <w:basedOn w:val="DefaultParagraphFont"/>
    <w:link w:val="CommentText"/>
    <w:uiPriority w:val="99"/>
    <w:rsid w:val="00EB331D"/>
    <w:rPr>
      <w:sz w:val="20"/>
      <w:szCs w:val="20"/>
    </w:rPr>
  </w:style>
  <w:style w:type="paragraph" w:styleId="CommentSubject">
    <w:name w:val="annotation subject"/>
    <w:basedOn w:val="CommentText"/>
    <w:next w:val="CommentText"/>
    <w:link w:val="CommentSubjectChar"/>
    <w:uiPriority w:val="99"/>
    <w:semiHidden/>
    <w:unhideWhenUsed/>
    <w:rsid w:val="00EB331D"/>
    <w:rPr>
      <w:b/>
      <w:bCs/>
    </w:rPr>
  </w:style>
  <w:style w:type="character" w:customStyle="1" w:styleId="CommentSubjectChar">
    <w:name w:val="Comment Subject Char"/>
    <w:basedOn w:val="CommentTextChar"/>
    <w:link w:val="CommentSubject"/>
    <w:uiPriority w:val="99"/>
    <w:semiHidden/>
    <w:rsid w:val="00EB331D"/>
    <w:rPr>
      <w:b/>
      <w:bCs/>
      <w:sz w:val="20"/>
      <w:szCs w:val="20"/>
    </w:rPr>
  </w:style>
  <w:style w:type="character" w:styleId="Mention">
    <w:name w:val="Mention"/>
    <w:basedOn w:val="DefaultParagraphFont"/>
    <w:uiPriority w:val="99"/>
    <w:unhideWhenUsed/>
    <w:rsid w:val="00EB331D"/>
    <w:rPr>
      <w:color w:val="2B579A"/>
      <w:shd w:val="clear" w:color="auto" w:fill="E1DFDD"/>
    </w:rPr>
  </w:style>
  <w:style w:type="paragraph" w:styleId="BalloonText">
    <w:name w:val="Balloon Text"/>
    <w:basedOn w:val="Normal"/>
    <w:link w:val="BalloonTextChar"/>
    <w:uiPriority w:val="99"/>
    <w:semiHidden/>
    <w:unhideWhenUsed/>
    <w:rsid w:val="001E23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2373"/>
    <w:rPr>
      <w:rFonts w:ascii="Segoe UI" w:hAnsi="Segoe UI" w:cs="Segoe UI"/>
      <w:sz w:val="18"/>
      <w:szCs w:val="18"/>
    </w:rPr>
  </w:style>
  <w:style w:type="character" w:customStyle="1" w:styleId="FooterChar">
    <w:name w:val="Footer Char"/>
    <w:basedOn w:val="DefaultParagraphFont"/>
    <w:link w:val="Footer"/>
    <w:uiPriority w:val="99"/>
    <w:rsid w:val="006B3C82"/>
  </w:style>
  <w:style w:type="character" w:styleId="Hyperlink">
    <w:name w:val="Hyperlink"/>
    <w:basedOn w:val="DefaultParagraphFont"/>
    <w:uiPriority w:val="99"/>
    <w:unhideWhenUsed/>
    <w:rsid w:val="00215FEB"/>
    <w:rPr>
      <w:color w:val="0563C1" w:themeColor="hyperlink"/>
      <w:u w:val="single"/>
    </w:rPr>
  </w:style>
  <w:style w:type="character" w:styleId="UnresolvedMention">
    <w:name w:val="Unresolved Mention"/>
    <w:basedOn w:val="DefaultParagraphFont"/>
    <w:uiPriority w:val="99"/>
    <w:semiHidden/>
    <w:unhideWhenUsed/>
    <w:rsid w:val="00215FEB"/>
    <w:rPr>
      <w:color w:val="605E5C"/>
      <w:shd w:val="clear" w:color="auto" w:fill="E1DFDD"/>
    </w:rPr>
  </w:style>
  <w:style w:type="character" w:styleId="FootnoteReference">
    <w:name w:val="footnote reference"/>
    <w:basedOn w:val="DefaultParagraphFont"/>
    <w:uiPriority w:val="99"/>
    <w:semiHidden/>
    <w:unhideWhenUsed/>
    <w:rsid w:val="00BB4C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35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B9F88DBD71BD4AB80620536A9A5914" ma:contentTypeVersion="21" ma:contentTypeDescription="Create a new document." ma:contentTypeScope="" ma:versionID="5364bae1b8216d9bfa803c336af15636">
  <xsd:schema xmlns:xsd="http://www.w3.org/2001/XMLSchema" xmlns:xs="http://www.w3.org/2001/XMLSchema" xmlns:p="http://schemas.microsoft.com/office/2006/metadata/properties" xmlns:ns2="4c436c0a-ae18-44a4-bfe4-8545750e0331" xmlns:ns3="d01a9e1c-1a5d-4d33-87ed-4c05a0bd8805" targetNamespace="http://schemas.microsoft.com/office/2006/metadata/properties" ma:root="true" ma:fieldsID="c10821b09bfaac25496af3568af9d486" ns2:_="" ns3:_="">
    <xsd:import namespace="4c436c0a-ae18-44a4-bfe4-8545750e0331"/>
    <xsd:import namespace="d01a9e1c-1a5d-4d33-87ed-4c05a0bd8805"/>
    <xsd:element name="properties">
      <xsd:complexType>
        <xsd:sequence>
          <xsd:element name="documentManagement">
            <xsd:complexType>
              <xsd:all>
                <xsd:element ref="ns2:SharedWithUsers" minOccurs="0"/>
                <xsd:element ref="ns2:SharedWithDetails" minOccurs="0"/>
                <xsd:element ref="ns3:Date"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436c0a-ae18-44a4-bfe4-8545750e033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88ea6784-c0ed-4ccd-a7b0-76d24e0285a7}" ma:internalName="TaxCatchAll" ma:showField="CatchAllData" ma:web="4c436c0a-ae18-44a4-bfe4-8545750e033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01a9e1c-1a5d-4d33-87ed-4c05a0bd8805" elementFormDefault="qualified">
    <xsd:import namespace="http://schemas.microsoft.com/office/2006/documentManagement/types"/>
    <xsd:import namespace="http://schemas.microsoft.com/office/infopath/2007/PartnerControls"/>
    <xsd:element name="Date" ma:index="10" nillable="true" ma:displayName="Date" ma:format="DateOnly" ma:internalName="Date">
      <xsd:simpleType>
        <xsd:restriction base="dms:DateTime"/>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02e5484-4b20-44b2-810e-31c6ce79537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3F543A-645B-450B-8DF6-60CDF0564B38}">
  <ds:schemaRefs>
    <ds:schemaRef ds:uri="http://schemas.openxmlformats.org/officeDocument/2006/bibliography"/>
  </ds:schemaRefs>
</ds:datastoreItem>
</file>

<file path=customXml/itemProps2.xml><?xml version="1.0" encoding="utf-8"?>
<ds:datastoreItem xmlns:ds="http://schemas.openxmlformats.org/officeDocument/2006/customXml" ds:itemID="{1917A98B-8EB4-4A34-8306-B9138A7A2CCC}">
  <ds:schemaRefs>
    <ds:schemaRef ds:uri="http://schemas.microsoft.com/sharepoint/v3/contenttype/forms"/>
  </ds:schemaRefs>
</ds:datastoreItem>
</file>

<file path=customXml/itemProps3.xml><?xml version="1.0" encoding="utf-8"?>
<ds:datastoreItem xmlns:ds="http://schemas.openxmlformats.org/officeDocument/2006/customXml" ds:itemID="{FC576B1B-303F-4276-826E-D105AA6C5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436c0a-ae18-44a4-bfe4-8545750e0331"/>
    <ds:schemaRef ds:uri="d01a9e1c-1a5d-4d33-87ed-4c05a0bd88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2997</Words>
  <Characters>16082</Characters>
  <Application>Microsoft Office Word</Application>
  <DocSecurity>0</DocSecurity>
  <Lines>402</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Tolmo Garcia</dc:creator>
  <cp:keywords/>
  <dc:description/>
  <cp:lastModifiedBy>James Boit</cp:lastModifiedBy>
  <cp:revision>2</cp:revision>
  <dcterms:created xsi:type="dcterms:W3CDTF">2024-07-16T13:54:00Z</dcterms:created>
  <dcterms:modified xsi:type="dcterms:W3CDTF">2024-07-16T13:54:00Z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5d0fa82de498fd6d95b096f42eb3debe736e21e0a913d2c895786dad29a43f78</vt:lpwstr>
  </property>
</Properties>
</file>