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CA1ED" w14:textId="77777777" w:rsidR="00C14AE9" w:rsidRDefault="00C14AE9" w:rsidP="00C14AE9">
      <w:pPr>
        <w:spacing w:line="360" w:lineRule="auto"/>
        <w:jc w:val="both"/>
        <w:rPr>
          <w:sz w:val="26"/>
          <w:szCs w:val="26"/>
        </w:rPr>
      </w:pPr>
    </w:p>
    <w:p w14:paraId="2D349F79" w14:textId="77777777" w:rsidR="00E15144" w:rsidRPr="00E15144" w:rsidRDefault="00E15144" w:rsidP="00E15144">
      <w:pPr>
        <w:jc w:val="center"/>
        <w:rPr>
          <w:b/>
          <w:color w:val="7030A0"/>
          <w:sz w:val="26"/>
          <w:szCs w:val="26"/>
          <w:lang w:val="es-ES"/>
        </w:rPr>
      </w:pPr>
      <w:r w:rsidRPr="00E15144">
        <w:rPr>
          <w:b/>
          <w:color w:val="7030A0"/>
          <w:sz w:val="26"/>
          <w:szCs w:val="26"/>
          <w:lang w:val="es-ES"/>
        </w:rPr>
        <w:t>Nota informativa</w:t>
      </w:r>
    </w:p>
    <w:p w14:paraId="56D6B761" w14:textId="77777777" w:rsidR="00E15144" w:rsidRPr="00E15144" w:rsidRDefault="00E15144" w:rsidP="00E15144">
      <w:pPr>
        <w:jc w:val="center"/>
        <w:rPr>
          <w:b/>
          <w:color w:val="7030A0"/>
          <w:sz w:val="26"/>
          <w:szCs w:val="26"/>
          <w:lang w:val="es-ES"/>
        </w:rPr>
      </w:pPr>
      <w:r w:rsidRPr="00E15144">
        <w:rPr>
          <w:b/>
          <w:color w:val="7030A0"/>
          <w:sz w:val="26"/>
          <w:szCs w:val="26"/>
          <w:lang w:val="es-ES"/>
        </w:rPr>
        <w:t>Visita del Comité de las Naciones Unidas contra la Desaparición Forzada a México</w:t>
      </w:r>
    </w:p>
    <w:p w14:paraId="0645D697" w14:textId="77777777" w:rsidR="00E15144" w:rsidRPr="00E15144" w:rsidRDefault="00E15144" w:rsidP="00E15144">
      <w:pPr>
        <w:jc w:val="center"/>
        <w:rPr>
          <w:b/>
          <w:color w:val="7030A0"/>
          <w:sz w:val="26"/>
          <w:szCs w:val="26"/>
          <w:lang w:val="es-ES"/>
        </w:rPr>
      </w:pPr>
    </w:p>
    <w:p w14:paraId="3DCA648E" w14:textId="35089483" w:rsidR="00C14AE9" w:rsidRPr="00E15144" w:rsidRDefault="00E15144" w:rsidP="00E15144">
      <w:pPr>
        <w:spacing w:line="360" w:lineRule="auto"/>
        <w:jc w:val="both"/>
        <w:rPr>
          <w:sz w:val="26"/>
          <w:szCs w:val="26"/>
        </w:rPr>
      </w:pPr>
      <w:r w:rsidRPr="00E15144">
        <w:rPr>
          <w:sz w:val="26"/>
          <w:szCs w:val="26"/>
        </w:rPr>
        <w:t>El Comité de las Naciones Unidas contra la Desaparición Forzada (CED, por sus siglas en inglés) realizará su primera visita a México, del 15 al 27 de noviembre de 2021, a fin de identificar los retos de México en la materia y las vías de acción para su atención. En este contexto, se tiene prevista la reunión con distintas autoridades del Estado mexicano, entre ellas</w:t>
      </w:r>
      <w:r>
        <w:rPr>
          <w:sz w:val="26"/>
          <w:szCs w:val="26"/>
        </w:rPr>
        <w:t>,</w:t>
      </w:r>
      <w:r w:rsidRPr="00E15144">
        <w:rPr>
          <w:sz w:val="26"/>
          <w:szCs w:val="26"/>
        </w:rPr>
        <w:t xml:space="preserve"> </w:t>
      </w:r>
      <w:r>
        <w:rPr>
          <w:sz w:val="26"/>
          <w:szCs w:val="26"/>
        </w:rPr>
        <w:t>la Suprema Corte de Justicia de la Nación (SCJN)</w:t>
      </w:r>
      <w:r w:rsidRPr="00E15144">
        <w:rPr>
          <w:sz w:val="26"/>
          <w:szCs w:val="26"/>
        </w:rPr>
        <w:t>.</w:t>
      </w:r>
    </w:p>
    <w:p w14:paraId="39FC10D6" w14:textId="797757F1" w:rsidR="00F77AA9" w:rsidRPr="00C14AE9" w:rsidRDefault="00E15144" w:rsidP="00C14AE9">
      <w:pPr>
        <w:spacing w:line="360" w:lineRule="auto"/>
        <w:jc w:val="both"/>
        <w:rPr>
          <w:sz w:val="26"/>
          <w:szCs w:val="26"/>
        </w:rPr>
      </w:pPr>
      <w:r>
        <w:rPr>
          <w:sz w:val="26"/>
          <w:szCs w:val="26"/>
        </w:rPr>
        <w:t>Al respecto, es relevante señalar que, e</w:t>
      </w:r>
      <w:r w:rsidR="00F77AA9" w:rsidRPr="00C14AE9">
        <w:rPr>
          <w:sz w:val="26"/>
          <w:szCs w:val="26"/>
        </w:rPr>
        <w:t>l 5 de marzo de 2015, el Comité contra la Desaparición Forzada (en adelante, el Comité) emitió sus Observaciones finales sobre el informe presentado por México</w:t>
      </w:r>
      <w:r w:rsidR="0069756B" w:rsidRPr="00C14AE9">
        <w:rPr>
          <w:sz w:val="26"/>
          <w:szCs w:val="26"/>
        </w:rPr>
        <w:t xml:space="preserve"> (CED/C/MEX/CO/1)</w:t>
      </w:r>
      <w:r w:rsidR="00F77AA9" w:rsidRPr="00C14AE9">
        <w:rPr>
          <w:sz w:val="26"/>
          <w:szCs w:val="26"/>
        </w:rPr>
        <w:t>. Luego, en 2020, el Comité emitió su informe</w:t>
      </w:r>
      <w:r w:rsidR="00B63ECF" w:rsidRPr="00C14AE9">
        <w:rPr>
          <w:sz w:val="26"/>
          <w:szCs w:val="26"/>
        </w:rPr>
        <w:t xml:space="preserve"> anual</w:t>
      </w:r>
      <w:r w:rsidR="00F77AA9" w:rsidRPr="00C14AE9">
        <w:rPr>
          <w:sz w:val="26"/>
          <w:szCs w:val="26"/>
        </w:rPr>
        <w:t xml:space="preserve"> ante la Asamblea General derivado de los periodos de sesiones 17º y 18º</w:t>
      </w:r>
      <w:r w:rsidR="0069756B" w:rsidRPr="00C14AE9">
        <w:rPr>
          <w:sz w:val="26"/>
          <w:szCs w:val="26"/>
        </w:rPr>
        <w:t xml:space="preserve"> (A/75/</w:t>
      </w:r>
      <w:r w:rsidR="004A7524" w:rsidRPr="00C14AE9">
        <w:rPr>
          <w:sz w:val="26"/>
          <w:szCs w:val="26"/>
        </w:rPr>
        <w:t>5</w:t>
      </w:r>
      <w:r w:rsidR="0069756B" w:rsidRPr="00C14AE9">
        <w:rPr>
          <w:sz w:val="26"/>
          <w:szCs w:val="26"/>
        </w:rPr>
        <w:t>6)</w:t>
      </w:r>
      <w:r w:rsidR="00F77AA9" w:rsidRPr="00C14AE9">
        <w:rPr>
          <w:sz w:val="26"/>
          <w:szCs w:val="26"/>
        </w:rPr>
        <w:t>. En ambos informes, dicho Comité hizo constar recomendaciones en relación con los compromisos asumidos por el Estado Mexicano derivados de la Convención Internacional para la Protección de Todas las Personas contra las Desapariciones Forzadas</w:t>
      </w:r>
      <w:r w:rsidR="0069756B" w:rsidRPr="00C14AE9">
        <w:rPr>
          <w:sz w:val="26"/>
          <w:szCs w:val="26"/>
        </w:rPr>
        <w:t xml:space="preserve"> (en adelante, la Convención)</w:t>
      </w:r>
      <w:r w:rsidR="00F77AA9" w:rsidRPr="00C14AE9">
        <w:rPr>
          <w:sz w:val="26"/>
          <w:szCs w:val="26"/>
        </w:rPr>
        <w:t>.</w:t>
      </w:r>
    </w:p>
    <w:p w14:paraId="2C39C96F" w14:textId="31C6428D" w:rsidR="00F77AA9" w:rsidRPr="00C14AE9" w:rsidRDefault="00F77AA9" w:rsidP="00C14AE9">
      <w:pPr>
        <w:spacing w:line="360" w:lineRule="auto"/>
        <w:jc w:val="both"/>
        <w:rPr>
          <w:sz w:val="26"/>
          <w:szCs w:val="26"/>
        </w:rPr>
      </w:pPr>
      <w:r w:rsidRPr="00C14AE9">
        <w:rPr>
          <w:sz w:val="26"/>
          <w:szCs w:val="26"/>
        </w:rPr>
        <w:t>A continuación, se exponen los rubros en los que resulta destacable la actuación de la SCJN como Tribunal Constitucional</w:t>
      </w:r>
      <w:r w:rsidR="0069756B" w:rsidRPr="00C14AE9">
        <w:rPr>
          <w:sz w:val="26"/>
          <w:szCs w:val="26"/>
        </w:rPr>
        <w:t xml:space="preserve"> con miras a cumplir las obligaciones internacionales en la materia.</w:t>
      </w:r>
    </w:p>
    <w:p w14:paraId="350617ED" w14:textId="7F93C074" w:rsidR="00777DCB" w:rsidRPr="001A5748" w:rsidRDefault="00777DCB" w:rsidP="001A5748">
      <w:pPr>
        <w:pStyle w:val="Prrafodelista"/>
        <w:numPr>
          <w:ilvl w:val="0"/>
          <w:numId w:val="7"/>
        </w:numPr>
        <w:spacing w:line="360" w:lineRule="auto"/>
        <w:jc w:val="both"/>
        <w:rPr>
          <w:sz w:val="26"/>
          <w:szCs w:val="26"/>
        </w:rPr>
      </w:pPr>
      <w:r w:rsidRPr="001A5748">
        <w:rPr>
          <w:sz w:val="26"/>
          <w:szCs w:val="26"/>
        </w:rPr>
        <w:t>Peticiones de acción urgente</w:t>
      </w:r>
    </w:p>
    <w:p w14:paraId="6F7D396B" w14:textId="5AFEB14F" w:rsidR="0090537A" w:rsidRPr="00C14AE9" w:rsidRDefault="0090537A" w:rsidP="00C14AE9">
      <w:pPr>
        <w:spacing w:line="360" w:lineRule="auto"/>
        <w:jc w:val="both"/>
        <w:rPr>
          <w:sz w:val="26"/>
          <w:szCs w:val="26"/>
        </w:rPr>
      </w:pPr>
      <w:r w:rsidRPr="00C14AE9">
        <w:rPr>
          <w:sz w:val="26"/>
          <w:szCs w:val="26"/>
        </w:rPr>
        <w:t>El Comité ha invitado al Estado a continuar cooperando en el marco de su procedimiento de acción urgente y a garantizar el tratamiento inmediato y el seguimiento regular de todas las acciones urgentes y solicitudes de medidas cautelares y de protección remitidas por el Comité.</w:t>
      </w:r>
    </w:p>
    <w:p w14:paraId="6739B665" w14:textId="33C98CBA" w:rsidR="009514B4" w:rsidRPr="00C14AE9" w:rsidRDefault="0090537A" w:rsidP="00C14AE9">
      <w:pPr>
        <w:spacing w:line="360" w:lineRule="auto"/>
        <w:jc w:val="both"/>
        <w:rPr>
          <w:sz w:val="26"/>
          <w:szCs w:val="26"/>
        </w:rPr>
      </w:pPr>
      <w:r w:rsidRPr="00C14AE9">
        <w:rPr>
          <w:sz w:val="26"/>
          <w:szCs w:val="26"/>
        </w:rPr>
        <w:lastRenderedPageBreak/>
        <w:t xml:space="preserve">En ese sentido, es </w:t>
      </w:r>
      <w:r w:rsidR="001F1265">
        <w:rPr>
          <w:sz w:val="26"/>
          <w:szCs w:val="26"/>
        </w:rPr>
        <w:t>notable</w:t>
      </w:r>
      <w:r w:rsidRPr="00C14AE9">
        <w:rPr>
          <w:sz w:val="26"/>
          <w:szCs w:val="26"/>
        </w:rPr>
        <w:t xml:space="preserve"> el criterio sostenido por la</w:t>
      </w:r>
      <w:r w:rsidR="003475EB" w:rsidRPr="00C14AE9">
        <w:rPr>
          <w:sz w:val="26"/>
          <w:szCs w:val="26"/>
        </w:rPr>
        <w:t xml:space="preserve"> SCJN</w:t>
      </w:r>
      <w:r w:rsidRPr="00C14AE9">
        <w:rPr>
          <w:sz w:val="26"/>
          <w:szCs w:val="26"/>
        </w:rPr>
        <w:t xml:space="preserve"> en el </w:t>
      </w:r>
      <w:r w:rsidRPr="00C14AE9">
        <w:rPr>
          <w:i/>
          <w:iCs/>
          <w:sz w:val="26"/>
          <w:szCs w:val="26"/>
        </w:rPr>
        <w:t xml:space="preserve">Amparo en Revisión 1077/2019. </w:t>
      </w:r>
      <w:r w:rsidRPr="00C14AE9">
        <w:rPr>
          <w:sz w:val="26"/>
          <w:szCs w:val="26"/>
        </w:rPr>
        <w:t>En tal asunto, el Alto Tribunal sostuvo</w:t>
      </w:r>
      <w:r w:rsidR="003475EB" w:rsidRPr="00C14AE9">
        <w:rPr>
          <w:sz w:val="26"/>
          <w:szCs w:val="26"/>
        </w:rPr>
        <w:t xml:space="preserve"> </w:t>
      </w:r>
      <w:r w:rsidR="00777DCB" w:rsidRPr="00C14AE9">
        <w:rPr>
          <w:sz w:val="26"/>
          <w:szCs w:val="26"/>
        </w:rPr>
        <w:t xml:space="preserve">la vinculatoriedad de las acciones urgentes emitidas por el Comité. </w:t>
      </w:r>
    </w:p>
    <w:p w14:paraId="2C172A91" w14:textId="77777777" w:rsidR="009514B4" w:rsidRPr="00C14AE9" w:rsidRDefault="009514B4" w:rsidP="00C14AE9">
      <w:pPr>
        <w:spacing w:line="360" w:lineRule="auto"/>
        <w:jc w:val="both"/>
        <w:rPr>
          <w:sz w:val="26"/>
          <w:szCs w:val="26"/>
        </w:rPr>
      </w:pPr>
      <w:r w:rsidRPr="00C14AE9">
        <w:rPr>
          <w:sz w:val="26"/>
          <w:szCs w:val="26"/>
        </w:rPr>
        <w:t>Para este análisis, la Primera Sala partió del hecho de que la desaparición forzada de personas es una violación grave, de ahí que la búsqueda inmediata, acuciosa y diligente de la persona desaparecida sea una obligación ineludible a cargo del Estado, la cual debe emprenderse sin obstáculos injustificados y con toda la fuerza institucional disponible.</w:t>
      </w:r>
    </w:p>
    <w:p w14:paraId="5C2B0EBF" w14:textId="5261F4BE" w:rsidR="00777DCB" w:rsidRPr="00C14AE9" w:rsidRDefault="003D4A51" w:rsidP="00C14AE9">
      <w:pPr>
        <w:spacing w:line="360" w:lineRule="auto"/>
        <w:jc w:val="both"/>
        <w:rPr>
          <w:sz w:val="26"/>
          <w:szCs w:val="26"/>
        </w:rPr>
      </w:pPr>
      <w:r w:rsidRPr="00C14AE9">
        <w:rPr>
          <w:sz w:val="26"/>
          <w:szCs w:val="26"/>
        </w:rPr>
        <w:t>Así</w:t>
      </w:r>
      <w:r w:rsidR="00777DCB" w:rsidRPr="00C14AE9">
        <w:rPr>
          <w:sz w:val="26"/>
          <w:szCs w:val="26"/>
        </w:rPr>
        <w:t xml:space="preserve">, se estableció que </w:t>
      </w:r>
      <w:r w:rsidRPr="00C14AE9">
        <w:rPr>
          <w:sz w:val="26"/>
          <w:szCs w:val="26"/>
        </w:rPr>
        <w:t>las</w:t>
      </w:r>
      <w:r w:rsidR="00777DCB" w:rsidRPr="00C14AE9">
        <w:rPr>
          <w:sz w:val="26"/>
          <w:szCs w:val="26"/>
        </w:rPr>
        <w:t xml:space="preserve"> acciones</w:t>
      </w:r>
      <w:r w:rsidRPr="00C14AE9">
        <w:rPr>
          <w:sz w:val="26"/>
          <w:szCs w:val="26"/>
        </w:rPr>
        <w:t xml:space="preserve"> urgentes</w:t>
      </w:r>
      <w:r w:rsidR="00777DCB" w:rsidRPr="00C14AE9">
        <w:rPr>
          <w:sz w:val="26"/>
          <w:szCs w:val="26"/>
        </w:rPr>
        <w:t xml:space="preserve"> son vinculantes para México, en virtud de que, al ratificar la Convención Internacional para la protección de todas las Personas contra las Desapariciones Forzadas, éste aceptó también el mecanismo de monitoreo que la Convención establecía, es decir, el Comité contra la Desaparición Forzada. Por lo tanto, el negar la vinculatoriedad de las acciones urgentes implicaría restarle efecto útil a la Convención y, por lo tanto, a la Constitución.</w:t>
      </w:r>
    </w:p>
    <w:p w14:paraId="40B5D26B" w14:textId="2FF7A625" w:rsidR="00777DCB" w:rsidRPr="00C14AE9" w:rsidRDefault="00687F44" w:rsidP="00C14AE9">
      <w:pPr>
        <w:spacing w:line="360" w:lineRule="auto"/>
        <w:jc w:val="both"/>
        <w:rPr>
          <w:sz w:val="26"/>
          <w:szCs w:val="26"/>
        </w:rPr>
      </w:pPr>
      <w:r w:rsidRPr="00C14AE9">
        <w:rPr>
          <w:sz w:val="26"/>
          <w:szCs w:val="26"/>
        </w:rPr>
        <w:t>Lo anterior da lugar a que</w:t>
      </w:r>
      <w:r w:rsidR="00587153" w:rsidRPr="00C14AE9">
        <w:rPr>
          <w:sz w:val="26"/>
          <w:szCs w:val="26"/>
        </w:rPr>
        <w:t xml:space="preserve"> las autoridades del Estado</w:t>
      </w:r>
      <w:r w:rsidR="00304144" w:rsidRPr="00C14AE9">
        <w:rPr>
          <w:sz w:val="26"/>
          <w:szCs w:val="26"/>
        </w:rPr>
        <w:t xml:space="preserve"> mexicano</w:t>
      </w:r>
      <w:r w:rsidR="00587153" w:rsidRPr="00C14AE9">
        <w:rPr>
          <w:sz w:val="26"/>
          <w:szCs w:val="26"/>
        </w:rPr>
        <w:t xml:space="preserve"> estén obligadas a </w:t>
      </w:r>
      <w:r w:rsidR="00570969" w:rsidRPr="00C14AE9">
        <w:rPr>
          <w:sz w:val="26"/>
          <w:szCs w:val="26"/>
        </w:rPr>
        <w:t xml:space="preserve">implementar las </w:t>
      </w:r>
      <w:r w:rsidR="005457EC" w:rsidRPr="00C14AE9">
        <w:rPr>
          <w:sz w:val="26"/>
          <w:szCs w:val="26"/>
        </w:rPr>
        <w:t>acciones urgentes emitidas por el Comité y, en su caso, a impugnar la omisión de investigar</w:t>
      </w:r>
      <w:r w:rsidR="0090537A" w:rsidRPr="00C14AE9">
        <w:rPr>
          <w:sz w:val="26"/>
          <w:szCs w:val="26"/>
        </w:rPr>
        <w:t xml:space="preserve"> los hechos</w:t>
      </w:r>
      <w:r w:rsidR="005457EC" w:rsidRPr="00C14AE9">
        <w:rPr>
          <w:sz w:val="26"/>
          <w:szCs w:val="26"/>
        </w:rPr>
        <w:t>.</w:t>
      </w:r>
    </w:p>
    <w:p w14:paraId="76F8540B" w14:textId="29BF6465" w:rsidR="00777DCB" w:rsidRPr="001A5748" w:rsidRDefault="00777DCB" w:rsidP="001A5748">
      <w:pPr>
        <w:pStyle w:val="Prrafodelista"/>
        <w:numPr>
          <w:ilvl w:val="0"/>
          <w:numId w:val="7"/>
        </w:numPr>
        <w:spacing w:line="360" w:lineRule="auto"/>
        <w:jc w:val="both"/>
        <w:rPr>
          <w:sz w:val="26"/>
          <w:szCs w:val="26"/>
        </w:rPr>
      </w:pPr>
      <w:r w:rsidRPr="001A5748">
        <w:rPr>
          <w:sz w:val="26"/>
          <w:szCs w:val="26"/>
        </w:rPr>
        <w:t>Definición y tipificación del delito</w:t>
      </w:r>
    </w:p>
    <w:p w14:paraId="701B236D" w14:textId="22AE8508" w:rsidR="00777DCB" w:rsidRPr="00C14AE9" w:rsidRDefault="0069756B" w:rsidP="00C14AE9">
      <w:pPr>
        <w:spacing w:line="360" w:lineRule="auto"/>
        <w:jc w:val="both"/>
        <w:rPr>
          <w:sz w:val="26"/>
          <w:szCs w:val="26"/>
          <w:lang w:val="es-ES"/>
        </w:rPr>
      </w:pPr>
      <w:r w:rsidRPr="00C14AE9">
        <w:rPr>
          <w:sz w:val="26"/>
          <w:szCs w:val="26"/>
          <w:lang w:val="es-ES"/>
        </w:rPr>
        <w:t>El Comité ha recomendado que se deben de adoptar las medidas legislativas necesarias a fin de que la tipificación del delito de desaparición forzada se ajuste a la definición contenida en el artículo 2 de la Convención.</w:t>
      </w:r>
    </w:p>
    <w:p w14:paraId="5F07C38C" w14:textId="134C0BFC" w:rsidR="00AB0C9F" w:rsidRPr="00C14AE9" w:rsidRDefault="00852F42" w:rsidP="00C14AE9">
      <w:pPr>
        <w:spacing w:line="360" w:lineRule="auto"/>
        <w:jc w:val="both"/>
        <w:rPr>
          <w:sz w:val="26"/>
          <w:szCs w:val="26"/>
          <w:lang w:val="es-ES"/>
        </w:rPr>
      </w:pPr>
      <w:r w:rsidRPr="00C14AE9">
        <w:rPr>
          <w:sz w:val="26"/>
          <w:szCs w:val="26"/>
          <w:lang w:val="es-ES"/>
        </w:rPr>
        <w:t xml:space="preserve">Al resolver el </w:t>
      </w:r>
      <w:r w:rsidRPr="00C14AE9">
        <w:rPr>
          <w:i/>
          <w:iCs/>
          <w:sz w:val="26"/>
          <w:szCs w:val="26"/>
          <w:lang w:val="es-ES"/>
        </w:rPr>
        <w:t>Amparo Directo en Revisión 3165/2016</w:t>
      </w:r>
      <w:r w:rsidRPr="00C14AE9">
        <w:rPr>
          <w:sz w:val="26"/>
          <w:szCs w:val="26"/>
          <w:lang w:val="es-ES"/>
        </w:rPr>
        <w:t xml:space="preserve">, la Primera Sala de la SCJN analizó si es inconstitucional que el tipo penal de desaparición forzada (artículo 215-A del Código Penal Federal) establezca que una persona puede cometer el delito de desaparición forzada a pesar de no haber participado en la detención de la víctima </w:t>
      </w:r>
      <w:r w:rsidRPr="00C14AE9">
        <w:rPr>
          <w:sz w:val="26"/>
          <w:szCs w:val="26"/>
          <w:lang w:val="es-ES"/>
        </w:rPr>
        <w:lastRenderedPageBreak/>
        <w:t xml:space="preserve">del delito. Al respecto, </w:t>
      </w:r>
      <w:r w:rsidR="00304144" w:rsidRPr="00C14AE9">
        <w:rPr>
          <w:sz w:val="26"/>
          <w:szCs w:val="26"/>
          <w:lang w:val="es-ES"/>
        </w:rPr>
        <w:t xml:space="preserve">la SCJN </w:t>
      </w:r>
      <w:r w:rsidRPr="00C14AE9">
        <w:rPr>
          <w:sz w:val="26"/>
          <w:szCs w:val="26"/>
          <w:lang w:val="es-ES"/>
        </w:rPr>
        <w:t>determinó que el precepto no viola el principio de taxatividad, ya que es suficientemente claro para que las personas gobernadas puedan distinguir entre una conducta punible y una que no lo es, lo que les per</w:t>
      </w:r>
      <w:r w:rsidR="00AB0C9F" w:rsidRPr="00C14AE9">
        <w:rPr>
          <w:sz w:val="26"/>
          <w:szCs w:val="26"/>
          <w:lang w:val="es-ES"/>
        </w:rPr>
        <w:t>m</w:t>
      </w:r>
      <w:r w:rsidRPr="00C14AE9">
        <w:rPr>
          <w:sz w:val="26"/>
          <w:szCs w:val="26"/>
          <w:lang w:val="es-ES"/>
        </w:rPr>
        <w:t>ite anticipar las consecuencias de sus acciones</w:t>
      </w:r>
      <w:r w:rsidR="00AB0C9F" w:rsidRPr="00C14AE9">
        <w:rPr>
          <w:sz w:val="26"/>
          <w:szCs w:val="26"/>
          <w:lang w:val="es-ES"/>
        </w:rPr>
        <w:t>. Además,</w:t>
      </w:r>
      <w:r w:rsidRPr="00C14AE9">
        <w:rPr>
          <w:sz w:val="26"/>
          <w:szCs w:val="26"/>
          <w:lang w:val="es-ES"/>
        </w:rPr>
        <w:t xml:space="preserve"> </w:t>
      </w:r>
      <w:r w:rsidR="00AB0C9F" w:rsidRPr="00C14AE9">
        <w:rPr>
          <w:sz w:val="26"/>
          <w:szCs w:val="26"/>
          <w:lang w:val="es-ES"/>
        </w:rPr>
        <w:t xml:space="preserve">la descripción típica </w:t>
      </w:r>
      <w:r w:rsidRPr="00C14AE9">
        <w:rPr>
          <w:sz w:val="26"/>
          <w:szCs w:val="26"/>
          <w:lang w:val="es-ES"/>
        </w:rPr>
        <w:t>tampoco permite que la autoridad actúe arbitrariamente</w:t>
      </w:r>
      <w:r w:rsidR="00AB0C9F" w:rsidRPr="00C14AE9">
        <w:rPr>
          <w:sz w:val="26"/>
          <w:szCs w:val="26"/>
          <w:lang w:val="es-ES"/>
        </w:rPr>
        <w:t>, lo que</w:t>
      </w:r>
      <w:r w:rsidRPr="00C14AE9">
        <w:rPr>
          <w:sz w:val="26"/>
          <w:szCs w:val="26"/>
          <w:lang w:val="es-ES"/>
        </w:rPr>
        <w:t xml:space="preserve"> garantiza un trato igualitario ante la ley.</w:t>
      </w:r>
    </w:p>
    <w:p w14:paraId="46F653E7" w14:textId="3D6D392A" w:rsidR="00852F42" w:rsidRPr="00C14AE9" w:rsidRDefault="00852F42" w:rsidP="00C14AE9">
      <w:pPr>
        <w:spacing w:line="360" w:lineRule="auto"/>
        <w:jc w:val="both"/>
        <w:rPr>
          <w:sz w:val="26"/>
          <w:szCs w:val="26"/>
          <w:lang w:val="es-ES"/>
        </w:rPr>
      </w:pPr>
      <w:r w:rsidRPr="00C14AE9">
        <w:rPr>
          <w:sz w:val="26"/>
          <w:szCs w:val="26"/>
          <w:lang w:val="es-ES"/>
        </w:rPr>
        <w:t xml:space="preserve">Por otro lado, </w:t>
      </w:r>
      <w:r w:rsidR="00AB0C9F" w:rsidRPr="00C14AE9">
        <w:rPr>
          <w:sz w:val="26"/>
          <w:szCs w:val="26"/>
          <w:lang w:val="es-ES"/>
        </w:rPr>
        <w:t xml:space="preserve">en dicho asunto, la SCJN sostuvo que </w:t>
      </w:r>
      <w:r w:rsidRPr="00C14AE9">
        <w:rPr>
          <w:sz w:val="26"/>
          <w:szCs w:val="26"/>
          <w:lang w:val="es-ES"/>
        </w:rPr>
        <w:t>el tipo penal impugnado sí se ajusta a los tratados internacionales, pues no se advierte de ninguno de ellos que resulta necesario que</w:t>
      </w:r>
      <w:r w:rsidR="006D6945" w:rsidRPr="00C14AE9">
        <w:rPr>
          <w:sz w:val="26"/>
          <w:szCs w:val="26"/>
          <w:lang w:val="es-ES"/>
        </w:rPr>
        <w:t>,</w:t>
      </w:r>
      <w:r w:rsidRPr="00C14AE9">
        <w:rPr>
          <w:sz w:val="26"/>
          <w:szCs w:val="26"/>
          <w:lang w:val="es-ES"/>
        </w:rPr>
        <w:t xml:space="preserve"> para ser declarado culpable del delito de desaparición forzada se deba forzosamente participar en la detención de la víctima.</w:t>
      </w:r>
    </w:p>
    <w:p w14:paraId="2A75672B" w14:textId="7FACA89E" w:rsidR="00E93C53" w:rsidRPr="00C14AE9" w:rsidRDefault="00346DA8" w:rsidP="00C14AE9">
      <w:pPr>
        <w:spacing w:line="360" w:lineRule="auto"/>
        <w:jc w:val="both"/>
        <w:rPr>
          <w:sz w:val="26"/>
          <w:szCs w:val="26"/>
          <w:lang w:val="es-ES"/>
        </w:rPr>
      </w:pPr>
      <w:r w:rsidRPr="00C14AE9">
        <w:rPr>
          <w:sz w:val="26"/>
          <w:szCs w:val="26"/>
          <w:lang w:val="es-ES"/>
        </w:rPr>
        <w:t xml:space="preserve">Tal criterio es </w:t>
      </w:r>
      <w:r w:rsidR="001A0E88" w:rsidRPr="00C14AE9">
        <w:rPr>
          <w:sz w:val="26"/>
          <w:szCs w:val="26"/>
          <w:lang w:val="es-ES"/>
        </w:rPr>
        <w:t>congruente con la recomendación dirigida al Estado</w:t>
      </w:r>
      <w:r w:rsidR="00D94D4F" w:rsidRPr="00C14AE9">
        <w:rPr>
          <w:sz w:val="26"/>
          <w:szCs w:val="26"/>
          <w:lang w:val="es-ES"/>
        </w:rPr>
        <w:t xml:space="preserve"> mexicano</w:t>
      </w:r>
      <w:r w:rsidR="001A0E88" w:rsidRPr="00C14AE9">
        <w:rPr>
          <w:sz w:val="26"/>
          <w:szCs w:val="26"/>
          <w:lang w:val="es-ES"/>
        </w:rPr>
        <w:t xml:space="preserve"> en el sentido de que la legislación</w:t>
      </w:r>
      <w:r w:rsidR="006D6945" w:rsidRPr="00C14AE9">
        <w:rPr>
          <w:sz w:val="26"/>
          <w:szCs w:val="26"/>
          <w:lang w:val="es-ES"/>
        </w:rPr>
        <w:t xml:space="preserve"> nacional</w:t>
      </w:r>
      <w:r w:rsidR="001A0E88" w:rsidRPr="00C14AE9">
        <w:rPr>
          <w:sz w:val="26"/>
          <w:szCs w:val="26"/>
          <w:lang w:val="es-ES"/>
        </w:rPr>
        <w:t xml:space="preserve"> prevea</w:t>
      </w:r>
      <w:r w:rsidR="00D94D4F" w:rsidRPr="00C14AE9">
        <w:rPr>
          <w:sz w:val="26"/>
          <w:szCs w:val="26"/>
          <w:lang w:val="es-ES"/>
        </w:rPr>
        <w:t xml:space="preserve"> la </w:t>
      </w:r>
      <w:r w:rsidR="006D6945" w:rsidRPr="00C14AE9">
        <w:rPr>
          <w:sz w:val="26"/>
          <w:szCs w:val="26"/>
          <w:lang w:val="es-ES"/>
        </w:rPr>
        <w:t xml:space="preserve">asignación de </w:t>
      </w:r>
      <w:r w:rsidR="00D94D4F" w:rsidRPr="00C14AE9">
        <w:rPr>
          <w:sz w:val="26"/>
          <w:szCs w:val="26"/>
          <w:lang w:val="es-ES"/>
        </w:rPr>
        <w:t xml:space="preserve">responsabilidad penal de los superiores jerárquicos </w:t>
      </w:r>
      <w:r w:rsidR="006D6945" w:rsidRPr="00C14AE9">
        <w:rPr>
          <w:sz w:val="26"/>
          <w:szCs w:val="26"/>
          <w:lang w:val="es-ES"/>
        </w:rPr>
        <w:t xml:space="preserve">vinculados con la comisión de una desaparición forzada, </w:t>
      </w:r>
      <w:r w:rsidR="00D94D4F" w:rsidRPr="00C14AE9">
        <w:rPr>
          <w:sz w:val="26"/>
          <w:szCs w:val="26"/>
          <w:lang w:val="es-ES"/>
        </w:rPr>
        <w:t>en los términos del artículo 6 de la Convención.</w:t>
      </w:r>
    </w:p>
    <w:p w14:paraId="298469AA" w14:textId="285B1686" w:rsidR="00E93C53" w:rsidRPr="001A5748" w:rsidRDefault="00E93C53" w:rsidP="001A5748">
      <w:pPr>
        <w:pStyle w:val="Prrafodelista"/>
        <w:numPr>
          <w:ilvl w:val="0"/>
          <w:numId w:val="7"/>
        </w:numPr>
        <w:spacing w:line="360" w:lineRule="auto"/>
        <w:jc w:val="both"/>
        <w:rPr>
          <w:sz w:val="26"/>
          <w:szCs w:val="26"/>
        </w:rPr>
      </w:pPr>
      <w:r w:rsidRPr="001A5748">
        <w:rPr>
          <w:sz w:val="26"/>
          <w:szCs w:val="26"/>
        </w:rPr>
        <w:t>Responsabilidad penal y cooperación judicial</w:t>
      </w:r>
    </w:p>
    <w:p w14:paraId="19E75789" w14:textId="014C729D" w:rsidR="00E93C53" w:rsidRPr="00C14AE9" w:rsidRDefault="00E93C53" w:rsidP="00C14AE9">
      <w:pPr>
        <w:spacing w:line="360" w:lineRule="auto"/>
        <w:jc w:val="both"/>
        <w:rPr>
          <w:sz w:val="26"/>
          <w:szCs w:val="26"/>
          <w:lang w:val="es-ES"/>
        </w:rPr>
      </w:pPr>
      <w:r w:rsidRPr="00C14AE9">
        <w:rPr>
          <w:sz w:val="26"/>
          <w:szCs w:val="26"/>
          <w:lang w:val="es-ES"/>
        </w:rPr>
        <w:t xml:space="preserve">El Comité ha recomendado al Estado </w:t>
      </w:r>
      <w:r w:rsidR="00F04C4A" w:rsidRPr="00C14AE9">
        <w:rPr>
          <w:sz w:val="26"/>
          <w:szCs w:val="26"/>
          <w:lang w:val="es-ES"/>
        </w:rPr>
        <w:t>mexicano</w:t>
      </w:r>
      <w:r w:rsidRPr="00C14AE9">
        <w:rPr>
          <w:sz w:val="26"/>
          <w:szCs w:val="26"/>
          <w:lang w:val="es-ES"/>
        </w:rPr>
        <w:t xml:space="preserve"> que adopte las medidas legislativas necesarias a fin de asegurar que las desapariciones forzadas cometidas por un militar contra otro militar queden expresamente excluidas de la jurisdicción militar y solamente puedan ser investigadas y juzgadas por las autoridades civiles competentes.</w:t>
      </w:r>
    </w:p>
    <w:p w14:paraId="202978CD" w14:textId="71433C44" w:rsidR="00530AAD" w:rsidRPr="00C14AE9" w:rsidRDefault="00F04C4A" w:rsidP="00C14AE9">
      <w:pPr>
        <w:spacing w:line="360" w:lineRule="auto"/>
        <w:jc w:val="both"/>
        <w:rPr>
          <w:sz w:val="26"/>
          <w:szCs w:val="26"/>
          <w:lang w:val="es-ES"/>
        </w:rPr>
      </w:pPr>
      <w:r w:rsidRPr="00C14AE9">
        <w:rPr>
          <w:sz w:val="26"/>
          <w:szCs w:val="26"/>
          <w:lang w:val="es-ES"/>
        </w:rPr>
        <w:t xml:space="preserve">La SCJN ha establecido claros límites a la jurisdicción militar. </w:t>
      </w:r>
      <w:r w:rsidR="00530AAD" w:rsidRPr="00C14AE9">
        <w:rPr>
          <w:sz w:val="26"/>
          <w:szCs w:val="26"/>
          <w:lang w:val="es-ES"/>
        </w:rPr>
        <w:t xml:space="preserve">En el </w:t>
      </w:r>
      <w:r w:rsidR="00530AAD" w:rsidRPr="00C14AE9">
        <w:rPr>
          <w:i/>
          <w:iCs/>
          <w:sz w:val="26"/>
          <w:szCs w:val="26"/>
          <w:lang w:val="es-ES"/>
        </w:rPr>
        <w:t>Amparo en Revisión 14/2018</w:t>
      </w:r>
      <w:r w:rsidR="00530AAD" w:rsidRPr="00C14AE9">
        <w:rPr>
          <w:sz w:val="26"/>
          <w:szCs w:val="26"/>
          <w:lang w:val="es-ES"/>
        </w:rPr>
        <w:t>, la SCJN sostuvo que el fuero militar sólo es competente para conocer de los delitos y faltas que, por su propia naturaleza, atenten de manera directa contra la disciplina militar, cometidos por militares en activo, siempre y cuando se realicen en actos del servicio y no esté involucrado un civil o se trate de violaciones de derechos humanos</w:t>
      </w:r>
      <w:r w:rsidR="00483740" w:rsidRPr="00C14AE9">
        <w:rPr>
          <w:sz w:val="26"/>
          <w:szCs w:val="26"/>
          <w:lang w:val="es-ES"/>
        </w:rPr>
        <w:t>. Al respecto, se precisó que no cualquier</w:t>
      </w:r>
      <w:r w:rsidR="00530AAD" w:rsidRPr="00C14AE9">
        <w:rPr>
          <w:sz w:val="26"/>
          <w:szCs w:val="26"/>
          <w:lang w:val="es-ES"/>
        </w:rPr>
        <w:t xml:space="preserve"> conducta </w:t>
      </w:r>
      <w:r w:rsidR="00530AAD" w:rsidRPr="00C14AE9">
        <w:rPr>
          <w:sz w:val="26"/>
          <w:szCs w:val="26"/>
          <w:lang w:val="es-ES"/>
        </w:rPr>
        <w:lastRenderedPageBreak/>
        <w:t xml:space="preserve">irregular perpetrada por </w:t>
      </w:r>
      <w:r w:rsidR="00882864" w:rsidRPr="00C14AE9">
        <w:rPr>
          <w:sz w:val="26"/>
          <w:szCs w:val="26"/>
          <w:lang w:val="es-ES"/>
        </w:rPr>
        <w:t xml:space="preserve">militares </w:t>
      </w:r>
      <w:r w:rsidR="00530AAD" w:rsidRPr="00C14AE9">
        <w:rPr>
          <w:sz w:val="26"/>
          <w:szCs w:val="26"/>
          <w:lang w:val="es-ES"/>
        </w:rPr>
        <w:t xml:space="preserve">afecta la disciplina castrense, </w:t>
      </w:r>
      <w:r w:rsidR="00882864" w:rsidRPr="00C14AE9">
        <w:rPr>
          <w:sz w:val="26"/>
          <w:szCs w:val="26"/>
          <w:lang w:val="es-ES"/>
        </w:rPr>
        <w:t>lo que es condición necesaria de</w:t>
      </w:r>
      <w:r w:rsidR="00530AAD" w:rsidRPr="00C14AE9">
        <w:rPr>
          <w:sz w:val="26"/>
          <w:szCs w:val="26"/>
          <w:lang w:val="es-ES"/>
        </w:rPr>
        <w:t xml:space="preserve"> un delito militar</w:t>
      </w:r>
      <w:r w:rsidR="00AA2189" w:rsidRPr="00C14AE9">
        <w:rPr>
          <w:sz w:val="26"/>
          <w:szCs w:val="26"/>
          <w:lang w:val="es-ES"/>
        </w:rPr>
        <w:t xml:space="preserve">. Ello, puesto que, </w:t>
      </w:r>
      <w:r w:rsidR="00530AAD" w:rsidRPr="00C14AE9">
        <w:rPr>
          <w:sz w:val="26"/>
          <w:szCs w:val="26"/>
          <w:lang w:val="es-ES"/>
        </w:rPr>
        <w:t>para que esa conducta pueda reputarse como constitutiva de un delito materia del fuero de guerra, debe existir una conexión directa entre aquélla y la disciplina castrense objetivamente valorada</w:t>
      </w:r>
      <w:r w:rsidR="00AA2189" w:rsidRPr="00C14AE9">
        <w:rPr>
          <w:sz w:val="26"/>
          <w:szCs w:val="26"/>
          <w:lang w:val="es-ES"/>
        </w:rPr>
        <w:t xml:space="preserve">, que es el </w:t>
      </w:r>
      <w:r w:rsidR="00530AAD" w:rsidRPr="00C14AE9">
        <w:rPr>
          <w:sz w:val="26"/>
          <w:szCs w:val="26"/>
          <w:lang w:val="es-ES"/>
        </w:rPr>
        <w:t>principio organizativo de las fuerzas armadas</w:t>
      </w:r>
      <w:r w:rsidR="00AA2189" w:rsidRPr="00C14AE9">
        <w:rPr>
          <w:sz w:val="26"/>
          <w:szCs w:val="26"/>
          <w:lang w:val="es-ES"/>
        </w:rPr>
        <w:t>.</w:t>
      </w:r>
    </w:p>
    <w:p w14:paraId="3F8AD70A" w14:textId="0C6F4D40" w:rsidR="00FA0BEB" w:rsidRPr="00C14AE9" w:rsidRDefault="00AB13D2" w:rsidP="00C14AE9">
      <w:pPr>
        <w:spacing w:line="360" w:lineRule="auto"/>
        <w:jc w:val="both"/>
        <w:rPr>
          <w:sz w:val="26"/>
          <w:szCs w:val="26"/>
          <w:lang w:val="es-ES"/>
        </w:rPr>
      </w:pPr>
      <w:r w:rsidRPr="00C14AE9">
        <w:rPr>
          <w:sz w:val="26"/>
          <w:szCs w:val="26"/>
          <w:lang w:val="es-ES"/>
        </w:rPr>
        <w:t>Con base en tales premisas</w:t>
      </w:r>
      <w:r w:rsidR="00FA0BEB" w:rsidRPr="00C14AE9">
        <w:rPr>
          <w:sz w:val="26"/>
          <w:szCs w:val="26"/>
          <w:lang w:val="es-ES"/>
        </w:rPr>
        <w:t>, la SCJN determin</w:t>
      </w:r>
      <w:r w:rsidRPr="00C14AE9">
        <w:rPr>
          <w:sz w:val="26"/>
          <w:szCs w:val="26"/>
          <w:lang w:val="es-ES"/>
        </w:rPr>
        <w:t>ó</w:t>
      </w:r>
      <w:r w:rsidR="00FA0BEB" w:rsidRPr="00C14AE9">
        <w:rPr>
          <w:sz w:val="26"/>
          <w:szCs w:val="26"/>
          <w:lang w:val="es-ES"/>
        </w:rPr>
        <w:t xml:space="preserve"> que el delito de homicidio</w:t>
      </w:r>
      <w:r w:rsidR="00E5091C" w:rsidRPr="00C14AE9">
        <w:rPr>
          <w:sz w:val="26"/>
          <w:szCs w:val="26"/>
          <w:lang w:val="es-ES"/>
        </w:rPr>
        <w:t>, aun cuando se haya verificado en el desarrollo de una actividad castrense dentro de las instalaciones militares y los sujetos activo y pasivo tenían esa calidad al momento de los hechos, no tiene un</w:t>
      </w:r>
      <w:r w:rsidR="00375324" w:rsidRPr="00C14AE9">
        <w:rPr>
          <w:sz w:val="26"/>
          <w:szCs w:val="26"/>
          <w:lang w:val="es-ES"/>
        </w:rPr>
        <w:t>a e</w:t>
      </w:r>
      <w:r w:rsidR="00FA0BEB" w:rsidRPr="00C14AE9">
        <w:rPr>
          <w:sz w:val="26"/>
          <w:szCs w:val="26"/>
          <w:lang w:val="es-ES"/>
        </w:rPr>
        <w:t>stricta conexión con la disciplina militar</w:t>
      </w:r>
      <w:r w:rsidR="00375324" w:rsidRPr="00C14AE9">
        <w:rPr>
          <w:sz w:val="26"/>
          <w:szCs w:val="26"/>
          <w:lang w:val="es-ES"/>
        </w:rPr>
        <w:t>. Ello se debe a que</w:t>
      </w:r>
      <w:r w:rsidR="00FA0BEB" w:rsidRPr="00C14AE9">
        <w:rPr>
          <w:sz w:val="26"/>
          <w:szCs w:val="26"/>
          <w:lang w:val="es-ES"/>
        </w:rPr>
        <w:t xml:space="preserve"> el bien jurídico que se pretende proteger es la vida, como uno de los bienes más preciados para el ser humano y para la sociedad, sin que guarde relación alguna con los bienes jurídicos propios del orden militar o con algún tipo de afectación a los mismos.</w:t>
      </w:r>
    </w:p>
    <w:p w14:paraId="79C10D97" w14:textId="3F64960A" w:rsidR="00375324" w:rsidRPr="00C14AE9" w:rsidRDefault="00375324" w:rsidP="00C14AE9">
      <w:pPr>
        <w:spacing w:line="360" w:lineRule="auto"/>
        <w:jc w:val="both"/>
        <w:rPr>
          <w:sz w:val="26"/>
          <w:szCs w:val="26"/>
          <w:lang w:val="es-ES"/>
        </w:rPr>
      </w:pPr>
      <w:r w:rsidRPr="00C14AE9">
        <w:rPr>
          <w:sz w:val="26"/>
          <w:szCs w:val="26"/>
          <w:lang w:val="es-ES"/>
        </w:rPr>
        <w:t>Tales consideraciones son adecuadas para</w:t>
      </w:r>
      <w:r w:rsidR="00014DCB" w:rsidRPr="00C14AE9">
        <w:rPr>
          <w:sz w:val="26"/>
          <w:szCs w:val="26"/>
          <w:lang w:val="es-ES"/>
        </w:rPr>
        <w:t xml:space="preserve"> determinar la competencia judicial de una conducta constitutiva de desaparición forzada</w:t>
      </w:r>
      <w:r w:rsidR="00DE0AC0" w:rsidRPr="00C14AE9">
        <w:rPr>
          <w:sz w:val="26"/>
          <w:szCs w:val="26"/>
          <w:lang w:val="es-ES"/>
        </w:rPr>
        <w:t xml:space="preserve"> aun cuando intervengan militares</w:t>
      </w:r>
      <w:r w:rsidR="00014DCB" w:rsidRPr="00C14AE9">
        <w:rPr>
          <w:sz w:val="26"/>
          <w:szCs w:val="26"/>
          <w:lang w:val="es-ES"/>
        </w:rPr>
        <w:t>, puesto que la SCJN ha dejado claro</w:t>
      </w:r>
      <w:r w:rsidR="00DE0AC0" w:rsidRPr="00C14AE9">
        <w:rPr>
          <w:sz w:val="26"/>
          <w:szCs w:val="26"/>
          <w:lang w:val="es-ES"/>
        </w:rPr>
        <w:t xml:space="preserve"> </w:t>
      </w:r>
      <w:r w:rsidR="004D7AA3" w:rsidRPr="00C14AE9">
        <w:rPr>
          <w:sz w:val="26"/>
          <w:szCs w:val="26"/>
          <w:lang w:val="es-ES"/>
        </w:rPr>
        <w:t>que</w:t>
      </w:r>
      <w:r w:rsidR="00DE0AC0" w:rsidRPr="00C14AE9">
        <w:rPr>
          <w:sz w:val="26"/>
          <w:szCs w:val="26"/>
          <w:lang w:val="es-ES"/>
        </w:rPr>
        <w:t xml:space="preserve"> la jurisdicción castrense</w:t>
      </w:r>
      <w:r w:rsidR="004D7AA3" w:rsidRPr="00C14AE9">
        <w:rPr>
          <w:sz w:val="26"/>
          <w:szCs w:val="26"/>
          <w:lang w:val="es-ES"/>
        </w:rPr>
        <w:t xml:space="preserve"> se limita a conductas que atentan contra la dis</w:t>
      </w:r>
      <w:r w:rsidR="00F02443" w:rsidRPr="00C14AE9">
        <w:rPr>
          <w:sz w:val="26"/>
          <w:szCs w:val="26"/>
          <w:lang w:val="es-ES"/>
        </w:rPr>
        <w:t>ciplina castrense</w:t>
      </w:r>
      <w:r w:rsidR="00DE0AC0" w:rsidRPr="00C14AE9">
        <w:rPr>
          <w:sz w:val="26"/>
          <w:szCs w:val="26"/>
          <w:lang w:val="es-ES"/>
        </w:rPr>
        <w:t>.</w:t>
      </w:r>
    </w:p>
    <w:p w14:paraId="4AC7A07D" w14:textId="31922D71" w:rsidR="00CF471A" w:rsidRPr="00C14AE9" w:rsidRDefault="007A534C" w:rsidP="00C14AE9">
      <w:pPr>
        <w:spacing w:line="360" w:lineRule="auto"/>
        <w:jc w:val="both"/>
        <w:rPr>
          <w:sz w:val="26"/>
          <w:szCs w:val="26"/>
          <w:lang w:val="es-ES"/>
        </w:rPr>
      </w:pPr>
      <w:r w:rsidRPr="00C14AE9">
        <w:rPr>
          <w:sz w:val="26"/>
          <w:szCs w:val="26"/>
          <w:lang w:val="es-ES"/>
        </w:rPr>
        <w:t>Por otro lado,</w:t>
      </w:r>
      <w:r w:rsidR="00CF471A" w:rsidRPr="00C14AE9">
        <w:rPr>
          <w:sz w:val="26"/>
          <w:szCs w:val="26"/>
          <w:lang w:val="es-ES"/>
        </w:rPr>
        <w:t xml:space="preserve"> el Comité ha recomendado al Estado redoblar sus esfuerzos con miras a asegurar que, cuando haya motivos razonables para creer que una persona ha sido sometida a desaparición forzada, se proceda a realizar sin demora una investigación exhaustiva e imparcial.</w:t>
      </w:r>
    </w:p>
    <w:p w14:paraId="0F98D045" w14:textId="538650A2" w:rsidR="00CF471A" w:rsidRPr="00C14AE9" w:rsidRDefault="00CF471A" w:rsidP="00C14AE9">
      <w:pPr>
        <w:spacing w:line="360" w:lineRule="auto"/>
        <w:jc w:val="both"/>
        <w:rPr>
          <w:sz w:val="26"/>
          <w:szCs w:val="26"/>
          <w:lang w:val="es-ES"/>
        </w:rPr>
      </w:pPr>
      <w:r w:rsidRPr="00C14AE9">
        <w:rPr>
          <w:sz w:val="26"/>
          <w:szCs w:val="26"/>
          <w:lang w:val="es-ES"/>
        </w:rPr>
        <w:t>Para cumplir tales obligaciones desde el ámbito de su competencia, es notable lo resuelto por</w:t>
      </w:r>
      <w:r w:rsidR="007A534C" w:rsidRPr="00C14AE9">
        <w:rPr>
          <w:sz w:val="26"/>
          <w:szCs w:val="26"/>
          <w:lang w:val="es-ES"/>
        </w:rPr>
        <w:t xml:space="preserve"> la SCJN al resolver la </w:t>
      </w:r>
      <w:r w:rsidR="007A534C" w:rsidRPr="00C14AE9">
        <w:rPr>
          <w:i/>
          <w:iCs/>
          <w:sz w:val="26"/>
          <w:szCs w:val="26"/>
          <w:lang w:val="es-ES"/>
        </w:rPr>
        <w:t>Contradicción de Tesis 261/2018</w:t>
      </w:r>
      <w:r w:rsidRPr="00C14AE9">
        <w:rPr>
          <w:i/>
          <w:iCs/>
          <w:sz w:val="26"/>
          <w:szCs w:val="26"/>
          <w:lang w:val="es-ES"/>
        </w:rPr>
        <w:t xml:space="preserve">. </w:t>
      </w:r>
      <w:r w:rsidRPr="00C14AE9">
        <w:rPr>
          <w:sz w:val="26"/>
          <w:szCs w:val="26"/>
          <w:lang w:val="es-ES"/>
        </w:rPr>
        <w:t>En ésta</w:t>
      </w:r>
      <w:r w:rsidR="007A534C" w:rsidRPr="00C14AE9">
        <w:rPr>
          <w:i/>
          <w:iCs/>
          <w:sz w:val="26"/>
          <w:szCs w:val="26"/>
          <w:lang w:val="es-ES"/>
        </w:rPr>
        <w:t xml:space="preserve"> </w:t>
      </w:r>
      <w:r w:rsidR="007A534C" w:rsidRPr="00C14AE9">
        <w:rPr>
          <w:sz w:val="26"/>
          <w:szCs w:val="26"/>
          <w:lang w:val="es-ES"/>
        </w:rPr>
        <w:t xml:space="preserve">determinó que la persona juzgadora de amparo competente para conocer de una demanda en la que se reclame una desaparición forzada </w:t>
      </w:r>
      <w:r w:rsidR="001E140D" w:rsidRPr="00C14AE9">
        <w:rPr>
          <w:sz w:val="26"/>
          <w:szCs w:val="26"/>
          <w:lang w:val="es-ES"/>
        </w:rPr>
        <w:t>es aquella ante quien se presenta la demanda, toda vez que no es factible exigirle a</w:t>
      </w:r>
      <w:r w:rsidRPr="00C14AE9">
        <w:rPr>
          <w:sz w:val="26"/>
          <w:szCs w:val="26"/>
          <w:lang w:val="es-ES"/>
        </w:rPr>
        <w:t xml:space="preserve"> la parte quejosa </w:t>
      </w:r>
      <w:r w:rsidR="001E140D" w:rsidRPr="00C14AE9">
        <w:rPr>
          <w:sz w:val="26"/>
          <w:szCs w:val="26"/>
          <w:lang w:val="es-ES"/>
        </w:rPr>
        <w:t xml:space="preserve">que </w:t>
      </w:r>
      <w:r w:rsidR="001E140D" w:rsidRPr="00C14AE9">
        <w:rPr>
          <w:sz w:val="26"/>
          <w:szCs w:val="26"/>
          <w:lang w:val="es-ES"/>
        </w:rPr>
        <w:lastRenderedPageBreak/>
        <w:t>precise con toda certeza, al presentar la demanda de amparo, quiénes son las autoridades responsables o el lugar en donde se está ejecutando el delito.</w:t>
      </w:r>
    </w:p>
    <w:p w14:paraId="5DD8BFC3" w14:textId="1DCDB6A7" w:rsidR="00714232" w:rsidRPr="00C14AE9" w:rsidRDefault="001E140D" w:rsidP="00C14AE9">
      <w:pPr>
        <w:spacing w:line="360" w:lineRule="auto"/>
        <w:jc w:val="both"/>
        <w:rPr>
          <w:sz w:val="26"/>
          <w:szCs w:val="26"/>
          <w:lang w:val="es-ES"/>
        </w:rPr>
      </w:pPr>
      <w:r w:rsidRPr="00C14AE9">
        <w:rPr>
          <w:sz w:val="26"/>
          <w:szCs w:val="26"/>
          <w:lang w:val="es-ES"/>
        </w:rPr>
        <w:t xml:space="preserve"> Lo anterior parte de que una de las características de la desaparición forzada de personas es la falta de información respecto al paradero o suerte de la víctima. En ese sentido, está la posibilidad de que la misma, al tener un carácter continuo, se esté ejecutando en más de un distrito judicial, o bien se empezó a ejecutar en uno y continúa su ejecución en otro.</w:t>
      </w:r>
    </w:p>
    <w:p w14:paraId="7575E476" w14:textId="68B10001" w:rsidR="004874C9" w:rsidRPr="001A5748" w:rsidRDefault="004874C9" w:rsidP="001A5748">
      <w:pPr>
        <w:pStyle w:val="Prrafodelista"/>
        <w:numPr>
          <w:ilvl w:val="0"/>
          <w:numId w:val="7"/>
        </w:numPr>
        <w:spacing w:line="360" w:lineRule="auto"/>
        <w:jc w:val="both"/>
        <w:rPr>
          <w:sz w:val="26"/>
          <w:szCs w:val="26"/>
        </w:rPr>
      </w:pPr>
      <w:r w:rsidRPr="001A5748">
        <w:rPr>
          <w:sz w:val="26"/>
          <w:szCs w:val="26"/>
        </w:rPr>
        <w:t>Medidas para prevenir desapariciones</w:t>
      </w:r>
    </w:p>
    <w:p w14:paraId="695A1721" w14:textId="034A55C2" w:rsidR="004874C9" w:rsidRPr="00C14AE9" w:rsidRDefault="004874C9" w:rsidP="00C14AE9">
      <w:pPr>
        <w:spacing w:line="360" w:lineRule="auto"/>
        <w:jc w:val="both"/>
        <w:rPr>
          <w:sz w:val="26"/>
          <w:szCs w:val="26"/>
          <w:lang w:val="es-ES"/>
        </w:rPr>
      </w:pPr>
      <w:r w:rsidRPr="00C14AE9">
        <w:rPr>
          <w:sz w:val="26"/>
          <w:szCs w:val="26"/>
          <w:lang w:val="es-ES"/>
        </w:rPr>
        <w:t xml:space="preserve">El Comité </w:t>
      </w:r>
      <w:r w:rsidR="00D74B02" w:rsidRPr="00C14AE9">
        <w:rPr>
          <w:sz w:val="26"/>
          <w:szCs w:val="26"/>
          <w:lang w:val="es-ES"/>
        </w:rPr>
        <w:t xml:space="preserve">ha </w:t>
      </w:r>
      <w:r w:rsidRPr="00C14AE9">
        <w:rPr>
          <w:sz w:val="26"/>
          <w:szCs w:val="26"/>
          <w:lang w:val="es-ES"/>
        </w:rPr>
        <w:t>insta</w:t>
      </w:r>
      <w:r w:rsidR="00D74B02" w:rsidRPr="00C14AE9">
        <w:rPr>
          <w:sz w:val="26"/>
          <w:szCs w:val="26"/>
          <w:lang w:val="es-ES"/>
        </w:rPr>
        <w:t>do</w:t>
      </w:r>
      <w:r w:rsidRPr="00C14AE9">
        <w:rPr>
          <w:sz w:val="26"/>
          <w:szCs w:val="26"/>
          <w:lang w:val="es-ES"/>
        </w:rPr>
        <w:t xml:space="preserve"> al Estado parte a fortalecer a las fuerzas civiles del orden y a establecer un plan de retiro gradual, ordenado y verificable de las fuerzas militares de las tareas de seguridad pública. Además, recomienda al Estado parte adoptar un marco normativo que regule el uso de la fuerza por los agentes de las fuerzas del orden, compatible con el derecho internacional de los derechos humanos y los estándares internacionales.</w:t>
      </w:r>
    </w:p>
    <w:p w14:paraId="46DA2F57" w14:textId="6D57DAEC" w:rsidR="00B47C95" w:rsidRPr="00C14AE9" w:rsidRDefault="008C1A83" w:rsidP="00C14AE9">
      <w:pPr>
        <w:spacing w:line="360" w:lineRule="auto"/>
        <w:jc w:val="both"/>
        <w:rPr>
          <w:sz w:val="26"/>
          <w:szCs w:val="26"/>
          <w:lang w:val="es-ES"/>
        </w:rPr>
      </w:pPr>
      <w:r w:rsidRPr="00C14AE9">
        <w:rPr>
          <w:sz w:val="26"/>
          <w:szCs w:val="26"/>
          <w:lang w:val="es-ES"/>
        </w:rPr>
        <w:t xml:space="preserve">En relación con la participación de </w:t>
      </w:r>
      <w:r w:rsidR="00BD5831" w:rsidRPr="00C14AE9">
        <w:rPr>
          <w:sz w:val="26"/>
          <w:szCs w:val="26"/>
          <w:lang w:val="es-ES"/>
        </w:rPr>
        <w:t>las fuerzas castrenses en las tareas de seguridad pública, la SCJN</w:t>
      </w:r>
      <w:r w:rsidR="00B47C95" w:rsidRPr="00C14AE9">
        <w:rPr>
          <w:sz w:val="26"/>
          <w:szCs w:val="26"/>
          <w:lang w:val="es-ES"/>
        </w:rPr>
        <w:t>, al resolver</w:t>
      </w:r>
      <w:r w:rsidR="009A15C0" w:rsidRPr="00C14AE9">
        <w:rPr>
          <w:sz w:val="26"/>
          <w:szCs w:val="26"/>
          <w:lang w:val="es-ES"/>
        </w:rPr>
        <w:t xml:space="preserve"> la </w:t>
      </w:r>
      <w:r w:rsidR="009A15C0" w:rsidRPr="00C14AE9">
        <w:rPr>
          <w:i/>
          <w:iCs/>
          <w:sz w:val="26"/>
          <w:szCs w:val="26"/>
          <w:lang w:val="es-ES"/>
        </w:rPr>
        <w:t>Acción de Inconstitucionalidad 6/2018 y sus acumuladas 8/2018, 9/2018, 10/2018 y 11/2018</w:t>
      </w:r>
      <w:r w:rsidR="009A15C0" w:rsidRPr="00C14AE9">
        <w:rPr>
          <w:sz w:val="26"/>
          <w:szCs w:val="26"/>
          <w:lang w:val="es-ES"/>
        </w:rPr>
        <w:t>, estableció consideraciones importantes sobre el tema.</w:t>
      </w:r>
    </w:p>
    <w:p w14:paraId="5D4C3EFB" w14:textId="29C92706" w:rsidR="000B3F61" w:rsidRPr="00C14AE9" w:rsidRDefault="00E459A0" w:rsidP="00C14AE9">
      <w:pPr>
        <w:spacing w:line="360" w:lineRule="auto"/>
        <w:jc w:val="both"/>
        <w:rPr>
          <w:sz w:val="26"/>
          <w:szCs w:val="26"/>
        </w:rPr>
      </w:pPr>
      <w:r w:rsidRPr="00C14AE9">
        <w:rPr>
          <w:sz w:val="26"/>
          <w:szCs w:val="26"/>
          <w:lang w:val="es-ES"/>
        </w:rPr>
        <w:t>Se estableció que, según los artículos 21, 89 y 129</w:t>
      </w:r>
      <w:r w:rsidR="006C0FC6" w:rsidRPr="00C14AE9">
        <w:rPr>
          <w:sz w:val="26"/>
          <w:szCs w:val="26"/>
          <w:lang w:val="es-ES"/>
        </w:rPr>
        <w:t xml:space="preserve"> constitucionales</w:t>
      </w:r>
      <w:r w:rsidR="00D20520" w:rsidRPr="00C14AE9">
        <w:rPr>
          <w:sz w:val="26"/>
          <w:szCs w:val="26"/>
          <w:lang w:val="es-ES"/>
        </w:rPr>
        <w:t xml:space="preserve">, </w:t>
      </w:r>
      <w:r w:rsidR="00307ECD" w:rsidRPr="00C14AE9">
        <w:rPr>
          <w:sz w:val="26"/>
          <w:szCs w:val="26"/>
          <w:lang w:val="es-ES"/>
        </w:rPr>
        <w:t>hay ciertos casos en que las Fuerzas Armadas pueden intervenir en seguridad pública, pero esto es de manera excepcional, en auxilio de las autoridades civiles y de manera temporal.</w:t>
      </w:r>
      <w:r w:rsidR="00564BBB" w:rsidRPr="00C14AE9">
        <w:rPr>
          <w:sz w:val="26"/>
          <w:szCs w:val="26"/>
          <w:lang w:val="es-ES"/>
        </w:rPr>
        <w:t xml:space="preserve"> Al respecto, la SCJN ha </w:t>
      </w:r>
      <w:r w:rsidR="000B3F61" w:rsidRPr="00C14AE9">
        <w:rPr>
          <w:sz w:val="26"/>
          <w:szCs w:val="26"/>
          <w:lang w:val="es-ES"/>
        </w:rPr>
        <w:t>compartido los criterios de</w:t>
      </w:r>
      <w:r w:rsidR="00746158" w:rsidRPr="00C14AE9">
        <w:rPr>
          <w:sz w:val="26"/>
          <w:szCs w:val="26"/>
          <w:lang w:val="es-ES"/>
        </w:rPr>
        <w:t xml:space="preserve"> la Corte </w:t>
      </w:r>
      <w:r w:rsidR="000B3F61" w:rsidRPr="00C14AE9">
        <w:rPr>
          <w:sz w:val="26"/>
          <w:szCs w:val="26"/>
          <w:lang w:val="es-ES"/>
        </w:rPr>
        <w:t xml:space="preserve">Interamericana de Derechos Humanos (Corte IDH), en el sentido de que </w:t>
      </w:r>
      <w:r w:rsidR="000B3F61" w:rsidRPr="00C14AE9">
        <w:rPr>
          <w:sz w:val="26"/>
          <w:szCs w:val="26"/>
        </w:rPr>
        <w:t xml:space="preserve">el uso de fuerzas militares se permite para atender problemas de seguridad ciudadana, siempre y cuando siga una lógica de </w:t>
      </w:r>
      <w:r w:rsidR="000B3F61" w:rsidRPr="00C14AE9">
        <w:rPr>
          <w:i/>
          <w:iCs/>
          <w:sz w:val="26"/>
          <w:szCs w:val="26"/>
        </w:rPr>
        <w:t>ultima ratio</w:t>
      </w:r>
      <w:r w:rsidR="000B3F61" w:rsidRPr="00C14AE9">
        <w:rPr>
          <w:sz w:val="26"/>
          <w:szCs w:val="26"/>
        </w:rPr>
        <w:t xml:space="preserve"> y se encuentre limitada por ciertos parámetros.</w:t>
      </w:r>
    </w:p>
    <w:p w14:paraId="24EAE254" w14:textId="71EA39F9" w:rsidR="00BE4600" w:rsidRPr="00C14AE9" w:rsidRDefault="00BE4600" w:rsidP="00C14AE9">
      <w:pPr>
        <w:spacing w:line="360" w:lineRule="auto"/>
        <w:jc w:val="both"/>
        <w:rPr>
          <w:sz w:val="26"/>
          <w:szCs w:val="26"/>
        </w:rPr>
      </w:pPr>
      <w:r w:rsidRPr="00C14AE9">
        <w:rPr>
          <w:sz w:val="26"/>
          <w:szCs w:val="26"/>
        </w:rPr>
        <w:lastRenderedPageBreak/>
        <w:t xml:space="preserve">En ese sentido, </w:t>
      </w:r>
      <w:r w:rsidR="00BF7844" w:rsidRPr="00C14AE9">
        <w:rPr>
          <w:sz w:val="26"/>
          <w:szCs w:val="26"/>
        </w:rPr>
        <w:t xml:space="preserve">en tal asunto </w:t>
      </w:r>
      <w:r w:rsidRPr="00C14AE9">
        <w:rPr>
          <w:sz w:val="26"/>
          <w:szCs w:val="26"/>
        </w:rPr>
        <w:t>la SCJN sost</w:t>
      </w:r>
      <w:r w:rsidR="00BF7844" w:rsidRPr="00C14AE9">
        <w:rPr>
          <w:sz w:val="26"/>
          <w:szCs w:val="26"/>
        </w:rPr>
        <w:t xml:space="preserve">uvo </w:t>
      </w:r>
      <w:r w:rsidRPr="00C14AE9">
        <w:rPr>
          <w:sz w:val="26"/>
          <w:szCs w:val="26"/>
        </w:rPr>
        <w:t>que</w:t>
      </w:r>
      <w:r w:rsidR="00CA1AD6" w:rsidRPr="00C14AE9">
        <w:rPr>
          <w:sz w:val="26"/>
          <w:szCs w:val="26"/>
        </w:rPr>
        <w:t xml:space="preserve"> dicha intervención debe ser extraordinaria; subordinada y complementaria a las labores</w:t>
      </w:r>
      <w:r w:rsidR="00BF7844" w:rsidRPr="00C14AE9">
        <w:rPr>
          <w:sz w:val="26"/>
          <w:szCs w:val="26"/>
        </w:rPr>
        <w:t xml:space="preserve"> de los cuerpos de seguridad civiles; regulada en ley y mediante protocolos de uso de la fuerza, y fiscalizada por órganos civiles.</w:t>
      </w:r>
    </w:p>
    <w:p w14:paraId="0E2D0299" w14:textId="5944CFEC" w:rsidR="001224D9" w:rsidRPr="00C14AE9" w:rsidRDefault="005A23B8" w:rsidP="00C14AE9">
      <w:pPr>
        <w:spacing w:line="360" w:lineRule="auto"/>
        <w:jc w:val="both"/>
        <w:rPr>
          <w:sz w:val="26"/>
          <w:szCs w:val="26"/>
        </w:rPr>
      </w:pPr>
      <w:r w:rsidRPr="00C14AE9">
        <w:rPr>
          <w:sz w:val="26"/>
          <w:szCs w:val="26"/>
        </w:rPr>
        <w:t>Ahora bien, en relación</w:t>
      </w:r>
      <w:r w:rsidR="00AA4A1F" w:rsidRPr="00C14AE9">
        <w:rPr>
          <w:sz w:val="26"/>
          <w:szCs w:val="26"/>
        </w:rPr>
        <w:t xml:space="preserve"> con la normatividad sobre el uso de la fuerza, </w:t>
      </w:r>
      <w:r w:rsidR="00494160" w:rsidRPr="00C14AE9">
        <w:rPr>
          <w:sz w:val="26"/>
          <w:szCs w:val="26"/>
        </w:rPr>
        <w:t xml:space="preserve">al conocer de la </w:t>
      </w:r>
      <w:r w:rsidR="00494160" w:rsidRPr="00C14AE9">
        <w:rPr>
          <w:i/>
          <w:iCs/>
          <w:sz w:val="26"/>
          <w:szCs w:val="26"/>
        </w:rPr>
        <w:t xml:space="preserve">Acción de Inconstitucionalidad </w:t>
      </w:r>
      <w:r w:rsidR="008C1A5A" w:rsidRPr="00C14AE9">
        <w:rPr>
          <w:i/>
          <w:iCs/>
          <w:sz w:val="26"/>
          <w:szCs w:val="26"/>
        </w:rPr>
        <w:t>25/2016</w:t>
      </w:r>
      <w:r w:rsidR="008C1A5A" w:rsidRPr="00C14AE9">
        <w:rPr>
          <w:sz w:val="26"/>
          <w:szCs w:val="26"/>
        </w:rPr>
        <w:t xml:space="preserve">, la SCJN ha establecido cuáles son los principios rectores del uso </w:t>
      </w:r>
      <w:r w:rsidR="001224D9" w:rsidRPr="00C14AE9">
        <w:rPr>
          <w:sz w:val="26"/>
          <w:szCs w:val="26"/>
        </w:rPr>
        <w:t>de la fuerza: legalidad, finalidad legítima, absoluta necesidad, proporcionalidad y precaución. Para que el uso de la fuerza por los agentes del Estado sea legítimo, tales principios deben respetarse plenamente. Además, la evaluación de legitimidad del empleo de la fuerza deberá hacerse sobre todas las circunstancias y el contexto de los hechos.</w:t>
      </w:r>
    </w:p>
    <w:p w14:paraId="68FF401B" w14:textId="407BF492" w:rsidR="001E140D" w:rsidRPr="00C14AE9" w:rsidRDefault="000751D0" w:rsidP="00C14AE9">
      <w:pPr>
        <w:spacing w:line="360" w:lineRule="auto"/>
        <w:jc w:val="both"/>
        <w:rPr>
          <w:sz w:val="26"/>
          <w:szCs w:val="26"/>
        </w:rPr>
      </w:pPr>
      <w:r w:rsidRPr="00C14AE9">
        <w:rPr>
          <w:sz w:val="26"/>
          <w:szCs w:val="26"/>
        </w:rPr>
        <w:t>Asimismo, en tal</w:t>
      </w:r>
      <w:r w:rsidR="00D43152" w:rsidRPr="00C14AE9">
        <w:rPr>
          <w:sz w:val="26"/>
          <w:szCs w:val="26"/>
        </w:rPr>
        <w:t xml:space="preserve"> asunto, la SCJN determinó que la aplicación de tales principios ha tenido un desarrollo particular en el contexto de manifestaciones sociales.</w:t>
      </w:r>
      <w:r w:rsidR="00371DFB" w:rsidRPr="00C14AE9">
        <w:rPr>
          <w:sz w:val="26"/>
          <w:szCs w:val="26"/>
        </w:rPr>
        <w:t xml:space="preserve"> Lo anterior parte de que</w:t>
      </w:r>
      <w:r w:rsidR="007F548E" w:rsidRPr="00C14AE9">
        <w:rPr>
          <w:sz w:val="26"/>
          <w:szCs w:val="26"/>
        </w:rPr>
        <w:t xml:space="preserve"> </w:t>
      </w:r>
      <w:r w:rsidR="00371DFB" w:rsidRPr="00C14AE9">
        <w:rPr>
          <w:sz w:val="26"/>
          <w:szCs w:val="26"/>
        </w:rPr>
        <w:t>existe una presunción general positiva en favor del ejercicio del derecho a participar en manifestaciones públicas.</w:t>
      </w:r>
      <w:r w:rsidR="007F548E" w:rsidRPr="00C14AE9">
        <w:rPr>
          <w:sz w:val="26"/>
          <w:szCs w:val="26"/>
        </w:rPr>
        <w:t xml:space="preserve"> En ese sentido, la SCJN ha estimado que una fórmula clara para denotar la legitimidad del empleo de la fuerza radica en que ésta no constituya el denominador común para dispersar manifestaciones, sino la excepción y el último recurso.</w:t>
      </w:r>
    </w:p>
    <w:p w14:paraId="184B9C50" w14:textId="5E5BBE6D" w:rsidR="001E140D" w:rsidRPr="001A5748" w:rsidRDefault="001E140D" w:rsidP="001A5748">
      <w:pPr>
        <w:pStyle w:val="Prrafodelista"/>
        <w:numPr>
          <w:ilvl w:val="0"/>
          <w:numId w:val="7"/>
        </w:numPr>
        <w:spacing w:line="360" w:lineRule="auto"/>
        <w:jc w:val="both"/>
        <w:rPr>
          <w:sz w:val="26"/>
          <w:szCs w:val="26"/>
        </w:rPr>
      </w:pPr>
      <w:r w:rsidRPr="001A5748">
        <w:rPr>
          <w:sz w:val="26"/>
          <w:szCs w:val="26"/>
        </w:rPr>
        <w:t>Registro de personas sometidas a desaparición forzada</w:t>
      </w:r>
    </w:p>
    <w:p w14:paraId="00A5488C" w14:textId="049AAFB8" w:rsidR="00560F4E" w:rsidRPr="00C14AE9" w:rsidRDefault="00560F4E" w:rsidP="00C14AE9">
      <w:pPr>
        <w:spacing w:line="360" w:lineRule="auto"/>
        <w:jc w:val="both"/>
        <w:rPr>
          <w:sz w:val="26"/>
          <w:szCs w:val="26"/>
        </w:rPr>
      </w:pPr>
      <w:r w:rsidRPr="00C14AE9">
        <w:rPr>
          <w:sz w:val="26"/>
          <w:szCs w:val="26"/>
        </w:rPr>
        <w:t>El Comité ha señalado que el Estado mexicano debería adoptar las medidas necesarias para contar con un registro de personas desaparecidas que permita emprender acciones encaminadas a prevenir, investigar, sancionar y erradicar tal delito.</w:t>
      </w:r>
    </w:p>
    <w:p w14:paraId="3D53E143" w14:textId="6AA2F539" w:rsidR="00560F4E" w:rsidRPr="00C14AE9" w:rsidRDefault="00560F4E" w:rsidP="00C14AE9">
      <w:pPr>
        <w:spacing w:line="360" w:lineRule="auto"/>
        <w:jc w:val="both"/>
        <w:rPr>
          <w:sz w:val="26"/>
          <w:szCs w:val="26"/>
        </w:rPr>
      </w:pPr>
      <w:r w:rsidRPr="00C14AE9">
        <w:rPr>
          <w:sz w:val="26"/>
          <w:szCs w:val="26"/>
        </w:rPr>
        <w:t xml:space="preserve">Sobre lo anterior, cabe resaltar que, al </w:t>
      </w:r>
      <w:r w:rsidR="002D5E56" w:rsidRPr="00C14AE9">
        <w:rPr>
          <w:sz w:val="26"/>
          <w:szCs w:val="26"/>
        </w:rPr>
        <w:t xml:space="preserve">resolver el </w:t>
      </w:r>
      <w:r w:rsidR="002D5E56" w:rsidRPr="00C14AE9">
        <w:rPr>
          <w:i/>
          <w:iCs/>
          <w:sz w:val="26"/>
          <w:szCs w:val="26"/>
        </w:rPr>
        <w:t>Amparo en Revisión 934/2016</w:t>
      </w:r>
      <w:r w:rsidR="002D5E56" w:rsidRPr="00C14AE9">
        <w:rPr>
          <w:sz w:val="26"/>
          <w:szCs w:val="26"/>
        </w:rPr>
        <w:t>, la SCJN determinó que</w:t>
      </w:r>
      <w:r w:rsidR="000C0702" w:rsidRPr="00C14AE9">
        <w:rPr>
          <w:sz w:val="26"/>
          <w:szCs w:val="26"/>
        </w:rPr>
        <w:t>,</w:t>
      </w:r>
      <w:r w:rsidR="002D5E56" w:rsidRPr="00C14AE9">
        <w:rPr>
          <w:sz w:val="26"/>
          <w:szCs w:val="26"/>
        </w:rPr>
        <w:t xml:space="preserve"> tratándose de violaciones graves de derechos humanos, como </w:t>
      </w:r>
      <w:r w:rsidR="002D5E56" w:rsidRPr="00C14AE9">
        <w:rPr>
          <w:sz w:val="26"/>
          <w:szCs w:val="26"/>
        </w:rPr>
        <w:lastRenderedPageBreak/>
        <w:t>es la desaparición forzada, deberá regir el principio de máxima publicidad en las averiguaciones previas, lo que se hace extensivo a los nombres de las víctimas.</w:t>
      </w:r>
    </w:p>
    <w:p w14:paraId="63B890DE" w14:textId="55C8AE5F" w:rsidR="000C0702" w:rsidRPr="00C14AE9" w:rsidRDefault="002D5E56" w:rsidP="00C14AE9">
      <w:pPr>
        <w:spacing w:line="360" w:lineRule="auto"/>
        <w:jc w:val="both"/>
        <w:rPr>
          <w:sz w:val="26"/>
          <w:szCs w:val="26"/>
        </w:rPr>
      </w:pPr>
      <w:r w:rsidRPr="00C14AE9">
        <w:rPr>
          <w:sz w:val="26"/>
          <w:szCs w:val="26"/>
        </w:rPr>
        <w:t xml:space="preserve">Ello atiende a que la desaparición forzada es una conducta que constituye una violación grave de derechos humanos, cuya investigación debe ser accesible para las víctimas. </w:t>
      </w:r>
      <w:r w:rsidR="000C0702" w:rsidRPr="00C14AE9">
        <w:rPr>
          <w:sz w:val="26"/>
          <w:szCs w:val="26"/>
        </w:rPr>
        <w:t>De este modo, el principio de publicidad en esos casos, en relación con los nombres de las víctimas, debe verse como parte integral del derecho a la verdad, y no se relaciona únicamente con los familiares de las víctimas, sino con toda la sociedad. Además, la SCJN sostuvo que trasladar de una simple estadística a un nombre o rostro permite adquirir verdadera conciencia de lo que vivieron las víctimas, dignificando su memoria y evitando que sean olvidadas.</w:t>
      </w:r>
    </w:p>
    <w:p w14:paraId="4CE8D0A1" w14:textId="77777777" w:rsidR="00D74B02" w:rsidRPr="001A5748" w:rsidRDefault="00D74B02" w:rsidP="001A5748">
      <w:pPr>
        <w:pStyle w:val="Prrafodelista"/>
        <w:numPr>
          <w:ilvl w:val="0"/>
          <w:numId w:val="7"/>
        </w:numPr>
        <w:spacing w:line="360" w:lineRule="auto"/>
        <w:jc w:val="both"/>
        <w:rPr>
          <w:sz w:val="26"/>
          <w:szCs w:val="26"/>
        </w:rPr>
      </w:pPr>
      <w:r w:rsidRPr="001A5748">
        <w:rPr>
          <w:sz w:val="26"/>
          <w:szCs w:val="26"/>
        </w:rPr>
        <w:t>Formación de personal relacionado con casos de desaparición forzada</w:t>
      </w:r>
    </w:p>
    <w:p w14:paraId="1A989ABD" w14:textId="10DCDDFE" w:rsidR="00D74B02" w:rsidRPr="00C14AE9" w:rsidRDefault="00D74B02" w:rsidP="00C14AE9">
      <w:pPr>
        <w:spacing w:line="360" w:lineRule="auto"/>
        <w:jc w:val="both"/>
        <w:rPr>
          <w:sz w:val="26"/>
          <w:szCs w:val="26"/>
          <w:lang w:val="es-ES"/>
        </w:rPr>
      </w:pPr>
      <w:r w:rsidRPr="00C14AE9">
        <w:rPr>
          <w:sz w:val="26"/>
          <w:szCs w:val="26"/>
          <w:lang w:val="es-ES"/>
        </w:rPr>
        <w:t xml:space="preserve">El Comité ha recomendado que el Estado parte adopte las medidas necesarias para asegurar que todo el personal militar o civil encargado de la aplicación de la ley, incluidos </w:t>
      </w:r>
      <w:proofErr w:type="gramStart"/>
      <w:r w:rsidRPr="00C14AE9">
        <w:rPr>
          <w:sz w:val="26"/>
          <w:szCs w:val="26"/>
          <w:lang w:val="es-ES"/>
        </w:rPr>
        <w:t xml:space="preserve">los jueces </w:t>
      </w:r>
      <w:r w:rsidR="005511BC">
        <w:rPr>
          <w:sz w:val="26"/>
          <w:szCs w:val="26"/>
          <w:lang w:val="es-ES"/>
        </w:rPr>
        <w:t>y</w:t>
      </w:r>
      <w:r w:rsidRPr="00C14AE9">
        <w:rPr>
          <w:sz w:val="26"/>
          <w:szCs w:val="26"/>
          <w:lang w:val="es-ES"/>
        </w:rPr>
        <w:t xml:space="preserve"> juezas</w:t>
      </w:r>
      <w:proofErr w:type="gramEnd"/>
      <w:r w:rsidRPr="00C14AE9">
        <w:rPr>
          <w:sz w:val="26"/>
          <w:szCs w:val="26"/>
          <w:lang w:val="es-ES"/>
        </w:rPr>
        <w:t>, así como otros funcionarios encargados de la administración de justicia, reciban formación adecuada y regular acerca de las disposiciones de la Convención.</w:t>
      </w:r>
    </w:p>
    <w:p w14:paraId="0B86590B" w14:textId="6D7361E0" w:rsidR="00A67E39" w:rsidRPr="00C14AE9" w:rsidRDefault="00A67E39" w:rsidP="00C14AE9">
      <w:pPr>
        <w:spacing w:line="360" w:lineRule="auto"/>
        <w:jc w:val="both"/>
        <w:rPr>
          <w:sz w:val="26"/>
          <w:szCs w:val="26"/>
          <w:lang w:val="es-ES"/>
        </w:rPr>
      </w:pPr>
      <w:r w:rsidRPr="00C14AE9">
        <w:rPr>
          <w:sz w:val="26"/>
          <w:szCs w:val="26"/>
          <w:lang w:val="es-ES"/>
        </w:rPr>
        <w:t>En línea con ello, la SCJN, a través de la Dirección General de Derechos Humanos</w:t>
      </w:r>
      <w:r w:rsidR="004330D3" w:rsidRPr="00C14AE9">
        <w:rPr>
          <w:sz w:val="26"/>
          <w:szCs w:val="26"/>
          <w:lang w:val="es-ES"/>
        </w:rPr>
        <w:t>,</w:t>
      </w:r>
      <w:r w:rsidRPr="00C14AE9">
        <w:rPr>
          <w:sz w:val="26"/>
          <w:szCs w:val="26"/>
          <w:lang w:val="es-ES"/>
        </w:rPr>
        <w:t xml:space="preserve"> ha emprendido iniciativas orientadas a la formación y difusión de dicho tema en el ámbito del Poder Judicial de la Federación. Cabe resaltar las siguientes acciones:</w:t>
      </w:r>
    </w:p>
    <w:p w14:paraId="2B37EC18" w14:textId="30D2489E" w:rsidR="005E05CC" w:rsidRPr="00C14AE9" w:rsidRDefault="00A67E39" w:rsidP="00C14AE9">
      <w:pPr>
        <w:pStyle w:val="Prrafodelista"/>
        <w:numPr>
          <w:ilvl w:val="0"/>
          <w:numId w:val="5"/>
        </w:numPr>
        <w:spacing w:line="360" w:lineRule="auto"/>
        <w:jc w:val="both"/>
        <w:rPr>
          <w:sz w:val="26"/>
          <w:szCs w:val="26"/>
          <w:lang w:val="es-ES"/>
        </w:rPr>
      </w:pPr>
      <w:r w:rsidRPr="00C14AE9">
        <w:rPr>
          <w:sz w:val="26"/>
          <w:szCs w:val="26"/>
          <w:lang w:val="es-ES"/>
        </w:rPr>
        <w:t xml:space="preserve">Curso Virtual </w:t>
      </w:r>
      <w:r w:rsidRPr="00C14AE9">
        <w:rPr>
          <w:i/>
          <w:iCs/>
          <w:sz w:val="26"/>
          <w:szCs w:val="26"/>
          <w:lang w:val="es-ES"/>
        </w:rPr>
        <w:t>Acciones Urgentes del Comité de la ONU contra la Desaparición Forzada</w:t>
      </w:r>
      <w:r w:rsidRPr="00C14AE9">
        <w:rPr>
          <w:sz w:val="26"/>
          <w:szCs w:val="26"/>
          <w:lang w:val="es-ES"/>
        </w:rPr>
        <w:t xml:space="preserve">. Realizado el 29 de enero de 2021, con el objetivo de dar a conocer el mandato del Comité y su facultad de emitir acciones urgentes. Impartido por </w:t>
      </w:r>
      <w:proofErr w:type="spellStart"/>
      <w:r w:rsidRPr="00C14AE9">
        <w:rPr>
          <w:sz w:val="26"/>
          <w:szCs w:val="26"/>
          <w:lang w:val="es-ES"/>
        </w:rPr>
        <w:t>Gabriella</w:t>
      </w:r>
      <w:proofErr w:type="spellEnd"/>
      <w:r w:rsidRPr="00C14AE9">
        <w:rPr>
          <w:sz w:val="26"/>
          <w:szCs w:val="26"/>
          <w:lang w:val="es-ES"/>
        </w:rPr>
        <w:t xml:space="preserve"> </w:t>
      </w:r>
      <w:proofErr w:type="spellStart"/>
      <w:r w:rsidRPr="00C14AE9">
        <w:rPr>
          <w:sz w:val="26"/>
          <w:szCs w:val="26"/>
          <w:lang w:val="es-ES"/>
        </w:rPr>
        <w:t>Citroni</w:t>
      </w:r>
      <w:proofErr w:type="spellEnd"/>
      <w:r w:rsidRPr="00C14AE9">
        <w:rPr>
          <w:sz w:val="26"/>
          <w:szCs w:val="26"/>
          <w:lang w:val="es-ES"/>
        </w:rPr>
        <w:t>, asesora legal de FEDEFAM. Estuvo dirigido a personal jurisdiccional de la SCJN.</w:t>
      </w:r>
      <w:r w:rsidR="005E05CC" w:rsidRPr="00C14AE9">
        <w:rPr>
          <w:sz w:val="26"/>
          <w:szCs w:val="26"/>
          <w:lang w:val="es-ES"/>
        </w:rPr>
        <w:t xml:space="preserve"> </w:t>
      </w:r>
    </w:p>
    <w:p w14:paraId="3E494288" w14:textId="57575B52" w:rsidR="00C1395A" w:rsidRPr="00C14AE9" w:rsidRDefault="00C1395A" w:rsidP="00C14AE9">
      <w:pPr>
        <w:pStyle w:val="Prrafodelista"/>
        <w:numPr>
          <w:ilvl w:val="0"/>
          <w:numId w:val="5"/>
        </w:numPr>
        <w:spacing w:line="360" w:lineRule="auto"/>
        <w:jc w:val="both"/>
        <w:rPr>
          <w:sz w:val="26"/>
          <w:szCs w:val="26"/>
          <w:lang w:val="es-ES"/>
        </w:rPr>
      </w:pPr>
      <w:r w:rsidRPr="00C14AE9">
        <w:rPr>
          <w:sz w:val="26"/>
          <w:szCs w:val="26"/>
          <w:lang w:val="es-ES"/>
        </w:rPr>
        <w:t xml:space="preserve">Ciclo de conversaciones sobre México ante el Sistema de Naciones Unidas: México ante el comité contra las desapariciones forzadas. Realizado el 23 de </w:t>
      </w:r>
      <w:r w:rsidRPr="00C14AE9">
        <w:rPr>
          <w:sz w:val="26"/>
          <w:szCs w:val="26"/>
          <w:lang w:val="es-ES"/>
        </w:rPr>
        <w:lastRenderedPageBreak/>
        <w:t>agosto de 2021.  Participó Humberto Guerrero Fundar, del Centro de Análisis e Investigación.</w:t>
      </w:r>
    </w:p>
    <w:p w14:paraId="1C24497D" w14:textId="755524D5" w:rsidR="00E867CA" w:rsidRDefault="00C1395A" w:rsidP="00C14AE9">
      <w:pPr>
        <w:pStyle w:val="Prrafodelista"/>
        <w:numPr>
          <w:ilvl w:val="0"/>
          <w:numId w:val="5"/>
        </w:numPr>
        <w:spacing w:line="360" w:lineRule="auto"/>
        <w:jc w:val="both"/>
        <w:rPr>
          <w:sz w:val="26"/>
          <w:szCs w:val="26"/>
          <w:lang w:val="es-ES"/>
        </w:rPr>
      </w:pPr>
      <w:r w:rsidRPr="00C14AE9">
        <w:rPr>
          <w:sz w:val="26"/>
          <w:szCs w:val="26"/>
          <w:lang w:val="es-ES"/>
        </w:rPr>
        <w:t>Conversatorios sobre sentencia</w:t>
      </w:r>
      <w:r w:rsidR="005511BC">
        <w:rPr>
          <w:sz w:val="26"/>
          <w:szCs w:val="26"/>
          <w:lang w:val="es-ES"/>
        </w:rPr>
        <w:t>s</w:t>
      </w:r>
      <w:r w:rsidRPr="00C14AE9">
        <w:rPr>
          <w:sz w:val="26"/>
          <w:szCs w:val="26"/>
          <w:lang w:val="es-ES"/>
        </w:rPr>
        <w:t xml:space="preserve"> de derechos humanos. Las razones de la Corte: El carácter vinculante de las acciones urgentes para las autoridades mexicanas emitidas por el comité contra la desaparición forzada de la ONU. Realizado el 27 de septiembre de 2021. Participó la Mtra. Adriana Ortega Ortiz, </w:t>
      </w:r>
      <w:proofErr w:type="gramStart"/>
      <w:r w:rsidRPr="00C14AE9">
        <w:rPr>
          <w:sz w:val="26"/>
          <w:szCs w:val="26"/>
          <w:lang w:val="es-ES"/>
        </w:rPr>
        <w:t>Secretaria</w:t>
      </w:r>
      <w:proofErr w:type="gramEnd"/>
      <w:r w:rsidRPr="00C14AE9">
        <w:rPr>
          <w:sz w:val="26"/>
          <w:szCs w:val="26"/>
          <w:lang w:val="es-ES"/>
        </w:rPr>
        <w:t xml:space="preserve"> de Estudio y Cuenta de la SCJN y Juan Carlos Gutiérrez Contreras, Director General de IDHEAS.</w:t>
      </w:r>
    </w:p>
    <w:p w14:paraId="5E72F6BD" w14:textId="77777777" w:rsidR="00CD36F7" w:rsidRPr="001A5748" w:rsidRDefault="00CD36F7" w:rsidP="00E15144">
      <w:pPr>
        <w:pStyle w:val="Prrafodelista"/>
        <w:spacing w:line="360" w:lineRule="auto"/>
        <w:jc w:val="both"/>
        <w:rPr>
          <w:sz w:val="26"/>
          <w:szCs w:val="26"/>
          <w:lang w:val="es-ES"/>
        </w:rPr>
      </w:pPr>
    </w:p>
    <w:p w14:paraId="56FE9DF1" w14:textId="700BECBB" w:rsidR="00E867CA" w:rsidRPr="00C14AE9" w:rsidRDefault="00E867CA" w:rsidP="00C14AE9">
      <w:pPr>
        <w:spacing w:line="360" w:lineRule="auto"/>
        <w:jc w:val="both"/>
        <w:rPr>
          <w:sz w:val="26"/>
          <w:szCs w:val="26"/>
          <w:lang w:val="es-ES"/>
        </w:rPr>
      </w:pPr>
      <w:r w:rsidRPr="00C14AE9">
        <w:rPr>
          <w:sz w:val="26"/>
          <w:szCs w:val="26"/>
          <w:lang w:val="es-ES"/>
        </w:rPr>
        <w:t>Por otro lado, como herramienta complementaria a dichas actividades de formación y capacitación, se han realizado las siguientes publicaciones sobre el tema:</w:t>
      </w:r>
    </w:p>
    <w:p w14:paraId="663A09F5" w14:textId="043D2362" w:rsidR="00CF1A87" w:rsidRPr="00C14AE9" w:rsidRDefault="005E05CC" w:rsidP="00C14AE9">
      <w:pPr>
        <w:pStyle w:val="Prrafodelista"/>
        <w:numPr>
          <w:ilvl w:val="0"/>
          <w:numId w:val="5"/>
        </w:numPr>
        <w:spacing w:line="360" w:lineRule="auto"/>
        <w:jc w:val="both"/>
        <w:rPr>
          <w:sz w:val="26"/>
          <w:szCs w:val="26"/>
          <w:lang w:val="es-ES"/>
        </w:rPr>
      </w:pPr>
      <w:r w:rsidRPr="00C14AE9">
        <w:rPr>
          <w:sz w:val="26"/>
          <w:szCs w:val="26"/>
          <w:lang w:val="es-ES"/>
        </w:rPr>
        <w:t xml:space="preserve">El Comité contra las Desapariciones Forzadas </w:t>
      </w:r>
      <w:r w:rsidR="00D02E18">
        <w:rPr>
          <w:sz w:val="26"/>
          <w:szCs w:val="26"/>
          <w:lang w:val="es-ES"/>
        </w:rPr>
        <w:t>d</w:t>
      </w:r>
      <w:r w:rsidRPr="00C14AE9">
        <w:rPr>
          <w:sz w:val="26"/>
          <w:szCs w:val="26"/>
          <w:lang w:val="es-ES"/>
        </w:rPr>
        <w:t xml:space="preserve">e la ONU y su rol en la crisis de derechos humanos en México, escrito por Humberto Guerrero Rosales en </w:t>
      </w:r>
      <w:r w:rsidR="00995E5F" w:rsidRPr="00C14AE9">
        <w:rPr>
          <w:i/>
          <w:iCs/>
          <w:sz w:val="26"/>
          <w:szCs w:val="26"/>
          <w:lang w:val="es-ES"/>
        </w:rPr>
        <w:t>México ante el Sistema Universal de Derechos Humanos</w:t>
      </w:r>
      <w:r w:rsidRPr="00C14AE9">
        <w:rPr>
          <w:sz w:val="26"/>
          <w:szCs w:val="26"/>
          <w:lang w:val="es-ES"/>
        </w:rPr>
        <w:t xml:space="preserve"> (2021), Dirección General de Derechos Humanos, SCJN.</w:t>
      </w:r>
      <w:r w:rsidR="00995E5F" w:rsidRPr="00C14AE9">
        <w:rPr>
          <w:sz w:val="26"/>
          <w:szCs w:val="26"/>
          <w:lang w:val="es-ES"/>
        </w:rPr>
        <w:t xml:space="preserve"> </w:t>
      </w:r>
      <w:r w:rsidRPr="00C14AE9">
        <w:rPr>
          <w:sz w:val="26"/>
          <w:szCs w:val="26"/>
          <w:lang w:val="es-ES"/>
        </w:rPr>
        <w:t xml:space="preserve">Presenta reflexiones sobre la incorporación de </w:t>
      </w:r>
      <w:r w:rsidR="004330D3" w:rsidRPr="00C14AE9">
        <w:rPr>
          <w:sz w:val="26"/>
          <w:szCs w:val="26"/>
          <w:lang w:val="es-ES"/>
        </w:rPr>
        <w:t>México</w:t>
      </w:r>
      <w:r w:rsidRPr="00C14AE9">
        <w:rPr>
          <w:sz w:val="26"/>
          <w:szCs w:val="26"/>
          <w:lang w:val="es-ES"/>
        </w:rPr>
        <w:t xml:space="preserve"> al sistema internacional de protección contra las desapariciones forzadas.</w:t>
      </w:r>
    </w:p>
    <w:p w14:paraId="1485A48B" w14:textId="501D781F" w:rsidR="00E867CA" w:rsidRDefault="005E05CC" w:rsidP="00C14AE9">
      <w:pPr>
        <w:pStyle w:val="Prrafodelista"/>
        <w:numPr>
          <w:ilvl w:val="0"/>
          <w:numId w:val="5"/>
        </w:numPr>
        <w:spacing w:line="360" w:lineRule="auto"/>
        <w:jc w:val="both"/>
        <w:rPr>
          <w:sz w:val="26"/>
          <w:szCs w:val="26"/>
          <w:lang w:val="es-ES"/>
        </w:rPr>
      </w:pPr>
      <w:r w:rsidRPr="00C14AE9">
        <w:rPr>
          <w:sz w:val="26"/>
          <w:szCs w:val="26"/>
          <w:lang w:val="es-ES"/>
        </w:rPr>
        <w:t xml:space="preserve">Capítulo XI, Derecho a la verdad y procedimientos penales </w:t>
      </w:r>
      <w:proofErr w:type="spellStart"/>
      <w:r w:rsidRPr="00C14AE9">
        <w:rPr>
          <w:sz w:val="26"/>
          <w:szCs w:val="26"/>
          <w:lang w:val="es-ES"/>
        </w:rPr>
        <w:t>veritativo</w:t>
      </w:r>
      <w:proofErr w:type="spellEnd"/>
      <w:r w:rsidRPr="00C14AE9">
        <w:rPr>
          <w:sz w:val="26"/>
          <w:szCs w:val="26"/>
          <w:lang w:val="es-ES"/>
        </w:rPr>
        <w:t xml:space="preserve">-promotores, escrito por Edgar Aguilera García en </w:t>
      </w:r>
      <w:r w:rsidR="00E867CA" w:rsidRPr="00C14AE9">
        <w:rPr>
          <w:i/>
          <w:iCs/>
          <w:sz w:val="26"/>
          <w:szCs w:val="26"/>
          <w:lang w:val="es-ES"/>
        </w:rPr>
        <w:t>Manual de Derechos Humanos y Prueba en el Proceso Penal</w:t>
      </w:r>
      <w:r w:rsidR="00E867CA" w:rsidRPr="00C14AE9">
        <w:rPr>
          <w:sz w:val="26"/>
          <w:szCs w:val="26"/>
          <w:lang w:val="es-ES"/>
        </w:rPr>
        <w:t xml:space="preserve"> (2021), </w:t>
      </w:r>
      <w:proofErr w:type="spellStart"/>
      <w:r w:rsidR="00E867CA" w:rsidRPr="00C14AE9">
        <w:rPr>
          <w:sz w:val="26"/>
          <w:szCs w:val="26"/>
          <w:lang w:val="es-ES"/>
        </w:rPr>
        <w:t>Rovatti</w:t>
      </w:r>
      <w:proofErr w:type="spellEnd"/>
      <w:r w:rsidR="00E867CA" w:rsidRPr="00C14AE9">
        <w:rPr>
          <w:sz w:val="26"/>
          <w:szCs w:val="26"/>
          <w:lang w:val="es-ES"/>
        </w:rPr>
        <w:t xml:space="preserve">, pablo (coord.). En tal </w:t>
      </w:r>
      <w:r w:rsidR="00CF1A87" w:rsidRPr="00C14AE9">
        <w:rPr>
          <w:sz w:val="26"/>
          <w:szCs w:val="26"/>
          <w:lang w:val="es-ES"/>
        </w:rPr>
        <w:t>capítulo se resalta la centralidad del derecho a la verdad en casos de desapariciones forzadas de acuerdo con la jurisprudencia del Sistema Interamericano de Derechos Humanos.</w:t>
      </w:r>
    </w:p>
    <w:p w14:paraId="64149104" w14:textId="3A746C5E" w:rsidR="000F0E43" w:rsidRPr="00941F03" w:rsidRDefault="000F0E43" w:rsidP="000F0E43">
      <w:pPr>
        <w:pStyle w:val="Prrafodelista"/>
        <w:numPr>
          <w:ilvl w:val="0"/>
          <w:numId w:val="5"/>
        </w:numPr>
        <w:spacing w:line="360" w:lineRule="auto"/>
        <w:jc w:val="both"/>
        <w:rPr>
          <w:sz w:val="26"/>
          <w:szCs w:val="26"/>
          <w:lang w:val="es-ES"/>
        </w:rPr>
      </w:pPr>
      <w:r w:rsidRPr="00AA350F">
        <w:rPr>
          <w:sz w:val="26"/>
          <w:szCs w:val="26"/>
          <w:lang w:val="es-ES"/>
        </w:rPr>
        <w:t>Manual sobre casos de desaparición y de desaparición forzada de personas</w:t>
      </w:r>
      <w:r>
        <w:rPr>
          <w:sz w:val="26"/>
          <w:szCs w:val="26"/>
          <w:lang w:val="es-ES"/>
        </w:rPr>
        <w:t xml:space="preserve"> (a publicarse en 2022), Tapia, Luis (coord.). E</w:t>
      </w:r>
      <w:r w:rsidRPr="00941F03">
        <w:rPr>
          <w:sz w:val="26"/>
          <w:szCs w:val="26"/>
          <w:lang w:val="es-ES"/>
        </w:rPr>
        <w:t xml:space="preserve">l manual revisará los estándares internacionales en materia de desaparición y desaparición forzada de </w:t>
      </w:r>
      <w:r w:rsidRPr="00941F03">
        <w:rPr>
          <w:sz w:val="26"/>
          <w:szCs w:val="26"/>
          <w:lang w:val="es-ES"/>
        </w:rPr>
        <w:lastRenderedPageBreak/>
        <w:t xml:space="preserve">personas, así como la forma en que ha sido aplicados estos estándares en el derecho interno por la Suprema Corte de Justicia de la Nación. </w:t>
      </w:r>
    </w:p>
    <w:p w14:paraId="040C2325" w14:textId="38830C5E" w:rsidR="000F0E43" w:rsidRPr="00941F03" w:rsidRDefault="000F0E43" w:rsidP="000F0E43">
      <w:pPr>
        <w:pStyle w:val="Prrafodelista"/>
        <w:spacing w:line="360" w:lineRule="auto"/>
        <w:jc w:val="both"/>
        <w:rPr>
          <w:sz w:val="26"/>
          <w:szCs w:val="26"/>
          <w:lang w:val="es-ES"/>
        </w:rPr>
      </w:pPr>
      <w:r w:rsidRPr="00941F03">
        <w:rPr>
          <w:sz w:val="26"/>
          <w:szCs w:val="26"/>
          <w:lang w:val="es-ES"/>
        </w:rPr>
        <w:t>El manual se ocupará también de revisar el marco legal de los derechos de las víctimas de desaparición, centrándose en los derechos a la verdad</w:t>
      </w:r>
      <w:r w:rsidR="00097185">
        <w:rPr>
          <w:sz w:val="26"/>
          <w:szCs w:val="26"/>
          <w:lang w:val="es-ES"/>
        </w:rPr>
        <w:t>,</w:t>
      </w:r>
      <w:r w:rsidR="00E15144">
        <w:rPr>
          <w:sz w:val="26"/>
          <w:szCs w:val="26"/>
          <w:lang w:val="es-ES"/>
        </w:rPr>
        <w:t xml:space="preserve"> </w:t>
      </w:r>
      <w:r w:rsidRPr="00941F03">
        <w:rPr>
          <w:sz w:val="26"/>
          <w:szCs w:val="26"/>
          <w:lang w:val="es-ES"/>
        </w:rPr>
        <w:t xml:space="preserve">a la justicia y a la reparación integral del daño. </w:t>
      </w:r>
    </w:p>
    <w:p w14:paraId="38225E9F" w14:textId="77777777" w:rsidR="00E15144" w:rsidRDefault="000F0E43" w:rsidP="00E15144">
      <w:pPr>
        <w:pStyle w:val="Prrafodelista"/>
        <w:spacing w:line="360" w:lineRule="auto"/>
        <w:jc w:val="both"/>
        <w:rPr>
          <w:sz w:val="26"/>
          <w:szCs w:val="26"/>
          <w:lang w:val="es-ES"/>
        </w:rPr>
      </w:pPr>
      <w:r w:rsidRPr="00941F03">
        <w:rPr>
          <w:sz w:val="26"/>
          <w:szCs w:val="26"/>
          <w:lang w:val="es-ES"/>
        </w:rPr>
        <w:t>Seguidamente, el manual revisará las obligaciones judiciales en casos de desaparición y desaparición forzada con tres enfoques bien delimitados</w:t>
      </w:r>
      <w:r>
        <w:rPr>
          <w:sz w:val="26"/>
          <w:szCs w:val="26"/>
          <w:lang w:val="es-ES"/>
        </w:rPr>
        <w:t>.</w:t>
      </w:r>
      <w:r w:rsidRPr="00941F03">
        <w:rPr>
          <w:sz w:val="26"/>
          <w:szCs w:val="26"/>
          <w:lang w:val="es-ES"/>
        </w:rPr>
        <w:t xml:space="preserve"> </w:t>
      </w:r>
      <w:r>
        <w:rPr>
          <w:sz w:val="26"/>
          <w:szCs w:val="26"/>
          <w:lang w:val="es-ES"/>
        </w:rPr>
        <w:t>P</w:t>
      </w:r>
      <w:r w:rsidRPr="00941F03">
        <w:rPr>
          <w:sz w:val="26"/>
          <w:szCs w:val="26"/>
          <w:lang w:val="es-ES"/>
        </w:rPr>
        <w:t xml:space="preserve">rimero, al referirse al amparo contra desaparición forzada contenido esencialmente en el artículo 15 de la Ley de Amparo. En un segundo enfoque, se hará una revisión de los tipos penales aplicables a casos de desaparición, </w:t>
      </w:r>
      <w:r w:rsidR="00097185">
        <w:rPr>
          <w:sz w:val="26"/>
          <w:szCs w:val="26"/>
          <w:lang w:val="es-ES"/>
        </w:rPr>
        <w:t xml:space="preserve">así como </w:t>
      </w:r>
      <w:r w:rsidRPr="00941F03">
        <w:rPr>
          <w:sz w:val="26"/>
          <w:szCs w:val="26"/>
          <w:lang w:val="es-ES"/>
        </w:rPr>
        <w:t>las obligaciones judiciales relacionadas con la búsqueda. En un tercer enfoque, el manual se ocupará de la figura legal de la declaración especial de ausencia, la cual resulta de gran importancia para otorgar certeza legal a los familiares de personas desaparecidas</w:t>
      </w:r>
      <w:r>
        <w:rPr>
          <w:sz w:val="26"/>
          <w:szCs w:val="26"/>
          <w:lang w:val="es-ES"/>
        </w:rPr>
        <w:t>.</w:t>
      </w:r>
    </w:p>
    <w:p w14:paraId="159622F1" w14:textId="048D3477" w:rsidR="000F0E43" w:rsidRPr="00E15144" w:rsidRDefault="000F0E43" w:rsidP="00E15144">
      <w:pPr>
        <w:pStyle w:val="Prrafodelista"/>
        <w:spacing w:line="360" w:lineRule="auto"/>
        <w:jc w:val="both"/>
        <w:rPr>
          <w:sz w:val="26"/>
          <w:szCs w:val="26"/>
          <w:lang w:val="es-ES"/>
        </w:rPr>
      </w:pPr>
      <w:r w:rsidRPr="00E15144">
        <w:rPr>
          <w:sz w:val="26"/>
          <w:szCs w:val="26"/>
          <w:lang w:val="es-ES"/>
        </w:rPr>
        <w:t>Finalmente, el manual revisará experiencias latinoamericanas en materia de desaparición forzada tanto en lo relacionado con la investigación como con la búsqueda de personas desaparecidas, con el fin de recoger los aprendizajes que pueden ser relevantes para el trabajo habitual de las personas juzgadoras del Poder Judicial de la Federación.</w:t>
      </w:r>
    </w:p>
    <w:p w14:paraId="574CD0F5" w14:textId="7C64D9E1" w:rsidR="00A43289" w:rsidRDefault="00A43289" w:rsidP="00C14AE9">
      <w:pPr>
        <w:spacing w:line="360" w:lineRule="auto"/>
        <w:jc w:val="both"/>
        <w:rPr>
          <w:sz w:val="26"/>
          <w:szCs w:val="26"/>
        </w:rPr>
      </w:pPr>
    </w:p>
    <w:p w14:paraId="4DCC6F8F" w14:textId="77777777" w:rsidR="000C0702" w:rsidRPr="00C14AE9" w:rsidRDefault="000C0702" w:rsidP="00C14AE9">
      <w:pPr>
        <w:spacing w:line="360" w:lineRule="auto"/>
        <w:jc w:val="both"/>
        <w:rPr>
          <w:sz w:val="26"/>
          <w:szCs w:val="26"/>
        </w:rPr>
      </w:pPr>
    </w:p>
    <w:p w14:paraId="400C7D3C" w14:textId="77777777" w:rsidR="002D5E56" w:rsidRPr="00C14AE9" w:rsidRDefault="002D5E56" w:rsidP="00C14AE9">
      <w:pPr>
        <w:spacing w:line="360" w:lineRule="auto"/>
        <w:jc w:val="both"/>
        <w:rPr>
          <w:sz w:val="26"/>
          <w:szCs w:val="26"/>
          <w:lang w:val="es-ES"/>
        </w:rPr>
      </w:pPr>
    </w:p>
    <w:p w14:paraId="404E8389" w14:textId="77777777" w:rsidR="002D5E56" w:rsidRPr="00C14AE9" w:rsidRDefault="002D5E56" w:rsidP="00C14AE9">
      <w:pPr>
        <w:spacing w:line="360" w:lineRule="auto"/>
        <w:jc w:val="both"/>
        <w:rPr>
          <w:sz w:val="26"/>
          <w:szCs w:val="26"/>
          <w:lang w:val="es-ES"/>
        </w:rPr>
      </w:pPr>
    </w:p>
    <w:sectPr w:rsidR="002D5E56" w:rsidRPr="00C14AE9">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7CE49" w14:textId="77777777" w:rsidR="000609BF" w:rsidRDefault="000609BF" w:rsidP="00C14AE9">
      <w:pPr>
        <w:spacing w:after="0" w:line="240" w:lineRule="auto"/>
      </w:pPr>
      <w:r>
        <w:separator/>
      </w:r>
    </w:p>
  </w:endnote>
  <w:endnote w:type="continuationSeparator" w:id="0">
    <w:p w14:paraId="230E9082" w14:textId="77777777" w:rsidR="000609BF" w:rsidRDefault="000609BF" w:rsidP="00C14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8678F" w14:textId="77777777" w:rsidR="000609BF" w:rsidRDefault="000609BF" w:rsidP="00C14AE9">
      <w:pPr>
        <w:spacing w:after="0" w:line="240" w:lineRule="auto"/>
      </w:pPr>
      <w:r>
        <w:separator/>
      </w:r>
    </w:p>
  </w:footnote>
  <w:footnote w:type="continuationSeparator" w:id="0">
    <w:p w14:paraId="279C2578" w14:textId="77777777" w:rsidR="000609BF" w:rsidRDefault="000609BF" w:rsidP="00C14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010B4" w14:textId="56354138" w:rsidR="00C14AE9" w:rsidRDefault="00C14AE9" w:rsidP="00C14AE9">
    <w:pPr>
      <w:pStyle w:val="Encabezado"/>
      <w:jc w:val="center"/>
    </w:pPr>
    <w:r>
      <w:rPr>
        <w:noProof/>
        <w:color w:val="000000"/>
        <w:lang w:eastAsia="es-ES_tradnl"/>
      </w:rPr>
      <w:drawing>
        <wp:inline distT="0" distB="0" distL="114300" distR="114300" wp14:anchorId="5413F7BB" wp14:editId="1D139A7A">
          <wp:extent cx="2752725" cy="514350"/>
          <wp:effectExtent l="0" t="0" r="0" b="0"/>
          <wp:docPr id="14"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4" name="image1.jpg" descr="Imagen que contiene Texto&#10;&#10;Descripción generada automáticamente"/>
                  <pic:cNvPicPr preferRelativeResize="0"/>
                </pic:nvPicPr>
                <pic:blipFill>
                  <a:blip r:embed="rId1"/>
                  <a:srcRect/>
                  <a:stretch>
                    <a:fillRect/>
                  </a:stretch>
                </pic:blipFill>
                <pic:spPr>
                  <a:xfrm>
                    <a:off x="0" y="0"/>
                    <a:ext cx="2752725" cy="5143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779E3"/>
    <w:multiLevelType w:val="hybridMultilevel"/>
    <w:tmpl w:val="8FC4D638"/>
    <w:lvl w:ilvl="0" w:tplc="DC40274A">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69E28FB"/>
    <w:multiLevelType w:val="hybridMultilevel"/>
    <w:tmpl w:val="B8D2C778"/>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4F6314B"/>
    <w:multiLevelType w:val="hybridMultilevel"/>
    <w:tmpl w:val="70EA3B56"/>
    <w:lvl w:ilvl="0" w:tplc="0FD815E2">
      <w:start w:val="1"/>
      <w:numFmt w:val="decimal"/>
      <w:lvlText w:val="%1."/>
      <w:lvlJc w:val="left"/>
      <w:pPr>
        <w:ind w:left="4897" w:hanging="360"/>
      </w:pPr>
      <w:rPr>
        <w:b w:val="0"/>
      </w:rPr>
    </w:lvl>
    <w:lvl w:ilvl="1" w:tplc="08090017">
      <w:start w:val="1"/>
      <w:numFmt w:val="lowerLetter"/>
      <w:lvlText w:val="%2)"/>
      <w:lvlJc w:val="left"/>
      <w:pPr>
        <w:ind w:left="2629"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 w15:restartNumberingAfterBreak="0">
    <w:nsid w:val="584E71D3"/>
    <w:multiLevelType w:val="hybridMultilevel"/>
    <w:tmpl w:val="0DEA4A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5AC75F65"/>
    <w:multiLevelType w:val="hybridMultilevel"/>
    <w:tmpl w:val="E65E495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784C590A"/>
    <w:multiLevelType w:val="hybridMultilevel"/>
    <w:tmpl w:val="C27EFE5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7CA47ABF"/>
    <w:multiLevelType w:val="hybridMultilevel"/>
    <w:tmpl w:val="887A0F8C"/>
    <w:lvl w:ilvl="0" w:tplc="DC40274A">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467"/>
    <w:rsid w:val="00014DCB"/>
    <w:rsid w:val="000609BF"/>
    <w:rsid w:val="000751D0"/>
    <w:rsid w:val="00097185"/>
    <w:rsid w:val="000B3F61"/>
    <w:rsid w:val="000C0702"/>
    <w:rsid w:val="000E1C12"/>
    <w:rsid w:val="000F0E43"/>
    <w:rsid w:val="001224D9"/>
    <w:rsid w:val="001A0E88"/>
    <w:rsid w:val="001A5748"/>
    <w:rsid w:val="001E140D"/>
    <w:rsid w:val="001F1265"/>
    <w:rsid w:val="00225C90"/>
    <w:rsid w:val="00227EDA"/>
    <w:rsid w:val="0027367E"/>
    <w:rsid w:val="002D5E56"/>
    <w:rsid w:val="003008F5"/>
    <w:rsid w:val="00304144"/>
    <w:rsid w:val="00307ECD"/>
    <w:rsid w:val="00333250"/>
    <w:rsid w:val="003433A4"/>
    <w:rsid w:val="00346DA8"/>
    <w:rsid w:val="003475EB"/>
    <w:rsid w:val="0036120A"/>
    <w:rsid w:val="0036386A"/>
    <w:rsid w:val="00371DFB"/>
    <w:rsid w:val="00374CF1"/>
    <w:rsid w:val="00375324"/>
    <w:rsid w:val="003D4A51"/>
    <w:rsid w:val="003E4B22"/>
    <w:rsid w:val="004033C1"/>
    <w:rsid w:val="004160EB"/>
    <w:rsid w:val="004330D3"/>
    <w:rsid w:val="0045034A"/>
    <w:rsid w:val="00483740"/>
    <w:rsid w:val="004874C9"/>
    <w:rsid w:val="00494160"/>
    <w:rsid w:val="004A7524"/>
    <w:rsid w:val="004D7AA3"/>
    <w:rsid w:val="004E4128"/>
    <w:rsid w:val="0050204B"/>
    <w:rsid w:val="005044B4"/>
    <w:rsid w:val="005210A4"/>
    <w:rsid w:val="00530AAD"/>
    <w:rsid w:val="00542BAA"/>
    <w:rsid w:val="005457EC"/>
    <w:rsid w:val="005511BC"/>
    <w:rsid w:val="00560F4E"/>
    <w:rsid w:val="00564BBB"/>
    <w:rsid w:val="00570969"/>
    <w:rsid w:val="00587153"/>
    <w:rsid w:val="00595A7E"/>
    <w:rsid w:val="005A23B8"/>
    <w:rsid w:val="005E05CC"/>
    <w:rsid w:val="00672AAD"/>
    <w:rsid w:val="00687F44"/>
    <w:rsid w:val="0069756B"/>
    <w:rsid w:val="006C0FC6"/>
    <w:rsid w:val="006C7D2A"/>
    <w:rsid w:val="006D6945"/>
    <w:rsid w:val="00704F5E"/>
    <w:rsid w:val="00714232"/>
    <w:rsid w:val="00746158"/>
    <w:rsid w:val="00765EE8"/>
    <w:rsid w:val="00777DCB"/>
    <w:rsid w:val="00780D28"/>
    <w:rsid w:val="007A534C"/>
    <w:rsid w:val="007F548E"/>
    <w:rsid w:val="007F6E86"/>
    <w:rsid w:val="00820E12"/>
    <w:rsid w:val="00825560"/>
    <w:rsid w:val="00826AC6"/>
    <w:rsid w:val="00834B01"/>
    <w:rsid w:val="00852F42"/>
    <w:rsid w:val="0087491B"/>
    <w:rsid w:val="00882864"/>
    <w:rsid w:val="008A641C"/>
    <w:rsid w:val="008C1A5A"/>
    <w:rsid w:val="008C1A83"/>
    <w:rsid w:val="00902D11"/>
    <w:rsid w:val="0090537A"/>
    <w:rsid w:val="009514B4"/>
    <w:rsid w:val="00954539"/>
    <w:rsid w:val="00995E5F"/>
    <w:rsid w:val="009A15C0"/>
    <w:rsid w:val="009C21B6"/>
    <w:rsid w:val="009F1BB5"/>
    <w:rsid w:val="00A11415"/>
    <w:rsid w:val="00A320CE"/>
    <w:rsid w:val="00A43289"/>
    <w:rsid w:val="00A45F6D"/>
    <w:rsid w:val="00A67E39"/>
    <w:rsid w:val="00AA2189"/>
    <w:rsid w:val="00AA350F"/>
    <w:rsid w:val="00AA4A1F"/>
    <w:rsid w:val="00AB0C9F"/>
    <w:rsid w:val="00AB13D2"/>
    <w:rsid w:val="00AD743E"/>
    <w:rsid w:val="00AE3E3C"/>
    <w:rsid w:val="00AF5364"/>
    <w:rsid w:val="00B44AFF"/>
    <w:rsid w:val="00B47C95"/>
    <w:rsid w:val="00B63ECF"/>
    <w:rsid w:val="00B73269"/>
    <w:rsid w:val="00BD5831"/>
    <w:rsid w:val="00BE4600"/>
    <w:rsid w:val="00BF7844"/>
    <w:rsid w:val="00C1395A"/>
    <w:rsid w:val="00C14AE9"/>
    <w:rsid w:val="00C332E9"/>
    <w:rsid w:val="00C976BB"/>
    <w:rsid w:val="00CA1AD6"/>
    <w:rsid w:val="00CA51D3"/>
    <w:rsid w:val="00CD36F7"/>
    <w:rsid w:val="00CF1A87"/>
    <w:rsid w:val="00CF471A"/>
    <w:rsid w:val="00CF73E5"/>
    <w:rsid w:val="00D02E18"/>
    <w:rsid w:val="00D20520"/>
    <w:rsid w:val="00D24467"/>
    <w:rsid w:val="00D43152"/>
    <w:rsid w:val="00D61D46"/>
    <w:rsid w:val="00D63D61"/>
    <w:rsid w:val="00D74B02"/>
    <w:rsid w:val="00D83DA7"/>
    <w:rsid w:val="00D861CB"/>
    <w:rsid w:val="00D94D4F"/>
    <w:rsid w:val="00DE0AC0"/>
    <w:rsid w:val="00DF3306"/>
    <w:rsid w:val="00E15144"/>
    <w:rsid w:val="00E459A0"/>
    <w:rsid w:val="00E5091C"/>
    <w:rsid w:val="00E867CA"/>
    <w:rsid w:val="00E93C53"/>
    <w:rsid w:val="00EE2624"/>
    <w:rsid w:val="00EE6F63"/>
    <w:rsid w:val="00EF6754"/>
    <w:rsid w:val="00F02443"/>
    <w:rsid w:val="00F04C4A"/>
    <w:rsid w:val="00F4340D"/>
    <w:rsid w:val="00F77AA9"/>
    <w:rsid w:val="00FA0BE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47533"/>
  <w15:chartTrackingRefBased/>
  <w15:docId w15:val="{4CD92457-AF68-460C-AAAC-5086CBB9A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7DCB"/>
    <w:pPr>
      <w:spacing w:after="0" w:line="240" w:lineRule="auto"/>
      <w:ind w:left="720"/>
      <w:contextualSpacing/>
    </w:pPr>
    <w:rPr>
      <w:sz w:val="24"/>
      <w:szCs w:val="24"/>
      <w:lang w:val="es-ES_tradnl"/>
    </w:rPr>
  </w:style>
  <w:style w:type="paragraph" w:customStyle="1" w:styleId="SingleTxtG">
    <w:name w:val="_ Single Txt_G"/>
    <w:basedOn w:val="Normal"/>
    <w:rsid w:val="0090537A"/>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C14AE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14AE9"/>
  </w:style>
  <w:style w:type="paragraph" w:styleId="Piedepgina">
    <w:name w:val="footer"/>
    <w:basedOn w:val="Normal"/>
    <w:link w:val="PiedepginaCar"/>
    <w:uiPriority w:val="99"/>
    <w:unhideWhenUsed/>
    <w:rsid w:val="00C14AE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14AE9"/>
  </w:style>
  <w:style w:type="paragraph" w:styleId="Revisin">
    <w:name w:val="Revision"/>
    <w:hidden/>
    <w:uiPriority w:val="99"/>
    <w:semiHidden/>
    <w:rsid w:val="005511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706497">
      <w:bodyDiv w:val="1"/>
      <w:marLeft w:val="0"/>
      <w:marRight w:val="0"/>
      <w:marTop w:val="0"/>
      <w:marBottom w:val="0"/>
      <w:divBdr>
        <w:top w:val="none" w:sz="0" w:space="0" w:color="auto"/>
        <w:left w:val="none" w:sz="0" w:space="0" w:color="auto"/>
        <w:bottom w:val="none" w:sz="0" w:space="0" w:color="auto"/>
        <w:right w:val="none" w:sz="0" w:space="0" w:color="auto"/>
      </w:divBdr>
    </w:div>
    <w:div w:id="953486988">
      <w:bodyDiv w:val="1"/>
      <w:marLeft w:val="0"/>
      <w:marRight w:val="0"/>
      <w:marTop w:val="0"/>
      <w:marBottom w:val="0"/>
      <w:divBdr>
        <w:top w:val="none" w:sz="0" w:space="0" w:color="auto"/>
        <w:left w:val="none" w:sz="0" w:space="0" w:color="auto"/>
        <w:bottom w:val="none" w:sz="0" w:space="0" w:color="auto"/>
        <w:right w:val="none" w:sz="0" w:space="0" w:color="auto"/>
      </w:divBdr>
    </w:div>
    <w:div w:id="1849445452">
      <w:bodyDiv w:val="1"/>
      <w:marLeft w:val="0"/>
      <w:marRight w:val="0"/>
      <w:marTop w:val="0"/>
      <w:marBottom w:val="0"/>
      <w:divBdr>
        <w:top w:val="none" w:sz="0" w:space="0" w:color="auto"/>
        <w:left w:val="none" w:sz="0" w:space="0" w:color="auto"/>
        <w:bottom w:val="none" w:sz="0" w:space="0" w:color="auto"/>
        <w:right w:val="none" w:sz="0" w:space="0" w:color="auto"/>
      </w:divBdr>
    </w:div>
    <w:div w:id="188556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196DF2-DDF3-4E79-9AE2-EE5680DB540E}">
  <ds:schemaRefs>
    <ds:schemaRef ds:uri="http://schemas.microsoft.com/sharepoint/v3/contenttype/forms"/>
  </ds:schemaRefs>
</ds:datastoreItem>
</file>

<file path=customXml/itemProps2.xml><?xml version="1.0" encoding="utf-8"?>
<ds:datastoreItem xmlns:ds="http://schemas.openxmlformats.org/officeDocument/2006/customXml" ds:itemID="{CD82DBF4-BAC0-47F1-A2CB-52F7546A172C}"/>
</file>

<file path=customXml/itemProps3.xml><?xml version="1.0" encoding="utf-8"?>
<ds:datastoreItem xmlns:ds="http://schemas.openxmlformats.org/officeDocument/2006/customXml" ds:itemID="{0D7A34FA-5088-45EF-8E39-0CC80A82A41A}">
  <ds:schemaRefs>
    <ds:schemaRef ds:uri="http://purl.org/dc/elements/1.1/"/>
    <ds:schemaRef ds:uri="http://schemas.microsoft.com/office/infopath/2007/PartnerControls"/>
    <ds:schemaRef ds:uri="http://purl.org/dc/dcmitype/"/>
    <ds:schemaRef ds:uri="http://schemas.openxmlformats.org/package/2006/metadata/core-properties"/>
    <ds:schemaRef ds:uri="158795fd-4942-4cd0-a2d3-9a536c9c905c"/>
    <ds:schemaRef ds:uri="6548c816-ea15-48f4-b14d-8bf69222fbfd"/>
    <ds:schemaRef ds:uri="http://purl.org/dc/terms/"/>
    <ds:schemaRef ds:uri="http://schemas.microsoft.com/office/2006/documentManagement/typ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2444</Words>
  <Characters>13446</Characters>
  <Application>Microsoft Office Word</Application>
  <DocSecurity>4</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ALONSO LARA BRAVO</dc:creator>
  <cp:keywords/>
  <dc:description/>
  <cp:lastModifiedBy>ALONSO LARA BRAVO</cp:lastModifiedBy>
  <cp:revision>2</cp:revision>
  <dcterms:created xsi:type="dcterms:W3CDTF">2021-11-13T01:13:00Z</dcterms:created>
  <dcterms:modified xsi:type="dcterms:W3CDTF">2021-11-13T01:13:00Z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