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82C1D7" w14:textId="77777777" w:rsidR="0029519E" w:rsidRDefault="0029519E">
      <w:pPr>
        <w:spacing w:line="480" w:lineRule="auto"/>
        <w:jc w:val="center"/>
        <w:rPr>
          <w:b/>
          <w:sz w:val="32"/>
          <w:szCs w:val="32"/>
        </w:rPr>
      </w:pPr>
      <w:bookmarkStart w:id="0" w:name="_heading=h.gjdgxs" w:colFirst="0" w:colLast="0"/>
      <w:bookmarkEnd w:id="0"/>
    </w:p>
    <w:p w14:paraId="7F5335FC" w14:textId="77777777" w:rsidR="0029519E" w:rsidRDefault="0029519E">
      <w:pPr>
        <w:spacing w:line="480" w:lineRule="auto"/>
        <w:jc w:val="center"/>
        <w:rPr>
          <w:b/>
          <w:sz w:val="32"/>
          <w:szCs w:val="32"/>
        </w:rPr>
      </w:pPr>
      <w:bookmarkStart w:id="1" w:name="_heading=h.de6yg9hrpzfs" w:colFirst="0" w:colLast="0"/>
      <w:bookmarkEnd w:id="1"/>
    </w:p>
    <w:p w14:paraId="364AFF6E" w14:textId="77777777" w:rsidR="0029519E" w:rsidRDefault="0029519E">
      <w:pPr>
        <w:spacing w:line="480" w:lineRule="auto"/>
        <w:jc w:val="center"/>
        <w:rPr>
          <w:b/>
          <w:sz w:val="32"/>
          <w:szCs w:val="32"/>
        </w:rPr>
      </w:pPr>
      <w:bookmarkStart w:id="2" w:name="_heading=h.y7swbjffz61l" w:colFirst="0" w:colLast="0"/>
      <w:bookmarkEnd w:id="2"/>
    </w:p>
    <w:p w14:paraId="7635F49A" w14:textId="77777777" w:rsidR="0029519E" w:rsidRDefault="0029519E">
      <w:pPr>
        <w:spacing w:line="480" w:lineRule="auto"/>
        <w:jc w:val="center"/>
        <w:rPr>
          <w:b/>
          <w:sz w:val="32"/>
          <w:szCs w:val="32"/>
        </w:rPr>
      </w:pPr>
      <w:bookmarkStart w:id="3" w:name="_heading=h.ezblh7oidbqa" w:colFirst="0" w:colLast="0"/>
      <w:bookmarkEnd w:id="3"/>
    </w:p>
    <w:p w14:paraId="0EF5A964" w14:textId="77777777" w:rsidR="0029519E" w:rsidRDefault="008342F6">
      <w:pPr>
        <w:spacing w:line="480" w:lineRule="auto"/>
        <w:jc w:val="center"/>
        <w:rPr>
          <w:b/>
          <w:sz w:val="46"/>
          <w:szCs w:val="46"/>
        </w:rPr>
      </w:pPr>
      <w:bookmarkStart w:id="4" w:name="_heading=h.8olgfgpwupqz" w:colFirst="0" w:colLast="0"/>
      <w:bookmarkEnd w:id="4"/>
      <w:r>
        <w:rPr>
          <w:b/>
          <w:sz w:val="46"/>
          <w:szCs w:val="46"/>
        </w:rPr>
        <w:t>Brief Report on Economic and Social Rights in Yemen, 2023</w:t>
      </w:r>
    </w:p>
    <w:p w14:paraId="0170151C" w14:textId="77777777" w:rsidR="0029519E" w:rsidRDefault="008342F6">
      <w:pPr>
        <w:spacing w:line="480" w:lineRule="auto"/>
        <w:jc w:val="center"/>
        <w:rPr>
          <w:b/>
          <w:sz w:val="32"/>
          <w:szCs w:val="32"/>
        </w:rPr>
      </w:pPr>
      <w:r>
        <w:rPr>
          <w:b/>
          <w:sz w:val="32"/>
          <w:szCs w:val="32"/>
        </w:rPr>
        <w:t>Presented by Yemeni civil society organisations</w:t>
      </w:r>
    </w:p>
    <w:p w14:paraId="43E673FE" w14:textId="77777777" w:rsidR="0029519E" w:rsidRDefault="0029519E">
      <w:pPr>
        <w:spacing w:line="480" w:lineRule="auto"/>
        <w:jc w:val="center"/>
        <w:rPr>
          <w:b/>
          <w:sz w:val="32"/>
          <w:szCs w:val="32"/>
        </w:rPr>
      </w:pPr>
    </w:p>
    <w:p w14:paraId="7AFCA02D" w14:textId="77777777" w:rsidR="0029519E" w:rsidRDefault="0029519E">
      <w:pPr>
        <w:spacing w:line="480" w:lineRule="auto"/>
        <w:jc w:val="center"/>
        <w:rPr>
          <w:b/>
          <w:sz w:val="32"/>
          <w:szCs w:val="32"/>
        </w:rPr>
      </w:pPr>
    </w:p>
    <w:p w14:paraId="4899DFE6" w14:textId="77777777" w:rsidR="0029519E" w:rsidRDefault="0029519E">
      <w:pPr>
        <w:spacing w:line="480" w:lineRule="auto"/>
        <w:jc w:val="center"/>
        <w:rPr>
          <w:b/>
          <w:sz w:val="32"/>
          <w:szCs w:val="32"/>
        </w:rPr>
      </w:pPr>
    </w:p>
    <w:p w14:paraId="522F56A4" w14:textId="77777777" w:rsidR="0029519E" w:rsidRDefault="0029519E">
      <w:pPr>
        <w:spacing w:line="480" w:lineRule="auto"/>
        <w:jc w:val="center"/>
        <w:rPr>
          <w:b/>
          <w:sz w:val="32"/>
          <w:szCs w:val="32"/>
        </w:rPr>
      </w:pPr>
    </w:p>
    <w:p w14:paraId="7D1BB47B" w14:textId="77777777" w:rsidR="0029519E" w:rsidRDefault="0029519E">
      <w:pPr>
        <w:spacing w:line="480" w:lineRule="auto"/>
        <w:jc w:val="center"/>
        <w:rPr>
          <w:b/>
          <w:sz w:val="32"/>
          <w:szCs w:val="32"/>
        </w:rPr>
      </w:pPr>
    </w:p>
    <w:p w14:paraId="2AE7C9E5" w14:textId="77777777" w:rsidR="0029519E" w:rsidRDefault="0029519E">
      <w:pPr>
        <w:spacing w:line="480" w:lineRule="auto"/>
        <w:jc w:val="center"/>
        <w:rPr>
          <w:b/>
          <w:sz w:val="32"/>
          <w:szCs w:val="32"/>
        </w:rPr>
      </w:pPr>
    </w:p>
    <w:p w14:paraId="19392FBC" w14:textId="77777777" w:rsidR="0029519E" w:rsidRDefault="0029519E">
      <w:pPr>
        <w:spacing w:line="480" w:lineRule="auto"/>
        <w:jc w:val="center"/>
        <w:rPr>
          <w:b/>
          <w:sz w:val="32"/>
          <w:szCs w:val="32"/>
        </w:rPr>
      </w:pPr>
    </w:p>
    <w:p w14:paraId="41E8F518" w14:textId="77777777" w:rsidR="0029519E" w:rsidRDefault="0029519E">
      <w:pPr>
        <w:spacing w:line="480" w:lineRule="auto"/>
        <w:jc w:val="center"/>
        <w:rPr>
          <w:b/>
          <w:sz w:val="32"/>
          <w:szCs w:val="32"/>
        </w:rPr>
      </w:pPr>
    </w:p>
    <w:p w14:paraId="210F8398" w14:textId="77777777" w:rsidR="0029519E" w:rsidRDefault="0029519E">
      <w:pPr>
        <w:spacing w:line="480" w:lineRule="auto"/>
        <w:jc w:val="both"/>
      </w:pPr>
    </w:p>
    <w:p w14:paraId="6B382AF1" w14:textId="77777777" w:rsidR="0029519E" w:rsidRDefault="0029519E">
      <w:pPr>
        <w:spacing w:line="480" w:lineRule="auto"/>
        <w:jc w:val="both"/>
      </w:pPr>
    </w:p>
    <w:p w14:paraId="64D45FC0" w14:textId="77777777" w:rsidR="0029519E" w:rsidRDefault="0029519E">
      <w:pPr>
        <w:spacing w:line="480" w:lineRule="auto"/>
        <w:jc w:val="both"/>
      </w:pPr>
    </w:p>
    <w:p w14:paraId="426A40DC" w14:textId="77777777" w:rsidR="0029519E" w:rsidRDefault="0029519E">
      <w:pPr>
        <w:spacing w:line="480" w:lineRule="auto"/>
        <w:jc w:val="both"/>
      </w:pPr>
    </w:p>
    <w:p w14:paraId="01471849" w14:textId="77777777" w:rsidR="0029519E" w:rsidRDefault="0029519E">
      <w:pPr>
        <w:spacing w:line="480" w:lineRule="auto"/>
        <w:jc w:val="both"/>
      </w:pPr>
    </w:p>
    <w:sdt>
      <w:sdtPr>
        <w:id w:val="-395201603"/>
        <w:docPartObj>
          <w:docPartGallery w:val="Table of Contents"/>
          <w:docPartUnique/>
        </w:docPartObj>
      </w:sdtPr>
      <w:sdtEndPr/>
      <w:sdtContent>
        <w:p w14:paraId="1F7B4C43" w14:textId="77777777" w:rsidR="0029519E" w:rsidRDefault="008342F6">
          <w:pPr>
            <w:tabs>
              <w:tab w:val="right" w:pos="9360"/>
            </w:tabs>
            <w:spacing w:before="80" w:line="240" w:lineRule="auto"/>
            <w:rPr>
              <w:rFonts w:ascii="Calibri" w:hAnsi="Calibri"/>
              <w:b/>
              <w:color w:val="000000"/>
            </w:rPr>
          </w:pPr>
          <w:r>
            <w:fldChar w:fldCharType="begin"/>
          </w:r>
          <w:r>
            <w:instrText xml:space="preserve"> TOC \h \u \z </w:instrText>
          </w:r>
          <w:r>
            <w:fldChar w:fldCharType="separate"/>
          </w:r>
          <w:hyperlink w:anchor="_heading=h.u1n7g3wg6o4z">
            <w:r>
              <w:rPr>
                <w:rFonts w:ascii="Calibri" w:hAnsi="Calibri"/>
                <w:b/>
                <w:color w:val="000000"/>
              </w:rPr>
              <w:t>1. Introduction</w:t>
            </w:r>
          </w:hyperlink>
          <w:r>
            <w:rPr>
              <w:rFonts w:ascii="Calibri" w:hAnsi="Calibri"/>
              <w:b/>
              <w:color w:val="000000"/>
            </w:rPr>
            <w:tab/>
          </w:r>
          <w:r>
            <w:fldChar w:fldCharType="begin"/>
          </w:r>
          <w:r>
            <w:instrText xml:space="preserve"> PAGEREF _heading=h.u1n7g3wg6o4z \h </w:instrText>
          </w:r>
          <w:r>
            <w:fldChar w:fldCharType="separate"/>
          </w:r>
          <w:r>
            <w:rPr>
              <w:rFonts w:ascii="Calibri" w:hAnsi="Calibri"/>
              <w:b/>
              <w:color w:val="000000"/>
            </w:rPr>
            <w:t>3</w:t>
          </w:r>
          <w:r>
            <w:fldChar w:fldCharType="end"/>
          </w:r>
        </w:p>
        <w:p w14:paraId="58297278" w14:textId="77777777" w:rsidR="0029519E" w:rsidRDefault="00A91960">
          <w:pPr>
            <w:tabs>
              <w:tab w:val="right" w:pos="9360"/>
            </w:tabs>
            <w:spacing w:before="200" w:line="240" w:lineRule="auto"/>
            <w:rPr>
              <w:rFonts w:ascii="Calibri" w:hAnsi="Calibri"/>
              <w:b/>
              <w:color w:val="000000"/>
            </w:rPr>
          </w:pPr>
          <w:hyperlink w:anchor="_heading=h.plkth9vqovj9">
            <w:r w:rsidR="008342F6">
              <w:rPr>
                <w:rFonts w:ascii="Calibri" w:hAnsi="Calibri"/>
                <w:b/>
                <w:color w:val="000000"/>
              </w:rPr>
              <w:t>II. Economics and Social Rights</w:t>
            </w:r>
          </w:hyperlink>
          <w:r w:rsidR="008342F6">
            <w:rPr>
              <w:rFonts w:ascii="Calibri" w:hAnsi="Calibri"/>
              <w:b/>
              <w:color w:val="000000"/>
            </w:rPr>
            <w:tab/>
          </w:r>
          <w:r w:rsidR="008342F6">
            <w:fldChar w:fldCharType="begin"/>
          </w:r>
          <w:r w:rsidR="008342F6">
            <w:instrText xml:space="preserve"> PAGEREF _heading=h.plkth9vqovj9 \h </w:instrText>
          </w:r>
          <w:r w:rsidR="008342F6">
            <w:fldChar w:fldCharType="separate"/>
          </w:r>
          <w:r w:rsidR="008342F6">
            <w:rPr>
              <w:rFonts w:ascii="Calibri" w:hAnsi="Calibri"/>
              <w:b/>
              <w:color w:val="000000"/>
            </w:rPr>
            <w:t>4</w:t>
          </w:r>
          <w:r w:rsidR="008342F6">
            <w:fldChar w:fldCharType="end"/>
          </w:r>
        </w:p>
        <w:p w14:paraId="4919398D" w14:textId="77777777" w:rsidR="0029519E" w:rsidRDefault="00A91960">
          <w:pPr>
            <w:tabs>
              <w:tab w:val="right" w:pos="9360"/>
            </w:tabs>
            <w:spacing w:before="60" w:line="240" w:lineRule="auto"/>
            <w:ind w:left="360"/>
            <w:rPr>
              <w:rFonts w:ascii="Calibri" w:hAnsi="Calibri"/>
              <w:color w:val="000000"/>
            </w:rPr>
          </w:pPr>
          <w:hyperlink w:anchor="_heading=h.3mwl88lf0zw5">
            <w:r w:rsidR="008342F6">
              <w:rPr>
                <w:rFonts w:ascii="Calibri" w:hAnsi="Calibri"/>
                <w:color w:val="000000"/>
              </w:rPr>
              <w:t>1. Denial of Economic Resources</w:t>
            </w:r>
          </w:hyperlink>
          <w:r w:rsidR="008342F6">
            <w:rPr>
              <w:rFonts w:ascii="Calibri" w:hAnsi="Calibri"/>
              <w:color w:val="000000"/>
            </w:rPr>
            <w:tab/>
          </w:r>
          <w:r w:rsidR="008342F6">
            <w:fldChar w:fldCharType="begin"/>
          </w:r>
          <w:r w:rsidR="008342F6">
            <w:instrText xml:space="preserve"> PAGEREF _heading=h.3mwl88lf0zw5 \h </w:instrText>
          </w:r>
          <w:r w:rsidR="008342F6">
            <w:fldChar w:fldCharType="separate"/>
          </w:r>
          <w:r w:rsidR="008342F6">
            <w:rPr>
              <w:rFonts w:ascii="Calibri" w:hAnsi="Calibri"/>
              <w:color w:val="000000"/>
            </w:rPr>
            <w:t>5</w:t>
          </w:r>
          <w:r w:rsidR="008342F6">
            <w:fldChar w:fldCharType="end"/>
          </w:r>
        </w:p>
        <w:p w14:paraId="67C1B12F" w14:textId="77777777" w:rsidR="0029519E" w:rsidRDefault="00A91960">
          <w:pPr>
            <w:tabs>
              <w:tab w:val="right" w:pos="9360"/>
            </w:tabs>
            <w:spacing w:before="60" w:line="240" w:lineRule="auto"/>
            <w:ind w:left="360"/>
            <w:rPr>
              <w:rFonts w:ascii="Calibri" w:hAnsi="Calibri"/>
              <w:color w:val="000000"/>
            </w:rPr>
          </w:pPr>
          <w:hyperlink w:anchor="_heading=h.kd4lahmsu3ty">
            <w:r w:rsidR="008342F6">
              <w:rPr>
                <w:rFonts w:ascii="Calibri" w:hAnsi="Calibri"/>
                <w:color w:val="000000"/>
              </w:rPr>
              <w:t>2. The Denial of Salaries and the Right to Livelihood</w:t>
            </w:r>
          </w:hyperlink>
          <w:r w:rsidR="008342F6">
            <w:rPr>
              <w:rFonts w:ascii="Calibri" w:hAnsi="Calibri"/>
              <w:color w:val="000000"/>
            </w:rPr>
            <w:tab/>
          </w:r>
          <w:r w:rsidR="008342F6">
            <w:fldChar w:fldCharType="begin"/>
          </w:r>
          <w:r w:rsidR="008342F6">
            <w:instrText xml:space="preserve"> PAGEREF _heading=h.kd4lahmsu3ty \h </w:instrText>
          </w:r>
          <w:r w:rsidR="008342F6">
            <w:fldChar w:fldCharType="separate"/>
          </w:r>
          <w:r w:rsidR="008342F6">
            <w:rPr>
              <w:rFonts w:ascii="Calibri" w:hAnsi="Calibri"/>
              <w:color w:val="000000"/>
            </w:rPr>
            <w:t>8</w:t>
          </w:r>
          <w:r w:rsidR="008342F6">
            <w:fldChar w:fldCharType="end"/>
          </w:r>
        </w:p>
        <w:p w14:paraId="0CB7458C" w14:textId="77777777" w:rsidR="0029519E" w:rsidRDefault="00A91960">
          <w:pPr>
            <w:tabs>
              <w:tab w:val="right" w:pos="9360"/>
            </w:tabs>
            <w:spacing w:before="60" w:line="240" w:lineRule="auto"/>
            <w:ind w:left="360"/>
            <w:rPr>
              <w:rFonts w:ascii="Calibri" w:hAnsi="Calibri"/>
              <w:color w:val="000000"/>
            </w:rPr>
          </w:pPr>
          <w:hyperlink w:anchor="_heading=h.rq5p4akbxr2l">
            <w:r w:rsidR="008342F6">
              <w:rPr>
                <w:rFonts w:ascii="Calibri" w:hAnsi="Calibri"/>
                <w:color w:val="000000"/>
              </w:rPr>
              <w:t>3. The Denial of Freedom of Movement</w:t>
            </w:r>
          </w:hyperlink>
          <w:r w:rsidR="008342F6">
            <w:rPr>
              <w:rFonts w:ascii="Calibri" w:hAnsi="Calibri"/>
              <w:color w:val="000000"/>
            </w:rPr>
            <w:tab/>
          </w:r>
          <w:r w:rsidR="008342F6">
            <w:fldChar w:fldCharType="begin"/>
          </w:r>
          <w:r w:rsidR="008342F6">
            <w:instrText xml:space="preserve"> PAGEREF _heading=h.rq5p4akbxr2l \h </w:instrText>
          </w:r>
          <w:r w:rsidR="008342F6">
            <w:fldChar w:fldCharType="separate"/>
          </w:r>
          <w:r w:rsidR="008342F6">
            <w:rPr>
              <w:rFonts w:ascii="Calibri" w:hAnsi="Calibri"/>
              <w:color w:val="000000"/>
            </w:rPr>
            <w:t>11</w:t>
          </w:r>
          <w:r w:rsidR="008342F6">
            <w:fldChar w:fldCharType="end"/>
          </w:r>
        </w:p>
        <w:p w14:paraId="6DF3CDCB" w14:textId="77777777" w:rsidR="0029519E" w:rsidRDefault="00A91960">
          <w:pPr>
            <w:tabs>
              <w:tab w:val="right" w:pos="9360"/>
            </w:tabs>
            <w:spacing w:before="200" w:after="80" w:line="240" w:lineRule="auto"/>
            <w:rPr>
              <w:rFonts w:ascii="Calibri" w:hAnsi="Calibri"/>
              <w:b/>
              <w:color w:val="000000"/>
            </w:rPr>
          </w:pPr>
          <w:hyperlink w:anchor="_heading=h.8r8tfveeksuz">
            <w:r w:rsidR="008342F6">
              <w:rPr>
                <w:rFonts w:ascii="Calibri" w:hAnsi="Calibri"/>
                <w:b/>
                <w:color w:val="000000"/>
              </w:rPr>
              <w:t>III. Information About the Bief Providers</w:t>
            </w:r>
          </w:hyperlink>
          <w:r w:rsidR="008342F6">
            <w:rPr>
              <w:rFonts w:ascii="Calibri" w:hAnsi="Calibri"/>
              <w:b/>
              <w:color w:val="000000"/>
            </w:rPr>
            <w:tab/>
          </w:r>
          <w:r w:rsidR="008342F6">
            <w:fldChar w:fldCharType="begin"/>
          </w:r>
          <w:r w:rsidR="008342F6">
            <w:instrText xml:space="preserve"> PAGEREF _heading=h.8r8tfveeksuz \h </w:instrText>
          </w:r>
          <w:r w:rsidR="008342F6">
            <w:fldChar w:fldCharType="separate"/>
          </w:r>
          <w:r w:rsidR="008342F6">
            <w:rPr>
              <w:rFonts w:ascii="Calibri" w:hAnsi="Calibri"/>
              <w:b/>
              <w:color w:val="000000"/>
            </w:rPr>
            <w:t>14</w:t>
          </w:r>
          <w:r w:rsidR="008342F6">
            <w:fldChar w:fldCharType="end"/>
          </w:r>
          <w:r w:rsidR="008342F6">
            <w:fldChar w:fldCharType="end"/>
          </w:r>
        </w:p>
      </w:sdtContent>
    </w:sdt>
    <w:p w14:paraId="3D2ADEF4" w14:textId="77777777" w:rsidR="0029519E" w:rsidRDefault="0029519E"/>
    <w:p w14:paraId="30B81A5F" w14:textId="77777777" w:rsidR="0029519E" w:rsidRDefault="0029519E">
      <w:pPr>
        <w:spacing w:line="480" w:lineRule="auto"/>
        <w:jc w:val="both"/>
      </w:pPr>
    </w:p>
    <w:p w14:paraId="21D87F49" w14:textId="77777777" w:rsidR="0029519E" w:rsidRDefault="0029519E">
      <w:pPr>
        <w:spacing w:line="480" w:lineRule="auto"/>
        <w:jc w:val="both"/>
      </w:pPr>
    </w:p>
    <w:p w14:paraId="0997E605" w14:textId="77777777" w:rsidR="0029519E" w:rsidRDefault="0029519E">
      <w:pPr>
        <w:spacing w:line="480" w:lineRule="auto"/>
        <w:jc w:val="both"/>
      </w:pPr>
    </w:p>
    <w:p w14:paraId="236000C5" w14:textId="77777777" w:rsidR="0029519E" w:rsidRDefault="0029519E">
      <w:pPr>
        <w:spacing w:line="480" w:lineRule="auto"/>
        <w:jc w:val="both"/>
      </w:pPr>
    </w:p>
    <w:p w14:paraId="350A4CD3" w14:textId="77777777" w:rsidR="0029519E" w:rsidRDefault="0029519E">
      <w:pPr>
        <w:spacing w:line="480" w:lineRule="auto"/>
        <w:jc w:val="both"/>
      </w:pPr>
    </w:p>
    <w:p w14:paraId="67320A86" w14:textId="77777777" w:rsidR="0029519E" w:rsidRDefault="0029519E">
      <w:pPr>
        <w:spacing w:line="480" w:lineRule="auto"/>
        <w:jc w:val="both"/>
      </w:pPr>
    </w:p>
    <w:p w14:paraId="05CAA8A6" w14:textId="77777777" w:rsidR="0029519E" w:rsidRDefault="0029519E">
      <w:pPr>
        <w:spacing w:line="480" w:lineRule="auto"/>
        <w:jc w:val="both"/>
      </w:pPr>
    </w:p>
    <w:p w14:paraId="4AB4A658" w14:textId="77777777" w:rsidR="0029519E" w:rsidRDefault="0029519E">
      <w:pPr>
        <w:spacing w:line="480" w:lineRule="auto"/>
        <w:jc w:val="both"/>
      </w:pPr>
    </w:p>
    <w:p w14:paraId="0F5E6719" w14:textId="77777777" w:rsidR="0029519E" w:rsidRDefault="0029519E">
      <w:pPr>
        <w:spacing w:line="480" w:lineRule="auto"/>
        <w:jc w:val="both"/>
      </w:pPr>
    </w:p>
    <w:p w14:paraId="33A5D77D" w14:textId="77777777" w:rsidR="0029519E" w:rsidRDefault="0029519E">
      <w:pPr>
        <w:spacing w:line="480" w:lineRule="auto"/>
        <w:jc w:val="both"/>
      </w:pPr>
    </w:p>
    <w:p w14:paraId="7C48B318" w14:textId="77777777" w:rsidR="0029519E" w:rsidRDefault="0029519E">
      <w:pPr>
        <w:spacing w:line="480" w:lineRule="auto"/>
        <w:jc w:val="both"/>
      </w:pPr>
    </w:p>
    <w:p w14:paraId="0C0B9403" w14:textId="77777777" w:rsidR="0029519E" w:rsidRDefault="0029519E">
      <w:pPr>
        <w:spacing w:line="480" w:lineRule="auto"/>
        <w:jc w:val="both"/>
      </w:pPr>
    </w:p>
    <w:p w14:paraId="3339E6F8" w14:textId="77777777" w:rsidR="0029519E" w:rsidRDefault="0029519E">
      <w:pPr>
        <w:spacing w:line="480" w:lineRule="auto"/>
        <w:jc w:val="both"/>
      </w:pPr>
    </w:p>
    <w:p w14:paraId="4F5E948E" w14:textId="77777777" w:rsidR="0029519E" w:rsidRDefault="008342F6">
      <w:pPr>
        <w:pStyle w:val="Heading1"/>
        <w:spacing w:before="400" w:line="276" w:lineRule="auto"/>
        <w:jc w:val="both"/>
      </w:pPr>
      <w:bookmarkStart w:id="5" w:name="_heading=h.u1n7g3wg6o4z" w:colFirst="0" w:colLast="0"/>
      <w:bookmarkEnd w:id="5"/>
      <w:r>
        <w:rPr>
          <w:rFonts w:ascii="Arial" w:eastAsia="Arial" w:hAnsi="Arial" w:cs="Arial"/>
          <w:color w:val="0000FF"/>
          <w:sz w:val="22"/>
          <w:szCs w:val="22"/>
        </w:rPr>
        <w:lastRenderedPageBreak/>
        <w:t xml:space="preserve">1. Introduction </w:t>
      </w:r>
    </w:p>
    <w:p w14:paraId="7A75EAF7" w14:textId="77777777" w:rsidR="0029519E" w:rsidRDefault="008342F6">
      <w:pPr>
        <w:spacing w:line="480" w:lineRule="auto"/>
        <w:jc w:val="both"/>
        <w:rPr>
          <w:rFonts w:ascii="Times New Roman" w:eastAsia="Times New Roman" w:hAnsi="Times New Roman" w:cs="Times New Roman"/>
        </w:rPr>
      </w:pPr>
      <w:r>
        <w:rPr>
          <w:rFonts w:ascii="Times New Roman" w:eastAsia="Times New Roman" w:hAnsi="Times New Roman" w:cs="Times New Roman"/>
        </w:rPr>
        <w:t>This summary gives a brief, general overview of some economic and social rights in Yemen that have been affected by the war and violated directly and indirectly by the parties to the conflict. This summary is provided by Yemeni civil society organisations working in different geographical areas, such as Aden, Sana’a, Marib, Shabwa, and Taiz, and in different fields of media, humanitarian affairs, and human rights. This summary covers three main topics: the denial of financial resources, the denial of pensions, and the blocking of major roads between governorates. These are not the only rights meriting attention, but they are a priority for the organisations providing the information in this report.</w:t>
      </w:r>
    </w:p>
    <w:p w14:paraId="18C40EB4" w14:textId="77777777" w:rsidR="0029519E" w:rsidRDefault="008342F6">
      <w:pPr>
        <w:spacing w:line="480" w:lineRule="auto"/>
        <w:jc w:val="both"/>
        <w:rPr>
          <w:rFonts w:ascii="Times New Roman" w:eastAsia="Times New Roman" w:hAnsi="Times New Roman" w:cs="Times New Roman"/>
        </w:rPr>
      </w:pPr>
      <w:r>
        <w:rPr>
          <w:rFonts w:ascii="Times New Roman" w:eastAsia="Times New Roman" w:hAnsi="Times New Roman" w:cs="Times New Roman"/>
          <w:highlight w:val="white"/>
        </w:rPr>
        <w:t>The armed conflict that began in 2014 with the Houthis’ entry into Sana’a, followed by the 2015 military escalation pursued by the Saudi- and UAE-led coalition, has generated an unparalleled</w:t>
      </w:r>
      <w:r>
        <w:rPr>
          <w:rFonts w:ascii="Times New Roman" w:eastAsia="Times New Roman" w:hAnsi="Times New Roman" w:cs="Times New Roman"/>
        </w:rPr>
        <w:t xml:space="preserve"> humanitarian crisis</w:t>
      </w:r>
      <w:r>
        <w:rPr>
          <w:rFonts w:ascii="Times New Roman" w:eastAsia="Times New Roman" w:hAnsi="Times New Roman" w:cs="Times New Roman"/>
          <w:highlight w:val="white"/>
        </w:rPr>
        <w:t xml:space="preserve">—one of the </w:t>
      </w:r>
      <w:hyperlink r:id="rId7">
        <w:r>
          <w:rPr>
            <w:rFonts w:ascii="Times New Roman" w:eastAsia="Times New Roman" w:hAnsi="Times New Roman" w:cs="Times New Roman"/>
            <w:color w:val="0563C1"/>
            <w:highlight w:val="white"/>
            <w:u w:val="single"/>
          </w:rPr>
          <w:t>biggest in the world</w:t>
        </w:r>
      </w:hyperlink>
      <w:r>
        <w:rPr>
          <w:rFonts w:ascii="Times New Roman" w:eastAsia="Times New Roman" w:hAnsi="Times New Roman" w:cs="Times New Roman"/>
          <w:highlight w:val="white"/>
        </w:rPr>
        <w:t xml:space="preserve">, according to the UN. The parties to the conflict have destroyed the formal economy, which </w:t>
      </w:r>
      <w:hyperlink r:id="rId8">
        <w:r>
          <w:rPr>
            <w:rFonts w:ascii="Times New Roman" w:eastAsia="Times New Roman" w:hAnsi="Times New Roman" w:cs="Times New Roman"/>
            <w:color w:val="0563C1"/>
            <w:highlight w:val="white"/>
            <w:u w:val="single"/>
          </w:rPr>
          <w:t>many international organisations</w:t>
        </w:r>
      </w:hyperlink>
      <w:r>
        <w:rPr>
          <w:rFonts w:ascii="Times New Roman" w:eastAsia="Times New Roman" w:hAnsi="Times New Roman" w:cs="Times New Roman"/>
          <w:highlight w:val="white"/>
        </w:rPr>
        <w:t xml:space="preserve"> deemed fragile and weak, giving rise to an informal economy in which parallel economic entities act to finance the war.</w:t>
      </w:r>
      <w:hyperlink r:id="rId9">
        <w:r>
          <w:rPr>
            <w:rFonts w:ascii="Times New Roman" w:eastAsia="Times New Roman" w:hAnsi="Times New Roman" w:cs="Times New Roman"/>
            <w:color w:val="0563C1"/>
            <w:highlight w:val="white"/>
            <w:u w:val="single"/>
          </w:rPr>
          <w:t xml:space="preserve"> Parties to the conflict in Yemen</w:t>
        </w:r>
      </w:hyperlink>
      <w:r>
        <w:rPr>
          <w:rFonts w:ascii="Times New Roman" w:eastAsia="Times New Roman" w:hAnsi="Times New Roman" w:cs="Times New Roman"/>
          <w:highlight w:val="white"/>
        </w:rPr>
        <w:t xml:space="preserve"> have deprived</w:t>
      </w:r>
      <w:hyperlink r:id="rId10">
        <w:r>
          <w:rPr>
            <w:rFonts w:ascii="Times New Roman" w:eastAsia="Times New Roman" w:hAnsi="Times New Roman" w:cs="Times New Roman"/>
            <w:color w:val="0563C1"/>
            <w:highlight w:val="white"/>
            <w:u w:val="single"/>
          </w:rPr>
          <w:t xml:space="preserve"> </w:t>
        </w:r>
      </w:hyperlink>
      <w:r>
        <w:rPr>
          <w:rFonts w:ascii="Times New Roman" w:eastAsia="Times New Roman" w:hAnsi="Times New Roman" w:cs="Times New Roman"/>
          <w:highlight w:val="white"/>
        </w:rPr>
        <w:t xml:space="preserve">civilians of materials and goods essential to their survival, in some cases starving them to death. Over the eight years of the conflict, the country has fragmented, and capturing the Yemeni state has become a much more complex matter. Patronage networks emerged with the </w:t>
      </w:r>
      <w:hyperlink r:id="rId11">
        <w:r>
          <w:rPr>
            <w:rFonts w:ascii="Times New Roman" w:eastAsia="Times New Roman" w:hAnsi="Times New Roman" w:cs="Times New Roman"/>
            <w:color w:val="0563C1"/>
            <w:highlight w:val="white"/>
            <w:u w:val="single"/>
          </w:rPr>
          <w:t>war economy</w:t>
        </w:r>
      </w:hyperlink>
      <w:r>
        <w:rPr>
          <w:rFonts w:ascii="Times New Roman" w:eastAsia="Times New Roman" w:hAnsi="Times New Roman" w:cs="Times New Roman"/>
          <w:highlight w:val="white"/>
        </w:rPr>
        <w:t xml:space="preserve">, and with the increasing diversity of actors benefitting from illicit activity in this economy, the economic interests invested in the continuation of the conflict are becoming more and more entrenched. Economic conditions continue to deteriorate, and </w:t>
      </w:r>
      <w:hyperlink r:id="rId12">
        <w:r>
          <w:rPr>
            <w:rFonts w:ascii="Times New Roman" w:eastAsia="Times New Roman" w:hAnsi="Times New Roman" w:cs="Times New Roman"/>
            <w:color w:val="0563C1"/>
            <w:highlight w:val="white"/>
            <w:u w:val="single"/>
          </w:rPr>
          <w:t>the acute humanitarian</w:t>
        </w:r>
      </w:hyperlink>
      <w:r>
        <w:rPr>
          <w:rFonts w:ascii="Times New Roman" w:eastAsia="Times New Roman" w:hAnsi="Times New Roman" w:cs="Times New Roman"/>
          <w:highlight w:val="white"/>
        </w:rPr>
        <w:t xml:space="preserve"> crisis continues. The splintering of economic institutions among conflicting parties and uncoordinated political decisions have exacerbated the social and economic crisis caused by active conflict</w:t>
      </w:r>
      <w:r>
        <w:rPr>
          <w:rFonts w:ascii="Times New Roman" w:eastAsia="Times New Roman" w:hAnsi="Times New Roman" w:cs="Times New Roman"/>
        </w:rPr>
        <w:t>.</w:t>
      </w:r>
    </w:p>
    <w:p w14:paraId="3474C45E" w14:textId="77777777" w:rsidR="0029519E" w:rsidRDefault="008342F6">
      <w:pPr>
        <w:spacing w:line="480" w:lineRule="auto"/>
        <w:jc w:val="both"/>
        <w:rPr>
          <w:rFonts w:ascii="Times New Roman" w:eastAsia="Times New Roman" w:hAnsi="Times New Roman" w:cs="Times New Roman"/>
        </w:rPr>
      </w:pPr>
      <w:r>
        <w:rPr>
          <w:rFonts w:ascii="Times New Roman" w:eastAsia="Times New Roman" w:hAnsi="Times New Roman" w:cs="Times New Roman"/>
        </w:rPr>
        <w:t xml:space="preserve">Since the collapse of the </w:t>
      </w:r>
      <w:hyperlink r:id="rId13">
        <w:r>
          <w:rPr>
            <w:rFonts w:ascii="Times New Roman" w:eastAsia="Times New Roman" w:hAnsi="Times New Roman" w:cs="Times New Roman"/>
            <w:color w:val="0563C1"/>
            <w:u w:val="single"/>
          </w:rPr>
          <w:t>economic truce over the course of 2016 and 2017</w:t>
        </w:r>
      </w:hyperlink>
      <w:r>
        <w:rPr>
          <w:rFonts w:ascii="Times New Roman" w:eastAsia="Times New Roman" w:hAnsi="Times New Roman" w:cs="Times New Roman"/>
        </w:rPr>
        <w:t>, the economic conflict has become more severe and more intertwined with Yemen’s raging war. The economic conflict is manifested most clearly in the fragmenting of the Central Bank into rival authorities in Sana’a and Aden, the struggle to control trade flows and tax fuel in particular, and the sharp depreciation of the Yemeni rial in areas under nominal government control. The depreciation of the rial has pushed the prices of imported necessities such as food and fuel out of reach for many people. By the end of 2021, the war had claimed the lives of some 377,000 Yemenis. Of that number, most were killed not by front-line fighting, shelling or airstrikes, but because of hunger and preventable diseases, the vast majority of them young children and women.</w:t>
      </w:r>
    </w:p>
    <w:p w14:paraId="7E9E0DBB" w14:textId="77777777" w:rsidR="0029519E" w:rsidRDefault="008342F6">
      <w:pPr>
        <w:pStyle w:val="Heading1"/>
        <w:spacing w:before="400" w:line="276" w:lineRule="auto"/>
        <w:jc w:val="both"/>
      </w:pPr>
      <w:bookmarkStart w:id="6" w:name="_heading=h.plkth9vqovj9" w:colFirst="0" w:colLast="0"/>
      <w:bookmarkEnd w:id="6"/>
      <w:r>
        <w:rPr>
          <w:rFonts w:ascii="Arial" w:eastAsia="Arial" w:hAnsi="Arial" w:cs="Arial"/>
          <w:color w:val="0000FF"/>
          <w:sz w:val="22"/>
          <w:szCs w:val="22"/>
        </w:rPr>
        <w:t xml:space="preserve">II. Economics and Social Rights </w:t>
      </w:r>
    </w:p>
    <w:p w14:paraId="1081B8FF" w14:textId="77777777" w:rsidR="0029519E" w:rsidRDefault="0029519E">
      <w:pPr>
        <w:spacing w:line="480" w:lineRule="auto"/>
        <w:jc w:val="both"/>
        <w:rPr>
          <w:rFonts w:ascii="Times New Roman" w:eastAsia="Times New Roman" w:hAnsi="Times New Roman" w:cs="Times New Roman"/>
        </w:rPr>
      </w:pPr>
    </w:p>
    <w:p w14:paraId="5BA2BE11" w14:textId="77777777" w:rsidR="0029519E" w:rsidRDefault="008342F6">
      <w:pPr>
        <w:spacing w:line="480" w:lineRule="auto"/>
        <w:jc w:val="both"/>
        <w:rPr>
          <w:rFonts w:ascii="Times New Roman" w:eastAsia="Times New Roman" w:hAnsi="Times New Roman" w:cs="Times New Roman"/>
        </w:rPr>
      </w:pPr>
      <w:r>
        <w:rPr>
          <w:rFonts w:ascii="Times New Roman" w:eastAsia="Times New Roman" w:hAnsi="Times New Roman" w:cs="Times New Roman"/>
        </w:rPr>
        <w:t>Human rights provide a uniform framework of universally recognised values and norms, and set out the obligations of states to act in certain ways or to refrain from certain acts. Human rights are an important tool that allows states, and increasingly non-state actors, to be held accountable for abuses. They also allow for the mobilisation of collective efforts seeking to develop communities and create global frameworks conducive to economic justice, social welfare, participation, and equality. Human rights are universal and interdependent, inalienable and indivisible. In 1948, the UN General Assembly adopted the</w:t>
      </w:r>
      <w:hyperlink r:id="rId14">
        <w:r>
          <w:rPr>
            <w:rFonts w:ascii="Times New Roman" w:eastAsia="Times New Roman" w:hAnsi="Times New Roman" w:cs="Times New Roman"/>
            <w:color w:val="0563C1"/>
            <w:u w:val="single"/>
          </w:rPr>
          <w:t xml:space="preserve"> Universal Declaration of Human Rights</w:t>
        </w:r>
      </w:hyperlink>
      <w:r>
        <w:rPr>
          <w:rFonts w:ascii="Times New Roman" w:eastAsia="Times New Roman" w:hAnsi="Times New Roman" w:cs="Times New Roman"/>
        </w:rPr>
        <w:t xml:space="preserve"> (UDHR) setting out the basic civil, cultural, economic, political, and social rights that all human beings should enjoy. In 1966, economic, social, and cultural rights were established as legal rights in the International Covenant on Social and Economic Rights (ICESCR) (which, together with the UDHR and the International Covenant on Civil and Political Rights, constitute the so-called International Bill of Rights); these and other rights have been elaborated in other </w:t>
      </w:r>
      <w:hyperlink r:id="rId15">
        <w:r>
          <w:rPr>
            <w:rFonts w:ascii="Times New Roman" w:eastAsia="Times New Roman" w:hAnsi="Times New Roman" w:cs="Times New Roman"/>
            <w:color w:val="0563C1"/>
            <w:u w:val="single"/>
          </w:rPr>
          <w:t>core human rights treaties and regional mechanisms</w:t>
        </w:r>
      </w:hyperlink>
      <w:r>
        <w:rPr>
          <w:rFonts w:ascii="Times New Roman" w:eastAsia="Times New Roman" w:hAnsi="Times New Roman" w:cs="Times New Roman"/>
        </w:rPr>
        <w:t>. To date, more than 160 states have ratified the ICESCR.</w:t>
      </w:r>
    </w:p>
    <w:p w14:paraId="0D626B32" w14:textId="77777777" w:rsidR="0029519E" w:rsidRDefault="008342F6">
      <w:pPr>
        <w:pStyle w:val="Heading2"/>
        <w:spacing w:before="0" w:after="0" w:line="276" w:lineRule="auto"/>
        <w:jc w:val="both"/>
        <w:rPr>
          <w:rFonts w:ascii="Times New Roman" w:eastAsia="Times New Roman" w:hAnsi="Times New Roman" w:cs="Times New Roman"/>
        </w:rPr>
      </w:pPr>
      <w:bookmarkStart w:id="7" w:name="_heading=h.3mwl88lf0zw5" w:colFirst="0" w:colLast="0"/>
      <w:bookmarkEnd w:id="7"/>
      <w:r>
        <w:rPr>
          <w:rFonts w:ascii="Arial" w:eastAsia="Arial" w:hAnsi="Arial" w:cs="Arial"/>
          <w:color w:val="741B47"/>
          <w:sz w:val="22"/>
          <w:szCs w:val="22"/>
          <w:highlight w:val="white"/>
        </w:rPr>
        <w:t xml:space="preserve">1. Denial of Economic Resources </w:t>
      </w:r>
    </w:p>
    <w:p w14:paraId="13B7088D" w14:textId="77777777" w:rsidR="0029519E" w:rsidRDefault="0029519E">
      <w:pPr>
        <w:spacing w:line="480" w:lineRule="auto"/>
        <w:jc w:val="both"/>
        <w:rPr>
          <w:rFonts w:ascii="Times New Roman" w:eastAsia="Times New Roman" w:hAnsi="Times New Roman" w:cs="Times New Roman"/>
        </w:rPr>
      </w:pPr>
    </w:p>
    <w:p w14:paraId="6FCFC337" w14:textId="77777777" w:rsidR="0029519E" w:rsidRDefault="008342F6">
      <w:pPr>
        <w:spacing w:line="480" w:lineRule="auto"/>
        <w:jc w:val="both"/>
        <w:rPr>
          <w:rFonts w:ascii="Times New Roman" w:eastAsia="Times New Roman" w:hAnsi="Times New Roman" w:cs="Times New Roman"/>
        </w:rPr>
      </w:pPr>
      <w:r>
        <w:rPr>
          <w:rFonts w:ascii="Times New Roman" w:eastAsia="Times New Roman" w:hAnsi="Times New Roman" w:cs="Times New Roman"/>
        </w:rPr>
        <w:t xml:space="preserve">Consistent with the right of the individual, Article 11 of the ICESCR requires states parties to provide everyone with adequate shelter and a decent standard of living for themselves and their families, including adequate food, clothing, and housing, and to continuously improve living conditions. Article 11 encompasses a wide range of concerns relating to the lives and livelihoods of the population of state parties, in particular food, clothing, and housing. The </w:t>
      </w:r>
      <w:hyperlink r:id="rId16">
        <w:r>
          <w:rPr>
            <w:rFonts w:ascii="Times New Roman" w:eastAsia="Times New Roman" w:hAnsi="Times New Roman" w:cs="Times New Roman"/>
            <w:color w:val="0563C1"/>
            <w:u w:val="single"/>
          </w:rPr>
          <w:t xml:space="preserve"> parties to the conflict in Yemen</w:t>
        </w:r>
      </w:hyperlink>
      <w:r>
        <w:rPr>
          <w:rFonts w:ascii="Times New Roman" w:eastAsia="Times New Roman" w:hAnsi="Times New Roman" w:cs="Times New Roman"/>
        </w:rPr>
        <w:t xml:space="preserve"> have deprived civilians of materials necessary to their survival, starving them, in some cases, to death. Food insecurity in Yemen is not a by-product of conflict; conflict, and the conduct of warring parties, drives it.</w:t>
      </w:r>
    </w:p>
    <w:p w14:paraId="10810573" w14:textId="77777777" w:rsidR="0029519E" w:rsidRDefault="008342F6">
      <w:pPr>
        <w:spacing w:line="480" w:lineRule="auto"/>
        <w:jc w:val="both"/>
        <w:rPr>
          <w:rFonts w:ascii="Times New Roman" w:eastAsia="Times New Roman" w:hAnsi="Times New Roman" w:cs="Times New Roman"/>
        </w:rPr>
      </w:pPr>
      <w:r>
        <w:rPr>
          <w:rFonts w:ascii="Times New Roman" w:eastAsia="Times New Roman" w:hAnsi="Times New Roman" w:cs="Times New Roman"/>
        </w:rPr>
        <w:t>When the conflict began in 2014, about 41 per cent of Yemen’s population was food insecure. According to reports from the World Food Program (WFP) and the UN Office for the Coordination of Humanitarian Affairs (OCHA), the proportion of the population that is food insecure has been increasing almost every year since 2014. In early 2021, the WFP reported that Yemen was heading straight for the largest famine in modern history with ‘</w:t>
      </w:r>
      <w:hyperlink r:id="rId17">
        <w:r>
          <w:rPr>
            <w:rFonts w:ascii="Times New Roman" w:eastAsia="Times New Roman" w:hAnsi="Times New Roman" w:cs="Times New Roman"/>
            <w:color w:val="0563C1"/>
            <w:u w:val="single"/>
          </w:rPr>
          <w:t>over 400,000 children at risk of death</w:t>
        </w:r>
      </w:hyperlink>
      <w:r>
        <w:rPr>
          <w:rFonts w:ascii="Times New Roman" w:eastAsia="Times New Roman" w:hAnsi="Times New Roman" w:cs="Times New Roman"/>
        </w:rPr>
        <w:t>’ and 16.4 million people facing severe food insecurity.</w:t>
      </w:r>
    </w:p>
    <w:p w14:paraId="40BAD8FB" w14:textId="77777777" w:rsidR="0029519E" w:rsidRDefault="008342F6">
      <w:pPr>
        <w:spacing w:line="480" w:lineRule="auto"/>
        <w:jc w:val="both"/>
        <w:rPr>
          <w:rFonts w:ascii="Times New Roman" w:eastAsia="Times New Roman" w:hAnsi="Times New Roman" w:cs="Times New Roman"/>
        </w:rPr>
      </w:pPr>
      <w:r>
        <w:rPr>
          <w:rFonts w:ascii="Times New Roman" w:eastAsia="Times New Roman" w:hAnsi="Times New Roman" w:cs="Times New Roman"/>
        </w:rPr>
        <w:t xml:space="preserve">Yemen’s economy depends largely on the </w:t>
      </w:r>
      <w:hyperlink r:id="rId18">
        <w:r>
          <w:rPr>
            <w:rFonts w:ascii="Times New Roman" w:eastAsia="Times New Roman" w:hAnsi="Times New Roman" w:cs="Times New Roman"/>
            <w:color w:val="0563C1"/>
            <w:u w:val="single"/>
          </w:rPr>
          <w:t>country’s oil wealth</w:t>
        </w:r>
      </w:hyperlink>
      <w:r>
        <w:rPr>
          <w:rFonts w:ascii="Times New Roman" w:eastAsia="Times New Roman" w:hAnsi="Times New Roman" w:cs="Times New Roman"/>
        </w:rPr>
        <w:t>, with a small part reliant on and fisheries and agriculture. Before 21 September 2014, Yemen exported some 259,000 barrels of oil per day, which accounted for 40 per cent of GDP, 70 per cent of state revenues, and 90 per cent of the budget (the 2014 state budget). According to the Ultra consulting company, known and proven oil reserves in the productive basins are estimated at some 3 billion barrels, distributed over the basins of Shabwa, Marib, Seiyun and Masila; gas reserves are estimated at 16 trillion cubic feet. Before September 2014, Yemen held an estimated $5.1 billion in hard currency reserves; with the suspension of exports, reserves fell to $1 billion in 2016. The decision to transfer the Central Bank to Aden in September 2016—made by the former head of the recognised Hadi government at the time, ostensibly to preserve the bank’s independence and maintain its assets—also had several repercussions that contributed to the collapse of the national economy. Most importantly, billions of rials were issued without cash coverage, which contributed to rising inflation and the depreciation of the local currency. As a result, there are two economies, two different currencies, and two banking systems in the country.</w:t>
      </w:r>
    </w:p>
    <w:p w14:paraId="5B22E49B" w14:textId="77777777" w:rsidR="0029519E" w:rsidRDefault="008342F6">
      <w:pPr>
        <w:spacing w:line="480" w:lineRule="auto"/>
        <w:jc w:val="both"/>
        <w:rPr>
          <w:rFonts w:ascii="Times New Roman" w:eastAsia="Times New Roman" w:hAnsi="Times New Roman" w:cs="Times New Roman"/>
        </w:rPr>
      </w:pPr>
      <w:r>
        <w:rPr>
          <w:rFonts w:ascii="Times New Roman" w:eastAsia="Times New Roman" w:hAnsi="Times New Roman" w:cs="Times New Roman"/>
        </w:rPr>
        <w:t xml:space="preserve">One of these entities is the black market (currency exchange shops, which have become the main setter of the price of the national currency against foreign currencies). Yemenis have clearly grasped the concept of the </w:t>
      </w:r>
      <w:hyperlink r:id="rId19">
        <w:r>
          <w:rPr>
            <w:rFonts w:ascii="Times New Roman" w:eastAsia="Times New Roman" w:hAnsi="Times New Roman" w:cs="Times New Roman"/>
            <w:color w:val="0563C1"/>
            <w:u w:val="single"/>
          </w:rPr>
          <w:t>war economy</w:t>
        </w:r>
      </w:hyperlink>
      <w:r>
        <w:rPr>
          <w:rFonts w:ascii="Times New Roman" w:eastAsia="Times New Roman" w:hAnsi="Times New Roman" w:cs="Times New Roman"/>
        </w:rPr>
        <w:t xml:space="preserve"> and illicit enrichment, seeing it as responsible for the loss of billions in state resources that would have alleviated the worsening humanitarian situation. It has become commonly understood that one of the most important reasons for the deterioration of the economic and humanitarian situation in our country is the scarcity of revenues due to the failure of many public and government institutions in the governorates in the liberated areas to turn their revenues over to the Central Bank of Yemen (Aden). Moreover, the Sana’a authority and other de facto authorities have doubled taxes in the areas under their control, greatly exacerbating the humanitarian burden on citizens; in failing to confront these measures, the government bears a large part of the responsibility.</w:t>
      </w:r>
    </w:p>
    <w:p w14:paraId="64A8FCD3" w14:textId="77777777" w:rsidR="0029519E" w:rsidRDefault="008342F6">
      <w:pPr>
        <w:spacing w:line="480" w:lineRule="auto"/>
        <w:jc w:val="both"/>
        <w:rPr>
          <w:rFonts w:ascii="Times New Roman" w:eastAsia="Times New Roman" w:hAnsi="Times New Roman" w:cs="Times New Roman"/>
        </w:rPr>
      </w:pPr>
      <w:r>
        <w:rPr>
          <w:rFonts w:ascii="Times New Roman" w:eastAsia="Times New Roman" w:hAnsi="Times New Roman" w:cs="Times New Roman"/>
        </w:rPr>
        <w:t>The refusal to deposit state resources in the Central Bank means not only that public institutions are opening accounts in commercial banks and depositing funds in them instead of the state bank; they are also depositing funds with exchange companies, using them to convert the local currency into hard currency, and then transferring these funds abroad on the pretext of meeting external obligations. This is true of the revenues from the Aden port, controlled by the UAE and its loyalist forces, which are placed in special accounts in the National Bank of Yemen and that were opened y Aidarus al-Zoubaidi when he was governor of Aden; these accounts have not yet been closed. The case is similar with revenues from the Hodeida port, controlled by Sana’a forces, which did not comply with the terms of the Stockholm agreement requiring them to deposit the revenues in the Central Bank of Aden to be used to pay the salaries of state employees.</w:t>
      </w:r>
    </w:p>
    <w:p w14:paraId="41F827C8" w14:textId="77777777" w:rsidR="0029519E" w:rsidRDefault="008342F6">
      <w:pPr>
        <w:spacing w:line="480" w:lineRule="auto"/>
        <w:jc w:val="both"/>
        <w:rPr>
          <w:rFonts w:ascii="Times New Roman" w:eastAsia="Times New Roman" w:hAnsi="Times New Roman" w:cs="Times New Roman"/>
        </w:rPr>
      </w:pPr>
      <w:r>
        <w:rPr>
          <w:rFonts w:ascii="Times New Roman" w:eastAsia="Times New Roman" w:hAnsi="Times New Roman" w:cs="Times New Roman"/>
        </w:rPr>
        <w:t>The same applies to the sovereign resources of the state in governorates like Mahra, al-Jawf, and the oil province of Marib, which is under government control. In Marib, no revenues are deposited in the general government account in the Central Bank branch in the governorate, and no revenues are contributed to the public budget. In fact, the legitimate government opened a bank account in the Saudi National Bank in which Yemeni oil revenues are deposited. From 2016 until the first months of 2022, some $7.6 billion in oil revenues were deposited in that account, used, according to sources, to pay the monthly salaries of ministers, parliamentarians, deputy ministers, and officials in the legitimate government in hard currency.</w:t>
      </w:r>
    </w:p>
    <w:p w14:paraId="681B0A88" w14:textId="77777777" w:rsidR="0029519E" w:rsidRDefault="008342F6">
      <w:pPr>
        <w:spacing w:line="480" w:lineRule="auto"/>
        <w:jc w:val="both"/>
        <w:rPr>
          <w:rFonts w:ascii="Times New Roman" w:eastAsia="Times New Roman" w:hAnsi="Times New Roman" w:cs="Times New Roman"/>
        </w:rPr>
      </w:pPr>
      <w:r>
        <w:rPr>
          <w:rFonts w:ascii="Times New Roman" w:eastAsia="Times New Roman" w:hAnsi="Times New Roman" w:cs="Times New Roman"/>
        </w:rPr>
        <w:t>According to an economic report published on the al-Watan news website, since 2016, the governorate of Marib has not turned over gas revenues, which amount to about 7 billion Yemeni Riyal  per month, to the Central Bank. Instead, it opened a current account in a commercial bank, in which gas revenues are deposited. Similarly, Mukalla in Hadramout does not turn over customs revenues at all, in line with the state’s ‘exceptional’ decision in 2016, not to deposit funds in the Central Bank. In the absence of a clear, serious economic and financial plan from the government to boost state resources in order to improve the average citizen’s economic situation, efforts are limited to soliciting donors and regional and international supporters for aid to help the country out of its crisis. Meanwhile, the government pays no attention to the productive sectors in the provinces under its control or to increasing revenue and collecting and depositing it in the Central Bank. Facing a severe liquidity crisis, the Central Bank is thus compelled to periodically issue tenders for hard currency to provide the liquidity necessary to cover state expenses, first and foremost the salaries of state employees.</w:t>
      </w:r>
    </w:p>
    <w:p w14:paraId="706FEC4E" w14:textId="77777777" w:rsidR="0029519E" w:rsidRDefault="008342F6">
      <w:pPr>
        <w:pStyle w:val="Heading2"/>
        <w:spacing w:before="0" w:after="0" w:line="276" w:lineRule="auto"/>
        <w:jc w:val="both"/>
        <w:rPr>
          <w:rFonts w:ascii="Times New Roman" w:eastAsia="Times New Roman" w:hAnsi="Times New Roman" w:cs="Times New Roman"/>
        </w:rPr>
      </w:pPr>
      <w:bookmarkStart w:id="8" w:name="_heading=h.kd4lahmsu3ty" w:colFirst="0" w:colLast="0"/>
      <w:bookmarkEnd w:id="8"/>
      <w:r>
        <w:rPr>
          <w:rFonts w:ascii="Arial" w:eastAsia="Arial" w:hAnsi="Arial" w:cs="Arial"/>
          <w:color w:val="741B47"/>
          <w:sz w:val="22"/>
          <w:szCs w:val="22"/>
          <w:highlight w:val="white"/>
        </w:rPr>
        <w:t xml:space="preserve">2. The Denial of Salaries and the Right to Livelihood </w:t>
      </w:r>
    </w:p>
    <w:p w14:paraId="10C95191" w14:textId="77777777" w:rsidR="0029519E" w:rsidRDefault="0029519E">
      <w:pPr>
        <w:spacing w:line="480" w:lineRule="auto"/>
        <w:jc w:val="both"/>
      </w:pPr>
    </w:p>
    <w:p w14:paraId="164AEA71" w14:textId="77777777" w:rsidR="0029519E" w:rsidRDefault="008342F6">
      <w:pPr>
        <w:tabs>
          <w:tab w:val="left" w:pos="1980"/>
        </w:tabs>
        <w:spacing w:line="480" w:lineRule="auto"/>
        <w:jc w:val="both"/>
        <w:rPr>
          <w:rFonts w:ascii="Times New Roman" w:eastAsia="Times New Roman" w:hAnsi="Times New Roman" w:cs="Times New Roman"/>
        </w:rPr>
      </w:pPr>
      <w:r>
        <w:rPr>
          <w:rFonts w:ascii="Times New Roman" w:eastAsia="Times New Roman" w:hAnsi="Times New Roman" w:cs="Times New Roman"/>
        </w:rPr>
        <w:t xml:space="preserve">Consistent with the rights of the individual, Article 7 of the ICESCR requires state parties to provide for fair and equal wages, a dignified life for themselves and their families, and safe and healthy working conditions. One mode of war-making pursued by the parties to the conflict—and the one with the most acute impact on Yemeni society—is the </w:t>
      </w:r>
      <w:hyperlink r:id="rId20">
        <w:r>
          <w:rPr>
            <w:rFonts w:ascii="Times New Roman" w:eastAsia="Times New Roman" w:hAnsi="Times New Roman" w:cs="Times New Roman"/>
            <w:color w:val="0563C1"/>
            <w:u w:val="single"/>
          </w:rPr>
          <w:t>interruption of salaries</w:t>
        </w:r>
      </w:hyperlink>
      <w:r>
        <w:rPr>
          <w:rFonts w:ascii="Times New Roman" w:eastAsia="Times New Roman" w:hAnsi="Times New Roman" w:cs="Times New Roman"/>
        </w:rPr>
        <w:t xml:space="preserve"> of government employees, which began in 2016 and continues to this day. Everyone has been directly affected by this war, and every household in Yemen suffers from the consequences of the non-payment of salaries. The relocation of the Central Bank from Sana’a to Aden, a pre-emptive step taken by the internationally recognised government to constrain the Houthis, has proved to be counterproductive, benefitting them more than harming them. In response, the group immediately abandoned all its obligations as a de-facto central authority and became solely a levying authority. Indeed, the Houthis took the transfer of the bank to Aden as grounds to exempt them from their responsibility to pay civil servants’ salaries; whenever the group is asked to pay wages, it insists that the reason for non-payment is the transfer of the Central Bank to Aden, thus relieving itself of any responsibilities in this regard. The relocation of the Central Bank also posed a major dilemma for many government employees, leaving thousands of public sector workers to an unknown fate, especially workers living in areas under the control of Houthi militias. The government has not treated them as citizens and paid their salaries, nor have the Houthis considered themselves responsible for paying them. They are thus virtually displaced people, suffering under both authorities.</w:t>
      </w:r>
    </w:p>
    <w:p w14:paraId="53109E75" w14:textId="77777777" w:rsidR="0029519E" w:rsidRDefault="008342F6">
      <w:pPr>
        <w:tabs>
          <w:tab w:val="left" w:pos="1980"/>
        </w:tabs>
        <w:spacing w:line="480" w:lineRule="auto"/>
        <w:jc w:val="both"/>
        <w:rPr>
          <w:rFonts w:ascii="Times New Roman" w:eastAsia="Times New Roman" w:hAnsi="Times New Roman" w:cs="Times New Roman"/>
        </w:rPr>
      </w:pPr>
      <w:r>
        <w:rPr>
          <w:rFonts w:ascii="Times New Roman" w:eastAsia="Times New Roman" w:hAnsi="Times New Roman" w:cs="Times New Roman"/>
        </w:rPr>
        <w:t>Starvation has become the most lethal weapon of war, forcing many state employees to leave their government jobs and find any work in the private sector to make a living. Teachers and other education workers have been forced to continue working under threat of dismissal, and they have been most affected by the interruption of salaries, as this sector is not a revenue-generating one that can provide employees with small amounts from time to time like other sectors. Many employees in other non-revenue-generating sectors now live on aid from organisations or remittances from expatriates.</w:t>
      </w:r>
    </w:p>
    <w:p w14:paraId="3F9BCB31" w14:textId="77777777" w:rsidR="0029519E" w:rsidRDefault="008342F6">
      <w:pPr>
        <w:tabs>
          <w:tab w:val="left" w:pos="1980"/>
        </w:tabs>
        <w:spacing w:line="480" w:lineRule="auto"/>
        <w:jc w:val="both"/>
        <w:rPr>
          <w:rFonts w:ascii="Times New Roman" w:eastAsia="Times New Roman" w:hAnsi="Times New Roman" w:cs="Times New Roman"/>
        </w:rPr>
      </w:pPr>
      <w:r>
        <w:rPr>
          <w:rFonts w:ascii="Times New Roman" w:eastAsia="Times New Roman" w:hAnsi="Times New Roman" w:cs="Times New Roman"/>
        </w:rPr>
        <w:t>The Houthi authority approved the disbursement of two salary payments per year, paid in instalments of a half-month’s salary every quarter. In its view, this is generous social support for which employees should be grateful. Going further, it has formed committees to disburse salaries in most sectors, offices, and administrative bodies in the governorates, especially the interior and defence sectors. Typically, these committees work by moving to the various governorates and directorates for a necessary period, perhaps months, during which they monitor employees for absenteeism. Employees must show up and sign in; absentees receive only half their salary, which is disbursed only after a long review in Sana’a. Employees who are absent more than once and do not appear to sign their name before the committee are considered to be fired and are marked down as traitors.</w:t>
      </w:r>
    </w:p>
    <w:p w14:paraId="56CEE4BA" w14:textId="77777777" w:rsidR="0029519E" w:rsidRDefault="008342F6">
      <w:pPr>
        <w:tabs>
          <w:tab w:val="left" w:pos="1980"/>
        </w:tabs>
        <w:spacing w:line="480" w:lineRule="auto"/>
        <w:jc w:val="both"/>
        <w:rPr>
          <w:rFonts w:ascii="Times New Roman" w:eastAsia="Times New Roman" w:hAnsi="Times New Roman" w:cs="Times New Roman"/>
        </w:rPr>
      </w:pPr>
      <w:r>
        <w:rPr>
          <w:rFonts w:ascii="Times New Roman" w:eastAsia="Times New Roman" w:hAnsi="Times New Roman" w:cs="Times New Roman"/>
        </w:rPr>
        <w:t>The internationally recognised government has adopted a procedure for the payment of the salaries of civil servants residing in the areas under Houthi control that requires employees to travel to the governorate of Aden, where they are paid as displaced persons. This entails much hardship and risk, especially with the proliferation of checkpoints and the security belt imposed by the Transitional Council, which often hinders the entry of the people from the northern regions to Aden. The subsequent authority—the Presidential Leadership Council—has maintained the same process. All government employees located in Houthi areas must travel to the nearest area under the control of the recognised government to receive their salaries. The Ministry of Civil Service introduced an additional step as well, requiring all government employees residing in areas under government control, including Aden, to go to the competent government institutions in Aden to renew their displaced status in writing.</w:t>
      </w:r>
    </w:p>
    <w:p w14:paraId="5A2989D0" w14:textId="77777777" w:rsidR="0029519E" w:rsidRDefault="008342F6">
      <w:pPr>
        <w:tabs>
          <w:tab w:val="left" w:pos="1980"/>
        </w:tabs>
        <w:spacing w:line="480" w:lineRule="auto"/>
        <w:jc w:val="both"/>
        <w:rPr>
          <w:rFonts w:ascii="Times New Roman" w:eastAsia="Times New Roman" w:hAnsi="Times New Roman" w:cs="Times New Roman"/>
        </w:rPr>
      </w:pPr>
      <w:r>
        <w:rPr>
          <w:rFonts w:ascii="Times New Roman" w:eastAsia="Times New Roman" w:hAnsi="Times New Roman" w:cs="Times New Roman"/>
        </w:rPr>
        <w:t>The Houthis’ refusal to issue new banknotes in areas under their control—the new banknotes were issued by the Hadi government following failed economic policies that led to the further depreciation of the rial—has given rise to a substantial disparity between the price of the old and new banknotes (the quaiti). This has adversely affected a large segment of civil servants who managed to receive their salaries by transferring them through currency exchange companies without going to Aden or provinces under the legitimate government’s control. In some cases, the old banknotes are worth twice the new ones. Moreover, the exchange companies (for example, al-Karimi) take a commission on the transfer, at times up to 75% of the total transfer. An employee may therefore receive only one-quarter of the value of the salary transferred.</w:t>
      </w:r>
    </w:p>
    <w:p w14:paraId="0698CD07" w14:textId="77777777" w:rsidR="0029519E" w:rsidRDefault="008342F6">
      <w:pPr>
        <w:tabs>
          <w:tab w:val="left" w:pos="1980"/>
        </w:tabs>
        <w:spacing w:line="480" w:lineRule="auto"/>
        <w:jc w:val="both"/>
        <w:rPr>
          <w:rFonts w:ascii="Times New Roman" w:eastAsia="Times New Roman" w:hAnsi="Times New Roman" w:cs="Times New Roman"/>
        </w:rPr>
      </w:pPr>
      <w:r>
        <w:rPr>
          <w:rFonts w:ascii="Times New Roman" w:eastAsia="Times New Roman" w:hAnsi="Times New Roman" w:cs="Times New Roman"/>
        </w:rPr>
        <w:t>On 19 June 2018, a group of university professors, including a university professor with her husband, were stopped at the Qahaza checkpoint run by Ansar Allah (the Houthis) on their way from Sana’a to Aden to receive their salaries. Personnel at the checkpoint examined their identities and interrogated them about the reason for travel. When they learned that they were university professors going to claim their salaries, the checkpoint personnel said, ‘You left the students? You don’t want to teach them?’ They then told the professors that travel to Aden was prohibited and arrested them; they were released days later, only to return to Sana’a without receiving their pay. With the aim of further clamping down on academics in public universities—some of whom have become taxi drivers in Sana’a, while others have emigrated—recently the president of Sana’a University, through a decree from the Ministry of Higher Education, prohibited any academic from working in private universities, threatening violators with legal consequences.</w:t>
      </w:r>
    </w:p>
    <w:p w14:paraId="2EFE3E91" w14:textId="77777777" w:rsidR="0029519E" w:rsidRDefault="008342F6">
      <w:pPr>
        <w:spacing w:line="480" w:lineRule="auto"/>
        <w:jc w:val="both"/>
        <w:rPr>
          <w:rFonts w:ascii="Times New Roman" w:eastAsia="Times New Roman" w:hAnsi="Times New Roman" w:cs="Times New Roman"/>
        </w:rPr>
      </w:pPr>
      <w:r>
        <w:rPr>
          <w:rFonts w:ascii="Times New Roman" w:eastAsia="Times New Roman" w:hAnsi="Times New Roman" w:cs="Times New Roman"/>
        </w:rPr>
        <w:t>The Houthis have recently devised a new procedure for government jobs: employees must sign and comply with a code of conduct; violators are subject to dismissal or ‘disciplinary procedures’. According to observers, the code of conduct forcibly imposed on state employees is intended to transform civil servants into Houthi hirelings.</w:t>
      </w:r>
    </w:p>
    <w:p w14:paraId="6AB2FCEA" w14:textId="77777777" w:rsidR="0029519E" w:rsidRDefault="008342F6">
      <w:pPr>
        <w:spacing w:line="480" w:lineRule="auto"/>
        <w:jc w:val="both"/>
        <w:rPr>
          <w:rFonts w:ascii="Times New Roman" w:eastAsia="Times New Roman" w:hAnsi="Times New Roman" w:cs="Times New Roman"/>
        </w:rPr>
      </w:pPr>
      <w:r>
        <w:rPr>
          <w:rFonts w:ascii="Times New Roman" w:eastAsia="Times New Roman" w:hAnsi="Times New Roman" w:cs="Times New Roman"/>
        </w:rPr>
        <w:t>Recently, the payment of salaries to civil servants residing in Houthi-controlled areas has become a bargaining chip for the extension of the UN-brokered humanitarian truce. The recognised government is demanding that the Houthis pay salaries from the revenues of the Hodeida port, while the Houthis are demanding that the coalition pay salaries, including for new names they added to the payroll belonging to fighters on the fronts, in exchange for implementing the terms of the truce.</w:t>
      </w:r>
    </w:p>
    <w:p w14:paraId="6F9D9EB5" w14:textId="77777777" w:rsidR="0029519E" w:rsidRDefault="008342F6">
      <w:pPr>
        <w:pStyle w:val="Heading2"/>
        <w:spacing w:before="0" w:after="0" w:line="276" w:lineRule="auto"/>
        <w:jc w:val="both"/>
        <w:rPr>
          <w:rFonts w:ascii="Times New Roman" w:eastAsia="Times New Roman" w:hAnsi="Times New Roman" w:cs="Times New Roman"/>
        </w:rPr>
      </w:pPr>
      <w:bookmarkStart w:id="9" w:name="_heading=h.rq5p4akbxr2l" w:colFirst="0" w:colLast="0"/>
      <w:bookmarkEnd w:id="9"/>
      <w:r>
        <w:rPr>
          <w:rFonts w:ascii="Arial" w:eastAsia="Arial" w:hAnsi="Arial" w:cs="Arial"/>
          <w:color w:val="741B47"/>
          <w:sz w:val="22"/>
          <w:szCs w:val="22"/>
          <w:highlight w:val="white"/>
        </w:rPr>
        <w:t xml:space="preserve">3. The Denial of Freedom of Movement </w:t>
      </w:r>
    </w:p>
    <w:p w14:paraId="0CDE6FB5" w14:textId="77777777" w:rsidR="0029519E" w:rsidRDefault="0029519E">
      <w:pPr>
        <w:spacing w:line="480" w:lineRule="auto"/>
        <w:jc w:val="both"/>
        <w:rPr>
          <w:rFonts w:ascii="Times New Roman" w:eastAsia="Times New Roman" w:hAnsi="Times New Roman" w:cs="Times New Roman"/>
        </w:rPr>
      </w:pPr>
    </w:p>
    <w:p w14:paraId="4C70203C" w14:textId="77777777" w:rsidR="0029519E" w:rsidRDefault="008342F6">
      <w:pPr>
        <w:spacing w:line="480" w:lineRule="auto"/>
        <w:jc w:val="both"/>
      </w:pPr>
      <w:r>
        <w:rPr>
          <w:rFonts w:ascii="Times New Roman" w:eastAsia="Times New Roman" w:hAnsi="Times New Roman" w:cs="Times New Roman"/>
        </w:rPr>
        <w:t xml:space="preserve">Consistent with the rights of the individual, Article 11 of the ICESCR requires state parties to provide everyone with adequate shelter and a decent standard of living for himself and his family, including adequate food, clothing, and housing, and to continuously improve living conditions. The closure of main roads and the diversion to unpaved, rugged secondary roads in the Taiz governorate has affected the daily lives of citizens economically, socially, and health-wise. The distance and the difficult roads have drastically increased fuel consumption and thus the transport bill for goods and citizens. In turn, the prices of goods have doubled and citizens have stopped exchanging visits. The rocky alternative roads have also caused </w:t>
      </w:r>
      <w:hyperlink r:id="rId21">
        <w:r>
          <w:rPr>
            <w:rFonts w:ascii="Times New Roman" w:eastAsia="Times New Roman" w:hAnsi="Times New Roman" w:cs="Times New Roman"/>
            <w:color w:val="0563C1"/>
            <w:u w:val="single"/>
          </w:rPr>
          <w:t>major traffic accidents</w:t>
        </w:r>
      </w:hyperlink>
      <w:r>
        <w:rPr>
          <w:rFonts w:ascii="Times New Roman" w:eastAsia="Times New Roman" w:hAnsi="Times New Roman" w:cs="Times New Roman"/>
        </w:rPr>
        <w:t xml:space="preserve"> and hardship on heavy commercial transport, affecting commercial supply chains for goods or even fuel and hindering citizens’ access to health services. The doubling of transportation fees has further caused a dramatic increase in the prices of consumer goods in the city. Vital roads in Taiz, the third largest city in Yemen, </w:t>
      </w:r>
      <w:hyperlink r:id="rId22">
        <w:r>
          <w:rPr>
            <w:rFonts w:ascii="Times New Roman" w:eastAsia="Times New Roman" w:hAnsi="Times New Roman" w:cs="Times New Roman"/>
            <w:color w:val="0563C1"/>
            <w:u w:val="single"/>
          </w:rPr>
          <w:t>must be opened</w:t>
        </w:r>
      </w:hyperlink>
      <w:r>
        <w:rPr>
          <w:rFonts w:ascii="Times New Roman" w:eastAsia="Times New Roman" w:hAnsi="Times New Roman" w:cs="Times New Roman"/>
        </w:rPr>
        <w:t xml:space="preserve">, and freedom of movement for all family members must be restored to avoid exacerbating the already existing humanitarian crisis in Taiz. Finally, </w:t>
      </w:r>
      <w:hyperlink r:id="rId23">
        <w:r>
          <w:rPr>
            <w:rFonts w:ascii="Times New Roman" w:eastAsia="Times New Roman" w:hAnsi="Times New Roman" w:cs="Times New Roman"/>
            <w:color w:val="0563C1"/>
            <w:u w:val="single"/>
          </w:rPr>
          <w:t>Article 57</w:t>
        </w:r>
      </w:hyperlink>
      <w:r>
        <w:rPr>
          <w:rFonts w:ascii="Times New Roman" w:eastAsia="Times New Roman" w:hAnsi="Times New Roman" w:cs="Times New Roman"/>
        </w:rPr>
        <w:t xml:space="preserve"> of the Yemeni constitution affirms: ‘Freedom of movement from one place to another in Yemeni territory is guaranteed to every citizen and may be restricted only in the cases prescribed by law for the security and safety of citizens’.</w:t>
      </w:r>
    </w:p>
    <w:p w14:paraId="04918175" w14:textId="77777777" w:rsidR="0029519E" w:rsidRDefault="008342F6">
      <w:pPr>
        <w:spacing w:line="480" w:lineRule="auto"/>
        <w:jc w:val="both"/>
      </w:pPr>
      <w:r>
        <w:rPr>
          <w:rFonts w:ascii="Times New Roman" w:eastAsia="Times New Roman" w:hAnsi="Times New Roman" w:cs="Times New Roman"/>
        </w:rPr>
        <w:t>In Marib governorate, three main roads linking the province with the rest of the governorates were closed and replaced by a 150-km long desert road, which is dangerous because there is no housing and there are multiple sand dunes. Traveling from Sana’a to Marib to visit relatives requires an arduous journey on the alternative rocky roads, turning what was once a two-hour trip into a ten-hour journey. The 157 km-long Marib–Naham–Sana’a Road, the main line linking Marib to Sana’a, was closed on 1 February 2016 after Houthi forces blew up the Furda Bridge to prevent the advance of the legitimate government’s forces. The road from the Jawf junction to the city of Marib remains closed to this day.</w:t>
      </w:r>
    </w:p>
    <w:p w14:paraId="5D2008F2" w14:textId="77777777" w:rsidR="0029519E" w:rsidRDefault="008342F6">
      <w:pPr>
        <w:spacing w:line="480" w:lineRule="auto"/>
        <w:jc w:val="both"/>
      </w:pPr>
      <w:r>
        <w:rPr>
          <w:rFonts w:ascii="Times New Roman" w:eastAsia="Times New Roman" w:hAnsi="Times New Roman" w:cs="Times New Roman"/>
        </w:rPr>
        <w:t>The Marib-Sirwah–Khawlan–Sana’a line, which is the second main road linking Marib to the capital, is 130 kilometres long. It was closed during the war, specifically on 23 February 2016, after the coalition bombed the Beit Yasjilan Bridge in the Sirwah district of Marib. It was re-opened for military use for various periods and at times opened to civilians in Sirwah until March 2020, when the Houthis took control of Sirwah. The Houthis opened the road to civilians in Sirwah to travel to Sana’a, but it is still closed to civilians traveling from Marib to Sirwah and then Sana’a. The old Marib–Juba–Bayda Road was open to travel on 3 February 2016 and continued to be used until 29 September 2021, when it was closed at the Falaj checkpoint leading to the Juba district and then to Bayda governorate. Government security forces closed the road to nearly all civilian movement, and the Juba district was deemed a dangerous combat zone in the wake of the escalation of military operations and increased Houthi attacks on the district, located south of the Marib governorate, in September 2021. The distance to Marib through the Juba–Falaj–Marib Road was estimated at 50 kilometres, but after its closure, civilians in Juba and neighbouring districts took more than four hours to reach the city of Marib through alternative roads such as the Juba–Harib–Ramleh–Safer–Marib Road; this road was later closed as well, and to reach Marib, civilians needed to travel through Bayda, Dhamar, Sana’a, and Jawf, a journey of some 20 hours. On 25 May 2022, civilians from Juba and neighbouring districts held a protest to demand the opening of the Juba–Falaj–Marib Road, claiming that the road could be opened continuously or for limited hours to alleviate the hardship for citizens, through coordination among the parties to the conflict. Recently, specifically on Sunday, 1 January 2023, the forces of the legitimate government in the Marib governorate announced the closure of the desert line linking the Ruwaik area of Marib with the city of al-Hazm, the capital of the Jawf governorate, requiring civilians to take the Tadawin–Desert–Jawf Road. This exacerbated the hardship for civilians traveling abroad or entering the country at Seiyun or Wadia, requiring them to return to Marib and take an alternative desert route.</w:t>
      </w:r>
    </w:p>
    <w:p w14:paraId="31040288" w14:textId="77777777" w:rsidR="0029519E" w:rsidRDefault="008342F6">
      <w:pPr>
        <w:spacing w:line="480" w:lineRule="auto"/>
        <w:jc w:val="both"/>
        <w:rPr>
          <w:rFonts w:ascii="Times New Roman" w:eastAsia="Times New Roman" w:hAnsi="Times New Roman" w:cs="Times New Roman"/>
        </w:rPr>
      </w:pPr>
      <w:r>
        <w:rPr>
          <w:rFonts w:ascii="Times New Roman" w:eastAsia="Times New Roman" w:hAnsi="Times New Roman" w:cs="Times New Roman"/>
          <w:highlight w:val="white"/>
        </w:rPr>
        <w:t xml:space="preserve">Consistent with the rights of the individual, Article 3 of the ICESCR requires state parties to ensure the equal rights of men and women and that they enjoy equally all the economic, social, and cultural rights set forth in the covenant. Women often face significant and disproportionate difficulties in securing human rights, including economic, social, and cultural rights. Article 3 specifically provides that men and women enjoy the same legal entitlement to the rights enshrined in the covenant and that, if necessary, states parties should take measures to ensure the attainment of this equality. Since April 2023, Ansar Allah, or the Houthis, have increasingly insisted on </w:t>
      </w:r>
      <w:r>
        <w:rPr>
          <w:rFonts w:ascii="Times New Roman" w:eastAsia="Times New Roman" w:hAnsi="Times New Roman" w:cs="Times New Roman"/>
        </w:rPr>
        <w:t xml:space="preserve">the presence of a male guardian </w:t>
      </w:r>
      <w:hyperlink r:id="rId24" w:anchor=":~:text=Since%20April%2C%20the%20Huthi%20de%20facto%20authorities%20have,Saada%2C%20Dhamar%2C%20Hodeidah%20and%20Hajjah%20governorates%2C%20and%20Sanaa.">
        <w:r>
          <w:rPr>
            <w:rFonts w:ascii="Times New Roman" w:eastAsia="Times New Roman" w:hAnsi="Times New Roman" w:cs="Times New Roman"/>
            <w:color w:val="0563C1"/>
            <w:highlight w:val="white"/>
            <w:u w:val="single"/>
          </w:rPr>
          <w:t>to restrict the movement of women</w:t>
        </w:r>
      </w:hyperlink>
      <w:r>
        <w:rPr>
          <w:rFonts w:ascii="Times New Roman" w:eastAsia="Times New Roman" w:hAnsi="Times New Roman" w:cs="Times New Roman"/>
          <w:highlight w:val="white"/>
        </w:rPr>
        <w:t xml:space="preserve"> across areas they control in northern Yemen, including the governorates of Saada, Dhamar, Hodeida, Hajja and Sana’a</w:t>
      </w:r>
      <w:r>
        <w:rPr>
          <w:rFonts w:ascii="Times New Roman" w:eastAsia="Times New Roman" w:hAnsi="Times New Roman" w:cs="Times New Roman"/>
        </w:rPr>
        <w:t>.</w:t>
      </w:r>
    </w:p>
    <w:p w14:paraId="01E1F45A" w14:textId="77777777" w:rsidR="0029519E" w:rsidRDefault="008342F6">
      <w:pPr>
        <w:pStyle w:val="Heading1"/>
        <w:spacing w:before="400" w:line="276" w:lineRule="auto"/>
        <w:jc w:val="both"/>
        <w:rPr>
          <w:rFonts w:ascii="Times New Roman" w:eastAsia="Times New Roman" w:hAnsi="Times New Roman" w:cs="Times New Roman"/>
        </w:rPr>
      </w:pPr>
      <w:bookmarkStart w:id="10" w:name="_heading=h.8r8tfveeksuz" w:colFirst="0" w:colLast="0"/>
      <w:bookmarkEnd w:id="10"/>
      <w:r>
        <w:rPr>
          <w:rFonts w:ascii="Arial" w:eastAsia="Arial" w:hAnsi="Arial" w:cs="Arial"/>
          <w:color w:val="0000FF"/>
          <w:sz w:val="22"/>
          <w:szCs w:val="22"/>
        </w:rPr>
        <w:t>III. Information About the Bief Providers</w:t>
      </w:r>
    </w:p>
    <w:p w14:paraId="5467C51C" w14:textId="77777777" w:rsidR="0029519E" w:rsidRDefault="008342F6">
      <w:pPr>
        <w:spacing w:line="480" w:lineRule="auto"/>
        <w:jc w:val="both"/>
      </w:pPr>
      <w:r>
        <w:t>This summary was provided by the following Yemeni civil society organisations:</w:t>
      </w:r>
    </w:p>
    <w:p w14:paraId="2C01A7A8" w14:textId="77777777" w:rsidR="0029519E" w:rsidRDefault="0029519E">
      <w:pPr>
        <w:spacing w:line="480" w:lineRule="auto"/>
        <w:jc w:val="both"/>
      </w:pPr>
    </w:p>
    <w:tbl>
      <w:tblPr>
        <w:tblStyle w:val="a"/>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44"/>
        <w:gridCol w:w="3050"/>
        <w:gridCol w:w="3256"/>
      </w:tblGrid>
      <w:tr w:rsidR="0029519E" w14:paraId="3F6D57DE" w14:textId="77777777">
        <w:tc>
          <w:tcPr>
            <w:tcW w:w="3044" w:type="dxa"/>
          </w:tcPr>
          <w:p w14:paraId="56899266" w14:textId="77777777" w:rsidR="0029519E" w:rsidRDefault="008342F6">
            <w:pPr>
              <w:spacing w:line="480" w:lineRule="auto"/>
              <w:jc w:val="both"/>
            </w:pPr>
            <w:r>
              <w:t>Organisation</w:t>
            </w:r>
          </w:p>
        </w:tc>
        <w:tc>
          <w:tcPr>
            <w:tcW w:w="3050" w:type="dxa"/>
          </w:tcPr>
          <w:p w14:paraId="76C23FFF" w14:textId="77777777" w:rsidR="0029519E" w:rsidRDefault="008342F6">
            <w:pPr>
              <w:spacing w:line="480" w:lineRule="auto"/>
              <w:jc w:val="both"/>
            </w:pPr>
            <w:r>
              <w:t>About the organisation</w:t>
            </w:r>
          </w:p>
        </w:tc>
        <w:tc>
          <w:tcPr>
            <w:tcW w:w="3256" w:type="dxa"/>
          </w:tcPr>
          <w:p w14:paraId="151E1DE3" w14:textId="77777777" w:rsidR="0029519E" w:rsidRDefault="008342F6">
            <w:pPr>
              <w:spacing w:line="480" w:lineRule="auto"/>
              <w:jc w:val="both"/>
            </w:pPr>
            <w:r>
              <w:t>Contact information</w:t>
            </w:r>
          </w:p>
        </w:tc>
      </w:tr>
      <w:tr w:rsidR="0029519E" w14:paraId="0A44DF0C" w14:textId="77777777">
        <w:tc>
          <w:tcPr>
            <w:tcW w:w="3044" w:type="dxa"/>
          </w:tcPr>
          <w:p w14:paraId="60D0C7A6" w14:textId="77777777" w:rsidR="0029519E" w:rsidRDefault="008342F6">
            <w:pPr>
              <w:spacing w:line="480" w:lineRule="auto"/>
              <w:jc w:val="both"/>
            </w:pPr>
            <w:r>
              <w:t>PASS Foundation- Peace for Sustainable Societies</w:t>
            </w:r>
          </w:p>
          <w:p w14:paraId="448809A4" w14:textId="77777777" w:rsidR="0029519E" w:rsidRDefault="0029519E">
            <w:pPr>
              <w:spacing w:line="480" w:lineRule="auto"/>
              <w:jc w:val="both"/>
            </w:pPr>
          </w:p>
        </w:tc>
        <w:tc>
          <w:tcPr>
            <w:tcW w:w="3050" w:type="dxa"/>
          </w:tcPr>
          <w:p w14:paraId="31E6A65B" w14:textId="77777777" w:rsidR="0029519E" w:rsidRDefault="008342F6">
            <w:pPr>
              <w:spacing w:line="480" w:lineRule="auto"/>
              <w:jc w:val="both"/>
            </w:pPr>
            <w:r>
              <w:t>PASS is a voluntary, non-profit foundations established on 15 January 2020 by a group of male and female social activists in the Aden governorate. PASS works to improve the quality and performance of service provision to achieve comprehensive sustainable development in the Aden province and Yemen as a whole.</w:t>
            </w:r>
          </w:p>
        </w:tc>
        <w:tc>
          <w:tcPr>
            <w:tcW w:w="3256" w:type="dxa"/>
          </w:tcPr>
          <w:p w14:paraId="7888B95C" w14:textId="77777777" w:rsidR="0029519E" w:rsidRDefault="008342F6">
            <w:pPr>
              <w:spacing w:line="480" w:lineRule="auto"/>
              <w:jc w:val="both"/>
            </w:pPr>
            <w:r>
              <w:t xml:space="preserve">Bahia al-Sakkaf: </w:t>
            </w:r>
          </w:p>
          <w:p w14:paraId="303C097D" w14:textId="77777777" w:rsidR="0029519E" w:rsidRDefault="00A91960">
            <w:pPr>
              <w:spacing w:line="480" w:lineRule="auto"/>
              <w:jc w:val="both"/>
            </w:pPr>
            <w:hyperlink r:id="rId25">
              <w:r w:rsidR="008342F6">
                <w:rPr>
                  <w:color w:val="0563C1"/>
                  <w:u w:val="single"/>
                </w:rPr>
                <w:t>Bahia.h.c.c@gmail.com</w:t>
              </w:r>
            </w:hyperlink>
          </w:p>
        </w:tc>
      </w:tr>
      <w:tr w:rsidR="0029519E" w14:paraId="2071BC45" w14:textId="77777777">
        <w:tc>
          <w:tcPr>
            <w:tcW w:w="3044" w:type="dxa"/>
          </w:tcPr>
          <w:p w14:paraId="0F2D92A6" w14:textId="77777777" w:rsidR="0029519E" w:rsidRDefault="008342F6">
            <w:pPr>
              <w:spacing w:line="480" w:lineRule="auto"/>
              <w:jc w:val="both"/>
            </w:pPr>
            <w:r>
              <w:t>Musaala Organization for Human Rights</w:t>
            </w:r>
          </w:p>
        </w:tc>
        <w:tc>
          <w:tcPr>
            <w:tcW w:w="3050" w:type="dxa"/>
          </w:tcPr>
          <w:p w14:paraId="625FA220" w14:textId="77777777" w:rsidR="0029519E" w:rsidRDefault="008342F6">
            <w:pPr>
              <w:spacing w:line="480" w:lineRule="auto"/>
              <w:jc w:val="both"/>
            </w:pPr>
            <w:r>
              <w:t xml:space="preserve">Musaala is a Yemeni non-governmental organisation headquartered in Marib. It works to defend and protect human rights through monitoring and documenting human rights violations, offering support and justice for victims, and holding those responsible for abuses to account to prevent their recurrence. </w:t>
            </w:r>
          </w:p>
        </w:tc>
        <w:tc>
          <w:tcPr>
            <w:tcW w:w="3256" w:type="dxa"/>
          </w:tcPr>
          <w:p w14:paraId="09DB8BD5" w14:textId="77777777" w:rsidR="0029519E" w:rsidRDefault="008342F6">
            <w:pPr>
              <w:spacing w:line="480" w:lineRule="auto"/>
              <w:jc w:val="both"/>
            </w:pPr>
            <w:r>
              <w:t>Mahdi Balghith:</w:t>
            </w:r>
          </w:p>
          <w:p w14:paraId="46901490" w14:textId="77777777" w:rsidR="0029519E" w:rsidRDefault="00A91960">
            <w:pPr>
              <w:spacing w:line="480" w:lineRule="auto"/>
              <w:jc w:val="both"/>
            </w:pPr>
            <w:hyperlink r:id="rId26">
              <w:r w:rsidR="008342F6">
                <w:rPr>
                  <w:color w:val="0563C1"/>
                  <w:u w:val="single"/>
                </w:rPr>
                <w:t>Mahdi711399929@gmail.com</w:t>
              </w:r>
            </w:hyperlink>
          </w:p>
        </w:tc>
      </w:tr>
      <w:tr w:rsidR="0029519E" w14:paraId="10E1CF7C" w14:textId="77777777">
        <w:tc>
          <w:tcPr>
            <w:tcW w:w="3044" w:type="dxa"/>
          </w:tcPr>
          <w:p w14:paraId="46506261" w14:textId="77777777" w:rsidR="0029519E" w:rsidRDefault="008342F6">
            <w:pPr>
              <w:spacing w:line="480" w:lineRule="auto"/>
              <w:jc w:val="both"/>
            </w:pPr>
            <w:r>
              <w:t>Yemen Future for Cultural and Media Development</w:t>
            </w:r>
          </w:p>
        </w:tc>
        <w:tc>
          <w:tcPr>
            <w:tcW w:w="3050" w:type="dxa"/>
          </w:tcPr>
          <w:p w14:paraId="14DB0FBD" w14:textId="77777777" w:rsidR="0029519E" w:rsidRDefault="008342F6">
            <w:pPr>
              <w:spacing w:line="480" w:lineRule="auto"/>
              <w:jc w:val="both"/>
            </w:pPr>
            <w:r>
              <w:t>Yemen Future is a Yemeni independent electronic news platform led by women. Working in accordance with best journalistic practices and standards, it is fast becoming a multimedia   news network in both Arabic and English.</w:t>
            </w:r>
          </w:p>
        </w:tc>
        <w:tc>
          <w:tcPr>
            <w:tcW w:w="3256" w:type="dxa"/>
          </w:tcPr>
          <w:p w14:paraId="32F779BD" w14:textId="77777777" w:rsidR="0029519E" w:rsidRDefault="008342F6">
            <w:pPr>
              <w:spacing w:line="480" w:lineRule="auto"/>
              <w:jc w:val="both"/>
            </w:pPr>
            <w:r>
              <w:t>Thuraya Dammaj:</w:t>
            </w:r>
          </w:p>
          <w:p w14:paraId="5B06045A" w14:textId="77777777" w:rsidR="0029519E" w:rsidRDefault="00A91960">
            <w:pPr>
              <w:spacing w:line="480" w:lineRule="auto"/>
              <w:jc w:val="both"/>
            </w:pPr>
            <w:hyperlink r:id="rId27">
              <w:r w:rsidR="008342F6">
                <w:rPr>
                  <w:color w:val="0563C1"/>
                  <w:u w:val="single"/>
                </w:rPr>
                <w:t>Thuraya.a.dammaj@gmail.com</w:t>
              </w:r>
            </w:hyperlink>
          </w:p>
        </w:tc>
      </w:tr>
      <w:tr w:rsidR="0029519E" w14:paraId="6B9C5D20" w14:textId="77777777">
        <w:tc>
          <w:tcPr>
            <w:tcW w:w="3044" w:type="dxa"/>
          </w:tcPr>
          <w:p w14:paraId="41E172E8" w14:textId="77777777" w:rsidR="0029519E" w:rsidRDefault="008342F6">
            <w:pPr>
              <w:spacing w:line="480" w:lineRule="auto"/>
              <w:jc w:val="both"/>
            </w:pPr>
            <w:r>
              <w:t>Yemeni Centre for Media Support (YCMS)</w:t>
            </w:r>
          </w:p>
        </w:tc>
        <w:tc>
          <w:tcPr>
            <w:tcW w:w="3050" w:type="dxa"/>
          </w:tcPr>
          <w:p w14:paraId="0102043A" w14:textId="77777777" w:rsidR="0029519E" w:rsidRDefault="008342F6">
            <w:pPr>
              <w:spacing w:line="480" w:lineRule="auto"/>
              <w:jc w:val="both"/>
            </w:pPr>
            <w:r>
              <w:t>The YHMS is a media foundation established on 11 March 2021 as an independent media institution led by Yemeni journalists. It supports independent and government journalists and media institutions in Yemen and helps to develop their capacities, in order to contribute to the creation of a professional, credible media, foster enlightened public opinion, and lay the foundation for an advanced democratic society.</w:t>
            </w:r>
          </w:p>
        </w:tc>
        <w:tc>
          <w:tcPr>
            <w:tcW w:w="3256" w:type="dxa"/>
          </w:tcPr>
          <w:p w14:paraId="4568E5A9" w14:textId="77777777" w:rsidR="0029519E" w:rsidRDefault="008342F6">
            <w:pPr>
              <w:spacing w:line="480" w:lineRule="auto"/>
              <w:jc w:val="both"/>
            </w:pPr>
            <w:r>
              <w:t>Aseell Sariya:</w:t>
            </w:r>
          </w:p>
          <w:p w14:paraId="643F4DE6" w14:textId="77777777" w:rsidR="0029519E" w:rsidRDefault="00A91960">
            <w:pPr>
              <w:spacing w:line="480" w:lineRule="auto"/>
              <w:jc w:val="both"/>
            </w:pPr>
            <w:hyperlink r:id="rId28">
              <w:r w:rsidR="008342F6">
                <w:rPr>
                  <w:color w:val="0563C1"/>
                  <w:u w:val="single"/>
                </w:rPr>
                <w:t>Aseell2090@gmail.com</w:t>
              </w:r>
            </w:hyperlink>
          </w:p>
        </w:tc>
      </w:tr>
      <w:tr w:rsidR="0029519E" w14:paraId="2D32571F" w14:textId="77777777">
        <w:tc>
          <w:tcPr>
            <w:tcW w:w="3044" w:type="dxa"/>
          </w:tcPr>
          <w:p w14:paraId="68AD7608" w14:textId="77777777" w:rsidR="0029519E" w:rsidRDefault="008342F6">
            <w:pPr>
              <w:spacing w:line="480" w:lineRule="auto"/>
              <w:jc w:val="both"/>
            </w:pPr>
            <w:r>
              <w:t>Center for Strategic Studies to Support Women and  Children</w:t>
            </w:r>
          </w:p>
        </w:tc>
        <w:tc>
          <w:tcPr>
            <w:tcW w:w="3050" w:type="dxa"/>
          </w:tcPr>
          <w:p w14:paraId="6195EFD7" w14:textId="77777777" w:rsidR="0029519E" w:rsidRDefault="008342F6">
            <w:pPr>
              <w:spacing w:line="480" w:lineRule="auto"/>
              <w:jc w:val="both"/>
            </w:pPr>
            <w:r>
              <w:t xml:space="preserve">The Centre for Strategic Studies to Support Women and Children is a non-profit centre targeting women and children in particular. It enjoys independent legal status and was founded on 20 December 2018 in the Taiz governorate. </w:t>
            </w:r>
          </w:p>
        </w:tc>
        <w:tc>
          <w:tcPr>
            <w:tcW w:w="3256" w:type="dxa"/>
          </w:tcPr>
          <w:p w14:paraId="501EEA44" w14:textId="77777777" w:rsidR="0029519E" w:rsidRDefault="008342F6">
            <w:pPr>
              <w:spacing w:line="480" w:lineRule="auto"/>
              <w:jc w:val="both"/>
            </w:pPr>
            <w:r>
              <w:t>Anjila al-Omri</w:t>
            </w:r>
          </w:p>
          <w:p w14:paraId="4D0E0067" w14:textId="77777777" w:rsidR="0029519E" w:rsidRDefault="00A91960">
            <w:pPr>
              <w:spacing w:line="480" w:lineRule="auto"/>
              <w:jc w:val="both"/>
            </w:pPr>
            <w:hyperlink r:id="rId29">
              <w:r w:rsidR="008342F6">
                <w:rPr>
                  <w:color w:val="0563C1"/>
                  <w:u w:val="single"/>
                </w:rPr>
                <w:t>Anjila2013@yahoo.com</w:t>
              </w:r>
            </w:hyperlink>
          </w:p>
        </w:tc>
      </w:tr>
      <w:tr w:rsidR="0029519E" w14:paraId="5E056C94" w14:textId="77777777">
        <w:tc>
          <w:tcPr>
            <w:tcW w:w="3044" w:type="dxa"/>
          </w:tcPr>
          <w:p w14:paraId="7F4502B8" w14:textId="77777777" w:rsidR="0029519E" w:rsidRDefault="008342F6">
            <w:pPr>
              <w:spacing w:line="480" w:lineRule="auto"/>
              <w:jc w:val="both"/>
            </w:pPr>
            <w:r>
              <w:t xml:space="preserve">Dameer Foundation for Human Rights </w:t>
            </w:r>
          </w:p>
        </w:tc>
        <w:tc>
          <w:tcPr>
            <w:tcW w:w="3050" w:type="dxa"/>
          </w:tcPr>
          <w:p w14:paraId="15865178" w14:textId="77777777" w:rsidR="0029519E" w:rsidRDefault="008342F6">
            <w:pPr>
              <w:spacing w:line="480" w:lineRule="auto"/>
              <w:jc w:val="both"/>
            </w:pPr>
            <w:r>
              <w:t xml:space="preserve">Damir is a non-governmental, non-profit foundation established in the Shabwa governorate in February 2018 pursuant to a permit granted by the Ministry for Social Affairs and Labour. The foundation believes in a society in which all people enjoy all the rights and freedoms accorded by domestic and international laws, and it is committed to practicing a human rights culture. Its mission is to prevent human rights violations and respect human rights. </w:t>
            </w:r>
          </w:p>
        </w:tc>
        <w:tc>
          <w:tcPr>
            <w:tcW w:w="3256" w:type="dxa"/>
          </w:tcPr>
          <w:p w14:paraId="5CF02F8D" w14:textId="77777777" w:rsidR="0029519E" w:rsidRDefault="008342F6">
            <w:pPr>
              <w:spacing w:line="480" w:lineRule="auto"/>
              <w:jc w:val="both"/>
            </w:pPr>
            <w:r>
              <w:t>Naser al-Qaffan</w:t>
            </w:r>
          </w:p>
          <w:p w14:paraId="055D0E97" w14:textId="77777777" w:rsidR="0029519E" w:rsidRDefault="00A91960">
            <w:pPr>
              <w:spacing w:line="480" w:lineRule="auto"/>
              <w:jc w:val="both"/>
            </w:pPr>
            <w:hyperlink r:id="rId30">
              <w:r w:rsidR="008342F6">
                <w:rPr>
                  <w:color w:val="0563C1"/>
                  <w:u w:val="single"/>
                </w:rPr>
                <w:t>Wwfg65@gmail.com</w:t>
              </w:r>
            </w:hyperlink>
          </w:p>
        </w:tc>
      </w:tr>
      <w:tr w:rsidR="0029519E" w14:paraId="3937A8E4" w14:textId="77777777">
        <w:tc>
          <w:tcPr>
            <w:tcW w:w="3044" w:type="dxa"/>
          </w:tcPr>
          <w:p w14:paraId="11234CAD" w14:textId="77777777" w:rsidR="0029519E" w:rsidRDefault="008342F6">
            <w:pPr>
              <w:spacing w:line="480" w:lineRule="auto"/>
              <w:jc w:val="both"/>
            </w:pPr>
            <w:r>
              <w:t xml:space="preserve">Wogood for Human Security </w:t>
            </w:r>
          </w:p>
        </w:tc>
        <w:tc>
          <w:tcPr>
            <w:tcW w:w="3050" w:type="dxa"/>
          </w:tcPr>
          <w:p w14:paraId="12413356" w14:textId="77777777" w:rsidR="0029519E" w:rsidRDefault="008342F6">
            <w:pPr>
              <w:spacing w:line="480" w:lineRule="auto"/>
              <w:jc w:val="both"/>
            </w:pPr>
            <w:r>
              <w:t xml:space="preserve">Wujud is a voluntary, non-governmental, non-profit foundations that seeks to foster the development process and human rights and expand the opportunities for social participation, especially for women and youth, in order to forge a better future for human security. It was founded in 2012 and officially established in December 2012. </w:t>
            </w:r>
          </w:p>
        </w:tc>
        <w:tc>
          <w:tcPr>
            <w:tcW w:w="3256" w:type="dxa"/>
          </w:tcPr>
          <w:p w14:paraId="6A5B1D57" w14:textId="77777777" w:rsidR="0029519E" w:rsidRDefault="008342F6">
            <w:pPr>
              <w:spacing w:line="480" w:lineRule="auto"/>
              <w:jc w:val="both"/>
            </w:pPr>
            <w:r>
              <w:t xml:space="preserve">Maha Awad: </w:t>
            </w:r>
          </w:p>
          <w:p w14:paraId="44818E2A" w14:textId="77777777" w:rsidR="0029519E" w:rsidRDefault="008342F6">
            <w:pPr>
              <w:spacing w:line="480" w:lineRule="auto"/>
              <w:jc w:val="both"/>
            </w:pPr>
            <w:r>
              <w:t>Whs12.org@gmail.com</w:t>
            </w:r>
          </w:p>
        </w:tc>
      </w:tr>
    </w:tbl>
    <w:p w14:paraId="2756FF2F" w14:textId="77777777" w:rsidR="0029519E" w:rsidRDefault="0029519E">
      <w:pPr>
        <w:spacing w:line="480" w:lineRule="auto"/>
        <w:jc w:val="both"/>
      </w:pPr>
    </w:p>
    <w:sectPr w:rsidR="0029519E">
      <w:headerReference w:type="default" r:id="rId31"/>
      <w:footerReference w:type="default" r:id="rId32"/>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933827" w14:textId="77777777" w:rsidR="008342F6" w:rsidRDefault="008342F6">
      <w:pPr>
        <w:spacing w:line="240" w:lineRule="auto"/>
      </w:pPr>
      <w:r>
        <w:separator/>
      </w:r>
    </w:p>
  </w:endnote>
  <w:endnote w:type="continuationSeparator" w:id="0">
    <w:p w14:paraId="62776646" w14:textId="77777777" w:rsidR="008342F6" w:rsidRDefault="008342F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517C08" w14:textId="77777777" w:rsidR="0029519E" w:rsidRDefault="008342F6">
    <w:r>
      <w:fldChar w:fldCharType="begin"/>
    </w:r>
    <w:r>
      <w:instrText>PAGE</w:instrText>
    </w:r>
    <w:r>
      <w:fldChar w:fldCharType="separate"/>
    </w:r>
    <w:r w:rsidR="00C773BA">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886512" w14:textId="77777777" w:rsidR="008342F6" w:rsidRDefault="008342F6">
      <w:pPr>
        <w:spacing w:line="240" w:lineRule="auto"/>
      </w:pPr>
      <w:r>
        <w:separator/>
      </w:r>
    </w:p>
  </w:footnote>
  <w:footnote w:type="continuationSeparator" w:id="0">
    <w:p w14:paraId="400EAE71" w14:textId="77777777" w:rsidR="008342F6" w:rsidRDefault="008342F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324698" w14:textId="77777777" w:rsidR="0029519E" w:rsidRDefault="0029519E">
    <w:pPr>
      <w:jc w:val="righ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519E"/>
    <w:rsid w:val="0029519E"/>
    <w:rsid w:val="008342F6"/>
    <w:rsid w:val="00A91960"/>
    <w:rsid w:val="00C773B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20970F"/>
  <w15:docId w15:val="{5756FB35-2654-466C-8A75-6E54A16E74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4"/>
        <w:szCs w:val="24"/>
        <w:lang w:val="en-GB" w:eastAsia="en-GB"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35DE"/>
    <w:rPr>
      <w:rFonts w:asciiTheme="majorBidi" w:hAnsiTheme="majorBidi"/>
    </w:rPr>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ListParagraph">
    <w:name w:val="List Paragraph"/>
    <w:basedOn w:val="Normal"/>
    <w:uiPriority w:val="34"/>
    <w:qFormat/>
    <w:rsid w:val="00481BA7"/>
    <w:pPr>
      <w:ind w:left="720"/>
      <w:contextualSpacing/>
    </w:pPr>
  </w:style>
  <w:style w:type="character" w:styleId="Hyperlink">
    <w:name w:val="Hyperlink"/>
    <w:basedOn w:val="DefaultParagraphFont"/>
    <w:uiPriority w:val="99"/>
    <w:unhideWhenUsed/>
    <w:rsid w:val="001E4D03"/>
    <w:rPr>
      <w:color w:val="0563C1" w:themeColor="hyperlink"/>
      <w:u w:val="single"/>
    </w:rPr>
  </w:style>
  <w:style w:type="character" w:styleId="FollowedHyperlink">
    <w:name w:val="FollowedHyperlink"/>
    <w:basedOn w:val="DefaultParagraphFont"/>
    <w:uiPriority w:val="99"/>
    <w:semiHidden/>
    <w:unhideWhenUsed/>
    <w:rsid w:val="001E4D03"/>
    <w:rPr>
      <w:color w:val="954F72" w:themeColor="followedHyperlink"/>
      <w:u w:val="single"/>
    </w:rPr>
  </w:style>
  <w:style w:type="character" w:customStyle="1" w:styleId="UnresolvedMention1">
    <w:name w:val="Unresolved Mention1"/>
    <w:basedOn w:val="DefaultParagraphFont"/>
    <w:uiPriority w:val="99"/>
    <w:semiHidden/>
    <w:unhideWhenUsed/>
    <w:rsid w:val="00D43BD6"/>
    <w:rPr>
      <w:color w:val="605E5C"/>
      <w:shd w:val="clear" w:color="auto" w:fill="E1DFDD"/>
    </w:rPr>
  </w:style>
  <w:style w:type="character" w:styleId="CommentReference">
    <w:name w:val="annotation reference"/>
    <w:basedOn w:val="DefaultParagraphFont"/>
    <w:uiPriority w:val="99"/>
    <w:semiHidden/>
    <w:unhideWhenUsed/>
    <w:rsid w:val="00D8580A"/>
    <w:rPr>
      <w:sz w:val="16"/>
      <w:szCs w:val="16"/>
    </w:rPr>
  </w:style>
  <w:style w:type="paragraph" w:styleId="CommentText">
    <w:name w:val="annotation text"/>
    <w:basedOn w:val="Normal"/>
    <w:link w:val="CommentTextChar"/>
    <w:uiPriority w:val="99"/>
    <w:semiHidden/>
    <w:unhideWhenUsed/>
    <w:rsid w:val="00D8580A"/>
    <w:pPr>
      <w:spacing w:line="240" w:lineRule="auto"/>
    </w:pPr>
    <w:rPr>
      <w:sz w:val="20"/>
      <w:szCs w:val="20"/>
    </w:rPr>
  </w:style>
  <w:style w:type="character" w:customStyle="1" w:styleId="CommentTextChar">
    <w:name w:val="Comment Text Char"/>
    <w:basedOn w:val="DefaultParagraphFont"/>
    <w:link w:val="CommentText"/>
    <w:uiPriority w:val="99"/>
    <w:semiHidden/>
    <w:rsid w:val="00D8580A"/>
    <w:rPr>
      <w:rFonts w:asciiTheme="majorBidi" w:hAnsiTheme="majorBidi"/>
      <w:sz w:val="20"/>
      <w:szCs w:val="20"/>
      <w:lang w:val="en-GB"/>
    </w:rPr>
  </w:style>
  <w:style w:type="paragraph" w:styleId="CommentSubject">
    <w:name w:val="annotation subject"/>
    <w:basedOn w:val="CommentText"/>
    <w:next w:val="CommentText"/>
    <w:link w:val="CommentSubjectChar"/>
    <w:uiPriority w:val="99"/>
    <w:semiHidden/>
    <w:unhideWhenUsed/>
    <w:rsid w:val="00D8580A"/>
    <w:rPr>
      <w:b/>
      <w:bCs/>
    </w:rPr>
  </w:style>
  <w:style w:type="character" w:customStyle="1" w:styleId="CommentSubjectChar">
    <w:name w:val="Comment Subject Char"/>
    <w:basedOn w:val="CommentTextChar"/>
    <w:link w:val="CommentSubject"/>
    <w:uiPriority w:val="99"/>
    <w:semiHidden/>
    <w:rsid w:val="00D8580A"/>
    <w:rPr>
      <w:rFonts w:asciiTheme="majorBidi" w:hAnsiTheme="majorBidi"/>
      <w:b/>
      <w:bCs/>
      <w:sz w:val="20"/>
      <w:szCs w:val="20"/>
      <w:lang w:val="en-GB"/>
    </w:rPr>
  </w:style>
  <w:style w:type="table" w:styleId="TableGrid">
    <w:name w:val="Table Grid"/>
    <w:basedOn w:val="TableNormal"/>
    <w:uiPriority w:val="39"/>
    <w:rsid w:val="004D7D1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s://www.crisisgroup.org/middle-east-north-africa/gulf-and-arabian-peninsula/yemen/brokering-ceasefire-yemens-economic" TargetMode="External"/><Relationship Id="rId18" Type="http://schemas.openxmlformats.org/officeDocument/2006/relationships/hyperlink" Target="https://yemenb.com/%D8%AD%D9%82%D9%8A%D9%82%D8%A9-%D9%85%D8%AE%D8%B2%D9%88%D9%86-%D8%A7%D9%84%D9%86%D9%81%D8%B7-%D9%81%D9%8A-%D8%A7%D9%84%D9%8A%D9%85%D9%86/" TargetMode="External"/><Relationship Id="rId26" Type="http://schemas.openxmlformats.org/officeDocument/2006/relationships/hyperlink" Target="mailto:Mahdi711399929@gmail.com" TargetMode="External"/><Relationship Id="rId3" Type="http://schemas.openxmlformats.org/officeDocument/2006/relationships/settings" Target="settings.xml"/><Relationship Id="rId21" Type="http://schemas.openxmlformats.org/officeDocument/2006/relationships/hyperlink" Target="https://yemenfuture.net/researches/5784" TargetMode="External"/><Relationship Id="rId34" Type="http://schemas.openxmlformats.org/officeDocument/2006/relationships/theme" Target="theme/theme1.xml"/><Relationship Id="rId7" Type="http://schemas.openxmlformats.org/officeDocument/2006/relationships/hyperlink" Target="https://www.unfpa.org/yemen" TargetMode="External"/><Relationship Id="rId12" Type="http://schemas.openxmlformats.org/officeDocument/2006/relationships/hyperlink" Target="https://www.worldbank.org/en/country/yemen/publication/economic-update-april-2022" TargetMode="External"/><Relationship Id="rId17" Type="http://schemas.openxmlformats.org/officeDocument/2006/relationships/hyperlink" Target="https://www.unicef.org.uk/donate/yemen/?msclkid=b034fabde9c71d532a4d997daabf11eb&amp;utm_source=bing&amp;utm_medium=cpc&amp;utm_campaign=**-DM-Yemen-Generic-MKAG%20PLUS-G12362621657&amp;utm_term=%2Byemen%20%2Bchildren&amp;utm_content=yemen%20children" TargetMode="External"/><Relationship Id="rId25" Type="http://schemas.openxmlformats.org/officeDocument/2006/relationships/hyperlink" Target="mailto:Bahia.h.c.c@gmail.com"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mwatana.org/starvation-makers/" TargetMode="External"/><Relationship Id="rId20" Type="http://schemas.openxmlformats.org/officeDocument/2006/relationships/hyperlink" Target="https://mwatana.org/interruption-of-salaries/" TargetMode="External"/><Relationship Id="rId29" Type="http://schemas.openxmlformats.org/officeDocument/2006/relationships/hyperlink" Target="mailto:Anjila2013@yahoo.com"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sanaacenter.org/ar/publications-all/main-publications-ar/6610" TargetMode="External"/><Relationship Id="rId24" Type="http://schemas.openxmlformats.org/officeDocument/2006/relationships/hyperlink" Target="https://www.amnesty.org/en/latest/news/2022/09/yemen-huthis-suffocating-women-with-requirement-for-male-guardians/" TargetMode="External"/><Relationship Id="rId32"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www.ohchr.org/en/instruments-mechanisms/instruments/international-covenant-economic-social-and-cultural-rights" TargetMode="External"/><Relationship Id="rId23" Type="http://schemas.openxmlformats.org/officeDocument/2006/relationships/hyperlink" Target="http://hrlibrary.umn.edu/arabic/Yemeni_Laws/Yemen_Constitution.pdf" TargetMode="External"/><Relationship Id="rId28" Type="http://schemas.openxmlformats.org/officeDocument/2006/relationships/hyperlink" Target="mailto:Aseell2090@gmail.com" TargetMode="External"/><Relationship Id="rId10" Type="http://schemas.openxmlformats.org/officeDocument/2006/relationships/hyperlink" Target="https://mwatana.org/starvation-makers/" TargetMode="External"/><Relationship Id="rId19" Type="http://schemas.openxmlformats.org/officeDocument/2006/relationships/hyperlink" Target="https://www.almayadeen.net/news/economic/%D9%86%D9%81%D8%B7-%D8%A7%D9%84%D9%8A%D9%85%D9%86-%D8%AB%D8%B1%D9%88%D8%A9-%D8%B6%D8%AE%D9%85%D8%A9-%D9%81%D9%8A-%D9%85%D9%87%D8%A8-%D8%A7%D9%84%D8%A3%D8%B7%D9%85%D8%A7%D8%B9-%D8%A7%D9%84%D8%B3%D8%B9%D9%88%D8%AF%D9%8A%D8%A9" TargetMode="External"/><Relationship Id="rId3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mwatana.org/starvation-makers/" TargetMode="External"/><Relationship Id="rId14" Type="http://schemas.openxmlformats.org/officeDocument/2006/relationships/hyperlink" Target="https://www.un.org/en/ga/" TargetMode="External"/><Relationship Id="rId22" Type="http://schemas.openxmlformats.org/officeDocument/2006/relationships/hyperlink" Target="https://www.hrw.org/news/2022/08/29/yemen-houthis-should-urgently-open-taizz-roads" TargetMode="External"/><Relationship Id="rId27" Type="http://schemas.openxmlformats.org/officeDocument/2006/relationships/hyperlink" Target="mailto:Thuraya.a.dammaj@gmail.com" TargetMode="External"/><Relationship Id="rId30" Type="http://schemas.openxmlformats.org/officeDocument/2006/relationships/hyperlink" Target="mailto:Wwfg65@gmail.com" TargetMode="External"/><Relationship Id="rId8" Type="http://schemas.openxmlformats.org/officeDocument/2006/relationships/hyperlink" Target="https://www.transparency.org/en/news/corruption-perceptions-index-201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iTDMDFRlwgUtykchN3afuBHNjbfA==">AMUW2mVZxbwNPRr1UFTcktr8/UM2uoQajxCrO+azOD07isxVWk3SXxvggxfICQ1hKXHPnVme0SVqB0HwO7sI4RI/+R/S6n6X1NnvMMGofFACAVj5QHqH2FnwYx0ZjjvpKQrjUarE3NjfLMjNUNwSu6GmMq09zJRcLu5y+5lhu2TTKj3AkPuQHr38/4wWzLIQ3ak7DftNIFBvXt5jvV5Ry+dcHxjs8hguZk/fiiamLBZSIgnUgzpqsYbBEwb+4YtSEqD+aJ79dUtDnAE9miqJ7Y2xBIdAKk3NGmEP3J9+i1h84ngetes4NctgfN77DSIwWG+xjzFTwuRRlguIwByGl1UDh+uYBNTk3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4374</Words>
  <Characters>24933</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Mandy</dc:creator>
  <cp:lastModifiedBy>Celine Reynaud</cp:lastModifiedBy>
  <cp:revision>2</cp:revision>
  <dcterms:created xsi:type="dcterms:W3CDTF">2023-01-17T09:40:00Z</dcterms:created>
  <dcterms:modified xsi:type="dcterms:W3CDTF">2023-01-17T09:40:00Z</dcterms:modified>
</cp:coreProperties>
</file>